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798" w:rsidRPr="005B5D2A" w:rsidRDefault="00265798" w:rsidP="00265798">
      <w:pPr>
        <w:pStyle w:val="Titlepage"/>
        <w:spacing w:before="3240"/>
      </w:pPr>
      <w:bookmarkStart w:id="0" w:name="_Toc468022799"/>
      <w:r w:rsidRPr="005B5D2A">
        <w:t>Pharmaceutical Benefits Scheme</w:t>
      </w:r>
    </w:p>
    <w:p w:rsidR="00265798" w:rsidRPr="005B5D2A" w:rsidRDefault="00265798" w:rsidP="00265798">
      <w:pPr>
        <w:pStyle w:val="Titlepage"/>
        <w:spacing w:before="200"/>
        <w:rPr>
          <w:b/>
        </w:rPr>
      </w:pPr>
      <w:r w:rsidRPr="005B5D2A">
        <w:rPr>
          <w:b/>
        </w:rPr>
        <w:t>Post-market Review</w:t>
      </w:r>
      <w:r w:rsidR="002D2B12">
        <w:rPr>
          <w:b/>
        </w:rPr>
        <w:t xml:space="preserve"> of</w:t>
      </w:r>
    </w:p>
    <w:p w:rsidR="00265798" w:rsidRDefault="00265798" w:rsidP="00265798">
      <w:pPr>
        <w:pStyle w:val="Titlepage"/>
        <w:spacing w:before="200"/>
        <w:rPr>
          <w:b/>
          <w:color w:val="4F81BD"/>
        </w:rPr>
      </w:pPr>
      <w:r w:rsidRPr="00194011">
        <w:rPr>
          <w:b/>
          <w:color w:val="4F81BD"/>
        </w:rPr>
        <w:t>Chronic Obstructive Pulmonary Disease Medicines</w:t>
      </w:r>
    </w:p>
    <w:p w:rsidR="00265798" w:rsidRPr="00194011" w:rsidRDefault="00265798" w:rsidP="00265798">
      <w:pPr>
        <w:pStyle w:val="Titlepage"/>
        <w:spacing w:before="200"/>
        <w:rPr>
          <w:b/>
          <w:color w:val="4F81BD"/>
        </w:rPr>
      </w:pPr>
      <w:proofErr w:type="spellStart"/>
      <w:r>
        <w:rPr>
          <w:b/>
          <w:color w:val="4F81BD"/>
        </w:rPr>
        <w:t>ToR</w:t>
      </w:r>
      <w:proofErr w:type="spellEnd"/>
      <w:r>
        <w:rPr>
          <w:b/>
          <w:color w:val="4F81BD"/>
        </w:rPr>
        <w:t xml:space="preserve"> 4</w:t>
      </w:r>
    </w:p>
    <w:p w:rsidR="00265798" w:rsidRPr="00194011" w:rsidRDefault="00621DD4" w:rsidP="00265798">
      <w:pPr>
        <w:pStyle w:val="Titlepage"/>
        <w:spacing w:before="3120"/>
        <w:rPr>
          <w:b/>
          <w:color w:val="4F81BD"/>
          <w:sz w:val="32"/>
          <w:szCs w:val="32"/>
        </w:rPr>
      </w:pPr>
      <w:r>
        <w:rPr>
          <w:b/>
          <w:color w:val="4F81BD"/>
          <w:sz w:val="32"/>
          <w:szCs w:val="32"/>
        </w:rPr>
        <w:t>Final</w:t>
      </w:r>
      <w:r w:rsidR="00265798" w:rsidRPr="00194011">
        <w:rPr>
          <w:b/>
          <w:color w:val="4F81BD"/>
          <w:sz w:val="32"/>
          <w:szCs w:val="32"/>
        </w:rPr>
        <w:t xml:space="preserve"> Report</w:t>
      </w:r>
    </w:p>
    <w:p w:rsidR="00265798" w:rsidRDefault="009B0A06" w:rsidP="00265798">
      <w:pPr>
        <w:pStyle w:val="Titlepage"/>
        <w:spacing w:before="3120"/>
        <w:rPr>
          <w:b/>
          <w:sz w:val="32"/>
          <w:szCs w:val="32"/>
        </w:rPr>
        <w:sectPr w:rsidR="00265798" w:rsidSect="00CB3D44">
          <w:headerReference w:type="default" r:id="rId8"/>
          <w:footerReference w:type="default" r:id="rId9"/>
          <w:headerReference w:type="first" r:id="rId10"/>
          <w:footerReference w:type="first" r:id="rId11"/>
          <w:pgSz w:w="11906" w:h="16838"/>
          <w:pgMar w:top="1134" w:right="1134" w:bottom="1134" w:left="1134" w:header="708" w:footer="708" w:gutter="0"/>
          <w:pgNumType w:fmt="lowerRoman" w:start="1"/>
          <w:cols w:space="708"/>
          <w:titlePg/>
          <w:docGrid w:linePitch="360"/>
        </w:sectPr>
      </w:pPr>
      <w:r>
        <w:rPr>
          <w:b/>
          <w:sz w:val="32"/>
          <w:szCs w:val="32"/>
        </w:rPr>
        <w:t>August</w:t>
      </w:r>
      <w:bookmarkStart w:id="1" w:name="_GoBack"/>
      <w:bookmarkEnd w:id="1"/>
      <w:r w:rsidR="00265798">
        <w:rPr>
          <w:b/>
          <w:sz w:val="32"/>
          <w:szCs w:val="32"/>
        </w:rPr>
        <w:t xml:space="preserve"> 2017</w:t>
      </w:r>
    </w:p>
    <w:p w:rsidR="00265798" w:rsidRPr="00A865FF" w:rsidRDefault="00265798" w:rsidP="00265798">
      <w:pPr>
        <w:pStyle w:val="TOCHeading"/>
      </w:pPr>
      <w:r w:rsidRPr="007C6357">
        <w:lastRenderedPageBreak/>
        <w:t>Contents</w:t>
      </w:r>
    </w:p>
    <w:p w:rsidR="000E3539" w:rsidRDefault="000E3539">
      <w:pPr>
        <w:pStyle w:val="TOC1"/>
        <w:rPr>
          <w:rFonts w:asciiTheme="minorHAnsi" w:eastAsiaTheme="minorEastAsia" w:hAnsiTheme="minorHAnsi" w:cstheme="minorBidi"/>
          <w:sz w:val="22"/>
          <w:szCs w:val="22"/>
          <w:lang w:eastAsia="en-AU"/>
        </w:rPr>
      </w:pPr>
      <w:r w:rsidRPr="009D3832">
        <w:t>Section 4: ToR 4 Review of safety of prolonged ICS use</w:t>
      </w:r>
      <w:r>
        <w:rPr>
          <w:webHidden/>
        </w:rPr>
        <w:tab/>
      </w:r>
      <w:r w:rsidR="00CC763A">
        <w:rPr>
          <w:webHidden/>
        </w:rPr>
        <w:t>4</w:t>
      </w:r>
    </w:p>
    <w:p w:rsidR="000E3539" w:rsidRDefault="000E3539">
      <w:pPr>
        <w:pStyle w:val="TOC2"/>
        <w:rPr>
          <w:rFonts w:asciiTheme="minorHAnsi" w:eastAsiaTheme="minorEastAsia" w:hAnsiTheme="minorHAnsi" w:cstheme="minorBidi"/>
          <w:noProof/>
          <w:sz w:val="22"/>
          <w:szCs w:val="22"/>
          <w:lang w:eastAsia="en-AU"/>
        </w:rPr>
      </w:pPr>
      <w:r w:rsidRPr="009D3832">
        <w:rPr>
          <w:noProof/>
        </w:rPr>
        <w:t>4.1</w:t>
      </w:r>
      <w:r>
        <w:rPr>
          <w:rFonts w:asciiTheme="minorHAnsi" w:eastAsiaTheme="minorEastAsia" w:hAnsiTheme="minorHAnsi" w:cstheme="minorBidi"/>
          <w:noProof/>
          <w:sz w:val="22"/>
          <w:szCs w:val="22"/>
          <w:lang w:eastAsia="en-AU"/>
        </w:rPr>
        <w:tab/>
      </w:r>
      <w:r w:rsidRPr="009D3832">
        <w:rPr>
          <w:noProof/>
        </w:rPr>
        <w:t>Key findings for ToR 4</w:t>
      </w:r>
      <w:r>
        <w:rPr>
          <w:noProof/>
          <w:webHidden/>
        </w:rPr>
        <w:tab/>
      </w:r>
      <w:r w:rsidR="00CC763A">
        <w:rPr>
          <w:noProof/>
          <w:webHidden/>
        </w:rPr>
        <w:t>4</w:t>
      </w:r>
    </w:p>
    <w:p w:rsidR="000E3539" w:rsidRDefault="000E3539">
      <w:pPr>
        <w:pStyle w:val="TOC3"/>
        <w:rPr>
          <w:rFonts w:asciiTheme="minorHAnsi" w:eastAsiaTheme="minorEastAsia" w:hAnsiTheme="minorHAnsi" w:cstheme="minorBidi"/>
          <w:noProof/>
          <w:sz w:val="22"/>
          <w:szCs w:val="22"/>
          <w:lang w:eastAsia="en-AU"/>
        </w:rPr>
      </w:pPr>
      <w:r w:rsidRPr="009D3832">
        <w:rPr>
          <w:noProof/>
        </w:rPr>
        <w:t>Stakeholder views (Forum and public consultations)</w:t>
      </w:r>
      <w:r>
        <w:rPr>
          <w:noProof/>
          <w:webHidden/>
        </w:rPr>
        <w:tab/>
      </w:r>
      <w:r w:rsidR="00CC763A">
        <w:rPr>
          <w:noProof/>
          <w:webHidden/>
        </w:rPr>
        <w:t>4</w:t>
      </w:r>
    </w:p>
    <w:p w:rsidR="000E3539" w:rsidRDefault="000E3539">
      <w:pPr>
        <w:pStyle w:val="TOC2"/>
        <w:rPr>
          <w:rFonts w:asciiTheme="minorHAnsi" w:eastAsiaTheme="minorEastAsia" w:hAnsiTheme="minorHAnsi" w:cstheme="minorBidi"/>
          <w:noProof/>
          <w:sz w:val="22"/>
          <w:szCs w:val="22"/>
          <w:lang w:eastAsia="en-AU"/>
        </w:rPr>
      </w:pPr>
      <w:r w:rsidRPr="009D3832">
        <w:rPr>
          <w:noProof/>
        </w:rPr>
        <w:t>4.2</w:t>
      </w:r>
      <w:r>
        <w:rPr>
          <w:rFonts w:asciiTheme="minorHAnsi" w:eastAsiaTheme="minorEastAsia" w:hAnsiTheme="minorHAnsi" w:cstheme="minorBidi"/>
          <w:noProof/>
          <w:sz w:val="22"/>
          <w:szCs w:val="22"/>
          <w:lang w:eastAsia="en-AU"/>
        </w:rPr>
        <w:tab/>
      </w:r>
      <w:r w:rsidRPr="009D3832">
        <w:rPr>
          <w:noProof/>
        </w:rPr>
        <w:t>Methodology</w:t>
      </w:r>
      <w:r>
        <w:rPr>
          <w:noProof/>
          <w:webHidden/>
        </w:rPr>
        <w:tab/>
      </w:r>
      <w:r w:rsidR="00CC763A">
        <w:rPr>
          <w:noProof/>
          <w:webHidden/>
        </w:rPr>
        <w:t>5</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4.2.1</w:t>
      </w:r>
      <w:r>
        <w:rPr>
          <w:rFonts w:asciiTheme="minorHAnsi" w:eastAsiaTheme="minorEastAsia" w:hAnsiTheme="minorHAnsi" w:cstheme="minorBidi"/>
          <w:noProof/>
          <w:sz w:val="22"/>
          <w:szCs w:val="22"/>
          <w:lang w:eastAsia="en-AU"/>
        </w:rPr>
        <w:tab/>
      </w:r>
      <w:r w:rsidRPr="009D3832">
        <w:rPr>
          <w:noProof/>
        </w:rPr>
        <w:t>Identification of relevant studies</w:t>
      </w:r>
      <w:r>
        <w:rPr>
          <w:noProof/>
          <w:webHidden/>
        </w:rPr>
        <w:tab/>
      </w:r>
      <w:r w:rsidR="00CC763A">
        <w:rPr>
          <w:noProof/>
          <w:webHidden/>
        </w:rPr>
        <w:t>5</w:t>
      </w:r>
    </w:p>
    <w:p w:rsidR="000E3539" w:rsidRDefault="000E3539">
      <w:pPr>
        <w:pStyle w:val="TOC2"/>
        <w:rPr>
          <w:rFonts w:asciiTheme="minorHAnsi" w:eastAsiaTheme="minorEastAsia" w:hAnsiTheme="minorHAnsi" w:cstheme="minorBidi"/>
          <w:noProof/>
          <w:sz w:val="22"/>
          <w:szCs w:val="22"/>
          <w:lang w:eastAsia="en-AU"/>
        </w:rPr>
      </w:pPr>
      <w:r w:rsidRPr="009D3832">
        <w:rPr>
          <w:noProof/>
        </w:rPr>
        <w:t>4.3</w:t>
      </w:r>
      <w:r>
        <w:rPr>
          <w:rFonts w:asciiTheme="minorHAnsi" w:eastAsiaTheme="minorEastAsia" w:hAnsiTheme="minorHAnsi" w:cstheme="minorBidi"/>
          <w:noProof/>
          <w:sz w:val="22"/>
          <w:szCs w:val="22"/>
          <w:lang w:eastAsia="en-AU"/>
        </w:rPr>
        <w:tab/>
      </w:r>
      <w:r w:rsidRPr="009D3832">
        <w:rPr>
          <w:noProof/>
        </w:rPr>
        <w:t>ICS safety evidence previously considered by the PBAC</w:t>
      </w:r>
      <w:r>
        <w:rPr>
          <w:noProof/>
          <w:webHidden/>
        </w:rPr>
        <w:tab/>
      </w:r>
      <w:r w:rsidR="00CC763A">
        <w:rPr>
          <w:noProof/>
          <w:webHidden/>
        </w:rPr>
        <w:t>6</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4.3.1</w:t>
      </w:r>
      <w:r>
        <w:rPr>
          <w:rFonts w:asciiTheme="minorHAnsi" w:eastAsiaTheme="minorEastAsia" w:hAnsiTheme="minorHAnsi" w:cstheme="minorBidi"/>
          <w:noProof/>
          <w:sz w:val="22"/>
          <w:szCs w:val="22"/>
          <w:lang w:eastAsia="en-AU"/>
        </w:rPr>
        <w:tab/>
      </w:r>
      <w:r w:rsidRPr="009D3832">
        <w:rPr>
          <w:noProof/>
        </w:rPr>
        <w:t>ICS safety profile at registration</w:t>
      </w:r>
      <w:r>
        <w:rPr>
          <w:noProof/>
          <w:webHidden/>
        </w:rPr>
        <w:tab/>
      </w:r>
      <w:r w:rsidR="00CC763A">
        <w:rPr>
          <w:noProof/>
          <w:webHidden/>
        </w:rPr>
        <w:t>6</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4.3.2</w:t>
      </w:r>
      <w:r>
        <w:rPr>
          <w:rFonts w:asciiTheme="minorHAnsi" w:eastAsiaTheme="minorEastAsia" w:hAnsiTheme="minorHAnsi" w:cstheme="minorBidi"/>
          <w:noProof/>
          <w:sz w:val="22"/>
          <w:szCs w:val="22"/>
          <w:lang w:eastAsia="en-AU"/>
        </w:rPr>
        <w:tab/>
      </w:r>
      <w:r w:rsidRPr="009D3832">
        <w:rPr>
          <w:noProof/>
        </w:rPr>
        <w:t>ICS safety evidence previously considered by the PBAC</w:t>
      </w:r>
      <w:r>
        <w:rPr>
          <w:noProof/>
          <w:webHidden/>
        </w:rPr>
        <w:tab/>
      </w:r>
      <w:r w:rsidR="00CC763A">
        <w:rPr>
          <w:noProof/>
          <w:webHidden/>
        </w:rPr>
        <w:t>7</w:t>
      </w:r>
    </w:p>
    <w:p w:rsidR="000E3539" w:rsidRDefault="000E3539">
      <w:pPr>
        <w:pStyle w:val="TOC2"/>
        <w:rPr>
          <w:rFonts w:asciiTheme="minorHAnsi" w:eastAsiaTheme="minorEastAsia" w:hAnsiTheme="minorHAnsi" w:cstheme="minorBidi"/>
          <w:noProof/>
          <w:sz w:val="22"/>
          <w:szCs w:val="22"/>
          <w:lang w:eastAsia="en-AU"/>
        </w:rPr>
      </w:pPr>
      <w:r w:rsidRPr="009D3832">
        <w:rPr>
          <w:noProof/>
        </w:rPr>
        <w:t>4.4</w:t>
      </w:r>
      <w:r>
        <w:rPr>
          <w:rFonts w:asciiTheme="minorHAnsi" w:eastAsiaTheme="minorEastAsia" w:hAnsiTheme="minorHAnsi" w:cstheme="minorBidi"/>
          <w:noProof/>
          <w:sz w:val="22"/>
          <w:szCs w:val="22"/>
          <w:lang w:eastAsia="en-AU"/>
        </w:rPr>
        <w:tab/>
      </w:r>
      <w:r w:rsidRPr="009D3832">
        <w:rPr>
          <w:noProof/>
        </w:rPr>
        <w:t>ICS safety evidence not considered by the PBAC</w:t>
      </w:r>
      <w:r>
        <w:rPr>
          <w:noProof/>
          <w:webHidden/>
        </w:rPr>
        <w:tab/>
      </w:r>
      <w:r w:rsidR="00CC763A">
        <w:rPr>
          <w:noProof/>
          <w:webHidden/>
        </w:rPr>
        <w:t>12</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4.4.1</w:t>
      </w:r>
      <w:r>
        <w:rPr>
          <w:rFonts w:asciiTheme="minorHAnsi" w:eastAsiaTheme="minorEastAsia" w:hAnsiTheme="minorHAnsi" w:cstheme="minorBidi"/>
          <w:noProof/>
          <w:sz w:val="22"/>
          <w:szCs w:val="22"/>
          <w:lang w:eastAsia="en-AU"/>
        </w:rPr>
        <w:tab/>
      </w:r>
      <w:r w:rsidRPr="009D3832">
        <w:rPr>
          <w:noProof/>
        </w:rPr>
        <w:t>Systematic reviews</w:t>
      </w:r>
      <w:r>
        <w:rPr>
          <w:noProof/>
          <w:webHidden/>
        </w:rPr>
        <w:tab/>
      </w:r>
      <w:r w:rsidR="00CC763A">
        <w:rPr>
          <w:noProof/>
          <w:webHidden/>
        </w:rPr>
        <w:t>12</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4.4.2</w:t>
      </w:r>
      <w:r>
        <w:rPr>
          <w:rFonts w:asciiTheme="minorHAnsi" w:eastAsiaTheme="minorEastAsia" w:hAnsiTheme="minorHAnsi" w:cstheme="minorBidi"/>
          <w:noProof/>
          <w:sz w:val="22"/>
          <w:szCs w:val="22"/>
          <w:lang w:eastAsia="en-AU"/>
        </w:rPr>
        <w:tab/>
      </w:r>
      <w:r w:rsidRPr="009D3832">
        <w:rPr>
          <w:noProof/>
        </w:rPr>
        <w:t>HTAs</w:t>
      </w:r>
      <w:r>
        <w:rPr>
          <w:noProof/>
          <w:webHidden/>
        </w:rPr>
        <w:tab/>
      </w:r>
      <w:r w:rsidR="00CC763A">
        <w:rPr>
          <w:noProof/>
          <w:webHidden/>
        </w:rPr>
        <w:t>40</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4.4.3</w:t>
      </w:r>
      <w:r>
        <w:rPr>
          <w:rFonts w:asciiTheme="minorHAnsi" w:eastAsiaTheme="minorEastAsia" w:hAnsiTheme="minorHAnsi" w:cstheme="minorBidi"/>
          <w:noProof/>
          <w:sz w:val="22"/>
          <w:szCs w:val="22"/>
          <w:lang w:eastAsia="en-AU"/>
        </w:rPr>
        <w:tab/>
      </w:r>
      <w:r w:rsidRPr="009D3832">
        <w:rPr>
          <w:noProof/>
        </w:rPr>
        <w:t>Observational studies</w:t>
      </w:r>
      <w:r>
        <w:rPr>
          <w:noProof/>
          <w:webHidden/>
        </w:rPr>
        <w:tab/>
      </w:r>
      <w:r w:rsidR="00CC763A">
        <w:rPr>
          <w:noProof/>
          <w:webHidden/>
        </w:rPr>
        <w:t>43</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4.4.4</w:t>
      </w:r>
      <w:r>
        <w:rPr>
          <w:rFonts w:asciiTheme="minorHAnsi" w:eastAsiaTheme="minorEastAsia" w:hAnsiTheme="minorHAnsi" w:cstheme="minorBidi"/>
          <w:noProof/>
          <w:sz w:val="22"/>
          <w:szCs w:val="22"/>
          <w:lang w:eastAsia="en-AU"/>
        </w:rPr>
        <w:tab/>
      </w:r>
      <w:r w:rsidRPr="009D3832">
        <w:rPr>
          <w:noProof/>
        </w:rPr>
        <w:t>Regulatory agency reports – ICS safety</w:t>
      </w:r>
      <w:r>
        <w:rPr>
          <w:noProof/>
          <w:webHidden/>
        </w:rPr>
        <w:tab/>
      </w:r>
      <w:r w:rsidR="00CC763A">
        <w:rPr>
          <w:noProof/>
          <w:webHidden/>
        </w:rPr>
        <w:t>52</w:t>
      </w:r>
    </w:p>
    <w:p w:rsidR="000E3539" w:rsidRDefault="000E3539">
      <w:pPr>
        <w:pStyle w:val="TOC3"/>
        <w:tabs>
          <w:tab w:val="left" w:pos="1851"/>
        </w:tabs>
        <w:rPr>
          <w:rFonts w:asciiTheme="minorHAnsi" w:eastAsiaTheme="minorEastAsia" w:hAnsiTheme="minorHAnsi" w:cstheme="minorBidi"/>
          <w:noProof/>
          <w:sz w:val="22"/>
          <w:szCs w:val="22"/>
          <w:lang w:eastAsia="en-AU"/>
        </w:rPr>
      </w:pPr>
      <w:r w:rsidRPr="009D3832">
        <w:rPr>
          <w:noProof/>
        </w:rPr>
        <w:t>4.4.5</w:t>
      </w:r>
      <w:r>
        <w:rPr>
          <w:rFonts w:asciiTheme="minorHAnsi" w:eastAsiaTheme="minorEastAsia" w:hAnsiTheme="minorHAnsi" w:cstheme="minorBidi"/>
          <w:noProof/>
          <w:sz w:val="22"/>
          <w:szCs w:val="22"/>
          <w:lang w:eastAsia="en-AU"/>
        </w:rPr>
        <w:tab/>
      </w:r>
      <w:r w:rsidRPr="009D3832">
        <w:rPr>
          <w:noProof/>
        </w:rPr>
        <w:t>Additional key studies</w:t>
      </w:r>
      <w:r>
        <w:rPr>
          <w:noProof/>
          <w:webHidden/>
        </w:rPr>
        <w:tab/>
      </w:r>
      <w:r w:rsidR="00CC763A">
        <w:rPr>
          <w:noProof/>
          <w:webHidden/>
        </w:rPr>
        <w:t>55</w:t>
      </w:r>
    </w:p>
    <w:p w:rsidR="000E3539" w:rsidRDefault="000E3539">
      <w:pPr>
        <w:pStyle w:val="TOC2"/>
        <w:rPr>
          <w:rFonts w:asciiTheme="minorHAnsi" w:eastAsiaTheme="minorEastAsia" w:hAnsiTheme="minorHAnsi" w:cstheme="minorBidi"/>
          <w:noProof/>
          <w:sz w:val="22"/>
          <w:szCs w:val="22"/>
          <w:lang w:eastAsia="en-AU"/>
        </w:rPr>
      </w:pPr>
      <w:r w:rsidRPr="009D3832">
        <w:rPr>
          <w:noProof/>
        </w:rPr>
        <w:t>4.5</w:t>
      </w:r>
      <w:r>
        <w:rPr>
          <w:rFonts w:asciiTheme="minorHAnsi" w:eastAsiaTheme="minorEastAsia" w:hAnsiTheme="minorHAnsi" w:cstheme="minorBidi"/>
          <w:noProof/>
          <w:sz w:val="22"/>
          <w:szCs w:val="22"/>
          <w:lang w:eastAsia="en-AU"/>
        </w:rPr>
        <w:tab/>
      </w:r>
      <w:r w:rsidRPr="009D3832">
        <w:rPr>
          <w:noProof/>
        </w:rPr>
        <w:t>Conclusions</w:t>
      </w:r>
      <w:r>
        <w:rPr>
          <w:noProof/>
          <w:webHidden/>
        </w:rPr>
        <w:tab/>
      </w:r>
      <w:r w:rsidR="00CC763A">
        <w:rPr>
          <w:noProof/>
          <w:webHidden/>
        </w:rPr>
        <w:t>59</w:t>
      </w:r>
    </w:p>
    <w:p w:rsidR="00265798" w:rsidRDefault="00265798" w:rsidP="00750448">
      <w:pPr>
        <w:pStyle w:val="TOC1"/>
      </w:pPr>
    </w:p>
    <w:p w:rsidR="00C7581F" w:rsidRPr="00A54385" w:rsidRDefault="00C7581F" w:rsidP="00C7581F">
      <w:pPr>
        <w:pStyle w:val="BodyText"/>
        <w:jc w:val="center"/>
        <w:rPr>
          <w:b/>
          <w:noProof/>
          <w:color w:val="4F81BD"/>
          <w:sz w:val="40"/>
          <w:szCs w:val="40"/>
        </w:rPr>
      </w:pPr>
      <w:r>
        <w:rPr>
          <w:b/>
          <w:noProof/>
          <w:color w:val="4F81BD"/>
          <w:sz w:val="40"/>
          <w:szCs w:val="40"/>
        </w:rPr>
        <w:t xml:space="preserve">List of </w:t>
      </w:r>
      <w:r w:rsidRPr="00A54385">
        <w:rPr>
          <w:b/>
          <w:noProof/>
          <w:color w:val="4F81BD"/>
          <w:sz w:val="40"/>
          <w:szCs w:val="40"/>
        </w:rPr>
        <w:t>Ta</w:t>
      </w:r>
      <w:r>
        <w:rPr>
          <w:b/>
          <w:noProof/>
          <w:color w:val="4F81BD"/>
          <w:sz w:val="40"/>
          <w:szCs w:val="40"/>
        </w:rPr>
        <w:t>bles</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w:t>
      </w:r>
      <w:r>
        <w:rPr>
          <w:rFonts w:asciiTheme="minorHAnsi" w:eastAsiaTheme="minorEastAsia" w:hAnsiTheme="minorHAnsi" w:cstheme="minorBidi"/>
          <w:noProof/>
          <w:sz w:val="22"/>
          <w:szCs w:val="22"/>
          <w:lang w:eastAsia="en-AU"/>
        </w:rPr>
        <w:tab/>
      </w:r>
      <w:r w:rsidRPr="009D3832">
        <w:rPr>
          <w:noProof/>
        </w:rPr>
        <w:t>Literature search criteria for ToR 4</w:t>
      </w:r>
      <w:r>
        <w:rPr>
          <w:noProof/>
          <w:webHidden/>
        </w:rPr>
        <w:tab/>
      </w:r>
      <w:r w:rsidR="00CC763A">
        <w:rPr>
          <w:noProof/>
          <w:webHidden/>
        </w:rPr>
        <w:t>5</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4.2</w:t>
      </w:r>
      <w:r>
        <w:rPr>
          <w:rFonts w:asciiTheme="minorHAnsi" w:eastAsiaTheme="minorEastAsia" w:hAnsiTheme="minorHAnsi" w:cstheme="minorBidi"/>
          <w:noProof/>
          <w:sz w:val="22"/>
          <w:szCs w:val="22"/>
          <w:lang w:eastAsia="en-AU"/>
        </w:rPr>
        <w:tab/>
      </w:r>
      <w:r w:rsidRPr="009D3832">
        <w:rPr>
          <w:noProof/>
        </w:rPr>
        <w:t>Adverse event general advice from PIs for FLU/SAL, FLU/VIL and BUD/EFO</w:t>
      </w:r>
      <w:r>
        <w:rPr>
          <w:noProof/>
          <w:webHidden/>
        </w:rPr>
        <w:tab/>
      </w:r>
      <w:r w:rsidR="00CC763A">
        <w:rPr>
          <w:noProof/>
          <w:webHidden/>
        </w:rPr>
        <w:t>7</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4.3</w:t>
      </w:r>
      <w:r>
        <w:rPr>
          <w:rFonts w:asciiTheme="minorHAnsi" w:eastAsiaTheme="minorEastAsia" w:hAnsiTheme="minorHAnsi" w:cstheme="minorBidi"/>
          <w:noProof/>
          <w:sz w:val="22"/>
          <w:szCs w:val="22"/>
          <w:lang w:eastAsia="en-AU"/>
        </w:rPr>
        <w:tab/>
      </w:r>
      <w:r w:rsidRPr="009D3832">
        <w:rPr>
          <w:noProof/>
        </w:rPr>
        <w:t>Systematic reviews of the safety of ICS/LABA or ICS compared to LABA or placebo</w:t>
      </w:r>
      <w:r>
        <w:rPr>
          <w:noProof/>
          <w:webHidden/>
        </w:rPr>
        <w:tab/>
      </w:r>
      <w:r w:rsidR="00CC763A">
        <w:rPr>
          <w:noProof/>
          <w:webHidden/>
        </w:rPr>
        <w:t>13</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4.4</w:t>
      </w:r>
      <w:r>
        <w:rPr>
          <w:rFonts w:asciiTheme="minorHAnsi" w:eastAsiaTheme="minorEastAsia" w:hAnsiTheme="minorHAnsi" w:cstheme="minorBidi"/>
          <w:noProof/>
          <w:sz w:val="22"/>
          <w:szCs w:val="22"/>
          <w:lang w:eastAsia="en-AU"/>
        </w:rPr>
        <w:tab/>
      </w:r>
      <w:r w:rsidRPr="009D3832">
        <w:rPr>
          <w:noProof/>
        </w:rPr>
        <w:t>Outline of the identified systematic reviews and selection of key reviews</w:t>
      </w:r>
      <w:r>
        <w:rPr>
          <w:noProof/>
          <w:webHidden/>
        </w:rPr>
        <w:tab/>
      </w:r>
      <w:r w:rsidR="00CC763A">
        <w:rPr>
          <w:noProof/>
          <w:webHidden/>
        </w:rPr>
        <w:t>14</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4.5</w:t>
      </w:r>
      <w:r>
        <w:rPr>
          <w:rFonts w:asciiTheme="minorHAnsi" w:eastAsiaTheme="minorEastAsia" w:hAnsiTheme="minorHAnsi" w:cstheme="minorBidi"/>
          <w:noProof/>
          <w:sz w:val="22"/>
          <w:szCs w:val="22"/>
          <w:lang w:eastAsia="en-AU"/>
        </w:rPr>
        <w:tab/>
      </w:r>
      <w:r w:rsidRPr="009D3832">
        <w:rPr>
          <w:noProof/>
        </w:rPr>
        <w:t>Fluticasone and budesonide RCTs included in the key systematic reviews</w:t>
      </w:r>
      <w:r>
        <w:rPr>
          <w:noProof/>
          <w:webHidden/>
        </w:rPr>
        <w:tab/>
      </w:r>
      <w:r w:rsidR="00CC763A">
        <w:rPr>
          <w:noProof/>
          <w:webHidden/>
        </w:rPr>
        <w:t>19</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4.6</w:t>
      </w:r>
      <w:r>
        <w:rPr>
          <w:rFonts w:asciiTheme="minorHAnsi" w:eastAsiaTheme="minorEastAsia" w:hAnsiTheme="minorHAnsi" w:cstheme="minorBidi"/>
          <w:noProof/>
          <w:sz w:val="22"/>
          <w:szCs w:val="22"/>
          <w:lang w:eastAsia="en-AU"/>
        </w:rPr>
        <w:tab/>
      </w:r>
      <w:r w:rsidRPr="009D3832">
        <w:rPr>
          <w:noProof/>
        </w:rPr>
        <w:t>Inclusion and exclusion criteria for Nannini 2012 and 2013</w:t>
      </w:r>
      <w:r>
        <w:rPr>
          <w:noProof/>
          <w:webHidden/>
        </w:rPr>
        <w:tab/>
      </w:r>
      <w:r w:rsidR="00CC763A">
        <w:rPr>
          <w:noProof/>
          <w:webHidden/>
        </w:rPr>
        <w:t>21</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4.7</w:t>
      </w:r>
      <w:r>
        <w:rPr>
          <w:rFonts w:asciiTheme="minorHAnsi" w:eastAsiaTheme="minorEastAsia" w:hAnsiTheme="minorHAnsi" w:cstheme="minorBidi"/>
          <w:noProof/>
          <w:sz w:val="22"/>
          <w:szCs w:val="22"/>
          <w:lang w:eastAsia="en-AU"/>
        </w:rPr>
        <w:tab/>
      </w:r>
      <w:r w:rsidRPr="009D3832">
        <w:rPr>
          <w:noProof/>
        </w:rPr>
        <w:t>Pooled estimates for FLU/SAL comparisons – Nannini 2012 and 2013</w:t>
      </w:r>
      <w:r>
        <w:rPr>
          <w:noProof/>
          <w:webHidden/>
        </w:rPr>
        <w:tab/>
      </w:r>
      <w:r w:rsidR="00CC763A">
        <w:rPr>
          <w:noProof/>
          <w:webHidden/>
        </w:rPr>
        <w:t>21</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4.8</w:t>
      </w:r>
      <w:r>
        <w:rPr>
          <w:rFonts w:asciiTheme="minorHAnsi" w:eastAsiaTheme="minorEastAsia" w:hAnsiTheme="minorHAnsi" w:cstheme="minorBidi"/>
          <w:noProof/>
          <w:sz w:val="22"/>
          <w:szCs w:val="22"/>
          <w:lang w:eastAsia="en-AU"/>
        </w:rPr>
        <w:tab/>
      </w:r>
      <w:r w:rsidRPr="009D3832">
        <w:rPr>
          <w:noProof/>
        </w:rPr>
        <w:t>Pooled estimates for BUD/EFO comparisons – Nannini 2012 and 2013</w:t>
      </w:r>
      <w:r>
        <w:rPr>
          <w:noProof/>
          <w:webHidden/>
        </w:rPr>
        <w:tab/>
      </w:r>
      <w:r w:rsidR="00CC763A">
        <w:rPr>
          <w:noProof/>
          <w:webHidden/>
        </w:rPr>
        <w:t>22</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4.9</w:t>
      </w:r>
      <w:r>
        <w:rPr>
          <w:rFonts w:asciiTheme="minorHAnsi" w:eastAsiaTheme="minorEastAsia" w:hAnsiTheme="minorHAnsi" w:cstheme="minorBidi"/>
          <w:noProof/>
          <w:sz w:val="22"/>
          <w:szCs w:val="22"/>
          <w:lang w:eastAsia="en-AU"/>
        </w:rPr>
        <w:tab/>
      </w:r>
      <w:r w:rsidRPr="009D3832">
        <w:rPr>
          <w:noProof/>
        </w:rPr>
        <w:t>Inclusion and exclusion criteria for Kew (2014)</w:t>
      </w:r>
      <w:r>
        <w:rPr>
          <w:noProof/>
          <w:webHidden/>
        </w:rPr>
        <w:tab/>
      </w:r>
      <w:r w:rsidR="00CC763A">
        <w:rPr>
          <w:noProof/>
          <w:webHidden/>
        </w:rPr>
        <w:t>26</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4.10</w:t>
      </w:r>
      <w:r>
        <w:rPr>
          <w:rFonts w:asciiTheme="minorHAnsi" w:eastAsiaTheme="minorEastAsia" w:hAnsiTheme="minorHAnsi" w:cstheme="minorBidi"/>
          <w:noProof/>
          <w:sz w:val="22"/>
          <w:szCs w:val="22"/>
          <w:lang w:eastAsia="en-AU"/>
        </w:rPr>
        <w:tab/>
      </w:r>
      <w:r w:rsidRPr="009D3832">
        <w:rPr>
          <w:noProof/>
        </w:rPr>
        <w:t>Fluticasone and budesonide studies, showing comparison types, doses and meta-analyses inclusion – Kew 2014</w:t>
      </w:r>
      <w:r>
        <w:rPr>
          <w:noProof/>
          <w:webHidden/>
        </w:rPr>
        <w:tab/>
      </w:r>
      <w:r w:rsidR="00CC763A">
        <w:rPr>
          <w:noProof/>
          <w:webHidden/>
        </w:rPr>
        <w:t>27</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4.11</w:t>
      </w:r>
      <w:r>
        <w:rPr>
          <w:rFonts w:asciiTheme="minorHAnsi" w:eastAsiaTheme="minorEastAsia" w:hAnsiTheme="minorHAnsi" w:cstheme="minorBidi"/>
          <w:noProof/>
          <w:sz w:val="22"/>
          <w:szCs w:val="22"/>
          <w:lang w:eastAsia="en-AU"/>
        </w:rPr>
        <w:tab/>
      </w:r>
      <w:r w:rsidRPr="009D3832">
        <w:rPr>
          <w:noProof/>
        </w:rPr>
        <w:t>Statistically significant results for pneumonia risk – Tricco 2015</w:t>
      </w:r>
      <w:r>
        <w:rPr>
          <w:noProof/>
          <w:webHidden/>
        </w:rPr>
        <w:tab/>
      </w:r>
      <w:r w:rsidR="00CC763A">
        <w:rPr>
          <w:noProof/>
          <w:webHidden/>
        </w:rPr>
        <w:t>36</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4.12</w:t>
      </w:r>
      <w:r>
        <w:rPr>
          <w:rFonts w:asciiTheme="minorHAnsi" w:eastAsiaTheme="minorEastAsia" w:hAnsiTheme="minorHAnsi" w:cstheme="minorBidi"/>
          <w:noProof/>
          <w:sz w:val="22"/>
          <w:szCs w:val="22"/>
          <w:lang w:eastAsia="en-AU"/>
        </w:rPr>
        <w:tab/>
      </w:r>
      <w:r w:rsidRPr="009D3832">
        <w:rPr>
          <w:noProof/>
        </w:rPr>
        <w:t>Pooled analyses investigating the safety of ICS</w:t>
      </w:r>
      <w:r>
        <w:rPr>
          <w:noProof/>
          <w:webHidden/>
        </w:rPr>
        <w:tab/>
      </w:r>
      <w:r w:rsidR="00CC763A">
        <w:rPr>
          <w:noProof/>
          <w:webHidden/>
        </w:rPr>
        <w:t>40</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4.13</w:t>
      </w:r>
      <w:r>
        <w:rPr>
          <w:rFonts w:asciiTheme="minorHAnsi" w:eastAsiaTheme="minorEastAsia" w:hAnsiTheme="minorHAnsi" w:cstheme="minorBidi"/>
          <w:noProof/>
          <w:sz w:val="22"/>
          <w:szCs w:val="22"/>
          <w:lang w:eastAsia="en-AU"/>
        </w:rPr>
        <w:tab/>
      </w:r>
      <w:r w:rsidRPr="009D3832">
        <w:rPr>
          <w:noProof/>
        </w:rPr>
        <w:t>Study drug dosages for the published trials of fluticasone furoate/vilanterol</w:t>
      </w:r>
      <w:r>
        <w:rPr>
          <w:noProof/>
          <w:webHidden/>
        </w:rPr>
        <w:tab/>
      </w:r>
      <w:r w:rsidR="00CC763A">
        <w:rPr>
          <w:noProof/>
          <w:webHidden/>
        </w:rPr>
        <w:t>41</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4.14</w:t>
      </w:r>
      <w:r>
        <w:rPr>
          <w:rFonts w:asciiTheme="minorHAnsi" w:eastAsiaTheme="minorEastAsia" w:hAnsiTheme="minorHAnsi" w:cstheme="minorBidi"/>
          <w:noProof/>
          <w:sz w:val="22"/>
          <w:szCs w:val="22"/>
          <w:lang w:eastAsia="en-AU"/>
        </w:rPr>
        <w:tab/>
      </w:r>
      <w:r w:rsidRPr="009D3832">
        <w:rPr>
          <w:noProof/>
        </w:rPr>
        <w:t>Safety results for 52-week Dransfield (2013) RCTs – NICE (2013) Evidence Summary</w:t>
      </w:r>
      <w:r>
        <w:rPr>
          <w:noProof/>
          <w:webHidden/>
        </w:rPr>
        <w:tab/>
      </w:r>
      <w:r w:rsidR="00CC763A">
        <w:rPr>
          <w:noProof/>
          <w:webHidden/>
        </w:rPr>
        <w:t>41</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4.15</w:t>
      </w:r>
      <w:r>
        <w:rPr>
          <w:rFonts w:asciiTheme="minorHAnsi" w:eastAsiaTheme="minorEastAsia" w:hAnsiTheme="minorHAnsi" w:cstheme="minorBidi"/>
          <w:noProof/>
          <w:sz w:val="22"/>
          <w:szCs w:val="22"/>
          <w:lang w:eastAsia="en-AU"/>
        </w:rPr>
        <w:tab/>
      </w:r>
      <w:r w:rsidRPr="009D3832">
        <w:rPr>
          <w:noProof/>
        </w:rPr>
        <w:t>Observational studies reporting pneumonia outcomes for COPD</w:t>
      </w:r>
      <w:r>
        <w:rPr>
          <w:noProof/>
          <w:webHidden/>
        </w:rPr>
        <w:tab/>
      </w:r>
      <w:r w:rsidR="00CC763A">
        <w:rPr>
          <w:noProof/>
          <w:webHidden/>
        </w:rPr>
        <w:t>43</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4.16</w:t>
      </w:r>
      <w:r>
        <w:rPr>
          <w:rFonts w:asciiTheme="minorHAnsi" w:eastAsiaTheme="minorEastAsia" w:hAnsiTheme="minorHAnsi" w:cstheme="minorBidi"/>
          <w:noProof/>
          <w:sz w:val="22"/>
          <w:szCs w:val="22"/>
          <w:lang w:eastAsia="en-AU"/>
        </w:rPr>
        <w:tab/>
      </w:r>
      <w:r w:rsidRPr="009D3832">
        <w:rPr>
          <w:noProof/>
        </w:rPr>
        <w:t>Observational studies reporting pneumonia outcomes – summary of findings</w:t>
      </w:r>
      <w:r>
        <w:rPr>
          <w:noProof/>
          <w:webHidden/>
        </w:rPr>
        <w:tab/>
      </w:r>
      <w:r w:rsidR="00CC763A">
        <w:rPr>
          <w:noProof/>
          <w:webHidden/>
        </w:rPr>
        <w:t>46</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4.17</w:t>
      </w:r>
      <w:r>
        <w:rPr>
          <w:rFonts w:asciiTheme="minorHAnsi" w:eastAsiaTheme="minorEastAsia" w:hAnsiTheme="minorHAnsi" w:cstheme="minorBidi"/>
          <w:noProof/>
          <w:sz w:val="22"/>
          <w:szCs w:val="22"/>
          <w:lang w:eastAsia="en-AU"/>
        </w:rPr>
        <w:tab/>
      </w:r>
      <w:r w:rsidRPr="009D3832">
        <w:rPr>
          <w:noProof/>
        </w:rPr>
        <w:t>Observational studies reporting safety outcomes with ICS use</w:t>
      </w:r>
      <w:r>
        <w:rPr>
          <w:noProof/>
          <w:webHidden/>
        </w:rPr>
        <w:tab/>
      </w:r>
      <w:r w:rsidR="00CC763A">
        <w:rPr>
          <w:noProof/>
          <w:webHidden/>
        </w:rPr>
        <w:t>50</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lastRenderedPageBreak/>
        <w:t>Table 4.18</w:t>
      </w:r>
      <w:r>
        <w:rPr>
          <w:rFonts w:asciiTheme="minorHAnsi" w:eastAsiaTheme="minorEastAsia" w:hAnsiTheme="minorHAnsi" w:cstheme="minorBidi"/>
          <w:noProof/>
          <w:sz w:val="22"/>
          <w:szCs w:val="22"/>
          <w:lang w:eastAsia="en-AU"/>
        </w:rPr>
        <w:tab/>
      </w:r>
      <w:r w:rsidRPr="009D3832">
        <w:rPr>
          <w:noProof/>
        </w:rPr>
        <w:t>Pneumonia in the SUMMIT trial of fluticasone furoate/vilanterol – Vestbo 2016</w:t>
      </w:r>
      <w:r>
        <w:rPr>
          <w:noProof/>
          <w:webHidden/>
        </w:rPr>
        <w:tab/>
      </w:r>
      <w:r w:rsidR="00CC763A">
        <w:rPr>
          <w:noProof/>
          <w:webHidden/>
        </w:rPr>
        <w:t>55</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4.19</w:t>
      </w:r>
      <w:r>
        <w:rPr>
          <w:rFonts w:asciiTheme="minorHAnsi" w:eastAsiaTheme="minorEastAsia" w:hAnsiTheme="minorHAnsi" w:cstheme="minorBidi"/>
          <w:noProof/>
          <w:sz w:val="22"/>
          <w:szCs w:val="22"/>
          <w:lang w:eastAsia="en-AU"/>
        </w:rPr>
        <w:tab/>
      </w:r>
      <w:r w:rsidRPr="009D3832">
        <w:rPr>
          <w:noProof/>
        </w:rPr>
        <w:t>Patient disposition in the TORCH RCT</w:t>
      </w:r>
      <w:r>
        <w:rPr>
          <w:noProof/>
          <w:webHidden/>
        </w:rPr>
        <w:tab/>
      </w:r>
      <w:r w:rsidR="00CC763A">
        <w:rPr>
          <w:noProof/>
          <w:webHidden/>
        </w:rPr>
        <w:t>58</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Table 4.20</w:t>
      </w:r>
      <w:r>
        <w:rPr>
          <w:rFonts w:asciiTheme="minorHAnsi" w:eastAsiaTheme="minorEastAsia" w:hAnsiTheme="minorHAnsi" w:cstheme="minorBidi"/>
          <w:noProof/>
          <w:sz w:val="22"/>
          <w:szCs w:val="22"/>
          <w:lang w:eastAsia="en-AU"/>
        </w:rPr>
        <w:tab/>
      </w:r>
      <w:r w:rsidRPr="009D3832">
        <w:rPr>
          <w:noProof/>
        </w:rPr>
        <w:t>Selected safety results from the TORCH RCT – Calverley 2007 and SCO30003 CSR</w:t>
      </w:r>
      <w:r>
        <w:rPr>
          <w:noProof/>
          <w:webHidden/>
        </w:rPr>
        <w:tab/>
      </w:r>
      <w:r w:rsidR="00CC763A">
        <w:rPr>
          <w:noProof/>
          <w:webHidden/>
        </w:rPr>
        <w:t>58</w:t>
      </w:r>
    </w:p>
    <w:p w:rsidR="00C7581F" w:rsidRPr="00A54385" w:rsidRDefault="00C7581F" w:rsidP="00C7581F">
      <w:pPr>
        <w:pStyle w:val="BodyText"/>
        <w:jc w:val="center"/>
        <w:rPr>
          <w:b/>
          <w:noProof/>
          <w:color w:val="4F81BD"/>
          <w:sz w:val="40"/>
          <w:szCs w:val="40"/>
        </w:rPr>
      </w:pPr>
      <w:r w:rsidRPr="00C7581F">
        <w:rPr>
          <w:b/>
          <w:noProof/>
          <w:color w:val="4F81BD"/>
          <w:sz w:val="40"/>
          <w:szCs w:val="40"/>
        </w:rPr>
        <w:t xml:space="preserve"> </w:t>
      </w:r>
      <w:r>
        <w:rPr>
          <w:b/>
          <w:noProof/>
          <w:color w:val="4F81BD"/>
          <w:sz w:val="40"/>
          <w:szCs w:val="40"/>
        </w:rPr>
        <w:t>List of Figures</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w:t>
      </w:r>
      <w:r>
        <w:rPr>
          <w:rFonts w:asciiTheme="minorHAnsi" w:eastAsiaTheme="minorEastAsia" w:hAnsiTheme="minorHAnsi" w:cstheme="minorBidi"/>
          <w:noProof/>
          <w:sz w:val="22"/>
          <w:szCs w:val="22"/>
          <w:lang w:eastAsia="en-AU"/>
        </w:rPr>
        <w:tab/>
      </w:r>
      <w:r w:rsidRPr="009D3832">
        <w:rPr>
          <w:noProof/>
        </w:rPr>
        <w:t>Pooled analysis of pneumonia SAEs across fluticasone propionate/salmeterol vs placebo trials, presented in the Symbicort</w:t>
      </w:r>
      <w:r w:rsidRPr="009D3832">
        <w:rPr>
          <w:noProof/>
          <w:vertAlign w:val="superscript"/>
        </w:rPr>
        <w:t>®</w:t>
      </w:r>
      <w:r w:rsidRPr="009D3832">
        <w:rPr>
          <w:noProof/>
        </w:rPr>
        <w:t xml:space="preserve"> Turbuhaler</w:t>
      </w:r>
      <w:r w:rsidRPr="009D3832">
        <w:rPr>
          <w:noProof/>
          <w:vertAlign w:val="superscript"/>
        </w:rPr>
        <w:t>®</w:t>
      </w:r>
      <w:r w:rsidRPr="009D3832">
        <w:rPr>
          <w:noProof/>
        </w:rPr>
        <w:t xml:space="preserve"> major submission</w:t>
      </w:r>
      <w:r>
        <w:rPr>
          <w:noProof/>
          <w:webHidden/>
        </w:rPr>
        <w:tab/>
      </w:r>
      <w:r w:rsidR="00CC763A">
        <w:rPr>
          <w:noProof/>
          <w:webHidden/>
        </w:rPr>
        <w:t>9</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4.2</w:t>
      </w:r>
      <w:r>
        <w:rPr>
          <w:rFonts w:asciiTheme="minorHAnsi" w:eastAsiaTheme="minorEastAsia" w:hAnsiTheme="minorHAnsi" w:cstheme="minorBidi"/>
          <w:noProof/>
          <w:sz w:val="22"/>
          <w:szCs w:val="22"/>
          <w:lang w:eastAsia="en-AU"/>
        </w:rPr>
        <w:tab/>
      </w:r>
      <w:r w:rsidRPr="009D3832">
        <w:rPr>
          <w:noProof/>
        </w:rPr>
        <w:t>Risk of pneumonia for FLU/SAL vs SAL and BUD/EFO vs EFO – Nannini 2012</w:t>
      </w:r>
      <w:r>
        <w:rPr>
          <w:noProof/>
          <w:webHidden/>
        </w:rPr>
        <w:tab/>
      </w:r>
      <w:r w:rsidR="00CC763A">
        <w:rPr>
          <w:noProof/>
          <w:webHidden/>
        </w:rPr>
        <w:t>23</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4.3</w:t>
      </w:r>
      <w:r>
        <w:rPr>
          <w:rFonts w:asciiTheme="minorHAnsi" w:eastAsiaTheme="minorEastAsia" w:hAnsiTheme="minorHAnsi" w:cstheme="minorBidi"/>
          <w:noProof/>
          <w:sz w:val="22"/>
          <w:szCs w:val="22"/>
          <w:lang w:eastAsia="en-AU"/>
        </w:rPr>
        <w:tab/>
      </w:r>
      <w:r w:rsidRPr="009D3832">
        <w:rPr>
          <w:noProof/>
        </w:rPr>
        <w:t>Pneumonia for FLU/SAL vs SAL and BUD/EFO vs EFO, by dose – Nannini 2012</w:t>
      </w:r>
      <w:r>
        <w:rPr>
          <w:noProof/>
          <w:webHidden/>
        </w:rPr>
        <w:tab/>
      </w:r>
      <w:r w:rsidR="00CC763A">
        <w:rPr>
          <w:noProof/>
          <w:webHidden/>
        </w:rPr>
        <w:t>24</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4.4</w:t>
      </w:r>
      <w:r>
        <w:rPr>
          <w:rFonts w:asciiTheme="minorHAnsi" w:eastAsiaTheme="minorEastAsia" w:hAnsiTheme="minorHAnsi" w:cstheme="minorBidi"/>
          <w:noProof/>
          <w:sz w:val="22"/>
          <w:szCs w:val="22"/>
          <w:lang w:eastAsia="en-AU"/>
        </w:rPr>
        <w:tab/>
      </w:r>
      <w:r w:rsidRPr="009D3832">
        <w:rPr>
          <w:noProof/>
        </w:rPr>
        <w:t>Risk of pneumonia for FLU/SAL vs placebo and BUD/EFO vs placebo – Nannini 2013</w:t>
      </w:r>
      <w:r>
        <w:rPr>
          <w:noProof/>
          <w:webHidden/>
        </w:rPr>
        <w:tab/>
      </w:r>
      <w:r w:rsidR="00CC763A">
        <w:rPr>
          <w:noProof/>
          <w:webHidden/>
        </w:rPr>
        <w:t>25</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4.5</w:t>
      </w:r>
      <w:r>
        <w:rPr>
          <w:rFonts w:asciiTheme="minorHAnsi" w:eastAsiaTheme="minorEastAsia" w:hAnsiTheme="minorHAnsi" w:cstheme="minorBidi"/>
          <w:noProof/>
          <w:sz w:val="22"/>
          <w:szCs w:val="22"/>
          <w:lang w:eastAsia="en-AU"/>
        </w:rPr>
        <w:tab/>
      </w:r>
      <w:r w:rsidRPr="009D3832">
        <w:rPr>
          <w:noProof/>
        </w:rPr>
        <w:t>Risk of non-fatal pneumonia SAEs for fluticasone versus controls – Kew 2014</w:t>
      </w:r>
      <w:r>
        <w:rPr>
          <w:noProof/>
          <w:webHidden/>
        </w:rPr>
        <w:tab/>
      </w:r>
      <w:r w:rsidR="00CC763A">
        <w:rPr>
          <w:noProof/>
          <w:webHidden/>
        </w:rPr>
        <w:t>29</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4.6</w:t>
      </w:r>
      <w:r>
        <w:rPr>
          <w:rFonts w:asciiTheme="minorHAnsi" w:eastAsiaTheme="minorEastAsia" w:hAnsiTheme="minorHAnsi" w:cstheme="minorBidi"/>
          <w:noProof/>
          <w:sz w:val="22"/>
          <w:szCs w:val="22"/>
          <w:lang w:eastAsia="en-AU"/>
        </w:rPr>
        <w:tab/>
      </w:r>
      <w:r w:rsidRPr="009D3832">
        <w:rPr>
          <w:noProof/>
        </w:rPr>
        <w:t>All pneumonia events for fluticasone versus controls – Kew 2014</w:t>
      </w:r>
      <w:r>
        <w:rPr>
          <w:noProof/>
          <w:webHidden/>
        </w:rPr>
        <w:tab/>
      </w:r>
      <w:r w:rsidR="00CC763A">
        <w:rPr>
          <w:noProof/>
          <w:webHidden/>
        </w:rPr>
        <w:t>30</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4.7</w:t>
      </w:r>
      <w:r>
        <w:rPr>
          <w:rFonts w:asciiTheme="minorHAnsi" w:eastAsiaTheme="minorEastAsia" w:hAnsiTheme="minorHAnsi" w:cstheme="minorBidi"/>
          <w:noProof/>
          <w:sz w:val="22"/>
          <w:szCs w:val="22"/>
          <w:lang w:eastAsia="en-AU"/>
        </w:rPr>
        <w:tab/>
      </w:r>
      <w:r w:rsidRPr="009D3832">
        <w:rPr>
          <w:noProof/>
        </w:rPr>
        <w:t>Non-fatal pneumonia SAEs for budesonide versus controls – Kew 2014</w:t>
      </w:r>
      <w:r>
        <w:rPr>
          <w:noProof/>
          <w:webHidden/>
        </w:rPr>
        <w:tab/>
      </w:r>
      <w:r w:rsidR="00CC763A">
        <w:rPr>
          <w:noProof/>
          <w:webHidden/>
        </w:rPr>
        <w:t>31</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4.8</w:t>
      </w:r>
      <w:r>
        <w:rPr>
          <w:rFonts w:asciiTheme="minorHAnsi" w:eastAsiaTheme="minorEastAsia" w:hAnsiTheme="minorHAnsi" w:cstheme="minorBidi"/>
          <w:noProof/>
          <w:sz w:val="22"/>
          <w:szCs w:val="22"/>
          <w:lang w:eastAsia="en-AU"/>
        </w:rPr>
        <w:tab/>
      </w:r>
      <w:r w:rsidRPr="009D3832">
        <w:rPr>
          <w:noProof/>
        </w:rPr>
        <w:t>Non-fatal pneumonia SAEs for budesonide versus controls by dose – Kew 2014</w:t>
      </w:r>
      <w:r>
        <w:rPr>
          <w:noProof/>
          <w:webHidden/>
        </w:rPr>
        <w:tab/>
      </w:r>
      <w:r w:rsidR="00CC763A">
        <w:rPr>
          <w:noProof/>
          <w:webHidden/>
        </w:rPr>
        <w:t>32</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4.9</w:t>
      </w:r>
      <w:r>
        <w:rPr>
          <w:rFonts w:asciiTheme="minorHAnsi" w:eastAsiaTheme="minorEastAsia" w:hAnsiTheme="minorHAnsi" w:cstheme="minorBidi"/>
          <w:noProof/>
          <w:sz w:val="22"/>
          <w:szCs w:val="22"/>
          <w:lang w:eastAsia="en-AU"/>
        </w:rPr>
        <w:tab/>
      </w:r>
      <w:r w:rsidRPr="009D3832">
        <w:rPr>
          <w:noProof/>
        </w:rPr>
        <w:t>Risk of pneumonia for FLU and BUD monotherapy versus placebo – Kew (2014)</w:t>
      </w:r>
      <w:r>
        <w:rPr>
          <w:noProof/>
          <w:webHidden/>
        </w:rPr>
        <w:tab/>
      </w:r>
      <w:r w:rsidR="00CC763A">
        <w:rPr>
          <w:noProof/>
          <w:webHidden/>
        </w:rPr>
        <w:t>33</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4.10</w:t>
      </w:r>
      <w:r>
        <w:rPr>
          <w:rFonts w:asciiTheme="minorHAnsi" w:eastAsiaTheme="minorEastAsia" w:hAnsiTheme="minorHAnsi" w:cstheme="minorBidi"/>
          <w:noProof/>
          <w:sz w:val="22"/>
          <w:szCs w:val="22"/>
          <w:lang w:eastAsia="en-AU"/>
        </w:rPr>
        <w:tab/>
      </w:r>
      <w:r w:rsidRPr="009D3832">
        <w:rPr>
          <w:noProof/>
        </w:rPr>
        <w:t>Summary of pooled estimates of ICS vs placebo and combination verus LABA therapy – Kew 2014</w:t>
      </w:r>
      <w:r>
        <w:rPr>
          <w:noProof/>
          <w:webHidden/>
        </w:rPr>
        <w:tab/>
      </w:r>
      <w:r w:rsidR="00CC763A">
        <w:rPr>
          <w:noProof/>
          <w:webHidden/>
        </w:rPr>
        <w:t>34</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4.11</w:t>
      </w:r>
      <w:r>
        <w:rPr>
          <w:rFonts w:asciiTheme="minorHAnsi" w:eastAsiaTheme="minorEastAsia" w:hAnsiTheme="minorHAnsi" w:cstheme="minorBidi"/>
          <w:noProof/>
          <w:sz w:val="22"/>
          <w:szCs w:val="22"/>
          <w:lang w:eastAsia="en-AU"/>
        </w:rPr>
        <w:tab/>
      </w:r>
      <w:r w:rsidRPr="009D3832">
        <w:rPr>
          <w:noProof/>
        </w:rPr>
        <w:t>Network meta-analysis plot for pneumonia – Tricco (2015)</w:t>
      </w:r>
      <w:r>
        <w:rPr>
          <w:noProof/>
          <w:webHidden/>
        </w:rPr>
        <w:tab/>
      </w:r>
      <w:r w:rsidR="00CC763A">
        <w:rPr>
          <w:noProof/>
          <w:webHidden/>
        </w:rPr>
        <w:t>35</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4.12</w:t>
      </w:r>
      <w:r>
        <w:rPr>
          <w:rFonts w:asciiTheme="minorHAnsi" w:eastAsiaTheme="minorEastAsia" w:hAnsiTheme="minorHAnsi" w:cstheme="minorBidi"/>
          <w:noProof/>
          <w:sz w:val="22"/>
          <w:szCs w:val="22"/>
          <w:lang w:eastAsia="en-AU"/>
        </w:rPr>
        <w:tab/>
      </w:r>
      <w:r w:rsidRPr="009D3832">
        <w:rPr>
          <w:noProof/>
        </w:rPr>
        <w:t>Risk of TB for ICS treatments versus no ICS controls – Dong 2014</w:t>
      </w:r>
      <w:r>
        <w:rPr>
          <w:noProof/>
          <w:webHidden/>
        </w:rPr>
        <w:tab/>
      </w:r>
      <w:r w:rsidR="00CC763A">
        <w:rPr>
          <w:noProof/>
          <w:webHidden/>
        </w:rPr>
        <w:t>37</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4.13</w:t>
      </w:r>
      <w:r>
        <w:rPr>
          <w:rFonts w:asciiTheme="minorHAnsi" w:eastAsiaTheme="minorEastAsia" w:hAnsiTheme="minorHAnsi" w:cstheme="minorBidi"/>
          <w:noProof/>
          <w:sz w:val="22"/>
          <w:szCs w:val="22"/>
          <w:lang w:eastAsia="en-AU"/>
        </w:rPr>
        <w:tab/>
      </w:r>
      <w:r w:rsidRPr="009D3832">
        <w:rPr>
          <w:noProof/>
        </w:rPr>
        <w:t>Risk of influenza for ICS treatments versus no ICS controls – Dong 2014</w:t>
      </w:r>
      <w:r>
        <w:rPr>
          <w:noProof/>
          <w:webHidden/>
        </w:rPr>
        <w:tab/>
      </w:r>
      <w:r w:rsidR="00CC763A">
        <w:rPr>
          <w:noProof/>
          <w:webHidden/>
        </w:rPr>
        <w:t>37</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4.14</w:t>
      </w:r>
      <w:r>
        <w:rPr>
          <w:rFonts w:asciiTheme="minorHAnsi" w:eastAsiaTheme="minorEastAsia" w:hAnsiTheme="minorHAnsi" w:cstheme="minorBidi"/>
          <w:noProof/>
          <w:sz w:val="22"/>
          <w:szCs w:val="22"/>
          <w:lang w:eastAsia="en-AU"/>
        </w:rPr>
        <w:tab/>
      </w:r>
      <w:r w:rsidRPr="009D3832">
        <w:rPr>
          <w:noProof/>
        </w:rPr>
        <w:t>Pooled RCTs of fracture risk for ICS versus non-ICS, by comparison subgroup – Loke 2011</w:t>
      </w:r>
      <w:r>
        <w:rPr>
          <w:noProof/>
          <w:webHidden/>
        </w:rPr>
        <w:tab/>
      </w:r>
      <w:r w:rsidR="00CC763A">
        <w:rPr>
          <w:noProof/>
          <w:webHidden/>
        </w:rPr>
        <w:t>38</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4.15</w:t>
      </w:r>
      <w:r>
        <w:rPr>
          <w:rFonts w:asciiTheme="minorHAnsi" w:eastAsiaTheme="minorEastAsia" w:hAnsiTheme="minorHAnsi" w:cstheme="minorBidi"/>
          <w:noProof/>
          <w:sz w:val="22"/>
          <w:szCs w:val="22"/>
          <w:lang w:eastAsia="en-AU"/>
        </w:rPr>
        <w:tab/>
      </w:r>
      <w:r w:rsidRPr="009D3832">
        <w:rPr>
          <w:noProof/>
        </w:rPr>
        <w:t>Pooled observational studies of fracture risk for ICS versus non-ICS, by exposure subgroup – Loke 2011</w:t>
      </w:r>
      <w:r>
        <w:rPr>
          <w:noProof/>
          <w:webHidden/>
        </w:rPr>
        <w:tab/>
      </w:r>
      <w:r w:rsidR="00CC763A">
        <w:rPr>
          <w:noProof/>
          <w:webHidden/>
        </w:rPr>
        <w:t>39</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4.16</w:t>
      </w:r>
      <w:r>
        <w:rPr>
          <w:rFonts w:asciiTheme="minorHAnsi" w:eastAsiaTheme="minorEastAsia" w:hAnsiTheme="minorHAnsi" w:cstheme="minorBidi"/>
          <w:noProof/>
          <w:sz w:val="22"/>
          <w:szCs w:val="22"/>
          <w:lang w:eastAsia="en-AU"/>
        </w:rPr>
        <w:tab/>
      </w:r>
      <w:r w:rsidRPr="009D3832">
        <w:rPr>
          <w:noProof/>
        </w:rPr>
        <w:t>Risk of serious pneumonia after withdrawal from inhaled corticosteroids – Suissa 2015</w:t>
      </w:r>
      <w:r>
        <w:rPr>
          <w:noProof/>
          <w:webHidden/>
        </w:rPr>
        <w:tab/>
      </w:r>
      <w:r w:rsidR="00CC763A">
        <w:rPr>
          <w:noProof/>
          <w:webHidden/>
        </w:rPr>
        <w:t>57</w:t>
      </w:r>
    </w:p>
    <w:p w:rsidR="000E3539" w:rsidRDefault="000E3539">
      <w:pPr>
        <w:pStyle w:val="TableofFigures"/>
        <w:tabs>
          <w:tab w:val="right" w:leader="dot" w:pos="9628"/>
        </w:tabs>
        <w:rPr>
          <w:rFonts w:asciiTheme="minorHAnsi" w:eastAsiaTheme="minorEastAsia" w:hAnsiTheme="minorHAnsi" w:cstheme="minorBidi"/>
          <w:noProof/>
          <w:sz w:val="22"/>
          <w:szCs w:val="22"/>
          <w:lang w:eastAsia="en-AU"/>
        </w:rPr>
      </w:pPr>
      <w:r w:rsidRPr="009D3832">
        <w:rPr>
          <w:noProof/>
        </w:rPr>
        <w:t>Figure 4.17</w:t>
      </w:r>
      <w:r>
        <w:rPr>
          <w:rFonts w:asciiTheme="minorHAnsi" w:eastAsiaTheme="minorEastAsia" w:hAnsiTheme="minorHAnsi" w:cstheme="minorBidi"/>
          <w:noProof/>
          <w:sz w:val="22"/>
          <w:szCs w:val="22"/>
          <w:lang w:eastAsia="en-AU"/>
        </w:rPr>
        <w:tab/>
      </w:r>
      <w:r w:rsidRPr="009D3832">
        <w:rPr>
          <w:noProof/>
        </w:rPr>
        <w:t>Risk factors for pneumonia, adjusted HR – Crim 2009</w:t>
      </w:r>
      <w:r>
        <w:rPr>
          <w:noProof/>
          <w:webHidden/>
        </w:rPr>
        <w:tab/>
      </w:r>
      <w:r w:rsidR="00CC763A">
        <w:rPr>
          <w:noProof/>
          <w:webHidden/>
        </w:rPr>
        <w:t>59</w:t>
      </w:r>
    </w:p>
    <w:p w:rsidR="006A593B" w:rsidRDefault="006A593B" w:rsidP="00F4539A">
      <w:pPr>
        <w:pStyle w:val="TOC1"/>
        <w:ind w:left="0" w:firstLine="0"/>
        <w:rPr>
          <w:rFonts w:asciiTheme="minorHAnsi" w:eastAsiaTheme="minorEastAsia" w:hAnsiTheme="minorHAnsi" w:cstheme="minorBidi"/>
          <w:sz w:val="22"/>
          <w:szCs w:val="22"/>
          <w:lang w:eastAsia="en-AU"/>
        </w:rPr>
      </w:pPr>
    </w:p>
    <w:p w:rsidR="00675E77" w:rsidRDefault="00C35BF4" w:rsidP="00265798">
      <w:pPr>
        <w:pStyle w:val="Heading1"/>
        <w:numPr>
          <w:ilvl w:val="0"/>
          <w:numId w:val="0"/>
        </w:numPr>
      </w:pPr>
      <w:bookmarkStart w:id="2" w:name="_Toc482191509"/>
      <w:bookmarkStart w:id="3" w:name="_Toc486515175"/>
      <w:r>
        <w:lastRenderedPageBreak/>
        <w:t>Section 4</w:t>
      </w:r>
      <w:r w:rsidR="00D726A1">
        <w:t xml:space="preserve">: </w:t>
      </w:r>
      <w:proofErr w:type="spellStart"/>
      <w:r w:rsidR="00675E77" w:rsidRPr="00DF0ED0">
        <w:t>ToR</w:t>
      </w:r>
      <w:proofErr w:type="spellEnd"/>
      <w:r w:rsidR="00675E77" w:rsidRPr="00DF0ED0">
        <w:t xml:space="preserve"> 4</w:t>
      </w:r>
      <w:r w:rsidR="00675E77">
        <w:br/>
        <w:t>Review of safety of prolonged ICS use</w:t>
      </w:r>
      <w:bookmarkEnd w:id="0"/>
      <w:bookmarkEnd w:id="2"/>
      <w:bookmarkEnd w:id="3"/>
    </w:p>
    <w:p w:rsidR="00675E77" w:rsidRPr="00BB390F" w:rsidRDefault="00675E77" w:rsidP="00675E77">
      <w:pPr>
        <w:pStyle w:val="ToRinbox"/>
      </w:pPr>
      <w:r w:rsidRPr="00B771FE">
        <w:t>Review the published literature on the safety of prolonged ICS use in monotherapy and in combination with LABA and</w:t>
      </w:r>
      <w:r>
        <w:t>/</w:t>
      </w:r>
      <w:r w:rsidRPr="00B771FE">
        <w:t>or LAMA for COPD that PBAC has not previously considered.</w:t>
      </w:r>
    </w:p>
    <w:p w:rsidR="00675E77" w:rsidRDefault="00675E77" w:rsidP="00675E77">
      <w:pPr>
        <w:pStyle w:val="Heading2"/>
      </w:pPr>
      <w:bookmarkStart w:id="4" w:name="_Toc468022800"/>
      <w:bookmarkStart w:id="5" w:name="_Toc482191510"/>
      <w:bookmarkStart w:id="6" w:name="_Toc486515176"/>
      <w:r>
        <w:t xml:space="preserve">Key findings for </w:t>
      </w:r>
      <w:proofErr w:type="spellStart"/>
      <w:r>
        <w:t>ToR</w:t>
      </w:r>
      <w:proofErr w:type="spellEnd"/>
      <w:r>
        <w:t xml:space="preserve"> 4</w:t>
      </w:r>
      <w:bookmarkEnd w:id="4"/>
      <w:bookmarkEnd w:id="5"/>
      <w:bookmarkEnd w:id="6"/>
    </w:p>
    <w:p w:rsidR="00D63C81" w:rsidRDefault="00D63C81" w:rsidP="004909FE">
      <w:pPr>
        <w:pStyle w:val="BodyText"/>
      </w:pPr>
      <w:r>
        <w:t>The key findings from this Review regarding the safety of ICS are:</w:t>
      </w:r>
    </w:p>
    <w:p w:rsidR="00D63C81" w:rsidRDefault="00D63C81" w:rsidP="004909FE">
      <w:pPr>
        <w:pStyle w:val="Bullettext"/>
      </w:pPr>
      <w:r>
        <w:t xml:space="preserve">Both meta-analyses and observational studies report increases in the risk of pneumonia of </w:t>
      </w:r>
      <w:r w:rsidR="004D77F9">
        <w:t>40%</w:t>
      </w:r>
      <w:r>
        <w:t xml:space="preserve"> to 70%.</w:t>
      </w:r>
    </w:p>
    <w:p w:rsidR="00D63C81" w:rsidRDefault="00D63C81" w:rsidP="004909FE">
      <w:pPr>
        <w:pStyle w:val="Bullettext"/>
      </w:pPr>
      <w:r>
        <w:t>All-cause mortality was found to consistently favour ICS use in observational studies for both the general COPD population and those with pneumonia.</w:t>
      </w:r>
    </w:p>
    <w:p w:rsidR="00D63C81" w:rsidRDefault="00D63C81" w:rsidP="004909FE">
      <w:pPr>
        <w:pStyle w:val="Bullettext"/>
      </w:pPr>
      <w:r>
        <w:t>There is some evidence for an intra-class difference for pneumonia risk between fluticasone and budesonide, favouring budesonide, but it is not conclusive.</w:t>
      </w:r>
    </w:p>
    <w:p w:rsidR="00D63C81" w:rsidRDefault="00D63C81" w:rsidP="004909FE">
      <w:pPr>
        <w:pStyle w:val="Bullettext"/>
      </w:pPr>
      <w:r>
        <w:t>An ICS dose-response for pneumonia is apparent, but not conclusive.</w:t>
      </w:r>
    </w:p>
    <w:p w:rsidR="004D77F9" w:rsidRDefault="004D77F9" w:rsidP="00050135">
      <w:pPr>
        <w:pStyle w:val="Bullettext"/>
        <w:ind w:left="714" w:hanging="357"/>
      </w:pPr>
      <w:r>
        <w:t>While the concept of a dose-response for pneumonia risk has biological plausibility and there is some supportive clinical evidence, this has not been demonstrated conclusively across all studies.</w:t>
      </w:r>
    </w:p>
    <w:p w:rsidR="004D77F9" w:rsidRDefault="004D77F9" w:rsidP="004909FE">
      <w:pPr>
        <w:pStyle w:val="Bullettext"/>
      </w:pPr>
      <w:r>
        <w:t>The European Medicines Agency recommended adding pneumonia (in COPD patients) as a common adverse drug reaction in the product information of all ICS-containing products</w:t>
      </w:r>
    </w:p>
    <w:p w:rsidR="00B00F64" w:rsidRPr="000A6697" w:rsidRDefault="000A6697" w:rsidP="004909FE">
      <w:pPr>
        <w:pStyle w:val="Bullettext"/>
      </w:pPr>
      <w:r w:rsidRPr="000A6697">
        <w:t>Canadian Drug Expert Committee (CDEC)</w:t>
      </w:r>
      <w:r>
        <w:t xml:space="preserve"> noted that </w:t>
      </w:r>
      <w:r w:rsidRPr="000A6697">
        <w:t>longer-term studies are required to characterise the risk of pneumonia in patients treated with fluticasone</w:t>
      </w:r>
      <w:r w:rsidR="00AE1C00">
        <w:t xml:space="preserve"> </w:t>
      </w:r>
      <w:proofErr w:type="spellStart"/>
      <w:r w:rsidR="00AE1C00">
        <w:t>furoate</w:t>
      </w:r>
      <w:proofErr w:type="spellEnd"/>
      <w:r w:rsidRPr="000A6697">
        <w:t>/</w:t>
      </w:r>
      <w:proofErr w:type="spellStart"/>
      <w:r w:rsidRPr="000A6697">
        <w:t>vilanterol</w:t>
      </w:r>
      <w:proofErr w:type="spellEnd"/>
      <w:r w:rsidRPr="000A6697">
        <w:t xml:space="preserve"> and other LABA/ICS products.</w:t>
      </w:r>
    </w:p>
    <w:p w:rsidR="00B00F64" w:rsidRDefault="00D63C81" w:rsidP="009E1259">
      <w:pPr>
        <w:pStyle w:val="Bullettext"/>
      </w:pPr>
      <w:r>
        <w:t>RCTs and observational studies provide some evidence of an increased risk of fracture, but this was not conclusive.</w:t>
      </w:r>
    </w:p>
    <w:p w:rsidR="001F6A4C" w:rsidRDefault="001F6A4C" w:rsidP="00050135">
      <w:pPr>
        <w:pStyle w:val="Bullettext"/>
        <w:ind w:left="714" w:hanging="357"/>
      </w:pPr>
      <w:r>
        <w:t xml:space="preserve">The SUMMIT trial found that </w:t>
      </w:r>
      <w:r w:rsidRPr="001F6A4C">
        <w:t>treatment with fluticasone</w:t>
      </w:r>
      <w:r w:rsidR="00BB78B9">
        <w:t xml:space="preserve"> </w:t>
      </w:r>
      <w:proofErr w:type="spellStart"/>
      <w:r w:rsidR="00BB78B9">
        <w:t>furoate</w:t>
      </w:r>
      <w:proofErr w:type="spellEnd"/>
      <w:r w:rsidRPr="001F6A4C">
        <w:t>/</w:t>
      </w:r>
      <w:proofErr w:type="spellStart"/>
      <w:r w:rsidRPr="001F6A4C">
        <w:t>vilanterol</w:t>
      </w:r>
      <w:proofErr w:type="spellEnd"/>
      <w:r w:rsidRPr="001F6A4C">
        <w:t xml:space="preserve"> had no significant effect on all-cause mortality or cardiovascular outcomes.</w:t>
      </w:r>
    </w:p>
    <w:p w:rsidR="004F3EA6" w:rsidRPr="004F3EA6" w:rsidRDefault="004F3EA6" w:rsidP="00750448">
      <w:pPr>
        <w:pStyle w:val="Heading3"/>
        <w:numPr>
          <w:ilvl w:val="0"/>
          <w:numId w:val="0"/>
        </w:numPr>
      </w:pPr>
      <w:bookmarkStart w:id="7" w:name="_Toc486515177"/>
      <w:bookmarkStart w:id="8" w:name="_Toc468022801"/>
      <w:r>
        <w:t xml:space="preserve">Stakeholder </w:t>
      </w:r>
      <w:r w:rsidR="00BC2B2C">
        <w:t>views</w:t>
      </w:r>
      <w:r>
        <w:t xml:space="preserve"> </w:t>
      </w:r>
      <w:r w:rsidR="00595AAA" w:rsidRPr="003B22BC">
        <w:rPr>
          <w:sz w:val="24"/>
        </w:rPr>
        <w:t xml:space="preserve">(Forum and </w:t>
      </w:r>
      <w:r w:rsidR="0028781C">
        <w:rPr>
          <w:sz w:val="24"/>
        </w:rPr>
        <w:t>p</w:t>
      </w:r>
      <w:r w:rsidR="00595AAA" w:rsidRPr="003B22BC">
        <w:rPr>
          <w:sz w:val="24"/>
        </w:rPr>
        <w:t>ublic consultation</w:t>
      </w:r>
      <w:r w:rsidR="0028781C">
        <w:rPr>
          <w:sz w:val="24"/>
        </w:rPr>
        <w:t>s</w:t>
      </w:r>
      <w:r w:rsidR="00595AAA" w:rsidRPr="003B22BC">
        <w:rPr>
          <w:sz w:val="24"/>
        </w:rPr>
        <w:t>)</w:t>
      </w:r>
      <w:bookmarkEnd w:id="7"/>
    </w:p>
    <w:p w:rsidR="001F149C" w:rsidRDefault="00BC2B2C" w:rsidP="00050135">
      <w:pPr>
        <w:pStyle w:val="ListParagraph"/>
        <w:numPr>
          <w:ilvl w:val="0"/>
          <w:numId w:val="74"/>
        </w:numPr>
        <w:ind w:left="714" w:hanging="357"/>
      </w:pPr>
      <w:r>
        <w:t>Predictors of individual patient risk of pneumonia include</w:t>
      </w:r>
      <w:r w:rsidR="0028781C">
        <w:t>:</w:t>
      </w:r>
      <w:r>
        <w:t xml:space="preserve"> age, severity of FEV</w:t>
      </w:r>
      <w:r w:rsidRPr="00D92F94">
        <w:rPr>
          <w:vertAlign w:val="subscript"/>
        </w:rPr>
        <w:t>1</w:t>
      </w:r>
      <w:r>
        <w:t xml:space="preserve"> &lt;50%, season, </w:t>
      </w:r>
      <w:proofErr w:type="gramStart"/>
      <w:r>
        <w:t>recent</w:t>
      </w:r>
      <w:proofErr w:type="gramEnd"/>
      <w:r>
        <w:t xml:space="preserve"> history of exacerbations, lower </w:t>
      </w:r>
      <w:r w:rsidR="0028781C">
        <w:t>socio-economic status</w:t>
      </w:r>
      <w:r>
        <w:t>, current smokers</w:t>
      </w:r>
      <w:r w:rsidR="0028781C">
        <w:t>,</w:t>
      </w:r>
      <w:r>
        <w:t xml:space="preserve"> and those with worse </w:t>
      </w:r>
      <w:r w:rsidR="00D02164">
        <w:t>dyspnoea.</w:t>
      </w:r>
    </w:p>
    <w:p w:rsidR="00B00F64" w:rsidRPr="002E7FF1" w:rsidRDefault="002E7FF1" w:rsidP="00050135">
      <w:pPr>
        <w:pStyle w:val="ListParagraph"/>
        <w:numPr>
          <w:ilvl w:val="0"/>
          <w:numId w:val="74"/>
        </w:numPr>
        <w:ind w:left="714" w:hanging="357"/>
      </w:pPr>
      <w:r w:rsidRPr="002E7FF1">
        <w:t xml:space="preserve">Patient requirement for ICS treatment and whether withdrawal is appropriate should be </w:t>
      </w:r>
      <w:r w:rsidR="004C3CB8">
        <w:t xml:space="preserve">individually </w:t>
      </w:r>
      <w:r w:rsidRPr="002E7FF1">
        <w:t>considered.</w:t>
      </w:r>
      <w:r w:rsidR="004C3CB8">
        <w:t xml:space="preserve"> </w:t>
      </w:r>
      <w:proofErr w:type="spellStart"/>
      <w:r w:rsidR="004C3CB8">
        <w:t>Withdrawel</w:t>
      </w:r>
      <w:proofErr w:type="spellEnd"/>
      <w:r w:rsidR="004C3CB8">
        <w:t xml:space="preserve"> of ICS treatment is not recommended for patients with ACOS and is potentially harmful.</w:t>
      </w:r>
    </w:p>
    <w:p w:rsidR="00A95C32" w:rsidRDefault="002E7FF1" w:rsidP="00050135">
      <w:pPr>
        <w:pStyle w:val="ListParagraph"/>
        <w:numPr>
          <w:ilvl w:val="0"/>
          <w:numId w:val="74"/>
        </w:numPr>
        <w:ind w:left="714" w:hanging="357"/>
      </w:pPr>
      <w:r w:rsidRPr="002E7FF1">
        <w:t xml:space="preserve">Diagnostic analysis of eosinophils may help with patient risk stratification. Retrospective evidence indicates that patients with higher eosinophil levels, but within normal levels, achieve greater clinical benefit from ICS treatment. Patients with levels </w:t>
      </w:r>
      <w:r w:rsidRPr="002E7FF1">
        <w:lastRenderedPageBreak/>
        <w:t>within the low range of normal have a higher risk of pneumonia based on a post hoc analysis.</w:t>
      </w:r>
      <w:r w:rsidR="00E90C6A">
        <w:t xml:space="preserve">  </w:t>
      </w:r>
    </w:p>
    <w:p w:rsidR="0028781C" w:rsidRDefault="0028781C" w:rsidP="0028781C">
      <w:pPr>
        <w:pStyle w:val="ListParagraph"/>
        <w:numPr>
          <w:ilvl w:val="0"/>
          <w:numId w:val="74"/>
        </w:numPr>
        <w:ind w:left="714" w:hanging="357"/>
      </w:pPr>
      <w:r>
        <w:t>F</w:t>
      </w:r>
      <w:r w:rsidRPr="002E7FF1">
        <w:t>urther evidence is required prior to eosinophils being measured routinely in clinical practice</w:t>
      </w:r>
      <w:r>
        <w:t xml:space="preserve"> and included in clinical guidelines</w:t>
      </w:r>
      <w:r w:rsidRPr="002E7FF1">
        <w:t>.</w:t>
      </w:r>
    </w:p>
    <w:p w:rsidR="0028781C" w:rsidRDefault="0028781C" w:rsidP="0028781C">
      <w:pPr>
        <w:pStyle w:val="ListParagraph"/>
        <w:numPr>
          <w:ilvl w:val="0"/>
          <w:numId w:val="74"/>
        </w:numPr>
        <w:ind w:left="714" w:hanging="357"/>
      </w:pPr>
      <w:r>
        <w:t>LAMA/LABA agents are likely to provide an effective, convenient and potentially safer alternative for persistently symptomatic COPD patients.</w:t>
      </w:r>
    </w:p>
    <w:p w:rsidR="000958F2" w:rsidRDefault="000958F2" w:rsidP="00050135">
      <w:pPr>
        <w:pStyle w:val="ListParagraph"/>
        <w:numPr>
          <w:ilvl w:val="0"/>
          <w:numId w:val="74"/>
        </w:numPr>
        <w:ind w:left="714" w:hanging="357"/>
      </w:pPr>
      <w:r>
        <w:t xml:space="preserve">A recent retrospective analysis of the UPLIFT trial claimed that ICS use was associated </w:t>
      </w:r>
      <w:r w:rsidR="001D54F3">
        <w:t xml:space="preserve">with </w:t>
      </w:r>
      <w:r>
        <w:t>an increase in respiratory</w:t>
      </w:r>
      <w:r w:rsidR="001D54F3">
        <w:t xml:space="preserve"> </w:t>
      </w:r>
      <w:r>
        <w:t xml:space="preserve">adverse event rates and subgroup analysis showed that excess of morbidity in the ICS group appears to </w:t>
      </w:r>
      <w:r w:rsidR="001D54F3">
        <w:t xml:space="preserve">be </w:t>
      </w:r>
      <w:r>
        <w:t xml:space="preserve">associated with those receiving </w:t>
      </w:r>
      <w:r w:rsidR="001D54F3" w:rsidRPr="001D54F3">
        <w:t xml:space="preserve">fluticasone </w:t>
      </w:r>
      <w:proofErr w:type="spellStart"/>
      <w:r w:rsidR="001D54F3">
        <w:t>proprionate</w:t>
      </w:r>
      <w:proofErr w:type="spellEnd"/>
      <w:r>
        <w:t xml:space="preserve"> at randomisation.</w:t>
      </w:r>
    </w:p>
    <w:p w:rsidR="002E7FF1" w:rsidRDefault="00A95C32" w:rsidP="00050135">
      <w:pPr>
        <w:pStyle w:val="ListParagraph"/>
        <w:numPr>
          <w:ilvl w:val="0"/>
          <w:numId w:val="74"/>
        </w:numPr>
        <w:ind w:left="714" w:hanging="357"/>
      </w:pPr>
      <w:r w:rsidRPr="000A6697">
        <w:t>Longer-term studies are required to characterise the risk of pneumonia in patients treated with fluticasone</w:t>
      </w:r>
      <w:r>
        <w:t>.</w:t>
      </w:r>
      <w:r w:rsidR="00EC260C">
        <w:t xml:space="preserve"> </w:t>
      </w:r>
    </w:p>
    <w:p w:rsidR="0028781C" w:rsidRDefault="00DF62C0" w:rsidP="00050135">
      <w:pPr>
        <w:pStyle w:val="ListParagraph"/>
        <w:numPr>
          <w:ilvl w:val="0"/>
          <w:numId w:val="74"/>
        </w:numPr>
        <w:ind w:left="714" w:hanging="357"/>
      </w:pPr>
      <w:r w:rsidRPr="00DF62C0">
        <w:t>For further information, the Stakeholder Forum Summary is available at Appendix F</w:t>
      </w:r>
      <w:r w:rsidR="0028781C">
        <w:t>.</w:t>
      </w:r>
    </w:p>
    <w:p w:rsidR="00DF62C0" w:rsidRPr="00DF62C0" w:rsidRDefault="0028781C" w:rsidP="00050135">
      <w:pPr>
        <w:pStyle w:val="ListParagraph"/>
        <w:numPr>
          <w:ilvl w:val="0"/>
          <w:numId w:val="74"/>
        </w:numPr>
        <w:ind w:left="714" w:hanging="357"/>
      </w:pPr>
      <w:r>
        <w:t xml:space="preserve">Additional recent published references were provided (see </w:t>
      </w:r>
      <w:r w:rsidR="00DF62C0" w:rsidRPr="00DF62C0">
        <w:t>Appendix U</w:t>
      </w:r>
      <w:r>
        <w:t>)</w:t>
      </w:r>
      <w:r w:rsidR="00DF62C0">
        <w:t>.</w:t>
      </w:r>
      <w:r w:rsidR="00DF62C0" w:rsidRPr="00DF62C0">
        <w:t xml:space="preserve"> </w:t>
      </w:r>
    </w:p>
    <w:p w:rsidR="00675E77" w:rsidRDefault="00675E77" w:rsidP="00D92F94">
      <w:pPr>
        <w:pStyle w:val="Heading2"/>
      </w:pPr>
      <w:bookmarkStart w:id="9" w:name="_Toc482191511"/>
      <w:bookmarkStart w:id="10" w:name="_Toc486515178"/>
      <w:r>
        <w:t>Methodology</w:t>
      </w:r>
      <w:bookmarkEnd w:id="8"/>
      <w:bookmarkEnd w:id="9"/>
      <w:bookmarkEnd w:id="10"/>
    </w:p>
    <w:p w:rsidR="00675E77" w:rsidRPr="006D71F4" w:rsidRDefault="00675E77" w:rsidP="00675E77">
      <w:pPr>
        <w:pStyle w:val="Heading3"/>
      </w:pPr>
      <w:bookmarkStart w:id="11" w:name="_Toc468022802"/>
      <w:bookmarkStart w:id="12" w:name="_Toc482191512"/>
      <w:bookmarkStart w:id="13" w:name="_Toc486515179"/>
      <w:r>
        <w:t>Identification of relevant studies</w:t>
      </w:r>
      <w:bookmarkEnd w:id="11"/>
      <w:bookmarkEnd w:id="12"/>
      <w:bookmarkEnd w:id="13"/>
    </w:p>
    <w:p w:rsidR="00675E77" w:rsidRDefault="00675E77" w:rsidP="00675E77">
      <w:pPr>
        <w:pStyle w:val="BodyText"/>
      </w:pPr>
      <w:r>
        <w:t xml:space="preserve">A systematic literature review was performed to identify evidence relevant to </w:t>
      </w:r>
      <w:proofErr w:type="spellStart"/>
      <w:r>
        <w:t>ToR</w:t>
      </w:r>
      <w:proofErr w:type="spellEnd"/>
      <w:r>
        <w:t xml:space="preserve"> 4, encompassing both the peer-reviewed literature and any additional evidence (published or unpublished) provided by the sponsors in their public submissions on the final </w:t>
      </w:r>
      <w:proofErr w:type="spellStart"/>
      <w:r>
        <w:t>ToR</w:t>
      </w:r>
      <w:proofErr w:type="spellEnd"/>
      <w:r>
        <w:t xml:space="preserve"> for this Review. </w:t>
      </w:r>
      <w:r w:rsidR="00356377">
        <w:t xml:space="preserve">Table </w:t>
      </w:r>
      <w:r w:rsidR="00356377">
        <w:rPr>
          <w:noProof/>
        </w:rPr>
        <w:t>4</w:t>
      </w:r>
      <w:r w:rsidR="00356377">
        <w:t>.</w:t>
      </w:r>
      <w:r w:rsidR="00356377">
        <w:rPr>
          <w:noProof/>
        </w:rPr>
        <w:t>1</w:t>
      </w:r>
      <w:r>
        <w:t xml:space="preserve"> descri</w:t>
      </w:r>
      <w:r w:rsidR="0049386A">
        <w:t xml:space="preserve">bes the approach to this search. </w:t>
      </w:r>
      <w:r w:rsidR="00356377">
        <w:t xml:space="preserve">Appendix </w:t>
      </w:r>
      <w:r w:rsidR="0028228D">
        <w:t>O</w:t>
      </w:r>
      <w:r w:rsidR="0049386A">
        <w:t xml:space="preserve"> includes the search strings used for each database, the results of the screening, and the number of studies excluded.</w:t>
      </w:r>
    </w:p>
    <w:p w:rsidR="00675E77" w:rsidRDefault="00675E77" w:rsidP="00675E77">
      <w:pPr>
        <w:pStyle w:val="BodyText"/>
      </w:pPr>
      <w:r>
        <w:t>The peer-reviewed literature was screened for clinical studies that consider the safety of prolonged ICS use in monotherapy and in combination with LAMA and/or LABA. The databases searched include Medline, EMBASE and the Cochrane Library. A date restriction of 2007 onwards was applied to capture any evidence not previously considered by the PBAC for any of the interventions (the first consideration of ICS combination therapies for COPD was at a 2007 meeting).</w:t>
      </w:r>
    </w:p>
    <w:p w:rsidR="00675E77" w:rsidRDefault="00675E77" w:rsidP="00B860D2">
      <w:pPr>
        <w:pStyle w:val="HeaderTable"/>
      </w:pPr>
      <w:bookmarkStart w:id="14" w:name="_Ref467933441"/>
      <w:bookmarkStart w:id="15" w:name="_Toc468022878"/>
      <w:bookmarkStart w:id="16" w:name="_Toc468034531"/>
      <w:bookmarkStart w:id="17" w:name="_Toc480373296"/>
      <w:bookmarkStart w:id="18" w:name="_Toc486515191"/>
      <w:r>
        <w:t xml:space="preserve">Table </w:t>
      </w:r>
      <w:r w:rsidR="00356377">
        <w:rPr>
          <w:noProof/>
        </w:rPr>
        <w:t>4</w:t>
      </w:r>
      <w:r>
        <w:t>.</w:t>
      </w:r>
      <w:r w:rsidR="00356377">
        <w:rPr>
          <w:noProof/>
        </w:rPr>
        <w:t>1</w:t>
      </w:r>
      <w:bookmarkEnd w:id="14"/>
      <w:r>
        <w:tab/>
        <w:t xml:space="preserve">Literature search criteria for </w:t>
      </w:r>
      <w:proofErr w:type="spellStart"/>
      <w:r>
        <w:t>ToR</w:t>
      </w:r>
      <w:proofErr w:type="spellEnd"/>
      <w:r>
        <w:t xml:space="preserve"> 4</w:t>
      </w:r>
      <w:bookmarkEnd w:id="15"/>
      <w:bookmarkEnd w:id="16"/>
      <w:bookmarkEnd w:id="17"/>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Literature search criteria for ToR 4"/>
      </w:tblPr>
      <w:tblGrid>
        <w:gridCol w:w="1565"/>
        <w:gridCol w:w="8083"/>
      </w:tblGrid>
      <w:tr w:rsidR="00675E77" w:rsidTr="00675E77">
        <w:trPr>
          <w:cantSplit/>
          <w:tblHeader/>
        </w:trPr>
        <w:tc>
          <w:tcPr>
            <w:tcW w:w="1565" w:type="dxa"/>
            <w:shd w:val="clear" w:color="auto" w:fill="BFBFBF"/>
          </w:tcPr>
          <w:p w:rsidR="00675E77" w:rsidRDefault="00675E77" w:rsidP="00675E77">
            <w:pPr>
              <w:pStyle w:val="01TableHEADINGleftaligned"/>
            </w:pPr>
            <w:r w:rsidRPr="0071238A">
              <w:t>Limit</w:t>
            </w:r>
          </w:p>
        </w:tc>
        <w:tc>
          <w:tcPr>
            <w:tcW w:w="8083" w:type="dxa"/>
            <w:shd w:val="clear" w:color="auto" w:fill="BFBFBF"/>
          </w:tcPr>
          <w:p w:rsidR="00675E77" w:rsidRDefault="00675E77" w:rsidP="00675E77">
            <w:pPr>
              <w:pStyle w:val="01TableHEADINGleftaligned"/>
            </w:pPr>
            <w:r w:rsidRPr="00E064D7">
              <w:t>Eligibility criteria</w:t>
            </w:r>
          </w:p>
        </w:tc>
      </w:tr>
      <w:tr w:rsidR="00675E77" w:rsidTr="00675E77">
        <w:trPr>
          <w:cantSplit/>
        </w:trPr>
        <w:tc>
          <w:tcPr>
            <w:tcW w:w="1565" w:type="dxa"/>
            <w:shd w:val="clear" w:color="auto" w:fill="auto"/>
          </w:tcPr>
          <w:p w:rsidR="00675E77" w:rsidRDefault="00675E77" w:rsidP="00675E77">
            <w:pPr>
              <w:pStyle w:val="05Tabletext"/>
            </w:pPr>
            <w:r w:rsidRPr="0071238A">
              <w:t>Databases of peer-review literature</w:t>
            </w:r>
          </w:p>
        </w:tc>
        <w:tc>
          <w:tcPr>
            <w:tcW w:w="8083" w:type="dxa"/>
            <w:shd w:val="clear" w:color="auto" w:fill="auto"/>
          </w:tcPr>
          <w:p w:rsidR="00675E77" w:rsidRDefault="00675E77" w:rsidP="00675E77">
            <w:pPr>
              <w:pStyle w:val="07Tablebullet"/>
            </w:pPr>
            <w:r>
              <w:t>EMBASE</w:t>
            </w:r>
          </w:p>
          <w:p w:rsidR="00675E77" w:rsidRDefault="00675E77" w:rsidP="00675E77">
            <w:pPr>
              <w:pStyle w:val="07Tablebullet"/>
            </w:pPr>
            <w:r>
              <w:t>Medline</w:t>
            </w:r>
          </w:p>
          <w:p w:rsidR="00675E77" w:rsidRDefault="00675E77" w:rsidP="00675E77">
            <w:pPr>
              <w:pStyle w:val="07Tablebullet"/>
            </w:pPr>
            <w:r>
              <w:t>Cochrane Library</w:t>
            </w:r>
          </w:p>
        </w:tc>
      </w:tr>
      <w:tr w:rsidR="00675E77" w:rsidTr="00675E77">
        <w:trPr>
          <w:cantSplit/>
        </w:trPr>
        <w:tc>
          <w:tcPr>
            <w:tcW w:w="1565" w:type="dxa"/>
            <w:shd w:val="clear" w:color="auto" w:fill="auto"/>
          </w:tcPr>
          <w:p w:rsidR="00675E77" w:rsidRDefault="00675E77" w:rsidP="00675E77">
            <w:pPr>
              <w:pStyle w:val="05Tabletext"/>
            </w:pPr>
            <w:r w:rsidRPr="0071238A">
              <w:t>Other means to identify evidence</w:t>
            </w:r>
          </w:p>
        </w:tc>
        <w:tc>
          <w:tcPr>
            <w:tcW w:w="8083" w:type="dxa"/>
            <w:shd w:val="clear" w:color="auto" w:fill="auto"/>
          </w:tcPr>
          <w:p w:rsidR="00675E77" w:rsidRDefault="00675E77" w:rsidP="00675E77">
            <w:pPr>
              <w:pStyle w:val="07Tablebullet"/>
            </w:pPr>
            <w:r>
              <w:t>Search of websites of regulatory agencies: TGA, FDA and EMA.</w:t>
            </w:r>
          </w:p>
          <w:p w:rsidR="00675E77" w:rsidRDefault="00675E77" w:rsidP="00675E77">
            <w:pPr>
              <w:pStyle w:val="07Tablebullet"/>
            </w:pPr>
            <w:r>
              <w:t>Search of websites of HTA and reimbursement agencies: AHRQ, CADTH, KCE, NHS HTA/NCCHTA, NHS CRD, NICE, PBAC.</w:t>
            </w:r>
          </w:p>
          <w:p w:rsidR="00675E77" w:rsidRDefault="00675E77" w:rsidP="00675E77">
            <w:pPr>
              <w:pStyle w:val="07Tablebullet"/>
            </w:pPr>
            <w:r>
              <w:t>Scan of public consultation submissions.</w:t>
            </w:r>
          </w:p>
          <w:p w:rsidR="00675E77" w:rsidRDefault="00675E77" w:rsidP="00675E77">
            <w:pPr>
              <w:pStyle w:val="07Tablebullet"/>
            </w:pPr>
            <w:r>
              <w:t>Scan of reference lists of relevant systematic reviews, selected narrative reviews, primary articles and evidence-based clinical practice guidelines.</w:t>
            </w:r>
          </w:p>
        </w:tc>
      </w:tr>
      <w:tr w:rsidR="00675E77" w:rsidTr="00675E77">
        <w:trPr>
          <w:cantSplit/>
        </w:trPr>
        <w:tc>
          <w:tcPr>
            <w:tcW w:w="1565" w:type="dxa"/>
            <w:shd w:val="clear" w:color="auto" w:fill="auto"/>
          </w:tcPr>
          <w:p w:rsidR="00675E77" w:rsidRDefault="00675E77" w:rsidP="00675E77">
            <w:pPr>
              <w:pStyle w:val="05Tabletext"/>
            </w:pPr>
            <w:r w:rsidRPr="0071238A">
              <w:t>Publication types</w:t>
            </w:r>
          </w:p>
        </w:tc>
        <w:tc>
          <w:tcPr>
            <w:tcW w:w="8083" w:type="dxa"/>
            <w:shd w:val="clear" w:color="auto" w:fill="auto"/>
          </w:tcPr>
          <w:p w:rsidR="00675E77" w:rsidRDefault="00675E77" w:rsidP="00675E77">
            <w:pPr>
              <w:pStyle w:val="07Tablebullet"/>
            </w:pPr>
            <w:r>
              <w:t>Full text studies or pharmacovigilance reports of the safety of prolonged ICS use for COPD, either as monotherapy or in combination with LAMA and/or LABA.</w:t>
            </w:r>
          </w:p>
          <w:p w:rsidR="00675E77" w:rsidRDefault="00675E77" w:rsidP="00675E77">
            <w:pPr>
              <w:pStyle w:val="07Tablebullet"/>
            </w:pPr>
            <w:r>
              <w:t>English language only</w:t>
            </w:r>
            <w:r w:rsidR="00D227B3">
              <w:t>.</w:t>
            </w:r>
          </w:p>
        </w:tc>
      </w:tr>
      <w:tr w:rsidR="00675E77" w:rsidTr="00675E77">
        <w:trPr>
          <w:cantSplit/>
        </w:trPr>
        <w:tc>
          <w:tcPr>
            <w:tcW w:w="1565" w:type="dxa"/>
            <w:shd w:val="clear" w:color="auto" w:fill="auto"/>
          </w:tcPr>
          <w:p w:rsidR="00675E77" w:rsidRDefault="00675E77" w:rsidP="00675E77">
            <w:pPr>
              <w:pStyle w:val="05Tabletext"/>
            </w:pPr>
            <w:r w:rsidRPr="0071238A">
              <w:lastRenderedPageBreak/>
              <w:t>Study types</w:t>
            </w:r>
          </w:p>
        </w:tc>
        <w:tc>
          <w:tcPr>
            <w:tcW w:w="8083" w:type="dxa"/>
            <w:shd w:val="clear" w:color="auto" w:fill="auto"/>
          </w:tcPr>
          <w:p w:rsidR="00675E77" w:rsidRDefault="00675E77">
            <w:pPr>
              <w:pStyle w:val="07Tablebullet"/>
            </w:pPr>
            <w:r>
              <w:t>A hierarchical step</w:t>
            </w:r>
            <w:r w:rsidR="009B3FE7">
              <w:t>wise</w:t>
            </w:r>
            <w:r>
              <w:t xml:space="preserve"> method will be used to identify and select studies according to study design, as determined by the NHMRC Evidence Hierarchy for intervention </w:t>
            </w:r>
            <w:r w:rsidRPr="00675E77">
              <w:t xml:space="preserve">questions (Appendix </w:t>
            </w:r>
            <w:r w:rsidR="00E153A4">
              <w:t>K</w:t>
            </w:r>
            <w:r w:rsidRPr="00675E77">
              <w:t>).</w:t>
            </w:r>
            <w:r>
              <w:t xml:space="preserve"> </w:t>
            </w:r>
          </w:p>
        </w:tc>
      </w:tr>
      <w:tr w:rsidR="00675E77" w:rsidTr="00675E77">
        <w:trPr>
          <w:cantSplit/>
        </w:trPr>
        <w:tc>
          <w:tcPr>
            <w:tcW w:w="1565" w:type="dxa"/>
            <w:shd w:val="clear" w:color="auto" w:fill="auto"/>
          </w:tcPr>
          <w:p w:rsidR="00675E77" w:rsidRDefault="00675E77" w:rsidP="00675E77">
            <w:pPr>
              <w:pStyle w:val="05Tabletext"/>
            </w:pPr>
            <w:r w:rsidRPr="0071238A">
              <w:t>Search period</w:t>
            </w:r>
          </w:p>
        </w:tc>
        <w:tc>
          <w:tcPr>
            <w:tcW w:w="8083" w:type="dxa"/>
            <w:shd w:val="clear" w:color="auto" w:fill="auto"/>
          </w:tcPr>
          <w:p w:rsidR="00675E77" w:rsidRDefault="00675E77" w:rsidP="00923E87">
            <w:pPr>
              <w:pStyle w:val="07Tablebullet"/>
            </w:pPr>
            <w:r w:rsidRPr="00E064D7">
              <w:t xml:space="preserve">2010 – </w:t>
            </w:r>
            <w:r w:rsidR="00923E87" w:rsidRPr="00923E87">
              <w:t>8</w:t>
            </w:r>
            <w:r w:rsidR="00923E87" w:rsidRPr="00131C31">
              <w:rPr>
                <w:vertAlign w:val="superscript"/>
              </w:rPr>
              <w:t>th</w:t>
            </w:r>
            <w:r w:rsidR="00923E87">
              <w:t xml:space="preserve"> of</w:t>
            </w:r>
            <w:r w:rsidR="00923E87" w:rsidRPr="00923E87">
              <w:t xml:space="preserve"> September 2016</w:t>
            </w:r>
          </w:p>
        </w:tc>
      </w:tr>
      <w:tr w:rsidR="00675E77" w:rsidTr="00675E77">
        <w:trPr>
          <w:cantSplit/>
        </w:trPr>
        <w:tc>
          <w:tcPr>
            <w:tcW w:w="1565" w:type="dxa"/>
            <w:shd w:val="clear" w:color="auto" w:fill="auto"/>
          </w:tcPr>
          <w:p w:rsidR="00675E77" w:rsidRPr="0071238A" w:rsidRDefault="00675E77" w:rsidP="00675E77">
            <w:pPr>
              <w:pStyle w:val="05Tabletext"/>
            </w:pPr>
            <w:r w:rsidRPr="00E064D7">
              <w:t>Study exclusion criteria</w:t>
            </w:r>
          </w:p>
        </w:tc>
        <w:tc>
          <w:tcPr>
            <w:tcW w:w="8083" w:type="dxa"/>
            <w:shd w:val="clear" w:color="auto" w:fill="auto"/>
          </w:tcPr>
          <w:p w:rsidR="00675E77" w:rsidRDefault="00675E77" w:rsidP="00675E77">
            <w:pPr>
              <w:pStyle w:val="07Tablebullet"/>
            </w:pPr>
            <w:r>
              <w:t xml:space="preserve">Not a clinical study: exclude narrative reviews, editorials, letters, conference abstracts, </w:t>
            </w:r>
            <w:proofErr w:type="gramStart"/>
            <w:r>
              <w:t>protocols</w:t>
            </w:r>
            <w:proofErr w:type="gramEnd"/>
            <w:r>
              <w:t>, animal studies, in vitro studies, case reports.</w:t>
            </w:r>
          </w:p>
          <w:p w:rsidR="00675E77" w:rsidRDefault="00675E77" w:rsidP="00675E77">
            <w:pPr>
              <w:pStyle w:val="07Tablebullet"/>
            </w:pPr>
            <w:r>
              <w:t>Wrong patient population: does not include patients with COPD or mixed airways disease (e.g. ACOS).</w:t>
            </w:r>
          </w:p>
          <w:p w:rsidR="00675E77" w:rsidRDefault="00675E77" w:rsidP="00675E77">
            <w:pPr>
              <w:pStyle w:val="07Tablebullet"/>
            </w:pPr>
            <w:r>
              <w:t>Wrong intervention: does not assess prolonged use of ICS.</w:t>
            </w:r>
          </w:p>
          <w:p w:rsidR="00675E77" w:rsidRDefault="00675E77" w:rsidP="00675E77">
            <w:pPr>
              <w:pStyle w:val="07Tablebullet"/>
            </w:pPr>
            <w:r>
              <w:t>Wrong comparator: does not include a relevant pharmacological comparator or placebo.</w:t>
            </w:r>
          </w:p>
          <w:p w:rsidR="00675E77" w:rsidRPr="00E064D7" w:rsidRDefault="00675E77" w:rsidP="00675E77">
            <w:pPr>
              <w:pStyle w:val="07Tablebullet"/>
            </w:pPr>
            <w:r>
              <w:t>Wrong outcomes: does not report relevant safety outcomes.</w:t>
            </w:r>
          </w:p>
        </w:tc>
      </w:tr>
    </w:tbl>
    <w:p w:rsidR="00675E77" w:rsidRDefault="00675E77" w:rsidP="00675E77">
      <w:pPr>
        <w:pStyle w:val="10TableorFigurefootnote"/>
      </w:pPr>
      <w:r>
        <w:t xml:space="preserve">Source: Final Research Protocol, </w:t>
      </w:r>
      <w:r w:rsidRPr="00B92CC9">
        <w:t xml:space="preserve">approved by </w:t>
      </w:r>
      <w:r w:rsidR="00123E7D">
        <w:t>RG</w:t>
      </w:r>
      <w:r w:rsidRPr="00B92CC9">
        <w:t xml:space="preserve"> 2</w:t>
      </w:r>
      <w:r w:rsidRPr="00B92CC9">
        <w:rPr>
          <w:vertAlign w:val="superscript"/>
        </w:rPr>
        <w:t>nd</w:t>
      </w:r>
      <w:r w:rsidRPr="00B92CC9">
        <w:t xml:space="preserve"> August 2016</w:t>
      </w:r>
    </w:p>
    <w:p w:rsidR="00675E77" w:rsidRDefault="00675E77" w:rsidP="00675E77">
      <w:pPr>
        <w:pStyle w:val="11TableorFigurefootnotenostick"/>
      </w:pPr>
      <w:r w:rsidRPr="00E064D7">
        <w:t xml:space="preserve">Abbreviations: ACOS, asthma- COPD overlap syndrome; AHRQ, Agency for Healthcare Research and Quality; CADTH, Canadian Agency for Drugs and Technologies in Health; COPD, chronic obstructive pulmonary disease; EMA, European Medicines Agency; FDA, Food and Drug Administration; HTA, health technology assessment; ICS, inhaled corticosteroid; KCE, Belgian Health Care Knowledge Centre; LABA, long-acting beta-2 agonist; LAMA, long-acting muscarinic antagonist; NCCHTA, National Coordinating Centre for Health Technology Assessment; NHS CRD, University of York NHS Centre for Reviews and Dissemination; NHS HTA, National Health Service Health Technology Assessment (UK); NHMRC, National Health and Medical Research Council; NICE, National Institute for Health and Care Excellence; PBAC, Pharmaceutical Benefits Advisory Committee; RCT, randomised controlled trial; TGA, Therapeutic Goods Administration; </w:t>
      </w:r>
      <w:proofErr w:type="spellStart"/>
      <w:r w:rsidRPr="00E064D7">
        <w:t>ToR</w:t>
      </w:r>
      <w:proofErr w:type="spellEnd"/>
      <w:r w:rsidRPr="00E064D7">
        <w:t>, Term of Reference.</w:t>
      </w:r>
    </w:p>
    <w:p w:rsidR="00675E77" w:rsidRDefault="00675E77" w:rsidP="00675E77">
      <w:pPr>
        <w:pStyle w:val="BodyText"/>
      </w:pPr>
      <w:r>
        <w:t>A total of 1678 unique records were identified from these databases, and a further two records were identified from searches of the websites for regulatory and reimbursement agencies, HTA sites, the public consultation submissions</w:t>
      </w:r>
      <w:r w:rsidR="005D22DF">
        <w:t>,</w:t>
      </w:r>
      <w:r>
        <w:t xml:space="preserve"> and the reference lists of relevant systematic reviews.</w:t>
      </w:r>
    </w:p>
    <w:p w:rsidR="00675E77" w:rsidRDefault="00675E77" w:rsidP="00675E77">
      <w:pPr>
        <w:pStyle w:val="BodyText"/>
      </w:pPr>
      <w:r>
        <w:t xml:space="preserve">Studies were assessed for eligibility for inclusion in the systematic review using a staged approach; that is, the highest level of evidence available to answer the individual research questions was included in the systematic review, using the NHMRC Evidence Hierarchy for interventional evidence (Appendix </w:t>
      </w:r>
      <w:r w:rsidR="00E153A4">
        <w:t>K</w:t>
      </w:r>
      <w:r>
        <w:t xml:space="preserve">). </w:t>
      </w:r>
    </w:p>
    <w:p w:rsidR="00675E77" w:rsidRDefault="00675E77" w:rsidP="00675E77">
      <w:pPr>
        <w:pStyle w:val="BodyText"/>
      </w:pPr>
      <w:r>
        <w:t xml:space="preserve">Eligibility criteria were applied to the titles and abstracts of identified citations; full articles were retrieved for further assessment where the citation appeared to meet the eligibility criteria. The same criteria were applied to the full articles. An additional criterion to those in </w:t>
      </w:r>
      <w:r w:rsidR="00356377">
        <w:t xml:space="preserve">Table </w:t>
      </w:r>
      <w:r w:rsidR="00356377">
        <w:rPr>
          <w:noProof/>
        </w:rPr>
        <w:t>4</w:t>
      </w:r>
      <w:r w:rsidR="00356377">
        <w:t>.</w:t>
      </w:r>
      <w:r w:rsidR="00356377">
        <w:rPr>
          <w:noProof/>
        </w:rPr>
        <w:t>1</w:t>
      </w:r>
      <w:r>
        <w:t xml:space="preserve"> was applied post hoc for observational studies – those with fewer than 1000 patients were excluded in light of the availability of more informative, larger studies.</w:t>
      </w:r>
    </w:p>
    <w:p w:rsidR="00675E77" w:rsidRDefault="00675E77" w:rsidP="00675E77">
      <w:pPr>
        <w:pStyle w:val="BodyText"/>
      </w:pPr>
      <w:r>
        <w:t>Thirty</w:t>
      </w:r>
      <w:r w:rsidR="00FF0E1F">
        <w:t>-</w:t>
      </w:r>
      <w:r>
        <w:t>six systematic reviews and 31 observational studies were eligible for inclusion. Sixty</w:t>
      </w:r>
      <w:r w:rsidR="00FF0E1F">
        <w:t>-</w:t>
      </w:r>
      <w:r>
        <w:t xml:space="preserve">seven potentially relevant RCTs were also identified, many of which were included in the systematic reviews. This collection of RCTs was used to identify any key additional studies published after the systematic reviews. </w:t>
      </w:r>
    </w:p>
    <w:p w:rsidR="00675E77" w:rsidRDefault="00675E77" w:rsidP="00675E77">
      <w:pPr>
        <w:pStyle w:val="Heading2"/>
      </w:pPr>
      <w:bookmarkStart w:id="19" w:name="_Toc468022803"/>
      <w:bookmarkStart w:id="20" w:name="_Toc482191513"/>
      <w:bookmarkStart w:id="21" w:name="_Toc486515180"/>
      <w:r>
        <w:t>ICS safety evidence previously considered by the PBAC</w:t>
      </w:r>
      <w:bookmarkEnd w:id="19"/>
      <w:bookmarkEnd w:id="20"/>
      <w:bookmarkEnd w:id="21"/>
    </w:p>
    <w:p w:rsidR="00675E77" w:rsidRDefault="00675E77" w:rsidP="00675E77">
      <w:pPr>
        <w:pStyle w:val="Heading3"/>
      </w:pPr>
      <w:bookmarkStart w:id="22" w:name="_Toc468022804"/>
      <w:bookmarkStart w:id="23" w:name="_Toc482191514"/>
      <w:bookmarkStart w:id="24" w:name="_Toc486515181"/>
      <w:r>
        <w:t>ICS safety profile at registration</w:t>
      </w:r>
      <w:bookmarkEnd w:id="22"/>
      <w:bookmarkEnd w:id="23"/>
      <w:bookmarkEnd w:id="24"/>
    </w:p>
    <w:p w:rsidR="00675E77" w:rsidRDefault="00675E77" w:rsidP="00675E77">
      <w:pPr>
        <w:pStyle w:val="BodyText"/>
      </w:pPr>
      <w:r>
        <w:t xml:space="preserve">The TGA-approved </w:t>
      </w:r>
      <w:r w:rsidR="005577A2">
        <w:t>p</w:t>
      </w:r>
      <w:r>
        <w:t xml:space="preserve">roduct </w:t>
      </w:r>
      <w:r w:rsidR="005577A2">
        <w:t>i</w:t>
      </w:r>
      <w:r>
        <w:t xml:space="preserve">nformation (PI) documents on the PBS website for the listed ICS/LABA </w:t>
      </w:r>
      <w:r w:rsidR="005D22DF">
        <w:t>FDCs</w:t>
      </w:r>
      <w:r w:rsidR="00D63C81">
        <w:t xml:space="preserve"> </w:t>
      </w:r>
      <w:r>
        <w:t>(fluticasone</w:t>
      </w:r>
      <w:r w:rsidR="00BB78B9">
        <w:t xml:space="preserve"> propionate</w:t>
      </w:r>
      <w:r>
        <w:t>/salmeterol, fluticasone</w:t>
      </w:r>
      <w:r w:rsidR="00BB78B9">
        <w:t xml:space="preserve"> </w:t>
      </w:r>
      <w:proofErr w:type="spellStart"/>
      <w:r w:rsidR="00BB78B9">
        <w:t>furoate</w:t>
      </w:r>
      <w:proofErr w:type="spellEnd"/>
      <w:r>
        <w:t>/</w:t>
      </w:r>
      <w:proofErr w:type="spellStart"/>
      <w:r>
        <w:t>vila</w:t>
      </w:r>
      <w:r w:rsidR="00BB78B9">
        <w:t>nterol</w:t>
      </w:r>
      <w:proofErr w:type="spellEnd"/>
      <w:r w:rsidR="00BB78B9">
        <w:t xml:space="preserve"> and budesonide/</w:t>
      </w:r>
      <w:proofErr w:type="spellStart"/>
      <w:r>
        <w:t>eformoterol</w:t>
      </w:r>
      <w:proofErr w:type="spellEnd"/>
      <w:r>
        <w:t xml:space="preserve">) list a range of </w:t>
      </w:r>
      <w:r w:rsidR="00A13CEF">
        <w:t>AE</w:t>
      </w:r>
      <w:r>
        <w:t xml:space="preserve">s for COPD/asthma. </w:t>
      </w:r>
      <w:r w:rsidR="00356377">
        <w:t xml:space="preserve">Table </w:t>
      </w:r>
      <w:r w:rsidR="00356377">
        <w:rPr>
          <w:noProof/>
        </w:rPr>
        <w:t>4</w:t>
      </w:r>
      <w:r w:rsidR="00356377">
        <w:t>.</w:t>
      </w:r>
      <w:r w:rsidR="00356377">
        <w:rPr>
          <w:noProof/>
        </w:rPr>
        <w:t>2</w:t>
      </w:r>
      <w:r>
        <w:t xml:space="preserve"> shows the general advice regarding </w:t>
      </w:r>
      <w:r w:rsidR="00A13CEF">
        <w:t>AE</w:t>
      </w:r>
      <w:r>
        <w:t xml:space="preserve">s </w:t>
      </w:r>
      <w:proofErr w:type="gramStart"/>
      <w:r>
        <w:t xml:space="preserve">for the three FDCs. </w:t>
      </w:r>
      <w:r w:rsidR="00356377">
        <w:t>Table</w:t>
      </w:r>
      <w:proofErr w:type="gramEnd"/>
      <w:r w:rsidR="00356377">
        <w:t xml:space="preserve">: </w:t>
      </w:r>
      <w:r w:rsidR="00247929">
        <w:rPr>
          <w:noProof/>
        </w:rPr>
        <w:t>O</w:t>
      </w:r>
      <w:r w:rsidR="00356377">
        <w:t>.</w:t>
      </w:r>
      <w:r w:rsidR="00356377">
        <w:rPr>
          <w:noProof/>
        </w:rPr>
        <w:t>1</w:t>
      </w:r>
      <w:r w:rsidR="00035CAA">
        <w:t xml:space="preserve"> </w:t>
      </w:r>
      <w:r w:rsidRPr="00CC0075">
        <w:t>provides further details from the PIs, including</w:t>
      </w:r>
      <w:r>
        <w:t xml:space="preserve"> adverse event frequency information (drawn from large trials and post-marketing </w:t>
      </w:r>
      <w:r>
        <w:lastRenderedPageBreak/>
        <w:t>data for both COPD and asthma)</w:t>
      </w:r>
      <w:r w:rsidR="00CB590C">
        <w:t>.</w:t>
      </w:r>
      <w:r>
        <w:t xml:space="preserve"> </w:t>
      </w:r>
      <w:r w:rsidR="00CB590C">
        <w:t>P</w:t>
      </w:r>
      <w:r>
        <w:t>otential side effects are also discussed in the ‘Precautions’ sections of the PI documents.</w:t>
      </w:r>
    </w:p>
    <w:p w:rsidR="00675E77" w:rsidRPr="00CC0075" w:rsidRDefault="00675E77" w:rsidP="00675E77">
      <w:pPr>
        <w:pStyle w:val="BodyText"/>
        <w:tabs>
          <w:tab w:val="left" w:pos="1603"/>
        </w:tabs>
        <w:rPr>
          <w:b/>
        </w:rPr>
      </w:pPr>
      <w:r>
        <w:t>The fluticasone/</w:t>
      </w:r>
      <w:proofErr w:type="spellStart"/>
      <w:r>
        <w:t>vilanterol</w:t>
      </w:r>
      <w:proofErr w:type="spellEnd"/>
      <w:r>
        <w:t xml:space="preserve"> PI notes that, w</w:t>
      </w:r>
      <w:r w:rsidRPr="00BA5CE0">
        <w:t>ith the exception of pneumonia and fractures, the safety profile was similar in patients with asthma and COPD</w:t>
      </w:r>
      <w:r>
        <w:t>. Due to the</w:t>
      </w:r>
      <w:r w:rsidRPr="001F6496">
        <w:t xml:space="preserve"> potential increased risk of pneumonia and systemic corticosteroid-related </w:t>
      </w:r>
      <w:r w:rsidR="00A13CEF">
        <w:t>AE</w:t>
      </w:r>
      <w:r w:rsidRPr="001F6496">
        <w:t xml:space="preserve">s with </w:t>
      </w:r>
      <w:r>
        <w:t xml:space="preserve">the 200/25 </w:t>
      </w:r>
      <w:proofErr w:type="spellStart"/>
      <w:r>
        <w:t>μg</w:t>
      </w:r>
      <w:proofErr w:type="spellEnd"/>
      <w:r>
        <w:t xml:space="preserve"> dose in</w:t>
      </w:r>
      <w:r w:rsidRPr="001F6496">
        <w:t xml:space="preserve"> patients with COPD</w:t>
      </w:r>
      <w:r>
        <w:t xml:space="preserve">, only the lower dose (100/25 </w:t>
      </w:r>
      <w:proofErr w:type="spellStart"/>
      <w:r>
        <w:t>μg</w:t>
      </w:r>
      <w:proofErr w:type="spellEnd"/>
      <w:r>
        <w:t>) is indicated for COPD patients.</w:t>
      </w:r>
    </w:p>
    <w:p w:rsidR="00675E77" w:rsidRDefault="00675E77" w:rsidP="00B860D2">
      <w:pPr>
        <w:pStyle w:val="HeaderTable"/>
      </w:pPr>
      <w:bookmarkStart w:id="25" w:name="_Ref465702765"/>
      <w:bookmarkStart w:id="26" w:name="_Toc468022879"/>
      <w:bookmarkStart w:id="27" w:name="_Toc468034532"/>
      <w:bookmarkStart w:id="28" w:name="_Toc480373297"/>
      <w:bookmarkStart w:id="29" w:name="_Toc486515192"/>
      <w:r>
        <w:t xml:space="preserve">Table </w:t>
      </w:r>
      <w:r w:rsidR="00356377">
        <w:rPr>
          <w:noProof/>
        </w:rPr>
        <w:t>4</w:t>
      </w:r>
      <w:r>
        <w:t>.</w:t>
      </w:r>
      <w:r w:rsidR="00356377">
        <w:rPr>
          <w:noProof/>
        </w:rPr>
        <w:t>2</w:t>
      </w:r>
      <w:bookmarkEnd w:id="25"/>
      <w:r>
        <w:tab/>
        <w:t>Adverse event general advice from PIs for FLU/SAL, FLU/VIL and BUD/EFO</w:t>
      </w:r>
      <w:bookmarkEnd w:id="26"/>
      <w:bookmarkEnd w:id="27"/>
      <w:bookmarkEnd w:id="28"/>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Adverse event general advice from PIs for FLU/SAL, FLU/VIL and BUD/EFO"/>
      </w:tblPr>
      <w:tblGrid>
        <w:gridCol w:w="3217"/>
        <w:gridCol w:w="3201"/>
        <w:gridCol w:w="3230"/>
      </w:tblGrid>
      <w:tr w:rsidR="00675E77" w:rsidTr="00675E77">
        <w:trPr>
          <w:cantSplit/>
          <w:tblHeader/>
        </w:trPr>
        <w:tc>
          <w:tcPr>
            <w:tcW w:w="1667" w:type="pct"/>
            <w:shd w:val="clear" w:color="auto" w:fill="BFBFBF"/>
          </w:tcPr>
          <w:p w:rsidR="00675E77" w:rsidRDefault="00675E77" w:rsidP="00675E77">
            <w:pPr>
              <w:pStyle w:val="02TableHEADINGcentred"/>
            </w:pPr>
            <w:r>
              <w:t>FLU/SAL</w:t>
            </w:r>
            <w:r>
              <w:br/>
            </w:r>
            <w:proofErr w:type="spellStart"/>
            <w:r>
              <w:t>Seretide</w:t>
            </w:r>
            <w:proofErr w:type="spellEnd"/>
            <w:r>
              <w:t xml:space="preserve"> </w:t>
            </w:r>
            <w:proofErr w:type="spellStart"/>
            <w:r>
              <w:t>Accuhaler</w:t>
            </w:r>
            <w:proofErr w:type="spellEnd"/>
            <w:r>
              <w:t xml:space="preserve"> and </w:t>
            </w:r>
            <w:proofErr w:type="spellStart"/>
            <w:r>
              <w:t>Seretide</w:t>
            </w:r>
            <w:proofErr w:type="spellEnd"/>
            <w:r>
              <w:t xml:space="preserve"> MDI</w:t>
            </w:r>
          </w:p>
        </w:tc>
        <w:tc>
          <w:tcPr>
            <w:tcW w:w="1659" w:type="pct"/>
            <w:shd w:val="clear" w:color="auto" w:fill="BFBFBF"/>
          </w:tcPr>
          <w:p w:rsidR="00675E77" w:rsidRDefault="00675E77" w:rsidP="00675E77">
            <w:pPr>
              <w:pStyle w:val="02TableHEADINGcentred"/>
            </w:pPr>
            <w:r>
              <w:t>FLU/VIL</w:t>
            </w:r>
            <w:r>
              <w:br/>
            </w:r>
            <w:proofErr w:type="spellStart"/>
            <w:r>
              <w:t>Breo</w:t>
            </w:r>
            <w:proofErr w:type="spellEnd"/>
            <w:r>
              <w:t xml:space="preserve"> </w:t>
            </w:r>
            <w:proofErr w:type="spellStart"/>
            <w:r>
              <w:t>Ellipta</w:t>
            </w:r>
            <w:proofErr w:type="spellEnd"/>
          </w:p>
        </w:tc>
        <w:tc>
          <w:tcPr>
            <w:tcW w:w="1674" w:type="pct"/>
            <w:shd w:val="clear" w:color="auto" w:fill="BFBFBF"/>
          </w:tcPr>
          <w:p w:rsidR="00675E77" w:rsidRDefault="00675E77" w:rsidP="00675E77">
            <w:pPr>
              <w:pStyle w:val="02TableHEADINGcentred"/>
            </w:pPr>
            <w:r>
              <w:t>BUD/EFO</w:t>
            </w:r>
            <w:r>
              <w:br/>
            </w:r>
            <w:proofErr w:type="spellStart"/>
            <w:r w:rsidRPr="00FC47EE">
              <w:t>Symbicort</w:t>
            </w:r>
            <w:proofErr w:type="spellEnd"/>
            <w:r w:rsidRPr="00FC47EE">
              <w:t xml:space="preserve"> </w:t>
            </w:r>
            <w:proofErr w:type="spellStart"/>
            <w:r w:rsidRPr="00FC47EE">
              <w:t>Turbuhaler</w:t>
            </w:r>
            <w:proofErr w:type="spellEnd"/>
            <w:r>
              <w:t>/</w:t>
            </w:r>
            <w:proofErr w:type="spellStart"/>
            <w:r>
              <w:t>Rapihaler</w:t>
            </w:r>
            <w:proofErr w:type="spellEnd"/>
          </w:p>
        </w:tc>
      </w:tr>
      <w:tr w:rsidR="00675E77" w:rsidTr="00675E77">
        <w:trPr>
          <w:cantSplit/>
        </w:trPr>
        <w:tc>
          <w:tcPr>
            <w:tcW w:w="1667" w:type="pct"/>
            <w:shd w:val="clear" w:color="auto" w:fill="auto"/>
          </w:tcPr>
          <w:p w:rsidR="00675E77" w:rsidRDefault="00675E77" w:rsidP="00675E77">
            <w:pPr>
              <w:pStyle w:val="05Tabletext"/>
            </w:pPr>
            <w:r w:rsidRPr="00D86D62">
              <w:t xml:space="preserve">As </w:t>
            </w:r>
            <w:proofErr w:type="spellStart"/>
            <w:r w:rsidRPr="00D86D62">
              <w:t>Seretide</w:t>
            </w:r>
            <w:proofErr w:type="spellEnd"/>
            <w:r w:rsidRPr="00D86D62">
              <w:t xml:space="preserve"> contains fluticasone propionate and salmeterol the type and severity of adverse reactions associated with each of the compounds may be expected. There is no evidence of additional adverse events following concurrent administration of the two compounds.</w:t>
            </w:r>
          </w:p>
        </w:tc>
        <w:tc>
          <w:tcPr>
            <w:tcW w:w="1659" w:type="pct"/>
            <w:shd w:val="clear" w:color="auto" w:fill="auto"/>
          </w:tcPr>
          <w:p w:rsidR="00675E77" w:rsidRDefault="00675E77" w:rsidP="00675E77">
            <w:pPr>
              <w:pStyle w:val="05Tabletext"/>
            </w:pPr>
            <w:proofErr w:type="spellStart"/>
            <w:proofErr w:type="gramStart"/>
            <w:r w:rsidRPr="001F6496">
              <w:t>Breo</w:t>
            </w:r>
            <w:proofErr w:type="spellEnd"/>
            <w:r w:rsidRPr="001F6496">
              <w:t xml:space="preserve"> </w:t>
            </w:r>
            <w:proofErr w:type="spellStart"/>
            <w:r w:rsidRPr="001F6496">
              <w:t>Ellipta</w:t>
            </w:r>
            <w:proofErr w:type="spellEnd"/>
            <w:r w:rsidRPr="001F6496">
              <w:t xml:space="preserve"> 200</w:t>
            </w:r>
            <w:r>
              <w:t>/</w:t>
            </w:r>
            <w:r w:rsidRPr="001F6496">
              <w:t>25 micrograms is</w:t>
            </w:r>
            <w:proofErr w:type="gramEnd"/>
            <w:r w:rsidRPr="001F6496">
              <w:t xml:space="preserve"> not indicated for patients with COPD. There is a potential increased risk of pneumonia and systemic corticosteroid-related adverse reactions with </w:t>
            </w:r>
            <w:r>
              <w:t>the</w:t>
            </w:r>
            <w:r w:rsidRPr="001F6496">
              <w:t xml:space="preserve"> 200</w:t>
            </w:r>
            <w:r>
              <w:t>/</w:t>
            </w:r>
            <w:r w:rsidRPr="001F6496">
              <w:t>25 micrograms</w:t>
            </w:r>
            <w:r>
              <w:t xml:space="preserve"> dose.</w:t>
            </w:r>
          </w:p>
          <w:p w:rsidR="00675E77" w:rsidRPr="00BA5CE0" w:rsidRDefault="00675E77" w:rsidP="00675E77">
            <w:pPr>
              <w:pStyle w:val="06Tabletextspacebefore"/>
            </w:pPr>
            <w:r w:rsidRPr="00BA5CE0">
              <w:t>With the exception of pneumonia and fractures, the safety profile was similar in patients with asthma and COPD. During clinical studies, pneumonia and fractures were more frequently observed in patients with COPD.</w:t>
            </w:r>
          </w:p>
        </w:tc>
        <w:tc>
          <w:tcPr>
            <w:tcW w:w="1674" w:type="pct"/>
            <w:shd w:val="clear" w:color="auto" w:fill="auto"/>
          </w:tcPr>
          <w:p w:rsidR="00675E77" w:rsidRDefault="00675E77" w:rsidP="00675E77">
            <w:pPr>
              <w:pStyle w:val="05Tabletext"/>
            </w:pPr>
            <w:r>
              <w:t xml:space="preserve">Since </w:t>
            </w:r>
            <w:proofErr w:type="spellStart"/>
            <w:r>
              <w:t>Symbicort</w:t>
            </w:r>
            <w:proofErr w:type="spellEnd"/>
            <w:r>
              <w:t xml:space="preserve"> </w:t>
            </w:r>
            <w:proofErr w:type="spellStart"/>
            <w:r>
              <w:t>Turbuhaler</w:t>
            </w:r>
            <w:proofErr w:type="spellEnd"/>
            <w:r>
              <w:t xml:space="preserve"> and </w:t>
            </w:r>
            <w:proofErr w:type="spellStart"/>
            <w:r>
              <w:t>Rapihaler</w:t>
            </w:r>
            <w:proofErr w:type="spellEnd"/>
            <w:r>
              <w:t xml:space="preserve"> contain both budesonide and </w:t>
            </w:r>
            <w:proofErr w:type="spellStart"/>
            <w:r>
              <w:t>eformoterol</w:t>
            </w:r>
            <w:proofErr w:type="spellEnd"/>
            <w:r>
              <w:t xml:space="preserve">, the same adverse effects as reported for these substances may be expected. No increased incidence of adverse reactions has been seen following concurrent administration of the two compounds. </w:t>
            </w:r>
          </w:p>
          <w:p w:rsidR="00675E77" w:rsidRDefault="00675E77" w:rsidP="00675E77">
            <w:pPr>
              <w:pStyle w:val="06Tabletextspacebefore"/>
            </w:pPr>
            <w:r>
              <w:t>The most common drug</w:t>
            </w:r>
            <w:r w:rsidR="001A058C">
              <w:t>-</w:t>
            </w:r>
            <w:r>
              <w:t>related adverse reactions are pharmacologically predictable side</w:t>
            </w:r>
            <w:r w:rsidR="00741C38">
              <w:t xml:space="preserve"> </w:t>
            </w:r>
            <w:r>
              <w:t>effects of β2-agonist therapy, such as tremor and palpitations. These tend to be mild and usually disappear within a few days of commencing treatment.</w:t>
            </w:r>
          </w:p>
          <w:p w:rsidR="00675E77" w:rsidRDefault="00675E77" w:rsidP="00675E77">
            <w:pPr>
              <w:pStyle w:val="06Tabletextspacebefore"/>
            </w:pPr>
            <w:r>
              <w:t xml:space="preserve">There were no apparent differences in the overall pattern of AE’s between the </w:t>
            </w:r>
            <w:proofErr w:type="spellStart"/>
            <w:r>
              <w:t>Symbicort</w:t>
            </w:r>
            <w:proofErr w:type="spellEnd"/>
            <w:r>
              <w:t xml:space="preserve"> </w:t>
            </w:r>
            <w:proofErr w:type="spellStart"/>
            <w:r>
              <w:t>Rapihaler</w:t>
            </w:r>
            <w:proofErr w:type="spellEnd"/>
            <w:r>
              <w:t xml:space="preserve"> and </w:t>
            </w:r>
            <w:proofErr w:type="spellStart"/>
            <w:r>
              <w:t>Symbicort</w:t>
            </w:r>
            <w:proofErr w:type="spellEnd"/>
            <w:r>
              <w:t xml:space="preserve"> </w:t>
            </w:r>
            <w:proofErr w:type="spellStart"/>
            <w:r>
              <w:t>Turbuhaler</w:t>
            </w:r>
            <w:proofErr w:type="spellEnd"/>
            <w:r>
              <w:t xml:space="preserve"> groups in the clinical program.</w:t>
            </w:r>
          </w:p>
        </w:tc>
      </w:tr>
    </w:tbl>
    <w:p w:rsidR="00675E77" w:rsidRDefault="00675E77" w:rsidP="00675E77">
      <w:pPr>
        <w:pStyle w:val="11TableorFigurefootnotenostick"/>
      </w:pPr>
      <w:r>
        <w:t xml:space="preserve">Abbreviations: AE, adverse event; BUD, budesonide; COPD, chronic obstructive pulmonary disease; EFO, </w:t>
      </w:r>
      <w:proofErr w:type="spellStart"/>
      <w:r>
        <w:t>eformoterol</w:t>
      </w:r>
      <w:proofErr w:type="spellEnd"/>
      <w:r>
        <w:t xml:space="preserve">; FLU, fluticasone; MDI, metered dose inhaler; PI, product information; SAL, salmeterol; VIL, </w:t>
      </w:r>
      <w:proofErr w:type="spellStart"/>
      <w:r>
        <w:t>vilanterol</w:t>
      </w:r>
      <w:proofErr w:type="spellEnd"/>
      <w:r w:rsidR="00351635">
        <w:t xml:space="preserve">; FLU/SAL, fluticasone propionate/salmeterol; FLU/VIL, fluticasone </w:t>
      </w:r>
      <w:proofErr w:type="spellStart"/>
      <w:r w:rsidR="00351635">
        <w:t>furoate</w:t>
      </w:r>
      <w:proofErr w:type="spellEnd"/>
      <w:r w:rsidR="00351635">
        <w:t>/</w:t>
      </w:r>
      <w:proofErr w:type="spellStart"/>
      <w:r w:rsidR="00351635">
        <w:t>vilanterol</w:t>
      </w:r>
      <w:proofErr w:type="spellEnd"/>
      <w:r w:rsidR="006336CD">
        <w:t>.</w:t>
      </w:r>
    </w:p>
    <w:p w:rsidR="00675E77" w:rsidRDefault="00675E77" w:rsidP="00675E77">
      <w:pPr>
        <w:pStyle w:val="Heading3"/>
      </w:pPr>
      <w:bookmarkStart w:id="30" w:name="_Ref467834293"/>
      <w:bookmarkStart w:id="31" w:name="_Toc468022805"/>
      <w:bookmarkStart w:id="32" w:name="_Toc482191515"/>
      <w:bookmarkStart w:id="33" w:name="_Toc486515182"/>
      <w:r>
        <w:t>ICS safety evidence previously considered by the PBAC</w:t>
      </w:r>
      <w:bookmarkEnd w:id="30"/>
      <w:bookmarkEnd w:id="31"/>
      <w:bookmarkEnd w:id="32"/>
      <w:bookmarkEnd w:id="33"/>
    </w:p>
    <w:p w:rsidR="00675E77" w:rsidRDefault="00675E77" w:rsidP="00675E77">
      <w:pPr>
        <w:pStyle w:val="Heading4"/>
      </w:pPr>
      <w:r>
        <w:t>Fluticasone</w:t>
      </w:r>
      <w:r w:rsidR="008E0D4A">
        <w:t xml:space="preserve"> propionate</w:t>
      </w:r>
      <w:r>
        <w:t>/salmeterol (</w:t>
      </w:r>
      <w:proofErr w:type="spellStart"/>
      <w:r>
        <w:t>Seretide</w:t>
      </w:r>
      <w:proofErr w:type="spellEnd"/>
      <w:r w:rsidRPr="007815A9">
        <w:rPr>
          <w:vertAlign w:val="superscript"/>
        </w:rPr>
        <w:t>®</w:t>
      </w:r>
      <w:r w:rsidRPr="007815A9">
        <w:t xml:space="preserve"> </w:t>
      </w:r>
      <w:proofErr w:type="spellStart"/>
      <w:r w:rsidRPr="007815A9">
        <w:t>Acc</w:t>
      </w:r>
      <w:r>
        <w:t>uhaler</w:t>
      </w:r>
      <w:proofErr w:type="spellEnd"/>
      <w:r w:rsidRPr="0097190D">
        <w:rPr>
          <w:vertAlign w:val="superscript"/>
        </w:rPr>
        <w:t>®</w:t>
      </w:r>
      <w:r>
        <w:t xml:space="preserve"> and </w:t>
      </w:r>
      <w:proofErr w:type="spellStart"/>
      <w:r>
        <w:t>Seretide</w:t>
      </w:r>
      <w:proofErr w:type="spellEnd"/>
      <w:r w:rsidRPr="0083210B">
        <w:rPr>
          <w:vertAlign w:val="superscript"/>
        </w:rPr>
        <w:t>®</w:t>
      </w:r>
      <w:r>
        <w:rPr>
          <w:vertAlign w:val="superscript"/>
        </w:rPr>
        <w:t xml:space="preserve"> </w:t>
      </w:r>
      <w:r>
        <w:t>MDI)</w:t>
      </w:r>
    </w:p>
    <w:p w:rsidR="00675E77" w:rsidRDefault="00675E77" w:rsidP="00675E77">
      <w:pPr>
        <w:pStyle w:val="Heading5"/>
      </w:pPr>
      <w:r>
        <w:t>March 2007 meeting</w:t>
      </w:r>
    </w:p>
    <w:p w:rsidR="00675E77" w:rsidRDefault="00675E77" w:rsidP="00675E77">
      <w:pPr>
        <w:pStyle w:val="BodyTextnospacebefore"/>
      </w:pPr>
      <w:r>
        <w:t>In March 2007</w:t>
      </w:r>
      <w:r w:rsidR="00B23975">
        <w:t>,</w:t>
      </w:r>
      <w:r>
        <w:t xml:space="preserve"> the PBAC considered an application by </w:t>
      </w:r>
      <w:r w:rsidRPr="00680468">
        <w:t>GlaxoSmithKline</w:t>
      </w:r>
      <w:r>
        <w:t xml:space="preserve"> Australia to extend the restricted benefit listing of fluticasone</w:t>
      </w:r>
      <w:r w:rsidR="008E0D4A">
        <w:t xml:space="preserve"> propionate</w:t>
      </w:r>
      <w:r>
        <w:t xml:space="preserve">/salmeterol DPI 500/50 </w:t>
      </w:r>
      <w:proofErr w:type="spellStart"/>
      <w:r>
        <w:t>μg</w:t>
      </w:r>
      <w:proofErr w:type="spellEnd"/>
      <w:r w:rsidRPr="00805F1D">
        <w:t xml:space="preserve"> </w:t>
      </w:r>
      <w:r>
        <w:t>(</w:t>
      </w:r>
      <w:proofErr w:type="spellStart"/>
      <w:r w:rsidRPr="00805F1D">
        <w:t>Seretide</w:t>
      </w:r>
      <w:proofErr w:type="spellEnd"/>
      <w:r w:rsidRPr="00805F1D">
        <w:t xml:space="preserve"> </w:t>
      </w:r>
      <w:proofErr w:type="spellStart"/>
      <w:r w:rsidRPr="00805F1D">
        <w:t>Accuhaler</w:t>
      </w:r>
      <w:proofErr w:type="spellEnd"/>
      <w:r>
        <w:t xml:space="preserve">) and MDI 250/50 </w:t>
      </w:r>
      <w:proofErr w:type="spellStart"/>
      <w:r>
        <w:t>μg</w:t>
      </w:r>
      <w:proofErr w:type="spellEnd"/>
      <w:r>
        <w:t xml:space="preserve"> (</w:t>
      </w:r>
      <w:proofErr w:type="spellStart"/>
      <w:r w:rsidRPr="00805F1D">
        <w:t>Seretide</w:t>
      </w:r>
      <w:proofErr w:type="spellEnd"/>
      <w:r w:rsidRPr="00805F1D">
        <w:t xml:space="preserve"> MDI</w:t>
      </w:r>
      <w:r>
        <w:t xml:space="preserve">) for the long-term maintenance of COPD in patients with a history of repeated exacerbations. </w:t>
      </w:r>
      <w:proofErr w:type="spellStart"/>
      <w:r>
        <w:t>Seretide</w:t>
      </w:r>
      <w:proofErr w:type="spellEnd"/>
      <w:r>
        <w:t xml:space="preserve"> was recommended by the PBAC as a Restricted Benefit for asthma in March 2000.</w:t>
      </w:r>
    </w:p>
    <w:p w:rsidR="00675E77" w:rsidRDefault="00675E77" w:rsidP="00675E77">
      <w:pPr>
        <w:pStyle w:val="BodyText"/>
      </w:pPr>
      <w:r>
        <w:t xml:space="preserve">The submission made the clinical claim that </w:t>
      </w:r>
      <w:r w:rsidR="0033442A" w:rsidRPr="0033442A">
        <w:t xml:space="preserve">fluticasone propionate/salmeterol </w:t>
      </w:r>
      <w:r>
        <w:t>is more effective than tiotropium in COPD patients, with similar toxicity</w:t>
      </w:r>
      <w:r w:rsidRPr="00BF7DB6">
        <w:t>, based on evidence from the INSPIRE trial</w:t>
      </w:r>
      <w:r>
        <w:t xml:space="preserve"> and two supportive trials, each comparing </w:t>
      </w:r>
      <w:r w:rsidR="0033442A" w:rsidRPr="0033442A">
        <w:t xml:space="preserve">fluticasone propionate/salmeterol </w:t>
      </w:r>
      <w:r>
        <w:t>with tiotropium in COPD populations.</w:t>
      </w:r>
    </w:p>
    <w:p w:rsidR="00EC1E44" w:rsidRPr="00A35BA5" w:rsidRDefault="00675E77" w:rsidP="00EC1E44">
      <w:pPr>
        <w:pStyle w:val="BodyText"/>
      </w:pPr>
      <w:r>
        <w:t xml:space="preserve">In the </w:t>
      </w:r>
      <w:proofErr w:type="spellStart"/>
      <w:r>
        <w:t>pivoital</w:t>
      </w:r>
      <w:proofErr w:type="spellEnd"/>
      <w:r>
        <w:t xml:space="preserve"> trial, 69 </w:t>
      </w:r>
      <w:r w:rsidRPr="00E61162">
        <w:t xml:space="preserve">subjects (10%) in the </w:t>
      </w:r>
      <w:proofErr w:type="spellStart"/>
      <w:r w:rsidRPr="00E61162">
        <w:t>Seretide</w:t>
      </w:r>
      <w:proofErr w:type="spellEnd"/>
      <w:r w:rsidRPr="00E61162">
        <w:t xml:space="preserve"> group and 43 subjects (6%) in the tiotropium group experienced </w:t>
      </w:r>
      <w:r w:rsidR="00A13CEF">
        <w:t>AE</w:t>
      </w:r>
      <w:r w:rsidRPr="00E61162">
        <w:t>s during treatment that were considered by the investigator as having a possible relationship to study drug</w:t>
      </w:r>
      <w:r>
        <w:t xml:space="preserve"> (</w:t>
      </w:r>
      <w:r w:rsidRPr="00E61162">
        <w:t>most common</w:t>
      </w:r>
      <w:r>
        <w:t xml:space="preserve">ly, </w:t>
      </w:r>
      <w:r w:rsidRPr="00E61162">
        <w:t>oral candidiasis, oropharyngeal candidiasis, dysphonia and dry mouth</w:t>
      </w:r>
      <w:r>
        <w:t xml:space="preserve">). The PES commentary noted </w:t>
      </w:r>
      <w:r w:rsidR="009D3832">
        <w:rPr>
          <w:noProof/>
          <w:color w:val="000000"/>
          <w:highlight w:val="black"/>
        </w:rPr>
        <w:t xml:space="preserve">'''''''' ''''''' </w:t>
      </w:r>
      <w:r w:rsidR="009D3832">
        <w:rPr>
          <w:noProof/>
          <w:color w:val="000000"/>
          <w:highlight w:val="black"/>
        </w:rPr>
        <w:lastRenderedPageBreak/>
        <w:t>''''''' '''''''''' ''''''''' ''''''''''' ''''''''''''''''' '''' '''''' '''''''''''''''''''' ''''''''''''''''''''''''''''''''''''''''''' '''''''''''' '''''''' '''' '''''' ''''''''''''''''''''' '''''''''''''</w:t>
      </w:r>
    </w:p>
    <w:p w:rsidR="00675E77" w:rsidRDefault="00675E77" w:rsidP="00675E77">
      <w:pPr>
        <w:pStyle w:val="BodyText"/>
      </w:pPr>
      <w:r>
        <w:t>The PBAC did not accept the submission’s clinical claim of superiority over tiotropium</w:t>
      </w:r>
      <w:r w:rsidRPr="00EF6CD7">
        <w:t xml:space="preserve">, which was based on an unexpectedly lower all-cause mortality rate in the </w:t>
      </w:r>
      <w:r w:rsidR="0033442A" w:rsidRPr="0033442A">
        <w:t xml:space="preserve">fluticasone propionate/salmeterol </w:t>
      </w:r>
      <w:r w:rsidRPr="00EF6CD7">
        <w:t>arm of the pivotal trial.</w:t>
      </w:r>
      <w:r>
        <w:t xml:space="preserve"> The </w:t>
      </w:r>
      <w:r w:rsidR="007A6899">
        <w:t>s</w:t>
      </w:r>
      <w:r>
        <w:t xml:space="preserve">ponsor accepted a therapeutic relativity of </w:t>
      </w:r>
      <w:r w:rsidRPr="00743606">
        <w:t xml:space="preserve">no difference in effectiveness and safety between </w:t>
      </w:r>
      <w:r w:rsidR="0033442A" w:rsidRPr="0033442A">
        <w:t xml:space="preserve">fluticasone propionate/salmeterol </w:t>
      </w:r>
      <w:r w:rsidRPr="00743606">
        <w:t>and tiotropium</w:t>
      </w:r>
      <w:r>
        <w:t xml:space="preserve">, and an extended restriction was recommended by the PBAC on a cost-minimisation basis against tiotropium. </w:t>
      </w:r>
    </w:p>
    <w:p w:rsidR="00675E77" w:rsidRDefault="00675E77" w:rsidP="00675E77">
      <w:pPr>
        <w:pStyle w:val="Heading5"/>
      </w:pPr>
      <w:r>
        <w:t>November 2010 meeting</w:t>
      </w:r>
    </w:p>
    <w:p w:rsidR="00675E77" w:rsidRPr="0033442A" w:rsidRDefault="00675E77" w:rsidP="00675E77">
      <w:pPr>
        <w:pStyle w:val="BodyTextnospacebefore"/>
      </w:pPr>
      <w:r w:rsidRPr="0033442A">
        <w:t xml:space="preserve">The </w:t>
      </w:r>
      <w:proofErr w:type="spellStart"/>
      <w:r w:rsidRPr="0033442A">
        <w:t>Seretide</w:t>
      </w:r>
      <w:proofErr w:type="spellEnd"/>
      <w:r w:rsidRPr="0033442A">
        <w:t xml:space="preserve"> TORCH RCT was the first to identify a pneumonia safety signal for inhaled corticosteroids. This study was first presented to the PBAC as a comparator in the major submission for budesonide/</w:t>
      </w:r>
      <w:proofErr w:type="spellStart"/>
      <w:r w:rsidRPr="0033442A">
        <w:t>eformoterol</w:t>
      </w:r>
      <w:proofErr w:type="spellEnd"/>
      <w:r w:rsidRPr="0033442A">
        <w:t xml:space="preserve"> DPI (</w:t>
      </w:r>
      <w:proofErr w:type="spellStart"/>
      <w:r w:rsidRPr="0033442A">
        <w:t>Symbicort</w:t>
      </w:r>
      <w:proofErr w:type="spellEnd"/>
      <w:r w:rsidRPr="0033442A">
        <w:t xml:space="preserve"> </w:t>
      </w:r>
      <w:proofErr w:type="spellStart"/>
      <w:r w:rsidRPr="0033442A">
        <w:t>Turbuhaler</w:t>
      </w:r>
      <w:proofErr w:type="spellEnd"/>
      <w:r w:rsidRPr="0033442A">
        <w:t xml:space="preserve">) in November 2010. Seven placebo-controlled </w:t>
      </w:r>
      <w:r w:rsidR="0033442A" w:rsidRPr="0033442A">
        <w:t xml:space="preserve">fluticasone propionate/salmeterol </w:t>
      </w:r>
      <w:r w:rsidRPr="0033442A">
        <w:t xml:space="preserve">trials were pooled, and two trials adding </w:t>
      </w:r>
      <w:r w:rsidR="0033442A" w:rsidRPr="0033442A">
        <w:t xml:space="preserve">fluticasone propionate/salmeterol </w:t>
      </w:r>
      <w:r w:rsidRPr="0033442A">
        <w:t xml:space="preserve">to tiotropium were pooled, as part of indirect comparisons with </w:t>
      </w:r>
      <w:proofErr w:type="spellStart"/>
      <w:r w:rsidRPr="0033442A">
        <w:t>Symbicort</w:t>
      </w:r>
      <w:proofErr w:type="spellEnd"/>
      <w:r w:rsidRPr="0033442A">
        <w:t xml:space="preserve">. None of these trials were presented in the major submission for </w:t>
      </w:r>
      <w:proofErr w:type="spellStart"/>
      <w:r w:rsidRPr="0033442A">
        <w:t>Seretide</w:t>
      </w:r>
      <w:proofErr w:type="spellEnd"/>
      <w:r w:rsidRPr="0033442A">
        <w:t xml:space="preserve"> in March 2007, as the comparator was tiotropium, not placebo.</w:t>
      </w:r>
    </w:p>
    <w:p w:rsidR="00EC1E44" w:rsidRPr="009D3832" w:rsidRDefault="00675E77" w:rsidP="00EC1E44">
      <w:pPr>
        <w:pStyle w:val="BodyText"/>
      </w:pPr>
      <w:r w:rsidRPr="0033442A">
        <w:t xml:space="preserve">Pooled analyses were presented for the proportion of patients with any AE, non-fatal serious AEs (SAEs), </w:t>
      </w:r>
      <w:r w:rsidR="00C52153" w:rsidRPr="0033442A">
        <w:t xml:space="preserve">and </w:t>
      </w:r>
      <w:r w:rsidRPr="0033442A">
        <w:t>fatal SAEs</w:t>
      </w:r>
      <w:r w:rsidR="00C52153" w:rsidRPr="0033442A">
        <w:t xml:space="preserve"> (</w:t>
      </w:r>
      <w:r w:rsidR="00356377" w:rsidRPr="0033442A">
        <w:t xml:space="preserve">Figure </w:t>
      </w:r>
      <w:r w:rsidR="00356377" w:rsidRPr="0033442A">
        <w:rPr>
          <w:noProof/>
        </w:rPr>
        <w:t>4</w:t>
      </w:r>
      <w:r w:rsidR="00356377" w:rsidRPr="0033442A">
        <w:t>.</w:t>
      </w:r>
      <w:r w:rsidR="00356377" w:rsidRPr="0033442A">
        <w:rPr>
          <w:noProof/>
        </w:rPr>
        <w:t>1</w:t>
      </w:r>
      <w:r w:rsidR="00C52153" w:rsidRPr="0033442A">
        <w:t>)</w:t>
      </w:r>
      <w:r w:rsidRPr="0033442A">
        <w:t xml:space="preserve">. The two </w:t>
      </w:r>
      <w:r w:rsidR="0033442A" w:rsidRPr="0033442A">
        <w:t xml:space="preserve">fluticasone propionate/salmeterol </w:t>
      </w:r>
      <w:r w:rsidRPr="0033442A">
        <w:t xml:space="preserve">trials with tiotropium in both arms found </w:t>
      </w:r>
      <w:r w:rsidR="009D3832">
        <w:rPr>
          <w:noProof/>
          <w:color w:val="000000"/>
          <w:highlight w:val="black"/>
        </w:rPr>
        <w:t xml:space="preserve">''''' '''''''''''''''''' ''''''''''''''' ''''''''''''' '''''' '''''' '''' ''''''' ''''''''''''' ''''''''''''''' '''' '''''''''''' </w:t>
      </w:r>
      <w:r w:rsidRPr="0033442A">
        <w:t xml:space="preserve"> Compared with placebo, </w:t>
      </w:r>
      <w:r w:rsidR="009D3832">
        <w:rPr>
          <w:noProof/>
          <w:color w:val="000000"/>
          <w:highlight w:val="black"/>
        </w:rPr>
        <w:t>''''' ''''''''''''''''' ''''''''' ''''''''' '''''' '''''' '''''''' ''''''' ''''''''''''''''' '''''''''' ''''''' ''''' '''''''' '''''''''' ''' ''''''''''' '''''''''''''''''' ''''''''''''''''''' ''''''''''''''''''''''''''''''''''''''' '''''''' '''''''''''''''''''</w:t>
      </w:r>
    </w:p>
    <w:p w:rsidR="00675E77" w:rsidRDefault="00675E77" w:rsidP="00675E77">
      <w:pPr>
        <w:pStyle w:val="BodyText"/>
      </w:pPr>
      <w:r w:rsidRPr="0033442A">
        <w:t>An additional pooled analysis for safety was presented for the placebo comparison: SAEs diagnosed as pneumonia</w:t>
      </w:r>
      <w:r w:rsidR="00EC1E44" w:rsidRPr="0033442A">
        <w:t>.</w:t>
      </w:r>
      <w:r w:rsidR="00EC1E44" w:rsidRPr="0033442A">
        <w:rPr>
          <w:noProof/>
          <w:color w:val="000000"/>
        </w:rPr>
        <w:t xml:space="preserve"> </w:t>
      </w:r>
      <w:r w:rsidR="009D3832">
        <w:rPr>
          <w:noProof/>
          <w:color w:val="000000"/>
          <w:highlight w:val="black"/>
        </w:rPr>
        <w:t>''''''' ''''''' ''''' '''''''''''''''''''' '''''''''' '''''''' '''''''''''''''''''''' ''''''''''''' '''''' '''''' '''''''''''''''''''''' ''''''''''''''''''''''''''''''''''''''''''' ''''''''''' ''''''' ''''''''' '''''''''' ''''' '''''''''' '''''''''' '''''' '''''''' '''''''''' '''''' ''''''''' ''''''''''''' '''' ''''''' '''''''''''''' '''''''' ''''''' '''' '''''''''''''''' ''''' '''''' '''''''''''''''''' ''''''''''''''''''''''''''''''''''''''''''''' '''''''''''' '''''''''''' ''''''' '''' '''''' '''''''''''''' ''''''''''' ''''''''''''''''' '''''''''''''''''''' '''' ''''' ''''''' ''''''''''''' '''''''''' '''''''''''''''''''''' '''''' ''''''''''''''''''' ''''''' '''''''''' ''''''''' ''''''' ''''''' '''''''''' ''''''' '''''''''''''' ''''''''' ''''''' '''''''''''''''' ''''''''' '''''' ''''''''''''''''' ''''''''''''''''''' ''''''''''''''''''''' ''''' '''''' '''''''''''''''' ''''''''''''''''''''' ''' ''''''''</w:t>
      </w:r>
      <w:r w:rsidR="00EC1E44" w:rsidRPr="0033442A">
        <w:t xml:space="preserve"> </w:t>
      </w:r>
      <w:r w:rsidRPr="0033442A">
        <w:t xml:space="preserve">The PBAC accepted the exclusion of the TORCH trial for the purposes of the indirect comparisons with </w:t>
      </w:r>
      <w:proofErr w:type="spellStart"/>
      <w:r w:rsidRPr="0033442A">
        <w:t>Symbicort</w:t>
      </w:r>
      <w:proofErr w:type="spellEnd"/>
      <w:r w:rsidRPr="0033442A">
        <w:t xml:space="preserve"> due to the longer duration compared to the other trials.</w:t>
      </w:r>
    </w:p>
    <w:p w:rsidR="00EC1E44" w:rsidRPr="009D3832" w:rsidRDefault="00675E77" w:rsidP="00EC1E44">
      <w:pPr>
        <w:pStyle w:val="HeaderFigure"/>
      </w:pPr>
      <w:bookmarkStart w:id="34" w:name="_Ref472093681"/>
      <w:bookmarkStart w:id="35" w:name="_Toc468022880"/>
      <w:bookmarkStart w:id="36" w:name="_Toc468034533"/>
      <w:bookmarkStart w:id="37" w:name="_Toc480373316"/>
      <w:bookmarkStart w:id="38" w:name="_Toc486515158"/>
      <w:r w:rsidRPr="000E3539">
        <w:lastRenderedPageBreak/>
        <w:t xml:space="preserve">Figure </w:t>
      </w:r>
      <w:r w:rsidR="00356377" w:rsidRPr="000E3539">
        <w:rPr>
          <w:noProof/>
        </w:rPr>
        <w:t>4</w:t>
      </w:r>
      <w:r w:rsidR="00CC0111" w:rsidRPr="000E3539">
        <w:t>.</w:t>
      </w:r>
      <w:r w:rsidR="00356377" w:rsidRPr="000E3539">
        <w:rPr>
          <w:noProof/>
        </w:rPr>
        <w:t>1</w:t>
      </w:r>
      <w:bookmarkEnd w:id="34"/>
      <w:r w:rsidRPr="000E3539">
        <w:tab/>
      </w:r>
      <w:bookmarkEnd w:id="35"/>
      <w:bookmarkEnd w:id="36"/>
      <w:bookmarkEnd w:id="37"/>
      <w:bookmarkEnd w:id="38"/>
      <w:r w:rsidR="009D3832">
        <w:rPr>
          <w:noProof/>
          <w:color w:val="000000"/>
          <w:highlight w:val="black"/>
        </w:rPr>
        <w:t>''''''''''''''' ''''''''''''''''' ''''' '''''''''''''''''''''''' '''''''''''' '''''''''''''' '''''''''''''''''''''''' ''''''''''''''''''''''''''''''''''''''''''''''' ''''' ''''''''''''''''' '''''''''' ''''''''''''''''''''' ''''' ''''''' '''''''''''''''''''''''''' '''''''''''''''''''''''''''' '''''''''''' ''''''''''''''''''''''</w:t>
      </w:r>
    </w:p>
    <w:p w:rsidR="00EC1E44" w:rsidRPr="009D3832" w:rsidRDefault="009D3832" w:rsidP="00EC1E44">
      <w:pPr>
        <w:pStyle w:val="Picturewithbox"/>
        <w:keepNext/>
        <w:rPr>
          <w:noProof/>
          <w:highlight w:val="cyan"/>
          <w:lang w:eastAsia="en-AU"/>
        </w:rPr>
      </w:pPr>
      <w:r>
        <w:rPr>
          <w:noProof/>
          <w:lang w:eastAsia="en-AU"/>
        </w:rPr>
        <w:drawing>
          <wp:inline distT="0" distB="0" distL="0" distR="0">
            <wp:extent cx="4749165" cy="20059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49165" cy="2005965"/>
                    </a:xfrm>
                    <a:prstGeom prst="rect">
                      <a:avLst/>
                    </a:prstGeom>
                  </pic:spPr>
                </pic:pic>
              </a:graphicData>
            </a:graphic>
          </wp:inline>
        </w:drawing>
      </w:r>
    </w:p>
    <w:p w:rsidR="00EC1E44" w:rsidRPr="009D3832" w:rsidRDefault="009D3832" w:rsidP="00EC1E44">
      <w:pPr>
        <w:pStyle w:val="Picturewithbox"/>
        <w:rPr>
          <w:highlight w:val="cyan"/>
          <w:lang w:eastAsia="en-AU"/>
        </w:rPr>
      </w:pPr>
      <w:r>
        <w:rPr>
          <w:noProof/>
          <w:lang w:eastAsia="en-AU"/>
        </w:rPr>
        <w:drawing>
          <wp:inline distT="0" distB="0" distL="0" distR="0">
            <wp:extent cx="4749165" cy="20059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49165" cy="2005965"/>
                    </a:xfrm>
                    <a:prstGeom prst="rect">
                      <a:avLst/>
                    </a:prstGeom>
                  </pic:spPr>
                </pic:pic>
              </a:graphicData>
            </a:graphic>
          </wp:inline>
        </w:drawing>
      </w:r>
    </w:p>
    <w:p w:rsidR="00EC1E44" w:rsidRPr="009D3832" w:rsidRDefault="009D3832" w:rsidP="00EC1E44">
      <w:pPr>
        <w:pStyle w:val="10TableorFigurefootnote"/>
        <w:rPr>
          <w:highlight w:val="black"/>
        </w:rPr>
      </w:pPr>
      <w:r>
        <w:rPr>
          <w:noProof/>
          <w:color w:val="000000"/>
          <w:highlight w:val="black"/>
        </w:rPr>
        <w:t>'''''''''''''''''''' '''''''''''''' ''''''''''''''' '''''''''''''''''''''''''' '''''' ''''''''''''''''''''''' '''''''''''''''''''''''''' ''''''''' '''''''''''' ''''''''''''''''' ''''''</w:t>
      </w:r>
    </w:p>
    <w:p w:rsidR="00EC1E44" w:rsidRPr="009D3832" w:rsidRDefault="009D3832" w:rsidP="00EC1E44">
      <w:pPr>
        <w:pStyle w:val="11TableorFigurefootnotenostick"/>
        <w:rPr>
          <w:highlight w:val="black"/>
        </w:rPr>
      </w:pPr>
      <w:r>
        <w:rPr>
          <w:noProof/>
          <w:color w:val="000000"/>
          <w:highlight w:val="black"/>
        </w:rPr>
        <w:t xml:space="preserve">'''''''''''''''''''''''''''''''''' '''''''' ''''''''''''''''''''''''''' '''''''''''''''''' '''''''''''' '''''''''''''''''''''''''' ''''''''''''' ''''''''''''''''' ''''''''''''''''' '''''''''''''''' ''''''''''''' '''''''''''''''''''''''' '''''''''''''''''''''''' ''''''''''''''''''''''' '''''''''''''''''''''''''''''''''''''''''''''''' '''''''' '''''''''''''''''' </w:t>
      </w:r>
    </w:p>
    <w:p w:rsidR="00675E77" w:rsidRDefault="00675E77" w:rsidP="00675E77">
      <w:pPr>
        <w:pStyle w:val="BodyTextnospacebefore"/>
      </w:pPr>
      <w:r>
        <w:t xml:space="preserve">The extended assessment of comparative harms section of the November 2010 </w:t>
      </w:r>
      <w:proofErr w:type="spellStart"/>
      <w:r>
        <w:t>Symbicort</w:t>
      </w:r>
      <w:proofErr w:type="spellEnd"/>
      <w:r>
        <w:t xml:space="preserve"> </w:t>
      </w:r>
      <w:proofErr w:type="spellStart"/>
      <w:r>
        <w:t>Turbuhaler</w:t>
      </w:r>
      <w:proofErr w:type="spellEnd"/>
      <w:r>
        <w:t xml:space="preserve"> submission included findings of a c</w:t>
      </w:r>
      <w:r w:rsidRPr="008C3EAF">
        <w:t xml:space="preserve">omprehensive </w:t>
      </w:r>
      <w:r>
        <w:t xml:space="preserve">UK </w:t>
      </w:r>
      <w:r w:rsidRPr="008C3EAF">
        <w:t xml:space="preserve">review </w:t>
      </w:r>
      <w:r>
        <w:t xml:space="preserve">by the </w:t>
      </w:r>
      <w:r w:rsidRPr="008C3EAF">
        <w:t>Medicines and Healthcare products Regulatory Agency</w:t>
      </w:r>
      <w:r>
        <w:t xml:space="preserve"> (MHRA 2009</w:t>
      </w:r>
      <w:r>
        <w:rPr>
          <w:rStyle w:val="FootnoteReference"/>
        </w:rPr>
        <w:footnoteReference w:id="1"/>
      </w:r>
      <w:r>
        <w:t>)</w:t>
      </w:r>
      <w:r w:rsidRPr="008C3EAF">
        <w:t xml:space="preserve"> </w:t>
      </w:r>
      <w:r>
        <w:t>into</w:t>
      </w:r>
      <w:r w:rsidRPr="008C3EAF">
        <w:t xml:space="preserve"> the use of </w:t>
      </w:r>
      <w:r>
        <w:t xml:space="preserve">inhaled therapies for COPD. The </w:t>
      </w:r>
      <w:r w:rsidRPr="00741F5F">
        <w:t>risk of pneumonia</w:t>
      </w:r>
      <w:r>
        <w:t xml:space="preserve"> associated with the use of ICS was noted by the review as a key issue, and the final findings with respect to pneumonia were primarily informed by the results of the </w:t>
      </w:r>
      <w:proofErr w:type="spellStart"/>
      <w:r>
        <w:t>Seretide</w:t>
      </w:r>
      <w:proofErr w:type="spellEnd"/>
      <w:r>
        <w:t xml:space="preserve"> TORCH study. Pneumonia risk was 19.6%, 18.3% and 12.3% in the fluticasone</w:t>
      </w:r>
      <w:r w:rsidR="008E0D4A">
        <w:t xml:space="preserve"> </w:t>
      </w:r>
      <w:proofErr w:type="spellStart"/>
      <w:r w:rsidR="008E0D4A">
        <w:t>propinate</w:t>
      </w:r>
      <w:proofErr w:type="spellEnd"/>
      <w:r>
        <w:t>/salmeterol, fluticasone and placebo arms respectively; no increase in pneumonia risk was observed with salmeterol alone (13.3%) (</w:t>
      </w:r>
      <w:proofErr w:type="gramStart"/>
      <w:r>
        <w:t>see</w:t>
      </w:r>
      <w:proofErr w:type="gramEnd"/>
      <w:r>
        <w:t xml:space="preserve"> Section </w:t>
      </w:r>
      <w:r w:rsidR="00356377">
        <w:t>4.4.5</w:t>
      </w:r>
      <w:r>
        <w:t xml:space="preserve"> for a brief summary of the TORCH trial).</w:t>
      </w:r>
    </w:p>
    <w:p w:rsidR="00675E77" w:rsidRDefault="00675E77" w:rsidP="00675E77">
      <w:pPr>
        <w:pStyle w:val="Heading5"/>
        <w:rPr>
          <w:vertAlign w:val="superscript"/>
        </w:rPr>
      </w:pPr>
      <w:r>
        <w:t>March 2014 meeting</w:t>
      </w:r>
    </w:p>
    <w:p w:rsidR="00675E77" w:rsidRDefault="00675E77" w:rsidP="00675E77">
      <w:pPr>
        <w:pStyle w:val="BodyTextnospacebefore"/>
      </w:pPr>
      <w:proofErr w:type="spellStart"/>
      <w:r>
        <w:t>Seretide</w:t>
      </w:r>
      <w:proofErr w:type="spellEnd"/>
      <w:r>
        <w:t xml:space="preserve"> was the comparator for</w:t>
      </w:r>
      <w:r w:rsidRPr="001D55A7">
        <w:t xml:space="preserve"> </w:t>
      </w:r>
      <w:proofErr w:type="spellStart"/>
      <w:r w:rsidRPr="00805F1D">
        <w:t>Breo</w:t>
      </w:r>
      <w:proofErr w:type="spellEnd"/>
      <w:r w:rsidRPr="00805F1D">
        <w:t xml:space="preserve"> </w:t>
      </w:r>
      <w:proofErr w:type="spellStart"/>
      <w:r w:rsidRPr="00805F1D">
        <w:t>Ellipta</w:t>
      </w:r>
      <w:proofErr w:type="spellEnd"/>
      <w:r>
        <w:t xml:space="preserve"> (fluticasone</w:t>
      </w:r>
      <w:r w:rsidR="008E0D4A">
        <w:t xml:space="preserve"> </w:t>
      </w:r>
      <w:proofErr w:type="spellStart"/>
      <w:r w:rsidR="008E0D4A">
        <w:t>furoate</w:t>
      </w:r>
      <w:proofErr w:type="spellEnd"/>
      <w:r>
        <w:t>/</w:t>
      </w:r>
      <w:proofErr w:type="spellStart"/>
      <w:r>
        <w:t>vilanterol</w:t>
      </w:r>
      <w:proofErr w:type="spellEnd"/>
      <w:r>
        <w:t xml:space="preserve">) in the major submission considered in March 2014. The submission suggested that the long-term pneumonia risk for </w:t>
      </w:r>
      <w:proofErr w:type="spellStart"/>
      <w:r w:rsidRPr="00805F1D">
        <w:t>Breo</w:t>
      </w:r>
      <w:proofErr w:type="spellEnd"/>
      <w:r w:rsidRPr="00805F1D">
        <w:t xml:space="preserve"> </w:t>
      </w:r>
      <w:proofErr w:type="spellStart"/>
      <w:r w:rsidRPr="00805F1D">
        <w:t>Ellipta</w:t>
      </w:r>
      <w:proofErr w:type="spellEnd"/>
      <w:r>
        <w:t xml:space="preserve"> would be similar to that of </w:t>
      </w:r>
      <w:proofErr w:type="spellStart"/>
      <w:r>
        <w:t>Seretide</w:t>
      </w:r>
      <w:proofErr w:type="spellEnd"/>
      <w:r>
        <w:t xml:space="preserve">, and pneumonia rates from the TORCH trial were tabulated in the extended assessment of comparative harms section. </w:t>
      </w:r>
    </w:p>
    <w:p w:rsidR="00675E77" w:rsidRPr="004072A5" w:rsidRDefault="00675E77" w:rsidP="00675E77">
      <w:pPr>
        <w:pStyle w:val="BodyText"/>
      </w:pPr>
      <w:r>
        <w:lastRenderedPageBreak/>
        <w:t xml:space="preserve">The TORCH trial, therefore, has been discussed by the PBAC in relation to two submissions, but always in the context of a comparator for other interventions, rather than as a full assessment of the safety of </w:t>
      </w:r>
      <w:proofErr w:type="spellStart"/>
      <w:r>
        <w:t>Seretide</w:t>
      </w:r>
      <w:proofErr w:type="spellEnd"/>
      <w:r>
        <w:t>.</w:t>
      </w:r>
    </w:p>
    <w:p w:rsidR="00675E77" w:rsidRDefault="00675E77" w:rsidP="00675E77">
      <w:pPr>
        <w:pStyle w:val="Heading4"/>
      </w:pPr>
      <w:r>
        <w:t>Fluticasone</w:t>
      </w:r>
      <w:r w:rsidR="008E0D4A">
        <w:t xml:space="preserve"> </w:t>
      </w:r>
      <w:proofErr w:type="spellStart"/>
      <w:r w:rsidR="008E0D4A">
        <w:t>furoate</w:t>
      </w:r>
      <w:proofErr w:type="spellEnd"/>
      <w:r>
        <w:t>/</w:t>
      </w:r>
      <w:proofErr w:type="spellStart"/>
      <w:r>
        <w:t>vilanterol</w:t>
      </w:r>
      <w:proofErr w:type="spellEnd"/>
      <w:r>
        <w:t xml:space="preserve"> (</w:t>
      </w:r>
      <w:proofErr w:type="spellStart"/>
      <w:r w:rsidRPr="00805F1D">
        <w:t>Breo</w:t>
      </w:r>
      <w:proofErr w:type="spellEnd"/>
      <w:r w:rsidRPr="0083210B">
        <w:rPr>
          <w:vertAlign w:val="superscript"/>
        </w:rPr>
        <w:t>®</w:t>
      </w:r>
      <w:r w:rsidRPr="00805F1D">
        <w:t xml:space="preserve"> </w:t>
      </w:r>
      <w:proofErr w:type="spellStart"/>
      <w:r w:rsidRPr="00805F1D">
        <w:t>Ellipta</w:t>
      </w:r>
      <w:proofErr w:type="spellEnd"/>
      <w:r w:rsidRPr="0083210B">
        <w:rPr>
          <w:vertAlign w:val="superscript"/>
        </w:rPr>
        <w:t>®</w:t>
      </w:r>
      <w:r>
        <w:t>)</w:t>
      </w:r>
    </w:p>
    <w:p w:rsidR="00675E77" w:rsidRDefault="00675E77" w:rsidP="00675E77">
      <w:pPr>
        <w:pStyle w:val="Heading5"/>
      </w:pPr>
      <w:r>
        <w:t>March 2014 meeting</w:t>
      </w:r>
    </w:p>
    <w:p w:rsidR="00675E77" w:rsidRDefault="00675E77" w:rsidP="00675E77">
      <w:pPr>
        <w:pStyle w:val="BodyTextnospacebefore"/>
      </w:pPr>
      <w:r>
        <w:t>A major submission for fluticasone</w:t>
      </w:r>
      <w:r w:rsidR="008E0D4A">
        <w:t xml:space="preserve"> </w:t>
      </w:r>
      <w:proofErr w:type="spellStart"/>
      <w:r w:rsidR="008E0D4A">
        <w:t>furoate</w:t>
      </w:r>
      <w:proofErr w:type="spellEnd"/>
      <w:r>
        <w:t>/</w:t>
      </w:r>
      <w:proofErr w:type="spellStart"/>
      <w:r>
        <w:t>vilanterol</w:t>
      </w:r>
      <w:proofErr w:type="spellEnd"/>
      <w:r>
        <w:t xml:space="preserve"> DPI 100/25 </w:t>
      </w:r>
      <w:proofErr w:type="spellStart"/>
      <w:r>
        <w:t>μg</w:t>
      </w:r>
      <w:proofErr w:type="spellEnd"/>
      <w:r>
        <w:t xml:space="preserve"> (</w:t>
      </w:r>
      <w:proofErr w:type="spellStart"/>
      <w:r w:rsidRPr="00805F1D">
        <w:t>Breo</w:t>
      </w:r>
      <w:proofErr w:type="spellEnd"/>
      <w:r w:rsidRPr="00805F1D">
        <w:t xml:space="preserve"> </w:t>
      </w:r>
      <w:proofErr w:type="spellStart"/>
      <w:r w:rsidRPr="00805F1D">
        <w:t>Ellipta</w:t>
      </w:r>
      <w:proofErr w:type="spellEnd"/>
      <w:r>
        <w:t>) for COPD was considered by the PBAC at the March 2014 meeting. The submission sought listing on a cost-minimisation basis, claiming non-inferiority in efficacy and safety compared with fluticasone</w:t>
      </w:r>
      <w:r w:rsidR="008E0D4A">
        <w:t xml:space="preserve"> propionate</w:t>
      </w:r>
      <w:r>
        <w:t xml:space="preserve">/salmeterol (500/50 </w:t>
      </w:r>
      <w:proofErr w:type="spellStart"/>
      <w:r>
        <w:t>μg</w:t>
      </w:r>
      <w:proofErr w:type="spellEnd"/>
      <w:r>
        <w:t xml:space="preserve">) FDC. The submission was rejected as the PBAC considered the claim of non-inferiority with regard to safety was not justified by the existing evidence. </w:t>
      </w:r>
    </w:p>
    <w:p w:rsidR="00675E77" w:rsidRDefault="00675E77" w:rsidP="00675E77">
      <w:pPr>
        <w:pStyle w:val="BodyText"/>
      </w:pPr>
      <w:r>
        <w:t xml:space="preserve">The pivotal trial </w:t>
      </w:r>
      <w:r w:rsidRPr="00692B1A">
        <w:t>compared fluticasone</w:t>
      </w:r>
      <w:r w:rsidR="008E0D4A">
        <w:t xml:space="preserve"> </w:t>
      </w:r>
      <w:proofErr w:type="spellStart"/>
      <w:r w:rsidR="008E0D4A">
        <w:t>furoate</w:t>
      </w:r>
      <w:proofErr w:type="spellEnd"/>
      <w:r w:rsidRPr="00692B1A">
        <w:t>/</w:t>
      </w:r>
      <w:proofErr w:type="spellStart"/>
      <w:r w:rsidRPr="00692B1A">
        <w:t>vilanterol</w:t>
      </w:r>
      <w:proofErr w:type="spellEnd"/>
      <w:r w:rsidRPr="00692B1A">
        <w:t xml:space="preserve"> with fluticasone</w:t>
      </w:r>
      <w:r w:rsidR="008E0D4A">
        <w:t xml:space="preserve"> propionate</w:t>
      </w:r>
      <w:r w:rsidRPr="00692B1A">
        <w:t xml:space="preserve">/salmeterol </w:t>
      </w:r>
      <w:r>
        <w:t xml:space="preserve">over a 12-week period. Higher rates of cardiovascular events were reported in the intervention arm compared to the control arm. The PBAC noted the short duration of the trial limited the assessment of the long-term comparative safety risks. </w:t>
      </w:r>
    </w:p>
    <w:p w:rsidR="00675E77" w:rsidRDefault="00675E77" w:rsidP="00675E77">
      <w:pPr>
        <w:pStyle w:val="BodyText"/>
      </w:pPr>
      <w:r w:rsidRPr="000E3539">
        <w:t>The extended assessment of comparative harms presented a comparison of pneumonia risk in COPD from integrated clinical studies of fluticasone</w:t>
      </w:r>
      <w:r w:rsidR="008E0D4A" w:rsidRPr="000E3539">
        <w:t xml:space="preserve"> </w:t>
      </w:r>
      <w:proofErr w:type="spellStart"/>
      <w:r w:rsidR="008E0D4A" w:rsidRPr="000E3539">
        <w:t>furoate</w:t>
      </w:r>
      <w:proofErr w:type="spellEnd"/>
      <w:r w:rsidRPr="000E3539">
        <w:t>/</w:t>
      </w:r>
      <w:proofErr w:type="spellStart"/>
      <w:r w:rsidRPr="000E3539">
        <w:t>vilanterol</w:t>
      </w:r>
      <w:proofErr w:type="spellEnd"/>
      <w:r w:rsidRPr="000E3539">
        <w:t xml:space="preserve"> and similarly for fluticasone</w:t>
      </w:r>
      <w:r w:rsidR="00E110CE" w:rsidRPr="000E3539">
        <w:t xml:space="preserve"> propionate</w:t>
      </w:r>
      <w:r w:rsidRPr="000E3539">
        <w:t>/salmeterol,</w:t>
      </w:r>
      <w:r w:rsidRPr="000E3539">
        <w:rPr>
          <w:rStyle w:val="FootnoteReference"/>
        </w:rPr>
        <w:footnoteReference w:id="2"/>
      </w:r>
      <w:r w:rsidRPr="000E3539">
        <w:t xml:space="preserve"> and the submission concluded </w:t>
      </w:r>
      <w:r w:rsidR="009D3832">
        <w:rPr>
          <w:noProof/>
          <w:color w:val="000000"/>
          <w:highlight w:val="black"/>
        </w:rPr>
        <w:t>''''''' ''''''''''''''''''' '''''''''''''''''''''''''''''' ''''''' '' ''''''''''''' '''''''''''''''''' ''''''''''' ''''''''''''' '''' '''''''''''''''''''' ''''''''''''''''''''''''''''''''''''''''''</w:t>
      </w:r>
    </w:p>
    <w:p w:rsidR="00675E77" w:rsidRDefault="00675E77" w:rsidP="00675E77">
      <w:pPr>
        <w:pStyle w:val="BodyText"/>
      </w:pPr>
      <w:r>
        <w:t xml:space="preserve">The PBAC introduced an observational ICS study that was not presented in the submission; an analysis of a population-based cohort of 160,000 COPD patients in the </w:t>
      </w:r>
      <w:r w:rsidRPr="009B6314">
        <w:t>Q</w:t>
      </w:r>
      <w:r>
        <w:t>uebec health insurance database (</w:t>
      </w:r>
      <w:proofErr w:type="spellStart"/>
      <w:r>
        <w:t>Suissa</w:t>
      </w:r>
      <w:proofErr w:type="spellEnd"/>
      <w:r>
        <w:t xml:space="preserve">, 2013; discussed in Section </w:t>
      </w:r>
      <w:r w:rsidR="00356377">
        <w:t>4.4.2</w:t>
      </w:r>
      <w:r>
        <w:t xml:space="preserve">). The PBAC noted this study found ICS use was associated with a 69% increase in the rate of serious pneumonia (RR 1.69 [95% CI: 1.63, 1.75]), which was sustained with long-term ICS use and declined after ceasing ICS therapy. They also noted this study found a higher pneumonia risk with fluticasone than with budesonide, and that the rate ratio increased proportionally with the daily dose (dose-dependency and differences between ICS drugs are discussed in the </w:t>
      </w:r>
      <w:r w:rsidRPr="00DA6D73">
        <w:t>following sections</w:t>
      </w:r>
      <w:r>
        <w:t>).</w:t>
      </w:r>
    </w:p>
    <w:p w:rsidR="00675E77" w:rsidRDefault="00675E77" w:rsidP="00675E77">
      <w:pPr>
        <w:pStyle w:val="Heading5"/>
      </w:pPr>
      <w:r>
        <w:t>July 2014 meeting</w:t>
      </w:r>
    </w:p>
    <w:p w:rsidR="00675E77" w:rsidRDefault="00675E77" w:rsidP="00675E77">
      <w:pPr>
        <w:pStyle w:val="BodyTextnospacebefore"/>
      </w:pPr>
      <w:r>
        <w:t xml:space="preserve">A minor resubmission for </w:t>
      </w:r>
      <w:proofErr w:type="spellStart"/>
      <w:r w:rsidRPr="00805F1D">
        <w:t>Breo</w:t>
      </w:r>
      <w:proofErr w:type="spellEnd"/>
      <w:r w:rsidRPr="00805F1D">
        <w:t xml:space="preserve"> </w:t>
      </w:r>
      <w:proofErr w:type="spellStart"/>
      <w:r w:rsidRPr="00805F1D">
        <w:t>Ellipta</w:t>
      </w:r>
      <w:proofErr w:type="spellEnd"/>
      <w:r>
        <w:t xml:space="preserve"> was considered at the July 2014 meeting. The PBAC </w:t>
      </w:r>
      <w:r w:rsidR="00CB590C">
        <w:t xml:space="preserve">noted </w:t>
      </w:r>
      <w:r>
        <w:t>that in the pivotal trial, patients in the comparator arm experienced rates of cardiovascular events that were anomalously low and not reproduced in other trials.</w:t>
      </w:r>
    </w:p>
    <w:p w:rsidR="00675E77" w:rsidRDefault="00675E77" w:rsidP="00675E77">
      <w:pPr>
        <w:pStyle w:val="BodyText"/>
      </w:pPr>
      <w:r>
        <w:t>In the July 2014 meeting, the PBAC accepted that increased rates of pneumonia in the TORCH study were offset by a 25% reduction in COPD-related exacerbations.</w:t>
      </w:r>
    </w:p>
    <w:p w:rsidR="003F0B35" w:rsidRDefault="00675E77" w:rsidP="003F0B35">
      <w:pPr>
        <w:pStyle w:val="BodyText"/>
      </w:pPr>
      <w:r>
        <w:t>A risk minimisation plan was agreed with the TGA to monitor cardiovascular safety through standard post-marketing surveillance mechanisms, and a recommendation for listing was made.</w:t>
      </w:r>
    </w:p>
    <w:p w:rsidR="00675E77" w:rsidRDefault="0030221C" w:rsidP="003F0B35">
      <w:pPr>
        <w:pStyle w:val="Heading4"/>
      </w:pPr>
      <w:r>
        <w:lastRenderedPageBreak/>
        <w:t>Budesonide/</w:t>
      </w:r>
      <w:proofErr w:type="spellStart"/>
      <w:r w:rsidR="00675E77">
        <w:t>eformoterol</w:t>
      </w:r>
      <w:proofErr w:type="spellEnd"/>
      <w:r w:rsidR="00675E77">
        <w:t xml:space="preserve"> (</w:t>
      </w:r>
      <w:proofErr w:type="spellStart"/>
      <w:r w:rsidR="00675E77">
        <w:t>Symbicort</w:t>
      </w:r>
      <w:proofErr w:type="spellEnd"/>
      <w:r w:rsidR="00675E77" w:rsidRPr="0083210B">
        <w:rPr>
          <w:vertAlign w:val="superscript"/>
        </w:rPr>
        <w:t>®</w:t>
      </w:r>
      <w:r w:rsidR="00675E77" w:rsidRPr="00BF0C06">
        <w:t xml:space="preserve"> </w:t>
      </w:r>
      <w:proofErr w:type="spellStart"/>
      <w:r w:rsidR="00675E77" w:rsidRPr="00BF0C06">
        <w:t>Turbuhaler</w:t>
      </w:r>
      <w:proofErr w:type="spellEnd"/>
      <w:r w:rsidR="00675E77" w:rsidRPr="00BF0C06">
        <w:rPr>
          <w:vertAlign w:val="superscript"/>
        </w:rPr>
        <w:t>®</w:t>
      </w:r>
      <w:r w:rsidR="00675E77" w:rsidRPr="00BF0C06">
        <w:t>)</w:t>
      </w:r>
    </w:p>
    <w:p w:rsidR="00675E77" w:rsidRPr="008327CC" w:rsidRDefault="00675E77" w:rsidP="003F0B35">
      <w:pPr>
        <w:pStyle w:val="Heading5"/>
        <w:keepNext w:val="0"/>
      </w:pPr>
      <w:r>
        <w:t>November 2010 meeting</w:t>
      </w:r>
    </w:p>
    <w:p w:rsidR="00675E77" w:rsidRDefault="00675E77" w:rsidP="003F0B35">
      <w:pPr>
        <w:pStyle w:val="BodyTextnospacebefore"/>
      </w:pPr>
      <w:proofErr w:type="spellStart"/>
      <w:r w:rsidRPr="00FC47EE">
        <w:t>Symbicort</w:t>
      </w:r>
      <w:proofErr w:type="spellEnd"/>
      <w:r w:rsidRPr="00FC47EE">
        <w:t xml:space="preserve"> </w:t>
      </w:r>
      <w:proofErr w:type="spellStart"/>
      <w:r w:rsidRPr="00FC47EE">
        <w:t>Turbuhaler</w:t>
      </w:r>
      <w:proofErr w:type="spellEnd"/>
      <w:r>
        <w:t xml:space="preserve"> was recommended by the PBAC as a Restricted Benefit in March 2002 (200/6 </w:t>
      </w:r>
      <w:proofErr w:type="spellStart"/>
      <w:r>
        <w:t>μg</w:t>
      </w:r>
      <w:proofErr w:type="spellEnd"/>
      <w:r>
        <w:t xml:space="preserve">) and March 2004 (400/12 </w:t>
      </w:r>
      <w:proofErr w:type="spellStart"/>
      <w:r>
        <w:t>μg</w:t>
      </w:r>
      <w:proofErr w:type="spellEnd"/>
      <w:r>
        <w:t xml:space="preserve">), on a cost-minimisation basis compared with the individual components, for the treatment of asthma in patients who meet certain criteria. In November 2010, the PBAC considered a submission to extend the restricted benefit listing of </w:t>
      </w:r>
      <w:proofErr w:type="spellStart"/>
      <w:r w:rsidRPr="00FC47EE">
        <w:t>Symbicort</w:t>
      </w:r>
      <w:proofErr w:type="spellEnd"/>
      <w:r w:rsidRPr="00FC47EE">
        <w:t xml:space="preserve"> </w:t>
      </w:r>
      <w:proofErr w:type="spellStart"/>
      <w:r w:rsidRPr="00FC47EE">
        <w:t>Turbuhaler</w:t>
      </w:r>
      <w:proofErr w:type="spellEnd"/>
      <w:r>
        <w:t xml:space="preserve"> 400/12 </w:t>
      </w:r>
      <w:proofErr w:type="spellStart"/>
      <w:r>
        <w:t>μg</w:t>
      </w:r>
      <w:proofErr w:type="spellEnd"/>
      <w:r>
        <w:t xml:space="preserve"> to the treatment of COPD. The submission made the clinical claim that </w:t>
      </w:r>
      <w:proofErr w:type="spellStart"/>
      <w:r w:rsidRPr="00FC47EE">
        <w:t>Symbicort</w:t>
      </w:r>
      <w:proofErr w:type="spellEnd"/>
      <w:r w:rsidRPr="00FC47EE">
        <w:t xml:space="preserve"> </w:t>
      </w:r>
      <w:proofErr w:type="spellStart"/>
      <w:r w:rsidRPr="00FC47EE">
        <w:t>Turbuhaler</w:t>
      </w:r>
      <w:proofErr w:type="spellEnd"/>
      <w:r>
        <w:t xml:space="preserve"> is non-inferior in terms of comparative effectiveness and </w:t>
      </w:r>
      <w:r w:rsidR="00CB590C">
        <w:t xml:space="preserve">similar </w:t>
      </w:r>
      <w:r>
        <w:t xml:space="preserve">comparative safety compared to </w:t>
      </w:r>
      <w:proofErr w:type="spellStart"/>
      <w:r>
        <w:t>Seretide</w:t>
      </w:r>
      <w:proofErr w:type="spellEnd"/>
      <w:r>
        <w:t xml:space="preserve"> (fluticasone</w:t>
      </w:r>
      <w:r w:rsidR="00E110CE">
        <w:t xml:space="preserve"> propionate</w:t>
      </w:r>
      <w:r>
        <w:t xml:space="preserve">/salmeterol) in the COPD population. </w:t>
      </w:r>
    </w:p>
    <w:p w:rsidR="00675E77" w:rsidRDefault="00675E77" w:rsidP="003F0B35">
      <w:pPr>
        <w:pStyle w:val="BodyText"/>
      </w:pPr>
      <w:r>
        <w:t xml:space="preserve">Two indirect comparisons were presented; one using placebo, and the other tiotropium, as a common comparator. All trials included </w:t>
      </w:r>
      <w:proofErr w:type="spellStart"/>
      <w:r>
        <w:t>Symbicort</w:t>
      </w:r>
      <w:proofErr w:type="spellEnd"/>
      <w:r>
        <w:t xml:space="preserve"> dosages that match those available on the PBS for COPD (the metered dose listed on the PBS is 400/12 </w:t>
      </w:r>
      <w:proofErr w:type="spellStart"/>
      <w:r>
        <w:t>μg</w:t>
      </w:r>
      <w:proofErr w:type="spellEnd"/>
      <w:r>
        <w:t xml:space="preserve">, which is equivalent to a delivered dose of 320/9 </w:t>
      </w:r>
      <w:proofErr w:type="spellStart"/>
      <w:r>
        <w:t>μg</w:t>
      </w:r>
      <w:proofErr w:type="spellEnd"/>
      <w:r>
        <w:rPr>
          <w:rStyle w:val="FootnoteReference"/>
        </w:rPr>
        <w:footnoteReference w:id="3"/>
      </w:r>
      <w:r>
        <w:t>).</w:t>
      </w:r>
    </w:p>
    <w:p w:rsidR="00675E77" w:rsidRDefault="00675E77" w:rsidP="00675E77">
      <w:pPr>
        <w:pStyle w:val="BodyText"/>
      </w:pPr>
      <w:r>
        <w:t xml:space="preserve">The indirect comparisons found no statistically significant difference in adverse events between </w:t>
      </w:r>
      <w:proofErr w:type="spellStart"/>
      <w:r>
        <w:t>Symbicort</w:t>
      </w:r>
      <w:proofErr w:type="spellEnd"/>
      <w:r>
        <w:t xml:space="preserve"> and </w:t>
      </w:r>
      <w:proofErr w:type="spellStart"/>
      <w:r>
        <w:t>Seretide</w:t>
      </w:r>
      <w:proofErr w:type="spellEnd"/>
      <w:r>
        <w:t>, and t</w:t>
      </w:r>
      <w:r w:rsidRPr="009A7EF8">
        <w:t>he assessment of extended comparative harm</w:t>
      </w:r>
      <w:r>
        <w:t>s</w:t>
      </w:r>
      <w:r w:rsidRPr="009A7EF8">
        <w:t xml:space="preserve"> did not reveal additional safety concerns</w:t>
      </w:r>
      <w:r>
        <w:t>. The PBAC considered that the claim of non-inferiority of budesonide/</w:t>
      </w:r>
      <w:proofErr w:type="spellStart"/>
      <w:r>
        <w:t>eformoterol</w:t>
      </w:r>
      <w:proofErr w:type="spellEnd"/>
      <w:r>
        <w:t xml:space="preserve"> compared to fluticasone</w:t>
      </w:r>
      <w:r w:rsidR="00E110CE">
        <w:t xml:space="preserve"> propionate</w:t>
      </w:r>
      <w:r>
        <w:t>/salmeterol was reasonable, and recommended listing on a cost-minimisation basis.</w:t>
      </w:r>
    </w:p>
    <w:p w:rsidR="00675E77" w:rsidRPr="009E020E" w:rsidRDefault="00675E77" w:rsidP="00675E77">
      <w:pPr>
        <w:pStyle w:val="BodyText"/>
        <w:rPr>
          <w:b/>
        </w:rPr>
      </w:pPr>
      <w:r>
        <w:t xml:space="preserve">The direct comparison of </w:t>
      </w:r>
      <w:proofErr w:type="spellStart"/>
      <w:r>
        <w:t>Symbicort</w:t>
      </w:r>
      <w:proofErr w:type="spellEnd"/>
      <w:r>
        <w:t xml:space="preserve"> with placebo found statistically significantly more patients reported any adverse event in the </w:t>
      </w:r>
      <w:proofErr w:type="spellStart"/>
      <w:r>
        <w:t>Symbicort</w:t>
      </w:r>
      <w:proofErr w:type="spellEnd"/>
      <w:r>
        <w:t xml:space="preserve"> arm, but no significant difference was found for non-fatal SAEs, fatal SAEs, and SAEs diagnosed as pneumonia. </w:t>
      </w:r>
    </w:p>
    <w:p w:rsidR="00675E77" w:rsidRDefault="00675E77" w:rsidP="009E709C">
      <w:pPr>
        <w:pStyle w:val="BodyText"/>
      </w:pPr>
      <w:r>
        <w:t xml:space="preserve">The </w:t>
      </w:r>
      <w:proofErr w:type="spellStart"/>
      <w:r>
        <w:t>Seretide</w:t>
      </w:r>
      <w:proofErr w:type="spellEnd"/>
      <w:r>
        <w:t xml:space="preserve"> trial with tiotropium in both arms did not pool results for pneumonia SAEs. No significant difference between groups was observed for pooled analyses of any AE, any SAE or death.</w:t>
      </w:r>
    </w:p>
    <w:p w:rsidR="00675E77" w:rsidRPr="00453911" w:rsidRDefault="00675E77" w:rsidP="00675E77">
      <w:pPr>
        <w:pStyle w:val="Heading4"/>
      </w:pPr>
      <w:r>
        <w:t>Budesonide/</w:t>
      </w:r>
      <w:proofErr w:type="spellStart"/>
      <w:r>
        <w:t>eformoterol</w:t>
      </w:r>
      <w:proofErr w:type="spellEnd"/>
      <w:r>
        <w:t xml:space="preserve"> (</w:t>
      </w:r>
      <w:proofErr w:type="spellStart"/>
      <w:r>
        <w:t>Symbicort</w:t>
      </w:r>
      <w:proofErr w:type="spellEnd"/>
      <w:r w:rsidRPr="0083210B">
        <w:rPr>
          <w:vertAlign w:val="superscript"/>
        </w:rPr>
        <w:t>®</w:t>
      </w:r>
      <w:r>
        <w:t xml:space="preserve"> </w:t>
      </w:r>
      <w:proofErr w:type="spellStart"/>
      <w:r>
        <w:t>Rapihaler</w:t>
      </w:r>
      <w:proofErr w:type="spellEnd"/>
      <w:r w:rsidRPr="0083210B">
        <w:rPr>
          <w:vertAlign w:val="superscript"/>
        </w:rPr>
        <w:t>®</w:t>
      </w:r>
      <w:r>
        <w:t>)</w:t>
      </w:r>
    </w:p>
    <w:p w:rsidR="00675E77" w:rsidRDefault="00675E77" w:rsidP="00675E77">
      <w:pPr>
        <w:pStyle w:val="BodyText"/>
      </w:pPr>
      <w:r>
        <w:t>Minor submissions for</w:t>
      </w:r>
      <w:r w:rsidRPr="004A5E3D">
        <w:t xml:space="preserve"> budesonide/</w:t>
      </w:r>
      <w:proofErr w:type="spellStart"/>
      <w:r w:rsidRPr="004A5E3D">
        <w:t>eformoterol</w:t>
      </w:r>
      <w:proofErr w:type="spellEnd"/>
      <w:r w:rsidRPr="004A5E3D">
        <w:t xml:space="preserve"> </w:t>
      </w:r>
      <w:r>
        <w:t>MDI (</w:t>
      </w:r>
      <w:proofErr w:type="spellStart"/>
      <w:r>
        <w:t>Symbicort</w:t>
      </w:r>
      <w:proofErr w:type="spellEnd"/>
      <w:r>
        <w:t xml:space="preserve"> </w:t>
      </w:r>
      <w:proofErr w:type="spellStart"/>
      <w:r>
        <w:t>Rapihaler</w:t>
      </w:r>
      <w:proofErr w:type="spellEnd"/>
      <w:r>
        <w:t xml:space="preserve">) were considered at the November 2010, November 2011 and November 2012 meetings, and a major submission considered </w:t>
      </w:r>
      <w:r w:rsidR="00CB590C">
        <w:t>at</w:t>
      </w:r>
      <w:r>
        <w:t xml:space="preserve"> the July 2013 meeting lead to a recommendation for listing by the PBAC. This re</w:t>
      </w:r>
      <w:r w:rsidR="009B3FE7">
        <w:t>submission</w:t>
      </w:r>
      <w:r>
        <w:t xml:space="preserve"> requested a Restricted Benefit listing for both COPD (budesonide/</w:t>
      </w:r>
      <w:proofErr w:type="spellStart"/>
      <w:r>
        <w:t>eformoterol</w:t>
      </w:r>
      <w:proofErr w:type="spellEnd"/>
      <w:r>
        <w:t xml:space="preserve"> MDI 200/6 </w:t>
      </w:r>
      <w:proofErr w:type="spellStart"/>
      <w:r>
        <w:t>μg</w:t>
      </w:r>
      <w:proofErr w:type="spellEnd"/>
      <w:r>
        <w:t xml:space="preserve">) and asthma, consistent with the existing listing for </w:t>
      </w:r>
      <w:proofErr w:type="spellStart"/>
      <w:r>
        <w:t>Symbicort</w:t>
      </w:r>
      <w:proofErr w:type="spellEnd"/>
      <w:r>
        <w:t xml:space="preserve"> </w:t>
      </w:r>
      <w:proofErr w:type="spellStart"/>
      <w:r>
        <w:t>Turbuhaler</w:t>
      </w:r>
      <w:proofErr w:type="spellEnd"/>
      <w:r>
        <w:t xml:space="preserve">. </w:t>
      </w:r>
    </w:p>
    <w:p w:rsidR="00675E77" w:rsidRDefault="00675E77" w:rsidP="00675E77">
      <w:pPr>
        <w:pStyle w:val="BodyText"/>
      </w:pPr>
      <w:r>
        <w:t xml:space="preserve">The dosages of </w:t>
      </w:r>
      <w:proofErr w:type="spellStart"/>
      <w:r>
        <w:t>Symbicort</w:t>
      </w:r>
      <w:proofErr w:type="spellEnd"/>
      <w:r>
        <w:t xml:space="preserve"> </w:t>
      </w:r>
      <w:proofErr w:type="spellStart"/>
      <w:r>
        <w:t>Rapihaler</w:t>
      </w:r>
      <w:proofErr w:type="spellEnd"/>
      <w:r>
        <w:t xml:space="preserve"> used in one of the two pivotal trials and two of the three supportive trials are the same as those listed on the PBS for COPD, but all pivotal and supportive trials were conducted in the asthma population. One study conducted in COPD patients was briefly discussed in the submission; Lindberg et al (2007) was a cross</w:t>
      </w:r>
      <w:r w:rsidR="00CB2EED">
        <w:t>-over</w:t>
      </w:r>
      <w:r>
        <w:t xml:space="preserve"> RCT </w:t>
      </w:r>
      <w:r>
        <w:lastRenderedPageBreak/>
        <w:t>in which patients received only one dose of each of four treatments administered on four separate visits. Only efficacy outcomes were reported for this study.</w:t>
      </w:r>
    </w:p>
    <w:p w:rsidR="00675E77" w:rsidRDefault="00675E77" w:rsidP="00675E77">
      <w:pPr>
        <w:pStyle w:val="BodyText"/>
      </w:pPr>
      <w:r>
        <w:t xml:space="preserve">The submission claimed equivalence in effectiveness and safety compared to </w:t>
      </w:r>
      <w:proofErr w:type="spellStart"/>
      <w:r>
        <w:t>Symbicort</w:t>
      </w:r>
      <w:proofErr w:type="spellEnd"/>
      <w:r>
        <w:t xml:space="preserve"> </w:t>
      </w:r>
      <w:proofErr w:type="spellStart"/>
      <w:r>
        <w:t>Turbuhaler</w:t>
      </w:r>
      <w:proofErr w:type="spellEnd"/>
      <w:r>
        <w:t xml:space="preserve"> DPI. The PBAC accepted that strong patient preference for device type meant the majority of substitution for </w:t>
      </w:r>
      <w:proofErr w:type="spellStart"/>
      <w:r>
        <w:t>Symbicort</w:t>
      </w:r>
      <w:proofErr w:type="spellEnd"/>
      <w:r>
        <w:t xml:space="preserve"> MDI would be from </w:t>
      </w:r>
      <w:proofErr w:type="spellStart"/>
      <w:r>
        <w:t>Seretide</w:t>
      </w:r>
      <w:proofErr w:type="spellEnd"/>
      <w:r>
        <w:t xml:space="preserve"> MDI, so comparisons of </w:t>
      </w:r>
      <w:proofErr w:type="spellStart"/>
      <w:r>
        <w:t>Symbicort</w:t>
      </w:r>
      <w:proofErr w:type="spellEnd"/>
      <w:r>
        <w:t xml:space="preserve"> MDI with </w:t>
      </w:r>
      <w:proofErr w:type="spellStart"/>
      <w:r>
        <w:t>Seretide</w:t>
      </w:r>
      <w:proofErr w:type="spellEnd"/>
      <w:r>
        <w:t xml:space="preserve"> DPI and MDI were also presented. </w:t>
      </w:r>
    </w:p>
    <w:p w:rsidR="00675E77" w:rsidRDefault="00675E77" w:rsidP="00675E77">
      <w:pPr>
        <w:pStyle w:val="BodyText"/>
      </w:pPr>
      <w:r>
        <w:t xml:space="preserve">No major differences were observed in the number of patients experiencing adverse events with </w:t>
      </w:r>
      <w:proofErr w:type="spellStart"/>
      <w:r>
        <w:t>Symbicort</w:t>
      </w:r>
      <w:proofErr w:type="spellEnd"/>
      <w:r>
        <w:t xml:space="preserve"> MDI versus </w:t>
      </w:r>
      <w:proofErr w:type="spellStart"/>
      <w:r>
        <w:t>Symbicort</w:t>
      </w:r>
      <w:proofErr w:type="spellEnd"/>
      <w:r>
        <w:t xml:space="preserve"> DPI. Discontinuations due to drug-related adverse events were considerably higher in the </w:t>
      </w:r>
      <w:proofErr w:type="spellStart"/>
      <w:r>
        <w:t>Symbicort</w:t>
      </w:r>
      <w:proofErr w:type="spellEnd"/>
      <w:r>
        <w:t xml:space="preserve"> MDI group than in the </w:t>
      </w:r>
      <w:proofErr w:type="spellStart"/>
      <w:r>
        <w:t>Seretide</w:t>
      </w:r>
      <w:proofErr w:type="spellEnd"/>
      <w:r>
        <w:t xml:space="preserve"> DPI group, so it was noted that the possibility of </w:t>
      </w:r>
      <w:proofErr w:type="spellStart"/>
      <w:r>
        <w:t>Symbicort</w:t>
      </w:r>
      <w:proofErr w:type="spellEnd"/>
      <w:r>
        <w:t xml:space="preserve"> MDI being inferior to </w:t>
      </w:r>
      <w:proofErr w:type="spellStart"/>
      <w:r>
        <w:t>Seretide</w:t>
      </w:r>
      <w:proofErr w:type="spellEnd"/>
      <w:r>
        <w:t xml:space="preserve"> DPI in terms of safety cannot be ruled out. However, the PBAC accepted that the clinical claim was adequately supported by the data provided, and </w:t>
      </w:r>
      <w:proofErr w:type="spellStart"/>
      <w:r>
        <w:t>Symbicort</w:t>
      </w:r>
      <w:proofErr w:type="spellEnd"/>
      <w:r>
        <w:t xml:space="preserve"> MDI was deemed to be non-inferior to both </w:t>
      </w:r>
      <w:proofErr w:type="spellStart"/>
      <w:r>
        <w:t>Symbicort</w:t>
      </w:r>
      <w:proofErr w:type="spellEnd"/>
      <w:r>
        <w:t xml:space="preserve"> DPI and </w:t>
      </w:r>
      <w:proofErr w:type="spellStart"/>
      <w:r>
        <w:t>Seretide</w:t>
      </w:r>
      <w:proofErr w:type="spellEnd"/>
      <w:r>
        <w:t xml:space="preserve"> DPI for both safety and effectiveness. </w:t>
      </w:r>
      <w:proofErr w:type="spellStart"/>
      <w:r>
        <w:t>Symbicort</w:t>
      </w:r>
      <w:proofErr w:type="spellEnd"/>
      <w:r>
        <w:t xml:space="preserve"> </w:t>
      </w:r>
      <w:proofErr w:type="spellStart"/>
      <w:r>
        <w:t>Rapihaler</w:t>
      </w:r>
      <w:proofErr w:type="spellEnd"/>
      <w:r>
        <w:t xml:space="preserve"> MDI was listed </w:t>
      </w:r>
      <w:r w:rsidRPr="00A86753">
        <w:t>on a cost-minimisation basis</w:t>
      </w:r>
      <w:r>
        <w:t xml:space="preserve"> with </w:t>
      </w:r>
      <w:proofErr w:type="spellStart"/>
      <w:r>
        <w:t>Symbicort</w:t>
      </w:r>
      <w:proofErr w:type="spellEnd"/>
      <w:r>
        <w:t xml:space="preserve"> </w:t>
      </w:r>
      <w:proofErr w:type="spellStart"/>
      <w:r>
        <w:t>Turbuhaler</w:t>
      </w:r>
      <w:proofErr w:type="spellEnd"/>
      <w:r>
        <w:t xml:space="preserve"> DPI.</w:t>
      </w:r>
    </w:p>
    <w:p w:rsidR="00675E77" w:rsidRDefault="00675E77" w:rsidP="00675E77">
      <w:pPr>
        <w:pStyle w:val="Heading2"/>
      </w:pPr>
      <w:bookmarkStart w:id="39" w:name="_Toc468022806"/>
      <w:bookmarkStart w:id="40" w:name="_Toc482191516"/>
      <w:bookmarkStart w:id="41" w:name="_Toc486515183"/>
      <w:r>
        <w:t>ICS safety evidence not considered by the PBAC</w:t>
      </w:r>
      <w:bookmarkEnd w:id="39"/>
      <w:bookmarkEnd w:id="40"/>
      <w:bookmarkEnd w:id="41"/>
    </w:p>
    <w:p w:rsidR="00675E77" w:rsidRDefault="00675E77" w:rsidP="00675E77">
      <w:pPr>
        <w:pStyle w:val="BodyText"/>
      </w:pPr>
      <w:r>
        <w:t xml:space="preserve">This section of the report will review the pertinent evidence that has not been considered by the PBAC regarding the safety of prolonged ICS use. </w:t>
      </w:r>
    </w:p>
    <w:p w:rsidR="00675E77" w:rsidRPr="00DA494B" w:rsidRDefault="00675E77" w:rsidP="00D92F94">
      <w:pPr>
        <w:pStyle w:val="Heading3"/>
      </w:pPr>
      <w:bookmarkStart w:id="42" w:name="_Toc468022807"/>
      <w:bookmarkStart w:id="43" w:name="_Toc482191517"/>
      <w:bookmarkStart w:id="44" w:name="_Toc486515184"/>
      <w:r>
        <w:t>Systematic reviews</w:t>
      </w:r>
      <w:bookmarkEnd w:id="42"/>
      <w:bookmarkEnd w:id="43"/>
      <w:bookmarkEnd w:id="44"/>
    </w:p>
    <w:p w:rsidR="00675E77" w:rsidRDefault="00675E77" w:rsidP="00675E77">
      <w:pPr>
        <w:pStyle w:val="Heading4"/>
      </w:pPr>
      <w:r>
        <w:t>Identified studies</w:t>
      </w:r>
    </w:p>
    <w:p w:rsidR="00675E77" w:rsidRDefault="00675E77" w:rsidP="00675E77">
      <w:pPr>
        <w:pStyle w:val="BodyText"/>
      </w:pPr>
      <w:r>
        <w:t xml:space="preserve">The literature search identified 36 systematic reviews of the safety of ICS, of which 13 </w:t>
      </w:r>
      <w:r w:rsidRPr="005D4F0A">
        <w:t>compare</w:t>
      </w:r>
      <w:r>
        <w:t xml:space="preserve"> ICS</w:t>
      </w:r>
      <w:r>
        <w:rPr>
          <w:rFonts w:hint="cs"/>
        </w:rPr>
        <w:t>/</w:t>
      </w:r>
      <w:r>
        <w:t>LABA with LABA, placebo or with monotherapy using the same components (</w:t>
      </w:r>
      <w:r w:rsidR="00356377">
        <w:t xml:space="preserve">Table </w:t>
      </w:r>
      <w:r w:rsidR="00356377">
        <w:rPr>
          <w:noProof/>
        </w:rPr>
        <w:t>4</w:t>
      </w:r>
      <w:r w:rsidR="00356377">
        <w:t>.</w:t>
      </w:r>
      <w:r w:rsidR="00356377">
        <w:rPr>
          <w:noProof/>
        </w:rPr>
        <w:t>3</w:t>
      </w:r>
      <w:r>
        <w:t xml:space="preserve">). Studies that compared ICS to a LAMA or to placebo with a LAMA background were considered confounded and were excluded from further review, along with reviews that did not include any additional data to those in </w:t>
      </w:r>
      <w:r w:rsidR="00356377">
        <w:t xml:space="preserve">Table </w:t>
      </w:r>
      <w:r w:rsidR="00356377">
        <w:rPr>
          <w:noProof/>
        </w:rPr>
        <w:t>4</w:t>
      </w:r>
      <w:r w:rsidR="00356377">
        <w:t>.</w:t>
      </w:r>
      <w:r w:rsidR="00356377">
        <w:rPr>
          <w:noProof/>
        </w:rPr>
        <w:t>3</w:t>
      </w:r>
      <w:r>
        <w:t xml:space="preserve"> (the remaining 23 studies are listed in </w:t>
      </w:r>
      <w:r w:rsidR="00356377">
        <w:t xml:space="preserve">Appendix </w:t>
      </w:r>
      <w:r w:rsidR="00B76E11">
        <w:t>P</w:t>
      </w:r>
      <w:r>
        <w:t xml:space="preserve">, </w:t>
      </w:r>
      <w:r w:rsidR="00356377">
        <w:t xml:space="preserve">Table: </w:t>
      </w:r>
      <w:r w:rsidR="00B76E11">
        <w:rPr>
          <w:noProof/>
        </w:rPr>
        <w:t>P</w:t>
      </w:r>
      <w:r w:rsidR="00356377">
        <w:t>.</w:t>
      </w:r>
      <w:r w:rsidR="00356377">
        <w:rPr>
          <w:noProof/>
        </w:rPr>
        <w:t>5</w:t>
      </w:r>
      <w:r>
        <w:t xml:space="preserve"> with reason for exclusion).</w:t>
      </w:r>
    </w:p>
    <w:p w:rsidR="00675E77" w:rsidRDefault="00675E77" w:rsidP="003F0B35">
      <w:pPr>
        <w:pStyle w:val="HeaderTable"/>
        <w:keepLines/>
      </w:pPr>
      <w:bookmarkStart w:id="45" w:name="_Ref466987307"/>
      <w:bookmarkStart w:id="46" w:name="_Toc468022881"/>
      <w:bookmarkStart w:id="47" w:name="_Toc468034534"/>
      <w:bookmarkStart w:id="48" w:name="_Toc480373298"/>
      <w:bookmarkStart w:id="49" w:name="_Toc486515193"/>
      <w:r>
        <w:t xml:space="preserve">Table </w:t>
      </w:r>
      <w:r w:rsidR="00356377">
        <w:rPr>
          <w:noProof/>
        </w:rPr>
        <w:t>4</w:t>
      </w:r>
      <w:r>
        <w:t>.</w:t>
      </w:r>
      <w:r w:rsidR="00356377">
        <w:rPr>
          <w:noProof/>
        </w:rPr>
        <w:t>3</w:t>
      </w:r>
      <w:bookmarkEnd w:id="45"/>
      <w:r>
        <w:tab/>
        <w:t>Systematic reviews of the safety of ICS/LABA or ICS compared to LABA or placebo</w:t>
      </w:r>
      <w:bookmarkEnd w:id="46"/>
      <w:bookmarkEnd w:id="47"/>
      <w:bookmarkEnd w:id="48"/>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Systematic reviews of the safety of ICS/LABA or ICS compared to LABA or placebo"/>
      </w:tblPr>
      <w:tblGrid>
        <w:gridCol w:w="1848"/>
        <w:gridCol w:w="5930"/>
        <w:gridCol w:w="1870"/>
      </w:tblGrid>
      <w:tr w:rsidR="00675E77" w:rsidRPr="003D77FF" w:rsidTr="00675E77">
        <w:trPr>
          <w:cantSplit/>
          <w:tblHeader/>
        </w:trPr>
        <w:tc>
          <w:tcPr>
            <w:tcW w:w="958" w:type="pct"/>
            <w:shd w:val="clear" w:color="auto" w:fill="BFBFBF"/>
          </w:tcPr>
          <w:p w:rsidR="00675E77" w:rsidRPr="003D77FF" w:rsidRDefault="00675E77" w:rsidP="003F0B35">
            <w:pPr>
              <w:pStyle w:val="01TableHEADINGleftaligned"/>
              <w:keepLines/>
            </w:pPr>
            <w:r>
              <w:t>Ref ID</w:t>
            </w:r>
          </w:p>
        </w:tc>
        <w:tc>
          <w:tcPr>
            <w:tcW w:w="3073" w:type="pct"/>
            <w:shd w:val="clear" w:color="auto" w:fill="BFBFBF"/>
          </w:tcPr>
          <w:p w:rsidR="00675E77" w:rsidRPr="003D77FF" w:rsidRDefault="00675E77" w:rsidP="003F0B35">
            <w:pPr>
              <w:pStyle w:val="01TableHEADINGleftaligned"/>
              <w:keepLines/>
            </w:pPr>
            <w:r>
              <w:t>Title</w:t>
            </w:r>
          </w:p>
        </w:tc>
        <w:tc>
          <w:tcPr>
            <w:tcW w:w="969" w:type="pct"/>
            <w:shd w:val="clear" w:color="auto" w:fill="BFBFBF"/>
          </w:tcPr>
          <w:p w:rsidR="00675E77" w:rsidRPr="003D77FF" w:rsidRDefault="00675E77" w:rsidP="003F0B35">
            <w:pPr>
              <w:pStyle w:val="01TableHEADINGleftaligned"/>
              <w:keepLines/>
            </w:pPr>
            <w:r>
              <w:t>Study type</w:t>
            </w:r>
          </w:p>
        </w:tc>
      </w:tr>
      <w:tr w:rsidR="00675E77" w:rsidRPr="003D77FF" w:rsidTr="00675E77">
        <w:trPr>
          <w:cantSplit/>
        </w:trPr>
        <w:tc>
          <w:tcPr>
            <w:tcW w:w="958" w:type="pct"/>
            <w:shd w:val="clear" w:color="auto" w:fill="000000"/>
          </w:tcPr>
          <w:p w:rsidR="00675E77" w:rsidRDefault="00675E77" w:rsidP="003F0B35">
            <w:pPr>
              <w:pStyle w:val="04Tablesubheading"/>
              <w:keepLines/>
            </w:pPr>
            <w:r>
              <w:t>All AEs</w:t>
            </w:r>
          </w:p>
        </w:tc>
        <w:tc>
          <w:tcPr>
            <w:tcW w:w="3073" w:type="pct"/>
            <w:shd w:val="clear" w:color="auto" w:fill="000000"/>
          </w:tcPr>
          <w:p w:rsidR="00675E77" w:rsidRDefault="00675E77" w:rsidP="003F0B35">
            <w:pPr>
              <w:pStyle w:val="04Tablesubheading"/>
              <w:keepLines/>
            </w:pPr>
          </w:p>
        </w:tc>
        <w:tc>
          <w:tcPr>
            <w:tcW w:w="969" w:type="pct"/>
            <w:shd w:val="clear" w:color="auto" w:fill="000000"/>
          </w:tcPr>
          <w:p w:rsidR="00675E77" w:rsidRDefault="00675E77" w:rsidP="003F0B35">
            <w:pPr>
              <w:pStyle w:val="04Tablesubheading"/>
              <w:keepLines/>
            </w:pPr>
          </w:p>
        </w:tc>
      </w:tr>
      <w:tr w:rsidR="00675E77" w:rsidRPr="003D77FF" w:rsidTr="00675E77">
        <w:trPr>
          <w:cantSplit/>
        </w:trPr>
        <w:tc>
          <w:tcPr>
            <w:tcW w:w="958" w:type="pct"/>
            <w:shd w:val="clear" w:color="auto" w:fill="auto"/>
          </w:tcPr>
          <w:p w:rsidR="00675E77" w:rsidRPr="003D77FF" w:rsidRDefault="00675E77" w:rsidP="003F0B35">
            <w:pPr>
              <w:pStyle w:val="05Tabletext"/>
              <w:keepNext/>
              <w:keepLines/>
            </w:pPr>
            <w:proofErr w:type="spellStart"/>
            <w:r w:rsidRPr="00610051">
              <w:t>Nannini</w:t>
            </w:r>
            <w:proofErr w:type="spellEnd"/>
            <w:r w:rsidRPr="00610051">
              <w:t xml:space="preserve"> (2013)</w:t>
            </w:r>
          </w:p>
        </w:tc>
        <w:tc>
          <w:tcPr>
            <w:tcW w:w="3073" w:type="pct"/>
            <w:shd w:val="clear" w:color="auto" w:fill="auto"/>
          </w:tcPr>
          <w:p w:rsidR="00675E77" w:rsidRPr="003D77FF" w:rsidRDefault="00675E77" w:rsidP="003F0B35">
            <w:pPr>
              <w:pStyle w:val="05Tabletext"/>
              <w:keepNext/>
              <w:keepLines/>
            </w:pPr>
            <w:r w:rsidRPr="003D77FF">
              <w:t>Combined corticosteroid and long-acting beta2-agonist in one inhaler versus placebo for chronic obstructive pulmonary disease</w:t>
            </w:r>
            <w:r>
              <w:t>.</w:t>
            </w:r>
          </w:p>
        </w:tc>
        <w:tc>
          <w:tcPr>
            <w:tcW w:w="969" w:type="pct"/>
            <w:shd w:val="clear" w:color="auto" w:fill="auto"/>
          </w:tcPr>
          <w:p w:rsidR="00675E77" w:rsidRDefault="00675E77" w:rsidP="003F0B35">
            <w:pPr>
              <w:pStyle w:val="05Tabletext"/>
              <w:keepNext/>
              <w:keepLines/>
            </w:pPr>
            <w:r>
              <w:t>COCHRANE</w:t>
            </w:r>
          </w:p>
          <w:p w:rsidR="00675E77" w:rsidRPr="003D77FF" w:rsidRDefault="00675E77" w:rsidP="003F0B35">
            <w:pPr>
              <w:pStyle w:val="05Tabletext"/>
              <w:keepNext/>
              <w:keepLines/>
            </w:pPr>
            <w:r>
              <w:t>SR and MA</w:t>
            </w:r>
          </w:p>
        </w:tc>
      </w:tr>
      <w:tr w:rsidR="00675E77" w:rsidRPr="003D77FF" w:rsidTr="00675E77">
        <w:trPr>
          <w:cantSplit/>
        </w:trPr>
        <w:tc>
          <w:tcPr>
            <w:tcW w:w="958" w:type="pct"/>
            <w:shd w:val="clear" w:color="auto" w:fill="auto"/>
          </w:tcPr>
          <w:p w:rsidR="00675E77" w:rsidRPr="003D77FF" w:rsidRDefault="00675E77" w:rsidP="003F0B35">
            <w:pPr>
              <w:pStyle w:val="05Tabletext"/>
              <w:keepNext/>
              <w:keepLines/>
            </w:pPr>
            <w:proofErr w:type="spellStart"/>
            <w:r w:rsidRPr="00610051">
              <w:t>Nannini</w:t>
            </w:r>
            <w:proofErr w:type="spellEnd"/>
            <w:r w:rsidRPr="00610051">
              <w:t xml:space="preserve"> (2012)</w:t>
            </w:r>
          </w:p>
        </w:tc>
        <w:tc>
          <w:tcPr>
            <w:tcW w:w="3073" w:type="pct"/>
            <w:shd w:val="clear" w:color="auto" w:fill="auto"/>
          </w:tcPr>
          <w:p w:rsidR="00675E77" w:rsidRPr="003D77FF" w:rsidRDefault="00675E77" w:rsidP="003F0B35">
            <w:pPr>
              <w:pStyle w:val="05Tabletext"/>
              <w:keepNext/>
              <w:keepLines/>
            </w:pPr>
            <w:r w:rsidRPr="003D77FF">
              <w:t xml:space="preserve">Combined corticosteroid and long-acting </w:t>
            </w:r>
            <w:proofErr w:type="gramStart"/>
            <w:r w:rsidRPr="003D77FF">
              <w:t>beta(</w:t>
            </w:r>
            <w:proofErr w:type="gramEnd"/>
            <w:r w:rsidRPr="003D77FF">
              <w:t>2)-agonist in one inhaler versus long-acting beta(2)-agonists for chronic obstructive pulmonary disease</w:t>
            </w:r>
            <w:r>
              <w:t>.</w:t>
            </w:r>
          </w:p>
        </w:tc>
        <w:tc>
          <w:tcPr>
            <w:tcW w:w="969" w:type="pct"/>
            <w:shd w:val="clear" w:color="auto" w:fill="auto"/>
          </w:tcPr>
          <w:p w:rsidR="00675E77" w:rsidRDefault="00675E77" w:rsidP="003F0B35">
            <w:pPr>
              <w:pStyle w:val="05Tabletext"/>
              <w:keepNext/>
              <w:keepLines/>
            </w:pPr>
            <w:r>
              <w:t>COCHRANE</w:t>
            </w:r>
          </w:p>
          <w:p w:rsidR="00675E77" w:rsidRPr="003D77FF" w:rsidRDefault="00675E77" w:rsidP="003F0B35">
            <w:pPr>
              <w:pStyle w:val="05Tabletext"/>
              <w:keepNext/>
              <w:keepLines/>
            </w:pPr>
            <w:r>
              <w:t>SR and MA</w:t>
            </w:r>
          </w:p>
        </w:tc>
      </w:tr>
      <w:tr w:rsidR="00675E77" w:rsidRPr="003D77FF" w:rsidTr="00675E77">
        <w:trPr>
          <w:cantSplit/>
        </w:trPr>
        <w:tc>
          <w:tcPr>
            <w:tcW w:w="958" w:type="pct"/>
            <w:shd w:val="clear" w:color="auto" w:fill="auto"/>
          </w:tcPr>
          <w:p w:rsidR="00675E77" w:rsidRPr="00B46EE5" w:rsidRDefault="00675E77" w:rsidP="003F0B35">
            <w:pPr>
              <w:pStyle w:val="05Tabletext"/>
              <w:keepNext/>
              <w:keepLines/>
            </w:pPr>
            <w:r w:rsidRPr="00B46EE5">
              <w:t>Yang (2012)</w:t>
            </w:r>
          </w:p>
        </w:tc>
        <w:tc>
          <w:tcPr>
            <w:tcW w:w="3073" w:type="pct"/>
            <w:shd w:val="clear" w:color="auto" w:fill="auto"/>
          </w:tcPr>
          <w:p w:rsidR="00675E77" w:rsidRPr="00B46EE5" w:rsidRDefault="00675E77" w:rsidP="003F0B35">
            <w:pPr>
              <w:pStyle w:val="05Tabletext"/>
              <w:keepNext/>
              <w:keepLines/>
            </w:pPr>
            <w:r w:rsidRPr="00B46EE5">
              <w:t>Inhaled corticosteroids for stable chronic obstructive pulmonary disease.</w:t>
            </w:r>
          </w:p>
        </w:tc>
        <w:tc>
          <w:tcPr>
            <w:tcW w:w="969" w:type="pct"/>
            <w:shd w:val="clear" w:color="auto" w:fill="auto"/>
          </w:tcPr>
          <w:p w:rsidR="00675E77" w:rsidRPr="00B46EE5" w:rsidRDefault="00675E77" w:rsidP="003F0B35">
            <w:pPr>
              <w:pStyle w:val="05Tabletext"/>
              <w:keepNext/>
              <w:keepLines/>
            </w:pPr>
            <w:r w:rsidRPr="00B46EE5">
              <w:t>COCHRANE</w:t>
            </w:r>
          </w:p>
          <w:p w:rsidR="00675E77" w:rsidRPr="00B46EE5" w:rsidRDefault="00675E77" w:rsidP="003F0B35">
            <w:pPr>
              <w:pStyle w:val="05Tabletext"/>
              <w:keepNext/>
              <w:keepLines/>
            </w:pPr>
            <w:r w:rsidRPr="00B46EE5">
              <w:t>SR and MA</w:t>
            </w:r>
          </w:p>
        </w:tc>
      </w:tr>
      <w:tr w:rsidR="00675E77" w:rsidRPr="003D77FF" w:rsidTr="00675E77">
        <w:trPr>
          <w:cantSplit/>
        </w:trPr>
        <w:tc>
          <w:tcPr>
            <w:tcW w:w="958" w:type="pct"/>
            <w:shd w:val="clear" w:color="auto" w:fill="000000"/>
          </w:tcPr>
          <w:p w:rsidR="00675E77" w:rsidRPr="00610051" w:rsidRDefault="00675E77" w:rsidP="003F0B35">
            <w:pPr>
              <w:pStyle w:val="04Tablesubheading"/>
              <w:keepLines/>
            </w:pPr>
            <w:r>
              <w:t>Pneumonia</w:t>
            </w:r>
          </w:p>
        </w:tc>
        <w:tc>
          <w:tcPr>
            <w:tcW w:w="3073" w:type="pct"/>
            <w:shd w:val="clear" w:color="auto" w:fill="000000"/>
          </w:tcPr>
          <w:p w:rsidR="00675E77" w:rsidRPr="003D77FF" w:rsidRDefault="00675E77" w:rsidP="003F0B35">
            <w:pPr>
              <w:pStyle w:val="04Tablesubheading"/>
              <w:keepLines/>
            </w:pPr>
          </w:p>
        </w:tc>
        <w:tc>
          <w:tcPr>
            <w:tcW w:w="969" w:type="pct"/>
            <w:shd w:val="clear" w:color="auto" w:fill="000000"/>
          </w:tcPr>
          <w:p w:rsidR="00675E77" w:rsidRDefault="00675E77" w:rsidP="003F0B35">
            <w:pPr>
              <w:pStyle w:val="04Tablesubheading"/>
              <w:keepLines/>
            </w:pPr>
          </w:p>
        </w:tc>
      </w:tr>
      <w:tr w:rsidR="00675E77" w:rsidRPr="003D77FF" w:rsidTr="00675E77">
        <w:trPr>
          <w:cantSplit/>
        </w:trPr>
        <w:tc>
          <w:tcPr>
            <w:tcW w:w="958" w:type="pct"/>
            <w:shd w:val="clear" w:color="auto" w:fill="auto"/>
          </w:tcPr>
          <w:p w:rsidR="00675E77" w:rsidRPr="003D77FF" w:rsidRDefault="00675E77" w:rsidP="003F0B35">
            <w:pPr>
              <w:pStyle w:val="05Tabletext"/>
              <w:keepNext/>
              <w:keepLines/>
            </w:pPr>
            <w:proofErr w:type="spellStart"/>
            <w:r w:rsidRPr="00610051">
              <w:t>Festic</w:t>
            </w:r>
            <w:proofErr w:type="spellEnd"/>
            <w:r w:rsidRPr="00610051">
              <w:t xml:space="preserve"> (2016)</w:t>
            </w:r>
          </w:p>
        </w:tc>
        <w:tc>
          <w:tcPr>
            <w:tcW w:w="3073" w:type="pct"/>
            <w:shd w:val="clear" w:color="auto" w:fill="auto"/>
          </w:tcPr>
          <w:p w:rsidR="00675E77" w:rsidRPr="003D77FF" w:rsidRDefault="00675E77" w:rsidP="003F0B35">
            <w:pPr>
              <w:pStyle w:val="05Tabletext"/>
              <w:keepNext/>
              <w:keepLines/>
            </w:pPr>
            <w:r w:rsidRPr="003D77FF">
              <w:t>Association of Inhaled Corticosteroids with Incident Pneumonia and Mortality in COPD Patients; Systematic Review and Meta-Analysis</w:t>
            </w:r>
            <w:r>
              <w:t>.</w:t>
            </w:r>
          </w:p>
        </w:tc>
        <w:tc>
          <w:tcPr>
            <w:tcW w:w="969" w:type="pct"/>
            <w:shd w:val="clear" w:color="auto" w:fill="auto"/>
          </w:tcPr>
          <w:p w:rsidR="00675E77" w:rsidRPr="003D77FF" w:rsidRDefault="00675E77" w:rsidP="003F0B35">
            <w:pPr>
              <w:pStyle w:val="05Tabletext"/>
              <w:keepNext/>
              <w:keepLines/>
            </w:pPr>
            <w:r>
              <w:t>SR and MA</w:t>
            </w:r>
          </w:p>
        </w:tc>
      </w:tr>
      <w:tr w:rsidR="00675E77" w:rsidRPr="003D77FF" w:rsidTr="00675E77">
        <w:trPr>
          <w:cantSplit/>
        </w:trPr>
        <w:tc>
          <w:tcPr>
            <w:tcW w:w="958" w:type="pct"/>
            <w:shd w:val="clear" w:color="auto" w:fill="auto"/>
          </w:tcPr>
          <w:p w:rsidR="00675E77" w:rsidRPr="003D77FF" w:rsidRDefault="00675E77" w:rsidP="00675E77">
            <w:pPr>
              <w:pStyle w:val="05Tabletext"/>
            </w:pPr>
            <w:proofErr w:type="spellStart"/>
            <w:r w:rsidRPr="00610051">
              <w:t>Tricco</w:t>
            </w:r>
            <w:proofErr w:type="spellEnd"/>
            <w:r w:rsidRPr="00610051">
              <w:t xml:space="preserve"> (2015)</w:t>
            </w:r>
          </w:p>
        </w:tc>
        <w:tc>
          <w:tcPr>
            <w:tcW w:w="3073" w:type="pct"/>
            <w:shd w:val="clear" w:color="auto" w:fill="auto"/>
          </w:tcPr>
          <w:p w:rsidR="00675E77" w:rsidRPr="003D77FF" w:rsidRDefault="00675E77" w:rsidP="00675E77">
            <w:pPr>
              <w:pStyle w:val="05Tabletext"/>
            </w:pPr>
            <w:r w:rsidRPr="003D77FF">
              <w:t>Comparative safety and effectiveness of long-acting inhaled agents for treating chronic obstructive pulmonary disease: A systematic review and network meta-analysis</w:t>
            </w:r>
            <w:r>
              <w:t>.</w:t>
            </w:r>
          </w:p>
        </w:tc>
        <w:tc>
          <w:tcPr>
            <w:tcW w:w="969" w:type="pct"/>
            <w:shd w:val="clear" w:color="auto" w:fill="auto"/>
          </w:tcPr>
          <w:p w:rsidR="00675E77" w:rsidRPr="003D77FF" w:rsidRDefault="00675E77" w:rsidP="00675E77">
            <w:pPr>
              <w:pStyle w:val="05Tabletext"/>
            </w:pPr>
            <w:r>
              <w:t>SR and MA</w:t>
            </w:r>
          </w:p>
        </w:tc>
      </w:tr>
      <w:tr w:rsidR="00675E77" w:rsidRPr="003D77FF" w:rsidTr="00675E77">
        <w:trPr>
          <w:cantSplit/>
        </w:trPr>
        <w:tc>
          <w:tcPr>
            <w:tcW w:w="958" w:type="pct"/>
            <w:shd w:val="clear" w:color="auto" w:fill="auto"/>
          </w:tcPr>
          <w:p w:rsidR="00675E77" w:rsidRPr="003D77FF" w:rsidRDefault="00675E77" w:rsidP="00675E77">
            <w:pPr>
              <w:pStyle w:val="05Tabletext"/>
            </w:pPr>
            <w:r w:rsidRPr="00610051">
              <w:lastRenderedPageBreak/>
              <w:t>Kew (2014)</w:t>
            </w:r>
          </w:p>
        </w:tc>
        <w:tc>
          <w:tcPr>
            <w:tcW w:w="3073" w:type="pct"/>
            <w:shd w:val="clear" w:color="auto" w:fill="auto"/>
          </w:tcPr>
          <w:p w:rsidR="00675E77" w:rsidRPr="003D77FF" w:rsidRDefault="00675E77" w:rsidP="00675E77">
            <w:pPr>
              <w:pStyle w:val="05Tabletext"/>
            </w:pPr>
            <w:r w:rsidRPr="003D77FF">
              <w:t>Inhaled steroids and risk of pneumonia for chronic obstructive pulmonary disease</w:t>
            </w:r>
            <w:r>
              <w:t>.</w:t>
            </w:r>
          </w:p>
        </w:tc>
        <w:tc>
          <w:tcPr>
            <w:tcW w:w="969" w:type="pct"/>
            <w:shd w:val="clear" w:color="auto" w:fill="auto"/>
          </w:tcPr>
          <w:p w:rsidR="00675E77" w:rsidRDefault="00675E77" w:rsidP="00675E77">
            <w:pPr>
              <w:pStyle w:val="05Tabletext"/>
            </w:pPr>
            <w:r>
              <w:t>COCHRANE</w:t>
            </w:r>
          </w:p>
          <w:p w:rsidR="00675E77" w:rsidRPr="003D77FF" w:rsidRDefault="00675E77" w:rsidP="00675E77">
            <w:pPr>
              <w:pStyle w:val="05Tabletext"/>
            </w:pPr>
            <w:r>
              <w:t>SR and MA</w:t>
            </w:r>
          </w:p>
        </w:tc>
      </w:tr>
      <w:tr w:rsidR="00675E77" w:rsidRPr="003D77FF" w:rsidTr="00675E77">
        <w:trPr>
          <w:cantSplit/>
        </w:trPr>
        <w:tc>
          <w:tcPr>
            <w:tcW w:w="958" w:type="pct"/>
            <w:shd w:val="clear" w:color="auto" w:fill="auto"/>
          </w:tcPr>
          <w:p w:rsidR="00675E77" w:rsidRPr="00400396" w:rsidRDefault="00675E77" w:rsidP="00675E77">
            <w:pPr>
              <w:pStyle w:val="05Tabletext"/>
            </w:pPr>
            <w:proofErr w:type="spellStart"/>
            <w:r w:rsidRPr="00400396">
              <w:t>Loke</w:t>
            </w:r>
            <w:proofErr w:type="spellEnd"/>
            <w:r w:rsidRPr="00400396">
              <w:t xml:space="preserve"> (2013)</w:t>
            </w:r>
          </w:p>
        </w:tc>
        <w:tc>
          <w:tcPr>
            <w:tcW w:w="3073" w:type="pct"/>
            <w:shd w:val="clear" w:color="auto" w:fill="auto"/>
          </w:tcPr>
          <w:p w:rsidR="00675E77" w:rsidRPr="00400396" w:rsidRDefault="00675E77" w:rsidP="00675E77">
            <w:pPr>
              <w:pStyle w:val="05Tabletext"/>
            </w:pPr>
            <w:r w:rsidRPr="00400396">
              <w:t>Chronic obstructive pulmonary disease and mortality from pneumonia: Meta-analysis.</w:t>
            </w:r>
          </w:p>
        </w:tc>
        <w:tc>
          <w:tcPr>
            <w:tcW w:w="969" w:type="pct"/>
            <w:shd w:val="clear" w:color="auto" w:fill="auto"/>
          </w:tcPr>
          <w:p w:rsidR="00675E77" w:rsidRPr="00400396" w:rsidRDefault="00675E77" w:rsidP="00675E77">
            <w:pPr>
              <w:pStyle w:val="05Tabletext"/>
            </w:pPr>
            <w:r w:rsidRPr="00400396">
              <w:t>SR and MA</w:t>
            </w:r>
          </w:p>
        </w:tc>
      </w:tr>
      <w:tr w:rsidR="00675E77" w:rsidRPr="003D77FF" w:rsidTr="00675E77">
        <w:trPr>
          <w:cantSplit/>
        </w:trPr>
        <w:tc>
          <w:tcPr>
            <w:tcW w:w="958" w:type="pct"/>
            <w:shd w:val="clear" w:color="auto" w:fill="auto"/>
          </w:tcPr>
          <w:p w:rsidR="00675E77" w:rsidRDefault="00675E77" w:rsidP="00675E77">
            <w:pPr>
              <w:pStyle w:val="05Tabletext"/>
            </w:pPr>
            <w:proofErr w:type="spellStart"/>
            <w:r w:rsidRPr="003E1027">
              <w:t>Halpin</w:t>
            </w:r>
            <w:proofErr w:type="spellEnd"/>
            <w:r w:rsidRPr="003E1027">
              <w:t xml:space="preserve"> (2011)</w:t>
            </w:r>
          </w:p>
        </w:tc>
        <w:tc>
          <w:tcPr>
            <w:tcW w:w="3073" w:type="pct"/>
            <w:shd w:val="clear" w:color="auto" w:fill="auto"/>
          </w:tcPr>
          <w:p w:rsidR="00675E77" w:rsidRPr="003D77FF" w:rsidRDefault="00675E77" w:rsidP="00675E77">
            <w:pPr>
              <w:pStyle w:val="05Tabletext"/>
            </w:pPr>
            <w:r w:rsidRPr="003E1027">
              <w:t>Budesonide/formoterol vs. salmeterol/fluticasone</w:t>
            </w:r>
            <w:r w:rsidR="00E110CE">
              <w:t xml:space="preserve"> propionate</w:t>
            </w:r>
            <w:r w:rsidRPr="003E1027">
              <w:t xml:space="preserve"> in COPD: A systematic review and adjusted indirect comparison of pneumonia in randomised controlled trials</w:t>
            </w:r>
            <w:r>
              <w:t>.</w:t>
            </w:r>
          </w:p>
        </w:tc>
        <w:tc>
          <w:tcPr>
            <w:tcW w:w="969" w:type="pct"/>
            <w:shd w:val="clear" w:color="auto" w:fill="auto"/>
          </w:tcPr>
          <w:p w:rsidR="00675E77" w:rsidRDefault="00675E77" w:rsidP="00675E77">
            <w:pPr>
              <w:pStyle w:val="05Tabletext"/>
            </w:pPr>
            <w:r>
              <w:t>SR and MA</w:t>
            </w:r>
          </w:p>
        </w:tc>
      </w:tr>
      <w:tr w:rsidR="00675E77" w:rsidRPr="003D77FF" w:rsidTr="00675E77">
        <w:trPr>
          <w:cantSplit/>
        </w:trPr>
        <w:tc>
          <w:tcPr>
            <w:tcW w:w="958" w:type="pct"/>
            <w:shd w:val="clear" w:color="auto" w:fill="000000"/>
          </w:tcPr>
          <w:p w:rsidR="00675E77" w:rsidRPr="00610051" w:rsidRDefault="00675E77" w:rsidP="00675E77">
            <w:pPr>
              <w:pStyle w:val="04Tablesubheading"/>
            </w:pPr>
            <w:r>
              <w:t>Other specific AEs</w:t>
            </w:r>
          </w:p>
        </w:tc>
        <w:tc>
          <w:tcPr>
            <w:tcW w:w="3073" w:type="pct"/>
            <w:shd w:val="clear" w:color="auto" w:fill="000000"/>
          </w:tcPr>
          <w:p w:rsidR="00675E77" w:rsidRPr="003D77FF" w:rsidRDefault="00675E77" w:rsidP="00675E77">
            <w:pPr>
              <w:pStyle w:val="04Tablesubheading"/>
            </w:pPr>
          </w:p>
        </w:tc>
        <w:tc>
          <w:tcPr>
            <w:tcW w:w="969" w:type="pct"/>
            <w:shd w:val="clear" w:color="auto" w:fill="000000"/>
          </w:tcPr>
          <w:p w:rsidR="00675E77" w:rsidRDefault="00675E77" w:rsidP="00675E77">
            <w:pPr>
              <w:pStyle w:val="04Tablesubheading"/>
            </w:pPr>
          </w:p>
        </w:tc>
      </w:tr>
      <w:tr w:rsidR="00675E77" w:rsidRPr="003D77FF" w:rsidTr="00675E77">
        <w:trPr>
          <w:cantSplit/>
        </w:trPr>
        <w:tc>
          <w:tcPr>
            <w:tcW w:w="958" w:type="pct"/>
            <w:shd w:val="clear" w:color="auto" w:fill="auto"/>
          </w:tcPr>
          <w:p w:rsidR="00675E77" w:rsidRPr="003D77FF" w:rsidRDefault="00675E77" w:rsidP="00675E77">
            <w:pPr>
              <w:pStyle w:val="05Tabletext"/>
            </w:pPr>
            <w:r w:rsidRPr="00610051">
              <w:t>Dong (2014)</w:t>
            </w:r>
          </w:p>
        </w:tc>
        <w:tc>
          <w:tcPr>
            <w:tcW w:w="3073" w:type="pct"/>
            <w:shd w:val="clear" w:color="auto" w:fill="auto"/>
          </w:tcPr>
          <w:p w:rsidR="00675E77" w:rsidRPr="003D77FF" w:rsidRDefault="00675E77" w:rsidP="00675E77">
            <w:pPr>
              <w:pStyle w:val="05Tabletext"/>
            </w:pPr>
            <w:r w:rsidRPr="003D77FF">
              <w:t>Use of inhaled corticosteroids in patients with COPD and the risk of TB and influenza: A systematic review and meta-analysis of randomized controlled trials</w:t>
            </w:r>
            <w:r>
              <w:t>.</w:t>
            </w:r>
          </w:p>
        </w:tc>
        <w:tc>
          <w:tcPr>
            <w:tcW w:w="969" w:type="pct"/>
            <w:shd w:val="clear" w:color="auto" w:fill="auto"/>
          </w:tcPr>
          <w:p w:rsidR="00675E77" w:rsidRPr="003D77FF" w:rsidRDefault="00675E77" w:rsidP="00675E77">
            <w:pPr>
              <w:pStyle w:val="05Tabletext"/>
            </w:pPr>
            <w:r>
              <w:t>SR and MA</w:t>
            </w:r>
          </w:p>
        </w:tc>
      </w:tr>
      <w:tr w:rsidR="00675E77" w:rsidRPr="003D77FF" w:rsidTr="00675E77">
        <w:trPr>
          <w:cantSplit/>
        </w:trPr>
        <w:tc>
          <w:tcPr>
            <w:tcW w:w="958" w:type="pct"/>
            <w:shd w:val="clear" w:color="auto" w:fill="auto"/>
          </w:tcPr>
          <w:p w:rsidR="00675E77" w:rsidRPr="003D77FF" w:rsidRDefault="00675E77" w:rsidP="00675E77">
            <w:pPr>
              <w:pStyle w:val="05Tabletext"/>
            </w:pPr>
            <w:r w:rsidRPr="00610051">
              <w:t>Ni (2014)</w:t>
            </w:r>
          </w:p>
        </w:tc>
        <w:tc>
          <w:tcPr>
            <w:tcW w:w="3073" w:type="pct"/>
            <w:shd w:val="clear" w:color="auto" w:fill="auto"/>
          </w:tcPr>
          <w:p w:rsidR="00675E77" w:rsidRPr="003D77FF" w:rsidRDefault="00675E77" w:rsidP="00675E77">
            <w:pPr>
              <w:pStyle w:val="05Tabletext"/>
            </w:pPr>
            <w:r w:rsidRPr="003D77FF">
              <w:t>Inhaled corticosteroids (ICS) and risk of mycobacterium in patients with chronic respiratory diseases: A meta-analysis</w:t>
            </w:r>
            <w:r>
              <w:t>.</w:t>
            </w:r>
          </w:p>
        </w:tc>
        <w:tc>
          <w:tcPr>
            <w:tcW w:w="969" w:type="pct"/>
            <w:shd w:val="clear" w:color="auto" w:fill="auto"/>
          </w:tcPr>
          <w:p w:rsidR="00675E77" w:rsidRPr="003D77FF" w:rsidRDefault="00675E77" w:rsidP="00675E77">
            <w:pPr>
              <w:pStyle w:val="05Tabletext"/>
            </w:pPr>
            <w:r>
              <w:t>SR and MA</w:t>
            </w:r>
          </w:p>
        </w:tc>
      </w:tr>
      <w:tr w:rsidR="00675E77" w:rsidRPr="003D77FF" w:rsidTr="00675E77">
        <w:trPr>
          <w:cantSplit/>
        </w:trPr>
        <w:tc>
          <w:tcPr>
            <w:tcW w:w="958" w:type="pct"/>
            <w:shd w:val="clear" w:color="auto" w:fill="auto"/>
          </w:tcPr>
          <w:p w:rsidR="00675E77" w:rsidRPr="00E74857" w:rsidRDefault="00675E77" w:rsidP="00675E77">
            <w:pPr>
              <w:pStyle w:val="05Tabletext"/>
            </w:pPr>
            <w:r w:rsidRPr="00E74857">
              <w:t>Dong (2013)</w:t>
            </w:r>
          </w:p>
        </w:tc>
        <w:tc>
          <w:tcPr>
            <w:tcW w:w="3073" w:type="pct"/>
            <w:shd w:val="clear" w:color="auto" w:fill="auto"/>
          </w:tcPr>
          <w:p w:rsidR="00675E77" w:rsidRPr="00E74857" w:rsidRDefault="00675E77" w:rsidP="00675E77">
            <w:pPr>
              <w:pStyle w:val="05Tabletext"/>
            </w:pPr>
            <w:r w:rsidRPr="00E74857">
              <w:t xml:space="preserve">Comparative safety of inhaled medications in patients with chronic obstructive pulmonary disease: Systematic review and mixed treatment comparison meta-analysis </w:t>
            </w:r>
            <w:r w:rsidR="00015854">
              <w:t>of randomised controlled trials</w:t>
            </w:r>
            <w:r>
              <w:t xml:space="preserve"> [only all-cause mortality and cardiovascular mortality outcomes].</w:t>
            </w:r>
          </w:p>
        </w:tc>
        <w:tc>
          <w:tcPr>
            <w:tcW w:w="969" w:type="pct"/>
            <w:shd w:val="clear" w:color="auto" w:fill="auto"/>
          </w:tcPr>
          <w:p w:rsidR="00675E77" w:rsidRPr="00E74857" w:rsidRDefault="00675E77" w:rsidP="00675E77">
            <w:pPr>
              <w:pStyle w:val="05Tabletext"/>
            </w:pPr>
            <w:r w:rsidRPr="00E74857">
              <w:t>SR and MA</w:t>
            </w:r>
          </w:p>
        </w:tc>
      </w:tr>
      <w:tr w:rsidR="00675E77" w:rsidRPr="003D77FF" w:rsidTr="00675E77">
        <w:trPr>
          <w:cantSplit/>
        </w:trPr>
        <w:tc>
          <w:tcPr>
            <w:tcW w:w="958" w:type="pct"/>
            <w:shd w:val="clear" w:color="auto" w:fill="auto"/>
          </w:tcPr>
          <w:p w:rsidR="00675E77" w:rsidRDefault="00675E77" w:rsidP="00675E77">
            <w:pPr>
              <w:pStyle w:val="05Tabletext"/>
            </w:pPr>
            <w:proofErr w:type="spellStart"/>
            <w:r w:rsidRPr="003E1027">
              <w:t>Loke</w:t>
            </w:r>
            <w:proofErr w:type="spellEnd"/>
            <w:r w:rsidRPr="003E1027">
              <w:t xml:space="preserve"> (2011)</w:t>
            </w:r>
          </w:p>
        </w:tc>
        <w:tc>
          <w:tcPr>
            <w:tcW w:w="3073" w:type="pct"/>
            <w:shd w:val="clear" w:color="auto" w:fill="auto"/>
          </w:tcPr>
          <w:p w:rsidR="00675E77" w:rsidRPr="003D77FF" w:rsidRDefault="00675E77" w:rsidP="00675E77">
            <w:pPr>
              <w:pStyle w:val="05Tabletext"/>
            </w:pPr>
            <w:r w:rsidRPr="003E1027">
              <w:t>Risk of fractures with inhaled corticosteroids in COPD: Systematic review and meta-analysis of randomised controlled trials and observational studies</w:t>
            </w:r>
          </w:p>
        </w:tc>
        <w:tc>
          <w:tcPr>
            <w:tcW w:w="969" w:type="pct"/>
            <w:shd w:val="clear" w:color="auto" w:fill="auto"/>
          </w:tcPr>
          <w:p w:rsidR="00675E77" w:rsidRDefault="00675E77" w:rsidP="00675E77">
            <w:pPr>
              <w:pStyle w:val="05Tabletext"/>
            </w:pPr>
            <w:r>
              <w:t>SR and MA</w:t>
            </w:r>
          </w:p>
        </w:tc>
      </w:tr>
      <w:tr w:rsidR="00675E77" w:rsidRPr="003D77FF" w:rsidTr="00675E77">
        <w:trPr>
          <w:cantSplit/>
        </w:trPr>
        <w:tc>
          <w:tcPr>
            <w:tcW w:w="958" w:type="pct"/>
            <w:shd w:val="clear" w:color="auto" w:fill="auto"/>
          </w:tcPr>
          <w:p w:rsidR="00675E77" w:rsidRDefault="00675E77" w:rsidP="00675E77">
            <w:pPr>
              <w:pStyle w:val="05Tabletext"/>
            </w:pPr>
            <w:proofErr w:type="spellStart"/>
            <w:r w:rsidRPr="003E1027">
              <w:t>Loke</w:t>
            </w:r>
            <w:proofErr w:type="spellEnd"/>
            <w:r w:rsidRPr="003E1027">
              <w:t xml:space="preserve"> (2010)</w:t>
            </w:r>
          </w:p>
        </w:tc>
        <w:tc>
          <w:tcPr>
            <w:tcW w:w="3073" w:type="pct"/>
            <w:shd w:val="clear" w:color="auto" w:fill="auto"/>
          </w:tcPr>
          <w:p w:rsidR="00675E77" w:rsidRPr="003D77FF" w:rsidRDefault="00675E77" w:rsidP="00675E77">
            <w:pPr>
              <w:pStyle w:val="05Tabletext"/>
            </w:pPr>
            <w:r w:rsidRPr="003E1027">
              <w:t>Risk of myocardial infarction and cardiovascular death associated with inhaled corticosteroids in COPD</w:t>
            </w:r>
            <w:r>
              <w:t>.</w:t>
            </w:r>
          </w:p>
        </w:tc>
        <w:tc>
          <w:tcPr>
            <w:tcW w:w="969" w:type="pct"/>
            <w:shd w:val="clear" w:color="auto" w:fill="auto"/>
          </w:tcPr>
          <w:p w:rsidR="00675E77" w:rsidRDefault="00675E77" w:rsidP="00675E77">
            <w:pPr>
              <w:pStyle w:val="05Tabletext"/>
            </w:pPr>
            <w:r>
              <w:t>SR and MA</w:t>
            </w:r>
          </w:p>
        </w:tc>
      </w:tr>
    </w:tbl>
    <w:p w:rsidR="00675E77" w:rsidRDefault="00675E77" w:rsidP="00675E77">
      <w:pPr>
        <w:pStyle w:val="11TableorFigurefootnotenostick"/>
      </w:pPr>
      <w:r>
        <w:t>Abbreviations: AE, adverse event; COPD, chronic obstructive pulmonary disease; ICS, inhaled corticosteroids; LABA, long-acting beta-2 agonist; MA, meta-analysis; SR, systematic review; TB, tuberculosis</w:t>
      </w:r>
    </w:p>
    <w:p w:rsidR="00675E77" w:rsidRDefault="00356377" w:rsidP="00675E77">
      <w:pPr>
        <w:pStyle w:val="BodyText"/>
      </w:pPr>
      <w:r>
        <w:t xml:space="preserve">Table </w:t>
      </w:r>
      <w:r>
        <w:rPr>
          <w:noProof/>
        </w:rPr>
        <w:t>4</w:t>
      </w:r>
      <w:r>
        <w:t>.</w:t>
      </w:r>
      <w:r>
        <w:rPr>
          <w:noProof/>
        </w:rPr>
        <w:t>4</w:t>
      </w:r>
      <w:r w:rsidR="00675E77">
        <w:t xml:space="preserve"> summarises the comparisons investigated and the outcomes reported in the systematic reviews. Findings are briefly reported in this table for most studies, but key reviews are presented in more detail in the following section.</w:t>
      </w:r>
    </w:p>
    <w:p w:rsidR="00675E77" w:rsidRDefault="00675E77" w:rsidP="00675E77">
      <w:pPr>
        <w:pStyle w:val="BodyText"/>
      </w:pPr>
    </w:p>
    <w:p w:rsidR="00675E77" w:rsidRDefault="00675E77" w:rsidP="00675E77">
      <w:pPr>
        <w:pStyle w:val="BodyText"/>
        <w:sectPr w:rsidR="00675E77" w:rsidSect="00CB3D44">
          <w:footerReference w:type="default" r:id="rId13"/>
          <w:pgSz w:w="11906" w:h="16838"/>
          <w:pgMar w:top="1134" w:right="1134" w:bottom="1134" w:left="1134" w:header="709" w:footer="709" w:gutter="0"/>
          <w:cols w:space="708"/>
          <w:docGrid w:linePitch="360"/>
        </w:sectPr>
      </w:pPr>
    </w:p>
    <w:p w:rsidR="00675E77" w:rsidRDefault="00675E77" w:rsidP="00B860D2">
      <w:pPr>
        <w:pStyle w:val="HeaderTable"/>
      </w:pPr>
      <w:bookmarkStart w:id="50" w:name="_Ref467083996"/>
      <w:bookmarkStart w:id="51" w:name="_Toc468022882"/>
      <w:bookmarkStart w:id="52" w:name="_Toc468034535"/>
      <w:bookmarkStart w:id="53" w:name="_Toc480373299"/>
      <w:bookmarkStart w:id="54" w:name="_Toc486515194"/>
      <w:r>
        <w:lastRenderedPageBreak/>
        <w:t xml:space="preserve">Table </w:t>
      </w:r>
      <w:r w:rsidR="00356377">
        <w:rPr>
          <w:noProof/>
        </w:rPr>
        <w:t>4</w:t>
      </w:r>
      <w:r>
        <w:t>.</w:t>
      </w:r>
      <w:r w:rsidR="00356377">
        <w:rPr>
          <w:noProof/>
        </w:rPr>
        <w:t>4</w:t>
      </w:r>
      <w:bookmarkEnd w:id="50"/>
      <w:r>
        <w:tab/>
        <w:t>Outline of the identified systematic reviews and selection of key reviews</w:t>
      </w:r>
      <w:bookmarkEnd w:id="51"/>
      <w:bookmarkEnd w:id="52"/>
      <w:bookmarkEnd w:id="53"/>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Outline of the identified systematic reviews and selection of key reviews"/>
      </w:tblPr>
      <w:tblGrid>
        <w:gridCol w:w="1197"/>
        <w:gridCol w:w="1927"/>
        <w:gridCol w:w="2126"/>
        <w:gridCol w:w="4394"/>
        <w:gridCol w:w="4117"/>
        <w:gridCol w:w="819"/>
      </w:tblGrid>
      <w:tr w:rsidR="00675E77" w:rsidRPr="003D77FF" w:rsidTr="00675E77">
        <w:trPr>
          <w:cantSplit/>
          <w:tblHeader/>
        </w:trPr>
        <w:tc>
          <w:tcPr>
            <w:tcW w:w="410" w:type="pct"/>
            <w:shd w:val="clear" w:color="auto" w:fill="BFBFBF"/>
          </w:tcPr>
          <w:p w:rsidR="00675E77" w:rsidRPr="003D77FF" w:rsidRDefault="00675E77" w:rsidP="00675E77">
            <w:pPr>
              <w:pStyle w:val="01TableHEADINGleftaligned"/>
            </w:pPr>
            <w:r>
              <w:t>Ref ID</w:t>
            </w:r>
          </w:p>
        </w:tc>
        <w:tc>
          <w:tcPr>
            <w:tcW w:w="661" w:type="pct"/>
            <w:shd w:val="clear" w:color="auto" w:fill="BFBFBF"/>
          </w:tcPr>
          <w:p w:rsidR="00675E77" w:rsidRDefault="00675E77" w:rsidP="00675E77">
            <w:pPr>
              <w:pStyle w:val="01TableHEADINGleftaligned"/>
            </w:pPr>
            <w:r>
              <w:t>Relevant comparisons</w:t>
            </w:r>
          </w:p>
        </w:tc>
        <w:tc>
          <w:tcPr>
            <w:tcW w:w="729" w:type="pct"/>
            <w:tcBorders>
              <w:right w:val="single" w:sz="4" w:space="0" w:color="auto"/>
            </w:tcBorders>
            <w:shd w:val="clear" w:color="auto" w:fill="BFBFBF"/>
          </w:tcPr>
          <w:p w:rsidR="00675E77" w:rsidRPr="003932E0" w:rsidRDefault="00675E77" w:rsidP="00675E77">
            <w:pPr>
              <w:pStyle w:val="01TableHEADINGleftaligned"/>
            </w:pPr>
            <w:r>
              <w:t>Safety outcomes</w:t>
            </w:r>
          </w:p>
        </w:tc>
        <w:tc>
          <w:tcPr>
            <w:tcW w:w="1507" w:type="pct"/>
            <w:shd w:val="clear" w:color="auto" w:fill="BFBFBF"/>
          </w:tcPr>
          <w:p w:rsidR="00675E77" w:rsidRPr="003D77FF" w:rsidRDefault="00675E77" w:rsidP="00675E77">
            <w:pPr>
              <w:pStyle w:val="01TableHEADINGleftaligned"/>
            </w:pPr>
            <w:r>
              <w:t>Study design, results</w:t>
            </w:r>
          </w:p>
        </w:tc>
        <w:tc>
          <w:tcPr>
            <w:tcW w:w="1412" w:type="pct"/>
            <w:shd w:val="clear" w:color="auto" w:fill="BFBFBF"/>
          </w:tcPr>
          <w:p w:rsidR="00675E77" w:rsidRDefault="00675E77" w:rsidP="00675E77">
            <w:pPr>
              <w:pStyle w:val="01TableHEADINGleftaligned"/>
            </w:pPr>
            <w:r w:rsidRPr="00757EE4">
              <w:t>Authors’</w:t>
            </w:r>
            <w:r>
              <w:t xml:space="preserve"> conclusion for safety</w:t>
            </w:r>
          </w:p>
        </w:tc>
        <w:tc>
          <w:tcPr>
            <w:tcW w:w="281" w:type="pct"/>
            <w:shd w:val="clear" w:color="auto" w:fill="BFBFBF"/>
          </w:tcPr>
          <w:p w:rsidR="00675E77" w:rsidRPr="003D77FF" w:rsidRDefault="00675E77" w:rsidP="00675E77">
            <w:pPr>
              <w:pStyle w:val="01TableHEADINGleftaligned"/>
            </w:pPr>
            <w:r>
              <w:t>Key review</w:t>
            </w:r>
          </w:p>
        </w:tc>
      </w:tr>
      <w:tr w:rsidR="00675E77" w:rsidRPr="003D77FF" w:rsidTr="00675E77">
        <w:trPr>
          <w:cantSplit/>
        </w:trPr>
        <w:tc>
          <w:tcPr>
            <w:tcW w:w="410" w:type="pct"/>
            <w:shd w:val="clear" w:color="auto" w:fill="000000"/>
          </w:tcPr>
          <w:p w:rsidR="00675E77" w:rsidRDefault="00675E77" w:rsidP="00675E77">
            <w:pPr>
              <w:pStyle w:val="04Tablesubheading"/>
            </w:pPr>
            <w:r>
              <w:t>Multiple AEs</w:t>
            </w:r>
          </w:p>
        </w:tc>
        <w:tc>
          <w:tcPr>
            <w:tcW w:w="661" w:type="pct"/>
            <w:shd w:val="clear" w:color="auto" w:fill="000000"/>
          </w:tcPr>
          <w:p w:rsidR="00675E77" w:rsidRDefault="00675E77" w:rsidP="00675E77">
            <w:pPr>
              <w:pStyle w:val="04Tablesubheading"/>
            </w:pPr>
          </w:p>
        </w:tc>
        <w:tc>
          <w:tcPr>
            <w:tcW w:w="729" w:type="pct"/>
            <w:tcBorders>
              <w:right w:val="single" w:sz="4" w:space="0" w:color="auto"/>
            </w:tcBorders>
            <w:shd w:val="clear" w:color="auto" w:fill="000000"/>
          </w:tcPr>
          <w:p w:rsidR="00675E77" w:rsidRDefault="00675E77" w:rsidP="00675E77">
            <w:pPr>
              <w:pStyle w:val="04Tablesubheading"/>
            </w:pPr>
          </w:p>
        </w:tc>
        <w:tc>
          <w:tcPr>
            <w:tcW w:w="1507" w:type="pct"/>
            <w:shd w:val="clear" w:color="auto" w:fill="000000"/>
          </w:tcPr>
          <w:p w:rsidR="00675E77" w:rsidRDefault="00675E77" w:rsidP="00675E77">
            <w:pPr>
              <w:pStyle w:val="04Tablesubheading"/>
            </w:pPr>
          </w:p>
        </w:tc>
        <w:tc>
          <w:tcPr>
            <w:tcW w:w="1412" w:type="pct"/>
            <w:shd w:val="clear" w:color="auto" w:fill="000000"/>
          </w:tcPr>
          <w:p w:rsidR="00675E77" w:rsidRDefault="00675E77" w:rsidP="00675E77">
            <w:pPr>
              <w:pStyle w:val="04Tablesubheading"/>
            </w:pPr>
          </w:p>
        </w:tc>
        <w:tc>
          <w:tcPr>
            <w:tcW w:w="281" w:type="pct"/>
            <w:shd w:val="clear" w:color="auto" w:fill="000000"/>
          </w:tcPr>
          <w:p w:rsidR="00675E77" w:rsidRDefault="00675E77" w:rsidP="00675E77">
            <w:pPr>
              <w:pStyle w:val="04Tablesubheading"/>
            </w:pPr>
          </w:p>
        </w:tc>
      </w:tr>
      <w:tr w:rsidR="00675E77" w:rsidRPr="003D77FF" w:rsidTr="00675E77">
        <w:trPr>
          <w:cantSplit/>
        </w:trPr>
        <w:tc>
          <w:tcPr>
            <w:tcW w:w="410" w:type="pct"/>
            <w:shd w:val="clear" w:color="auto" w:fill="auto"/>
          </w:tcPr>
          <w:p w:rsidR="00675E77" w:rsidRPr="003D77FF" w:rsidRDefault="00675E77" w:rsidP="00675E77">
            <w:pPr>
              <w:pStyle w:val="05Tabletext"/>
            </w:pPr>
            <w:proofErr w:type="spellStart"/>
            <w:r w:rsidRPr="00610051">
              <w:t>Nannini</w:t>
            </w:r>
            <w:proofErr w:type="spellEnd"/>
            <w:r w:rsidRPr="00610051">
              <w:t xml:space="preserve"> (2013)</w:t>
            </w:r>
          </w:p>
        </w:tc>
        <w:tc>
          <w:tcPr>
            <w:tcW w:w="661" w:type="pct"/>
          </w:tcPr>
          <w:p w:rsidR="00675E77" w:rsidRPr="00203356" w:rsidRDefault="00675E77" w:rsidP="00675E77">
            <w:pPr>
              <w:pStyle w:val="05Tabletext"/>
              <w:rPr>
                <w:u w:val="single"/>
              </w:rPr>
            </w:pPr>
            <w:r w:rsidRPr="00203356">
              <w:rPr>
                <w:u w:val="single"/>
              </w:rPr>
              <w:t>FLU/</w:t>
            </w:r>
            <w:r w:rsidRPr="00203356">
              <w:rPr>
                <w:rFonts w:ascii="Arial" w:hAnsi="Arial" w:cs="Arial"/>
                <w:u w:val="single"/>
              </w:rPr>
              <w:t>​</w:t>
            </w:r>
            <w:r w:rsidRPr="00203356">
              <w:rPr>
                <w:u w:val="single"/>
              </w:rPr>
              <w:t>SAL vs PBO</w:t>
            </w:r>
          </w:p>
          <w:p w:rsidR="00675E77" w:rsidRPr="00E5237E" w:rsidRDefault="00675E77" w:rsidP="00675E77">
            <w:pPr>
              <w:pStyle w:val="06Tabletextspacebefore"/>
              <w:rPr>
                <w:u w:val="single"/>
              </w:rPr>
            </w:pPr>
            <w:r w:rsidRPr="00203356">
              <w:rPr>
                <w:u w:val="single"/>
              </w:rPr>
              <w:t>BUD/</w:t>
            </w:r>
            <w:r w:rsidRPr="00203356">
              <w:rPr>
                <w:rFonts w:ascii="Arial" w:hAnsi="Arial" w:cs="Arial"/>
                <w:u w:val="single"/>
              </w:rPr>
              <w:t>​</w:t>
            </w:r>
            <w:r w:rsidRPr="00203356">
              <w:rPr>
                <w:u w:val="single"/>
              </w:rPr>
              <w:t>EFO vs PBO</w:t>
            </w:r>
            <w:r>
              <w:rPr>
                <w:rStyle w:val="FootnoteReference"/>
                <w:u w:val="single"/>
              </w:rPr>
              <w:footnoteReference w:id="4"/>
            </w:r>
          </w:p>
        </w:tc>
        <w:tc>
          <w:tcPr>
            <w:tcW w:w="729" w:type="pct"/>
            <w:tcBorders>
              <w:right w:val="single" w:sz="4" w:space="0" w:color="auto"/>
            </w:tcBorders>
          </w:tcPr>
          <w:p w:rsidR="00675E77" w:rsidRDefault="00675E77" w:rsidP="00675E77">
            <w:pPr>
              <w:pStyle w:val="05Tabletext"/>
            </w:pPr>
            <w:r w:rsidRPr="00494E79">
              <w:rPr>
                <w:u w:val="single"/>
              </w:rPr>
              <w:t>Primary:</w:t>
            </w:r>
            <w:r>
              <w:t xml:space="preserve"> </w:t>
            </w:r>
          </w:p>
          <w:p w:rsidR="00675E77" w:rsidRDefault="00675E77" w:rsidP="00675E77">
            <w:pPr>
              <w:pStyle w:val="07Tablebullet"/>
            </w:pPr>
            <w:r>
              <w:t>m</w:t>
            </w:r>
            <w:r w:rsidRPr="00632F7C">
              <w:t>ortality</w:t>
            </w:r>
          </w:p>
          <w:p w:rsidR="00675E77" w:rsidRDefault="00675E77" w:rsidP="00675E77">
            <w:pPr>
              <w:pStyle w:val="07Tablebullet"/>
            </w:pPr>
            <w:r>
              <w:t>p</w:t>
            </w:r>
            <w:r w:rsidRPr="00632F7C">
              <w:t>neumonia</w:t>
            </w:r>
            <w:r>
              <w:t xml:space="preserve"> </w:t>
            </w:r>
          </w:p>
          <w:p w:rsidR="00675E77" w:rsidRPr="003D77FF" w:rsidRDefault="00675E77" w:rsidP="00675E77">
            <w:pPr>
              <w:pStyle w:val="06Tabletextspacebefore"/>
            </w:pPr>
            <w:r w:rsidRPr="00494E79">
              <w:rPr>
                <w:u w:val="single"/>
              </w:rPr>
              <w:t>Secondary:</w:t>
            </w:r>
            <w:r>
              <w:t xml:space="preserve"> any AE; any SAE; pneumonia AE; </w:t>
            </w:r>
            <w:r w:rsidRPr="00632F7C">
              <w:t>candidiasis</w:t>
            </w:r>
            <w:r>
              <w:t xml:space="preserve">; hoarseness or dysphonia; cataracts; COPD; tremor; </w:t>
            </w:r>
            <w:r w:rsidRPr="00632F7C">
              <w:t>palpitations</w:t>
            </w:r>
            <w:r>
              <w:t xml:space="preserve">; increased blood glucose; </w:t>
            </w:r>
            <w:r w:rsidRPr="00632F7C">
              <w:t>skin bruising</w:t>
            </w:r>
            <w:r>
              <w:t xml:space="preserve">; bronchitis; URTI; </w:t>
            </w:r>
            <w:proofErr w:type="spellStart"/>
            <w:r>
              <w:t>nasopharyngitis</w:t>
            </w:r>
            <w:proofErr w:type="spellEnd"/>
            <w:r>
              <w:t>; cough; headache; bone density (</w:t>
            </w:r>
            <w:r w:rsidRPr="00745BC6">
              <w:t>outcomes analysed</w:t>
            </w:r>
            <w:r>
              <w:t xml:space="preserve"> rather than specified).</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t xml:space="preserve"> RCTs</w:t>
            </w:r>
          </w:p>
          <w:p w:rsidR="00675E77" w:rsidRDefault="00675E77" w:rsidP="00675E77">
            <w:pPr>
              <w:pStyle w:val="06Tabletextspacebefore"/>
            </w:pPr>
            <w:r>
              <w:t>Analyses presented by intervention and by degree of reversibility. For BUD/</w:t>
            </w:r>
            <w:r>
              <w:rPr>
                <w:rFonts w:ascii="Arial" w:hAnsi="Arial" w:cs="Arial"/>
              </w:rPr>
              <w:t>​</w:t>
            </w:r>
            <w:r>
              <w:t>EFO dose subgroups are shown.</w:t>
            </w:r>
          </w:p>
          <w:p w:rsidR="00675E77" w:rsidRPr="00757EE4" w:rsidRDefault="00675E77" w:rsidP="00675E77">
            <w:pPr>
              <w:pStyle w:val="06Tabletextspacebefore"/>
            </w:pPr>
            <w:r>
              <w:t>Results reported in following section.</w:t>
            </w:r>
          </w:p>
        </w:tc>
        <w:tc>
          <w:tcPr>
            <w:tcW w:w="1412" w:type="pct"/>
          </w:tcPr>
          <w:p w:rsidR="00675E77" w:rsidRDefault="00675E77" w:rsidP="00675E77">
            <w:pPr>
              <w:pStyle w:val="05Tabletext"/>
            </w:pPr>
            <w:r>
              <w:t xml:space="preserve">A significant reduction in all-cause mortality was noted, but this outcome was </w:t>
            </w:r>
            <w:r w:rsidRPr="00CB3D44">
              <w:t>dominated</w:t>
            </w:r>
            <w:r>
              <w:t xml:space="preserve"> by one trial (TORCH), emphasising the need for further trials of longer duration. Increased risk of pneumonia is a concern; however, this did not translate into increased exacerbations, hospitalisations or deaths.</w:t>
            </w:r>
          </w:p>
        </w:tc>
        <w:tc>
          <w:tcPr>
            <w:tcW w:w="281" w:type="pct"/>
            <w:shd w:val="clear" w:color="auto" w:fill="auto"/>
          </w:tcPr>
          <w:p w:rsidR="00675E77" w:rsidRPr="003D77FF" w:rsidRDefault="00675E77" w:rsidP="00675E77">
            <w:pPr>
              <w:pStyle w:val="05Tabletext"/>
              <w:jc w:val="center"/>
            </w:pPr>
            <w:r>
              <w:t>Yes</w:t>
            </w:r>
          </w:p>
        </w:tc>
      </w:tr>
      <w:tr w:rsidR="00675E77" w:rsidRPr="003D77FF" w:rsidTr="00675E77">
        <w:trPr>
          <w:cantSplit/>
        </w:trPr>
        <w:tc>
          <w:tcPr>
            <w:tcW w:w="410" w:type="pct"/>
            <w:shd w:val="clear" w:color="auto" w:fill="auto"/>
          </w:tcPr>
          <w:p w:rsidR="00675E77" w:rsidRPr="003D77FF" w:rsidRDefault="00675E77" w:rsidP="00675E77">
            <w:pPr>
              <w:pStyle w:val="05Tabletext"/>
            </w:pPr>
            <w:proofErr w:type="spellStart"/>
            <w:r w:rsidRPr="00610051">
              <w:t>Nannini</w:t>
            </w:r>
            <w:proofErr w:type="spellEnd"/>
            <w:r w:rsidRPr="00610051">
              <w:t xml:space="preserve"> (2012)</w:t>
            </w:r>
          </w:p>
        </w:tc>
        <w:tc>
          <w:tcPr>
            <w:tcW w:w="661" w:type="pct"/>
          </w:tcPr>
          <w:p w:rsidR="00675E77" w:rsidRPr="00203356" w:rsidRDefault="00675E77" w:rsidP="00675E77">
            <w:pPr>
              <w:pStyle w:val="05Tabletext"/>
              <w:rPr>
                <w:u w:val="single"/>
              </w:rPr>
            </w:pPr>
            <w:r w:rsidRPr="00203356">
              <w:rPr>
                <w:u w:val="single"/>
              </w:rPr>
              <w:t>FLU/</w:t>
            </w:r>
            <w:r w:rsidRPr="00203356">
              <w:rPr>
                <w:rFonts w:ascii="Arial" w:hAnsi="Arial" w:cs="Arial"/>
                <w:u w:val="single"/>
              </w:rPr>
              <w:t>​</w:t>
            </w:r>
            <w:r w:rsidRPr="00203356">
              <w:rPr>
                <w:u w:val="single"/>
              </w:rPr>
              <w:t>SAL vs SAL</w:t>
            </w:r>
          </w:p>
          <w:p w:rsidR="00675E77" w:rsidRPr="006135AB" w:rsidRDefault="00675E77" w:rsidP="00675E77">
            <w:pPr>
              <w:pStyle w:val="06Tabletextspacebefore"/>
            </w:pPr>
            <w:r w:rsidRPr="00203356">
              <w:rPr>
                <w:u w:val="single"/>
              </w:rPr>
              <w:t>BUD/</w:t>
            </w:r>
            <w:r w:rsidRPr="00203356">
              <w:rPr>
                <w:rFonts w:ascii="Arial" w:hAnsi="Arial" w:cs="Arial"/>
                <w:u w:val="single"/>
              </w:rPr>
              <w:t>​</w:t>
            </w:r>
            <w:r w:rsidRPr="00203356">
              <w:rPr>
                <w:u w:val="single"/>
              </w:rPr>
              <w:t>EFO vs EFO</w:t>
            </w:r>
          </w:p>
        </w:tc>
        <w:tc>
          <w:tcPr>
            <w:tcW w:w="729" w:type="pct"/>
            <w:tcBorders>
              <w:right w:val="single" w:sz="4" w:space="0" w:color="auto"/>
            </w:tcBorders>
          </w:tcPr>
          <w:p w:rsidR="00675E77" w:rsidRDefault="00675E77" w:rsidP="00675E77">
            <w:pPr>
              <w:pStyle w:val="05Tabletext"/>
            </w:pPr>
            <w:r w:rsidRPr="00450456">
              <w:rPr>
                <w:u w:val="single"/>
              </w:rPr>
              <w:t>Primary</w:t>
            </w:r>
            <w:r w:rsidRPr="00494E79">
              <w:t>:</w:t>
            </w:r>
            <w:r>
              <w:t xml:space="preserve"> </w:t>
            </w:r>
          </w:p>
          <w:p w:rsidR="00675E77" w:rsidRDefault="00675E77" w:rsidP="00675E77">
            <w:pPr>
              <w:pStyle w:val="07Tablebullet"/>
            </w:pPr>
            <w:r>
              <w:t>m</w:t>
            </w:r>
            <w:r w:rsidRPr="00632F7C">
              <w:t>ortality</w:t>
            </w:r>
          </w:p>
          <w:p w:rsidR="00675E77" w:rsidRDefault="00675E77" w:rsidP="00675E77">
            <w:pPr>
              <w:pStyle w:val="07Tablebullet"/>
            </w:pPr>
            <w:r>
              <w:t>p</w:t>
            </w:r>
            <w:r w:rsidRPr="00632F7C">
              <w:t>neumonia</w:t>
            </w:r>
            <w:r>
              <w:t xml:space="preserve"> </w:t>
            </w:r>
          </w:p>
          <w:p w:rsidR="00675E77" w:rsidRPr="003D77FF" w:rsidRDefault="00675E77" w:rsidP="00675E77">
            <w:pPr>
              <w:pStyle w:val="06Tabletextspacebefore"/>
            </w:pPr>
            <w:r w:rsidRPr="00494E79">
              <w:rPr>
                <w:u w:val="single"/>
              </w:rPr>
              <w:t>Secondary:</w:t>
            </w:r>
            <w:r>
              <w:t xml:space="preserve"> any AE; any SAE; </w:t>
            </w:r>
            <w:r w:rsidRPr="00632F7C">
              <w:t>candidiasis</w:t>
            </w:r>
            <w:r>
              <w:t>; pneumonia AE; headache; URTI (</w:t>
            </w:r>
            <w:r w:rsidRPr="00745BC6">
              <w:t>outcomes analysed</w:t>
            </w:r>
            <w:r>
              <w:t xml:space="preserve"> rather than specified).</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t xml:space="preserve"> RCTs</w:t>
            </w:r>
          </w:p>
          <w:p w:rsidR="00675E77" w:rsidRDefault="00675E77" w:rsidP="00675E77">
            <w:pPr>
              <w:pStyle w:val="06Tabletextspacebefore"/>
            </w:pPr>
            <w:r>
              <w:t>Analyses presented pooled for both interventions and separately by intervention, and by dose for pneumonia.</w:t>
            </w:r>
          </w:p>
          <w:p w:rsidR="00675E77" w:rsidRPr="003D77FF" w:rsidRDefault="00675E77" w:rsidP="00675E77">
            <w:pPr>
              <w:pStyle w:val="06Tabletextspacebefore"/>
            </w:pPr>
            <w:r>
              <w:t>Results reported in following section.</w:t>
            </w:r>
          </w:p>
        </w:tc>
        <w:tc>
          <w:tcPr>
            <w:tcW w:w="1412" w:type="pct"/>
          </w:tcPr>
          <w:p w:rsidR="00675E77" w:rsidRPr="00CB3D44" w:rsidRDefault="00675E77" w:rsidP="00675E77">
            <w:pPr>
              <w:pStyle w:val="05Tabletext"/>
            </w:pPr>
            <w:r>
              <w:t>There was moderate</w:t>
            </w:r>
            <w:r w:rsidR="00BD5577">
              <w:t>-</w:t>
            </w:r>
            <w:r>
              <w:t>quality evidence of an increased risk of pneumonia with ICS/LABA (vs LABA). There was moderate</w:t>
            </w:r>
            <w:r w:rsidR="00BD5577">
              <w:t>-</w:t>
            </w:r>
            <w:r>
              <w:t>quality evidence that treatments had similar effects on mortality.</w:t>
            </w:r>
          </w:p>
        </w:tc>
        <w:tc>
          <w:tcPr>
            <w:tcW w:w="281" w:type="pct"/>
            <w:shd w:val="clear" w:color="auto" w:fill="auto"/>
          </w:tcPr>
          <w:p w:rsidR="00675E77" w:rsidRPr="003D77FF" w:rsidRDefault="00675E77" w:rsidP="00675E77">
            <w:pPr>
              <w:pStyle w:val="05Tabletext"/>
              <w:jc w:val="center"/>
            </w:pPr>
            <w:r>
              <w:t>Yes</w:t>
            </w:r>
          </w:p>
        </w:tc>
      </w:tr>
      <w:tr w:rsidR="00675E77" w:rsidRPr="003D77FF" w:rsidTr="00675E77">
        <w:trPr>
          <w:cantSplit/>
        </w:trPr>
        <w:tc>
          <w:tcPr>
            <w:tcW w:w="410" w:type="pct"/>
            <w:shd w:val="clear" w:color="auto" w:fill="auto"/>
          </w:tcPr>
          <w:p w:rsidR="00675E77" w:rsidRPr="0054680E" w:rsidRDefault="00675E77" w:rsidP="00675E77">
            <w:pPr>
              <w:pStyle w:val="05Tabletext"/>
            </w:pPr>
            <w:r w:rsidRPr="0054680E">
              <w:lastRenderedPageBreak/>
              <w:t>Yang (2012)</w:t>
            </w:r>
          </w:p>
        </w:tc>
        <w:tc>
          <w:tcPr>
            <w:tcW w:w="661" w:type="pct"/>
          </w:tcPr>
          <w:p w:rsidR="00675E77" w:rsidRPr="006135AB" w:rsidRDefault="00675E77" w:rsidP="00675E77">
            <w:pPr>
              <w:pStyle w:val="05Tabletext"/>
              <w:rPr>
                <w:u w:val="single"/>
              </w:rPr>
            </w:pPr>
            <w:r>
              <w:rPr>
                <w:u w:val="single"/>
              </w:rPr>
              <w:t>ICS vs PBO</w:t>
            </w:r>
          </w:p>
          <w:p w:rsidR="00675E77" w:rsidRPr="0054680E" w:rsidRDefault="00675E77" w:rsidP="00675E77">
            <w:pPr>
              <w:pStyle w:val="06Tabletextspacebefore"/>
            </w:pPr>
            <w:r>
              <w:t>Drugs not identified beyond class</w:t>
            </w:r>
          </w:p>
        </w:tc>
        <w:tc>
          <w:tcPr>
            <w:tcW w:w="729" w:type="pct"/>
            <w:tcBorders>
              <w:right w:val="single" w:sz="4" w:space="0" w:color="auto"/>
            </w:tcBorders>
          </w:tcPr>
          <w:p w:rsidR="00675E77" w:rsidRPr="00C70DFB" w:rsidRDefault="00675E77" w:rsidP="00675E77">
            <w:pPr>
              <w:pStyle w:val="05Tabletext"/>
              <w:rPr>
                <w:u w:val="single"/>
              </w:rPr>
            </w:pPr>
            <w:r w:rsidRPr="00C70DFB">
              <w:rPr>
                <w:u w:val="single"/>
              </w:rPr>
              <w:t>Secondary:</w:t>
            </w:r>
          </w:p>
          <w:p w:rsidR="00675E77" w:rsidRPr="000058DE" w:rsidRDefault="00675E77" w:rsidP="00675E77">
            <w:pPr>
              <w:pStyle w:val="07Tablebullet"/>
            </w:pPr>
            <w:r w:rsidRPr="000058DE">
              <w:t>throat irritation</w:t>
            </w:r>
          </w:p>
          <w:p w:rsidR="00675E77" w:rsidRPr="000058DE" w:rsidRDefault="00675E77" w:rsidP="00675E77">
            <w:pPr>
              <w:pStyle w:val="07Tablebullet"/>
            </w:pPr>
            <w:proofErr w:type="spellStart"/>
            <w:r w:rsidRPr="000058DE">
              <w:t>oropharangeal</w:t>
            </w:r>
            <w:proofErr w:type="spellEnd"/>
            <w:r>
              <w:t xml:space="preserve"> </w:t>
            </w:r>
            <w:r w:rsidRPr="000058DE">
              <w:t>candidiasis</w:t>
            </w:r>
          </w:p>
          <w:p w:rsidR="00675E77" w:rsidRPr="000058DE" w:rsidRDefault="00675E77" w:rsidP="00675E77">
            <w:pPr>
              <w:pStyle w:val="07Tablebullet"/>
            </w:pPr>
            <w:r>
              <w:t xml:space="preserve">hoarseness or </w:t>
            </w:r>
            <w:r w:rsidRPr="000058DE">
              <w:t>dysphonia</w:t>
            </w:r>
          </w:p>
          <w:p w:rsidR="00675E77" w:rsidRPr="000058DE" w:rsidRDefault="00675E77" w:rsidP="00675E77">
            <w:pPr>
              <w:pStyle w:val="07Tablebullet"/>
            </w:pPr>
            <w:r w:rsidRPr="000058DE">
              <w:t>bruising</w:t>
            </w:r>
          </w:p>
          <w:p w:rsidR="00675E77" w:rsidRPr="000058DE" w:rsidRDefault="00675E77" w:rsidP="00675E77">
            <w:pPr>
              <w:pStyle w:val="07Tablebullet"/>
            </w:pPr>
            <w:r w:rsidRPr="000058DE">
              <w:t>vertebral fractures</w:t>
            </w:r>
          </w:p>
          <w:p w:rsidR="00675E77" w:rsidRPr="000058DE" w:rsidRDefault="00675E77" w:rsidP="00675E77">
            <w:pPr>
              <w:pStyle w:val="07Tablebullet"/>
            </w:pPr>
            <w:r w:rsidRPr="000058DE">
              <w:t>any fractures</w:t>
            </w:r>
          </w:p>
          <w:p w:rsidR="00675E77" w:rsidRPr="000058DE" w:rsidRDefault="00675E77" w:rsidP="00675E77">
            <w:pPr>
              <w:pStyle w:val="07Tablebullet"/>
            </w:pPr>
            <w:r w:rsidRPr="000058DE">
              <w:t>cataracts</w:t>
            </w:r>
          </w:p>
          <w:p w:rsidR="00675E77" w:rsidRPr="000058DE" w:rsidRDefault="00675E77" w:rsidP="00675E77">
            <w:pPr>
              <w:pStyle w:val="07Tablebullet"/>
            </w:pPr>
            <w:r w:rsidRPr="000058DE">
              <w:t>serum cortisol</w:t>
            </w:r>
          </w:p>
          <w:p w:rsidR="00675E77" w:rsidRPr="0003789A" w:rsidRDefault="00675E77" w:rsidP="00675E77">
            <w:pPr>
              <w:pStyle w:val="07Tablebullet"/>
            </w:pPr>
            <w:r w:rsidRPr="000058DE">
              <w:t>pneumonia</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w:t>
            </w:r>
          </w:p>
          <w:p w:rsidR="00675E77" w:rsidRDefault="00675E77" w:rsidP="00675E77">
            <w:pPr>
              <w:pStyle w:val="06Tabletextspacebefore"/>
              <w:rPr>
                <w:u w:val="single"/>
              </w:rPr>
            </w:pPr>
            <w:r>
              <w:t xml:space="preserve">Analyses pooled all ICS drugs (studies included budesonide, fluticasone propionate, beclomethasone, triamcinolone and </w:t>
            </w:r>
            <w:proofErr w:type="spellStart"/>
            <w:r>
              <w:t>mometasone</w:t>
            </w:r>
            <w:proofErr w:type="spellEnd"/>
            <w:r>
              <w:t>).</w:t>
            </w:r>
          </w:p>
          <w:p w:rsidR="00675E77" w:rsidRDefault="00675E77" w:rsidP="00675E77">
            <w:pPr>
              <w:pStyle w:val="06Tabletextspacebefore"/>
            </w:pPr>
            <w:r w:rsidRPr="00E007C4">
              <w:t xml:space="preserve">Separate analyses performed for </w:t>
            </w:r>
            <w:r>
              <w:t>studies of different durations, different design (parallel vs cross</w:t>
            </w:r>
            <w:r w:rsidR="00CB2EED">
              <w:t>-over</w:t>
            </w:r>
            <w:r>
              <w:t xml:space="preserve">) and for studies of patients </w:t>
            </w:r>
            <w:r w:rsidRPr="00E007C4">
              <w:t>with bronchial hyper-responsiveness</w:t>
            </w:r>
            <w:r>
              <w:t>.</w:t>
            </w:r>
          </w:p>
          <w:p w:rsidR="00675E77" w:rsidRPr="00577EEF" w:rsidRDefault="00675E77" w:rsidP="00675E77">
            <w:pPr>
              <w:pStyle w:val="06Tabletextspacebefore"/>
            </w:pPr>
            <w:r w:rsidRPr="006F28D3">
              <w:t xml:space="preserve">For studies of at </w:t>
            </w:r>
            <w:r>
              <w:t xml:space="preserve">least 6 months, parallel design, ICS use was associated with </w:t>
            </w:r>
            <w:r w:rsidRPr="0003789A">
              <w:t>throat irritation</w:t>
            </w:r>
            <w:r>
              <w:t xml:space="preserve">, </w:t>
            </w:r>
            <w:r w:rsidRPr="0003789A">
              <w:t>bruising</w:t>
            </w:r>
            <w:r>
              <w:t xml:space="preserve">, low serum cortisol (1 study), pneumonia, but not for </w:t>
            </w:r>
            <w:r w:rsidRPr="0003789A">
              <w:t>vertebral fractures</w:t>
            </w:r>
            <w:r>
              <w:t xml:space="preserve"> (1 study), </w:t>
            </w:r>
            <w:r w:rsidRPr="0003789A">
              <w:t>cataracts</w:t>
            </w:r>
            <w:r>
              <w:t xml:space="preserve"> or any fractures (no data for other outcomes for studies of this duration).</w:t>
            </w:r>
          </w:p>
        </w:tc>
        <w:tc>
          <w:tcPr>
            <w:tcW w:w="1412" w:type="pct"/>
          </w:tcPr>
          <w:p w:rsidR="00675E77" w:rsidRPr="00CB3D44" w:rsidRDefault="00675E77" w:rsidP="00675E77">
            <w:pPr>
              <w:pStyle w:val="05Tabletext"/>
            </w:pPr>
            <w:r>
              <w:t>Patients and clinicians should balance the potential benefits of inhaled steroids in COPD (reduced rate of exacerbations, reduced rate of decline in quality of life and possibly reduced rate of decline in FEV</w:t>
            </w:r>
            <w:r w:rsidRPr="00126D7C">
              <w:rPr>
                <w:vertAlign w:val="subscript"/>
              </w:rPr>
              <w:t>1</w:t>
            </w:r>
            <w:r>
              <w:t>) against the potential side effects (oropharyngeal candidiasis and hoarseness, and risk of pneumonia).</w:t>
            </w:r>
          </w:p>
        </w:tc>
        <w:tc>
          <w:tcPr>
            <w:tcW w:w="281" w:type="pct"/>
            <w:shd w:val="clear" w:color="auto" w:fill="auto"/>
          </w:tcPr>
          <w:p w:rsidR="00675E77" w:rsidRPr="00696BA6" w:rsidRDefault="00675E77" w:rsidP="00675E77">
            <w:pPr>
              <w:pStyle w:val="05Tabletext"/>
              <w:jc w:val="center"/>
              <w:rPr>
                <w:highlight w:val="yellow"/>
              </w:rPr>
            </w:pPr>
            <w:r>
              <w:t>No</w:t>
            </w:r>
          </w:p>
        </w:tc>
      </w:tr>
      <w:tr w:rsidR="00675E77" w:rsidRPr="003D77FF" w:rsidTr="00675E77">
        <w:trPr>
          <w:cantSplit/>
        </w:trPr>
        <w:tc>
          <w:tcPr>
            <w:tcW w:w="410" w:type="pct"/>
            <w:shd w:val="clear" w:color="auto" w:fill="000000"/>
          </w:tcPr>
          <w:p w:rsidR="00675E77" w:rsidRPr="00610051" w:rsidRDefault="00675E77" w:rsidP="00675E77">
            <w:pPr>
              <w:pStyle w:val="04Tablesubheading"/>
            </w:pPr>
            <w:r>
              <w:t>Pneumonia</w:t>
            </w:r>
          </w:p>
        </w:tc>
        <w:tc>
          <w:tcPr>
            <w:tcW w:w="661" w:type="pct"/>
            <w:shd w:val="clear" w:color="auto" w:fill="000000"/>
          </w:tcPr>
          <w:p w:rsidR="00675E77" w:rsidRPr="003D77FF" w:rsidRDefault="00675E77" w:rsidP="00675E77">
            <w:pPr>
              <w:pStyle w:val="04Tablesubheading"/>
            </w:pPr>
          </w:p>
        </w:tc>
        <w:tc>
          <w:tcPr>
            <w:tcW w:w="729" w:type="pct"/>
            <w:tcBorders>
              <w:right w:val="single" w:sz="4" w:space="0" w:color="auto"/>
            </w:tcBorders>
            <w:shd w:val="clear" w:color="auto" w:fill="000000"/>
          </w:tcPr>
          <w:p w:rsidR="00675E77" w:rsidRPr="003D77FF" w:rsidRDefault="00675E77" w:rsidP="00675E77">
            <w:pPr>
              <w:pStyle w:val="04Tablesubheading"/>
            </w:pPr>
          </w:p>
        </w:tc>
        <w:tc>
          <w:tcPr>
            <w:tcW w:w="1507" w:type="pct"/>
            <w:shd w:val="clear" w:color="auto" w:fill="000000"/>
          </w:tcPr>
          <w:p w:rsidR="00675E77" w:rsidRPr="003D77FF" w:rsidRDefault="00675E77" w:rsidP="00675E77">
            <w:pPr>
              <w:pStyle w:val="04Tablesubheading"/>
            </w:pPr>
          </w:p>
        </w:tc>
        <w:tc>
          <w:tcPr>
            <w:tcW w:w="1412" w:type="pct"/>
            <w:shd w:val="clear" w:color="auto" w:fill="000000"/>
          </w:tcPr>
          <w:p w:rsidR="00675E77" w:rsidRDefault="00675E77" w:rsidP="00675E77">
            <w:pPr>
              <w:pStyle w:val="04Tablesubheading"/>
            </w:pPr>
          </w:p>
        </w:tc>
        <w:tc>
          <w:tcPr>
            <w:tcW w:w="281" w:type="pct"/>
            <w:shd w:val="clear" w:color="auto" w:fill="000000"/>
          </w:tcPr>
          <w:p w:rsidR="00675E77" w:rsidRDefault="00675E77" w:rsidP="00675E77">
            <w:pPr>
              <w:pStyle w:val="04Tablesubheading"/>
            </w:pPr>
          </w:p>
        </w:tc>
      </w:tr>
      <w:tr w:rsidR="00675E77" w:rsidRPr="003D77FF" w:rsidTr="00675E77">
        <w:trPr>
          <w:cantSplit/>
        </w:trPr>
        <w:tc>
          <w:tcPr>
            <w:tcW w:w="410" w:type="pct"/>
            <w:shd w:val="clear" w:color="auto" w:fill="auto"/>
          </w:tcPr>
          <w:p w:rsidR="00675E77" w:rsidRPr="003D77FF" w:rsidRDefault="00675E77" w:rsidP="00675E77">
            <w:pPr>
              <w:pStyle w:val="05Tabletext"/>
            </w:pPr>
            <w:proofErr w:type="spellStart"/>
            <w:r w:rsidRPr="00610051">
              <w:t>Festic</w:t>
            </w:r>
            <w:proofErr w:type="spellEnd"/>
            <w:r w:rsidRPr="00610051">
              <w:t xml:space="preserve"> (2016)</w:t>
            </w:r>
          </w:p>
        </w:tc>
        <w:tc>
          <w:tcPr>
            <w:tcW w:w="661" w:type="pct"/>
          </w:tcPr>
          <w:p w:rsidR="00675E77" w:rsidRDefault="00675E77" w:rsidP="00675E77">
            <w:pPr>
              <w:pStyle w:val="05Tabletext"/>
              <w:rPr>
                <w:u w:val="single"/>
              </w:rPr>
            </w:pPr>
            <w:r w:rsidRPr="00C81799">
              <w:rPr>
                <w:u w:val="single"/>
              </w:rPr>
              <w:t>ICS vs non-ICS</w:t>
            </w:r>
          </w:p>
          <w:p w:rsidR="00675E77" w:rsidRPr="00C81799" w:rsidRDefault="00675E77" w:rsidP="00675E77">
            <w:pPr>
              <w:pStyle w:val="06Tabletextspacebefore"/>
            </w:pPr>
            <w:r>
              <w:t>(as monotherapy or with a LABA or LAMA)</w:t>
            </w:r>
          </w:p>
        </w:tc>
        <w:tc>
          <w:tcPr>
            <w:tcW w:w="729" w:type="pct"/>
            <w:tcBorders>
              <w:right w:val="single" w:sz="4" w:space="0" w:color="auto"/>
            </w:tcBorders>
          </w:tcPr>
          <w:p w:rsidR="00675E77" w:rsidRPr="00C57319" w:rsidRDefault="00675E77" w:rsidP="00675E77">
            <w:pPr>
              <w:pStyle w:val="05Tabletext"/>
              <w:rPr>
                <w:u w:val="single"/>
              </w:rPr>
            </w:pPr>
            <w:r>
              <w:rPr>
                <w:u w:val="single"/>
              </w:rPr>
              <w:t>All (p</w:t>
            </w:r>
            <w:r w:rsidRPr="00C57319">
              <w:rPr>
                <w:u w:val="single"/>
              </w:rPr>
              <w:t>rimary</w:t>
            </w:r>
            <w:r>
              <w:rPr>
                <w:u w:val="single"/>
              </w:rPr>
              <w:t xml:space="preserve"> not specified)</w:t>
            </w:r>
            <w:r w:rsidRPr="00C57319">
              <w:rPr>
                <w:u w:val="single"/>
              </w:rPr>
              <w:t>:</w:t>
            </w:r>
          </w:p>
          <w:p w:rsidR="00675E77" w:rsidRDefault="00675E77" w:rsidP="00675E77">
            <w:pPr>
              <w:pStyle w:val="07Tablebullet"/>
            </w:pPr>
            <w:r>
              <w:t>pneumonia</w:t>
            </w:r>
          </w:p>
          <w:p w:rsidR="00675E77" w:rsidRDefault="00675E77" w:rsidP="00675E77">
            <w:pPr>
              <w:pStyle w:val="07Tablebullet"/>
            </w:pPr>
            <w:r>
              <w:t>pneumonia-associated mortality</w:t>
            </w:r>
          </w:p>
          <w:p w:rsidR="00675E77" w:rsidRDefault="00675E77" w:rsidP="00675E77">
            <w:pPr>
              <w:pStyle w:val="07Tablebullet"/>
            </w:pPr>
            <w:r>
              <w:t>pneumonia fatality</w:t>
            </w:r>
          </w:p>
          <w:p w:rsidR="00675E77" w:rsidRPr="00C81799" w:rsidRDefault="00675E77" w:rsidP="00675E77">
            <w:pPr>
              <w:pStyle w:val="07Tablebullet"/>
            </w:pPr>
            <w:r>
              <w:t>overall mortality</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 and observational studies</w:t>
            </w:r>
          </w:p>
          <w:p w:rsidR="00675E77" w:rsidRPr="003D77FF" w:rsidRDefault="00675E77" w:rsidP="00675E77">
            <w:pPr>
              <w:pStyle w:val="06Tabletextspacebefore"/>
            </w:pPr>
            <w:r>
              <w:t xml:space="preserve">Pooled estimates for any ICS vs non-ICS reported separately for RCTs and observational studies. For any pneumonia, pooled estimates from RCTs presented separately for FLU, BUD (and </w:t>
            </w:r>
            <w:proofErr w:type="spellStart"/>
            <w:r>
              <w:t>mometasone</w:t>
            </w:r>
            <w:proofErr w:type="spellEnd"/>
            <w:r>
              <w:t>).</w:t>
            </w:r>
          </w:p>
        </w:tc>
        <w:tc>
          <w:tcPr>
            <w:tcW w:w="1412" w:type="pct"/>
          </w:tcPr>
          <w:p w:rsidR="00675E77" w:rsidRPr="00A03F9D" w:rsidRDefault="00675E77" w:rsidP="00675E77">
            <w:pPr>
              <w:pStyle w:val="05Tabletext"/>
            </w:pPr>
            <w:r>
              <w:t>Despite a substantial and significant increase in unadjusted risk of pneumonia associated with inhaled corticosteroid use, pneumonia fatality and overall mortality were found not to be increased in randomi</w:t>
            </w:r>
            <w:r w:rsidR="006B5DF1">
              <w:t>s</w:t>
            </w:r>
            <w:r>
              <w:t>ed controlled trials and were decreased in observational studies.</w:t>
            </w:r>
          </w:p>
        </w:tc>
        <w:tc>
          <w:tcPr>
            <w:tcW w:w="281" w:type="pct"/>
            <w:shd w:val="clear" w:color="auto" w:fill="auto"/>
          </w:tcPr>
          <w:p w:rsidR="00675E77" w:rsidRPr="003D77FF" w:rsidRDefault="00675E77" w:rsidP="00675E77">
            <w:pPr>
              <w:pStyle w:val="05Tabletext"/>
              <w:jc w:val="center"/>
            </w:pPr>
            <w:r>
              <w:t>No</w:t>
            </w:r>
          </w:p>
        </w:tc>
      </w:tr>
      <w:tr w:rsidR="00675E77" w:rsidRPr="003D77FF" w:rsidTr="00675E77">
        <w:trPr>
          <w:cantSplit/>
        </w:trPr>
        <w:tc>
          <w:tcPr>
            <w:tcW w:w="410" w:type="pct"/>
            <w:shd w:val="clear" w:color="auto" w:fill="auto"/>
          </w:tcPr>
          <w:p w:rsidR="00675E77" w:rsidRPr="003D77FF" w:rsidRDefault="00675E77" w:rsidP="00675E77">
            <w:pPr>
              <w:pStyle w:val="05Tabletext"/>
            </w:pPr>
            <w:proofErr w:type="spellStart"/>
            <w:r w:rsidRPr="00610051">
              <w:t>Tricco</w:t>
            </w:r>
            <w:proofErr w:type="spellEnd"/>
            <w:r w:rsidRPr="00610051">
              <w:t xml:space="preserve"> (2015)</w:t>
            </w:r>
          </w:p>
        </w:tc>
        <w:tc>
          <w:tcPr>
            <w:tcW w:w="661" w:type="pct"/>
          </w:tcPr>
          <w:p w:rsidR="00675E77" w:rsidRPr="00D66143" w:rsidRDefault="00675E77" w:rsidP="00675E77">
            <w:pPr>
              <w:pStyle w:val="05Tabletext"/>
              <w:rPr>
                <w:u w:val="single"/>
              </w:rPr>
            </w:pPr>
            <w:r w:rsidRPr="00FA63FD">
              <w:rPr>
                <w:u w:val="single"/>
              </w:rPr>
              <w:t>ICS vs</w:t>
            </w:r>
            <w:r>
              <w:rPr>
                <w:u w:val="single"/>
              </w:rPr>
              <w:t xml:space="preserve"> LABA vs LAM</w:t>
            </w:r>
            <w:r w:rsidRPr="00FA63FD">
              <w:rPr>
                <w:u w:val="single"/>
              </w:rPr>
              <w:t>A vs placebo plus all comparisons of all combinations of above</w:t>
            </w:r>
          </w:p>
        </w:tc>
        <w:tc>
          <w:tcPr>
            <w:tcW w:w="729" w:type="pct"/>
            <w:tcBorders>
              <w:right w:val="single" w:sz="4" w:space="0" w:color="auto"/>
            </w:tcBorders>
          </w:tcPr>
          <w:p w:rsidR="00675E77" w:rsidRPr="00C70DFB" w:rsidRDefault="00675E77" w:rsidP="00675E77">
            <w:pPr>
              <w:pStyle w:val="05Tabletext"/>
              <w:rPr>
                <w:u w:val="single"/>
              </w:rPr>
            </w:pPr>
            <w:r w:rsidRPr="00C70DFB">
              <w:rPr>
                <w:u w:val="single"/>
              </w:rPr>
              <w:t>Secondary:</w:t>
            </w:r>
          </w:p>
          <w:p w:rsidR="00675E77" w:rsidRDefault="00675E77" w:rsidP="00675E77">
            <w:pPr>
              <w:pStyle w:val="07Tablebullet"/>
            </w:pPr>
            <w:r>
              <w:t>overall mortality</w:t>
            </w:r>
          </w:p>
          <w:p w:rsidR="00675E77" w:rsidRDefault="00675E77" w:rsidP="00675E77">
            <w:pPr>
              <w:pStyle w:val="07Tablebullet"/>
            </w:pPr>
            <w:r>
              <w:t>cardiovascular-related mortality</w:t>
            </w:r>
          </w:p>
          <w:p w:rsidR="00675E77" w:rsidRDefault="00675E77" w:rsidP="00675E77">
            <w:pPr>
              <w:pStyle w:val="07Tablebullet"/>
            </w:pPr>
            <w:r>
              <w:t>pneumonia</w:t>
            </w:r>
          </w:p>
          <w:p w:rsidR="00675E77" w:rsidRPr="00E5237E" w:rsidRDefault="00675E77" w:rsidP="00675E77">
            <w:pPr>
              <w:pStyle w:val="07Tablebullet"/>
            </w:pPr>
            <w:r>
              <w:t>serious arrhythmia</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w:t>
            </w:r>
          </w:p>
          <w:p w:rsidR="00675E77" w:rsidRDefault="00675E77" w:rsidP="00675E77">
            <w:pPr>
              <w:pStyle w:val="06Tabletextspacebefore"/>
            </w:pPr>
            <w:r>
              <w:t>Odds ratios from network meta-analysis and direct meta-analyses, where available, for individual drug comparisons.</w:t>
            </w:r>
          </w:p>
          <w:p w:rsidR="00675E77" w:rsidRPr="00FA63FD" w:rsidRDefault="00675E77" w:rsidP="00675E77">
            <w:pPr>
              <w:pStyle w:val="06Tabletextspacebefore"/>
            </w:pPr>
            <w:r>
              <w:t>Results reported in following section.</w:t>
            </w:r>
          </w:p>
        </w:tc>
        <w:tc>
          <w:tcPr>
            <w:tcW w:w="1412" w:type="pct"/>
          </w:tcPr>
          <w:p w:rsidR="00675E77" w:rsidRPr="001368CE" w:rsidRDefault="00675E77" w:rsidP="00675E77">
            <w:pPr>
              <w:pStyle w:val="05Tabletext"/>
            </w:pPr>
            <w:r>
              <w:t>Inhaled fluticasone</w:t>
            </w:r>
            <w:r w:rsidR="00E110CE">
              <w:t xml:space="preserve"> propionate</w:t>
            </w:r>
            <w:r>
              <w:t xml:space="preserve">/salmeterol reduces risk of mortality, yet may increase risk of pneumonia. These agents likely do not increase risk of serious arrhythmia. </w:t>
            </w:r>
          </w:p>
        </w:tc>
        <w:tc>
          <w:tcPr>
            <w:tcW w:w="281" w:type="pct"/>
            <w:shd w:val="clear" w:color="auto" w:fill="auto"/>
          </w:tcPr>
          <w:p w:rsidR="00675E77" w:rsidRPr="003D77FF" w:rsidRDefault="00675E77" w:rsidP="00675E77">
            <w:pPr>
              <w:pStyle w:val="05Tabletext"/>
              <w:jc w:val="center"/>
            </w:pPr>
            <w:r>
              <w:t>Yes</w:t>
            </w:r>
          </w:p>
        </w:tc>
      </w:tr>
      <w:tr w:rsidR="00675E77" w:rsidRPr="003D77FF" w:rsidTr="00675E77">
        <w:trPr>
          <w:cantSplit/>
        </w:trPr>
        <w:tc>
          <w:tcPr>
            <w:tcW w:w="410" w:type="pct"/>
            <w:shd w:val="clear" w:color="auto" w:fill="auto"/>
          </w:tcPr>
          <w:p w:rsidR="00675E77" w:rsidRPr="003D77FF" w:rsidRDefault="00675E77" w:rsidP="00675E77">
            <w:pPr>
              <w:pStyle w:val="05Tabletext"/>
            </w:pPr>
            <w:r w:rsidRPr="00610051">
              <w:t>Kew (2014)</w:t>
            </w:r>
          </w:p>
        </w:tc>
        <w:tc>
          <w:tcPr>
            <w:tcW w:w="661" w:type="pct"/>
          </w:tcPr>
          <w:p w:rsidR="00675E77" w:rsidRDefault="00675E77" w:rsidP="00675E77">
            <w:pPr>
              <w:pStyle w:val="05Tabletext"/>
              <w:rPr>
                <w:u w:val="single"/>
              </w:rPr>
            </w:pPr>
            <w:r w:rsidRPr="00203356">
              <w:rPr>
                <w:u w:val="single"/>
              </w:rPr>
              <w:t>FLU/SAL vs SAL</w:t>
            </w:r>
          </w:p>
          <w:p w:rsidR="00675E77" w:rsidRPr="00DF293F" w:rsidRDefault="00675E77" w:rsidP="00675E77">
            <w:pPr>
              <w:pStyle w:val="06Tabletextspacebefore"/>
              <w:rPr>
                <w:u w:val="single"/>
              </w:rPr>
            </w:pPr>
            <w:r w:rsidRPr="00DF293F">
              <w:rPr>
                <w:u w:val="single"/>
              </w:rPr>
              <w:t>FLU/VIL vs VIL</w:t>
            </w:r>
          </w:p>
          <w:p w:rsidR="00675E77" w:rsidRDefault="00675E77" w:rsidP="00675E77">
            <w:pPr>
              <w:pStyle w:val="06Tabletextspacebefore"/>
              <w:rPr>
                <w:u w:val="single"/>
              </w:rPr>
            </w:pPr>
            <w:r w:rsidRPr="00203356">
              <w:rPr>
                <w:u w:val="single"/>
              </w:rPr>
              <w:t>BUD/EFO vs EFO</w:t>
            </w:r>
          </w:p>
          <w:p w:rsidR="00675E77" w:rsidRDefault="00675E77" w:rsidP="00675E77">
            <w:pPr>
              <w:pStyle w:val="06Tabletextspacebefore"/>
              <w:rPr>
                <w:u w:val="single"/>
              </w:rPr>
            </w:pPr>
            <w:r>
              <w:rPr>
                <w:u w:val="single"/>
              </w:rPr>
              <w:t>FLU vs PBO</w:t>
            </w:r>
          </w:p>
          <w:p w:rsidR="00675E77" w:rsidRDefault="00675E77" w:rsidP="00675E77">
            <w:pPr>
              <w:pStyle w:val="06Tabletextspacebefore"/>
              <w:rPr>
                <w:u w:val="single"/>
              </w:rPr>
            </w:pPr>
            <w:r>
              <w:rPr>
                <w:u w:val="single"/>
              </w:rPr>
              <w:t>BUD vs PBO</w:t>
            </w:r>
          </w:p>
          <w:p w:rsidR="00675E77" w:rsidRDefault="00675E77" w:rsidP="00675E77">
            <w:pPr>
              <w:pStyle w:val="06Tabletextspacebefore"/>
              <w:rPr>
                <w:u w:val="single"/>
              </w:rPr>
            </w:pPr>
            <w:r>
              <w:rPr>
                <w:u w:val="single"/>
              </w:rPr>
              <w:t>FLU vs BUD</w:t>
            </w:r>
          </w:p>
          <w:p w:rsidR="00675E77" w:rsidRDefault="00675E77" w:rsidP="00675E77">
            <w:pPr>
              <w:pStyle w:val="06Tabletextspacebefore"/>
              <w:rPr>
                <w:u w:val="single"/>
              </w:rPr>
            </w:pPr>
            <w:r w:rsidRPr="00DF293F">
              <w:rPr>
                <w:u w:val="single"/>
              </w:rPr>
              <w:t>FLU/SAL vs BUD/</w:t>
            </w:r>
            <w:r w:rsidRPr="00DF293F">
              <w:rPr>
                <w:rFonts w:ascii="Arial" w:hAnsi="Arial" w:cs="Arial"/>
                <w:u w:val="single"/>
              </w:rPr>
              <w:t>​</w:t>
            </w:r>
            <w:r w:rsidRPr="00DF293F">
              <w:rPr>
                <w:u w:val="single"/>
              </w:rPr>
              <w:t>EFO</w:t>
            </w:r>
          </w:p>
          <w:p w:rsidR="00675E77" w:rsidRPr="00DF293F" w:rsidRDefault="00675E77" w:rsidP="00675E77">
            <w:pPr>
              <w:pStyle w:val="06Tabletextspacebefore"/>
              <w:rPr>
                <w:u w:val="single"/>
              </w:rPr>
            </w:pPr>
            <w:r w:rsidRPr="00DF293F">
              <w:rPr>
                <w:u w:val="single"/>
              </w:rPr>
              <w:t>FLU/VIL</w:t>
            </w:r>
            <w:r>
              <w:rPr>
                <w:u w:val="single"/>
              </w:rPr>
              <w:t xml:space="preserve"> vs </w:t>
            </w:r>
            <w:r w:rsidRPr="00DF293F">
              <w:rPr>
                <w:u w:val="single"/>
              </w:rPr>
              <w:t>BUD/</w:t>
            </w:r>
            <w:r w:rsidRPr="00DF293F">
              <w:rPr>
                <w:rFonts w:ascii="Arial" w:hAnsi="Arial" w:cs="Arial"/>
                <w:u w:val="single"/>
              </w:rPr>
              <w:t>​</w:t>
            </w:r>
            <w:r w:rsidRPr="00DF293F">
              <w:rPr>
                <w:u w:val="single"/>
              </w:rPr>
              <w:t>EFO</w:t>
            </w:r>
          </w:p>
        </w:tc>
        <w:tc>
          <w:tcPr>
            <w:tcW w:w="729" w:type="pct"/>
            <w:tcBorders>
              <w:right w:val="single" w:sz="4" w:space="0" w:color="auto"/>
            </w:tcBorders>
          </w:tcPr>
          <w:p w:rsidR="00675E77" w:rsidRPr="00C47782" w:rsidRDefault="00675E77" w:rsidP="00675E77">
            <w:pPr>
              <w:pStyle w:val="05Tabletext"/>
              <w:rPr>
                <w:u w:val="single"/>
              </w:rPr>
            </w:pPr>
            <w:r w:rsidRPr="00C47782">
              <w:rPr>
                <w:u w:val="single"/>
              </w:rPr>
              <w:t>Primary:</w:t>
            </w:r>
          </w:p>
          <w:p w:rsidR="00675E77" w:rsidRDefault="00675E77" w:rsidP="00675E77">
            <w:pPr>
              <w:pStyle w:val="07Tablebullet"/>
            </w:pPr>
            <w:r>
              <w:t>non-fatal pneumonia SAE</w:t>
            </w:r>
          </w:p>
          <w:p w:rsidR="00675E77" w:rsidRPr="00C47782" w:rsidRDefault="00675E77" w:rsidP="00675E77">
            <w:pPr>
              <w:pStyle w:val="06Tabletextspacebefore"/>
              <w:rPr>
                <w:u w:val="single"/>
              </w:rPr>
            </w:pPr>
            <w:r w:rsidRPr="00C47782">
              <w:rPr>
                <w:u w:val="single"/>
              </w:rPr>
              <w:t>Secondary:</w:t>
            </w:r>
          </w:p>
          <w:p w:rsidR="00675E77" w:rsidRDefault="00675E77" w:rsidP="00675E77">
            <w:pPr>
              <w:pStyle w:val="07Tablebullet"/>
            </w:pPr>
            <w:r>
              <w:t>mortality, all</w:t>
            </w:r>
            <w:r w:rsidR="00D4474B">
              <w:t>-</w:t>
            </w:r>
            <w:r>
              <w:t>cause</w:t>
            </w:r>
          </w:p>
          <w:p w:rsidR="00675E77" w:rsidRDefault="00675E77" w:rsidP="00675E77">
            <w:pPr>
              <w:pStyle w:val="07Tablebullet"/>
            </w:pPr>
            <w:r>
              <w:t>fatal pneumonia SAE</w:t>
            </w:r>
          </w:p>
          <w:p w:rsidR="00675E77" w:rsidRDefault="00675E77" w:rsidP="00675E77">
            <w:pPr>
              <w:pStyle w:val="07Tablebullet"/>
            </w:pPr>
            <w:r>
              <w:t>non-fatal SAE</w:t>
            </w:r>
          </w:p>
          <w:p w:rsidR="00675E77" w:rsidRPr="00DF293F" w:rsidRDefault="00675E77" w:rsidP="00675E77">
            <w:pPr>
              <w:pStyle w:val="07Tablebullet"/>
            </w:pPr>
            <w:r>
              <w:t>all pneumonia events</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w:t>
            </w:r>
          </w:p>
          <w:p w:rsidR="00675E77" w:rsidRDefault="00675E77" w:rsidP="00675E77">
            <w:pPr>
              <w:pStyle w:val="06Tabletextspacebefore"/>
            </w:pPr>
            <w:r>
              <w:t>Analyses pooled for all comparisons (for either FLU or BUD), and also stratified by comparison (vs placebo or vs no treatment with LABA in both arms). Subgroup analyses included non-fatal SAE by dose and by duration of study.</w:t>
            </w:r>
          </w:p>
          <w:p w:rsidR="00675E77" w:rsidRPr="0058657B" w:rsidRDefault="00675E77" w:rsidP="00675E77">
            <w:pPr>
              <w:pStyle w:val="06Tabletextspacebefore"/>
            </w:pPr>
            <w:r>
              <w:t>Results reported in following section.</w:t>
            </w:r>
          </w:p>
        </w:tc>
        <w:tc>
          <w:tcPr>
            <w:tcW w:w="1412" w:type="pct"/>
          </w:tcPr>
          <w:p w:rsidR="00675E77" w:rsidRDefault="00675E77" w:rsidP="00675E77">
            <w:pPr>
              <w:pStyle w:val="05Tabletext"/>
            </w:pPr>
            <w:r>
              <w:t>Budesonide and fluticasone, delivered alone or in combination with a LABA, are associated with increased risk of serious adverse pneumonia events, but neither significantly affected mortality compared with controls. Comparison of the two drugs revealed no statistically significant difference in serious pneumonias, mortality or serious adverse events.</w:t>
            </w:r>
          </w:p>
          <w:p w:rsidR="00675E77" w:rsidRPr="003E59A2" w:rsidRDefault="00675E77" w:rsidP="00675E77">
            <w:pPr>
              <w:pStyle w:val="06Tabletextspacebefore"/>
            </w:pPr>
            <w:r>
              <w:t>Fluticasone was associated with higher risk of any pneumonia when compared with budesonide (i.e. less serious cases dealt with in the community), but variation in the definitions used by the respective manufacturers is a potential confounding factor in their comparison.</w:t>
            </w:r>
          </w:p>
        </w:tc>
        <w:tc>
          <w:tcPr>
            <w:tcW w:w="281" w:type="pct"/>
            <w:shd w:val="clear" w:color="auto" w:fill="auto"/>
          </w:tcPr>
          <w:p w:rsidR="00675E77" w:rsidRPr="003D77FF" w:rsidRDefault="00675E77" w:rsidP="00675E77">
            <w:pPr>
              <w:pStyle w:val="05Tabletext"/>
              <w:jc w:val="center"/>
            </w:pPr>
            <w:r>
              <w:t>Yes</w:t>
            </w:r>
          </w:p>
        </w:tc>
      </w:tr>
      <w:tr w:rsidR="00675E77" w:rsidRPr="003D77FF" w:rsidTr="00675E77">
        <w:trPr>
          <w:cantSplit/>
        </w:trPr>
        <w:tc>
          <w:tcPr>
            <w:tcW w:w="410" w:type="pct"/>
            <w:shd w:val="clear" w:color="auto" w:fill="auto"/>
          </w:tcPr>
          <w:p w:rsidR="00675E77" w:rsidRPr="007F0E94" w:rsidRDefault="00675E77" w:rsidP="00675E77">
            <w:pPr>
              <w:pStyle w:val="05Tabletext"/>
            </w:pPr>
            <w:proofErr w:type="spellStart"/>
            <w:r w:rsidRPr="007F0E94">
              <w:lastRenderedPageBreak/>
              <w:t>Loke</w:t>
            </w:r>
            <w:proofErr w:type="spellEnd"/>
            <w:r w:rsidRPr="007F0E94">
              <w:t xml:space="preserve"> (2013)</w:t>
            </w:r>
          </w:p>
        </w:tc>
        <w:tc>
          <w:tcPr>
            <w:tcW w:w="661" w:type="pct"/>
          </w:tcPr>
          <w:p w:rsidR="00675E77" w:rsidRPr="006135AB" w:rsidRDefault="00675E77" w:rsidP="00675E77">
            <w:pPr>
              <w:pStyle w:val="05Tabletext"/>
              <w:rPr>
                <w:u w:val="single"/>
              </w:rPr>
            </w:pPr>
            <w:r w:rsidRPr="006135AB">
              <w:rPr>
                <w:u w:val="single"/>
              </w:rPr>
              <w:t>ICS vs non-ICS</w:t>
            </w:r>
          </w:p>
          <w:p w:rsidR="00675E77" w:rsidRPr="00400396" w:rsidRDefault="00675E77" w:rsidP="00675E77">
            <w:pPr>
              <w:pStyle w:val="06Tabletextspacebefore"/>
            </w:pPr>
            <w:r w:rsidRPr="00400396">
              <w:t xml:space="preserve">Drugs not </w:t>
            </w:r>
            <w:r>
              <w:t>identified</w:t>
            </w:r>
            <w:r w:rsidRPr="00400396">
              <w:t xml:space="preserve"> beyond class</w:t>
            </w:r>
            <w:r>
              <w:t>.</w:t>
            </w:r>
          </w:p>
        </w:tc>
        <w:tc>
          <w:tcPr>
            <w:tcW w:w="729" w:type="pct"/>
            <w:tcBorders>
              <w:right w:val="single" w:sz="4" w:space="0" w:color="auto"/>
            </w:tcBorders>
          </w:tcPr>
          <w:p w:rsidR="00675E77" w:rsidRPr="00C57319" w:rsidRDefault="00675E77" w:rsidP="00675E77">
            <w:pPr>
              <w:pStyle w:val="05Tabletext"/>
              <w:rPr>
                <w:u w:val="single"/>
              </w:rPr>
            </w:pPr>
            <w:r w:rsidRPr="00C57319">
              <w:rPr>
                <w:u w:val="single"/>
              </w:rPr>
              <w:t>Primary</w:t>
            </w:r>
            <w:r>
              <w:rPr>
                <w:u w:val="single"/>
              </w:rPr>
              <w:t xml:space="preserve"> not specified</w:t>
            </w:r>
            <w:r w:rsidRPr="00C57319">
              <w:rPr>
                <w:u w:val="single"/>
              </w:rPr>
              <w:t>:</w:t>
            </w:r>
          </w:p>
          <w:p w:rsidR="00675E77" w:rsidRPr="00400396" w:rsidRDefault="00675E77" w:rsidP="00675E77">
            <w:pPr>
              <w:pStyle w:val="07Tablebullet"/>
            </w:pPr>
            <w:r w:rsidRPr="00400396">
              <w:t>fatal pneumonia SAE</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study design not specified.</w:t>
            </w:r>
          </w:p>
          <w:p w:rsidR="00675E77" w:rsidRDefault="00675E77" w:rsidP="00675E77">
            <w:pPr>
              <w:pStyle w:val="06Tabletextspacebefore"/>
            </w:pPr>
            <w:r>
              <w:t>Five large observational studies and one meta-analysis</w:t>
            </w:r>
            <w:r>
              <w:rPr>
                <w:rStyle w:val="FootnoteReference"/>
              </w:rPr>
              <w:footnoteReference w:id="5"/>
            </w:r>
            <w:r>
              <w:t xml:space="preserve"> of RCTs were included for this comparison (two other comparisons presented did not involve ICS). The observational studies were pooled.</w:t>
            </w:r>
          </w:p>
          <w:p w:rsidR="00675E77" w:rsidRPr="007D5559" w:rsidRDefault="00675E77" w:rsidP="00675E77">
            <w:pPr>
              <w:pStyle w:val="06Tabletextspacebefore"/>
            </w:pPr>
            <w:r>
              <w:t xml:space="preserve">Neither the RCT </w:t>
            </w:r>
            <w:r w:rsidR="006336CD">
              <w:t>n</w:t>
            </w:r>
            <w:r>
              <w:t>or observational studies pooled estimates showed a significant increased risk of fatal pneumonia SAEs.</w:t>
            </w:r>
          </w:p>
        </w:tc>
        <w:tc>
          <w:tcPr>
            <w:tcW w:w="1412" w:type="pct"/>
          </w:tcPr>
          <w:p w:rsidR="00675E77" w:rsidRPr="003E59A2" w:rsidRDefault="00675E77" w:rsidP="00675E77">
            <w:pPr>
              <w:pStyle w:val="05Tabletext"/>
            </w:pPr>
            <w:r>
              <w:t>ICS use for COPD was not consistently associated with reduced mortality from pneumonia.</w:t>
            </w:r>
          </w:p>
        </w:tc>
        <w:tc>
          <w:tcPr>
            <w:tcW w:w="281" w:type="pct"/>
            <w:shd w:val="clear" w:color="auto" w:fill="auto"/>
          </w:tcPr>
          <w:p w:rsidR="00675E77" w:rsidRPr="00696BA6" w:rsidRDefault="00675E77" w:rsidP="00675E77">
            <w:pPr>
              <w:pStyle w:val="05Tabletext"/>
              <w:jc w:val="center"/>
              <w:rPr>
                <w:highlight w:val="yellow"/>
              </w:rPr>
            </w:pPr>
            <w:r>
              <w:t>No</w:t>
            </w:r>
          </w:p>
        </w:tc>
      </w:tr>
      <w:tr w:rsidR="00675E77" w:rsidRPr="003D77FF" w:rsidTr="00675E77">
        <w:trPr>
          <w:cantSplit/>
        </w:trPr>
        <w:tc>
          <w:tcPr>
            <w:tcW w:w="410" w:type="pct"/>
            <w:shd w:val="clear" w:color="auto" w:fill="auto"/>
          </w:tcPr>
          <w:p w:rsidR="00675E77" w:rsidRDefault="00675E77" w:rsidP="00675E77">
            <w:pPr>
              <w:pStyle w:val="05Tabletext"/>
            </w:pPr>
            <w:proofErr w:type="spellStart"/>
            <w:r w:rsidRPr="003E1027">
              <w:t>Halpin</w:t>
            </w:r>
            <w:proofErr w:type="spellEnd"/>
            <w:r w:rsidRPr="003E1027">
              <w:t xml:space="preserve"> (2011)</w:t>
            </w:r>
          </w:p>
        </w:tc>
        <w:tc>
          <w:tcPr>
            <w:tcW w:w="661" w:type="pct"/>
          </w:tcPr>
          <w:p w:rsidR="00675E77" w:rsidRPr="00F6463A" w:rsidRDefault="00675E77" w:rsidP="00675E77">
            <w:pPr>
              <w:pStyle w:val="05Tabletext"/>
              <w:rPr>
                <w:u w:val="single"/>
              </w:rPr>
            </w:pPr>
            <w:r w:rsidRPr="00F6463A">
              <w:rPr>
                <w:u w:val="single"/>
              </w:rPr>
              <w:t>FLU/SAL vs PBO</w:t>
            </w:r>
          </w:p>
          <w:p w:rsidR="00675E77" w:rsidRDefault="00675E77" w:rsidP="00675E77">
            <w:pPr>
              <w:pStyle w:val="06Tabletextspacebefore"/>
              <w:rPr>
                <w:u w:val="single"/>
              </w:rPr>
            </w:pPr>
            <w:r w:rsidRPr="00F6463A">
              <w:rPr>
                <w:u w:val="single"/>
              </w:rPr>
              <w:t>BUD/EFO vs PBO</w:t>
            </w:r>
          </w:p>
          <w:p w:rsidR="00675E77" w:rsidRPr="00F6463A" w:rsidRDefault="00675E77" w:rsidP="00675E77">
            <w:pPr>
              <w:pStyle w:val="06Tabletextspacebefore"/>
            </w:pPr>
            <w:r w:rsidRPr="00F6463A">
              <w:t>No head-to-head studies available</w:t>
            </w:r>
            <w:r>
              <w:t>.</w:t>
            </w:r>
          </w:p>
        </w:tc>
        <w:tc>
          <w:tcPr>
            <w:tcW w:w="729" w:type="pct"/>
            <w:tcBorders>
              <w:right w:val="single" w:sz="4" w:space="0" w:color="auto"/>
            </w:tcBorders>
          </w:tcPr>
          <w:p w:rsidR="00675E77" w:rsidRPr="00C57319" w:rsidRDefault="00675E77" w:rsidP="00675E77">
            <w:pPr>
              <w:pStyle w:val="05Tabletext"/>
              <w:rPr>
                <w:u w:val="single"/>
              </w:rPr>
            </w:pPr>
            <w:r>
              <w:rPr>
                <w:u w:val="single"/>
              </w:rPr>
              <w:t>All (</w:t>
            </w:r>
            <w:r w:rsidRPr="00C57319">
              <w:rPr>
                <w:u w:val="single"/>
              </w:rPr>
              <w:t>primary</w:t>
            </w:r>
            <w:r>
              <w:rPr>
                <w:u w:val="single"/>
              </w:rPr>
              <w:t xml:space="preserve"> not specified)</w:t>
            </w:r>
            <w:r w:rsidRPr="00C57319">
              <w:rPr>
                <w:u w:val="single"/>
              </w:rPr>
              <w:t>:</w:t>
            </w:r>
          </w:p>
          <w:p w:rsidR="00675E77" w:rsidRDefault="00675E77" w:rsidP="00675E77">
            <w:pPr>
              <w:pStyle w:val="07Tablebullet"/>
            </w:pPr>
            <w:r>
              <w:t>pneumonia AEs</w:t>
            </w:r>
          </w:p>
          <w:p w:rsidR="00675E77" w:rsidRDefault="00675E77" w:rsidP="00675E77">
            <w:pPr>
              <w:pStyle w:val="07Tablebullet"/>
            </w:pPr>
            <w:r>
              <w:t>pneumonia SAEs</w:t>
            </w:r>
          </w:p>
          <w:p w:rsidR="00675E77" w:rsidRPr="003D77FF" w:rsidRDefault="00675E77" w:rsidP="00675E77">
            <w:pPr>
              <w:pStyle w:val="07Tablebullet"/>
            </w:pPr>
            <w:r>
              <w:t>pneumonia-related mortality</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w:t>
            </w:r>
          </w:p>
          <w:p w:rsidR="00675E77" w:rsidRPr="003D77FF" w:rsidRDefault="00675E77" w:rsidP="00675E77">
            <w:pPr>
              <w:pStyle w:val="06Tabletextspacebefore"/>
            </w:pPr>
            <w:r>
              <w:t xml:space="preserve">Indirect comparison of FLU vs BUD. Use of FLU was associated with a significantly higher risk of pneumonia AEs and SAEs. </w:t>
            </w:r>
          </w:p>
        </w:tc>
        <w:tc>
          <w:tcPr>
            <w:tcW w:w="1412" w:type="pct"/>
          </w:tcPr>
          <w:p w:rsidR="00675E77" w:rsidRDefault="00675E77" w:rsidP="00675E77">
            <w:pPr>
              <w:pStyle w:val="05Tabletext"/>
            </w:pPr>
            <w:r>
              <w:t>The results support the hypothesis that BUD/EFO is associated with fewer pneumonia events than FLU/</w:t>
            </w:r>
            <w:r w:rsidR="007C3647">
              <w:t>S</w:t>
            </w:r>
            <w:r>
              <w:t>AL in COPD.</w:t>
            </w:r>
          </w:p>
          <w:p w:rsidR="00675E77" w:rsidRPr="00F6463A" w:rsidRDefault="00675E77" w:rsidP="00675E77">
            <w:pPr>
              <w:pStyle w:val="06Tabletextspacebefore"/>
            </w:pPr>
            <w:r>
              <w:t>Limitations: the results from a single study, TORCH, have a large bearing on the overall findings of the analysis, and there is heterogeneity in the length and the dosing of the included studies, although it does not appear that heterogeneity affected the reported results. Another important limitation is the lack of predefined diagnostic standards for pneumonia in these studies.</w:t>
            </w:r>
          </w:p>
        </w:tc>
        <w:tc>
          <w:tcPr>
            <w:tcW w:w="281" w:type="pct"/>
            <w:shd w:val="clear" w:color="auto" w:fill="auto"/>
          </w:tcPr>
          <w:p w:rsidR="00675E77" w:rsidRDefault="00675E77" w:rsidP="00675E77">
            <w:pPr>
              <w:pStyle w:val="05Tabletext"/>
              <w:jc w:val="center"/>
            </w:pPr>
            <w:r>
              <w:t>No</w:t>
            </w:r>
          </w:p>
        </w:tc>
      </w:tr>
      <w:tr w:rsidR="00675E77" w:rsidRPr="003D77FF" w:rsidTr="00675E77">
        <w:trPr>
          <w:cantSplit/>
        </w:trPr>
        <w:tc>
          <w:tcPr>
            <w:tcW w:w="410" w:type="pct"/>
            <w:shd w:val="clear" w:color="auto" w:fill="000000"/>
          </w:tcPr>
          <w:p w:rsidR="00675E77" w:rsidRPr="00610051" w:rsidRDefault="00675E77" w:rsidP="00675E77">
            <w:pPr>
              <w:pStyle w:val="04Tablesubheading"/>
            </w:pPr>
            <w:r>
              <w:t>Other AEs</w:t>
            </w:r>
          </w:p>
        </w:tc>
        <w:tc>
          <w:tcPr>
            <w:tcW w:w="661" w:type="pct"/>
            <w:shd w:val="clear" w:color="auto" w:fill="000000"/>
          </w:tcPr>
          <w:p w:rsidR="00675E77" w:rsidRPr="003D77FF" w:rsidRDefault="00675E77" w:rsidP="00675E77">
            <w:pPr>
              <w:pStyle w:val="04Tablesubheading"/>
            </w:pPr>
          </w:p>
        </w:tc>
        <w:tc>
          <w:tcPr>
            <w:tcW w:w="729" w:type="pct"/>
            <w:tcBorders>
              <w:right w:val="single" w:sz="4" w:space="0" w:color="auto"/>
            </w:tcBorders>
            <w:shd w:val="clear" w:color="auto" w:fill="000000"/>
          </w:tcPr>
          <w:p w:rsidR="00675E77" w:rsidRPr="003D77FF" w:rsidRDefault="00675E77" w:rsidP="00675E77">
            <w:pPr>
              <w:pStyle w:val="04Tablesubheading"/>
            </w:pPr>
          </w:p>
        </w:tc>
        <w:tc>
          <w:tcPr>
            <w:tcW w:w="1507" w:type="pct"/>
            <w:shd w:val="clear" w:color="auto" w:fill="000000"/>
          </w:tcPr>
          <w:p w:rsidR="00675E77" w:rsidRPr="003D77FF" w:rsidRDefault="00675E77" w:rsidP="00675E77">
            <w:pPr>
              <w:pStyle w:val="04Tablesubheading"/>
            </w:pPr>
          </w:p>
        </w:tc>
        <w:tc>
          <w:tcPr>
            <w:tcW w:w="1412" w:type="pct"/>
            <w:shd w:val="clear" w:color="auto" w:fill="000000"/>
          </w:tcPr>
          <w:p w:rsidR="00675E77" w:rsidRDefault="00675E77" w:rsidP="00675E77">
            <w:pPr>
              <w:pStyle w:val="04Tablesubheading"/>
            </w:pPr>
          </w:p>
        </w:tc>
        <w:tc>
          <w:tcPr>
            <w:tcW w:w="281" w:type="pct"/>
            <w:shd w:val="clear" w:color="auto" w:fill="000000"/>
          </w:tcPr>
          <w:p w:rsidR="00675E77" w:rsidRDefault="00675E77" w:rsidP="00675E77">
            <w:pPr>
              <w:pStyle w:val="04Tablesubheading"/>
            </w:pPr>
          </w:p>
        </w:tc>
      </w:tr>
      <w:tr w:rsidR="00675E77" w:rsidRPr="003D77FF" w:rsidTr="00675E77">
        <w:trPr>
          <w:cantSplit/>
        </w:trPr>
        <w:tc>
          <w:tcPr>
            <w:tcW w:w="410" w:type="pct"/>
            <w:shd w:val="clear" w:color="auto" w:fill="auto"/>
          </w:tcPr>
          <w:p w:rsidR="00675E77" w:rsidRPr="003D77FF" w:rsidRDefault="00675E77" w:rsidP="00675E77">
            <w:pPr>
              <w:pStyle w:val="05Tabletext"/>
            </w:pPr>
            <w:r w:rsidRPr="00610051">
              <w:t>Dong (2014)</w:t>
            </w:r>
          </w:p>
        </w:tc>
        <w:tc>
          <w:tcPr>
            <w:tcW w:w="661" w:type="pct"/>
          </w:tcPr>
          <w:p w:rsidR="00675E77" w:rsidRDefault="00675E77" w:rsidP="00675E77">
            <w:pPr>
              <w:pStyle w:val="05Tabletext"/>
            </w:pPr>
            <w:r w:rsidRPr="00C93363">
              <w:rPr>
                <w:u w:val="single"/>
              </w:rPr>
              <w:t>ICS vs non-ICS</w:t>
            </w:r>
            <w:r>
              <w:rPr>
                <w:u w:val="single"/>
              </w:rPr>
              <w:t xml:space="preserve">, </w:t>
            </w:r>
            <w:r w:rsidRPr="001F1F12">
              <w:rPr>
                <w:u w:val="single"/>
              </w:rPr>
              <w:t xml:space="preserve">including combinations with LABA, </w:t>
            </w:r>
            <w:r>
              <w:rPr>
                <w:u w:val="single"/>
              </w:rPr>
              <w:t>PBO</w:t>
            </w:r>
            <w:r w:rsidRPr="001F1F12">
              <w:rPr>
                <w:u w:val="single"/>
              </w:rPr>
              <w:t xml:space="preserve"> or TIO</w:t>
            </w:r>
          </w:p>
          <w:p w:rsidR="00675E77" w:rsidRPr="00C93363" w:rsidRDefault="00675E77" w:rsidP="00675E77">
            <w:pPr>
              <w:pStyle w:val="06Tabletextspacebefore"/>
            </w:pPr>
            <w:r>
              <w:t>Drugs not identified beyond class, except for TIO</w:t>
            </w:r>
          </w:p>
        </w:tc>
        <w:tc>
          <w:tcPr>
            <w:tcW w:w="729" w:type="pct"/>
            <w:tcBorders>
              <w:right w:val="single" w:sz="4" w:space="0" w:color="auto"/>
            </w:tcBorders>
          </w:tcPr>
          <w:p w:rsidR="00675E77" w:rsidRPr="00C57319" w:rsidRDefault="00675E77" w:rsidP="00675E77">
            <w:pPr>
              <w:pStyle w:val="05Tabletext"/>
              <w:rPr>
                <w:u w:val="single"/>
              </w:rPr>
            </w:pPr>
            <w:r w:rsidRPr="00C57319">
              <w:rPr>
                <w:u w:val="single"/>
              </w:rPr>
              <w:t>Primary:</w:t>
            </w:r>
          </w:p>
          <w:p w:rsidR="00675E77" w:rsidRDefault="00675E77" w:rsidP="00675E77">
            <w:pPr>
              <w:pStyle w:val="07Tablebullet"/>
            </w:pPr>
            <w:r>
              <w:t>TB</w:t>
            </w:r>
          </w:p>
          <w:p w:rsidR="00675E77" w:rsidRPr="00C93363" w:rsidRDefault="00675E77" w:rsidP="00675E77">
            <w:pPr>
              <w:pStyle w:val="07Tablebullet"/>
            </w:pPr>
            <w:r>
              <w:t>influenza</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w:t>
            </w:r>
          </w:p>
          <w:p w:rsidR="00675E77" w:rsidRDefault="00675E77" w:rsidP="00675E77">
            <w:pPr>
              <w:pStyle w:val="06Tabletextspacebefore"/>
            </w:pPr>
            <w:r>
              <w:t>Pooled analyses presented for each outcome for all combinations and comparisons, by class.</w:t>
            </w:r>
          </w:p>
          <w:p w:rsidR="00675E77" w:rsidRPr="003D77FF" w:rsidRDefault="00675E77" w:rsidP="00675E77">
            <w:pPr>
              <w:pStyle w:val="06Tabletextspacebefore"/>
            </w:pPr>
            <w:r>
              <w:t>Results reported in following section.</w:t>
            </w:r>
          </w:p>
        </w:tc>
        <w:tc>
          <w:tcPr>
            <w:tcW w:w="1412" w:type="pct"/>
          </w:tcPr>
          <w:p w:rsidR="00675E77" w:rsidRPr="001F1F12" w:rsidRDefault="00675E77" w:rsidP="00675E77">
            <w:pPr>
              <w:pStyle w:val="05Tabletext"/>
            </w:pPr>
            <w:r>
              <w:t>In view of the balance between benefits and risks of ICS treatment in patients with COPD, the results have substantial implications for clinical practice because use of ICS is shown to carry a significantly (two</w:t>
            </w:r>
            <w:r w:rsidR="009B3FE7">
              <w:t>-fold</w:t>
            </w:r>
            <w:r>
              <w:t>) increased risk of TB and a borderline risk of influenza. Until more evidence is available, ICS should only be prescribed as an add-on treatment to long-acting bronchodilators for patients with severe airflow limitation and with repeated exacerbations.</w:t>
            </w:r>
          </w:p>
        </w:tc>
        <w:tc>
          <w:tcPr>
            <w:tcW w:w="281" w:type="pct"/>
            <w:shd w:val="clear" w:color="auto" w:fill="auto"/>
          </w:tcPr>
          <w:p w:rsidR="00675E77" w:rsidRPr="003D77FF" w:rsidRDefault="00675E77" w:rsidP="00675E77">
            <w:pPr>
              <w:pStyle w:val="05Tabletext"/>
              <w:jc w:val="center"/>
            </w:pPr>
            <w:r>
              <w:t>Yes</w:t>
            </w:r>
          </w:p>
        </w:tc>
      </w:tr>
      <w:tr w:rsidR="00675E77" w:rsidRPr="003D77FF" w:rsidTr="00675E77">
        <w:trPr>
          <w:cantSplit/>
        </w:trPr>
        <w:tc>
          <w:tcPr>
            <w:tcW w:w="410" w:type="pct"/>
            <w:shd w:val="clear" w:color="auto" w:fill="auto"/>
          </w:tcPr>
          <w:p w:rsidR="00675E77" w:rsidRPr="003D77FF" w:rsidRDefault="00675E77" w:rsidP="00675E77">
            <w:pPr>
              <w:pStyle w:val="05Tabletext"/>
            </w:pPr>
            <w:r w:rsidRPr="00610051">
              <w:t>Ni (2014)</w:t>
            </w:r>
            <w:r>
              <w:t xml:space="preserve"> </w:t>
            </w:r>
          </w:p>
        </w:tc>
        <w:tc>
          <w:tcPr>
            <w:tcW w:w="661" w:type="pct"/>
          </w:tcPr>
          <w:p w:rsidR="00675E77" w:rsidRPr="000F68D2" w:rsidRDefault="00675E77" w:rsidP="00675E77">
            <w:pPr>
              <w:pStyle w:val="05Tabletext"/>
              <w:rPr>
                <w:u w:val="single"/>
              </w:rPr>
            </w:pPr>
            <w:r w:rsidRPr="000F68D2">
              <w:rPr>
                <w:u w:val="single"/>
              </w:rPr>
              <w:t>ICS vs no ICS</w:t>
            </w:r>
          </w:p>
          <w:p w:rsidR="00675E77" w:rsidRPr="000F68D2" w:rsidRDefault="00675E77" w:rsidP="00675E77">
            <w:pPr>
              <w:pStyle w:val="06Tabletextspacebefore"/>
            </w:pPr>
            <w:r>
              <w:t>Drugs not identified beyond class</w:t>
            </w:r>
          </w:p>
        </w:tc>
        <w:tc>
          <w:tcPr>
            <w:tcW w:w="729" w:type="pct"/>
            <w:tcBorders>
              <w:right w:val="single" w:sz="4" w:space="0" w:color="auto"/>
            </w:tcBorders>
          </w:tcPr>
          <w:p w:rsidR="00675E77" w:rsidRPr="00C57319" w:rsidRDefault="00675E77" w:rsidP="00675E77">
            <w:pPr>
              <w:pStyle w:val="05Tabletext"/>
              <w:rPr>
                <w:u w:val="single"/>
              </w:rPr>
            </w:pPr>
            <w:r w:rsidRPr="00C57319">
              <w:rPr>
                <w:u w:val="single"/>
              </w:rPr>
              <w:t>Primary:</w:t>
            </w:r>
          </w:p>
          <w:p w:rsidR="00675E77" w:rsidRPr="005653F2" w:rsidRDefault="00675E77" w:rsidP="00675E77">
            <w:pPr>
              <w:pStyle w:val="07Tablebullet"/>
            </w:pPr>
            <w:r>
              <w:t>TB/</w:t>
            </w:r>
            <w:r>
              <w:rPr>
                <w:rFonts w:ascii="Arial" w:hAnsi="Arial" w:cs="Arial"/>
              </w:rPr>
              <w:t>​</w:t>
            </w:r>
            <w:r>
              <w:t>non-TB mycobacterium</w:t>
            </w:r>
          </w:p>
        </w:tc>
        <w:tc>
          <w:tcPr>
            <w:tcW w:w="1507" w:type="pct"/>
            <w:shd w:val="clear" w:color="auto" w:fill="auto"/>
          </w:tcPr>
          <w:p w:rsidR="00675E77" w:rsidRDefault="00675E77" w:rsidP="00675E77">
            <w:pPr>
              <w:pStyle w:val="05Tabletext"/>
            </w:pPr>
            <w:r>
              <w:rPr>
                <w:u w:val="single"/>
              </w:rPr>
              <w:t>Eligible study design</w:t>
            </w:r>
            <w:r w:rsidRPr="005C2D4B">
              <w:rPr>
                <w:u w:val="single"/>
              </w:rPr>
              <w:t>:</w:t>
            </w:r>
            <w:r w:rsidRPr="005C2D4B">
              <w:t xml:space="preserve"> </w:t>
            </w:r>
            <w:r>
              <w:t>case-control or cohort design</w:t>
            </w:r>
          </w:p>
          <w:p w:rsidR="00675E77" w:rsidRPr="000F68D2" w:rsidRDefault="00675E77" w:rsidP="00675E77">
            <w:pPr>
              <w:pStyle w:val="06Tabletextspacebefore"/>
            </w:pPr>
            <w:r>
              <w:t>Statistically significant risk of mycobacterium infection in COPD patients on ICS.</w:t>
            </w:r>
          </w:p>
        </w:tc>
        <w:tc>
          <w:tcPr>
            <w:tcW w:w="1412" w:type="pct"/>
          </w:tcPr>
          <w:p w:rsidR="00675E77" w:rsidRPr="005C2D4B" w:rsidRDefault="00675E77" w:rsidP="00675E77">
            <w:pPr>
              <w:pStyle w:val="05Tabletext"/>
            </w:pPr>
            <w:r>
              <w:t>Use of ICS increases the risk of mycobacterium in patients with COPD.</w:t>
            </w:r>
          </w:p>
        </w:tc>
        <w:tc>
          <w:tcPr>
            <w:tcW w:w="281" w:type="pct"/>
            <w:shd w:val="clear" w:color="auto" w:fill="auto"/>
          </w:tcPr>
          <w:p w:rsidR="00675E77" w:rsidRPr="003D77FF" w:rsidRDefault="00675E77" w:rsidP="00675E77">
            <w:pPr>
              <w:pStyle w:val="05Tabletext"/>
              <w:jc w:val="center"/>
            </w:pPr>
            <w:r>
              <w:t>No</w:t>
            </w:r>
          </w:p>
        </w:tc>
      </w:tr>
      <w:tr w:rsidR="00675E77" w:rsidRPr="003D77FF" w:rsidTr="00675E77">
        <w:trPr>
          <w:cantSplit/>
        </w:trPr>
        <w:tc>
          <w:tcPr>
            <w:tcW w:w="410" w:type="pct"/>
            <w:shd w:val="clear" w:color="auto" w:fill="auto"/>
          </w:tcPr>
          <w:p w:rsidR="00675E77" w:rsidRPr="00696BA6" w:rsidRDefault="00675E77" w:rsidP="00675E77">
            <w:pPr>
              <w:pStyle w:val="05Tabletext"/>
              <w:rPr>
                <w:highlight w:val="yellow"/>
              </w:rPr>
            </w:pPr>
            <w:r w:rsidRPr="00E74857">
              <w:t>Dong (2013)</w:t>
            </w:r>
          </w:p>
        </w:tc>
        <w:tc>
          <w:tcPr>
            <w:tcW w:w="661" w:type="pct"/>
          </w:tcPr>
          <w:p w:rsidR="00675E77" w:rsidRPr="00203356" w:rsidRDefault="00675E77" w:rsidP="00675E77">
            <w:pPr>
              <w:pStyle w:val="05Tabletext"/>
              <w:rPr>
                <w:u w:val="single"/>
              </w:rPr>
            </w:pPr>
            <w:r w:rsidRPr="00203356">
              <w:rPr>
                <w:u w:val="single"/>
              </w:rPr>
              <w:t>TIO vs ICS/LABA vs ICS vs PBO</w:t>
            </w:r>
          </w:p>
          <w:p w:rsidR="00675E77" w:rsidRPr="00E74857" w:rsidRDefault="00675E77" w:rsidP="00675E77">
            <w:pPr>
              <w:pStyle w:val="06Tabletextspacebefore"/>
            </w:pPr>
            <w:r>
              <w:t>Drugs not identified beyond class, except for TIO (intervention of interest)</w:t>
            </w:r>
          </w:p>
        </w:tc>
        <w:tc>
          <w:tcPr>
            <w:tcW w:w="729" w:type="pct"/>
            <w:tcBorders>
              <w:right w:val="single" w:sz="4" w:space="0" w:color="auto"/>
            </w:tcBorders>
          </w:tcPr>
          <w:p w:rsidR="00675E77" w:rsidRPr="00C57319" w:rsidRDefault="00675E77" w:rsidP="00675E77">
            <w:pPr>
              <w:pStyle w:val="05Tabletext"/>
              <w:rPr>
                <w:u w:val="single"/>
              </w:rPr>
            </w:pPr>
            <w:r w:rsidRPr="00C57319">
              <w:rPr>
                <w:u w:val="single"/>
              </w:rPr>
              <w:t>Primary:</w:t>
            </w:r>
          </w:p>
          <w:p w:rsidR="00675E77" w:rsidRDefault="00675E77" w:rsidP="00675E77">
            <w:pPr>
              <w:pStyle w:val="07Tablebullet"/>
            </w:pPr>
            <w:r w:rsidRPr="00E74857">
              <w:t xml:space="preserve">overall </w:t>
            </w:r>
            <w:r>
              <w:t>mortality</w:t>
            </w:r>
          </w:p>
          <w:p w:rsidR="00675E77" w:rsidRPr="00C57319" w:rsidRDefault="00675E77" w:rsidP="00675E77">
            <w:pPr>
              <w:pStyle w:val="06Tabletextspacebefore"/>
              <w:rPr>
                <w:u w:val="single"/>
              </w:rPr>
            </w:pPr>
            <w:r w:rsidRPr="00C57319">
              <w:rPr>
                <w:u w:val="single"/>
              </w:rPr>
              <w:t>Secondary:</w:t>
            </w:r>
          </w:p>
          <w:p w:rsidR="00675E77" w:rsidRPr="00E74857" w:rsidRDefault="00675E77" w:rsidP="00675E77">
            <w:pPr>
              <w:pStyle w:val="07Tablebullet"/>
            </w:pPr>
            <w:r w:rsidRPr="00E74857">
              <w:t xml:space="preserve">cardiovascular </w:t>
            </w:r>
            <w:r>
              <w:t>mortality</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w:t>
            </w:r>
          </w:p>
          <w:p w:rsidR="00675E77" w:rsidRDefault="00675E77" w:rsidP="00675E77">
            <w:pPr>
              <w:pStyle w:val="06Tabletextspacebefore"/>
            </w:pPr>
            <w:r w:rsidRPr="00E74857">
              <w:t>Direct comparison</w:t>
            </w:r>
            <w:r>
              <w:t>s</w:t>
            </w:r>
            <w:r w:rsidRPr="00E74857">
              <w:t xml:space="preserve"> and network meta-analyses</w:t>
            </w:r>
            <w:r>
              <w:t xml:space="preserve"> </w:t>
            </w:r>
            <w:r w:rsidRPr="00E74857">
              <w:t>with subgroup analyses of studies at least 1 year in duration and studies of patients with severe COPD</w:t>
            </w:r>
            <w:r>
              <w:t>.</w:t>
            </w:r>
          </w:p>
          <w:p w:rsidR="00675E77" w:rsidRPr="00E74857" w:rsidRDefault="00675E77" w:rsidP="00675E77">
            <w:pPr>
              <w:pStyle w:val="06Tabletextspacebefore"/>
            </w:pPr>
            <w:r>
              <w:t>For ICS vs non-ICS comparisons, the only statistically significant differences were seen for overall death, favouring ICS (seen for ICS/LABA vs TIO and ICS/LABA vs placebo).</w:t>
            </w:r>
          </w:p>
        </w:tc>
        <w:tc>
          <w:tcPr>
            <w:tcW w:w="1412" w:type="pct"/>
          </w:tcPr>
          <w:p w:rsidR="00675E77" w:rsidRDefault="00675E77" w:rsidP="00675E77">
            <w:pPr>
              <w:pStyle w:val="05Tabletext"/>
            </w:pPr>
            <w:r>
              <w:t>[This] study provided a comparative safety spectrum for each category of inhaled medications.</w:t>
            </w:r>
          </w:p>
          <w:p w:rsidR="00675E77" w:rsidRPr="00FC2B73" w:rsidRDefault="00675E77" w:rsidP="00675E77">
            <w:pPr>
              <w:pStyle w:val="06Tabletextspacebefore"/>
            </w:pPr>
            <w:r>
              <w:t>LABA-ICS was associated with the lowest risk of overall death.</w:t>
            </w:r>
          </w:p>
        </w:tc>
        <w:tc>
          <w:tcPr>
            <w:tcW w:w="281" w:type="pct"/>
            <w:shd w:val="clear" w:color="auto" w:fill="auto"/>
          </w:tcPr>
          <w:p w:rsidR="00675E77" w:rsidRPr="00E74857" w:rsidRDefault="00675E77" w:rsidP="00675E77">
            <w:pPr>
              <w:pStyle w:val="05Tabletext"/>
              <w:jc w:val="center"/>
            </w:pPr>
            <w:r w:rsidRPr="00E74857">
              <w:t>No</w:t>
            </w:r>
          </w:p>
        </w:tc>
      </w:tr>
      <w:tr w:rsidR="00675E77" w:rsidRPr="003D77FF" w:rsidTr="00675E77">
        <w:trPr>
          <w:cantSplit/>
        </w:trPr>
        <w:tc>
          <w:tcPr>
            <w:tcW w:w="410" w:type="pct"/>
            <w:shd w:val="clear" w:color="auto" w:fill="auto"/>
          </w:tcPr>
          <w:p w:rsidR="00675E77" w:rsidRDefault="00675E77" w:rsidP="00675E77">
            <w:pPr>
              <w:pStyle w:val="05Tabletext"/>
            </w:pPr>
            <w:proofErr w:type="spellStart"/>
            <w:r w:rsidRPr="003E1027">
              <w:lastRenderedPageBreak/>
              <w:t>Loke</w:t>
            </w:r>
            <w:proofErr w:type="spellEnd"/>
            <w:r w:rsidRPr="003E1027">
              <w:t xml:space="preserve"> (2011)</w:t>
            </w:r>
          </w:p>
        </w:tc>
        <w:tc>
          <w:tcPr>
            <w:tcW w:w="661" w:type="pct"/>
          </w:tcPr>
          <w:p w:rsidR="00675E77" w:rsidRPr="00417354" w:rsidRDefault="00675E77" w:rsidP="00675E77">
            <w:pPr>
              <w:pStyle w:val="05Tabletext"/>
              <w:rPr>
                <w:b/>
              </w:rPr>
            </w:pPr>
            <w:r>
              <w:rPr>
                <w:b/>
              </w:rPr>
              <w:t>RCTs</w:t>
            </w:r>
          </w:p>
          <w:p w:rsidR="00675E77" w:rsidRPr="0028753E" w:rsidRDefault="00675E77" w:rsidP="00675E77">
            <w:pPr>
              <w:pStyle w:val="05Tabletext"/>
              <w:rPr>
                <w:u w:val="single"/>
              </w:rPr>
            </w:pPr>
            <w:r>
              <w:rPr>
                <w:u w:val="single"/>
              </w:rPr>
              <w:t>FLU or BUD</w:t>
            </w:r>
            <w:r w:rsidRPr="0028753E">
              <w:rPr>
                <w:u w:val="single"/>
              </w:rPr>
              <w:t xml:space="preserve"> vs </w:t>
            </w:r>
            <w:r>
              <w:rPr>
                <w:u w:val="single"/>
              </w:rPr>
              <w:t>PBO</w:t>
            </w:r>
          </w:p>
          <w:p w:rsidR="00675E77" w:rsidRDefault="00675E77" w:rsidP="00675E77">
            <w:pPr>
              <w:pStyle w:val="06Tabletextspacebefore"/>
              <w:rPr>
                <w:u w:val="single"/>
              </w:rPr>
            </w:pPr>
            <w:r>
              <w:rPr>
                <w:u w:val="single"/>
              </w:rPr>
              <w:t xml:space="preserve">FLU or BUD </w:t>
            </w:r>
            <w:r w:rsidRPr="0028753E">
              <w:rPr>
                <w:u w:val="single"/>
              </w:rPr>
              <w:t>/LABA vs LABA</w:t>
            </w:r>
          </w:p>
          <w:p w:rsidR="00675E77" w:rsidRPr="00417354" w:rsidRDefault="00675E77" w:rsidP="00675E77">
            <w:pPr>
              <w:pStyle w:val="06Tabletextspacebefore"/>
              <w:rPr>
                <w:b/>
              </w:rPr>
            </w:pPr>
            <w:r w:rsidRPr="00417354">
              <w:rPr>
                <w:b/>
              </w:rPr>
              <w:t>Observational studies</w:t>
            </w:r>
          </w:p>
          <w:p w:rsidR="00675E77" w:rsidRPr="00417354" w:rsidRDefault="00675E77" w:rsidP="00675E77">
            <w:pPr>
              <w:pStyle w:val="05Tabletext"/>
              <w:rPr>
                <w:u w:val="single"/>
              </w:rPr>
            </w:pPr>
            <w:r w:rsidRPr="00417354">
              <w:rPr>
                <w:u w:val="single"/>
              </w:rPr>
              <w:t>ICS vs no ICS</w:t>
            </w:r>
          </w:p>
          <w:p w:rsidR="00675E77" w:rsidRPr="00417354" w:rsidRDefault="00675E77" w:rsidP="00675E77">
            <w:pPr>
              <w:pStyle w:val="06Tabletextspacebefore"/>
            </w:pPr>
            <w:r>
              <w:t>Drugs not identified beyond class</w:t>
            </w:r>
          </w:p>
        </w:tc>
        <w:tc>
          <w:tcPr>
            <w:tcW w:w="729" w:type="pct"/>
            <w:tcBorders>
              <w:right w:val="single" w:sz="4" w:space="0" w:color="auto"/>
            </w:tcBorders>
          </w:tcPr>
          <w:p w:rsidR="00675E77" w:rsidRPr="00C57319" w:rsidRDefault="00675E77" w:rsidP="00675E77">
            <w:pPr>
              <w:pStyle w:val="05Tabletext"/>
              <w:rPr>
                <w:u w:val="single"/>
              </w:rPr>
            </w:pPr>
            <w:r w:rsidRPr="00C57319">
              <w:rPr>
                <w:u w:val="single"/>
              </w:rPr>
              <w:t>Primary:</w:t>
            </w:r>
          </w:p>
          <w:p w:rsidR="00675E77" w:rsidRPr="003D77FF" w:rsidRDefault="00675E77" w:rsidP="00675E77">
            <w:pPr>
              <w:pStyle w:val="07Tablebullet"/>
            </w:pPr>
            <w:r>
              <w:t>fracture</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 and controlled observational studies</w:t>
            </w:r>
          </w:p>
          <w:p w:rsidR="00675E77" w:rsidRDefault="00675E77" w:rsidP="00675E77">
            <w:pPr>
              <w:pStyle w:val="06Tabletextspacebefore"/>
            </w:pPr>
            <w:r>
              <w:t>RCTs pooled according to comparison (ICS/LABA vs LABA, ICS vs placebo). Observational studies pooled according to history of ICS use (e.g. current use vs no current use).</w:t>
            </w:r>
          </w:p>
          <w:p w:rsidR="00675E77" w:rsidRPr="003D77FF" w:rsidRDefault="00675E77" w:rsidP="00675E77">
            <w:pPr>
              <w:pStyle w:val="06Tabletextspacebefore"/>
            </w:pPr>
            <w:r>
              <w:t>Results reported in following section.</w:t>
            </w:r>
          </w:p>
        </w:tc>
        <w:tc>
          <w:tcPr>
            <w:tcW w:w="1412" w:type="pct"/>
          </w:tcPr>
          <w:p w:rsidR="00675E77" w:rsidRPr="00FF0B4F" w:rsidRDefault="00675E77" w:rsidP="00675E77">
            <w:pPr>
              <w:pStyle w:val="05Tabletext"/>
            </w:pPr>
            <w:r>
              <w:t>Among patients with COPD, long-term exposure to fluticasone and budesonide is consistently associated with a modest but statistically significant increased likelihood of fractures.</w:t>
            </w:r>
          </w:p>
        </w:tc>
        <w:tc>
          <w:tcPr>
            <w:tcW w:w="281" w:type="pct"/>
            <w:shd w:val="clear" w:color="auto" w:fill="auto"/>
          </w:tcPr>
          <w:p w:rsidR="00675E77" w:rsidRDefault="00675E77" w:rsidP="00675E77">
            <w:pPr>
              <w:pStyle w:val="05Tabletext"/>
              <w:jc w:val="center"/>
            </w:pPr>
            <w:r>
              <w:t>Yes</w:t>
            </w:r>
          </w:p>
        </w:tc>
      </w:tr>
      <w:tr w:rsidR="00675E77" w:rsidRPr="003D77FF" w:rsidTr="00675E77">
        <w:trPr>
          <w:cantSplit/>
        </w:trPr>
        <w:tc>
          <w:tcPr>
            <w:tcW w:w="410" w:type="pct"/>
            <w:shd w:val="clear" w:color="auto" w:fill="auto"/>
          </w:tcPr>
          <w:p w:rsidR="00675E77" w:rsidRDefault="00675E77" w:rsidP="00675E77">
            <w:pPr>
              <w:pStyle w:val="05Tabletext"/>
            </w:pPr>
            <w:proofErr w:type="spellStart"/>
            <w:r w:rsidRPr="003E1027">
              <w:t>Loke</w:t>
            </w:r>
            <w:proofErr w:type="spellEnd"/>
            <w:r w:rsidRPr="003E1027">
              <w:t xml:space="preserve"> (2010)</w:t>
            </w:r>
          </w:p>
        </w:tc>
        <w:tc>
          <w:tcPr>
            <w:tcW w:w="661" w:type="pct"/>
          </w:tcPr>
          <w:p w:rsidR="00675E77" w:rsidRPr="00A73BA6" w:rsidRDefault="00675E77" w:rsidP="00675E77">
            <w:pPr>
              <w:pStyle w:val="05Tabletext"/>
              <w:rPr>
                <w:b/>
              </w:rPr>
            </w:pPr>
            <w:r w:rsidRPr="00A73BA6">
              <w:rPr>
                <w:b/>
              </w:rPr>
              <w:t>RCTs</w:t>
            </w:r>
          </w:p>
          <w:p w:rsidR="00675E77" w:rsidRPr="00417354" w:rsidRDefault="00675E77" w:rsidP="00675E77">
            <w:pPr>
              <w:pStyle w:val="05Tabletext"/>
              <w:rPr>
                <w:u w:val="single"/>
              </w:rPr>
            </w:pPr>
            <w:r w:rsidRPr="00417354">
              <w:rPr>
                <w:u w:val="single"/>
              </w:rPr>
              <w:t>ICS vs PBO</w:t>
            </w:r>
          </w:p>
          <w:p w:rsidR="00675E77" w:rsidRDefault="00675E77" w:rsidP="00675E77">
            <w:pPr>
              <w:pStyle w:val="06Tabletextspacebefore"/>
              <w:rPr>
                <w:u w:val="single"/>
              </w:rPr>
            </w:pPr>
            <w:r w:rsidRPr="00417354">
              <w:rPr>
                <w:u w:val="single"/>
              </w:rPr>
              <w:t>ICS/LABA vs LABA</w:t>
            </w:r>
          </w:p>
          <w:p w:rsidR="00675E77" w:rsidRPr="00A73BA6" w:rsidRDefault="00675E77" w:rsidP="00675E77">
            <w:pPr>
              <w:pStyle w:val="06Tabletextspacebefore"/>
              <w:rPr>
                <w:b/>
              </w:rPr>
            </w:pPr>
            <w:r w:rsidRPr="00A73BA6">
              <w:rPr>
                <w:b/>
              </w:rPr>
              <w:t>Observational studies</w:t>
            </w:r>
          </w:p>
          <w:p w:rsidR="00675E77" w:rsidRPr="00417354" w:rsidRDefault="00675E77" w:rsidP="00675E77">
            <w:pPr>
              <w:pStyle w:val="05Tabletext"/>
              <w:rPr>
                <w:u w:val="single"/>
              </w:rPr>
            </w:pPr>
            <w:r w:rsidRPr="00417354">
              <w:rPr>
                <w:u w:val="single"/>
              </w:rPr>
              <w:t>ICS vs no ICS</w:t>
            </w:r>
          </w:p>
          <w:p w:rsidR="00675E77" w:rsidRPr="00A73BA6" w:rsidRDefault="00675E77" w:rsidP="00675E77">
            <w:pPr>
              <w:pStyle w:val="06Tabletextspacebefore"/>
            </w:pPr>
            <w:r>
              <w:t>Drugs not identified beyond class</w:t>
            </w:r>
          </w:p>
        </w:tc>
        <w:tc>
          <w:tcPr>
            <w:tcW w:w="729" w:type="pct"/>
            <w:tcBorders>
              <w:right w:val="single" w:sz="4" w:space="0" w:color="auto"/>
            </w:tcBorders>
          </w:tcPr>
          <w:p w:rsidR="00675E77" w:rsidRDefault="00675E77" w:rsidP="00675E77">
            <w:pPr>
              <w:pStyle w:val="07Tablebullet"/>
            </w:pPr>
            <w:r>
              <w:t>myocardial infarction</w:t>
            </w:r>
          </w:p>
          <w:p w:rsidR="00675E77" w:rsidRDefault="00675E77" w:rsidP="00675E77">
            <w:pPr>
              <w:pStyle w:val="07Tablebullet"/>
            </w:pPr>
            <w:r>
              <w:t>cardiovascular death</w:t>
            </w:r>
          </w:p>
          <w:p w:rsidR="00675E77" w:rsidRPr="00417354" w:rsidRDefault="00675E77" w:rsidP="00675E77">
            <w:pPr>
              <w:pStyle w:val="07Tablebullet"/>
            </w:pPr>
            <w:r>
              <w:t>overall mortality</w:t>
            </w:r>
          </w:p>
        </w:tc>
        <w:tc>
          <w:tcPr>
            <w:tcW w:w="1507" w:type="pct"/>
            <w:shd w:val="clear" w:color="auto" w:fill="auto"/>
          </w:tcPr>
          <w:p w:rsidR="00675E77" w:rsidRDefault="00675E77" w:rsidP="00675E77">
            <w:pPr>
              <w:pStyle w:val="05Tabletext"/>
            </w:pPr>
            <w:r>
              <w:rPr>
                <w:u w:val="single"/>
              </w:rPr>
              <w:t>Eligible study design</w:t>
            </w:r>
            <w:r w:rsidRPr="00FC2B73">
              <w:rPr>
                <w:u w:val="single"/>
              </w:rPr>
              <w:t>:</w:t>
            </w:r>
            <w:r w:rsidRPr="00FC2B73">
              <w:t xml:space="preserve"> </w:t>
            </w:r>
            <w:r>
              <w:t>RCTs and controlled observational studies</w:t>
            </w:r>
          </w:p>
          <w:p w:rsidR="00675E77" w:rsidRDefault="00675E77" w:rsidP="00675E77">
            <w:pPr>
              <w:pStyle w:val="06Tabletextspacebefore"/>
            </w:pPr>
            <w:r>
              <w:t>RCTs pooled according to comparison (ICS/LABA vs LABA, ICS vs placebo). No significant change in risk with ICS use for any of the reported outcomes.</w:t>
            </w:r>
          </w:p>
          <w:p w:rsidR="00675E77" w:rsidRPr="003D77FF" w:rsidRDefault="00675E77" w:rsidP="00675E77">
            <w:pPr>
              <w:pStyle w:val="06Tabletextspacebefore"/>
            </w:pPr>
            <w:r>
              <w:t>One pooled estimate for any ICS use for all observational studies. Both cardiovascular death and overall mortality were reduced significantly with ICS use.</w:t>
            </w:r>
          </w:p>
        </w:tc>
        <w:tc>
          <w:tcPr>
            <w:tcW w:w="1412" w:type="pct"/>
          </w:tcPr>
          <w:p w:rsidR="00675E77" w:rsidRPr="00A73BA6" w:rsidRDefault="00675E77" w:rsidP="00675E77">
            <w:pPr>
              <w:pStyle w:val="05Tabletext"/>
            </w:pPr>
            <w:r>
              <w:t>While observational studies suggest that ICS may potentially confer cardiovascular or mortality benefit, RCTs failed to show any significant effect of ICS therapy on myocardial infarction or cardiovascular death.</w:t>
            </w:r>
          </w:p>
        </w:tc>
        <w:tc>
          <w:tcPr>
            <w:tcW w:w="281" w:type="pct"/>
            <w:shd w:val="clear" w:color="auto" w:fill="auto"/>
          </w:tcPr>
          <w:p w:rsidR="00675E77" w:rsidRDefault="00675E77" w:rsidP="00675E77">
            <w:pPr>
              <w:pStyle w:val="05Tabletext"/>
              <w:jc w:val="center"/>
            </w:pPr>
            <w:r>
              <w:t>No</w:t>
            </w:r>
          </w:p>
        </w:tc>
      </w:tr>
    </w:tbl>
    <w:p w:rsidR="00675E77" w:rsidRDefault="00675E77" w:rsidP="00675E77">
      <w:pPr>
        <w:pStyle w:val="11TableorFigurefootnotenostick"/>
      </w:pPr>
      <w:r>
        <w:t xml:space="preserve">Abbreviations: AE, adverse event; BUD, budesonide; COPD, chronic obstructive pulmonary disease; EFO, </w:t>
      </w:r>
      <w:proofErr w:type="spellStart"/>
      <w:r>
        <w:t>eformoterol</w:t>
      </w:r>
      <w:proofErr w:type="spellEnd"/>
      <w:r>
        <w:t>; FEV</w:t>
      </w:r>
      <w:r w:rsidRPr="00D92F94">
        <w:rPr>
          <w:vertAlign w:val="subscript"/>
        </w:rPr>
        <w:t>1</w:t>
      </w:r>
      <w:r>
        <w:t>, forced expiratory volume at 1 second; FLU, fluticasone; ICS, inhaled corticosteroids; LABA, long-acting beta-2 agonist; URTI, upper respiratory tract infection.</w:t>
      </w:r>
    </w:p>
    <w:p w:rsidR="00675E77" w:rsidRDefault="00675E77" w:rsidP="00675E77">
      <w:pPr>
        <w:pStyle w:val="BodyText"/>
      </w:pPr>
    </w:p>
    <w:p w:rsidR="00675E77" w:rsidRDefault="00675E77" w:rsidP="00675E77">
      <w:pPr>
        <w:pStyle w:val="BodyText"/>
        <w:sectPr w:rsidR="00675E77" w:rsidSect="00CB3D44">
          <w:footerReference w:type="default" r:id="rId14"/>
          <w:pgSz w:w="16838" w:h="11906" w:orient="landscape"/>
          <w:pgMar w:top="1134" w:right="1134" w:bottom="1134" w:left="1134" w:header="709" w:footer="709" w:gutter="0"/>
          <w:cols w:space="708"/>
          <w:docGrid w:linePitch="360"/>
        </w:sectPr>
      </w:pPr>
    </w:p>
    <w:p w:rsidR="00675E77" w:rsidRDefault="00675E77" w:rsidP="00675E77">
      <w:pPr>
        <w:pStyle w:val="Heading4"/>
      </w:pPr>
      <w:r>
        <w:lastRenderedPageBreak/>
        <w:t>RCTs included in key systematic reviews</w:t>
      </w:r>
    </w:p>
    <w:p w:rsidR="00675E77" w:rsidRDefault="00356377" w:rsidP="00675E77">
      <w:pPr>
        <w:pStyle w:val="BodyText"/>
      </w:pPr>
      <w:r>
        <w:t xml:space="preserve">Table </w:t>
      </w:r>
      <w:r>
        <w:rPr>
          <w:noProof/>
        </w:rPr>
        <w:t>4</w:t>
      </w:r>
      <w:r>
        <w:t>.</w:t>
      </w:r>
      <w:r>
        <w:rPr>
          <w:noProof/>
        </w:rPr>
        <w:t>5</w:t>
      </w:r>
      <w:r w:rsidR="00675E77">
        <w:t xml:space="preserve"> shows the RCTs for fluticasone and budesonide included in the key systematic reviews. </w:t>
      </w:r>
    </w:p>
    <w:p w:rsidR="00675E77" w:rsidRDefault="00E664A5" w:rsidP="00675E77">
      <w:pPr>
        <w:pStyle w:val="BodyText"/>
      </w:pPr>
      <w:r>
        <w:t>Two Cochrane r</w:t>
      </w:r>
      <w:r w:rsidR="00675E77">
        <w:t xml:space="preserve">eviews investigated a wide range of </w:t>
      </w:r>
      <w:r>
        <w:t xml:space="preserve">AE </w:t>
      </w:r>
      <w:r w:rsidR="00675E77">
        <w:t>outcomes for ICS/LAMA therapy compared to LAMAs alone (</w:t>
      </w:r>
      <w:proofErr w:type="spellStart"/>
      <w:r w:rsidR="00675E77">
        <w:t>Nannini</w:t>
      </w:r>
      <w:proofErr w:type="spellEnd"/>
      <w:r w:rsidR="00675E77">
        <w:t>, 2012) or placebo (</w:t>
      </w:r>
      <w:proofErr w:type="spellStart"/>
      <w:r w:rsidR="00675E77">
        <w:t>Nannini</w:t>
      </w:r>
      <w:proofErr w:type="spellEnd"/>
      <w:r w:rsidR="00675E77">
        <w:t>, 2013). Fluticasone</w:t>
      </w:r>
      <w:r w:rsidR="00883B82">
        <w:t xml:space="preserve"> </w:t>
      </w:r>
      <w:proofErr w:type="spellStart"/>
      <w:r w:rsidR="00883B82">
        <w:t>furoate</w:t>
      </w:r>
      <w:proofErr w:type="spellEnd"/>
      <w:r w:rsidR="00675E77">
        <w:t>/</w:t>
      </w:r>
      <w:proofErr w:type="spellStart"/>
      <w:r w:rsidR="00675E77">
        <w:t>vilanterol</w:t>
      </w:r>
      <w:proofErr w:type="spellEnd"/>
      <w:r w:rsidR="00675E77">
        <w:t xml:space="preserve"> studies were not eligible for inclusion in either review. The only studies published after the search dates of these reviews that would otherwise have been eligible for inclusion are the budesonide studies by Fukuchi </w:t>
      </w:r>
      <w:r w:rsidR="006A35BA">
        <w:t>(</w:t>
      </w:r>
      <w:r w:rsidR="00675E77">
        <w:t>2013</w:t>
      </w:r>
      <w:r w:rsidR="006A35BA">
        <w:t>)</w:t>
      </w:r>
      <w:r w:rsidR="00675E77">
        <w:t xml:space="preserve"> and </w:t>
      </w:r>
      <w:proofErr w:type="spellStart"/>
      <w:r w:rsidR="00675E77">
        <w:t>Sharafkhaneh</w:t>
      </w:r>
      <w:proofErr w:type="spellEnd"/>
      <w:r w:rsidR="00675E77">
        <w:t xml:space="preserve"> </w:t>
      </w:r>
      <w:r w:rsidR="006A35BA">
        <w:t>(</w:t>
      </w:r>
      <w:r w:rsidR="00675E77">
        <w:t>2012</w:t>
      </w:r>
      <w:r w:rsidR="006A35BA">
        <w:t>)</w:t>
      </w:r>
      <w:r w:rsidR="00675E77">
        <w:t xml:space="preserve"> (both eligible for </w:t>
      </w:r>
      <w:proofErr w:type="spellStart"/>
      <w:r w:rsidR="00675E77">
        <w:t>Nannini</w:t>
      </w:r>
      <w:proofErr w:type="spellEnd"/>
      <w:r w:rsidR="00675E77">
        <w:t xml:space="preserve"> (2012) only).</w:t>
      </w:r>
      <w:r w:rsidR="00675E77">
        <w:rPr>
          <w:rStyle w:val="FootnoteReference"/>
        </w:rPr>
        <w:footnoteReference w:id="6"/>
      </w:r>
    </w:p>
    <w:p w:rsidR="00675E77" w:rsidRDefault="00675E77" w:rsidP="00675E77">
      <w:pPr>
        <w:pStyle w:val="BodyText"/>
      </w:pPr>
      <w:r>
        <w:t>Two systematic reviews focused on</w:t>
      </w:r>
      <w:r w:rsidR="00BF4F3C">
        <w:t xml:space="preserve"> a more narrow range of outcomes but included</w:t>
      </w:r>
      <w:r>
        <w:t xml:space="preserve"> pneumonia</w:t>
      </w:r>
      <w:r w:rsidR="006A35BA">
        <w:t>: the Cochrane r</w:t>
      </w:r>
      <w:r w:rsidR="00F421C9">
        <w:t xml:space="preserve">eview by Kew and </w:t>
      </w:r>
      <w:proofErr w:type="spellStart"/>
      <w:r w:rsidR="00F421C9" w:rsidRPr="00155A27">
        <w:t>Seniukovich</w:t>
      </w:r>
      <w:proofErr w:type="spellEnd"/>
      <w:r w:rsidR="00F421C9" w:rsidRPr="00155A27">
        <w:t xml:space="preserve"> </w:t>
      </w:r>
      <w:r w:rsidR="00F421C9">
        <w:t xml:space="preserve">(2014), which </w:t>
      </w:r>
      <w:r w:rsidR="00BF4F3C">
        <w:t>included</w:t>
      </w:r>
      <w:r w:rsidR="00F421C9">
        <w:t xml:space="preserve"> pneumonia</w:t>
      </w:r>
      <w:r w:rsidR="00BF4F3C">
        <w:t xml:space="preserve"> as a primary outcome</w:t>
      </w:r>
      <w:r w:rsidR="006A35BA">
        <w:t>;</w:t>
      </w:r>
      <w:r w:rsidR="00F421C9">
        <w:t xml:space="preserve"> and </w:t>
      </w:r>
      <w:r>
        <w:t xml:space="preserve">the mixed treatment comparison (MTC) by </w:t>
      </w:r>
      <w:proofErr w:type="spellStart"/>
      <w:r>
        <w:t>Tricco</w:t>
      </w:r>
      <w:proofErr w:type="spellEnd"/>
      <w:r>
        <w:t xml:space="preserve"> (2015)</w:t>
      </w:r>
      <w:r w:rsidR="00F421C9">
        <w:t>,</w:t>
      </w:r>
      <w:r>
        <w:t xml:space="preserve"> </w:t>
      </w:r>
      <w:r w:rsidR="00F421C9">
        <w:t>which</w:t>
      </w:r>
      <w:r w:rsidR="00BF4F3C">
        <w:t xml:space="preserve"> included</w:t>
      </w:r>
      <w:r w:rsidR="00F421C9">
        <w:t xml:space="preserve"> pneumonia</w:t>
      </w:r>
      <w:r w:rsidR="00BF4F3C">
        <w:t xml:space="preserve"> as a secondary outcome</w:t>
      </w:r>
      <w:r>
        <w:t xml:space="preserve">. The indirect comparisons of the MTC drew on more studies than shown in </w:t>
      </w:r>
      <w:r w:rsidR="00356377">
        <w:t xml:space="preserve">Table </w:t>
      </w:r>
      <w:r w:rsidR="00356377">
        <w:rPr>
          <w:noProof/>
        </w:rPr>
        <w:t>4</w:t>
      </w:r>
      <w:r w:rsidR="00356377">
        <w:t>.</w:t>
      </w:r>
      <w:r w:rsidR="00356377">
        <w:rPr>
          <w:noProof/>
        </w:rPr>
        <w:t>5</w:t>
      </w:r>
      <w:r>
        <w:t xml:space="preserve"> (54 studies for pneumonia)</w:t>
      </w:r>
      <w:r w:rsidR="006A35BA">
        <w:t>,</w:t>
      </w:r>
      <w:r>
        <w:t xml:space="preserve"> but included comparisons of </w:t>
      </w:r>
      <w:r w:rsidR="00F421C9">
        <w:t xml:space="preserve">no </w:t>
      </w:r>
      <w:r>
        <w:t xml:space="preserve">relevance to the current Review. </w:t>
      </w:r>
      <w:r w:rsidR="00F421C9">
        <w:t>Therefore, o</w:t>
      </w:r>
      <w:r>
        <w:t xml:space="preserve">nly the studies that also appear in other reviews are shown for </w:t>
      </w:r>
      <w:proofErr w:type="spellStart"/>
      <w:r>
        <w:t>Tricco</w:t>
      </w:r>
      <w:proofErr w:type="spellEnd"/>
      <w:r>
        <w:t xml:space="preserve"> (2015) in </w:t>
      </w:r>
      <w:r w:rsidR="00356377">
        <w:t xml:space="preserve">Table </w:t>
      </w:r>
      <w:r w:rsidR="00356377">
        <w:rPr>
          <w:noProof/>
        </w:rPr>
        <w:t>4</w:t>
      </w:r>
      <w:r w:rsidR="00356377">
        <w:t>.</w:t>
      </w:r>
      <w:r w:rsidR="00356377">
        <w:rPr>
          <w:noProof/>
        </w:rPr>
        <w:t>5</w:t>
      </w:r>
      <w:r>
        <w:t>.</w:t>
      </w:r>
    </w:p>
    <w:p w:rsidR="00675E77" w:rsidRDefault="00CB590C" w:rsidP="00675E77">
      <w:pPr>
        <w:pStyle w:val="BodyText"/>
      </w:pPr>
      <w:r>
        <w:t>In general</w:t>
      </w:r>
      <w:r w:rsidR="006A35BA">
        <w:t xml:space="preserve">, </w:t>
      </w:r>
      <w:r w:rsidR="00675E77">
        <w:t xml:space="preserve">the disparate publication </w:t>
      </w:r>
      <w:proofErr w:type="gramStart"/>
      <w:r w:rsidR="00675E77">
        <w:t>dates of these reviews has</w:t>
      </w:r>
      <w:proofErr w:type="gramEnd"/>
      <w:r w:rsidR="00675E77">
        <w:t xml:space="preserve"> not resulted in substantial differences in the set of fluticasone</w:t>
      </w:r>
      <w:r w:rsidR="00883B82">
        <w:rPr>
          <w:rFonts w:hint="eastAsia"/>
        </w:rPr>
        <w:t xml:space="preserve"> propionate</w:t>
      </w:r>
      <w:r w:rsidR="00675E77">
        <w:rPr>
          <w:rFonts w:hint="eastAsia"/>
        </w:rPr>
        <w:t>/</w:t>
      </w:r>
      <w:r w:rsidR="00675E77">
        <w:t>salmeterol or budesonide/</w:t>
      </w:r>
      <w:proofErr w:type="spellStart"/>
      <w:r w:rsidR="00675E77">
        <w:t>eformoterol</w:t>
      </w:r>
      <w:proofErr w:type="spellEnd"/>
      <w:r w:rsidR="00675E77">
        <w:t xml:space="preserve"> studies that would otherwise have been captured.</w:t>
      </w:r>
      <w:r w:rsidR="00675E77" w:rsidRPr="00DA0C23">
        <w:rPr>
          <w:rStyle w:val="FootnoteReference"/>
        </w:rPr>
        <w:t xml:space="preserve"> </w:t>
      </w:r>
      <w:r w:rsidR="00675E77">
        <w:rPr>
          <w:rStyle w:val="FootnoteReference"/>
        </w:rPr>
        <w:footnoteReference w:id="7"/>
      </w:r>
    </w:p>
    <w:p w:rsidR="00675E77" w:rsidRDefault="006A35BA" w:rsidP="00675E77">
      <w:pPr>
        <w:pStyle w:val="BodyText"/>
      </w:pPr>
      <w:r>
        <w:t xml:space="preserve">Dong (2014) and </w:t>
      </w:r>
      <w:proofErr w:type="spellStart"/>
      <w:r>
        <w:t>Loke</w:t>
      </w:r>
      <w:proofErr w:type="spellEnd"/>
      <w:r w:rsidR="00675E77">
        <w:t xml:space="preserve"> (201</w:t>
      </w:r>
      <w:r>
        <w:t>1</w:t>
      </w:r>
      <w:r w:rsidR="00675E77">
        <w:t>) were also selected as key reviews as they are the most recent reviews focusing on particular adverse events other than pneumonia.</w:t>
      </w:r>
    </w:p>
    <w:p w:rsidR="00BF4F3C" w:rsidRPr="00296A77" w:rsidRDefault="00BF4F3C" w:rsidP="00675E77">
      <w:pPr>
        <w:pStyle w:val="BodyText"/>
      </w:pPr>
      <w:r>
        <w:t xml:space="preserve">Neither </w:t>
      </w:r>
      <w:proofErr w:type="spellStart"/>
      <w:r>
        <w:t>Nannini</w:t>
      </w:r>
      <w:proofErr w:type="spellEnd"/>
      <w:r>
        <w:t xml:space="preserve"> (2012) nor </w:t>
      </w:r>
      <w:proofErr w:type="spellStart"/>
      <w:r>
        <w:t>Tricco</w:t>
      </w:r>
      <w:proofErr w:type="spellEnd"/>
      <w:r>
        <w:t xml:space="preserve"> (2015) placed restriction on the length of included studies. </w:t>
      </w:r>
      <w:proofErr w:type="spellStart"/>
      <w:r>
        <w:t>Nannini</w:t>
      </w:r>
      <w:proofErr w:type="spellEnd"/>
      <w:r>
        <w:t xml:space="preserve"> (2013</w:t>
      </w:r>
      <w:r w:rsidR="006A35BA">
        <w:t>)</w:t>
      </w:r>
      <w:r w:rsidR="00CB590C">
        <w:t xml:space="preserve"> included</w:t>
      </w:r>
      <w:r>
        <w:t xml:space="preserve"> studies of at least 4 weeks’ </w:t>
      </w:r>
      <w:r w:rsidR="006A35BA">
        <w:t xml:space="preserve">duration. Those reviews with </w:t>
      </w:r>
      <w:r w:rsidR="00D073E1">
        <w:t xml:space="preserve">only an </w:t>
      </w:r>
      <w:r>
        <w:t>adverse event</w:t>
      </w:r>
      <w:r w:rsidR="00D073E1">
        <w:t>(s)</w:t>
      </w:r>
      <w:r>
        <w:t xml:space="preserve"> as </w:t>
      </w:r>
      <w:r w:rsidR="00D073E1">
        <w:t>the</w:t>
      </w:r>
      <w:r>
        <w:t xml:space="preserve"> primary outcome </w:t>
      </w:r>
      <w:r w:rsidR="006A35BA">
        <w:t xml:space="preserve">(Kew et al, 2014; Dong et al, 2014; </w:t>
      </w:r>
      <w:proofErr w:type="spellStart"/>
      <w:r w:rsidR="006A35BA">
        <w:t>Loke</w:t>
      </w:r>
      <w:proofErr w:type="spellEnd"/>
      <w:r w:rsidR="006A35BA">
        <w:t xml:space="preserve"> et al</w:t>
      </w:r>
      <w:r>
        <w:t xml:space="preserve">, 2011) had more restrictive </w:t>
      </w:r>
      <w:r w:rsidR="00CB590C">
        <w:t xml:space="preserve">minimum </w:t>
      </w:r>
      <w:r>
        <w:t>study duration criteria (12 weeks, 26 weeks and 24 weeks, respectively).</w:t>
      </w:r>
      <w:r w:rsidRPr="00BF4F3C">
        <w:t xml:space="preserve"> </w:t>
      </w:r>
      <w:r>
        <w:t>Trial durations were typically 24 to 52 weeks, with a quarter being longer than 52 weeks (</w:t>
      </w:r>
      <w:r w:rsidR="00356377">
        <w:t xml:space="preserve">Table </w:t>
      </w:r>
      <w:r w:rsidR="00356377">
        <w:rPr>
          <w:noProof/>
        </w:rPr>
        <w:t>4</w:t>
      </w:r>
      <w:r w:rsidR="00356377">
        <w:t>.</w:t>
      </w:r>
      <w:r w:rsidR="00356377">
        <w:rPr>
          <w:noProof/>
        </w:rPr>
        <w:t>5</w:t>
      </w:r>
      <w:r>
        <w:t>), so few trials would have been excluded by these criteria. Therefore, these system</w:t>
      </w:r>
      <w:r w:rsidR="00E14685">
        <w:t>a</w:t>
      </w:r>
      <w:r>
        <w:t>tic reviews inform the investigation</w:t>
      </w:r>
      <w:r w:rsidR="00E14685">
        <w:t xml:space="preserve"> of prolonged</w:t>
      </w:r>
      <w:r>
        <w:t xml:space="preserve"> ICS use in the current Review in terms of use </w:t>
      </w:r>
      <w:r w:rsidR="00E14685">
        <w:t>for three months or longer</w:t>
      </w:r>
      <w:r w:rsidR="006A35BA">
        <w:t>. As reported below,</w:t>
      </w:r>
      <w:r w:rsidR="00E14685">
        <w:t xml:space="preserve"> Kew (2014) performed </w:t>
      </w:r>
      <w:r w:rsidR="00E65581">
        <w:t xml:space="preserve">subgroup </w:t>
      </w:r>
      <w:r w:rsidR="00E14685">
        <w:t>analyses stratified by study length (greater than or less than one year) and found no difference in pneumonia risk with ICS use.</w:t>
      </w:r>
      <w:r w:rsidR="00E65581">
        <w:t xml:space="preserve"> However, the length of exposure required to increase risk of </w:t>
      </w:r>
      <w:r w:rsidR="006A35BA">
        <w:t>AE</w:t>
      </w:r>
      <w:r w:rsidR="00E65581">
        <w:t>s is not explored in these reviews.</w:t>
      </w:r>
    </w:p>
    <w:p w:rsidR="00675E77" w:rsidRDefault="00675E77" w:rsidP="00D52262">
      <w:pPr>
        <w:pStyle w:val="HeaderTable"/>
      </w:pPr>
      <w:bookmarkStart w:id="55" w:name="_Ref467176468"/>
      <w:bookmarkStart w:id="56" w:name="_Toc468022883"/>
      <w:bookmarkStart w:id="57" w:name="_Toc468034536"/>
      <w:bookmarkStart w:id="58" w:name="_Toc480373300"/>
      <w:bookmarkStart w:id="59" w:name="_Toc486515195"/>
      <w:r>
        <w:lastRenderedPageBreak/>
        <w:t xml:space="preserve">Table </w:t>
      </w:r>
      <w:r w:rsidR="00356377">
        <w:rPr>
          <w:noProof/>
        </w:rPr>
        <w:t>4</w:t>
      </w:r>
      <w:r>
        <w:t>.</w:t>
      </w:r>
      <w:r w:rsidR="00356377">
        <w:rPr>
          <w:noProof/>
        </w:rPr>
        <w:t>5</w:t>
      </w:r>
      <w:bookmarkEnd w:id="55"/>
      <w:r>
        <w:tab/>
        <w:t>Fluticasone and budesonide RCTs included in the key systematic reviews</w:t>
      </w:r>
      <w:bookmarkEnd w:id="56"/>
      <w:bookmarkEnd w:id="57"/>
      <w:bookmarkEnd w:id="58"/>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Fluticasone and budesonide RCTs included in the key systematic reviews"/>
      </w:tblPr>
      <w:tblGrid>
        <w:gridCol w:w="3102"/>
        <w:gridCol w:w="1077"/>
        <w:gridCol w:w="1077"/>
        <w:gridCol w:w="1188"/>
        <w:gridCol w:w="1096"/>
        <w:gridCol w:w="1075"/>
        <w:gridCol w:w="1033"/>
      </w:tblGrid>
      <w:tr w:rsidR="00675E77" w:rsidRPr="002F7338" w:rsidTr="00A7635E">
        <w:trPr>
          <w:cantSplit/>
          <w:tblHeader/>
        </w:trPr>
        <w:tc>
          <w:tcPr>
            <w:tcW w:w="1618" w:type="pct"/>
            <w:tcBorders>
              <w:bottom w:val="nil"/>
            </w:tcBorders>
            <w:shd w:val="clear" w:color="auto" w:fill="BFBFBF"/>
          </w:tcPr>
          <w:p w:rsidR="00675E77" w:rsidRPr="003A78B3" w:rsidRDefault="003A78B3" w:rsidP="003A78B3">
            <w:pPr>
              <w:pStyle w:val="01TableHEADINGleftaligned"/>
              <w:jc w:val="right"/>
            </w:pPr>
            <w:r w:rsidRPr="003A78B3">
              <w:t>Primary outcome</w:t>
            </w:r>
          </w:p>
        </w:tc>
        <w:tc>
          <w:tcPr>
            <w:tcW w:w="568" w:type="pct"/>
            <w:tcBorders>
              <w:right w:val="nil"/>
            </w:tcBorders>
            <w:shd w:val="clear" w:color="auto" w:fill="BFBFBF"/>
          </w:tcPr>
          <w:p w:rsidR="00675E77" w:rsidRDefault="00B11439" w:rsidP="00675E77">
            <w:pPr>
              <w:pStyle w:val="02TableHEADINGcentred"/>
              <w:jc w:val="right"/>
            </w:pPr>
            <w:r>
              <w:t>Pneumonia</w:t>
            </w:r>
            <w:r w:rsidR="003A78B3">
              <w:br/>
              <w:t>primary</w:t>
            </w:r>
          </w:p>
        </w:tc>
        <w:tc>
          <w:tcPr>
            <w:tcW w:w="568" w:type="pct"/>
            <w:tcBorders>
              <w:left w:val="nil"/>
            </w:tcBorders>
            <w:shd w:val="clear" w:color="auto" w:fill="BFBFBF"/>
          </w:tcPr>
          <w:p w:rsidR="00675E77" w:rsidRDefault="00331D1A" w:rsidP="00B11439">
            <w:pPr>
              <w:pStyle w:val="02TableHEADINGcentred"/>
              <w:ind w:left="0"/>
              <w:jc w:val="left"/>
            </w:pPr>
            <w:r>
              <w:t>(</w:t>
            </w:r>
            <w:r w:rsidR="003A78B3">
              <w:t>plus other</w:t>
            </w:r>
            <w:r w:rsidR="003A78B3">
              <w:br/>
              <w:t>outcomes</w:t>
            </w:r>
            <w:r>
              <w:t>)</w:t>
            </w:r>
          </w:p>
        </w:tc>
        <w:tc>
          <w:tcPr>
            <w:tcW w:w="556" w:type="pct"/>
            <w:tcBorders>
              <w:right w:val="single" w:sz="4" w:space="0" w:color="auto"/>
            </w:tcBorders>
            <w:shd w:val="clear" w:color="auto" w:fill="BFBFBF"/>
          </w:tcPr>
          <w:p w:rsidR="00675E77" w:rsidRDefault="003A78B3" w:rsidP="003A78B3">
            <w:pPr>
              <w:pStyle w:val="02TableHEADINGcentred"/>
            </w:pPr>
            <w:r>
              <w:t>Exacerbations</w:t>
            </w:r>
            <w:r w:rsidR="00E240AB">
              <w:rPr>
                <w:rStyle w:val="FootnoteReference"/>
              </w:rPr>
              <w:footnoteReference w:id="8"/>
            </w:r>
            <w:r>
              <w:br/>
              <w:t>(pneumonia 2ndry outcome)</w:t>
            </w:r>
          </w:p>
        </w:tc>
        <w:tc>
          <w:tcPr>
            <w:tcW w:w="578" w:type="pct"/>
            <w:tcBorders>
              <w:left w:val="single" w:sz="4" w:space="0" w:color="auto"/>
            </w:tcBorders>
            <w:shd w:val="clear" w:color="auto" w:fill="BFBFBF"/>
          </w:tcPr>
          <w:p w:rsidR="00675E77" w:rsidRDefault="00B11439" w:rsidP="00B11439">
            <w:pPr>
              <w:pStyle w:val="02TableHEADINGcentred"/>
              <w:ind w:left="0"/>
            </w:pPr>
            <w:r>
              <w:t>Pneumonia</w:t>
            </w:r>
            <w:r w:rsidR="00B046F8">
              <w:rPr>
                <w:rStyle w:val="FootnoteReference"/>
              </w:rPr>
              <w:footnoteReference w:id="9"/>
            </w:r>
          </w:p>
        </w:tc>
        <w:tc>
          <w:tcPr>
            <w:tcW w:w="567" w:type="pct"/>
            <w:shd w:val="clear" w:color="auto" w:fill="BFBFBF"/>
          </w:tcPr>
          <w:p w:rsidR="00675E77" w:rsidRDefault="00675E77" w:rsidP="00675E77">
            <w:pPr>
              <w:pStyle w:val="02TableHEADINGcentred"/>
            </w:pPr>
            <w:r>
              <w:t>TB/</w:t>
            </w:r>
            <w:r>
              <w:rPr>
                <w:rFonts w:ascii="Arial" w:hAnsi="Arial" w:cs="Arial"/>
              </w:rPr>
              <w:t>​</w:t>
            </w:r>
            <w:r>
              <w:t>influenza</w:t>
            </w:r>
          </w:p>
        </w:tc>
        <w:tc>
          <w:tcPr>
            <w:tcW w:w="545" w:type="pct"/>
            <w:shd w:val="clear" w:color="auto" w:fill="BFBFBF"/>
          </w:tcPr>
          <w:p w:rsidR="00675E77" w:rsidRDefault="00675E77" w:rsidP="00675E77">
            <w:pPr>
              <w:pStyle w:val="02TableHEADINGcentred"/>
            </w:pPr>
            <w:r>
              <w:t>Fracture</w:t>
            </w:r>
          </w:p>
        </w:tc>
      </w:tr>
      <w:tr w:rsidR="00675E77" w:rsidRPr="000D40BF" w:rsidTr="00B046F8">
        <w:trPr>
          <w:cantSplit/>
          <w:tblHeader/>
        </w:trPr>
        <w:tc>
          <w:tcPr>
            <w:tcW w:w="1618" w:type="pct"/>
            <w:tcBorders>
              <w:top w:val="nil"/>
            </w:tcBorders>
            <w:shd w:val="clear" w:color="auto" w:fill="BFBFBF"/>
            <w:vAlign w:val="bottom"/>
          </w:tcPr>
          <w:p w:rsidR="003A78B3" w:rsidRDefault="003A78B3" w:rsidP="00F81148">
            <w:pPr>
              <w:pStyle w:val="01TableHEADINGleftaligned"/>
              <w:tabs>
                <w:tab w:val="left" w:pos="1701"/>
              </w:tabs>
              <w:ind w:right="0"/>
            </w:pPr>
            <w:r>
              <w:tab/>
              <w:t>Systematic Review</w:t>
            </w:r>
          </w:p>
          <w:p w:rsidR="00675E77" w:rsidRPr="006E45EB" w:rsidRDefault="003A78B3" w:rsidP="003A78B3">
            <w:pPr>
              <w:pStyle w:val="01TableHEADINGleftaligned"/>
              <w:tabs>
                <w:tab w:val="left" w:pos="1838"/>
              </w:tabs>
              <w:spacing w:before="260"/>
              <w:rPr>
                <w:b w:val="0"/>
              </w:rPr>
            </w:pPr>
            <w:r w:rsidRPr="006B77F5">
              <w:t>Study ID</w:t>
            </w:r>
            <w:r>
              <w:t>/Trial name</w:t>
            </w:r>
            <w:r>
              <w:rPr>
                <w:b w:val="0"/>
              </w:rPr>
              <w:tab/>
              <w:t>D</w:t>
            </w:r>
            <w:r w:rsidRPr="006E45EB">
              <w:rPr>
                <w:b w:val="0"/>
              </w:rPr>
              <w:t xml:space="preserve">uration </w:t>
            </w:r>
            <w:r w:rsidR="000A4602" w:rsidRPr="006E45EB">
              <w:rPr>
                <w:b w:val="0"/>
              </w:rPr>
              <w:t>(weeks)</w:t>
            </w:r>
          </w:p>
        </w:tc>
        <w:tc>
          <w:tcPr>
            <w:tcW w:w="568" w:type="pct"/>
            <w:shd w:val="clear" w:color="auto" w:fill="BFBFBF"/>
            <w:vAlign w:val="bottom"/>
          </w:tcPr>
          <w:p w:rsidR="00675E77" w:rsidRDefault="00675E77" w:rsidP="00675E77">
            <w:pPr>
              <w:pStyle w:val="02TableHEADINGcentred"/>
              <w:ind w:left="0" w:right="0"/>
            </w:pPr>
            <w:proofErr w:type="spellStart"/>
            <w:r>
              <w:t>Nannini</w:t>
            </w:r>
            <w:proofErr w:type="spellEnd"/>
            <w:r>
              <w:t xml:space="preserve"> (2013)</w:t>
            </w:r>
          </w:p>
          <w:p w:rsidR="00675E77" w:rsidRPr="002F7338" w:rsidRDefault="000A4602" w:rsidP="000A4602">
            <w:pPr>
              <w:pStyle w:val="02TableHEADINGcentred"/>
              <w:ind w:left="0" w:right="0"/>
              <w:rPr>
                <w:b w:val="0"/>
                <w:i/>
              </w:rPr>
            </w:pPr>
            <w:r w:rsidRPr="002F7338">
              <w:rPr>
                <w:b w:val="0"/>
                <w:i/>
              </w:rPr>
              <w:t>search date</w:t>
            </w:r>
            <w:r>
              <w:rPr>
                <w:b w:val="0"/>
                <w:i/>
              </w:rPr>
              <w:br/>
            </w:r>
            <w:r w:rsidRPr="002F7338">
              <w:rPr>
                <w:b w:val="0"/>
                <w:i/>
              </w:rPr>
              <w:t xml:space="preserve"> </w:t>
            </w:r>
            <w:r w:rsidR="00675E77" w:rsidRPr="002F7338">
              <w:rPr>
                <w:b w:val="0"/>
                <w:i/>
              </w:rPr>
              <w:t>Jun 2013</w:t>
            </w:r>
          </w:p>
        </w:tc>
        <w:tc>
          <w:tcPr>
            <w:tcW w:w="568" w:type="pct"/>
            <w:shd w:val="clear" w:color="auto" w:fill="BFBFBF"/>
            <w:vAlign w:val="bottom"/>
          </w:tcPr>
          <w:p w:rsidR="00675E77" w:rsidRDefault="00675E77" w:rsidP="00675E77">
            <w:pPr>
              <w:pStyle w:val="02TableHEADINGcentred"/>
              <w:ind w:left="0" w:right="0"/>
            </w:pPr>
            <w:proofErr w:type="spellStart"/>
            <w:r>
              <w:t>Nannini</w:t>
            </w:r>
            <w:proofErr w:type="spellEnd"/>
            <w:r>
              <w:t xml:space="preserve"> (2012)</w:t>
            </w:r>
          </w:p>
          <w:p w:rsidR="00675E77" w:rsidRPr="002F7338" w:rsidRDefault="000A4602" w:rsidP="00675E77">
            <w:pPr>
              <w:pStyle w:val="02TableHEADINGcentred"/>
              <w:ind w:left="0" w:right="0"/>
              <w:rPr>
                <w:b w:val="0"/>
                <w:i/>
              </w:rPr>
            </w:pPr>
            <w:r w:rsidRPr="002F7338">
              <w:rPr>
                <w:b w:val="0"/>
                <w:i/>
              </w:rPr>
              <w:t xml:space="preserve">search date </w:t>
            </w:r>
            <w:r>
              <w:rPr>
                <w:b w:val="0"/>
                <w:i/>
              </w:rPr>
              <w:br/>
            </w:r>
            <w:r w:rsidR="00675E77" w:rsidRPr="002F7338">
              <w:rPr>
                <w:b w:val="0"/>
                <w:i/>
              </w:rPr>
              <w:t>Nov 2011</w:t>
            </w:r>
          </w:p>
        </w:tc>
        <w:tc>
          <w:tcPr>
            <w:tcW w:w="556" w:type="pct"/>
            <w:shd w:val="clear" w:color="auto" w:fill="BFBFBF"/>
            <w:vAlign w:val="bottom"/>
          </w:tcPr>
          <w:p w:rsidR="00675E77" w:rsidRDefault="00675E77" w:rsidP="00675E77">
            <w:pPr>
              <w:pStyle w:val="02TableHEADINGcentred"/>
              <w:ind w:left="0" w:right="0"/>
            </w:pPr>
            <w:proofErr w:type="spellStart"/>
            <w:r>
              <w:t>Tricco</w:t>
            </w:r>
            <w:proofErr w:type="spellEnd"/>
            <w:r>
              <w:t xml:space="preserve"> (2015)</w:t>
            </w:r>
            <w:r>
              <w:rPr>
                <w:rStyle w:val="FootnoteReference"/>
              </w:rPr>
              <w:footnoteReference w:id="10"/>
            </w:r>
          </w:p>
          <w:p w:rsidR="00675E77" w:rsidRPr="002F7338" w:rsidRDefault="000A4602" w:rsidP="00675E77">
            <w:pPr>
              <w:pStyle w:val="02TableHEADINGcentred"/>
              <w:rPr>
                <w:b w:val="0"/>
                <w:i/>
              </w:rPr>
            </w:pPr>
            <w:r w:rsidRPr="002F7338">
              <w:rPr>
                <w:b w:val="0"/>
                <w:i/>
              </w:rPr>
              <w:t>search date</w:t>
            </w:r>
            <w:r>
              <w:rPr>
                <w:b w:val="0"/>
                <w:i/>
              </w:rPr>
              <w:br/>
            </w:r>
            <w:r w:rsidR="00675E77" w:rsidRPr="002F7338">
              <w:rPr>
                <w:b w:val="0"/>
                <w:i/>
              </w:rPr>
              <w:t>Dec 2013</w:t>
            </w:r>
          </w:p>
        </w:tc>
        <w:tc>
          <w:tcPr>
            <w:tcW w:w="578" w:type="pct"/>
            <w:shd w:val="clear" w:color="auto" w:fill="BFBFBF"/>
            <w:vAlign w:val="bottom"/>
          </w:tcPr>
          <w:p w:rsidR="00675E77" w:rsidRDefault="00675E77" w:rsidP="00675E77">
            <w:pPr>
              <w:pStyle w:val="02TableHEADINGcentred"/>
            </w:pPr>
            <w:r>
              <w:t>Kew (2014)</w:t>
            </w:r>
          </w:p>
          <w:p w:rsidR="00675E77" w:rsidRPr="002F7338" w:rsidRDefault="000A4602" w:rsidP="00675E77">
            <w:pPr>
              <w:pStyle w:val="02TableHEADINGcentred"/>
              <w:rPr>
                <w:b w:val="0"/>
                <w:i/>
              </w:rPr>
            </w:pPr>
            <w:r w:rsidRPr="002F7338">
              <w:rPr>
                <w:b w:val="0"/>
                <w:i/>
              </w:rPr>
              <w:t>search date</w:t>
            </w:r>
            <w:r>
              <w:rPr>
                <w:b w:val="0"/>
                <w:i/>
              </w:rPr>
              <w:br/>
            </w:r>
            <w:r w:rsidRPr="002F7338">
              <w:rPr>
                <w:b w:val="0"/>
                <w:i/>
              </w:rPr>
              <w:t xml:space="preserve"> </w:t>
            </w:r>
            <w:r w:rsidR="00675E77" w:rsidRPr="002F7338">
              <w:rPr>
                <w:b w:val="0"/>
                <w:i/>
              </w:rPr>
              <w:t>Sep 2013</w:t>
            </w:r>
          </w:p>
        </w:tc>
        <w:tc>
          <w:tcPr>
            <w:tcW w:w="567" w:type="pct"/>
            <w:shd w:val="clear" w:color="auto" w:fill="BFBFBF"/>
            <w:vAlign w:val="bottom"/>
          </w:tcPr>
          <w:p w:rsidR="00675E77" w:rsidRDefault="00675E77" w:rsidP="00675E77">
            <w:pPr>
              <w:pStyle w:val="02TableHEADINGcentred"/>
            </w:pPr>
            <w:r>
              <w:t>Dong (2014)</w:t>
            </w:r>
          </w:p>
          <w:p w:rsidR="00675E77" w:rsidRPr="002F7338" w:rsidRDefault="000A4602" w:rsidP="00675E77">
            <w:pPr>
              <w:pStyle w:val="02TableHEADINGcentred"/>
              <w:rPr>
                <w:b w:val="0"/>
                <w:i/>
              </w:rPr>
            </w:pPr>
            <w:r w:rsidRPr="002F7338">
              <w:rPr>
                <w:b w:val="0"/>
                <w:i/>
              </w:rPr>
              <w:t>search date</w:t>
            </w:r>
            <w:r>
              <w:rPr>
                <w:b w:val="0"/>
                <w:i/>
              </w:rPr>
              <w:br/>
            </w:r>
            <w:r w:rsidRPr="002F7338">
              <w:rPr>
                <w:b w:val="0"/>
                <w:i/>
              </w:rPr>
              <w:t xml:space="preserve"> </w:t>
            </w:r>
            <w:r w:rsidR="00675E77" w:rsidRPr="002F7338">
              <w:rPr>
                <w:b w:val="0"/>
                <w:i/>
              </w:rPr>
              <w:t>Jul 2013</w:t>
            </w:r>
          </w:p>
        </w:tc>
        <w:tc>
          <w:tcPr>
            <w:tcW w:w="545" w:type="pct"/>
            <w:shd w:val="clear" w:color="auto" w:fill="BFBFBF"/>
            <w:vAlign w:val="bottom"/>
          </w:tcPr>
          <w:p w:rsidR="00675E77" w:rsidRDefault="00675E77" w:rsidP="00675E77">
            <w:pPr>
              <w:pStyle w:val="02TableHEADINGcentred"/>
            </w:pPr>
            <w:proofErr w:type="spellStart"/>
            <w:r>
              <w:t>Lok</w:t>
            </w:r>
            <w:r w:rsidR="006A35BA">
              <w:t>e</w:t>
            </w:r>
            <w:proofErr w:type="spellEnd"/>
            <w:r>
              <w:t xml:space="preserve"> (2011)</w:t>
            </w:r>
          </w:p>
          <w:p w:rsidR="00675E77" w:rsidRPr="002F7338" w:rsidRDefault="000A4602" w:rsidP="000A4602">
            <w:pPr>
              <w:pStyle w:val="02TableHEADINGcentred"/>
              <w:rPr>
                <w:b w:val="0"/>
                <w:i/>
              </w:rPr>
            </w:pPr>
            <w:r w:rsidRPr="002F7338">
              <w:rPr>
                <w:b w:val="0"/>
                <w:i/>
              </w:rPr>
              <w:t>search date</w:t>
            </w:r>
            <w:r>
              <w:rPr>
                <w:b w:val="0"/>
                <w:i/>
              </w:rPr>
              <w:br/>
            </w:r>
            <w:r w:rsidR="00675E77" w:rsidRPr="002F7338">
              <w:rPr>
                <w:b w:val="0"/>
                <w:i/>
              </w:rPr>
              <w:t>Apr 2009</w:t>
            </w:r>
          </w:p>
        </w:tc>
      </w:tr>
      <w:tr w:rsidR="00675E77" w:rsidRPr="002F7338" w:rsidTr="00B046F8">
        <w:trPr>
          <w:cantSplit/>
        </w:trPr>
        <w:tc>
          <w:tcPr>
            <w:tcW w:w="1618" w:type="pct"/>
            <w:shd w:val="clear" w:color="auto" w:fill="000000"/>
          </w:tcPr>
          <w:p w:rsidR="00675E77" w:rsidRPr="000D40BF" w:rsidRDefault="00675E77" w:rsidP="00675E77">
            <w:pPr>
              <w:pStyle w:val="04Tablesubheading"/>
            </w:pPr>
            <w:r w:rsidRPr="00805F1D">
              <w:t>FLU</w:t>
            </w:r>
            <w:r>
              <w:t>/</w:t>
            </w:r>
            <w:r>
              <w:rPr>
                <w:rFonts w:ascii="Arial" w:hAnsi="Arial" w:cs="Arial"/>
              </w:rPr>
              <w:t>​</w:t>
            </w:r>
            <w:r w:rsidRPr="00805F1D">
              <w:t>SAL</w:t>
            </w:r>
            <w:r>
              <w:t xml:space="preserve"> (unless otherwise indicated)</w:t>
            </w:r>
          </w:p>
        </w:tc>
        <w:tc>
          <w:tcPr>
            <w:tcW w:w="568" w:type="pct"/>
            <w:shd w:val="clear" w:color="auto" w:fill="000000"/>
          </w:tcPr>
          <w:p w:rsidR="00675E77" w:rsidRPr="002F7338" w:rsidRDefault="00675E77" w:rsidP="00675E77">
            <w:pPr>
              <w:pStyle w:val="04Tablesubheading"/>
              <w:rPr>
                <w:rFonts w:ascii="Wingdings 2" w:hAnsi="Wingdings 2"/>
              </w:rPr>
            </w:pPr>
          </w:p>
        </w:tc>
        <w:tc>
          <w:tcPr>
            <w:tcW w:w="568" w:type="pct"/>
            <w:shd w:val="clear" w:color="auto" w:fill="000000"/>
          </w:tcPr>
          <w:p w:rsidR="00675E77" w:rsidRPr="002F7338" w:rsidRDefault="00675E77" w:rsidP="00675E77">
            <w:pPr>
              <w:pStyle w:val="04Tablesubheading"/>
              <w:rPr>
                <w:rFonts w:ascii="Wingdings 2" w:hAnsi="Wingdings 2"/>
              </w:rPr>
            </w:pPr>
          </w:p>
        </w:tc>
        <w:tc>
          <w:tcPr>
            <w:tcW w:w="556" w:type="pct"/>
            <w:shd w:val="clear" w:color="auto" w:fill="000000"/>
          </w:tcPr>
          <w:p w:rsidR="00675E77" w:rsidRPr="002F7338" w:rsidRDefault="00675E77" w:rsidP="00675E77">
            <w:pPr>
              <w:pStyle w:val="04Tablesubheading"/>
              <w:rPr>
                <w:rFonts w:ascii="Wingdings 2" w:hAnsi="Wingdings 2"/>
              </w:rPr>
            </w:pPr>
          </w:p>
        </w:tc>
        <w:tc>
          <w:tcPr>
            <w:tcW w:w="578" w:type="pct"/>
            <w:shd w:val="clear" w:color="auto" w:fill="000000"/>
          </w:tcPr>
          <w:p w:rsidR="00675E77" w:rsidRPr="002F7338" w:rsidRDefault="00675E77" w:rsidP="00675E77">
            <w:pPr>
              <w:pStyle w:val="04Tablesubheading"/>
              <w:rPr>
                <w:rFonts w:ascii="Wingdings 2" w:hAnsi="Wingdings 2"/>
              </w:rPr>
            </w:pPr>
          </w:p>
        </w:tc>
        <w:tc>
          <w:tcPr>
            <w:tcW w:w="567" w:type="pct"/>
            <w:shd w:val="clear" w:color="auto" w:fill="000000"/>
          </w:tcPr>
          <w:p w:rsidR="00675E77" w:rsidRPr="002F7338" w:rsidRDefault="00675E77" w:rsidP="00675E77">
            <w:pPr>
              <w:pStyle w:val="04Tablesubheading"/>
              <w:rPr>
                <w:rFonts w:ascii="Wingdings 2" w:hAnsi="Wingdings 2"/>
              </w:rPr>
            </w:pPr>
          </w:p>
        </w:tc>
        <w:tc>
          <w:tcPr>
            <w:tcW w:w="545" w:type="pct"/>
            <w:shd w:val="clear" w:color="auto" w:fill="000000"/>
          </w:tcPr>
          <w:p w:rsidR="00675E77" w:rsidRPr="002F7338" w:rsidRDefault="00675E77" w:rsidP="00675E77">
            <w:pPr>
              <w:pStyle w:val="04Tablesubheading"/>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proofErr w:type="spellStart"/>
            <w:r w:rsidRPr="000D40BF">
              <w:t>Dransfield</w:t>
            </w:r>
            <w:proofErr w:type="spellEnd"/>
            <w:r w:rsidRPr="000D40BF">
              <w:t xml:space="preserve"> (2013)</w:t>
            </w:r>
            <w:r w:rsidR="000A4602">
              <w:tab/>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F2F2F2"/>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F2F2F2"/>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proofErr w:type="spellStart"/>
            <w:r w:rsidRPr="000D40BF">
              <w:t>Kerwin</w:t>
            </w:r>
            <w:proofErr w:type="spellEnd"/>
            <w:r w:rsidRPr="000D40BF">
              <w:t xml:space="preserve"> (2013)</w:t>
            </w:r>
            <w:r w:rsidR="000A4602">
              <w:tab/>
              <w:t>24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F2F2F2"/>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F2F2F2"/>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r w:rsidRPr="000D40BF">
              <w:t>Martinez (2013)</w:t>
            </w:r>
            <w:r w:rsidR="000A4602">
              <w:tab/>
              <w:t>24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F2F2F2"/>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F2F2F2"/>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r>
              <w:t xml:space="preserve">Calverley (2010) </w:t>
            </w:r>
            <w:r w:rsidRPr="00FE7D9F">
              <w:rPr>
                <w:b/>
              </w:rPr>
              <w:t>TORCH</w:t>
            </w:r>
            <w:r w:rsidR="000A4602">
              <w:rPr>
                <w:b/>
              </w:rPr>
              <w:tab/>
            </w:r>
            <w:r w:rsidR="000A4602" w:rsidRPr="000A4602">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F2F2F2"/>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proofErr w:type="spellStart"/>
            <w:r w:rsidRPr="000D40BF">
              <w:t>Anzueto</w:t>
            </w:r>
            <w:proofErr w:type="spellEnd"/>
            <w:r w:rsidRPr="000D40BF">
              <w:t xml:space="preserve"> (2009)</w:t>
            </w:r>
            <w:r w:rsidR="000A4602">
              <w:rPr>
                <w:b/>
              </w:rPr>
              <w:tab/>
            </w:r>
            <w:r w:rsidR="000A4602" w:rsidRPr="000A4602">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r w:rsidRPr="000D40BF">
              <w:t>Crim (2009)</w:t>
            </w:r>
            <w:r>
              <w:t xml:space="preserve"> </w:t>
            </w:r>
            <w:r w:rsidRPr="00FE7D9F">
              <w:rPr>
                <w:b/>
              </w:rPr>
              <w:t>TORCH</w:t>
            </w:r>
            <w:r w:rsidR="000A4602">
              <w:rPr>
                <w:b/>
              </w:rPr>
              <w:tab/>
            </w:r>
            <w:r w:rsidR="000A4602">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right"/>
              <w:rPr>
                <w:vertAlign w:val="superscript"/>
              </w:rPr>
            </w:pPr>
          </w:p>
        </w:tc>
        <w:tc>
          <w:tcPr>
            <w:tcW w:w="556" w:type="pct"/>
            <w:shd w:val="clear" w:color="auto" w:fill="auto"/>
            <w:vAlign w:val="bottom"/>
          </w:tcPr>
          <w:p w:rsidR="00675E77" w:rsidRPr="002F7338" w:rsidRDefault="00675E77" w:rsidP="00675E77">
            <w:pPr>
              <w:pStyle w:val="05Tabletext"/>
              <w:jc w:val="right"/>
              <w:rPr>
                <w:vertAlign w:val="superscript"/>
              </w:rPr>
            </w:pPr>
          </w:p>
        </w:tc>
        <w:tc>
          <w:tcPr>
            <w:tcW w:w="578" w:type="pct"/>
            <w:shd w:val="clear" w:color="auto" w:fill="auto"/>
            <w:vAlign w:val="bottom"/>
          </w:tcPr>
          <w:p w:rsidR="00675E77" w:rsidRPr="002F7338" w:rsidRDefault="00675E77" w:rsidP="00675E77">
            <w:pPr>
              <w:pStyle w:val="05Tabletext"/>
              <w:jc w:val="right"/>
              <w:rPr>
                <w:vertAlign w:val="superscript"/>
              </w:rPr>
            </w:pPr>
          </w:p>
        </w:tc>
        <w:tc>
          <w:tcPr>
            <w:tcW w:w="567" w:type="pct"/>
            <w:shd w:val="clear" w:color="auto" w:fill="auto"/>
            <w:vAlign w:val="bottom"/>
          </w:tcPr>
          <w:p w:rsidR="00675E77" w:rsidRPr="002F7338" w:rsidRDefault="00675E77" w:rsidP="00675E77">
            <w:pPr>
              <w:pStyle w:val="05Tabletext"/>
              <w:jc w:val="right"/>
              <w:rPr>
                <w:vertAlign w:val="superscript"/>
              </w:rPr>
            </w:pPr>
          </w:p>
        </w:tc>
        <w:tc>
          <w:tcPr>
            <w:tcW w:w="545" w:type="pct"/>
            <w:shd w:val="clear" w:color="auto" w:fill="auto"/>
            <w:vAlign w:val="bottom"/>
          </w:tcPr>
          <w:p w:rsidR="00675E77" w:rsidRPr="002F7338" w:rsidRDefault="00675E77" w:rsidP="00675E77">
            <w:pPr>
              <w:pStyle w:val="05Tabletext"/>
              <w:jc w:val="right"/>
              <w:rPr>
                <w:vertAlign w:val="superscript"/>
              </w:rPr>
            </w:pP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proofErr w:type="spellStart"/>
            <w:r w:rsidRPr="000A4602">
              <w:t>Lapperre</w:t>
            </w:r>
            <w:proofErr w:type="spellEnd"/>
            <w:r w:rsidRPr="000A4602">
              <w:t xml:space="preserve"> (2009)</w:t>
            </w:r>
            <w:r w:rsidR="000A4602" w:rsidRPr="000A4602">
              <w:tab/>
            </w:r>
            <w:r w:rsidR="006E45EB">
              <w:t>130</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proofErr w:type="spellStart"/>
            <w:r w:rsidRPr="000A4602">
              <w:t>Schermer</w:t>
            </w:r>
            <w:proofErr w:type="spellEnd"/>
            <w:r w:rsidRPr="000A4602">
              <w:t xml:space="preserve"> (2009)</w:t>
            </w:r>
            <w:r w:rsidR="000A4602" w:rsidRPr="000A4602">
              <w:tab/>
            </w:r>
            <w:r w:rsidR="006E45EB">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r w:rsidRPr="000A4602">
              <w:t>Ferguson (2008)</w:t>
            </w:r>
            <w:r w:rsidR="000A4602" w:rsidRPr="000A4602">
              <w:tab/>
            </w:r>
            <w:r w:rsidR="006E45EB">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r w:rsidRPr="000A4602">
              <w:t>SCO104925 (2008)</w:t>
            </w:r>
            <w:r w:rsidR="000A4602" w:rsidRPr="000A4602">
              <w:tab/>
            </w:r>
            <w:r w:rsidR="00B27105">
              <w:t>13</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r w:rsidRPr="000A4602">
              <w:t>SCO40041 (2008)</w:t>
            </w:r>
            <w:r w:rsidR="000A4602" w:rsidRPr="000A4602">
              <w:tab/>
            </w:r>
            <w:r w:rsidR="00B27105">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r w:rsidRPr="000A4602">
              <w:t>Sin (2008)</w:t>
            </w:r>
            <w:r w:rsidR="000A4602" w:rsidRPr="000A4602">
              <w:tab/>
            </w:r>
            <w:r w:rsidR="002A5065">
              <w:t>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A4602" w:rsidRDefault="00675E77" w:rsidP="006E45EB">
            <w:pPr>
              <w:pStyle w:val="05Tabletext"/>
              <w:tabs>
                <w:tab w:val="right" w:pos="2948"/>
              </w:tabs>
            </w:pPr>
            <w:proofErr w:type="spellStart"/>
            <w:r>
              <w:t>Wezdicha</w:t>
            </w:r>
            <w:proofErr w:type="spellEnd"/>
            <w:r>
              <w:t xml:space="preserve"> (2008) </w:t>
            </w:r>
            <w:r w:rsidRPr="00FE7D9F">
              <w:rPr>
                <w:b/>
              </w:rPr>
              <w:t>INSPIRE</w:t>
            </w:r>
            <w:r>
              <w:t xml:space="preserve"> (vs TIO)</w:t>
            </w:r>
            <w:r w:rsidR="000A4602" w:rsidRPr="000A4602">
              <w:tab/>
            </w:r>
            <w:r w:rsidR="006E45EB">
              <w:t>104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p>
        </w:tc>
        <w:tc>
          <w:tcPr>
            <w:tcW w:w="578" w:type="pct"/>
            <w:shd w:val="clear" w:color="auto" w:fill="auto"/>
            <w:vAlign w:val="bottom"/>
          </w:tcPr>
          <w:p w:rsidR="00675E77" w:rsidRPr="002F7338" w:rsidRDefault="00675E77" w:rsidP="00675E77">
            <w:pPr>
              <w:pStyle w:val="05Tabletext"/>
              <w:jc w:val="right"/>
              <w:rPr>
                <w:vertAlign w:val="superscript"/>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r w:rsidRPr="000D40BF">
              <w:t>Aaron (2007)</w:t>
            </w:r>
            <w:r>
              <w:t xml:space="preserve"> (vs TIO)</w:t>
            </w:r>
            <w:r w:rsidR="000A4602">
              <w:rPr>
                <w:b/>
              </w:rPr>
              <w:tab/>
            </w:r>
            <w:r w:rsidR="006E45EB" w:rsidRPr="006E45EB">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right"/>
              <w:rPr>
                <w:vertAlign w:val="superscript"/>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0C0A78">
            <w:pPr>
              <w:pStyle w:val="05Tabletext"/>
              <w:tabs>
                <w:tab w:val="right" w:pos="2948"/>
              </w:tabs>
            </w:pPr>
            <w:proofErr w:type="spellStart"/>
            <w:r w:rsidRPr="000D40BF">
              <w:t>Bourbeau</w:t>
            </w:r>
            <w:proofErr w:type="spellEnd"/>
            <w:r w:rsidRPr="000D40BF">
              <w:t xml:space="preserve"> (2007)</w:t>
            </w:r>
            <w:r w:rsidR="000A4602" w:rsidRPr="000C0A78">
              <w:tab/>
            </w:r>
            <w:r w:rsidR="000C0A78" w:rsidRPr="000C0A78">
              <w:t>13</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r w:rsidRPr="000D40BF">
              <w:t>Calverley (2007)</w:t>
            </w:r>
            <w:r>
              <w:t xml:space="preserve"> </w:t>
            </w:r>
            <w:r w:rsidRPr="00FE7D9F">
              <w:rPr>
                <w:b/>
              </w:rPr>
              <w:t>TORCH</w:t>
            </w:r>
            <w:r w:rsidR="000A4602">
              <w:rPr>
                <w:b/>
              </w:rPr>
              <w:tab/>
            </w:r>
            <w:r w:rsidR="006E45EB" w:rsidRPr="006E45EB">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Choudhury (2007)</w:t>
            </w:r>
            <w:r w:rsidRPr="006E45EB">
              <w:rPr>
                <w:rStyle w:val="FootnoteReference"/>
              </w:rPr>
              <w:t xml:space="preserve"> </w:t>
            </w:r>
            <w:r w:rsidRPr="006E45EB">
              <w:rPr>
                <w:rStyle w:val="FootnoteReference"/>
              </w:rPr>
              <w:footnoteReference w:id="11"/>
            </w:r>
            <w:r w:rsidR="000A4602" w:rsidRPr="006E45EB">
              <w:tab/>
            </w:r>
            <w:r w:rsidR="006E45EB" w:rsidRPr="006E45EB">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Kardos</w:t>
            </w:r>
            <w:proofErr w:type="spellEnd"/>
            <w:r w:rsidRPr="006E45EB">
              <w:t xml:space="preserve"> (2007)</w:t>
            </w:r>
            <w:r w:rsidR="000A4602" w:rsidRPr="006E45EB">
              <w:tab/>
            </w:r>
            <w:r w:rsidR="006E45EB" w:rsidRPr="006E45EB">
              <w:t>44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Zheng (2007)</w:t>
            </w:r>
            <w:r w:rsidR="000A4602" w:rsidRPr="006E45EB">
              <w:tab/>
            </w:r>
            <w:r w:rsidR="006E45EB">
              <w:t>24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Barnes (2006)</w:t>
            </w:r>
            <w:r w:rsidR="000A4602" w:rsidRPr="006E45EB">
              <w:tab/>
            </w:r>
            <w:r w:rsidR="006A0B6E">
              <w:t>13</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SCO100470 (2006)</w:t>
            </w:r>
            <w:r w:rsidR="000A4602" w:rsidRPr="006E45EB">
              <w:tab/>
            </w:r>
            <w:r w:rsidR="00F60D27">
              <w:t>24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O’Donnell (2006)</w:t>
            </w:r>
            <w:r w:rsidR="000A4602" w:rsidRPr="006E45EB">
              <w:tab/>
            </w:r>
            <w:r w:rsidR="000C3AA8">
              <w:t>8</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FLTA 3025 (2005)</w:t>
            </w:r>
            <w:r w:rsidR="000A4602" w:rsidRPr="006E45EB">
              <w:tab/>
            </w:r>
            <w:r w:rsidR="000C3AA8">
              <w:t>24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SCO30002 (2005)</w:t>
            </w:r>
            <w:r w:rsidRPr="006E45EB">
              <w:rPr>
                <w:rStyle w:val="FootnoteReference"/>
              </w:rPr>
              <w:footnoteReference w:id="12"/>
            </w:r>
            <w:r w:rsidR="000A4602" w:rsidRPr="006E45EB">
              <w:tab/>
            </w:r>
            <w:r w:rsidR="006A0B6E">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Wouters</w:t>
            </w:r>
            <w:proofErr w:type="spellEnd"/>
            <w:r w:rsidRPr="006E45EB">
              <w:t xml:space="preserve"> (2005)</w:t>
            </w:r>
            <w:r w:rsidR="000A4602" w:rsidRPr="006E45EB">
              <w:tab/>
            </w:r>
            <w:r w:rsidR="000D06EF">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0D40BF" w:rsidRDefault="00675E77" w:rsidP="006E45EB">
            <w:pPr>
              <w:pStyle w:val="05Tabletext"/>
              <w:tabs>
                <w:tab w:val="right" w:pos="2948"/>
              </w:tabs>
            </w:pPr>
            <w:r w:rsidRPr="000D40BF">
              <w:t>Calverley (2003a)</w:t>
            </w:r>
            <w:r>
              <w:t xml:space="preserve"> </w:t>
            </w:r>
            <w:r w:rsidRPr="00FE7D9F">
              <w:rPr>
                <w:b/>
              </w:rPr>
              <w:t>TRISTAN</w:t>
            </w:r>
            <w:r w:rsidR="000A4602" w:rsidRPr="000C3AA8">
              <w:tab/>
            </w:r>
            <w:r w:rsidR="000C3AA8" w:rsidRPr="000C3AA8">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Dal Negro (2003)</w:t>
            </w:r>
            <w:r w:rsidR="000A4602" w:rsidRPr="006E45EB">
              <w:tab/>
            </w:r>
            <w:r w:rsidR="000C3AA8">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Hanania</w:t>
            </w:r>
            <w:proofErr w:type="spellEnd"/>
            <w:r w:rsidRPr="006E45EB">
              <w:t xml:space="preserve"> (2003)</w:t>
            </w:r>
            <w:r w:rsidR="000A4602" w:rsidRPr="006E45EB">
              <w:tab/>
            </w:r>
            <w:r w:rsidR="000C3AA8">
              <w:t>24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 xml:space="preserve">van </w:t>
            </w:r>
            <w:proofErr w:type="spellStart"/>
            <w:r w:rsidRPr="006E45EB">
              <w:t>Grunsven</w:t>
            </w:r>
            <w:proofErr w:type="spellEnd"/>
            <w:r w:rsidRPr="006E45EB">
              <w:t xml:space="preserve"> (2003)</w:t>
            </w:r>
            <w:r w:rsidRPr="006E45EB">
              <w:rPr>
                <w:rStyle w:val="FootnoteReference"/>
              </w:rPr>
              <w:footnoteReference w:id="13"/>
            </w:r>
            <w:r w:rsidR="000A4602" w:rsidRPr="006E45EB">
              <w:tab/>
            </w:r>
            <w:r w:rsidR="000C3AA8">
              <w:t>104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Hattotuwa</w:t>
            </w:r>
            <w:proofErr w:type="spellEnd"/>
            <w:r w:rsidRPr="006E45EB">
              <w:t xml:space="preserve"> (2002)</w:t>
            </w:r>
            <w:r w:rsidR="000A4602" w:rsidRPr="006E45EB">
              <w:tab/>
            </w:r>
            <w:r w:rsidR="000C3AA8">
              <w:t>13</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Mahler (2002)</w:t>
            </w:r>
            <w:r w:rsidR="000A4602" w:rsidRPr="006E45EB">
              <w:tab/>
            </w:r>
            <w:r w:rsidR="000C3AA8">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 xml:space="preserve">Van der </w:t>
            </w:r>
            <w:proofErr w:type="spellStart"/>
            <w:r w:rsidRPr="006E45EB">
              <w:t>valk</w:t>
            </w:r>
            <w:proofErr w:type="spellEnd"/>
            <w:r w:rsidRPr="006E45EB">
              <w:t xml:space="preserve"> (2002)</w:t>
            </w:r>
            <w:r w:rsidR="000A4602" w:rsidRPr="006E45EB">
              <w:tab/>
            </w:r>
            <w:r w:rsidR="000D06EF">
              <w:t>43</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Verhoeven</w:t>
            </w:r>
            <w:proofErr w:type="spellEnd"/>
            <w:r w:rsidRPr="006E45EB">
              <w:t xml:space="preserve"> (2002)</w:t>
            </w:r>
            <w:r w:rsidR="000A4602" w:rsidRPr="006E45EB">
              <w:tab/>
            </w:r>
            <w:r w:rsidR="000D06EF">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Burge (2000)</w:t>
            </w:r>
            <w:r w:rsidR="000A4602" w:rsidRPr="006E45EB">
              <w:tab/>
            </w:r>
            <w:r w:rsidR="000C3AA8">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Paggiaro</w:t>
            </w:r>
            <w:proofErr w:type="spellEnd"/>
            <w:r w:rsidRPr="006E45EB">
              <w:t xml:space="preserve"> (1998)</w:t>
            </w:r>
            <w:r w:rsidR="000A4602" w:rsidRPr="006E45EB">
              <w:tab/>
            </w:r>
            <w:r w:rsidR="000C3AA8">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2F7338" w:rsidTr="00B046F8">
        <w:trPr>
          <w:cantSplit/>
        </w:trPr>
        <w:tc>
          <w:tcPr>
            <w:tcW w:w="1618" w:type="pct"/>
            <w:shd w:val="clear" w:color="auto" w:fill="000000"/>
          </w:tcPr>
          <w:p w:rsidR="00675E77" w:rsidRPr="000D40BF" w:rsidRDefault="00675E77" w:rsidP="000A4602">
            <w:pPr>
              <w:pStyle w:val="04Tablesubheading"/>
            </w:pPr>
            <w:r>
              <w:t>BUD/</w:t>
            </w:r>
            <w:r>
              <w:rPr>
                <w:rFonts w:ascii="Arial" w:hAnsi="Arial" w:cs="Arial"/>
              </w:rPr>
              <w:t>​</w:t>
            </w:r>
            <w:r>
              <w:t>EFO</w:t>
            </w:r>
          </w:p>
        </w:tc>
        <w:tc>
          <w:tcPr>
            <w:tcW w:w="568" w:type="pct"/>
            <w:shd w:val="clear" w:color="auto" w:fill="000000"/>
          </w:tcPr>
          <w:p w:rsidR="00675E77" w:rsidRPr="002F7338" w:rsidRDefault="00675E77" w:rsidP="00675E77">
            <w:pPr>
              <w:pStyle w:val="04Tablesubheading"/>
              <w:rPr>
                <w:rFonts w:ascii="Wingdings 2" w:hAnsi="Wingdings 2"/>
              </w:rPr>
            </w:pPr>
          </w:p>
        </w:tc>
        <w:tc>
          <w:tcPr>
            <w:tcW w:w="568" w:type="pct"/>
            <w:shd w:val="clear" w:color="auto" w:fill="000000"/>
          </w:tcPr>
          <w:p w:rsidR="00675E77" w:rsidRPr="002F7338" w:rsidRDefault="00675E77" w:rsidP="00675E77">
            <w:pPr>
              <w:pStyle w:val="04Tablesubheading"/>
              <w:rPr>
                <w:rFonts w:ascii="Wingdings 2" w:hAnsi="Wingdings 2"/>
              </w:rPr>
            </w:pPr>
          </w:p>
        </w:tc>
        <w:tc>
          <w:tcPr>
            <w:tcW w:w="556" w:type="pct"/>
            <w:shd w:val="clear" w:color="auto" w:fill="000000"/>
          </w:tcPr>
          <w:p w:rsidR="00675E77" w:rsidRPr="002F7338" w:rsidRDefault="00675E77" w:rsidP="00675E77">
            <w:pPr>
              <w:pStyle w:val="04Tablesubheading"/>
              <w:rPr>
                <w:rFonts w:ascii="Wingdings 2" w:hAnsi="Wingdings 2"/>
              </w:rPr>
            </w:pPr>
          </w:p>
        </w:tc>
        <w:tc>
          <w:tcPr>
            <w:tcW w:w="578" w:type="pct"/>
            <w:shd w:val="clear" w:color="auto" w:fill="000000"/>
          </w:tcPr>
          <w:p w:rsidR="00675E77" w:rsidRPr="002F7338" w:rsidRDefault="00675E77" w:rsidP="00675E77">
            <w:pPr>
              <w:pStyle w:val="04Tablesubheading"/>
              <w:rPr>
                <w:rFonts w:ascii="Wingdings 2" w:hAnsi="Wingdings 2"/>
              </w:rPr>
            </w:pPr>
          </w:p>
        </w:tc>
        <w:tc>
          <w:tcPr>
            <w:tcW w:w="567" w:type="pct"/>
            <w:shd w:val="clear" w:color="auto" w:fill="000000"/>
          </w:tcPr>
          <w:p w:rsidR="00675E77" w:rsidRPr="002F7338" w:rsidRDefault="00675E77" w:rsidP="00675E77">
            <w:pPr>
              <w:pStyle w:val="04Tablesubheading"/>
              <w:rPr>
                <w:rFonts w:ascii="Wingdings 2" w:hAnsi="Wingdings 2"/>
              </w:rPr>
            </w:pPr>
          </w:p>
        </w:tc>
        <w:tc>
          <w:tcPr>
            <w:tcW w:w="545" w:type="pct"/>
            <w:shd w:val="clear" w:color="auto" w:fill="000000"/>
          </w:tcPr>
          <w:p w:rsidR="00675E77" w:rsidRPr="002F7338" w:rsidRDefault="00675E77" w:rsidP="00675E77">
            <w:pPr>
              <w:pStyle w:val="04Tablesubheading"/>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Fukuchi (2013)</w:t>
            </w:r>
            <w:r w:rsidR="000A4602" w:rsidRPr="006E45EB">
              <w:tab/>
            </w:r>
            <w:r w:rsidR="006E45EB">
              <w:t>12</w:t>
            </w:r>
          </w:p>
        </w:tc>
        <w:tc>
          <w:tcPr>
            <w:tcW w:w="568" w:type="pct"/>
            <w:shd w:val="clear" w:color="auto" w:fill="F2F2F2"/>
            <w:vAlign w:val="bottom"/>
          </w:tcPr>
          <w:p w:rsidR="00675E77" w:rsidRPr="002F7338" w:rsidRDefault="00675E77" w:rsidP="00675E77">
            <w:pPr>
              <w:pStyle w:val="05Tabletext"/>
              <w:jc w:val="center"/>
              <w:rPr>
                <w:rFonts w:ascii="Wingdings 2" w:hAnsi="Wingdings 2"/>
              </w:rPr>
            </w:pPr>
          </w:p>
        </w:tc>
        <w:tc>
          <w:tcPr>
            <w:tcW w:w="568" w:type="pct"/>
            <w:shd w:val="clear" w:color="auto" w:fill="F2F2F2"/>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F2F2F2"/>
            <w:vAlign w:val="bottom"/>
          </w:tcPr>
          <w:p w:rsidR="00675E77" w:rsidRPr="002F7338" w:rsidRDefault="00675E77" w:rsidP="00675E77">
            <w:pPr>
              <w:pStyle w:val="05Tabletext"/>
              <w:jc w:val="center"/>
              <w:rPr>
                <w:rFonts w:ascii="Wingdings 2" w:hAnsi="Wingdings 2"/>
              </w:rPr>
            </w:pPr>
          </w:p>
        </w:tc>
        <w:tc>
          <w:tcPr>
            <w:tcW w:w="545" w:type="pct"/>
            <w:shd w:val="clear" w:color="auto" w:fill="F2F2F2"/>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Sharafkhaneh</w:t>
            </w:r>
            <w:proofErr w:type="spellEnd"/>
            <w:r w:rsidRPr="006E45EB">
              <w:t xml:space="preserve"> (2012)</w:t>
            </w:r>
            <w:r w:rsidR="000A4602" w:rsidRPr="006E45EB">
              <w:tab/>
            </w:r>
            <w:r w:rsidR="006E45EB">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F2F2F2"/>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F2F2F2"/>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Rennard</w:t>
            </w:r>
            <w:proofErr w:type="spellEnd"/>
            <w:r w:rsidRPr="006E45EB">
              <w:t xml:space="preserve"> (2009)</w:t>
            </w:r>
            <w:r w:rsidR="000A4602" w:rsidRPr="006E45EB">
              <w:tab/>
            </w:r>
            <w:r w:rsidR="006E45EB">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36687A" w:rsidRDefault="00675E77" w:rsidP="00675E77">
            <w:pPr>
              <w:pStyle w:val="05Tabletext"/>
              <w:jc w:val="center"/>
            </w:pPr>
            <w:proofErr w:type="spellStart"/>
            <w:r w:rsidRPr="0036687A">
              <w:t>nr</w:t>
            </w:r>
            <w:proofErr w:type="spellEnd"/>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t>Shaker (2009)</w:t>
            </w:r>
            <w:r w:rsidR="000A4602" w:rsidRPr="006E45EB">
              <w:tab/>
            </w:r>
            <w:r w:rsidR="002A5065">
              <w:t>104-208</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Tashkin</w:t>
            </w:r>
            <w:proofErr w:type="spellEnd"/>
            <w:r w:rsidRPr="006E45EB">
              <w:t xml:space="preserve"> (2008) </w:t>
            </w:r>
            <w:r w:rsidRPr="006E45EB">
              <w:rPr>
                <w:b/>
              </w:rPr>
              <w:t>SHINE</w:t>
            </w:r>
            <w:r w:rsidR="000A4602" w:rsidRPr="006E45EB">
              <w:tab/>
            </w:r>
            <w:r w:rsidR="006E45EB">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roofErr w:type="spellStart"/>
            <w:r w:rsidRPr="0036687A">
              <w:t>nr</w:t>
            </w:r>
            <w:proofErr w:type="spellEnd"/>
          </w:p>
        </w:tc>
        <w:tc>
          <w:tcPr>
            <w:tcW w:w="545"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Ozol</w:t>
            </w:r>
            <w:proofErr w:type="spellEnd"/>
            <w:r w:rsidRPr="006E45EB">
              <w:t xml:space="preserve"> (2005)</w:t>
            </w:r>
            <w:r w:rsidR="000A4602" w:rsidRPr="006E45EB">
              <w:tab/>
            </w:r>
            <w:r w:rsidR="000C3AA8">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Yildiz</w:t>
            </w:r>
            <w:proofErr w:type="spellEnd"/>
            <w:r w:rsidRPr="006E45EB">
              <w:t xml:space="preserve"> (2004)</w:t>
            </w:r>
            <w:r w:rsidR="000A4602" w:rsidRPr="006E45EB">
              <w:tab/>
            </w:r>
            <w:r w:rsidR="000C3AA8">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r w:rsidRPr="006E45EB">
              <w:lastRenderedPageBreak/>
              <w:t>Calverley (2003b)</w:t>
            </w:r>
            <w:r w:rsidR="000A4602" w:rsidRPr="006E45EB">
              <w:tab/>
            </w:r>
            <w:r w:rsidR="000C3AA8">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roofErr w:type="spellStart"/>
            <w:r w:rsidRPr="0036687A">
              <w:t>nr</w:t>
            </w:r>
            <w:proofErr w:type="spellEnd"/>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Szafranski</w:t>
            </w:r>
            <w:proofErr w:type="spellEnd"/>
            <w:r w:rsidRPr="006E45EB">
              <w:t xml:space="preserve"> (2003)</w:t>
            </w:r>
            <w:r w:rsidR="000A4602" w:rsidRPr="006E45EB">
              <w:tab/>
            </w:r>
            <w:r w:rsidR="000C3AA8">
              <w:t>52</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roofErr w:type="spellStart"/>
            <w:r w:rsidRPr="0036687A">
              <w:t>nr</w:t>
            </w:r>
            <w:proofErr w:type="spellEnd"/>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Laptseva</w:t>
            </w:r>
            <w:proofErr w:type="spellEnd"/>
            <w:r w:rsidRPr="006E45EB">
              <w:t xml:space="preserve"> (2002)</w:t>
            </w:r>
            <w:r w:rsidR="000A4602" w:rsidRPr="006E45EB">
              <w:tab/>
            </w:r>
            <w:r w:rsidR="000C3AA8">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Mirici</w:t>
            </w:r>
            <w:proofErr w:type="spellEnd"/>
            <w:r w:rsidRPr="006E45EB">
              <w:t xml:space="preserve"> (2001)</w:t>
            </w:r>
            <w:r w:rsidR="000A4602" w:rsidRPr="006E45EB">
              <w:tab/>
            </w:r>
            <w:r w:rsidR="000C3AA8">
              <w:t>13</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Pauwels</w:t>
            </w:r>
            <w:proofErr w:type="spellEnd"/>
            <w:r w:rsidRPr="006E45EB">
              <w:t xml:space="preserve"> (1999)</w:t>
            </w:r>
            <w:r w:rsidR="000A4602" w:rsidRPr="006E45EB">
              <w:tab/>
            </w:r>
            <w:r w:rsidR="000C3AA8">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EC4819" w:rsidRDefault="00675E77" w:rsidP="00C60DCE">
            <w:pPr>
              <w:pStyle w:val="05Tabletext"/>
              <w:numPr>
                <w:ilvl w:val="0"/>
                <w:numId w:val="42"/>
              </w:numPr>
              <w:jc w:val="right"/>
            </w:pPr>
            <w:r w:rsidRPr="00EC4819">
              <w:rPr>
                <w:rStyle w:val="FootnoteReference"/>
              </w:rPr>
              <w:footnoteReference w:id="14"/>
            </w: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Senderovitz</w:t>
            </w:r>
            <w:proofErr w:type="spellEnd"/>
            <w:r w:rsidRPr="006E45EB">
              <w:t xml:space="preserve"> (1999)</w:t>
            </w:r>
            <w:r w:rsidR="000A4602" w:rsidRPr="006E45EB">
              <w:tab/>
            </w:r>
            <w:r w:rsidR="000C3AA8">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Vestbo</w:t>
            </w:r>
            <w:proofErr w:type="spellEnd"/>
            <w:r w:rsidRPr="006E45EB">
              <w:t xml:space="preserve"> (1999)</w:t>
            </w:r>
            <w:r w:rsidR="000A4602" w:rsidRPr="006E45EB">
              <w:tab/>
            </w:r>
            <w:r w:rsidR="000C3AA8">
              <w:t>156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Bourbeau</w:t>
            </w:r>
            <w:proofErr w:type="spellEnd"/>
            <w:r w:rsidRPr="006E45EB">
              <w:t xml:space="preserve"> (1998)</w:t>
            </w:r>
            <w:r w:rsidR="000A4602" w:rsidRPr="006E45EB">
              <w:tab/>
            </w:r>
            <w:r w:rsidR="000D06EF">
              <w:t>26</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r w:rsidR="00675E77" w:rsidRPr="000D40BF" w:rsidTr="00B046F8">
        <w:trPr>
          <w:cantSplit/>
        </w:trPr>
        <w:tc>
          <w:tcPr>
            <w:tcW w:w="1618" w:type="pct"/>
            <w:shd w:val="clear" w:color="auto" w:fill="auto"/>
          </w:tcPr>
          <w:p w:rsidR="00675E77" w:rsidRPr="006E45EB" w:rsidRDefault="00675E77" w:rsidP="006E45EB">
            <w:pPr>
              <w:pStyle w:val="05Tabletext"/>
              <w:tabs>
                <w:tab w:val="right" w:pos="2948"/>
              </w:tabs>
            </w:pPr>
            <w:proofErr w:type="spellStart"/>
            <w:r w:rsidRPr="006E45EB">
              <w:t>Renkema</w:t>
            </w:r>
            <w:proofErr w:type="spellEnd"/>
            <w:r w:rsidRPr="006E45EB">
              <w:t xml:space="preserve"> (1996)</w:t>
            </w:r>
            <w:r w:rsidR="000A4602" w:rsidRPr="006E45EB">
              <w:tab/>
            </w:r>
            <w:r w:rsidR="000D06EF">
              <w:t>104</w:t>
            </w: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68" w:type="pct"/>
            <w:shd w:val="clear" w:color="auto" w:fill="auto"/>
            <w:vAlign w:val="bottom"/>
          </w:tcPr>
          <w:p w:rsidR="00675E77" w:rsidRPr="002F7338" w:rsidRDefault="00675E77" w:rsidP="00675E77">
            <w:pPr>
              <w:pStyle w:val="05Tabletext"/>
              <w:jc w:val="center"/>
              <w:rPr>
                <w:rFonts w:ascii="Wingdings 2" w:hAnsi="Wingdings 2"/>
              </w:rPr>
            </w:pPr>
          </w:p>
        </w:tc>
        <w:tc>
          <w:tcPr>
            <w:tcW w:w="556"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78" w:type="pct"/>
            <w:shd w:val="clear" w:color="auto" w:fill="auto"/>
            <w:vAlign w:val="bottom"/>
          </w:tcPr>
          <w:p w:rsidR="00675E77" w:rsidRPr="002F7338" w:rsidRDefault="00675E77" w:rsidP="00675E77">
            <w:pPr>
              <w:pStyle w:val="05Tabletext"/>
              <w:jc w:val="center"/>
              <w:rPr>
                <w:rFonts w:ascii="Wingdings 2" w:hAnsi="Wingdings 2"/>
              </w:rPr>
            </w:pPr>
            <w:r w:rsidRPr="002F7338">
              <w:rPr>
                <w:rFonts w:ascii="Wingdings 2" w:hAnsi="Wingdings 2"/>
              </w:rPr>
              <w:t></w:t>
            </w:r>
          </w:p>
        </w:tc>
        <w:tc>
          <w:tcPr>
            <w:tcW w:w="567" w:type="pct"/>
            <w:shd w:val="clear" w:color="auto" w:fill="auto"/>
            <w:vAlign w:val="bottom"/>
          </w:tcPr>
          <w:p w:rsidR="00675E77" w:rsidRPr="002F7338" w:rsidRDefault="00675E77" w:rsidP="00675E77">
            <w:pPr>
              <w:pStyle w:val="05Tabletext"/>
              <w:jc w:val="center"/>
              <w:rPr>
                <w:rFonts w:ascii="Wingdings 2" w:hAnsi="Wingdings 2"/>
              </w:rPr>
            </w:pPr>
          </w:p>
        </w:tc>
        <w:tc>
          <w:tcPr>
            <w:tcW w:w="545" w:type="pct"/>
            <w:shd w:val="clear" w:color="auto" w:fill="auto"/>
            <w:vAlign w:val="bottom"/>
          </w:tcPr>
          <w:p w:rsidR="00675E77" w:rsidRPr="002F7338" w:rsidRDefault="00675E77" w:rsidP="00675E77">
            <w:pPr>
              <w:pStyle w:val="05Tabletext"/>
              <w:jc w:val="center"/>
              <w:rPr>
                <w:rFonts w:ascii="Wingdings 2" w:hAnsi="Wingdings 2"/>
              </w:rPr>
            </w:pPr>
          </w:p>
        </w:tc>
      </w:tr>
    </w:tbl>
    <w:p w:rsidR="00675E77" w:rsidRDefault="00675E77" w:rsidP="00331D1A">
      <w:pPr>
        <w:pStyle w:val="11TableorFigurefootnotenostick"/>
      </w:pPr>
      <w:r>
        <w:t xml:space="preserve">Abbreviations: AE, adverse event; MTC, mixed treatment comparison; </w:t>
      </w:r>
      <w:proofErr w:type="spellStart"/>
      <w:r>
        <w:t>nr</w:t>
      </w:r>
      <w:proofErr w:type="spellEnd"/>
      <w:r>
        <w:t>, study identified but no data for meta-analyses reported; RCT, randomised controlled trial; TB, tuberculosi</w:t>
      </w:r>
      <w:r w:rsidR="00331D1A">
        <w:t>s.</w:t>
      </w:r>
    </w:p>
    <w:p w:rsidR="00675E77" w:rsidRDefault="00675E77" w:rsidP="00675E77">
      <w:pPr>
        <w:pStyle w:val="Heading4"/>
      </w:pPr>
      <w:r>
        <w:t xml:space="preserve">Reviews of </w:t>
      </w:r>
      <w:r w:rsidR="00CB590C">
        <w:t>multiple</w:t>
      </w:r>
      <w:r>
        <w:t xml:space="preserve"> adverse events</w:t>
      </w:r>
    </w:p>
    <w:p w:rsidR="00675E77" w:rsidRPr="00925308" w:rsidRDefault="00675E77" w:rsidP="00675E77">
      <w:pPr>
        <w:pStyle w:val="Heading5"/>
      </w:pPr>
      <w:proofErr w:type="spellStart"/>
      <w:r>
        <w:t>Nannini</w:t>
      </w:r>
      <w:proofErr w:type="spellEnd"/>
      <w:r>
        <w:t xml:space="preserve"> (2013) and </w:t>
      </w:r>
      <w:proofErr w:type="spellStart"/>
      <w:r>
        <w:t>Nannini</w:t>
      </w:r>
      <w:proofErr w:type="spellEnd"/>
      <w:r>
        <w:t xml:space="preserve"> (2012)</w:t>
      </w:r>
    </w:p>
    <w:p w:rsidR="00675E77" w:rsidRDefault="00675E77" w:rsidP="00675E77">
      <w:pPr>
        <w:pStyle w:val="Heading6"/>
      </w:pPr>
      <w:r>
        <w:t>Design</w:t>
      </w:r>
    </w:p>
    <w:p w:rsidR="00675E77" w:rsidRDefault="00675E77" w:rsidP="00675E77">
      <w:pPr>
        <w:pStyle w:val="BodyTextnospacebefore"/>
        <w:keepNext/>
      </w:pPr>
      <w:r>
        <w:t xml:space="preserve">These two Cochrane Reviews reported a similar array of </w:t>
      </w:r>
      <w:r w:rsidR="006A35BA">
        <w:t>AE</w:t>
      </w:r>
      <w:r>
        <w:t>s for different comparators</w:t>
      </w:r>
      <w:r w:rsidR="00222782">
        <w:t xml:space="preserve"> to ICS/LABA</w:t>
      </w:r>
      <w:r>
        <w:t xml:space="preserve">: </w:t>
      </w:r>
    </w:p>
    <w:p w:rsidR="00675E77" w:rsidRDefault="00675E77" w:rsidP="00675E77">
      <w:pPr>
        <w:pStyle w:val="Bullettext"/>
        <w:keepNext/>
      </w:pPr>
      <w:r>
        <w:t>the same LABA alone (</w:t>
      </w:r>
      <w:proofErr w:type="spellStart"/>
      <w:r>
        <w:t>Nannini</w:t>
      </w:r>
      <w:proofErr w:type="spellEnd"/>
      <w:r>
        <w:t>, 2012); or</w:t>
      </w:r>
    </w:p>
    <w:p w:rsidR="00675E77" w:rsidRDefault="00675E77" w:rsidP="00675E77">
      <w:pPr>
        <w:pStyle w:val="Bullettext"/>
      </w:pPr>
      <w:proofErr w:type="gramStart"/>
      <w:r>
        <w:t>placebo</w:t>
      </w:r>
      <w:proofErr w:type="gramEnd"/>
      <w:r>
        <w:t xml:space="preserve"> (</w:t>
      </w:r>
      <w:proofErr w:type="spellStart"/>
      <w:r>
        <w:t>Nannini</w:t>
      </w:r>
      <w:proofErr w:type="spellEnd"/>
      <w:r>
        <w:t>, 2013).</w:t>
      </w:r>
    </w:p>
    <w:p w:rsidR="00675E77" w:rsidRDefault="00675E77" w:rsidP="00675E77">
      <w:pPr>
        <w:pStyle w:val="BodyText"/>
      </w:pPr>
      <w:proofErr w:type="spellStart"/>
      <w:r>
        <w:t>Nannini</w:t>
      </w:r>
      <w:proofErr w:type="spellEnd"/>
      <w:r>
        <w:t xml:space="preserve"> (2013) also included studies of </w:t>
      </w:r>
      <w:proofErr w:type="spellStart"/>
      <w:r>
        <w:t>mometasone</w:t>
      </w:r>
      <w:proofErr w:type="spellEnd"/>
      <w:r>
        <w:t>/‌</w:t>
      </w:r>
      <w:proofErr w:type="spellStart"/>
      <w:r>
        <w:t>eformoterol</w:t>
      </w:r>
      <w:proofErr w:type="spellEnd"/>
      <w:r>
        <w:t>, which are not reported here.</w:t>
      </w:r>
    </w:p>
    <w:p w:rsidR="00015854" w:rsidRDefault="00675E77" w:rsidP="00D90FDB">
      <w:pPr>
        <w:pStyle w:val="BodyText"/>
      </w:pPr>
      <w:r>
        <w:t>Study inclusion and exclusion criteria were similar for these reviews (</w:t>
      </w:r>
      <w:r w:rsidR="00356377">
        <w:t xml:space="preserve">Table </w:t>
      </w:r>
      <w:r w:rsidR="00356377">
        <w:rPr>
          <w:noProof/>
        </w:rPr>
        <w:t>4</w:t>
      </w:r>
      <w:r w:rsidR="00356377">
        <w:t>.</w:t>
      </w:r>
      <w:r w:rsidR="00356377">
        <w:rPr>
          <w:noProof/>
        </w:rPr>
        <w:t>6</w:t>
      </w:r>
      <w:r>
        <w:t xml:space="preserve">). While no restriction to parallel design is specified in </w:t>
      </w:r>
      <w:proofErr w:type="spellStart"/>
      <w:r>
        <w:t>Nannini</w:t>
      </w:r>
      <w:proofErr w:type="spellEnd"/>
      <w:r>
        <w:t xml:space="preserve"> (2012), all included trials were of parallel design. For both reviews, the doses used in the studies are the same as those listed on the PBS for COPD.</w:t>
      </w:r>
      <w:r>
        <w:rPr>
          <w:rStyle w:val="FootnoteReference"/>
        </w:rPr>
        <w:footnoteReference w:id="15"/>
      </w:r>
      <w:r>
        <w:t xml:space="preserve"> </w:t>
      </w:r>
    </w:p>
    <w:p w:rsidR="00015854" w:rsidRPr="00015854" w:rsidRDefault="00015854" w:rsidP="00015854">
      <w:pPr>
        <w:pStyle w:val="BodyText"/>
      </w:pPr>
      <w:r w:rsidRPr="00567AFC">
        <w:rPr>
          <w:b/>
        </w:rPr>
        <w:t>Findings</w:t>
      </w:r>
    </w:p>
    <w:p w:rsidR="00015854" w:rsidRDefault="00015854" w:rsidP="00015854">
      <w:pPr>
        <w:pStyle w:val="BodyTextnospacebefore"/>
      </w:pPr>
      <w:r>
        <w:t xml:space="preserve">Across all fluticasone studies, pneumonia, candidiasis and upper respiratory tract infection were significantly more frequent with combination therapy compared to either salmeterol or placebo (Table </w:t>
      </w:r>
      <w:r>
        <w:rPr>
          <w:noProof/>
        </w:rPr>
        <w:t>4</w:t>
      </w:r>
      <w:r>
        <w:t>.</w:t>
      </w:r>
      <w:r>
        <w:rPr>
          <w:noProof/>
        </w:rPr>
        <w:t>7</w:t>
      </w:r>
      <w:r>
        <w:t>). Improved mortality with combination therapy was evident in the placebo comparison, but not when compared with monotherapy.</w:t>
      </w:r>
    </w:p>
    <w:p w:rsidR="00015854" w:rsidRPr="009C60A7" w:rsidRDefault="00015854" w:rsidP="00015854">
      <w:pPr>
        <w:pStyle w:val="BodyText"/>
      </w:pPr>
      <w:r>
        <w:t>In a subgroup analysis of three studies using lower dose fluticasone</w:t>
      </w:r>
      <w:r>
        <w:rPr>
          <w:rFonts w:hint="eastAsia"/>
        </w:rPr>
        <w:t xml:space="preserve"> propionate/salmeterol</w:t>
      </w:r>
      <w:r>
        <w:t xml:space="preserve"> (250/50 </w:t>
      </w:r>
      <w:proofErr w:type="spellStart"/>
      <w:r>
        <w:t>μg</w:t>
      </w:r>
      <w:proofErr w:type="spellEnd"/>
      <w:r>
        <w:t xml:space="preserve">), significance was not lost for </w:t>
      </w:r>
      <w:r w:rsidR="008C679F">
        <w:t xml:space="preserve">risk of </w:t>
      </w:r>
      <w:r>
        <w:t xml:space="preserve">pneumonia, suggesting this effect is not dose-dependent. Forest plots are shown for </w:t>
      </w:r>
      <w:r w:rsidR="008C679F">
        <w:t xml:space="preserve">risk of </w:t>
      </w:r>
      <w:r>
        <w:t xml:space="preserve">pneumonia only: for the monotherapy comparison, pooling all studies (Figure </w:t>
      </w:r>
      <w:r>
        <w:rPr>
          <w:noProof/>
        </w:rPr>
        <w:t>4</w:t>
      </w:r>
      <w:r>
        <w:t>.</w:t>
      </w:r>
      <w:r>
        <w:rPr>
          <w:noProof/>
        </w:rPr>
        <w:t>2</w:t>
      </w:r>
      <w:r>
        <w:t>)</w:t>
      </w:r>
      <w:r w:rsidR="006A35BA">
        <w:t>,</w:t>
      </w:r>
      <w:r>
        <w:t xml:space="preserve"> and for the dose subgroup analysis (Figure </w:t>
      </w:r>
      <w:r>
        <w:rPr>
          <w:noProof/>
        </w:rPr>
        <w:t>4</w:t>
      </w:r>
      <w:r>
        <w:t>.</w:t>
      </w:r>
      <w:r>
        <w:rPr>
          <w:noProof/>
        </w:rPr>
        <w:t>3</w:t>
      </w:r>
      <w:r>
        <w:t xml:space="preserve">). A forest plot for the placebo comparison is shown in Figure </w:t>
      </w:r>
      <w:r>
        <w:rPr>
          <w:noProof/>
        </w:rPr>
        <w:t>4</w:t>
      </w:r>
      <w:r>
        <w:t>.</w:t>
      </w:r>
      <w:r>
        <w:rPr>
          <w:noProof/>
        </w:rPr>
        <w:t>4</w:t>
      </w:r>
      <w:r>
        <w:t>.</w:t>
      </w:r>
    </w:p>
    <w:p w:rsidR="00675E77" w:rsidRPr="00556562" w:rsidRDefault="00675E77" w:rsidP="00D52262">
      <w:pPr>
        <w:pStyle w:val="HeaderTable"/>
      </w:pPr>
      <w:bookmarkStart w:id="60" w:name="_Ref467179805"/>
      <w:bookmarkStart w:id="61" w:name="_Toc468022884"/>
      <w:bookmarkStart w:id="62" w:name="_Toc468034537"/>
      <w:bookmarkStart w:id="63" w:name="_Toc480373301"/>
      <w:bookmarkStart w:id="64" w:name="_Toc486515196"/>
      <w:r>
        <w:lastRenderedPageBreak/>
        <w:t xml:space="preserve">Table </w:t>
      </w:r>
      <w:r w:rsidR="00356377">
        <w:rPr>
          <w:noProof/>
        </w:rPr>
        <w:t>4</w:t>
      </w:r>
      <w:r>
        <w:t>.</w:t>
      </w:r>
      <w:r w:rsidR="00356377">
        <w:rPr>
          <w:noProof/>
        </w:rPr>
        <w:t>6</w:t>
      </w:r>
      <w:bookmarkEnd w:id="60"/>
      <w:r>
        <w:tab/>
        <w:t xml:space="preserve">Inclusion and exclusion criteria for </w:t>
      </w:r>
      <w:proofErr w:type="spellStart"/>
      <w:r>
        <w:t>Nannini</w:t>
      </w:r>
      <w:proofErr w:type="spellEnd"/>
      <w:r>
        <w:t xml:space="preserve"> 2012 and 2013</w:t>
      </w:r>
      <w:bookmarkEnd w:id="61"/>
      <w:bookmarkEnd w:id="62"/>
      <w:bookmarkEnd w:id="63"/>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Inclusion and exclusion criteria for Nannini 2012 and 2013"/>
      </w:tblPr>
      <w:tblGrid>
        <w:gridCol w:w="1706"/>
        <w:gridCol w:w="3971"/>
        <w:gridCol w:w="3971"/>
      </w:tblGrid>
      <w:tr w:rsidR="00675E77" w:rsidRPr="000662F1" w:rsidTr="00675E77">
        <w:trPr>
          <w:cantSplit/>
          <w:tblHeader/>
        </w:trPr>
        <w:tc>
          <w:tcPr>
            <w:tcW w:w="884" w:type="pct"/>
            <w:shd w:val="clear" w:color="auto" w:fill="BFBFBF"/>
          </w:tcPr>
          <w:p w:rsidR="00675E77" w:rsidRDefault="00675E77" w:rsidP="00675E77">
            <w:pPr>
              <w:pStyle w:val="01TableHEADINGleftaligned"/>
            </w:pPr>
            <w:r>
              <w:t>Ref ID</w:t>
            </w:r>
          </w:p>
        </w:tc>
        <w:tc>
          <w:tcPr>
            <w:tcW w:w="2058" w:type="pct"/>
            <w:shd w:val="clear" w:color="auto" w:fill="BFBFBF"/>
          </w:tcPr>
          <w:p w:rsidR="00675E77" w:rsidRDefault="00675E77" w:rsidP="00675E77">
            <w:pPr>
              <w:pStyle w:val="01TableHEADINGleftaligned"/>
            </w:pPr>
            <w:proofErr w:type="spellStart"/>
            <w:r>
              <w:t>Nannini</w:t>
            </w:r>
            <w:proofErr w:type="spellEnd"/>
            <w:r>
              <w:t xml:space="preserve"> (2013)</w:t>
            </w:r>
          </w:p>
        </w:tc>
        <w:tc>
          <w:tcPr>
            <w:tcW w:w="2058" w:type="pct"/>
            <w:shd w:val="clear" w:color="auto" w:fill="BFBFBF"/>
          </w:tcPr>
          <w:p w:rsidR="00675E77" w:rsidRDefault="00675E77" w:rsidP="00675E77">
            <w:pPr>
              <w:pStyle w:val="01TableHEADINGleftaligned"/>
            </w:pPr>
            <w:proofErr w:type="spellStart"/>
            <w:r>
              <w:t>Nannini</w:t>
            </w:r>
            <w:proofErr w:type="spellEnd"/>
            <w:r>
              <w:t xml:space="preserve"> (2012)</w:t>
            </w:r>
          </w:p>
        </w:tc>
      </w:tr>
      <w:tr w:rsidR="00675E77" w:rsidRPr="000662F1" w:rsidTr="00675E77">
        <w:trPr>
          <w:cantSplit/>
        </w:trPr>
        <w:tc>
          <w:tcPr>
            <w:tcW w:w="884" w:type="pct"/>
            <w:shd w:val="clear" w:color="auto" w:fill="auto"/>
          </w:tcPr>
          <w:p w:rsidR="00675E77" w:rsidRPr="000662F1" w:rsidRDefault="00675E77" w:rsidP="00675E77">
            <w:pPr>
              <w:pStyle w:val="05Tabletext"/>
              <w:rPr>
                <w:b/>
              </w:rPr>
            </w:pPr>
            <w:r w:rsidRPr="000662F1">
              <w:rPr>
                <w:b/>
              </w:rPr>
              <w:t>Inclusion criteria</w:t>
            </w:r>
          </w:p>
        </w:tc>
        <w:tc>
          <w:tcPr>
            <w:tcW w:w="2058" w:type="pct"/>
            <w:shd w:val="clear" w:color="auto" w:fill="auto"/>
          </w:tcPr>
          <w:p w:rsidR="00675E77" w:rsidRPr="000662F1" w:rsidRDefault="00675E77" w:rsidP="00675E77">
            <w:pPr>
              <w:pStyle w:val="05Tabletext"/>
              <w:rPr>
                <w:u w:val="single"/>
              </w:rPr>
            </w:pPr>
            <w:r w:rsidRPr="000662F1">
              <w:rPr>
                <w:u w:val="single"/>
              </w:rPr>
              <w:t>Study design:</w:t>
            </w:r>
          </w:p>
          <w:p w:rsidR="00675E77" w:rsidRDefault="00675E77" w:rsidP="00675E77">
            <w:pPr>
              <w:pStyle w:val="07Tablebullet"/>
            </w:pPr>
            <w:r>
              <w:t>RCTs of parallel design</w:t>
            </w:r>
          </w:p>
          <w:p w:rsidR="00675E77" w:rsidRDefault="00675E77" w:rsidP="00675E77">
            <w:pPr>
              <w:pStyle w:val="07Tablebullet"/>
            </w:pPr>
            <w:r>
              <w:t>at least 4-weeks duration</w:t>
            </w:r>
          </w:p>
          <w:p w:rsidR="00675E77" w:rsidRPr="0029701D" w:rsidRDefault="00675E77" w:rsidP="00675E77">
            <w:pPr>
              <w:pStyle w:val="06Tabletextspacebefore"/>
              <w:rPr>
                <w:u w:val="single"/>
              </w:rPr>
            </w:pPr>
            <w:r w:rsidRPr="0029701D">
              <w:rPr>
                <w:u w:val="single"/>
              </w:rPr>
              <w:t>Interventions:</w:t>
            </w:r>
          </w:p>
          <w:p w:rsidR="00675E77" w:rsidRPr="00E67A95" w:rsidRDefault="00675E77" w:rsidP="00675E77">
            <w:pPr>
              <w:pStyle w:val="07Tablebullet"/>
            </w:pPr>
            <w:r>
              <w:t>FLU/SAL or BUD/EFO (or MOM/EFO) versus placebo</w:t>
            </w:r>
          </w:p>
          <w:p w:rsidR="00675E77" w:rsidRPr="000662F1" w:rsidRDefault="00675E77" w:rsidP="00675E77">
            <w:pPr>
              <w:pStyle w:val="06Tabletextspacebefore"/>
              <w:rPr>
                <w:u w:val="single"/>
              </w:rPr>
            </w:pPr>
            <w:r w:rsidRPr="000662F1">
              <w:rPr>
                <w:u w:val="single"/>
              </w:rPr>
              <w:t>Patients:</w:t>
            </w:r>
          </w:p>
          <w:p w:rsidR="00675E77" w:rsidRDefault="00675E77" w:rsidP="00675E77">
            <w:pPr>
              <w:pStyle w:val="07Tablebullet"/>
            </w:pPr>
            <w:r>
              <w:t>over 40 years of age</w:t>
            </w:r>
          </w:p>
          <w:p w:rsidR="00675E77" w:rsidRPr="00E67A95" w:rsidRDefault="00675E77" w:rsidP="00675E77">
            <w:pPr>
              <w:pStyle w:val="07Tablebullet"/>
            </w:pPr>
            <w:r>
              <w:t>no exacerbation in prior month</w:t>
            </w:r>
          </w:p>
        </w:tc>
        <w:tc>
          <w:tcPr>
            <w:tcW w:w="2058" w:type="pct"/>
            <w:shd w:val="clear" w:color="auto" w:fill="auto"/>
          </w:tcPr>
          <w:p w:rsidR="00675E77" w:rsidRPr="000662F1" w:rsidRDefault="00675E77" w:rsidP="00675E77">
            <w:pPr>
              <w:pStyle w:val="05Tabletext"/>
              <w:rPr>
                <w:u w:val="single"/>
              </w:rPr>
            </w:pPr>
            <w:r w:rsidRPr="000662F1">
              <w:rPr>
                <w:u w:val="single"/>
              </w:rPr>
              <w:t>Study design:</w:t>
            </w:r>
          </w:p>
          <w:p w:rsidR="00675E77" w:rsidRDefault="00675E77" w:rsidP="00675E77">
            <w:pPr>
              <w:pStyle w:val="07Tablebullet"/>
            </w:pPr>
            <w:r>
              <w:t>RCTs (no duration restrictions)</w:t>
            </w:r>
          </w:p>
          <w:p w:rsidR="00675E77" w:rsidRPr="0029701D" w:rsidRDefault="00675E77" w:rsidP="00675E77">
            <w:pPr>
              <w:pStyle w:val="06Tabletextspacebefore"/>
              <w:rPr>
                <w:u w:val="single"/>
              </w:rPr>
            </w:pPr>
            <w:r w:rsidRPr="0029701D">
              <w:rPr>
                <w:u w:val="single"/>
              </w:rPr>
              <w:t>Interventions:</w:t>
            </w:r>
          </w:p>
          <w:p w:rsidR="00675E77" w:rsidRDefault="00675E77" w:rsidP="00675E77">
            <w:pPr>
              <w:pStyle w:val="07Tablebullet"/>
            </w:pPr>
            <w:r>
              <w:t>FLU/SAL versus SAL or BUD/EFO vs EFO</w:t>
            </w:r>
          </w:p>
          <w:p w:rsidR="00675E77" w:rsidRPr="000662F1" w:rsidRDefault="00675E77" w:rsidP="00675E77">
            <w:pPr>
              <w:pStyle w:val="06Tabletextspacebefore"/>
              <w:rPr>
                <w:u w:val="single"/>
              </w:rPr>
            </w:pPr>
            <w:r w:rsidRPr="000662F1">
              <w:rPr>
                <w:u w:val="single"/>
              </w:rPr>
              <w:t>Patients:</w:t>
            </w:r>
          </w:p>
          <w:p w:rsidR="00675E77" w:rsidRDefault="00675E77" w:rsidP="00675E77">
            <w:pPr>
              <w:pStyle w:val="07Tablebullet"/>
            </w:pPr>
            <w:r>
              <w:t>over 40 years of age</w:t>
            </w:r>
          </w:p>
          <w:p w:rsidR="00675E77" w:rsidRPr="00E67A95" w:rsidRDefault="00675E77" w:rsidP="00675E77">
            <w:pPr>
              <w:pStyle w:val="07Tablebullet"/>
            </w:pPr>
            <w:r>
              <w:t>no exacerbation in prior month</w:t>
            </w:r>
          </w:p>
        </w:tc>
      </w:tr>
      <w:tr w:rsidR="00675E77" w:rsidRPr="000662F1" w:rsidTr="00675E77">
        <w:trPr>
          <w:cantSplit/>
        </w:trPr>
        <w:tc>
          <w:tcPr>
            <w:tcW w:w="884" w:type="pct"/>
            <w:shd w:val="clear" w:color="auto" w:fill="auto"/>
          </w:tcPr>
          <w:p w:rsidR="00675E77" w:rsidRPr="000662F1" w:rsidRDefault="00675E77" w:rsidP="00675E77">
            <w:pPr>
              <w:pStyle w:val="05Tabletext"/>
              <w:rPr>
                <w:b/>
              </w:rPr>
            </w:pPr>
            <w:r w:rsidRPr="000662F1">
              <w:rPr>
                <w:b/>
              </w:rPr>
              <w:t>Exclusion criteria</w:t>
            </w:r>
          </w:p>
        </w:tc>
        <w:tc>
          <w:tcPr>
            <w:tcW w:w="2058" w:type="pct"/>
            <w:shd w:val="clear" w:color="auto" w:fill="auto"/>
          </w:tcPr>
          <w:p w:rsidR="00675E77" w:rsidRDefault="00675E77" w:rsidP="00675E77">
            <w:pPr>
              <w:pStyle w:val="05Tabletext"/>
            </w:pPr>
            <w:r>
              <w:t xml:space="preserve">Any of the following: asthma, cystic fibrosis, bronchiectasis, thoracic surgery, other lung diseases (although partial reversibility </w:t>
            </w:r>
            <w:r w:rsidRPr="000662F1">
              <w:t>on pulmonary function testing</w:t>
            </w:r>
            <w:r>
              <w:t xml:space="preserve"> allowed).</w:t>
            </w:r>
          </w:p>
        </w:tc>
        <w:tc>
          <w:tcPr>
            <w:tcW w:w="2058" w:type="pct"/>
            <w:shd w:val="clear" w:color="auto" w:fill="auto"/>
          </w:tcPr>
          <w:p w:rsidR="00675E77" w:rsidRDefault="00675E77" w:rsidP="00675E77">
            <w:pPr>
              <w:pStyle w:val="05Tabletext"/>
            </w:pPr>
            <w:r>
              <w:t xml:space="preserve">Any of the following: asthma, cystic fibrosis, bronchiectasis, thoracic surgery, other lung diseases (although partial reversibility </w:t>
            </w:r>
            <w:r w:rsidRPr="000662F1">
              <w:t>on pulmonary function testing</w:t>
            </w:r>
            <w:r>
              <w:t xml:space="preserve"> allowed).</w:t>
            </w:r>
          </w:p>
        </w:tc>
      </w:tr>
    </w:tbl>
    <w:p w:rsidR="00675E77" w:rsidRDefault="00675E77" w:rsidP="00675E77">
      <w:pPr>
        <w:pStyle w:val="11TableorFigurefootnotenostick"/>
      </w:pPr>
      <w:r>
        <w:t xml:space="preserve">Abbreviations: BUD, budesonide; EFO, </w:t>
      </w:r>
      <w:proofErr w:type="spellStart"/>
      <w:r>
        <w:t>eformoterol</w:t>
      </w:r>
      <w:proofErr w:type="spellEnd"/>
      <w:r>
        <w:t xml:space="preserve">; FLU, fluticasone; MOM, </w:t>
      </w:r>
      <w:proofErr w:type="spellStart"/>
      <w:r>
        <w:t>mometasone</w:t>
      </w:r>
      <w:proofErr w:type="spellEnd"/>
      <w:r>
        <w:t>; RCT, randomised controlled trial; SAL, salmeterol</w:t>
      </w:r>
      <w:r w:rsidR="000825E8">
        <w:t>; FLU/SAL, fluticasone propionate/salmeterol; FLU/VIL,</w:t>
      </w:r>
      <w:r w:rsidR="006074DB">
        <w:t xml:space="preserve"> fluticasone </w:t>
      </w:r>
      <w:proofErr w:type="spellStart"/>
      <w:r w:rsidR="006074DB">
        <w:t>furoate</w:t>
      </w:r>
      <w:proofErr w:type="spellEnd"/>
      <w:r w:rsidR="006074DB">
        <w:t>/</w:t>
      </w:r>
      <w:proofErr w:type="spellStart"/>
      <w:r w:rsidR="006074DB">
        <w:t>vilanterol</w:t>
      </w:r>
      <w:proofErr w:type="spellEnd"/>
      <w:r w:rsidR="006074DB">
        <w:t>.</w:t>
      </w:r>
    </w:p>
    <w:p w:rsidR="00675E77" w:rsidRPr="0024328B" w:rsidRDefault="00675E77" w:rsidP="00D52262">
      <w:pPr>
        <w:pStyle w:val="HeaderTable"/>
      </w:pPr>
      <w:bookmarkStart w:id="65" w:name="_Ref467326270"/>
      <w:bookmarkStart w:id="66" w:name="_Toc468022885"/>
      <w:bookmarkStart w:id="67" w:name="_Toc468034538"/>
      <w:bookmarkStart w:id="68" w:name="_Toc480373302"/>
      <w:bookmarkStart w:id="69" w:name="_Toc486515197"/>
      <w:r>
        <w:t xml:space="preserve">Table </w:t>
      </w:r>
      <w:r w:rsidR="00356377">
        <w:rPr>
          <w:noProof/>
        </w:rPr>
        <w:t>4</w:t>
      </w:r>
      <w:r>
        <w:t>.</w:t>
      </w:r>
      <w:r w:rsidR="00356377">
        <w:rPr>
          <w:noProof/>
        </w:rPr>
        <w:t>7</w:t>
      </w:r>
      <w:bookmarkEnd w:id="65"/>
      <w:r>
        <w:tab/>
        <w:t xml:space="preserve">Pooled estimates for FLU/SAL comparisons – </w:t>
      </w:r>
      <w:proofErr w:type="spellStart"/>
      <w:r>
        <w:t>Nannini</w:t>
      </w:r>
      <w:proofErr w:type="spellEnd"/>
      <w:r>
        <w:t xml:space="preserve"> 2012 and 2013</w:t>
      </w:r>
      <w:bookmarkEnd w:id="66"/>
      <w:bookmarkEnd w:id="67"/>
      <w:bookmarkEnd w:id="68"/>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ooled estimates for FLU/SAL comparisons – Nannini 2012 and 2013"/>
      </w:tblPr>
      <w:tblGrid>
        <w:gridCol w:w="2274"/>
        <w:gridCol w:w="3687"/>
        <w:gridCol w:w="3687"/>
      </w:tblGrid>
      <w:tr w:rsidR="00675E77" w:rsidRPr="0024328B" w:rsidTr="00675E77">
        <w:trPr>
          <w:cantSplit/>
          <w:tblHeader/>
        </w:trPr>
        <w:tc>
          <w:tcPr>
            <w:tcW w:w="1178" w:type="pct"/>
            <w:shd w:val="clear" w:color="auto" w:fill="BFBFBF"/>
          </w:tcPr>
          <w:p w:rsidR="00675E77" w:rsidRPr="00F51BE8" w:rsidRDefault="00675E77" w:rsidP="00675E77">
            <w:pPr>
              <w:pStyle w:val="01TableHEADINGleftaligned"/>
            </w:pPr>
            <w:r>
              <w:t>Safety outcome</w:t>
            </w:r>
          </w:p>
        </w:tc>
        <w:tc>
          <w:tcPr>
            <w:tcW w:w="1911" w:type="pct"/>
            <w:shd w:val="clear" w:color="auto" w:fill="BFBFBF"/>
          </w:tcPr>
          <w:p w:rsidR="00675E77" w:rsidRDefault="00675E77" w:rsidP="00675E77">
            <w:pPr>
              <w:pStyle w:val="02TableHEADINGcentred"/>
            </w:pPr>
            <w:r>
              <w:t>FLU/SAL vs SAL</w:t>
            </w:r>
          </w:p>
          <w:p w:rsidR="00675E77" w:rsidRPr="00450456" w:rsidRDefault="00675E77" w:rsidP="00675E77">
            <w:pPr>
              <w:pStyle w:val="02TableHEADINGcentred"/>
            </w:pPr>
            <w:r>
              <w:t>OR [95% CI] (n)</w:t>
            </w:r>
          </w:p>
        </w:tc>
        <w:tc>
          <w:tcPr>
            <w:tcW w:w="1911" w:type="pct"/>
            <w:shd w:val="clear" w:color="auto" w:fill="BFBFBF"/>
          </w:tcPr>
          <w:p w:rsidR="00675E77" w:rsidRDefault="00675E77" w:rsidP="00675E77">
            <w:pPr>
              <w:pStyle w:val="02TableHEADINGcentred"/>
            </w:pPr>
            <w:r>
              <w:t>FLU/SAL vs placebo</w:t>
            </w:r>
          </w:p>
          <w:p w:rsidR="00675E77" w:rsidRPr="00F51BE8" w:rsidRDefault="00675E77" w:rsidP="00675E77">
            <w:pPr>
              <w:pStyle w:val="02TableHEADINGcentred"/>
            </w:pPr>
            <w:r>
              <w:t>OR [95% CI] (n)</w:t>
            </w:r>
          </w:p>
        </w:tc>
      </w:tr>
      <w:tr w:rsidR="00675E77" w:rsidRPr="00F51BE8" w:rsidTr="00675E77">
        <w:trPr>
          <w:cantSplit/>
        </w:trPr>
        <w:tc>
          <w:tcPr>
            <w:tcW w:w="1178" w:type="pct"/>
            <w:shd w:val="clear" w:color="auto" w:fill="auto"/>
          </w:tcPr>
          <w:p w:rsidR="00675E77" w:rsidRPr="00F51BE8" w:rsidRDefault="00675E77" w:rsidP="00675E77">
            <w:pPr>
              <w:pStyle w:val="05Tabletext"/>
            </w:pPr>
            <w:r>
              <w:t>Any AE</w:t>
            </w:r>
          </w:p>
        </w:tc>
        <w:tc>
          <w:tcPr>
            <w:tcW w:w="1911" w:type="pct"/>
            <w:shd w:val="clear" w:color="auto" w:fill="auto"/>
          </w:tcPr>
          <w:p w:rsidR="00675E77" w:rsidRPr="00F51BE8" w:rsidRDefault="00675E77" w:rsidP="00675E77">
            <w:pPr>
              <w:pStyle w:val="05Tabletext"/>
              <w:tabs>
                <w:tab w:val="left" w:pos="1021"/>
                <w:tab w:val="left" w:pos="2552"/>
              </w:tabs>
              <w:ind w:left="113"/>
            </w:pPr>
            <w:r>
              <w:tab/>
            </w:r>
            <w:r w:rsidRPr="005756F4">
              <w:t>1.05 [0.93, 1.19]</w:t>
            </w:r>
            <w:r>
              <w:tab/>
              <w:t>9 studies</w:t>
            </w:r>
            <w:r w:rsidRPr="000347D4">
              <w:t xml:space="preserve"> </w:t>
            </w:r>
            <w:r>
              <w:t>(8250)</w:t>
            </w:r>
          </w:p>
        </w:tc>
        <w:tc>
          <w:tcPr>
            <w:tcW w:w="1911" w:type="pct"/>
            <w:shd w:val="clear" w:color="auto" w:fill="auto"/>
          </w:tcPr>
          <w:p w:rsidR="00675E77" w:rsidRPr="00341FEC" w:rsidRDefault="00675E77" w:rsidP="00675E77">
            <w:pPr>
              <w:pStyle w:val="05Tabletext"/>
              <w:tabs>
                <w:tab w:val="left" w:pos="1841"/>
              </w:tabs>
              <w:ind w:left="170"/>
            </w:pPr>
            <w:r w:rsidRPr="00915DE8">
              <w:t>1.09 [0.95, 1.25]</w:t>
            </w:r>
            <w:r>
              <w:tab/>
              <w:t>9 studies</w:t>
            </w:r>
            <w:r w:rsidRPr="000347D4">
              <w:t xml:space="preserve"> </w:t>
            </w:r>
            <w:r>
              <w:t>(</w:t>
            </w:r>
            <w:r w:rsidRPr="00915DE8">
              <w:t>5574</w:t>
            </w:r>
            <w:r>
              <w:t>)</w:t>
            </w:r>
          </w:p>
        </w:tc>
      </w:tr>
      <w:tr w:rsidR="00675E77" w:rsidRPr="00F51BE8" w:rsidTr="00675E77">
        <w:trPr>
          <w:cantSplit/>
        </w:trPr>
        <w:tc>
          <w:tcPr>
            <w:tcW w:w="1178" w:type="pct"/>
            <w:shd w:val="clear" w:color="auto" w:fill="auto"/>
          </w:tcPr>
          <w:p w:rsidR="00675E77" w:rsidRDefault="00675E77" w:rsidP="00675E77">
            <w:pPr>
              <w:pStyle w:val="05Tabletext"/>
            </w:pPr>
            <w:r>
              <w:t>Any SAE</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341FEC" w:rsidRDefault="00675E77" w:rsidP="00675E77">
            <w:pPr>
              <w:pStyle w:val="05Tabletext"/>
              <w:tabs>
                <w:tab w:val="left" w:pos="1841"/>
              </w:tabs>
              <w:ind w:left="170"/>
            </w:pPr>
            <w:r w:rsidRPr="00915DE8">
              <w:t>1.08 [0.95, 1.23]</w:t>
            </w:r>
            <w:r>
              <w:tab/>
              <w:t>9 studies</w:t>
            </w:r>
            <w:r w:rsidRPr="000347D4">
              <w:t xml:space="preserve"> </w:t>
            </w:r>
            <w:r>
              <w:t>(5531)</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Mortality</w:t>
            </w:r>
          </w:p>
        </w:tc>
        <w:tc>
          <w:tcPr>
            <w:tcW w:w="1911" w:type="pct"/>
            <w:shd w:val="clear" w:color="auto" w:fill="auto"/>
          </w:tcPr>
          <w:p w:rsidR="00675E77" w:rsidRPr="00F51BE8" w:rsidRDefault="00675E77" w:rsidP="00675E77">
            <w:pPr>
              <w:pStyle w:val="05Tabletext"/>
              <w:tabs>
                <w:tab w:val="left" w:pos="1021"/>
                <w:tab w:val="left" w:pos="2552"/>
              </w:tabs>
              <w:ind w:left="113"/>
            </w:pPr>
            <w:r>
              <w:tab/>
            </w:r>
            <w:r w:rsidRPr="00B66CC1">
              <w:t>0.93 [0.76, 1.13]</w:t>
            </w:r>
            <w:r>
              <w:tab/>
              <w:t>6 studies</w:t>
            </w:r>
            <w:r w:rsidRPr="000347D4">
              <w:t xml:space="preserve"> </w:t>
            </w:r>
            <w:r>
              <w:t>(</w:t>
            </w:r>
            <w:r w:rsidRPr="00B66CC1">
              <w:t>7408</w:t>
            </w:r>
            <w:r>
              <w:t>)</w:t>
            </w:r>
          </w:p>
        </w:tc>
        <w:tc>
          <w:tcPr>
            <w:tcW w:w="1911" w:type="pct"/>
            <w:shd w:val="clear" w:color="auto" w:fill="auto"/>
          </w:tcPr>
          <w:p w:rsidR="00675E77" w:rsidRPr="00962FBF" w:rsidRDefault="00675E77" w:rsidP="00675E77">
            <w:pPr>
              <w:pStyle w:val="05Tabletext"/>
              <w:tabs>
                <w:tab w:val="left" w:pos="1841"/>
              </w:tabs>
              <w:ind w:left="170"/>
              <w:rPr>
                <w:b/>
              </w:rPr>
            </w:pPr>
            <w:r w:rsidRPr="00962FBF">
              <w:rPr>
                <w:b/>
              </w:rPr>
              <w:t>0.79 [0.65, 0.97]</w:t>
            </w:r>
            <w:r w:rsidRPr="00962FBF">
              <w:rPr>
                <w:b/>
              </w:rPr>
              <w:tab/>
            </w:r>
            <w:r w:rsidRPr="00586BD2">
              <w:t>10 studies (5543)</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Pneumonia</w:t>
            </w:r>
          </w:p>
        </w:tc>
        <w:tc>
          <w:tcPr>
            <w:tcW w:w="1911" w:type="pct"/>
            <w:shd w:val="clear" w:color="auto" w:fill="auto"/>
          </w:tcPr>
          <w:p w:rsidR="00675E77" w:rsidRDefault="00675E77" w:rsidP="00675E77">
            <w:pPr>
              <w:pStyle w:val="05Tabletext"/>
              <w:tabs>
                <w:tab w:val="left" w:pos="1021"/>
                <w:tab w:val="left" w:pos="2552"/>
              </w:tabs>
              <w:ind w:left="113"/>
            </w:pPr>
            <w:r>
              <w:t>all doses</w:t>
            </w:r>
            <w:r>
              <w:tab/>
            </w:r>
            <w:r w:rsidRPr="005756F4">
              <w:rPr>
                <w:b/>
              </w:rPr>
              <w:t>1.75 [1.25, 2.45]</w:t>
            </w:r>
            <w:r>
              <w:tab/>
              <w:t>9 studies</w:t>
            </w:r>
            <w:r w:rsidRPr="000347D4">
              <w:t xml:space="preserve"> </w:t>
            </w:r>
            <w:r>
              <w:t>(</w:t>
            </w:r>
            <w:r w:rsidRPr="001C1006">
              <w:t>8242</w:t>
            </w:r>
            <w:r>
              <w:t>)</w:t>
            </w:r>
          </w:p>
          <w:p w:rsidR="00675E77" w:rsidRDefault="00675E77" w:rsidP="00675E77">
            <w:pPr>
              <w:pStyle w:val="05Tabletext"/>
              <w:tabs>
                <w:tab w:val="left" w:pos="1021"/>
                <w:tab w:val="left" w:pos="2552"/>
              </w:tabs>
              <w:ind w:left="113"/>
            </w:pPr>
            <w:r>
              <w:t xml:space="preserve">500/50 </w:t>
            </w:r>
            <w:proofErr w:type="spellStart"/>
            <w:r>
              <w:t>μg</w:t>
            </w:r>
            <w:proofErr w:type="spellEnd"/>
            <w:r>
              <w:tab/>
            </w:r>
            <w:r w:rsidRPr="001C1006">
              <w:t>1.55 [0.92, 2.61]</w:t>
            </w:r>
            <w:r>
              <w:tab/>
              <w:t>6 studies</w:t>
            </w:r>
            <w:r w:rsidRPr="000347D4">
              <w:t xml:space="preserve"> </w:t>
            </w:r>
            <w:r>
              <w:t>(</w:t>
            </w:r>
            <w:r w:rsidRPr="001C1006">
              <w:t>6308</w:t>
            </w:r>
            <w:r>
              <w:t>)</w:t>
            </w:r>
          </w:p>
          <w:p w:rsidR="00675E77" w:rsidRPr="001C1006" w:rsidRDefault="00675E77" w:rsidP="00675E77">
            <w:pPr>
              <w:pStyle w:val="05Tabletext"/>
              <w:tabs>
                <w:tab w:val="left" w:pos="1021"/>
                <w:tab w:val="left" w:pos="2552"/>
              </w:tabs>
              <w:ind w:left="113"/>
            </w:pPr>
            <w:r>
              <w:t xml:space="preserve">250/50 </w:t>
            </w:r>
            <w:proofErr w:type="spellStart"/>
            <w:r>
              <w:t>μg</w:t>
            </w:r>
            <w:proofErr w:type="spellEnd"/>
            <w:r>
              <w:tab/>
            </w:r>
            <w:r w:rsidRPr="005756F4">
              <w:rPr>
                <w:b/>
              </w:rPr>
              <w:t>2.19 [1.35, 3.53]</w:t>
            </w:r>
            <w:r>
              <w:tab/>
              <w:t>3 studies</w:t>
            </w:r>
            <w:r w:rsidRPr="000347D4">
              <w:t xml:space="preserve"> </w:t>
            </w:r>
            <w:r>
              <w:t>(</w:t>
            </w:r>
            <w:r w:rsidRPr="001C1006">
              <w:t>1934</w:t>
            </w:r>
            <w:r>
              <w:t>)</w:t>
            </w:r>
          </w:p>
        </w:tc>
        <w:tc>
          <w:tcPr>
            <w:tcW w:w="1911" w:type="pct"/>
            <w:shd w:val="clear" w:color="auto" w:fill="auto"/>
          </w:tcPr>
          <w:p w:rsidR="00675E77" w:rsidRPr="00962FBF" w:rsidRDefault="00675E77" w:rsidP="00675E77">
            <w:pPr>
              <w:pStyle w:val="05Tabletext"/>
              <w:tabs>
                <w:tab w:val="left" w:pos="1841"/>
              </w:tabs>
              <w:ind w:left="170"/>
              <w:rPr>
                <w:b/>
              </w:rPr>
            </w:pPr>
            <w:r w:rsidRPr="00962FBF">
              <w:rPr>
                <w:b/>
              </w:rPr>
              <w:t>1.76 [1.46, 2.14]</w:t>
            </w:r>
            <w:r w:rsidRPr="00962FBF">
              <w:rPr>
                <w:b/>
              </w:rPr>
              <w:tab/>
            </w:r>
            <w:r w:rsidRPr="00586BD2">
              <w:t>9 studies (5447)</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Candidiasis</w:t>
            </w:r>
          </w:p>
        </w:tc>
        <w:tc>
          <w:tcPr>
            <w:tcW w:w="1911" w:type="pct"/>
            <w:shd w:val="clear" w:color="auto" w:fill="auto"/>
          </w:tcPr>
          <w:p w:rsidR="00675E77" w:rsidRPr="00F51BE8" w:rsidRDefault="00675E77" w:rsidP="00675E77">
            <w:pPr>
              <w:pStyle w:val="05Tabletext"/>
              <w:tabs>
                <w:tab w:val="left" w:pos="1021"/>
                <w:tab w:val="left" w:pos="2552"/>
              </w:tabs>
              <w:ind w:left="113"/>
            </w:pPr>
            <w:r>
              <w:tab/>
            </w:r>
            <w:r w:rsidRPr="00CC5C21">
              <w:rPr>
                <w:b/>
              </w:rPr>
              <w:t>3.75 [2.33, 6.04]</w:t>
            </w:r>
            <w:r>
              <w:tab/>
              <w:t>6 studies</w:t>
            </w:r>
            <w:r w:rsidRPr="000347D4">
              <w:t xml:space="preserve"> </w:t>
            </w:r>
            <w:r>
              <w:t>(3118)</w:t>
            </w:r>
          </w:p>
        </w:tc>
        <w:tc>
          <w:tcPr>
            <w:tcW w:w="1911" w:type="pct"/>
            <w:shd w:val="clear" w:color="auto" w:fill="auto"/>
          </w:tcPr>
          <w:p w:rsidR="00675E77" w:rsidRPr="00962FBF" w:rsidRDefault="00675E77" w:rsidP="00675E77">
            <w:pPr>
              <w:pStyle w:val="05Tabletext"/>
              <w:tabs>
                <w:tab w:val="left" w:pos="1841"/>
              </w:tabs>
              <w:ind w:left="170"/>
              <w:rPr>
                <w:b/>
              </w:rPr>
            </w:pPr>
            <w:r w:rsidRPr="00962FBF">
              <w:rPr>
                <w:b/>
              </w:rPr>
              <w:t>5.73 [3.07, 10.67]</w:t>
            </w:r>
            <w:r w:rsidRPr="00962FBF">
              <w:rPr>
                <w:b/>
              </w:rPr>
              <w:tab/>
            </w:r>
            <w:r w:rsidRPr="00586BD2">
              <w:t>7 studies (2039)</w:t>
            </w:r>
          </w:p>
        </w:tc>
      </w:tr>
      <w:tr w:rsidR="00675E77" w:rsidRPr="0024328B" w:rsidTr="00675E77">
        <w:trPr>
          <w:cantSplit/>
        </w:trPr>
        <w:tc>
          <w:tcPr>
            <w:tcW w:w="1178" w:type="pct"/>
            <w:shd w:val="clear" w:color="auto" w:fill="auto"/>
          </w:tcPr>
          <w:p w:rsidR="00675E77" w:rsidRDefault="00675E77" w:rsidP="00675E77">
            <w:pPr>
              <w:pStyle w:val="05Tabletext"/>
            </w:pPr>
            <w:r w:rsidRPr="00F64453">
              <w:t>Upper respiratory tract infection</w:t>
            </w:r>
          </w:p>
        </w:tc>
        <w:tc>
          <w:tcPr>
            <w:tcW w:w="1911" w:type="pct"/>
            <w:shd w:val="clear" w:color="auto" w:fill="auto"/>
          </w:tcPr>
          <w:p w:rsidR="00675E77" w:rsidRDefault="00675E77" w:rsidP="00675E77">
            <w:pPr>
              <w:pStyle w:val="05Tabletext"/>
              <w:tabs>
                <w:tab w:val="left" w:pos="1021"/>
                <w:tab w:val="left" w:pos="2552"/>
              </w:tabs>
              <w:ind w:left="113"/>
            </w:pPr>
            <w:r>
              <w:tab/>
            </w:r>
            <w:r w:rsidRPr="00CC5C21">
              <w:rPr>
                <w:b/>
              </w:rPr>
              <w:t>1.32 [1.12, 1.55]</w:t>
            </w:r>
            <w:r>
              <w:tab/>
              <w:t>7 studies</w:t>
            </w:r>
            <w:r w:rsidRPr="000347D4">
              <w:t xml:space="preserve"> </w:t>
            </w:r>
            <w:r>
              <w:t>(</w:t>
            </w:r>
            <w:r w:rsidRPr="005756F4">
              <w:t>6198</w:t>
            </w:r>
            <w:r>
              <w:t>)</w:t>
            </w:r>
          </w:p>
        </w:tc>
        <w:tc>
          <w:tcPr>
            <w:tcW w:w="1911" w:type="pct"/>
            <w:shd w:val="clear" w:color="auto" w:fill="auto"/>
          </w:tcPr>
          <w:p w:rsidR="00675E77" w:rsidRPr="00962FBF" w:rsidRDefault="00675E77" w:rsidP="00675E77">
            <w:pPr>
              <w:pStyle w:val="05Tabletext"/>
              <w:tabs>
                <w:tab w:val="left" w:pos="1841"/>
              </w:tabs>
              <w:ind w:left="170"/>
              <w:rPr>
                <w:b/>
              </w:rPr>
            </w:pPr>
            <w:r w:rsidRPr="00962FBF">
              <w:rPr>
                <w:b/>
              </w:rPr>
              <w:t>1.23 [1.04, 1.47]</w:t>
            </w:r>
            <w:r>
              <w:rPr>
                <w:b/>
              </w:rPr>
              <w:tab/>
            </w:r>
            <w:r w:rsidRPr="00586BD2">
              <w:t>5 studies (4963)</w:t>
            </w:r>
          </w:p>
        </w:tc>
      </w:tr>
      <w:tr w:rsidR="00675E77" w:rsidRPr="0024328B" w:rsidTr="00675E77">
        <w:trPr>
          <w:cantSplit/>
        </w:trPr>
        <w:tc>
          <w:tcPr>
            <w:tcW w:w="1178" w:type="pct"/>
            <w:shd w:val="clear" w:color="auto" w:fill="auto"/>
          </w:tcPr>
          <w:p w:rsidR="00675E77" w:rsidRDefault="00675E77" w:rsidP="00675E77">
            <w:pPr>
              <w:pStyle w:val="05Tabletext"/>
            </w:pPr>
            <w:r>
              <w:t>Headache</w:t>
            </w:r>
          </w:p>
        </w:tc>
        <w:tc>
          <w:tcPr>
            <w:tcW w:w="1911" w:type="pct"/>
            <w:shd w:val="clear" w:color="auto" w:fill="auto"/>
          </w:tcPr>
          <w:p w:rsidR="00675E77" w:rsidRDefault="00675E77" w:rsidP="00675E77">
            <w:pPr>
              <w:pStyle w:val="05Tabletext"/>
              <w:tabs>
                <w:tab w:val="left" w:pos="1021"/>
                <w:tab w:val="left" w:pos="2552"/>
              </w:tabs>
              <w:ind w:left="113"/>
            </w:pPr>
            <w:r>
              <w:tab/>
            </w:r>
            <w:r w:rsidRPr="005756F4">
              <w:t>1.06 [0.90, 1.26]</w:t>
            </w:r>
            <w:r>
              <w:tab/>
              <w:t>8 studies</w:t>
            </w:r>
            <w:r w:rsidRPr="000347D4">
              <w:t xml:space="preserve"> </w:t>
            </w:r>
            <w:r>
              <w:t>(7237)</w:t>
            </w:r>
          </w:p>
        </w:tc>
        <w:tc>
          <w:tcPr>
            <w:tcW w:w="1911" w:type="pct"/>
            <w:shd w:val="clear" w:color="auto" w:fill="auto"/>
          </w:tcPr>
          <w:p w:rsidR="00675E77" w:rsidRPr="00962FBF" w:rsidRDefault="00675E77" w:rsidP="00675E77">
            <w:pPr>
              <w:pStyle w:val="05Tabletext"/>
              <w:tabs>
                <w:tab w:val="left" w:pos="1841"/>
              </w:tabs>
              <w:ind w:left="170"/>
            </w:pPr>
            <w:r w:rsidRPr="00962FBF">
              <w:t>1.05 [0.84, 1.31]</w:t>
            </w:r>
            <w:r w:rsidRPr="00962FBF">
              <w:tab/>
              <w:t>4 studies (3922)</w:t>
            </w:r>
          </w:p>
        </w:tc>
      </w:tr>
      <w:tr w:rsidR="00675E77" w:rsidRPr="0024328B" w:rsidTr="00675E77">
        <w:trPr>
          <w:cantSplit/>
        </w:trPr>
        <w:tc>
          <w:tcPr>
            <w:tcW w:w="1178" w:type="pct"/>
            <w:shd w:val="clear" w:color="auto" w:fill="auto"/>
          </w:tcPr>
          <w:p w:rsidR="00675E77" w:rsidRDefault="00675E77" w:rsidP="00675E77">
            <w:pPr>
              <w:pStyle w:val="05Tabletext"/>
            </w:pPr>
            <w:r>
              <w:t>Bronchitis</w:t>
            </w:r>
          </w:p>
        </w:tc>
        <w:tc>
          <w:tcPr>
            <w:tcW w:w="1911" w:type="pct"/>
            <w:shd w:val="clear" w:color="auto" w:fill="auto"/>
          </w:tcPr>
          <w:p w:rsidR="00675E77"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962FBF" w:rsidRDefault="00675E77" w:rsidP="00675E77">
            <w:pPr>
              <w:pStyle w:val="05Tabletext"/>
              <w:tabs>
                <w:tab w:val="left" w:pos="1841"/>
              </w:tabs>
              <w:ind w:left="170"/>
              <w:rPr>
                <w:b/>
              </w:rPr>
            </w:pPr>
            <w:r w:rsidRPr="00962FBF">
              <w:rPr>
                <w:b/>
              </w:rPr>
              <w:t xml:space="preserve">1.36 </w:t>
            </w:r>
            <w:r>
              <w:rPr>
                <w:b/>
              </w:rPr>
              <w:t>[</w:t>
            </w:r>
            <w:r w:rsidRPr="00962FBF">
              <w:rPr>
                <w:b/>
              </w:rPr>
              <w:t>1.02, 1.80</w:t>
            </w:r>
            <w:r>
              <w:rPr>
                <w:b/>
              </w:rPr>
              <w:t>]</w:t>
            </w:r>
            <w:r w:rsidRPr="00962FBF">
              <w:rPr>
                <w:b/>
              </w:rPr>
              <w:tab/>
            </w:r>
            <w:r w:rsidRPr="00586BD2">
              <w:t>1 study (3090)</w:t>
            </w:r>
          </w:p>
        </w:tc>
      </w:tr>
      <w:tr w:rsidR="00675E77" w:rsidRPr="0024328B" w:rsidTr="00675E77">
        <w:trPr>
          <w:cantSplit/>
        </w:trPr>
        <w:tc>
          <w:tcPr>
            <w:tcW w:w="1178" w:type="pct"/>
            <w:shd w:val="clear" w:color="auto" w:fill="auto"/>
          </w:tcPr>
          <w:p w:rsidR="00675E77" w:rsidRDefault="00675E77" w:rsidP="00675E77">
            <w:pPr>
              <w:pStyle w:val="05Tabletext"/>
            </w:pPr>
            <w:proofErr w:type="spellStart"/>
            <w:r>
              <w:t>Nasopharyngitis</w:t>
            </w:r>
            <w:proofErr w:type="spellEnd"/>
          </w:p>
        </w:tc>
        <w:tc>
          <w:tcPr>
            <w:tcW w:w="1911" w:type="pct"/>
            <w:shd w:val="clear" w:color="auto" w:fill="auto"/>
          </w:tcPr>
          <w:p w:rsidR="00675E77"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962FBF" w:rsidRDefault="00675E77" w:rsidP="00675E77">
            <w:pPr>
              <w:pStyle w:val="05Tabletext"/>
              <w:tabs>
                <w:tab w:val="left" w:pos="1841"/>
              </w:tabs>
              <w:ind w:left="170"/>
              <w:rPr>
                <w:b/>
              </w:rPr>
            </w:pPr>
            <w:r w:rsidRPr="00962FBF">
              <w:rPr>
                <w:b/>
              </w:rPr>
              <w:t>1.28 [1.05, 1.56]</w:t>
            </w:r>
            <w:r>
              <w:rPr>
                <w:b/>
              </w:rPr>
              <w:tab/>
            </w:r>
            <w:r w:rsidRPr="00586BD2">
              <w:t>2 studies (3535)</w:t>
            </w:r>
          </w:p>
        </w:tc>
      </w:tr>
      <w:tr w:rsidR="00675E77" w:rsidRPr="0024328B" w:rsidTr="00675E77">
        <w:trPr>
          <w:cantSplit/>
        </w:trPr>
        <w:tc>
          <w:tcPr>
            <w:tcW w:w="1178" w:type="pct"/>
            <w:shd w:val="clear" w:color="auto" w:fill="auto"/>
          </w:tcPr>
          <w:p w:rsidR="00675E77" w:rsidRPr="00F51BE8" w:rsidRDefault="00675E77" w:rsidP="00675E77">
            <w:pPr>
              <w:pStyle w:val="05Tabletext"/>
            </w:pPr>
            <w:r>
              <w:t>Hoarseness</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341FEC" w:rsidRDefault="00675E77" w:rsidP="00675E77">
            <w:pPr>
              <w:pStyle w:val="05Tabletext"/>
              <w:tabs>
                <w:tab w:val="left" w:pos="1841"/>
              </w:tabs>
              <w:ind w:left="170"/>
            </w:pPr>
            <w:r w:rsidRPr="00915DE8">
              <w:t>1.61 [0.61, 4.26]</w:t>
            </w:r>
            <w:r w:rsidRPr="00341FEC">
              <w:tab/>
              <w:t xml:space="preserve">2 </w:t>
            </w:r>
            <w:r>
              <w:t>studies</w:t>
            </w:r>
            <w:r w:rsidRPr="00341FEC">
              <w:t xml:space="preserve"> (585)</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Palpitations</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341FEC" w:rsidRDefault="00675E77" w:rsidP="00675E77">
            <w:pPr>
              <w:pStyle w:val="05Tabletext"/>
              <w:tabs>
                <w:tab w:val="left" w:pos="1841"/>
              </w:tabs>
              <w:ind w:left="170"/>
            </w:pPr>
            <w:r w:rsidRPr="00962FBF">
              <w:t xml:space="preserve">0.05 </w:t>
            </w:r>
            <w:r>
              <w:t>[</w:t>
            </w:r>
            <w:r w:rsidRPr="00962FBF">
              <w:t>0.00, 1.01</w:t>
            </w:r>
            <w:r>
              <w:t>]</w:t>
            </w:r>
            <w:r>
              <w:tab/>
              <w:t>1 study</w:t>
            </w:r>
            <w:r w:rsidRPr="000347D4">
              <w:t xml:space="preserve"> </w:t>
            </w:r>
            <w:r>
              <w:t>(445)</w:t>
            </w:r>
          </w:p>
        </w:tc>
      </w:tr>
      <w:tr w:rsidR="00675E77" w:rsidRPr="0024328B" w:rsidTr="00675E77">
        <w:trPr>
          <w:cantSplit/>
        </w:trPr>
        <w:tc>
          <w:tcPr>
            <w:tcW w:w="1178" w:type="pct"/>
            <w:shd w:val="clear" w:color="auto" w:fill="auto"/>
          </w:tcPr>
          <w:p w:rsidR="00675E77" w:rsidRPr="00F51BE8" w:rsidRDefault="00675E77" w:rsidP="00675E77">
            <w:pPr>
              <w:pStyle w:val="05Tabletext"/>
            </w:pPr>
            <w:r>
              <w:t>Blood glucose</w:t>
            </w:r>
          </w:p>
        </w:tc>
        <w:tc>
          <w:tcPr>
            <w:tcW w:w="1911" w:type="pct"/>
            <w:shd w:val="clear" w:color="auto" w:fill="auto"/>
          </w:tcPr>
          <w:p w:rsidR="00675E77"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962FBF" w:rsidRDefault="00675E77" w:rsidP="00675E77">
            <w:pPr>
              <w:pStyle w:val="05Tabletext"/>
              <w:tabs>
                <w:tab w:val="left" w:pos="1841"/>
              </w:tabs>
              <w:ind w:left="170"/>
            </w:pPr>
            <w:r w:rsidRPr="00962FBF">
              <w:t xml:space="preserve">0.16 </w:t>
            </w:r>
            <w:r>
              <w:t>[</w:t>
            </w:r>
            <w:r w:rsidRPr="00962FBF">
              <w:t>0.02, 1.58</w:t>
            </w:r>
            <w:r>
              <w:t>]</w:t>
            </w:r>
            <w:r>
              <w:tab/>
              <w:t>1 study</w:t>
            </w:r>
            <w:r w:rsidRPr="000347D4">
              <w:t xml:space="preserve"> </w:t>
            </w:r>
            <w:r>
              <w:t>(445)</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Skin bruising</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341FEC" w:rsidRDefault="00675E77" w:rsidP="00675E77">
            <w:pPr>
              <w:pStyle w:val="05Tabletext"/>
              <w:tabs>
                <w:tab w:val="left" w:pos="1841"/>
              </w:tabs>
              <w:ind w:left="170"/>
            </w:pPr>
            <w:r>
              <w:t>not estimable</w:t>
            </w:r>
            <w:r>
              <w:tab/>
              <w:t>1 study, no events (445)</w:t>
            </w:r>
          </w:p>
        </w:tc>
      </w:tr>
      <w:tr w:rsidR="00675E77" w:rsidRPr="0024328B" w:rsidTr="00675E77">
        <w:trPr>
          <w:cantSplit/>
        </w:trPr>
        <w:tc>
          <w:tcPr>
            <w:tcW w:w="1178" w:type="pct"/>
            <w:shd w:val="clear" w:color="auto" w:fill="auto"/>
          </w:tcPr>
          <w:p w:rsidR="00675E77" w:rsidRDefault="00675E77" w:rsidP="00675E77">
            <w:pPr>
              <w:pStyle w:val="05Tabletext"/>
            </w:pPr>
            <w:r>
              <w:t>Cough</w:t>
            </w:r>
          </w:p>
        </w:tc>
        <w:tc>
          <w:tcPr>
            <w:tcW w:w="1911" w:type="pct"/>
            <w:shd w:val="clear" w:color="auto" w:fill="auto"/>
          </w:tcPr>
          <w:p w:rsidR="00675E77"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962FBF" w:rsidRDefault="00675E77" w:rsidP="00675E77">
            <w:pPr>
              <w:pStyle w:val="05Tabletext"/>
              <w:tabs>
                <w:tab w:val="left" w:pos="1841"/>
              </w:tabs>
              <w:ind w:left="170"/>
            </w:pPr>
            <w:r w:rsidRPr="00962FBF">
              <w:t>0.55 [0.23, 1.27]</w:t>
            </w:r>
            <w:r w:rsidRPr="00962FBF">
              <w:tab/>
              <w:t>3 studies (612)</w:t>
            </w:r>
          </w:p>
        </w:tc>
      </w:tr>
    </w:tbl>
    <w:p w:rsidR="00675E77" w:rsidRDefault="00675E77" w:rsidP="00675E77">
      <w:pPr>
        <w:pStyle w:val="10TableorFigurefootnote"/>
      </w:pPr>
      <w:r>
        <w:t xml:space="preserve">Source: </w:t>
      </w:r>
      <w:proofErr w:type="spellStart"/>
      <w:r>
        <w:t>Nannini</w:t>
      </w:r>
      <w:proofErr w:type="spellEnd"/>
      <w:r>
        <w:t xml:space="preserve"> (2012) Data and analyses, pp48-51; </w:t>
      </w:r>
      <w:proofErr w:type="spellStart"/>
      <w:r>
        <w:t>Nannini</w:t>
      </w:r>
      <w:proofErr w:type="spellEnd"/>
      <w:r>
        <w:t xml:space="preserve"> (2013) Data and analyses, pp74-81.</w:t>
      </w:r>
    </w:p>
    <w:p w:rsidR="00675E77" w:rsidRDefault="00675E77" w:rsidP="00675E77">
      <w:pPr>
        <w:pStyle w:val="10TableorFigurefootnote"/>
      </w:pPr>
      <w:r>
        <w:t>Abbreviations: AE, adverse event; CI, confidence interval; FLU, fluticasone</w:t>
      </w:r>
      <w:r w:rsidR="00191996">
        <w:t xml:space="preserve"> propionate</w:t>
      </w:r>
      <w:r>
        <w:t>; NR, not reported; OR, odds ratio; SAE, serious adverse event; SAL, salmeterol.</w:t>
      </w:r>
      <w:r w:rsidR="00883B82">
        <w:t xml:space="preserve"> </w:t>
      </w:r>
    </w:p>
    <w:p w:rsidR="00675E77" w:rsidRDefault="00675E77" w:rsidP="00675E77">
      <w:pPr>
        <w:pStyle w:val="11TableorFigurefootnotenostick"/>
      </w:pPr>
      <w:r w:rsidRPr="009C60A7">
        <w:rPr>
          <w:b/>
        </w:rPr>
        <w:t>Bold</w:t>
      </w:r>
      <w:r>
        <w:t xml:space="preserve"> indicates statistical significance.</w:t>
      </w:r>
    </w:p>
    <w:p w:rsidR="00675E77" w:rsidRDefault="00675E77" w:rsidP="00675E77">
      <w:pPr>
        <w:pStyle w:val="BodyText"/>
      </w:pPr>
      <w:r>
        <w:t>For budesonide, pneumonia is pooled across all doses and also stratified by dose for both placebo and monotherapy comparisons, but many analyses for the placebo comparison were stratified by dose due to consistent heterogeneity between these subgroups.</w:t>
      </w:r>
    </w:p>
    <w:p w:rsidR="00675E77" w:rsidRPr="009D58D5" w:rsidRDefault="00675E77" w:rsidP="00675E77">
      <w:pPr>
        <w:pStyle w:val="BodyText"/>
        <w:rPr>
          <w:b/>
        </w:rPr>
      </w:pPr>
      <w:r>
        <w:t>Pooled estimates were statistically significant only for the placebo comparison (</w:t>
      </w:r>
      <w:r w:rsidR="00356377">
        <w:t xml:space="preserve">Table </w:t>
      </w:r>
      <w:r w:rsidR="00356377">
        <w:rPr>
          <w:noProof/>
        </w:rPr>
        <w:t>4</w:t>
      </w:r>
      <w:r w:rsidR="00356377">
        <w:t>.</w:t>
      </w:r>
      <w:r w:rsidR="00356377">
        <w:rPr>
          <w:noProof/>
        </w:rPr>
        <w:t>8</w:t>
      </w:r>
      <w:r>
        <w:t>). Treatment with budesonide/</w:t>
      </w:r>
      <w:proofErr w:type="spellStart"/>
      <w:r>
        <w:t>eformoterol</w:t>
      </w:r>
      <w:proofErr w:type="spellEnd"/>
      <w:r>
        <w:t xml:space="preserve"> resulted in a higher frequency of any</w:t>
      </w:r>
      <w:r w:rsidR="006A35BA">
        <w:t xml:space="preserve"> AE</w:t>
      </w:r>
      <w:r>
        <w:t>, candidiasis and dysphonia, but not pneumonia. Change in lumbar spine bone density was also significantly higher for combination therapy.</w:t>
      </w:r>
      <w:r w:rsidRPr="00EB5595">
        <w:t xml:space="preserve"> </w:t>
      </w:r>
      <w:r>
        <w:t xml:space="preserve">Mortality was no different between groups. </w:t>
      </w:r>
    </w:p>
    <w:p w:rsidR="00675E77" w:rsidRPr="009C60A7" w:rsidRDefault="00675E77" w:rsidP="00675E77">
      <w:pPr>
        <w:pStyle w:val="BodyText"/>
      </w:pPr>
      <w:r>
        <w:t xml:space="preserve">A dose effect was seen for dysphonia and lumbar spine bone density, although the effect size of the latter </w:t>
      </w:r>
      <w:r w:rsidR="00567AFC">
        <w:t>was</w:t>
      </w:r>
      <w:r>
        <w:t xml:space="preserve"> small and from a single, small study. </w:t>
      </w:r>
    </w:p>
    <w:p w:rsidR="00675E77" w:rsidRDefault="00675E77" w:rsidP="00D52262">
      <w:pPr>
        <w:pStyle w:val="HeaderTable"/>
      </w:pPr>
      <w:bookmarkStart w:id="70" w:name="_Ref467404420"/>
      <w:bookmarkStart w:id="71" w:name="_Toc468022886"/>
      <w:bookmarkStart w:id="72" w:name="_Toc468034539"/>
      <w:bookmarkStart w:id="73" w:name="_Toc480373303"/>
      <w:bookmarkStart w:id="74" w:name="_Toc486515198"/>
      <w:r>
        <w:lastRenderedPageBreak/>
        <w:t xml:space="preserve">Table </w:t>
      </w:r>
      <w:r w:rsidR="00356377">
        <w:rPr>
          <w:noProof/>
        </w:rPr>
        <w:t>4</w:t>
      </w:r>
      <w:r>
        <w:t>.</w:t>
      </w:r>
      <w:r w:rsidR="00356377">
        <w:rPr>
          <w:noProof/>
        </w:rPr>
        <w:t>8</w:t>
      </w:r>
      <w:bookmarkEnd w:id="70"/>
      <w:r>
        <w:tab/>
        <w:t xml:space="preserve">Pooled estimates for BUD/EFO comparisons – </w:t>
      </w:r>
      <w:proofErr w:type="spellStart"/>
      <w:r>
        <w:t>Nannini</w:t>
      </w:r>
      <w:proofErr w:type="spellEnd"/>
      <w:r>
        <w:t xml:space="preserve"> 2012 and 2013</w:t>
      </w:r>
      <w:bookmarkEnd w:id="71"/>
      <w:bookmarkEnd w:id="72"/>
      <w:bookmarkEnd w:id="73"/>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ooled estimates for BUD/EFO comparisons – Nannini 2012 and 2013"/>
      </w:tblPr>
      <w:tblGrid>
        <w:gridCol w:w="2274"/>
        <w:gridCol w:w="3687"/>
        <w:gridCol w:w="3687"/>
      </w:tblGrid>
      <w:tr w:rsidR="00675E77" w:rsidRPr="0024328B" w:rsidTr="00675E77">
        <w:trPr>
          <w:cantSplit/>
          <w:tblHeader/>
        </w:trPr>
        <w:tc>
          <w:tcPr>
            <w:tcW w:w="1178" w:type="pct"/>
            <w:shd w:val="clear" w:color="auto" w:fill="BFBFBF"/>
          </w:tcPr>
          <w:p w:rsidR="00675E77" w:rsidRPr="00F51BE8" w:rsidRDefault="00675E77" w:rsidP="00675E77">
            <w:pPr>
              <w:pStyle w:val="01TableHEADINGleftaligned"/>
            </w:pPr>
            <w:r>
              <w:t>Safety outcome</w:t>
            </w:r>
          </w:p>
        </w:tc>
        <w:tc>
          <w:tcPr>
            <w:tcW w:w="1911" w:type="pct"/>
            <w:shd w:val="clear" w:color="auto" w:fill="BFBFBF"/>
          </w:tcPr>
          <w:p w:rsidR="00675E77" w:rsidRDefault="00675E77" w:rsidP="00675E77">
            <w:pPr>
              <w:pStyle w:val="02TableHEADINGcentred"/>
            </w:pPr>
            <w:r>
              <w:t>BUD/EFO vs SAL</w:t>
            </w:r>
          </w:p>
          <w:p w:rsidR="00675E77" w:rsidRPr="00450456" w:rsidRDefault="00675E77" w:rsidP="00675E77">
            <w:pPr>
              <w:pStyle w:val="02TableHEADINGcentred"/>
            </w:pPr>
            <w:r>
              <w:t>OR [95% CI] (n)</w:t>
            </w:r>
          </w:p>
        </w:tc>
        <w:tc>
          <w:tcPr>
            <w:tcW w:w="1911" w:type="pct"/>
            <w:shd w:val="clear" w:color="auto" w:fill="BFBFBF"/>
          </w:tcPr>
          <w:p w:rsidR="00675E77" w:rsidRDefault="00675E77" w:rsidP="00675E77">
            <w:pPr>
              <w:pStyle w:val="02TableHEADINGcentred"/>
            </w:pPr>
            <w:r>
              <w:t>BUD/EFO vs placebo</w:t>
            </w:r>
          </w:p>
          <w:p w:rsidR="00675E77" w:rsidRPr="00F51BE8" w:rsidRDefault="00675E77" w:rsidP="00675E77">
            <w:pPr>
              <w:pStyle w:val="02TableHEADINGcentred"/>
            </w:pPr>
            <w:r>
              <w:t>OR [95% CI] (n)</w:t>
            </w:r>
          </w:p>
        </w:tc>
      </w:tr>
      <w:tr w:rsidR="00675E77" w:rsidRPr="00F51BE8" w:rsidTr="00675E77">
        <w:trPr>
          <w:cantSplit/>
        </w:trPr>
        <w:tc>
          <w:tcPr>
            <w:tcW w:w="1178" w:type="pct"/>
            <w:shd w:val="clear" w:color="auto" w:fill="auto"/>
          </w:tcPr>
          <w:p w:rsidR="00675E77" w:rsidRPr="00F51BE8" w:rsidRDefault="00675E77" w:rsidP="00675E77">
            <w:pPr>
              <w:pStyle w:val="05Tabletext"/>
            </w:pPr>
            <w:r>
              <w:t>Any AE</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Default="00675E77" w:rsidP="00675E77">
            <w:pPr>
              <w:pStyle w:val="05Tabletext"/>
              <w:tabs>
                <w:tab w:val="left" w:pos="1021"/>
                <w:tab w:val="left" w:pos="2552"/>
              </w:tabs>
              <w:ind w:left="113"/>
            </w:pPr>
            <w:r>
              <w:t xml:space="preserve">320/9 </w:t>
            </w:r>
            <w:proofErr w:type="spellStart"/>
            <w:r>
              <w:t>μg</w:t>
            </w:r>
            <w:proofErr w:type="spellEnd"/>
            <w:r w:rsidRPr="00586BD2">
              <w:rPr>
                <w:b/>
              </w:rPr>
              <w:t xml:space="preserve"> </w:t>
            </w:r>
            <w:r>
              <w:rPr>
                <w:b/>
              </w:rPr>
              <w:tab/>
            </w:r>
            <w:r w:rsidRPr="00586BD2">
              <w:rPr>
                <w:b/>
              </w:rPr>
              <w:t>1.42 [1.16, 1.74]</w:t>
            </w:r>
            <w:r>
              <w:tab/>
              <w:t>2 studies</w:t>
            </w:r>
            <w:r w:rsidRPr="000347D4">
              <w:t xml:space="preserve"> </w:t>
            </w:r>
            <w:r>
              <w:t>(1552)</w:t>
            </w:r>
          </w:p>
          <w:p w:rsidR="00675E77" w:rsidRPr="00586BD2" w:rsidRDefault="00675E77" w:rsidP="00675E77">
            <w:pPr>
              <w:pStyle w:val="05Tabletext"/>
              <w:tabs>
                <w:tab w:val="left" w:pos="1021"/>
                <w:tab w:val="left" w:pos="2552"/>
              </w:tabs>
              <w:ind w:left="113"/>
            </w:pPr>
            <w:r>
              <w:t xml:space="preserve">160/9 </w:t>
            </w:r>
            <w:proofErr w:type="spellStart"/>
            <w:r>
              <w:t>μg</w:t>
            </w:r>
            <w:proofErr w:type="spellEnd"/>
            <w:r w:rsidRPr="00586BD2">
              <w:rPr>
                <w:b/>
              </w:rPr>
              <w:t xml:space="preserve"> </w:t>
            </w:r>
            <w:r>
              <w:rPr>
                <w:b/>
              </w:rPr>
              <w:tab/>
            </w:r>
            <w:r w:rsidRPr="00586BD2">
              <w:rPr>
                <w:b/>
              </w:rPr>
              <w:t>1.32 [1.08, 1.61]</w:t>
            </w:r>
            <w:r>
              <w:tab/>
              <w:t>2 studies</w:t>
            </w:r>
            <w:r w:rsidRPr="000347D4">
              <w:t xml:space="preserve"> </w:t>
            </w:r>
            <w:r>
              <w:t>(1556)</w:t>
            </w:r>
          </w:p>
        </w:tc>
      </w:tr>
      <w:tr w:rsidR="00675E77" w:rsidRPr="00F51BE8" w:rsidTr="00675E77">
        <w:trPr>
          <w:cantSplit/>
        </w:trPr>
        <w:tc>
          <w:tcPr>
            <w:tcW w:w="1178" w:type="pct"/>
            <w:shd w:val="clear" w:color="auto" w:fill="auto"/>
          </w:tcPr>
          <w:p w:rsidR="00675E77" w:rsidRDefault="00675E77" w:rsidP="00675E77">
            <w:pPr>
              <w:pStyle w:val="05Tabletext"/>
            </w:pPr>
            <w:r>
              <w:t>Any SAE</w:t>
            </w:r>
          </w:p>
        </w:tc>
        <w:tc>
          <w:tcPr>
            <w:tcW w:w="1911" w:type="pct"/>
            <w:shd w:val="clear" w:color="auto" w:fill="auto"/>
          </w:tcPr>
          <w:p w:rsidR="00675E77" w:rsidRPr="00F51BE8" w:rsidRDefault="00675E77" w:rsidP="00675E77">
            <w:pPr>
              <w:pStyle w:val="05Tabletext"/>
              <w:tabs>
                <w:tab w:val="left" w:pos="1021"/>
                <w:tab w:val="left" w:pos="2552"/>
              </w:tabs>
              <w:ind w:left="113"/>
            </w:pPr>
            <w:r>
              <w:tab/>
            </w:r>
            <w:r w:rsidRPr="006B3423">
              <w:t>0.92 [0.69, 1.25]</w:t>
            </w:r>
            <w:r>
              <w:tab/>
              <w:t>4 studies</w:t>
            </w:r>
            <w:r w:rsidRPr="000347D4">
              <w:t xml:space="preserve"> </w:t>
            </w:r>
            <w:r>
              <w:t>(3243)</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B04125">
              <w:tab/>
              <w:t>1.17 [0.95, 1.45]</w:t>
            </w:r>
            <w:r w:rsidRPr="00B04125">
              <w:tab/>
              <w:t>4 studies (2476)</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rsidRPr="00B04125">
              <w:t xml:space="preserve"> </w:t>
            </w:r>
            <w:r w:rsidRPr="00B04125">
              <w:tab/>
              <w:t>1.20 [0.89, 1.63]</w:t>
            </w:r>
            <w:r>
              <w:tab/>
              <w:t>2 studies</w:t>
            </w:r>
            <w:r w:rsidRPr="000347D4">
              <w:t xml:space="preserve"> </w:t>
            </w:r>
            <w:r>
              <w:t>(1556)</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Mortality</w:t>
            </w:r>
          </w:p>
        </w:tc>
        <w:tc>
          <w:tcPr>
            <w:tcW w:w="1911" w:type="pct"/>
            <w:shd w:val="clear" w:color="auto" w:fill="auto"/>
          </w:tcPr>
          <w:p w:rsidR="00675E77" w:rsidRPr="00F51BE8" w:rsidRDefault="00675E77" w:rsidP="00675E77">
            <w:pPr>
              <w:pStyle w:val="05Tabletext"/>
              <w:tabs>
                <w:tab w:val="left" w:pos="1021"/>
                <w:tab w:val="left" w:pos="2552"/>
              </w:tabs>
              <w:ind w:left="113"/>
            </w:pPr>
            <w:r>
              <w:tab/>
            </w:r>
            <w:r w:rsidRPr="00B66CC1">
              <w:t>1.03 [0.40, 2.67]</w:t>
            </w:r>
            <w:r>
              <w:tab/>
              <w:t>4 studies (</w:t>
            </w:r>
            <w:r w:rsidRPr="00B66CC1">
              <w:t>3273</w:t>
            </w:r>
            <w:r>
              <w:t>)</w:t>
            </w:r>
          </w:p>
        </w:tc>
        <w:tc>
          <w:tcPr>
            <w:tcW w:w="1911" w:type="pct"/>
            <w:shd w:val="clear" w:color="auto" w:fill="auto"/>
          </w:tcPr>
          <w:p w:rsidR="00675E77" w:rsidRPr="00B04125" w:rsidRDefault="00675E77" w:rsidP="00675E77">
            <w:pPr>
              <w:pStyle w:val="05Tabletext"/>
              <w:tabs>
                <w:tab w:val="left" w:pos="1021"/>
                <w:tab w:val="left" w:pos="2552"/>
              </w:tabs>
              <w:ind w:left="113"/>
            </w:pPr>
            <w:r>
              <w:t>all doses</w:t>
            </w:r>
            <w:r>
              <w:tab/>
            </w:r>
            <w:r w:rsidRPr="00B04125">
              <w:t>1.05 [0.57, 1.93]</w:t>
            </w:r>
            <w:r w:rsidRPr="00B04125">
              <w:tab/>
              <w:t>4 studies (3250)</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Pneumonia</w:t>
            </w:r>
          </w:p>
        </w:tc>
        <w:tc>
          <w:tcPr>
            <w:tcW w:w="1911" w:type="pct"/>
            <w:shd w:val="clear" w:color="auto" w:fill="auto"/>
          </w:tcPr>
          <w:p w:rsidR="00675E77" w:rsidRDefault="00675E77" w:rsidP="00675E77">
            <w:pPr>
              <w:pStyle w:val="05Tabletext"/>
              <w:tabs>
                <w:tab w:val="left" w:pos="1021"/>
                <w:tab w:val="left" w:pos="2552"/>
              </w:tabs>
              <w:ind w:left="113"/>
            </w:pPr>
            <w:r>
              <w:t>all doses</w:t>
            </w:r>
            <w:r>
              <w:tab/>
            </w:r>
            <w:r w:rsidRPr="001C1006">
              <w:t>1.09 [0.69, 1.73]</w:t>
            </w:r>
            <w:r>
              <w:tab/>
              <w:t>3 studies</w:t>
            </w:r>
            <w:r w:rsidRPr="000347D4">
              <w:t xml:space="preserve"> </w:t>
            </w:r>
            <w:r>
              <w:t>(</w:t>
            </w:r>
            <w:r w:rsidRPr="001C1006">
              <w:t>2834</w:t>
            </w:r>
            <w:r>
              <w:t>)</w:t>
            </w:r>
          </w:p>
          <w:p w:rsidR="00675E77" w:rsidRDefault="00675E77" w:rsidP="00675E77">
            <w:pPr>
              <w:pStyle w:val="05Tabletext"/>
              <w:tabs>
                <w:tab w:val="left" w:pos="1021"/>
                <w:tab w:val="left" w:pos="2552"/>
              </w:tabs>
              <w:ind w:left="113"/>
            </w:pPr>
            <w:r>
              <w:t xml:space="preserve">320/9 </w:t>
            </w:r>
            <w:proofErr w:type="spellStart"/>
            <w:r>
              <w:t>μg</w:t>
            </w:r>
            <w:proofErr w:type="spellEnd"/>
            <w:r>
              <w:tab/>
            </w:r>
            <w:r w:rsidRPr="00FF20DE">
              <w:t>1.08 [0.60, 1.97]</w:t>
            </w:r>
            <w:r>
              <w:tab/>
              <w:t>3 studies</w:t>
            </w:r>
            <w:r w:rsidRPr="000347D4">
              <w:t xml:space="preserve"> </w:t>
            </w:r>
            <w:r>
              <w:t>(</w:t>
            </w:r>
            <w:r w:rsidRPr="00FF20DE">
              <w:t>1670</w:t>
            </w:r>
            <w:r>
              <w:t>)</w:t>
            </w:r>
          </w:p>
          <w:p w:rsidR="00675E77" w:rsidRPr="00FF20DE" w:rsidRDefault="00675E77" w:rsidP="00675E77">
            <w:pPr>
              <w:pStyle w:val="05Tabletext"/>
              <w:tabs>
                <w:tab w:val="left" w:pos="1021"/>
                <w:tab w:val="left" w:pos="2552"/>
              </w:tabs>
              <w:ind w:left="113"/>
            </w:pPr>
            <w:r>
              <w:t xml:space="preserve">160/9 </w:t>
            </w:r>
            <w:proofErr w:type="spellStart"/>
            <w:r>
              <w:t>μg</w:t>
            </w:r>
            <w:proofErr w:type="spellEnd"/>
            <w:r>
              <w:tab/>
            </w:r>
            <w:r w:rsidRPr="00FF20DE">
              <w:t>1.10 [0.53, 2.26]</w:t>
            </w:r>
            <w:r>
              <w:tab/>
              <w:t>2 studies</w:t>
            </w:r>
            <w:r w:rsidRPr="000347D4">
              <w:t xml:space="preserve"> </w:t>
            </w:r>
            <w:r>
              <w:t>(1164)</w:t>
            </w:r>
          </w:p>
        </w:tc>
        <w:tc>
          <w:tcPr>
            <w:tcW w:w="1911" w:type="pct"/>
            <w:shd w:val="clear" w:color="auto" w:fill="auto"/>
          </w:tcPr>
          <w:p w:rsidR="00675E77" w:rsidRDefault="00675E77" w:rsidP="00675E77">
            <w:pPr>
              <w:pStyle w:val="05Tabletext"/>
              <w:tabs>
                <w:tab w:val="left" w:pos="1021"/>
                <w:tab w:val="left" w:pos="2552"/>
              </w:tabs>
              <w:ind w:left="113"/>
            </w:pPr>
            <w:r>
              <w:t>all doses</w:t>
            </w:r>
            <w:r>
              <w:tab/>
            </w:r>
            <w:r w:rsidRPr="00B04125">
              <w:t>0.92 [0.57, 1.47]</w:t>
            </w:r>
            <w:r w:rsidRPr="00B04125">
              <w:tab/>
              <w:t>3 studies (2837)</w:t>
            </w:r>
          </w:p>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B04125">
              <w:tab/>
              <w:t>0.89 [0.52, 1.52]</w:t>
            </w:r>
            <w:r>
              <w:tab/>
              <w:t>3 studies</w:t>
            </w:r>
            <w:r w:rsidRPr="000347D4">
              <w:t xml:space="preserve"> </w:t>
            </w:r>
            <w:r>
              <w:t>(</w:t>
            </w:r>
            <w:r w:rsidRPr="00B04125">
              <w:t>2062</w:t>
            </w:r>
            <w:r>
              <w:t>)</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B04125">
              <w:t>0.80 [0.45, 1.42]</w:t>
            </w:r>
            <w:r>
              <w:tab/>
              <w:t>2 studies</w:t>
            </w:r>
            <w:r w:rsidRPr="000347D4">
              <w:t xml:space="preserve"> </w:t>
            </w:r>
            <w:r>
              <w:t>(1556)</w:t>
            </w:r>
          </w:p>
        </w:tc>
      </w:tr>
      <w:tr w:rsidR="00675E77" w:rsidRPr="0024328B" w:rsidTr="00675E77">
        <w:trPr>
          <w:cantSplit/>
        </w:trPr>
        <w:tc>
          <w:tcPr>
            <w:tcW w:w="1178" w:type="pct"/>
            <w:shd w:val="clear" w:color="auto" w:fill="auto"/>
          </w:tcPr>
          <w:p w:rsidR="00675E77" w:rsidRPr="00F51BE8" w:rsidRDefault="00675E77" w:rsidP="00675E77">
            <w:pPr>
              <w:pStyle w:val="05Tabletext"/>
            </w:pPr>
            <w:r>
              <w:t>C</w:t>
            </w:r>
            <w:r w:rsidRPr="00F51BE8">
              <w:t>andidiasis</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 xml:space="preserve">Not pooled due to </w:t>
            </w:r>
            <w:r>
              <w:br/>
            </w:r>
            <w:r w:rsidRPr="00CC5C21">
              <w:t xml:space="preserve">high and unexplained </w:t>
            </w:r>
            <w:r>
              <w:t>h</w:t>
            </w:r>
            <w:r w:rsidRPr="00CC5C21">
              <w:t>eterogeneity</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796817">
              <w:rPr>
                <w:b/>
              </w:rPr>
              <w:tab/>
              <w:t>3.45 [1.88, 6.34]</w:t>
            </w:r>
            <w:r>
              <w:tab/>
              <w:t>2 studies</w:t>
            </w:r>
            <w:r w:rsidRPr="000347D4">
              <w:t xml:space="preserve"> </w:t>
            </w:r>
            <w:r>
              <w:t>(1552)</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796817">
              <w:rPr>
                <w:b/>
              </w:rPr>
              <w:t>2.05 [1.07, 3.92]</w:t>
            </w:r>
            <w:r>
              <w:tab/>
              <w:t>2 studies</w:t>
            </w:r>
            <w:r w:rsidRPr="000347D4">
              <w:t xml:space="preserve"> </w:t>
            </w:r>
            <w:r>
              <w:t>(1556)</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Dysphonia</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796817">
              <w:rPr>
                <w:b/>
              </w:rPr>
              <w:tab/>
              <w:t>4.07 [1.52, 10.90]</w:t>
            </w:r>
            <w:r>
              <w:tab/>
              <w:t>2 studies</w:t>
            </w:r>
            <w:r w:rsidRPr="000347D4">
              <w:t xml:space="preserve"> </w:t>
            </w:r>
            <w:r>
              <w:t>(1552)</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4823AB">
              <w:t>1.17 [0.37, 3.67]</w:t>
            </w:r>
            <w:r>
              <w:tab/>
              <w:t>2 studies</w:t>
            </w:r>
            <w:r w:rsidRPr="000347D4">
              <w:t xml:space="preserve"> </w:t>
            </w:r>
            <w:r>
              <w:t>(1556)</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Cataracts</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B04125">
              <w:tab/>
            </w:r>
            <w:r w:rsidRPr="004823AB">
              <w:t>0.32 [0.01, 7.97]</w:t>
            </w:r>
            <w:r>
              <w:tab/>
              <w:t>1 study</w:t>
            </w:r>
            <w:r w:rsidRPr="000347D4">
              <w:t xml:space="preserve"> </w:t>
            </w:r>
            <w:r>
              <w:t>(</w:t>
            </w:r>
            <w:r w:rsidRPr="004823AB">
              <w:t>975</w:t>
            </w:r>
            <w:r>
              <w:t>)</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4823AB">
              <w:t>1.95 [0.18, 21.59]</w:t>
            </w:r>
            <w:r>
              <w:tab/>
              <w:t>1 study</w:t>
            </w:r>
            <w:r w:rsidRPr="000347D4">
              <w:t xml:space="preserve"> </w:t>
            </w:r>
            <w:r>
              <w:t>(</w:t>
            </w:r>
            <w:r w:rsidRPr="004823AB">
              <w:t>975</w:t>
            </w:r>
            <w:r>
              <w:t>)</w:t>
            </w:r>
          </w:p>
        </w:tc>
      </w:tr>
      <w:tr w:rsidR="00675E77" w:rsidRPr="0024328B" w:rsidTr="00675E77">
        <w:trPr>
          <w:cantSplit/>
        </w:trPr>
        <w:tc>
          <w:tcPr>
            <w:tcW w:w="1178" w:type="pct"/>
            <w:shd w:val="clear" w:color="auto" w:fill="auto"/>
          </w:tcPr>
          <w:p w:rsidR="00675E77" w:rsidRPr="00F51BE8" w:rsidRDefault="00675E77" w:rsidP="00675E77">
            <w:pPr>
              <w:pStyle w:val="05Tabletext"/>
            </w:pPr>
            <w:r>
              <w:t>COPD</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B04125">
              <w:tab/>
            </w:r>
            <w:r w:rsidRPr="004823AB">
              <w:t>0.92 [0.69, 1.22]</w:t>
            </w:r>
            <w:r>
              <w:tab/>
              <w:t>2 studies</w:t>
            </w:r>
            <w:r w:rsidRPr="000347D4">
              <w:t xml:space="preserve"> </w:t>
            </w:r>
            <w:r>
              <w:t>(1552)</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4823AB">
              <w:t>1.16 [0.88, 1.53]</w:t>
            </w:r>
            <w:r>
              <w:tab/>
              <w:t>2 studies</w:t>
            </w:r>
            <w:r w:rsidRPr="000347D4">
              <w:t xml:space="preserve"> </w:t>
            </w:r>
            <w:r>
              <w:t>(1556)</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Tremor</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B04125">
              <w:tab/>
            </w:r>
            <w:r w:rsidRPr="004823AB">
              <w:t>0.0 [0.0, 0.0]</w:t>
            </w:r>
            <w:r>
              <w:tab/>
              <w:t>1 study</w:t>
            </w:r>
            <w:r w:rsidRPr="000347D4">
              <w:t xml:space="preserve"> </w:t>
            </w:r>
            <w:r>
              <w:t>(</w:t>
            </w:r>
            <w:r w:rsidRPr="004823AB">
              <w:t>5</w:t>
            </w:r>
            <w:r>
              <w:t>77)</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4823AB">
              <w:t>7.55 [0.39, 146.88]</w:t>
            </w:r>
            <w:r>
              <w:tab/>
              <w:t>1 study</w:t>
            </w:r>
            <w:r w:rsidRPr="000347D4">
              <w:t xml:space="preserve"> </w:t>
            </w:r>
            <w:r>
              <w:t>(581)</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Palpitations</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52"/>
              </w:tabs>
              <w:ind w:left="113"/>
            </w:pPr>
            <w:r w:rsidRPr="00B04125">
              <w:t xml:space="preserve">320/9 </w:t>
            </w:r>
            <w:proofErr w:type="spellStart"/>
            <w:r w:rsidRPr="00B04125">
              <w:t>μg</w:t>
            </w:r>
            <w:proofErr w:type="spellEnd"/>
            <w:r w:rsidRPr="00B04125">
              <w:t xml:space="preserve"> </w:t>
            </w:r>
            <w:r w:rsidRPr="00B04125">
              <w:tab/>
            </w:r>
            <w:r w:rsidRPr="00CB0DA8">
              <w:t>3.26 [0.13, 80.37]</w:t>
            </w:r>
            <w:r>
              <w:tab/>
              <w:t>1 study</w:t>
            </w:r>
            <w:r w:rsidRPr="000347D4">
              <w:t xml:space="preserve"> </w:t>
            </w:r>
            <w:r>
              <w:t>(</w:t>
            </w:r>
            <w:r w:rsidRPr="004823AB">
              <w:t>5</w:t>
            </w:r>
            <w:r>
              <w:t>77)</w:t>
            </w:r>
          </w:p>
          <w:p w:rsidR="00675E77" w:rsidRPr="00B04125" w:rsidRDefault="00675E77" w:rsidP="00675E77">
            <w:pPr>
              <w:pStyle w:val="05Tabletext"/>
              <w:tabs>
                <w:tab w:val="left" w:pos="1021"/>
                <w:tab w:val="left" w:pos="2552"/>
              </w:tabs>
              <w:ind w:left="113"/>
            </w:pPr>
            <w:r w:rsidRPr="00B04125">
              <w:t xml:space="preserve">160/9 </w:t>
            </w:r>
            <w:proofErr w:type="spellStart"/>
            <w:r w:rsidRPr="00B04125">
              <w:t>μg</w:t>
            </w:r>
            <w:proofErr w:type="spellEnd"/>
            <w:r>
              <w:tab/>
            </w:r>
            <w:r w:rsidRPr="00CB0DA8">
              <w:t>0.0 [0.0, 0.0]</w:t>
            </w:r>
            <w:r>
              <w:tab/>
              <w:t>1 study</w:t>
            </w:r>
            <w:r w:rsidRPr="000347D4">
              <w:t xml:space="preserve"> </w:t>
            </w:r>
            <w:r>
              <w:t>(581)</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Bone density</w:t>
            </w:r>
            <w:r>
              <w:t xml:space="preserve"> </w:t>
            </w:r>
            <w:r w:rsidR="00041984">
              <w:t>-</w:t>
            </w:r>
            <w:r>
              <w:t>change from baseline (lumbar spine)</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49"/>
              </w:tabs>
              <w:ind w:left="113"/>
            </w:pPr>
            <w:r w:rsidRPr="00B04125">
              <w:t xml:space="preserve">320/9 </w:t>
            </w:r>
            <w:proofErr w:type="spellStart"/>
            <w:r w:rsidRPr="00B04125">
              <w:t>μg</w:t>
            </w:r>
            <w:proofErr w:type="spellEnd"/>
            <w:r w:rsidRPr="00B04125">
              <w:t xml:space="preserve"> </w:t>
            </w:r>
            <w:r w:rsidRPr="00796817">
              <w:rPr>
                <w:b/>
              </w:rPr>
              <w:tab/>
            </w:r>
            <w:r>
              <w:rPr>
                <w:b/>
              </w:rPr>
              <w:t xml:space="preserve">MD </w:t>
            </w:r>
            <w:r w:rsidRPr="00796817">
              <w:rPr>
                <w:b/>
              </w:rPr>
              <w:t>-0.02 [-0.03, -0.01]</w:t>
            </w:r>
            <w:r>
              <w:tab/>
              <w:t>1 study (149)</w:t>
            </w:r>
          </w:p>
          <w:p w:rsidR="00675E77" w:rsidRPr="00B04125" w:rsidRDefault="00675E77" w:rsidP="00675E77">
            <w:pPr>
              <w:pStyle w:val="05Tabletext"/>
              <w:tabs>
                <w:tab w:val="left" w:pos="1021"/>
                <w:tab w:val="left" w:pos="2549"/>
              </w:tabs>
              <w:ind w:left="113"/>
            </w:pPr>
            <w:r w:rsidRPr="00B04125">
              <w:t xml:space="preserve">160/9 </w:t>
            </w:r>
            <w:proofErr w:type="spellStart"/>
            <w:r w:rsidRPr="00B04125">
              <w:t>μg</w:t>
            </w:r>
            <w:proofErr w:type="spellEnd"/>
            <w:r>
              <w:tab/>
              <w:t xml:space="preserve">MD </w:t>
            </w:r>
            <w:r w:rsidRPr="000A7292">
              <w:t>0.0 [-0.01, 0.01]</w:t>
            </w:r>
            <w:r>
              <w:tab/>
              <w:t>1 study (149)</w:t>
            </w:r>
          </w:p>
        </w:tc>
      </w:tr>
      <w:tr w:rsidR="00675E77" w:rsidRPr="0024328B" w:rsidTr="00675E77">
        <w:trPr>
          <w:cantSplit/>
        </w:trPr>
        <w:tc>
          <w:tcPr>
            <w:tcW w:w="1178" w:type="pct"/>
            <w:shd w:val="clear" w:color="auto" w:fill="auto"/>
          </w:tcPr>
          <w:p w:rsidR="00675E77" w:rsidRPr="00F51BE8" w:rsidRDefault="00675E77" w:rsidP="00675E77">
            <w:pPr>
              <w:pStyle w:val="05Tabletext"/>
            </w:pPr>
            <w:r w:rsidRPr="00F51BE8">
              <w:t>Bone density</w:t>
            </w:r>
            <w:r>
              <w:t xml:space="preserve"> </w:t>
            </w:r>
            <w:r w:rsidR="00041984">
              <w:t>-</w:t>
            </w:r>
            <w:r>
              <w:t>change from baseline (hip)</w:t>
            </w:r>
          </w:p>
        </w:tc>
        <w:tc>
          <w:tcPr>
            <w:tcW w:w="1911" w:type="pct"/>
            <w:shd w:val="clear" w:color="auto" w:fill="auto"/>
          </w:tcPr>
          <w:p w:rsidR="00675E77" w:rsidRPr="00F51BE8" w:rsidRDefault="00675E77" w:rsidP="00675E77">
            <w:pPr>
              <w:pStyle w:val="05Tabletext"/>
              <w:tabs>
                <w:tab w:val="left" w:pos="1021"/>
                <w:tab w:val="left" w:pos="2552"/>
              </w:tabs>
              <w:ind w:left="113"/>
              <w:jc w:val="center"/>
            </w:pPr>
            <w:r>
              <w:t>NR</w:t>
            </w:r>
          </w:p>
        </w:tc>
        <w:tc>
          <w:tcPr>
            <w:tcW w:w="1911" w:type="pct"/>
            <w:shd w:val="clear" w:color="auto" w:fill="auto"/>
          </w:tcPr>
          <w:p w:rsidR="00675E77" w:rsidRPr="00B04125" w:rsidRDefault="00675E77" w:rsidP="00675E77">
            <w:pPr>
              <w:pStyle w:val="05Tabletext"/>
              <w:tabs>
                <w:tab w:val="left" w:pos="1021"/>
                <w:tab w:val="left" w:pos="2549"/>
              </w:tabs>
              <w:ind w:left="113"/>
            </w:pPr>
            <w:r w:rsidRPr="00B04125">
              <w:t xml:space="preserve">320/9 </w:t>
            </w:r>
            <w:proofErr w:type="spellStart"/>
            <w:r w:rsidRPr="00B04125">
              <w:t>μg</w:t>
            </w:r>
            <w:proofErr w:type="spellEnd"/>
            <w:r w:rsidRPr="00B04125">
              <w:t xml:space="preserve"> </w:t>
            </w:r>
            <w:r w:rsidRPr="00B04125">
              <w:tab/>
            </w:r>
            <w:r>
              <w:t xml:space="preserve">MD </w:t>
            </w:r>
            <w:r w:rsidRPr="00796817">
              <w:t>0.0 [-0.01, 0.01]</w:t>
            </w:r>
            <w:r>
              <w:tab/>
              <w:t>1 study (149)</w:t>
            </w:r>
          </w:p>
          <w:p w:rsidR="00675E77" w:rsidRPr="00B04125" w:rsidRDefault="00675E77" w:rsidP="00675E77">
            <w:pPr>
              <w:pStyle w:val="05Tabletext"/>
              <w:tabs>
                <w:tab w:val="left" w:pos="1021"/>
                <w:tab w:val="left" w:pos="2549"/>
              </w:tabs>
              <w:ind w:left="113"/>
            </w:pPr>
            <w:r w:rsidRPr="00B04125">
              <w:t xml:space="preserve">160/9 </w:t>
            </w:r>
            <w:proofErr w:type="spellStart"/>
            <w:r w:rsidRPr="00B04125">
              <w:t>μg</w:t>
            </w:r>
            <w:proofErr w:type="spellEnd"/>
            <w:r>
              <w:tab/>
              <w:t xml:space="preserve">MD </w:t>
            </w:r>
            <w:r w:rsidRPr="00796817">
              <w:t>0.01 [0.00, 0.02]</w:t>
            </w:r>
            <w:r>
              <w:tab/>
              <w:t>1 study (147)</w:t>
            </w:r>
          </w:p>
        </w:tc>
      </w:tr>
    </w:tbl>
    <w:p w:rsidR="00675E77" w:rsidRDefault="00675E77" w:rsidP="00675E77">
      <w:pPr>
        <w:pStyle w:val="10TableorFigurefootnote"/>
      </w:pPr>
      <w:r>
        <w:t xml:space="preserve">Source: </w:t>
      </w:r>
      <w:proofErr w:type="spellStart"/>
      <w:r>
        <w:t>Nannini</w:t>
      </w:r>
      <w:proofErr w:type="spellEnd"/>
      <w:r>
        <w:t xml:space="preserve"> (2012) Data and analyses, pp48-51; </w:t>
      </w:r>
      <w:proofErr w:type="spellStart"/>
      <w:r>
        <w:t>Nannini</w:t>
      </w:r>
      <w:proofErr w:type="spellEnd"/>
      <w:r>
        <w:t xml:space="preserve"> (2013) Data and analyses, pp74-81.</w:t>
      </w:r>
    </w:p>
    <w:p w:rsidR="00675E77" w:rsidRDefault="00675E77" w:rsidP="00675E77">
      <w:pPr>
        <w:pStyle w:val="10TableorFigurefootnote"/>
      </w:pPr>
      <w:r>
        <w:t xml:space="preserve">Abbreviations: AE, adverse event; BUD, budesonide; CI, confidence interval; COPD, chronic obstructive pulmonary disease; EFO, </w:t>
      </w:r>
      <w:proofErr w:type="spellStart"/>
      <w:r>
        <w:t>eformoterol</w:t>
      </w:r>
      <w:proofErr w:type="spellEnd"/>
      <w:r>
        <w:t>; MD, mean difference; NR, not reported; OR, odds ratio; SAE, serious adverse event.</w:t>
      </w:r>
    </w:p>
    <w:p w:rsidR="00675E77" w:rsidRPr="00450456" w:rsidRDefault="00675E77" w:rsidP="00675E77">
      <w:pPr>
        <w:pStyle w:val="11TableorFigurefootnotenostick"/>
      </w:pPr>
      <w:r>
        <w:t>Bold indicates statistical significance.</w:t>
      </w:r>
    </w:p>
    <w:p w:rsidR="00675E77" w:rsidRDefault="00675E77" w:rsidP="002C7600">
      <w:pPr>
        <w:pStyle w:val="HeaderFigure"/>
      </w:pPr>
      <w:bookmarkStart w:id="75" w:name="_Ref467403597"/>
      <w:bookmarkStart w:id="76" w:name="_Toc468022887"/>
      <w:bookmarkStart w:id="77" w:name="_Toc468034540"/>
      <w:bookmarkStart w:id="78" w:name="_Toc480373317"/>
      <w:bookmarkStart w:id="79" w:name="_Toc486515159"/>
      <w:r>
        <w:lastRenderedPageBreak/>
        <w:t xml:space="preserve">Figure </w:t>
      </w:r>
      <w:r w:rsidR="00356377">
        <w:rPr>
          <w:noProof/>
        </w:rPr>
        <w:t>4</w:t>
      </w:r>
      <w:r w:rsidR="00CC0111">
        <w:t>.</w:t>
      </w:r>
      <w:r w:rsidR="00356377">
        <w:rPr>
          <w:noProof/>
        </w:rPr>
        <w:t>2</w:t>
      </w:r>
      <w:bookmarkEnd w:id="75"/>
      <w:r>
        <w:tab/>
      </w:r>
      <w:r w:rsidR="002C7600">
        <w:t>Risk of p</w:t>
      </w:r>
      <w:r>
        <w:t xml:space="preserve">neumonia for FLU/SAL vs SAL and BUD/EFO vs EFO – </w:t>
      </w:r>
      <w:proofErr w:type="spellStart"/>
      <w:r>
        <w:t>Nannini</w:t>
      </w:r>
      <w:proofErr w:type="spellEnd"/>
      <w:r>
        <w:t xml:space="preserve"> 2012</w:t>
      </w:r>
      <w:bookmarkEnd w:id="76"/>
      <w:bookmarkEnd w:id="77"/>
      <w:bookmarkEnd w:id="78"/>
      <w:bookmarkEnd w:id="79"/>
    </w:p>
    <w:p w:rsidR="00675E77" w:rsidRDefault="006C74E7" w:rsidP="00B36965">
      <w:pPr>
        <w:pStyle w:val="Picturewithbox"/>
        <w:keepNext/>
        <w:pBdr>
          <w:bottom w:val="single" w:sz="4" w:space="18" w:color="auto"/>
        </w:pBdr>
      </w:pPr>
      <w:r>
        <w:t xml:space="preserve"> </w:t>
      </w:r>
      <w:r>
        <w:rPr>
          <w:noProof/>
          <w:lang w:eastAsia="en-AU"/>
        </w:rPr>
        <w:drawing>
          <wp:inline distT="0" distB="0" distL="0" distR="0" wp14:anchorId="637FD6B1" wp14:editId="6649CF3A">
            <wp:extent cx="5962650" cy="542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62650" cy="5429250"/>
                    </a:xfrm>
                    <a:prstGeom prst="rect">
                      <a:avLst/>
                    </a:prstGeom>
                  </pic:spPr>
                </pic:pic>
              </a:graphicData>
            </a:graphic>
          </wp:inline>
        </w:drawing>
      </w:r>
    </w:p>
    <w:p w:rsidR="00675E77" w:rsidRDefault="00675E77" w:rsidP="00675E77">
      <w:pPr>
        <w:pStyle w:val="10TableorFigurefootnote"/>
      </w:pPr>
      <w:r>
        <w:t xml:space="preserve">Source: </w:t>
      </w:r>
      <w:proofErr w:type="spellStart"/>
      <w:r>
        <w:t>Nannini</w:t>
      </w:r>
      <w:proofErr w:type="spellEnd"/>
      <w:r>
        <w:t xml:space="preserve"> (2012) Analysis 1.5, p55</w:t>
      </w:r>
    </w:p>
    <w:p w:rsidR="00675E77" w:rsidRPr="00B04BFF" w:rsidRDefault="00675E77" w:rsidP="00675E77">
      <w:pPr>
        <w:pStyle w:val="11TableorFigurefootnotenostick"/>
      </w:pPr>
      <w:r>
        <w:t xml:space="preserve">Abbreviations: BUD, budesonide; EFO, </w:t>
      </w:r>
      <w:proofErr w:type="spellStart"/>
      <w:r>
        <w:t>eformoterol</w:t>
      </w:r>
      <w:proofErr w:type="spellEnd"/>
      <w:r>
        <w:t xml:space="preserve">; FLU, fluticasone; </w:t>
      </w:r>
      <w:r w:rsidR="008C679F">
        <w:t>LABA, long-acting beta-2 agonist</w:t>
      </w:r>
      <w:r>
        <w:t>; SAL, salmeterol; vs, versus.</w:t>
      </w:r>
    </w:p>
    <w:p w:rsidR="00675E77" w:rsidRDefault="00675E77" w:rsidP="002C7600">
      <w:pPr>
        <w:pStyle w:val="HeaderFigure"/>
      </w:pPr>
      <w:bookmarkStart w:id="80" w:name="_Ref467403599"/>
      <w:bookmarkStart w:id="81" w:name="_Toc468022888"/>
      <w:bookmarkStart w:id="82" w:name="_Toc468034541"/>
      <w:bookmarkStart w:id="83" w:name="_Toc480373318"/>
      <w:bookmarkStart w:id="84" w:name="_Toc486515160"/>
      <w:r>
        <w:lastRenderedPageBreak/>
        <w:t xml:space="preserve">Figure </w:t>
      </w:r>
      <w:r w:rsidR="00356377">
        <w:rPr>
          <w:noProof/>
        </w:rPr>
        <w:t>4</w:t>
      </w:r>
      <w:r w:rsidR="00CC0111">
        <w:t>.</w:t>
      </w:r>
      <w:r w:rsidR="00356377">
        <w:rPr>
          <w:noProof/>
        </w:rPr>
        <w:t>3</w:t>
      </w:r>
      <w:bookmarkEnd w:id="80"/>
      <w:r>
        <w:tab/>
        <w:t xml:space="preserve">Pneumonia for FLU/SAL vs SAL and BUD/EFO vs EFO, by dose – </w:t>
      </w:r>
      <w:proofErr w:type="spellStart"/>
      <w:r>
        <w:t>Nannini</w:t>
      </w:r>
      <w:proofErr w:type="spellEnd"/>
      <w:r>
        <w:t xml:space="preserve"> 2012</w:t>
      </w:r>
      <w:bookmarkEnd w:id="81"/>
      <w:bookmarkEnd w:id="82"/>
      <w:bookmarkEnd w:id="83"/>
      <w:bookmarkEnd w:id="84"/>
    </w:p>
    <w:p w:rsidR="00675E77" w:rsidRDefault="009D3242" w:rsidP="00675E77">
      <w:pPr>
        <w:pStyle w:val="Picturewithbox"/>
      </w:pPr>
      <w:r>
        <w:rPr>
          <w:noProof/>
          <w:lang w:eastAsia="en-AU"/>
        </w:rPr>
        <w:drawing>
          <wp:inline distT="0" distB="0" distL="0" distR="0" wp14:anchorId="0C052A4A" wp14:editId="43CAF272">
            <wp:extent cx="5924550" cy="8284966"/>
            <wp:effectExtent l="0" t="0" r="0" b="1905"/>
            <wp:docPr id="16" name="Picture 16" descr="Pneumonia for FLU/SAL vs SAL and BUD/EFO vs EFO, by dose – Nannini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annini 2012 Primary pneumonia by do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4550" cy="8284966"/>
                    </a:xfrm>
                    <a:prstGeom prst="rect">
                      <a:avLst/>
                    </a:prstGeom>
                    <a:noFill/>
                    <a:ln>
                      <a:noFill/>
                    </a:ln>
                  </pic:spPr>
                </pic:pic>
              </a:graphicData>
            </a:graphic>
          </wp:inline>
        </w:drawing>
      </w:r>
    </w:p>
    <w:p w:rsidR="00675E77" w:rsidRDefault="00675E77" w:rsidP="00675E77">
      <w:pPr>
        <w:pStyle w:val="10TableorFigurefootnote"/>
      </w:pPr>
      <w:r>
        <w:t xml:space="preserve">Source: </w:t>
      </w:r>
      <w:proofErr w:type="spellStart"/>
      <w:r>
        <w:t>Nannini</w:t>
      </w:r>
      <w:proofErr w:type="spellEnd"/>
      <w:r>
        <w:t xml:space="preserve"> (2012) Analysis 1.6 pp56-7</w:t>
      </w:r>
    </w:p>
    <w:p w:rsidR="00675E77" w:rsidRPr="00B04BFF" w:rsidRDefault="00675E77" w:rsidP="00675E77">
      <w:pPr>
        <w:pStyle w:val="11TableorFigurefootnotenostick"/>
      </w:pPr>
      <w:r>
        <w:t>Abbreviations: BUD, budesonide; BDF, budesonide/</w:t>
      </w:r>
      <w:proofErr w:type="spellStart"/>
      <w:r>
        <w:t>eformoterol</w:t>
      </w:r>
      <w:proofErr w:type="spellEnd"/>
      <w:r>
        <w:t xml:space="preserve">; EFO, </w:t>
      </w:r>
      <w:proofErr w:type="spellStart"/>
      <w:r>
        <w:t>eformoterol</w:t>
      </w:r>
      <w:proofErr w:type="spellEnd"/>
      <w:r>
        <w:t>; FLU, fluticasone; FPS, fluticasone propionate/salmeterol; LAMA, long-acting muscarinic antagonist; SAL, salmeterol; vs, versus.</w:t>
      </w:r>
    </w:p>
    <w:p w:rsidR="00675E77" w:rsidRDefault="00675E77" w:rsidP="002C7600">
      <w:pPr>
        <w:pStyle w:val="HeaderFigure"/>
      </w:pPr>
      <w:bookmarkStart w:id="85" w:name="_Ref467405334"/>
      <w:bookmarkStart w:id="86" w:name="_Toc468022889"/>
      <w:bookmarkStart w:id="87" w:name="_Toc468034542"/>
      <w:bookmarkStart w:id="88" w:name="_Toc480373319"/>
      <w:bookmarkStart w:id="89" w:name="_Toc486515161"/>
      <w:r>
        <w:lastRenderedPageBreak/>
        <w:t xml:space="preserve">Figure </w:t>
      </w:r>
      <w:r w:rsidR="00356377">
        <w:rPr>
          <w:noProof/>
        </w:rPr>
        <w:t>4</w:t>
      </w:r>
      <w:r w:rsidR="00CC0111">
        <w:t>.</w:t>
      </w:r>
      <w:r w:rsidR="00356377">
        <w:rPr>
          <w:noProof/>
        </w:rPr>
        <w:t>4</w:t>
      </w:r>
      <w:bookmarkEnd w:id="85"/>
      <w:r>
        <w:tab/>
      </w:r>
      <w:r w:rsidR="008C679F">
        <w:t>Risk of p</w:t>
      </w:r>
      <w:r>
        <w:t xml:space="preserve">neumonia for FLU/SAL vs placebo and BUD/EFO vs placebo – </w:t>
      </w:r>
      <w:proofErr w:type="spellStart"/>
      <w:r>
        <w:t>Nannini</w:t>
      </w:r>
      <w:proofErr w:type="spellEnd"/>
      <w:r>
        <w:t xml:space="preserve"> 2013</w:t>
      </w:r>
      <w:bookmarkEnd w:id="86"/>
      <w:bookmarkEnd w:id="87"/>
      <w:bookmarkEnd w:id="88"/>
      <w:bookmarkEnd w:id="89"/>
    </w:p>
    <w:p w:rsidR="00675E77" w:rsidRDefault="006C74E7" w:rsidP="00675E77">
      <w:pPr>
        <w:pStyle w:val="Picturewithbox"/>
        <w:keepNext/>
      </w:pPr>
      <w:r>
        <w:rPr>
          <w:noProof/>
          <w:lang w:eastAsia="en-AU"/>
        </w:rPr>
        <w:drawing>
          <wp:inline distT="0" distB="0" distL="0" distR="0" wp14:anchorId="4AF94BD3" wp14:editId="58DEB099">
            <wp:extent cx="5591175" cy="5610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91175" cy="5610225"/>
                    </a:xfrm>
                    <a:prstGeom prst="rect">
                      <a:avLst/>
                    </a:prstGeom>
                  </pic:spPr>
                </pic:pic>
              </a:graphicData>
            </a:graphic>
          </wp:inline>
        </w:drawing>
      </w:r>
      <w:r w:rsidRPr="006C74E7">
        <w:rPr>
          <w:noProof/>
          <w:lang w:eastAsia="en-AU"/>
        </w:rPr>
        <w:t xml:space="preserve"> </w:t>
      </w:r>
      <w:r>
        <w:rPr>
          <w:noProof/>
          <w:lang w:eastAsia="en-AU"/>
        </w:rPr>
        <w:drawing>
          <wp:inline distT="0" distB="0" distL="0" distR="0" wp14:anchorId="7229BA57" wp14:editId="45DE96DD">
            <wp:extent cx="5553075" cy="1057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53075" cy="1057275"/>
                    </a:xfrm>
                    <a:prstGeom prst="rect">
                      <a:avLst/>
                    </a:prstGeom>
                  </pic:spPr>
                </pic:pic>
              </a:graphicData>
            </a:graphic>
          </wp:inline>
        </w:drawing>
      </w:r>
    </w:p>
    <w:p w:rsidR="00675E77" w:rsidRDefault="00675E77" w:rsidP="00675E77">
      <w:pPr>
        <w:pStyle w:val="10TableorFigurefootnote"/>
      </w:pPr>
      <w:r>
        <w:t xml:space="preserve">Source: </w:t>
      </w:r>
      <w:proofErr w:type="spellStart"/>
      <w:r>
        <w:t>Nannini</w:t>
      </w:r>
      <w:proofErr w:type="spellEnd"/>
      <w:r>
        <w:t xml:space="preserve"> (2013) Analysis 1.3, p84</w:t>
      </w:r>
    </w:p>
    <w:p w:rsidR="00675E77" w:rsidRPr="00B04BFF" w:rsidRDefault="00675E77" w:rsidP="00675E77">
      <w:pPr>
        <w:pStyle w:val="10TableorFigurefootnote"/>
      </w:pPr>
      <w:r>
        <w:t xml:space="preserve">Abbreviations: BUD, budesonide; EFO, </w:t>
      </w:r>
      <w:proofErr w:type="spellStart"/>
      <w:r>
        <w:t>eformoterol</w:t>
      </w:r>
      <w:proofErr w:type="spellEnd"/>
      <w:r>
        <w:t>; FLU, fluticasone</w:t>
      </w:r>
      <w:r w:rsidR="00BE2B33">
        <w:t xml:space="preserve"> propionate</w:t>
      </w:r>
      <w:r>
        <w:t>; SAL, salmeterol; vs, versus.</w:t>
      </w:r>
    </w:p>
    <w:p w:rsidR="00675E77" w:rsidRPr="00F35F38" w:rsidRDefault="00675E77" w:rsidP="00675E77">
      <w:pPr>
        <w:pStyle w:val="11TableorFigurefootnotenostick"/>
      </w:pPr>
      <w:r>
        <w:t xml:space="preserve">Note: </w:t>
      </w:r>
      <w:proofErr w:type="spellStart"/>
      <w:r>
        <w:t>Mometasone</w:t>
      </w:r>
      <w:proofErr w:type="spellEnd"/>
      <w:r>
        <w:t>/</w:t>
      </w:r>
      <w:proofErr w:type="spellStart"/>
      <w:r>
        <w:t>eformoterol</w:t>
      </w:r>
      <w:proofErr w:type="spellEnd"/>
      <w:r>
        <w:t xml:space="preserve"> subgroup and pooled estimate for all three ICS/LABA combinations has been removed from this forest plot.</w:t>
      </w:r>
    </w:p>
    <w:p w:rsidR="00675E77" w:rsidRPr="00567AFC" w:rsidRDefault="00675E77" w:rsidP="00675E77">
      <w:pPr>
        <w:pStyle w:val="Heading6"/>
        <w:rPr>
          <w:b/>
        </w:rPr>
      </w:pPr>
      <w:r w:rsidRPr="00567AFC">
        <w:rPr>
          <w:b/>
        </w:rPr>
        <w:t>Authors’ conclusions</w:t>
      </w:r>
    </w:p>
    <w:p w:rsidR="00675E77" w:rsidRPr="00925308" w:rsidRDefault="00675E77" w:rsidP="00675E77">
      <w:pPr>
        <w:pStyle w:val="BodyTextnospacebefore"/>
      </w:pPr>
      <w:proofErr w:type="spellStart"/>
      <w:r>
        <w:t>Nannini</w:t>
      </w:r>
      <w:proofErr w:type="spellEnd"/>
      <w:r>
        <w:t xml:space="preserve"> et al (2012) found there was moderate</w:t>
      </w:r>
      <w:r w:rsidR="00BD5577">
        <w:t>-</w:t>
      </w:r>
      <w:r>
        <w:t xml:space="preserve">quality evidence of an increased risk of pneumonia with ICS/LABA </w:t>
      </w:r>
      <w:r w:rsidR="00567AFC" w:rsidRPr="00567AFC">
        <w:t>compared to LABA alone, but</w:t>
      </w:r>
      <w:r>
        <w:t xml:space="preserve"> that treatments had similar effects on mortality. They conclude that individual patients must balance the increased risk of pneumonia against the possible reduction in exacerbations. </w:t>
      </w:r>
      <w:proofErr w:type="spellStart"/>
      <w:r>
        <w:t>Nannini</w:t>
      </w:r>
      <w:proofErr w:type="spellEnd"/>
      <w:r>
        <w:t xml:space="preserve"> et al (2013) stated the increased risk of pneumonia is a concern, but did not translate into increased exacerbations, hospitalisations or deaths. They considered current evidence does not suggest any major </w:t>
      </w:r>
      <w:r>
        <w:lastRenderedPageBreak/>
        <w:t>differences between inhalers in terms of effects, but that the evidence is not sufficiently strong to demonstrate that all are equivalent.</w:t>
      </w:r>
    </w:p>
    <w:p w:rsidR="00675E77" w:rsidRDefault="00675E77" w:rsidP="00675E77">
      <w:pPr>
        <w:pStyle w:val="Heading4"/>
      </w:pPr>
      <w:r>
        <w:t>Reviews investigating pneumonia</w:t>
      </w:r>
    </w:p>
    <w:p w:rsidR="00675E77" w:rsidRDefault="00675E77" w:rsidP="00675E77">
      <w:pPr>
        <w:pStyle w:val="Heading5"/>
      </w:pPr>
      <w:r>
        <w:t xml:space="preserve">Kew (2014) Cochrane </w:t>
      </w:r>
      <w:r w:rsidR="00567AFC">
        <w:t>R</w:t>
      </w:r>
      <w:r>
        <w:t>eview</w:t>
      </w:r>
    </w:p>
    <w:p w:rsidR="00675E77" w:rsidRPr="0088224C" w:rsidRDefault="00675E77" w:rsidP="00675E77">
      <w:pPr>
        <w:pStyle w:val="Heading6"/>
        <w:numPr>
          <w:ilvl w:val="0"/>
          <w:numId w:val="0"/>
        </w:numPr>
      </w:pPr>
      <w:r w:rsidRPr="0088224C">
        <w:t>Design</w:t>
      </w:r>
    </w:p>
    <w:p w:rsidR="00675E77" w:rsidRDefault="00356377" w:rsidP="00675E77">
      <w:pPr>
        <w:pStyle w:val="BodyTextnospacebefore"/>
      </w:pPr>
      <w:r>
        <w:t xml:space="preserve">Table </w:t>
      </w:r>
      <w:r>
        <w:rPr>
          <w:noProof/>
        </w:rPr>
        <w:t>4</w:t>
      </w:r>
      <w:r>
        <w:t>.</w:t>
      </w:r>
      <w:r>
        <w:rPr>
          <w:noProof/>
        </w:rPr>
        <w:t>9</w:t>
      </w:r>
      <w:r w:rsidR="00675E77">
        <w:t xml:space="preserve"> lists the inclusion and exclusion criteria for the Kew (2014) Cochrane </w:t>
      </w:r>
      <w:r w:rsidR="006A35BA">
        <w:t>r</w:t>
      </w:r>
      <w:r w:rsidR="00675E77">
        <w:t>eview. Studies of fluticasone</w:t>
      </w:r>
      <w:r w:rsidR="00BE2B33">
        <w:t xml:space="preserve"> </w:t>
      </w:r>
      <w:proofErr w:type="spellStart"/>
      <w:r w:rsidR="00BE2B33">
        <w:t>furoate</w:t>
      </w:r>
      <w:proofErr w:type="spellEnd"/>
      <w:r w:rsidR="00675E77">
        <w:t>/</w:t>
      </w:r>
      <w:proofErr w:type="spellStart"/>
      <w:r w:rsidR="00675E77">
        <w:t>vilanterol</w:t>
      </w:r>
      <w:proofErr w:type="spellEnd"/>
      <w:r w:rsidR="00675E77">
        <w:t xml:space="preserve"> combination therapy were included, as were comparisons not covered by the reviews of </w:t>
      </w:r>
      <w:proofErr w:type="spellStart"/>
      <w:r w:rsidR="00675E77">
        <w:t>Nannini</w:t>
      </w:r>
      <w:proofErr w:type="spellEnd"/>
      <w:r w:rsidR="00675E77">
        <w:t xml:space="preserve"> and colleagues (ICS monotherapy comparison with each other or with placebo; interclass comparisons of combination therapies</w:t>
      </w:r>
      <w:r w:rsidR="006A35BA">
        <w:t>)</w:t>
      </w:r>
      <w:r w:rsidR="00567AFC">
        <w:t>. C</w:t>
      </w:r>
      <w:r w:rsidR="00675E77">
        <w:t>omparisons of combination therapy with placebo</w:t>
      </w:r>
      <w:r w:rsidR="00222782">
        <w:t xml:space="preserve"> were excluded</w:t>
      </w:r>
      <w:r w:rsidR="00675E77">
        <w:t>. An indirect comparison was conducted to compare fluticasone with budesonide, based on monotherapy, placebo-controlled studies.</w:t>
      </w:r>
    </w:p>
    <w:p w:rsidR="00675E77" w:rsidRDefault="00675E77" w:rsidP="00675E77">
      <w:pPr>
        <w:pStyle w:val="BodyText"/>
      </w:pPr>
      <w:r>
        <w:t>The safety outcomes reported in Kew (2014) have been shown earlier (</w:t>
      </w:r>
      <w:r w:rsidR="00356377">
        <w:t xml:space="preserve">Table </w:t>
      </w:r>
      <w:r w:rsidR="00356377">
        <w:rPr>
          <w:noProof/>
        </w:rPr>
        <w:t>4</w:t>
      </w:r>
      <w:r w:rsidR="00356377">
        <w:t>.</w:t>
      </w:r>
      <w:r w:rsidR="00356377">
        <w:rPr>
          <w:noProof/>
        </w:rPr>
        <w:t>4</w:t>
      </w:r>
      <w:r>
        <w:t xml:space="preserve">) but are reproduced here, along with </w:t>
      </w:r>
      <w:r w:rsidR="00567AFC" w:rsidRPr="00567AFC">
        <w:t>the additional outcome of</w:t>
      </w:r>
      <w:r>
        <w:t xml:space="preserve"> withdrawals (</w:t>
      </w:r>
      <w:r w:rsidR="00356377">
        <w:t xml:space="preserve">Table </w:t>
      </w:r>
      <w:r w:rsidR="00356377">
        <w:rPr>
          <w:noProof/>
        </w:rPr>
        <w:t>4</w:t>
      </w:r>
      <w:r w:rsidR="00356377">
        <w:t>.</w:t>
      </w:r>
      <w:r w:rsidR="00356377">
        <w:rPr>
          <w:noProof/>
        </w:rPr>
        <w:t>9</w:t>
      </w:r>
      <w:r>
        <w:t>). The focus of the current Review is the pneumonia-related outcomes. Many studies lacked a definition for pneumonia, with many designed prior to the first pneumonia safety signal from the TORCH study. Hence the primary outcome was defined as pneumonia requiring hospital admission, where diagnosis is likely to have involved imaging studies and laboratory investigations.</w:t>
      </w:r>
    </w:p>
    <w:p w:rsidR="00675E77" w:rsidRDefault="00675E77" w:rsidP="00D52262">
      <w:pPr>
        <w:pStyle w:val="HeaderTable"/>
      </w:pPr>
      <w:bookmarkStart w:id="90" w:name="_Ref467433219"/>
      <w:bookmarkStart w:id="91" w:name="_Toc468022890"/>
      <w:bookmarkStart w:id="92" w:name="_Toc468034543"/>
      <w:bookmarkStart w:id="93" w:name="_Toc480373304"/>
      <w:bookmarkStart w:id="94" w:name="_Toc486515199"/>
      <w:r>
        <w:t xml:space="preserve">Table </w:t>
      </w:r>
      <w:r w:rsidR="00356377">
        <w:rPr>
          <w:noProof/>
        </w:rPr>
        <w:t>4</w:t>
      </w:r>
      <w:r>
        <w:t>.</w:t>
      </w:r>
      <w:r w:rsidR="00356377">
        <w:rPr>
          <w:noProof/>
        </w:rPr>
        <w:t>9</w:t>
      </w:r>
      <w:bookmarkEnd w:id="90"/>
      <w:r>
        <w:tab/>
        <w:t>Inclusion and exclusion criteria for Kew (2014)</w:t>
      </w:r>
      <w:bookmarkEnd w:id="91"/>
      <w:bookmarkEnd w:id="92"/>
      <w:bookmarkEnd w:id="93"/>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Inclusion and exclusion criteria for Kew (2014)"/>
      </w:tblPr>
      <w:tblGrid>
        <w:gridCol w:w="6030"/>
        <w:gridCol w:w="3618"/>
      </w:tblGrid>
      <w:tr w:rsidR="00675E77" w:rsidRPr="00AA7C86" w:rsidTr="00675E77">
        <w:trPr>
          <w:cantSplit/>
          <w:tblHeader/>
        </w:trPr>
        <w:tc>
          <w:tcPr>
            <w:tcW w:w="3125" w:type="pct"/>
            <w:shd w:val="clear" w:color="auto" w:fill="BFBFBF"/>
          </w:tcPr>
          <w:p w:rsidR="00675E77" w:rsidRPr="00AA7C86" w:rsidRDefault="00675E77" w:rsidP="00675E77">
            <w:pPr>
              <w:pStyle w:val="01TableHEADINGleftaligned"/>
            </w:pPr>
            <w:r w:rsidRPr="00AA7C86">
              <w:t>Inclusion/exclusion criteria</w:t>
            </w:r>
          </w:p>
        </w:tc>
        <w:tc>
          <w:tcPr>
            <w:tcW w:w="1875" w:type="pct"/>
            <w:shd w:val="clear" w:color="auto" w:fill="BFBFBF"/>
          </w:tcPr>
          <w:p w:rsidR="00675E77" w:rsidRPr="00AA7C86" w:rsidRDefault="00675E77" w:rsidP="00675E77">
            <w:pPr>
              <w:pStyle w:val="01TableHEADINGleftaligned"/>
            </w:pPr>
            <w:r w:rsidRPr="00AA7C86">
              <w:t>Outcomes</w:t>
            </w:r>
          </w:p>
        </w:tc>
      </w:tr>
      <w:tr w:rsidR="00675E77" w:rsidRPr="000662F1" w:rsidTr="00675E77">
        <w:trPr>
          <w:cantSplit/>
        </w:trPr>
        <w:tc>
          <w:tcPr>
            <w:tcW w:w="3125" w:type="pct"/>
            <w:shd w:val="clear" w:color="auto" w:fill="auto"/>
          </w:tcPr>
          <w:p w:rsidR="00675E77" w:rsidRPr="00534393" w:rsidRDefault="00675E77" w:rsidP="00675E77">
            <w:pPr>
              <w:pStyle w:val="05Tabletext"/>
              <w:rPr>
                <w:u w:val="single"/>
              </w:rPr>
            </w:pPr>
            <w:r w:rsidRPr="00534393">
              <w:rPr>
                <w:u w:val="single"/>
              </w:rPr>
              <w:t>Study design:</w:t>
            </w:r>
          </w:p>
          <w:p w:rsidR="00675E77" w:rsidRPr="00534393" w:rsidRDefault="00675E77" w:rsidP="00675E77">
            <w:pPr>
              <w:pStyle w:val="07Tablebullet"/>
            </w:pPr>
            <w:r w:rsidRPr="00534393">
              <w:t>RCTs of parallel</w:t>
            </w:r>
            <w:r w:rsidR="00A51279">
              <w:t>-</w:t>
            </w:r>
            <w:r w:rsidRPr="00534393">
              <w:t>group design</w:t>
            </w:r>
          </w:p>
          <w:p w:rsidR="00675E77" w:rsidRPr="00534393" w:rsidRDefault="00675E77" w:rsidP="00675E77">
            <w:pPr>
              <w:pStyle w:val="07Tablebullet"/>
            </w:pPr>
            <w:r w:rsidRPr="00534393">
              <w:t>at least 12 weeks’ duration</w:t>
            </w:r>
          </w:p>
          <w:p w:rsidR="00675E77" w:rsidRPr="00534393" w:rsidRDefault="00675E77" w:rsidP="00675E77">
            <w:pPr>
              <w:pStyle w:val="06Tabletextspacebefore"/>
              <w:rPr>
                <w:u w:val="single"/>
              </w:rPr>
            </w:pPr>
            <w:r w:rsidRPr="00534393">
              <w:rPr>
                <w:u w:val="single"/>
              </w:rPr>
              <w:t>Interventions:</w:t>
            </w:r>
          </w:p>
          <w:p w:rsidR="00675E77" w:rsidRPr="00534393" w:rsidRDefault="00675E77" w:rsidP="00675E77">
            <w:pPr>
              <w:pStyle w:val="07Tablebullet"/>
            </w:pPr>
            <w:r w:rsidRPr="00534393">
              <w:t>FLU/SAL vs SAL</w:t>
            </w:r>
            <w:r>
              <w:t xml:space="preserve">; </w:t>
            </w:r>
            <w:r w:rsidRPr="00534393">
              <w:t>BUD/EFO vs EFO</w:t>
            </w:r>
            <w:r>
              <w:t xml:space="preserve">; </w:t>
            </w:r>
            <w:r w:rsidRPr="00534393">
              <w:t>FLU/VIL vs VIL</w:t>
            </w:r>
          </w:p>
          <w:p w:rsidR="00675E77" w:rsidRDefault="00675E77" w:rsidP="00675E77">
            <w:pPr>
              <w:pStyle w:val="07Tablebullet"/>
            </w:pPr>
            <w:r w:rsidRPr="00534393">
              <w:t>FLU or BUD vs placebo</w:t>
            </w:r>
          </w:p>
          <w:p w:rsidR="00675E77" w:rsidRPr="00534393" w:rsidRDefault="00675E77" w:rsidP="00675E77">
            <w:pPr>
              <w:pStyle w:val="07Tablebullet"/>
            </w:pPr>
            <w:r w:rsidRPr="00534393">
              <w:t>FLU vs BUD</w:t>
            </w:r>
          </w:p>
          <w:p w:rsidR="00675E77" w:rsidRDefault="00675E77" w:rsidP="00675E77">
            <w:pPr>
              <w:pStyle w:val="07Tablebullet"/>
            </w:pPr>
            <w:r w:rsidRPr="00534393">
              <w:t xml:space="preserve">FLU/SAL </w:t>
            </w:r>
            <w:r>
              <w:t xml:space="preserve">or </w:t>
            </w:r>
            <w:r w:rsidRPr="00534393">
              <w:t>FLU/VIL vs BUD/</w:t>
            </w:r>
            <w:r>
              <w:t>EFO</w:t>
            </w:r>
          </w:p>
          <w:p w:rsidR="00675E77" w:rsidRPr="00534393" w:rsidRDefault="00675E77" w:rsidP="00675E77">
            <w:pPr>
              <w:pStyle w:val="06Tabletextspacebefore"/>
            </w:pPr>
            <w:r>
              <w:t>Triple therapy studies were excluded (e.g. BUD/EFO + TIO vs EFO + TIO).</w:t>
            </w:r>
          </w:p>
        </w:tc>
        <w:tc>
          <w:tcPr>
            <w:tcW w:w="1875" w:type="pct"/>
          </w:tcPr>
          <w:p w:rsidR="00675E77" w:rsidRPr="00C47782" w:rsidRDefault="00675E77" w:rsidP="00675E77">
            <w:pPr>
              <w:pStyle w:val="05Tabletext"/>
              <w:rPr>
                <w:u w:val="single"/>
              </w:rPr>
            </w:pPr>
            <w:r w:rsidRPr="00C47782">
              <w:rPr>
                <w:u w:val="single"/>
              </w:rPr>
              <w:t>Primary:</w:t>
            </w:r>
          </w:p>
          <w:p w:rsidR="00675E77" w:rsidRDefault="00675E77" w:rsidP="00675E77">
            <w:pPr>
              <w:pStyle w:val="07Tablebullet"/>
            </w:pPr>
            <w:r>
              <w:t>non-fatal pneumonia SAE</w:t>
            </w:r>
          </w:p>
          <w:p w:rsidR="00675E77" w:rsidRPr="00C47782" w:rsidRDefault="00675E77" w:rsidP="00675E77">
            <w:pPr>
              <w:pStyle w:val="06Tabletextspacebefore"/>
              <w:rPr>
                <w:u w:val="single"/>
              </w:rPr>
            </w:pPr>
            <w:r w:rsidRPr="00C47782">
              <w:rPr>
                <w:u w:val="single"/>
              </w:rPr>
              <w:t>Secondary:</w:t>
            </w:r>
          </w:p>
          <w:p w:rsidR="00675E77" w:rsidRDefault="00675E77" w:rsidP="00675E77">
            <w:pPr>
              <w:pStyle w:val="07Tablebullet"/>
            </w:pPr>
            <w:r>
              <w:t>mortality due to pneumonia</w:t>
            </w:r>
          </w:p>
          <w:p w:rsidR="00675E77" w:rsidRPr="00FA44AA" w:rsidRDefault="00675E77" w:rsidP="00675E77">
            <w:pPr>
              <w:pStyle w:val="07Tablebullet"/>
              <w:rPr>
                <w:u w:val="single"/>
              </w:rPr>
            </w:pPr>
            <w:r>
              <w:t>all pneumonia events</w:t>
            </w:r>
          </w:p>
          <w:p w:rsidR="00675E77" w:rsidRDefault="00675E77" w:rsidP="00675E77">
            <w:pPr>
              <w:pStyle w:val="07Tablebullet"/>
            </w:pPr>
            <w:r>
              <w:t>mortality, all</w:t>
            </w:r>
            <w:r w:rsidR="00D4474B">
              <w:t>-</w:t>
            </w:r>
            <w:r>
              <w:t>cause</w:t>
            </w:r>
          </w:p>
          <w:p w:rsidR="00675E77" w:rsidRDefault="00675E77" w:rsidP="00675E77">
            <w:pPr>
              <w:pStyle w:val="07Tablebullet"/>
            </w:pPr>
            <w:r>
              <w:t>non-fatal SAE</w:t>
            </w:r>
          </w:p>
          <w:p w:rsidR="00675E77" w:rsidRPr="00534393" w:rsidRDefault="00675E77" w:rsidP="00675E77">
            <w:pPr>
              <w:pStyle w:val="07Tablebullet"/>
              <w:rPr>
                <w:u w:val="single"/>
              </w:rPr>
            </w:pPr>
            <w:r>
              <w:t>withdrawals</w:t>
            </w:r>
          </w:p>
        </w:tc>
      </w:tr>
    </w:tbl>
    <w:p w:rsidR="00675E77" w:rsidRDefault="00675E77" w:rsidP="00675E77">
      <w:pPr>
        <w:pStyle w:val="11TableorFigurefootnotenostick"/>
      </w:pPr>
      <w:r>
        <w:t xml:space="preserve">Abbreviations: Abbreviations: BUD, budesonide; COPD, chronic obstructive pulmonary disease; EFO, </w:t>
      </w:r>
      <w:proofErr w:type="spellStart"/>
      <w:r>
        <w:t>eformoterol</w:t>
      </w:r>
      <w:proofErr w:type="spellEnd"/>
      <w:r>
        <w:t xml:space="preserve">; FLU, fluticasone; RCT, randomised controlled trial; SAL, salmeterol; VIL, </w:t>
      </w:r>
      <w:proofErr w:type="spellStart"/>
      <w:r>
        <w:t>vilanterol</w:t>
      </w:r>
      <w:proofErr w:type="spellEnd"/>
      <w:r>
        <w:t>; vs, versus</w:t>
      </w:r>
      <w:r w:rsidR="00BE2B33">
        <w:t xml:space="preserve">; FLU/SAL, fluticasone propionate/salmeterol; FLU/VIL, fluticasone </w:t>
      </w:r>
      <w:proofErr w:type="spellStart"/>
      <w:r w:rsidR="00BE2B33">
        <w:t>furoate</w:t>
      </w:r>
      <w:proofErr w:type="spellEnd"/>
      <w:r w:rsidR="00BE2B33">
        <w:t>/</w:t>
      </w:r>
      <w:proofErr w:type="spellStart"/>
      <w:r w:rsidR="00BE2B33">
        <w:t>vilanterol</w:t>
      </w:r>
      <w:proofErr w:type="spellEnd"/>
      <w:r w:rsidR="00BE2B33">
        <w:t>.</w:t>
      </w:r>
    </w:p>
    <w:p w:rsidR="00675E77" w:rsidRPr="001F6A4C" w:rsidRDefault="00675E77" w:rsidP="00675E77">
      <w:pPr>
        <w:pStyle w:val="Heading6"/>
        <w:numPr>
          <w:ilvl w:val="0"/>
          <w:numId w:val="0"/>
        </w:numPr>
        <w:rPr>
          <w:b/>
        </w:rPr>
      </w:pPr>
      <w:r w:rsidRPr="001F6A4C">
        <w:rPr>
          <w:b/>
        </w:rPr>
        <w:t>Evidence base</w:t>
      </w:r>
    </w:p>
    <w:p w:rsidR="00675E77" w:rsidRDefault="00356377" w:rsidP="00675E77">
      <w:pPr>
        <w:pStyle w:val="BodyTextnospacebefore"/>
      </w:pPr>
      <w:r>
        <w:t xml:space="preserve">Table </w:t>
      </w:r>
      <w:r>
        <w:rPr>
          <w:noProof/>
        </w:rPr>
        <w:t>4</w:t>
      </w:r>
      <w:r>
        <w:t>.</w:t>
      </w:r>
      <w:r>
        <w:rPr>
          <w:noProof/>
        </w:rPr>
        <w:t>10</w:t>
      </w:r>
      <w:r w:rsidR="00675E77">
        <w:t xml:space="preserve"> shows the 43 studies included in Kew (2014): 26 for fluticasone (N = 21,247) and 17 for budesonide (N = 10,067). The types of comparisons performed in each study (e.g. ICS versus placebo) </w:t>
      </w:r>
      <w:r w:rsidR="00567AFC">
        <w:t>are</w:t>
      </w:r>
      <w:r w:rsidR="00675E77">
        <w:t xml:space="preserve"> indicated. As not all studies report all outcomes, the meta-analyses to which these studies contribute </w:t>
      </w:r>
      <w:r w:rsidR="00567AFC">
        <w:t>are</w:t>
      </w:r>
      <w:r w:rsidR="00675E77">
        <w:t xml:space="preserve"> also shown.</w:t>
      </w:r>
    </w:p>
    <w:p w:rsidR="00675E77" w:rsidRPr="00DF40BA" w:rsidRDefault="00675E77" w:rsidP="00675E77">
      <w:pPr>
        <w:pStyle w:val="BodyText"/>
      </w:pPr>
      <w:r>
        <w:t>The dosages for the main intervention using the highest dose are listed; these are the same as doses used in Australia for COPD with the exception of fluticasone</w:t>
      </w:r>
      <w:r w:rsidR="00616993">
        <w:t xml:space="preserve"> </w:t>
      </w:r>
      <w:proofErr w:type="spellStart"/>
      <w:r w:rsidR="00616993">
        <w:t>furoate</w:t>
      </w:r>
      <w:proofErr w:type="spellEnd"/>
      <w:r>
        <w:t>/</w:t>
      </w:r>
      <w:proofErr w:type="spellStart"/>
      <w:r>
        <w:t>vilanterol</w:t>
      </w:r>
      <w:proofErr w:type="spellEnd"/>
      <w:r>
        <w:t xml:space="preserve">, for which all studies include arms with twice the </w:t>
      </w:r>
      <w:r w:rsidR="003F6B25">
        <w:t>PBS listed</w:t>
      </w:r>
      <w:r>
        <w:t xml:space="preserve"> dose for COPD, or more. These studies contribute a combined weight of between 7% and 10% to the fluticasone meta-analyses.</w:t>
      </w:r>
    </w:p>
    <w:p w:rsidR="00675E77" w:rsidRDefault="00675E77" w:rsidP="00D52262">
      <w:pPr>
        <w:pStyle w:val="HeaderTable"/>
        <w:jc w:val="left"/>
      </w:pPr>
      <w:bookmarkStart w:id="95" w:name="_Ref467510218"/>
      <w:bookmarkStart w:id="96" w:name="_Toc468022891"/>
      <w:bookmarkStart w:id="97" w:name="_Toc468034544"/>
      <w:bookmarkStart w:id="98" w:name="_Toc480373305"/>
      <w:bookmarkStart w:id="99" w:name="_Toc486515200"/>
      <w:r>
        <w:lastRenderedPageBreak/>
        <w:t xml:space="preserve">Table </w:t>
      </w:r>
      <w:r w:rsidR="00356377">
        <w:rPr>
          <w:noProof/>
        </w:rPr>
        <w:t>4</w:t>
      </w:r>
      <w:r>
        <w:t>.</w:t>
      </w:r>
      <w:r w:rsidR="00356377">
        <w:rPr>
          <w:noProof/>
        </w:rPr>
        <w:t>10</w:t>
      </w:r>
      <w:bookmarkEnd w:id="95"/>
      <w:r>
        <w:tab/>
        <w:t>Fluticasone and budesonide studies, showing comparison types, doses and meta-analyses inclusion – Kew 2014</w:t>
      </w:r>
      <w:bookmarkEnd w:id="96"/>
      <w:bookmarkEnd w:id="97"/>
      <w:bookmarkEnd w:id="98"/>
      <w:bookmarkEnd w:id="99"/>
    </w:p>
    <w:tbl>
      <w:tblPr>
        <w:tblW w:w="961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Description w:val="Fluticasone and budesonide studies, showing comparison types, doses and meta-analyses inclusion – Kew 2014"/>
      </w:tblPr>
      <w:tblGrid>
        <w:gridCol w:w="1417"/>
        <w:gridCol w:w="1782"/>
        <w:gridCol w:w="850"/>
        <w:gridCol w:w="567"/>
        <w:gridCol w:w="833"/>
        <w:gridCol w:w="834"/>
        <w:gridCol w:w="834"/>
        <w:gridCol w:w="834"/>
        <w:gridCol w:w="834"/>
        <w:gridCol w:w="834"/>
      </w:tblGrid>
      <w:tr w:rsidR="00675E77" w:rsidRPr="00A27A1B" w:rsidTr="00A27A1B">
        <w:trPr>
          <w:cantSplit/>
          <w:tblHeader/>
        </w:trPr>
        <w:tc>
          <w:tcPr>
            <w:tcW w:w="1417" w:type="dxa"/>
            <w:shd w:val="clear" w:color="auto" w:fill="BFBFBF"/>
          </w:tcPr>
          <w:p w:rsidR="00675E77" w:rsidRPr="00A27A1B" w:rsidRDefault="00675E77" w:rsidP="00675E77">
            <w:pPr>
              <w:pStyle w:val="01TableHEADINGleftaligned"/>
              <w:rPr>
                <w:sz w:val="16"/>
                <w:szCs w:val="16"/>
              </w:rPr>
            </w:pPr>
            <w:r w:rsidRPr="00A27A1B">
              <w:rPr>
                <w:sz w:val="16"/>
                <w:szCs w:val="16"/>
              </w:rPr>
              <w:t>Comparison type</w:t>
            </w:r>
          </w:p>
        </w:tc>
        <w:tc>
          <w:tcPr>
            <w:tcW w:w="1782" w:type="dxa"/>
            <w:shd w:val="clear" w:color="auto" w:fill="BFBFBF"/>
          </w:tcPr>
          <w:p w:rsidR="00675E77" w:rsidRPr="00A27A1B" w:rsidRDefault="00675E77" w:rsidP="00675E77">
            <w:pPr>
              <w:pStyle w:val="01TableHEADINGleftaligned"/>
              <w:rPr>
                <w:sz w:val="16"/>
                <w:szCs w:val="16"/>
              </w:rPr>
            </w:pPr>
            <w:r w:rsidRPr="00A27A1B">
              <w:rPr>
                <w:sz w:val="16"/>
                <w:szCs w:val="16"/>
              </w:rPr>
              <w:t>Ref ID</w:t>
            </w:r>
          </w:p>
        </w:tc>
        <w:tc>
          <w:tcPr>
            <w:tcW w:w="850" w:type="dxa"/>
            <w:shd w:val="clear" w:color="auto" w:fill="BFBFBF"/>
          </w:tcPr>
          <w:p w:rsidR="00675E77" w:rsidRPr="00A27A1B" w:rsidRDefault="00675E77" w:rsidP="00A27A1B">
            <w:pPr>
              <w:pStyle w:val="01TableHEADINGleftaligned"/>
              <w:ind w:right="0"/>
              <w:rPr>
                <w:sz w:val="16"/>
                <w:szCs w:val="16"/>
              </w:rPr>
            </w:pPr>
            <w:r w:rsidRPr="00A27A1B">
              <w:rPr>
                <w:sz w:val="16"/>
                <w:szCs w:val="16"/>
              </w:rPr>
              <w:t>Main intervention arm</w:t>
            </w:r>
          </w:p>
        </w:tc>
        <w:tc>
          <w:tcPr>
            <w:tcW w:w="567" w:type="dxa"/>
            <w:shd w:val="clear" w:color="auto" w:fill="BFBFBF"/>
          </w:tcPr>
          <w:p w:rsidR="00675E77" w:rsidRPr="00A27A1B" w:rsidRDefault="00675E77" w:rsidP="00A27A1B">
            <w:pPr>
              <w:pStyle w:val="01TableHEADINGleftaligned"/>
              <w:rPr>
                <w:sz w:val="16"/>
                <w:szCs w:val="16"/>
              </w:rPr>
            </w:pPr>
            <w:r w:rsidRPr="00A27A1B">
              <w:rPr>
                <w:sz w:val="16"/>
                <w:szCs w:val="16"/>
              </w:rPr>
              <w:t>Dose (</w:t>
            </w:r>
            <w:proofErr w:type="spellStart"/>
            <w:r w:rsidRPr="00A27A1B">
              <w:rPr>
                <w:sz w:val="16"/>
                <w:szCs w:val="16"/>
              </w:rPr>
              <w:t>μg</w:t>
            </w:r>
            <w:proofErr w:type="spellEnd"/>
            <w:r w:rsidRPr="00A27A1B">
              <w:rPr>
                <w:sz w:val="16"/>
                <w:szCs w:val="16"/>
              </w:rPr>
              <w:t>)</w:t>
            </w:r>
            <w:r w:rsidRPr="00A27A1B">
              <w:rPr>
                <w:rStyle w:val="FootnoteReference"/>
                <w:sz w:val="16"/>
                <w:szCs w:val="16"/>
              </w:rPr>
              <w:footnoteReference w:id="16"/>
            </w:r>
          </w:p>
        </w:tc>
        <w:tc>
          <w:tcPr>
            <w:tcW w:w="833" w:type="dxa"/>
            <w:shd w:val="clear" w:color="auto" w:fill="BFBFBF"/>
          </w:tcPr>
          <w:p w:rsidR="00675E77" w:rsidRPr="00A27A1B" w:rsidRDefault="00675E77" w:rsidP="00A27A1B">
            <w:pPr>
              <w:pStyle w:val="01TableHEADINGleftaligned"/>
              <w:rPr>
                <w:sz w:val="16"/>
                <w:szCs w:val="16"/>
              </w:rPr>
            </w:pPr>
            <w:r w:rsidRPr="00A27A1B">
              <w:rPr>
                <w:sz w:val="16"/>
                <w:szCs w:val="16"/>
              </w:rPr>
              <w:t>Non-fatal pneumonia SAE</w:t>
            </w:r>
          </w:p>
        </w:tc>
        <w:tc>
          <w:tcPr>
            <w:tcW w:w="834" w:type="dxa"/>
            <w:shd w:val="clear" w:color="auto" w:fill="BFBFBF"/>
          </w:tcPr>
          <w:p w:rsidR="00675E77" w:rsidRPr="00A27A1B" w:rsidRDefault="00675E77" w:rsidP="00A27A1B">
            <w:pPr>
              <w:pStyle w:val="01TableHEADINGleftaligned"/>
              <w:rPr>
                <w:sz w:val="16"/>
                <w:szCs w:val="16"/>
              </w:rPr>
            </w:pPr>
            <w:r w:rsidRPr="00A27A1B">
              <w:rPr>
                <w:sz w:val="16"/>
                <w:szCs w:val="16"/>
              </w:rPr>
              <w:t>All pneumonia</w:t>
            </w:r>
          </w:p>
        </w:tc>
        <w:tc>
          <w:tcPr>
            <w:tcW w:w="834" w:type="dxa"/>
            <w:shd w:val="clear" w:color="auto" w:fill="BFBFBF"/>
          </w:tcPr>
          <w:p w:rsidR="00675E77" w:rsidRPr="00A27A1B" w:rsidRDefault="00675E77" w:rsidP="00A27A1B">
            <w:pPr>
              <w:pStyle w:val="01TableHEADINGleftaligned"/>
              <w:rPr>
                <w:sz w:val="16"/>
                <w:szCs w:val="16"/>
              </w:rPr>
            </w:pPr>
            <w:r w:rsidRPr="00A27A1B">
              <w:rPr>
                <w:sz w:val="16"/>
                <w:szCs w:val="16"/>
              </w:rPr>
              <w:t xml:space="preserve">Mortality, </w:t>
            </w:r>
            <w:proofErr w:type="spellStart"/>
            <w:r w:rsidRPr="00A27A1B">
              <w:rPr>
                <w:sz w:val="16"/>
                <w:szCs w:val="16"/>
              </w:rPr>
              <w:t>pnuemonia</w:t>
            </w:r>
            <w:proofErr w:type="spellEnd"/>
          </w:p>
        </w:tc>
        <w:tc>
          <w:tcPr>
            <w:tcW w:w="834" w:type="dxa"/>
            <w:shd w:val="clear" w:color="auto" w:fill="BFBFBF"/>
          </w:tcPr>
          <w:p w:rsidR="00675E77" w:rsidRPr="00A27A1B" w:rsidRDefault="00675E77" w:rsidP="00A27A1B">
            <w:pPr>
              <w:pStyle w:val="01TableHEADINGleftaligned"/>
              <w:rPr>
                <w:sz w:val="16"/>
                <w:szCs w:val="16"/>
              </w:rPr>
            </w:pPr>
            <w:r w:rsidRPr="00A27A1B">
              <w:rPr>
                <w:sz w:val="16"/>
                <w:szCs w:val="16"/>
              </w:rPr>
              <w:t>Mortality, all</w:t>
            </w:r>
            <w:r w:rsidR="00D4474B">
              <w:rPr>
                <w:sz w:val="16"/>
                <w:szCs w:val="16"/>
              </w:rPr>
              <w:t>-</w:t>
            </w:r>
            <w:r w:rsidRPr="00A27A1B">
              <w:rPr>
                <w:sz w:val="16"/>
                <w:szCs w:val="16"/>
              </w:rPr>
              <w:t>cause</w:t>
            </w:r>
          </w:p>
        </w:tc>
        <w:tc>
          <w:tcPr>
            <w:tcW w:w="834" w:type="dxa"/>
            <w:shd w:val="clear" w:color="auto" w:fill="BFBFBF"/>
          </w:tcPr>
          <w:p w:rsidR="00675E77" w:rsidRPr="00A27A1B" w:rsidRDefault="00675E77" w:rsidP="00A27A1B">
            <w:pPr>
              <w:pStyle w:val="01TableHEADINGleftaligned"/>
              <w:rPr>
                <w:sz w:val="16"/>
                <w:szCs w:val="16"/>
              </w:rPr>
            </w:pPr>
            <w:r w:rsidRPr="00A27A1B">
              <w:rPr>
                <w:sz w:val="16"/>
                <w:szCs w:val="16"/>
              </w:rPr>
              <w:t>SAEs –</w:t>
            </w:r>
            <w:r w:rsidR="00A27A1B">
              <w:rPr>
                <w:sz w:val="16"/>
                <w:szCs w:val="16"/>
              </w:rPr>
              <w:t xml:space="preserve"> </w:t>
            </w:r>
            <w:r w:rsidRPr="00A27A1B">
              <w:rPr>
                <w:sz w:val="16"/>
                <w:szCs w:val="16"/>
              </w:rPr>
              <w:t>non-fatal</w:t>
            </w:r>
          </w:p>
        </w:tc>
        <w:tc>
          <w:tcPr>
            <w:tcW w:w="834" w:type="dxa"/>
            <w:shd w:val="clear" w:color="auto" w:fill="BFBFBF"/>
          </w:tcPr>
          <w:p w:rsidR="00675E77" w:rsidRPr="00A27A1B" w:rsidRDefault="00675E77" w:rsidP="00A27A1B">
            <w:pPr>
              <w:pStyle w:val="01TableHEADINGleftaligned"/>
              <w:rPr>
                <w:sz w:val="16"/>
                <w:szCs w:val="16"/>
              </w:rPr>
            </w:pPr>
            <w:r w:rsidRPr="00A27A1B">
              <w:rPr>
                <w:sz w:val="16"/>
                <w:szCs w:val="16"/>
              </w:rPr>
              <w:t>With</w:t>
            </w:r>
            <w:r w:rsidR="00A27A1B" w:rsidRPr="00A27A1B">
              <w:rPr>
                <w:sz w:val="16"/>
                <w:szCs w:val="16"/>
              </w:rPr>
              <w:t>-</w:t>
            </w:r>
            <w:proofErr w:type="spellStart"/>
            <w:r w:rsidRPr="00A27A1B">
              <w:rPr>
                <w:sz w:val="16"/>
                <w:szCs w:val="16"/>
              </w:rPr>
              <w:t>drawals</w:t>
            </w:r>
            <w:proofErr w:type="spellEnd"/>
            <w:r w:rsidRPr="00A27A1B">
              <w:rPr>
                <w:rStyle w:val="FootnoteReference"/>
                <w:sz w:val="16"/>
                <w:szCs w:val="16"/>
              </w:rPr>
              <w:footnoteReference w:id="17"/>
            </w:r>
          </w:p>
        </w:tc>
      </w:tr>
      <w:tr w:rsidR="00675E77" w:rsidRPr="00A27A1B" w:rsidTr="00A27A1B">
        <w:trPr>
          <w:cantSplit/>
        </w:trPr>
        <w:tc>
          <w:tcPr>
            <w:tcW w:w="1417" w:type="dxa"/>
            <w:shd w:val="clear" w:color="auto" w:fill="000000"/>
          </w:tcPr>
          <w:p w:rsidR="00675E77" w:rsidRPr="00A27A1B" w:rsidRDefault="00675E77" w:rsidP="00675E77">
            <w:pPr>
              <w:pStyle w:val="04Tablesubheading"/>
              <w:rPr>
                <w:sz w:val="16"/>
                <w:szCs w:val="16"/>
              </w:rPr>
            </w:pPr>
            <w:r w:rsidRPr="00A27A1B">
              <w:rPr>
                <w:sz w:val="16"/>
                <w:szCs w:val="16"/>
              </w:rPr>
              <w:t>Fluticasone</w:t>
            </w:r>
          </w:p>
        </w:tc>
        <w:tc>
          <w:tcPr>
            <w:tcW w:w="1782" w:type="dxa"/>
            <w:shd w:val="clear" w:color="auto" w:fill="000000"/>
          </w:tcPr>
          <w:p w:rsidR="00675E77" w:rsidRPr="00A27A1B" w:rsidRDefault="00675E77" w:rsidP="00675E77">
            <w:pPr>
              <w:pStyle w:val="04Tablesubheading"/>
              <w:rPr>
                <w:sz w:val="16"/>
                <w:szCs w:val="16"/>
              </w:rPr>
            </w:pPr>
          </w:p>
        </w:tc>
        <w:tc>
          <w:tcPr>
            <w:tcW w:w="850" w:type="dxa"/>
            <w:shd w:val="clear" w:color="auto" w:fill="000000"/>
          </w:tcPr>
          <w:p w:rsidR="00675E77" w:rsidRPr="00A27A1B" w:rsidRDefault="00675E77" w:rsidP="00675E77">
            <w:pPr>
              <w:pStyle w:val="04Tablesubheading"/>
              <w:rPr>
                <w:sz w:val="16"/>
                <w:szCs w:val="16"/>
              </w:rPr>
            </w:pPr>
          </w:p>
        </w:tc>
        <w:tc>
          <w:tcPr>
            <w:tcW w:w="567" w:type="dxa"/>
            <w:shd w:val="clear" w:color="auto" w:fill="000000"/>
          </w:tcPr>
          <w:p w:rsidR="00675E77" w:rsidRPr="00A27A1B" w:rsidRDefault="00675E77" w:rsidP="00675E77">
            <w:pPr>
              <w:pStyle w:val="04Tablesubheading"/>
              <w:rPr>
                <w:sz w:val="16"/>
                <w:szCs w:val="16"/>
              </w:rPr>
            </w:pPr>
          </w:p>
        </w:tc>
        <w:tc>
          <w:tcPr>
            <w:tcW w:w="833"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Bourbeau</w:t>
            </w:r>
            <w:proofErr w:type="spellEnd"/>
            <w:r w:rsidRPr="00A27A1B">
              <w:rPr>
                <w:sz w:val="16"/>
                <w:szCs w:val="16"/>
              </w:rPr>
              <w:t xml:space="preserve"> (2007)</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Burge (2000)</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Choudhury (2005)</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FLTA3025 (2005)</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SCO30002 (2005)</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Hattotuwa</w:t>
            </w:r>
            <w:proofErr w:type="spellEnd"/>
            <w:r w:rsidRPr="00A27A1B">
              <w:rPr>
                <w:sz w:val="16"/>
                <w:szCs w:val="16"/>
              </w:rPr>
              <w:t xml:space="preserve"> (2002)</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Lapperre</w:t>
            </w:r>
            <w:proofErr w:type="spellEnd"/>
            <w:r w:rsidRPr="00A27A1B">
              <w:rPr>
                <w:sz w:val="16"/>
                <w:szCs w:val="16"/>
              </w:rPr>
              <w:t xml:space="preserve"> (2009)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Paggiaro</w:t>
            </w:r>
            <w:proofErr w:type="spellEnd"/>
            <w:r w:rsidRPr="00A27A1B">
              <w:rPr>
                <w:sz w:val="16"/>
                <w:szCs w:val="16"/>
              </w:rPr>
              <w:t xml:space="preserve"> (1998)</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Schermer</w:t>
            </w:r>
            <w:proofErr w:type="spellEnd"/>
            <w:r w:rsidRPr="00A27A1B">
              <w:rPr>
                <w:sz w:val="16"/>
                <w:szCs w:val="16"/>
              </w:rPr>
              <w:t xml:space="preserve"> (2009)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 xml:space="preserve">van </w:t>
            </w:r>
            <w:proofErr w:type="spellStart"/>
            <w:r w:rsidRPr="00A27A1B">
              <w:rPr>
                <w:sz w:val="16"/>
                <w:szCs w:val="16"/>
              </w:rPr>
              <w:t>Grunsven</w:t>
            </w:r>
            <w:proofErr w:type="spellEnd"/>
            <w:r w:rsidRPr="00A27A1B">
              <w:rPr>
                <w:sz w:val="16"/>
                <w:szCs w:val="16"/>
              </w:rPr>
              <w:t xml:space="preserve"> (2003)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Verhoeven</w:t>
            </w:r>
            <w:proofErr w:type="spellEnd"/>
            <w:r w:rsidRPr="00A27A1B">
              <w:rPr>
                <w:sz w:val="16"/>
                <w:szCs w:val="16"/>
              </w:rPr>
              <w:t xml:space="preserve"> (2002)</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Calverley (2003) - TRISTAN</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Calverley (2007) - TORCH</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SCO104925 (2008)</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Hanania</w:t>
            </w:r>
            <w:proofErr w:type="spellEnd"/>
            <w:r w:rsidRPr="00A27A1B">
              <w:rPr>
                <w:sz w:val="16"/>
                <w:szCs w:val="16"/>
              </w:rPr>
              <w:t xml:space="preserve"> (2003)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Kerwin</w:t>
            </w:r>
            <w:proofErr w:type="spellEnd"/>
            <w:r w:rsidRPr="00A27A1B">
              <w:rPr>
                <w:sz w:val="16"/>
                <w:szCs w:val="16"/>
              </w:rPr>
              <w:t xml:space="preserve"> (2013)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FLU/VIL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100/25</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Mahler (2002)</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Martinez (2013)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FLU/VIL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200/25</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Anzueto</w:t>
            </w:r>
            <w:proofErr w:type="spellEnd"/>
            <w:r w:rsidRPr="00A27A1B">
              <w:rPr>
                <w:sz w:val="16"/>
                <w:szCs w:val="16"/>
              </w:rPr>
              <w:t xml:space="preserve"> (2009)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Dal Negro (2003)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Dransfield</w:t>
            </w:r>
            <w:proofErr w:type="spellEnd"/>
            <w:r w:rsidRPr="00A27A1B">
              <w:rPr>
                <w:sz w:val="16"/>
                <w:szCs w:val="16"/>
              </w:rPr>
              <w:t xml:space="preserve"> (2013)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FLU/VIL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200/25</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Ferguson (2008)</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FCO30002 (2005)</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SCO100470 (2006)</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SCO40041 (2008)</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250/50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Kardos</w:t>
            </w:r>
            <w:proofErr w:type="spellEnd"/>
            <w:r w:rsidRPr="00A27A1B">
              <w:rPr>
                <w:sz w:val="16"/>
                <w:szCs w:val="16"/>
              </w:rPr>
              <w:t xml:space="preserve"> (2007)</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FLU/SAL</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500/50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000000"/>
          </w:tcPr>
          <w:p w:rsidR="00675E77" w:rsidRPr="00A27A1B" w:rsidRDefault="00675E77" w:rsidP="00675E77">
            <w:pPr>
              <w:pStyle w:val="04Tablesubheading"/>
              <w:rPr>
                <w:sz w:val="16"/>
                <w:szCs w:val="16"/>
              </w:rPr>
            </w:pPr>
            <w:r w:rsidRPr="00A27A1B">
              <w:rPr>
                <w:sz w:val="16"/>
                <w:szCs w:val="16"/>
              </w:rPr>
              <w:t>Budesonide</w:t>
            </w:r>
          </w:p>
        </w:tc>
        <w:tc>
          <w:tcPr>
            <w:tcW w:w="1782" w:type="dxa"/>
            <w:shd w:val="clear" w:color="auto" w:fill="000000"/>
          </w:tcPr>
          <w:p w:rsidR="00675E77" w:rsidRPr="00A27A1B" w:rsidRDefault="00675E77" w:rsidP="00675E77">
            <w:pPr>
              <w:pStyle w:val="04Tablesubheading"/>
              <w:rPr>
                <w:sz w:val="16"/>
                <w:szCs w:val="16"/>
              </w:rPr>
            </w:pPr>
          </w:p>
        </w:tc>
        <w:tc>
          <w:tcPr>
            <w:tcW w:w="850" w:type="dxa"/>
            <w:shd w:val="clear" w:color="auto" w:fill="000000"/>
          </w:tcPr>
          <w:p w:rsidR="00675E77" w:rsidRPr="00A27A1B" w:rsidRDefault="00675E77" w:rsidP="00675E77">
            <w:pPr>
              <w:pStyle w:val="04Tablesubheading"/>
              <w:rPr>
                <w:sz w:val="16"/>
                <w:szCs w:val="16"/>
              </w:rPr>
            </w:pPr>
          </w:p>
        </w:tc>
        <w:tc>
          <w:tcPr>
            <w:tcW w:w="567" w:type="dxa"/>
            <w:shd w:val="clear" w:color="auto" w:fill="000000"/>
          </w:tcPr>
          <w:p w:rsidR="00675E77" w:rsidRPr="00A27A1B" w:rsidRDefault="00675E77" w:rsidP="00675E77">
            <w:pPr>
              <w:pStyle w:val="04Tablesubheading"/>
              <w:rPr>
                <w:sz w:val="16"/>
                <w:szCs w:val="16"/>
              </w:rPr>
            </w:pPr>
          </w:p>
        </w:tc>
        <w:tc>
          <w:tcPr>
            <w:tcW w:w="833"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c>
          <w:tcPr>
            <w:tcW w:w="834" w:type="dxa"/>
            <w:shd w:val="clear" w:color="auto" w:fill="000000"/>
          </w:tcPr>
          <w:p w:rsidR="00675E77" w:rsidRPr="00A27A1B" w:rsidRDefault="00675E77" w:rsidP="00675E77">
            <w:pPr>
              <w:pStyle w:val="04Tablesubheading"/>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Bourbeau</w:t>
            </w:r>
            <w:proofErr w:type="spellEnd"/>
            <w:r w:rsidRPr="00A27A1B">
              <w:rPr>
                <w:sz w:val="16"/>
                <w:szCs w:val="16"/>
              </w:rPr>
              <w:t xml:space="preserve"> (1998)</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Laptseva</w:t>
            </w:r>
            <w:proofErr w:type="spellEnd"/>
            <w:r w:rsidRPr="00A27A1B">
              <w:rPr>
                <w:sz w:val="16"/>
                <w:szCs w:val="16"/>
              </w:rPr>
              <w:t xml:space="preserve"> (2002) – no data</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Mirici</w:t>
            </w:r>
            <w:proofErr w:type="spellEnd"/>
            <w:r w:rsidRPr="00A27A1B">
              <w:rPr>
                <w:sz w:val="16"/>
                <w:szCs w:val="16"/>
              </w:rPr>
              <w:t xml:space="preserve"> (2001)</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Ozol</w:t>
            </w:r>
            <w:proofErr w:type="spellEnd"/>
            <w:r w:rsidRPr="00A27A1B">
              <w:rPr>
                <w:sz w:val="16"/>
                <w:szCs w:val="16"/>
              </w:rPr>
              <w:t xml:space="preserve"> (2005)</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Pauwels</w:t>
            </w:r>
            <w:proofErr w:type="spellEnd"/>
            <w:r w:rsidRPr="00A27A1B">
              <w:rPr>
                <w:sz w:val="16"/>
                <w:szCs w:val="16"/>
              </w:rPr>
              <w:t xml:space="preserve"> (1999)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Renkema</w:t>
            </w:r>
            <w:proofErr w:type="spellEnd"/>
            <w:r w:rsidRPr="00A27A1B">
              <w:rPr>
                <w:sz w:val="16"/>
                <w:szCs w:val="16"/>
              </w:rPr>
              <w:t xml:space="preserve"> (1996)</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800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Senderovitz</w:t>
            </w:r>
            <w:proofErr w:type="spellEnd"/>
            <w:r w:rsidRPr="00A27A1B">
              <w:rPr>
                <w:sz w:val="16"/>
                <w:szCs w:val="16"/>
              </w:rPr>
              <w:t xml:space="preserve"> (1999) – no data</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Shaker (2009)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Vestbo</w:t>
            </w:r>
            <w:proofErr w:type="spellEnd"/>
            <w:r w:rsidRPr="00A27A1B">
              <w:rPr>
                <w:sz w:val="16"/>
                <w:szCs w:val="16"/>
              </w:rPr>
              <w:t xml:space="preserve"> (1999)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w:t>
            </w:r>
            <w:r w:rsidRPr="00A27A1B">
              <w:rPr>
                <w:rStyle w:val="FootnoteReference"/>
                <w:sz w:val="16"/>
                <w:szCs w:val="16"/>
              </w:rPr>
              <w:footnoteReference w:id="18"/>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 vs placebo</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Yildiz</w:t>
            </w:r>
            <w:proofErr w:type="spellEnd"/>
            <w:r w:rsidRPr="00A27A1B">
              <w:rPr>
                <w:sz w:val="16"/>
                <w:szCs w:val="16"/>
              </w:rPr>
              <w:t xml:space="preserve"> (2004)</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800</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Calverley (2003b)</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320/9</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Both</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Szafranski</w:t>
            </w:r>
            <w:proofErr w:type="spellEnd"/>
            <w:r w:rsidRPr="00A27A1B">
              <w:rPr>
                <w:sz w:val="16"/>
                <w:szCs w:val="16"/>
              </w:rPr>
              <w:t xml:space="preserve"> (2003)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320/9</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Calverley (2010)</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400/12</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r w:rsidRPr="00A27A1B">
              <w:rPr>
                <w:sz w:val="16"/>
                <w:szCs w:val="16"/>
              </w:rPr>
              <w:t>Fukuchi (2013)</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320/9</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Rennard</w:t>
            </w:r>
            <w:proofErr w:type="spellEnd"/>
            <w:r w:rsidRPr="00A27A1B">
              <w:rPr>
                <w:sz w:val="16"/>
                <w:szCs w:val="16"/>
              </w:rPr>
              <w:t xml:space="preserve"> (2009)</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320/9</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t>ICS/LABA vs LABA</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Sharafkhaneh</w:t>
            </w:r>
            <w:proofErr w:type="spellEnd"/>
            <w:r w:rsidRPr="00A27A1B">
              <w:rPr>
                <w:sz w:val="16"/>
                <w:szCs w:val="16"/>
              </w:rPr>
              <w:t xml:space="preserve"> (2012)</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320/9</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r w:rsidR="00675E77" w:rsidRPr="00A27A1B" w:rsidTr="00A27A1B">
        <w:trPr>
          <w:cantSplit/>
        </w:trPr>
        <w:tc>
          <w:tcPr>
            <w:tcW w:w="1417" w:type="dxa"/>
            <w:shd w:val="clear" w:color="auto" w:fill="auto"/>
          </w:tcPr>
          <w:p w:rsidR="00675E77" w:rsidRPr="00A27A1B" w:rsidRDefault="00675E77" w:rsidP="00675E77">
            <w:pPr>
              <w:pStyle w:val="05Tabletext"/>
              <w:rPr>
                <w:sz w:val="16"/>
                <w:szCs w:val="16"/>
              </w:rPr>
            </w:pPr>
            <w:r w:rsidRPr="00A27A1B">
              <w:rPr>
                <w:sz w:val="16"/>
                <w:szCs w:val="16"/>
              </w:rPr>
              <w:lastRenderedPageBreak/>
              <w:t>ICS/LABA vs LABA</w:t>
            </w:r>
          </w:p>
        </w:tc>
        <w:tc>
          <w:tcPr>
            <w:tcW w:w="1782" w:type="dxa"/>
            <w:shd w:val="clear" w:color="auto" w:fill="auto"/>
          </w:tcPr>
          <w:p w:rsidR="00675E77" w:rsidRPr="00A27A1B" w:rsidRDefault="00675E77" w:rsidP="00675E77">
            <w:pPr>
              <w:pStyle w:val="05Tabletext"/>
              <w:rPr>
                <w:sz w:val="16"/>
                <w:szCs w:val="16"/>
              </w:rPr>
            </w:pPr>
            <w:proofErr w:type="spellStart"/>
            <w:r w:rsidRPr="00A27A1B">
              <w:rPr>
                <w:sz w:val="16"/>
                <w:szCs w:val="16"/>
              </w:rPr>
              <w:t>Tashkin</w:t>
            </w:r>
            <w:proofErr w:type="spellEnd"/>
            <w:r w:rsidRPr="00A27A1B">
              <w:rPr>
                <w:sz w:val="16"/>
                <w:szCs w:val="16"/>
              </w:rPr>
              <w:t xml:space="preserve"> (2008) - SHINE</w:t>
            </w:r>
          </w:p>
        </w:tc>
        <w:tc>
          <w:tcPr>
            <w:tcW w:w="850"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BUD/EFO</w:t>
            </w:r>
          </w:p>
        </w:tc>
        <w:tc>
          <w:tcPr>
            <w:tcW w:w="567" w:type="dxa"/>
            <w:shd w:val="clear" w:color="auto" w:fill="auto"/>
          </w:tcPr>
          <w:p w:rsidR="00675E77" w:rsidRPr="00A27A1B" w:rsidRDefault="00675E77" w:rsidP="00675E77">
            <w:pPr>
              <w:pStyle w:val="05Tabletext"/>
              <w:rPr>
                <w:rFonts w:ascii="Wingdings 2" w:hAnsi="Wingdings 2"/>
                <w:sz w:val="16"/>
                <w:szCs w:val="16"/>
              </w:rPr>
            </w:pPr>
            <w:r w:rsidRPr="00A27A1B">
              <w:rPr>
                <w:sz w:val="16"/>
                <w:szCs w:val="16"/>
              </w:rPr>
              <w:t>320/9</w:t>
            </w:r>
          </w:p>
        </w:tc>
        <w:tc>
          <w:tcPr>
            <w:tcW w:w="833"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c>
          <w:tcPr>
            <w:tcW w:w="834" w:type="dxa"/>
            <w:shd w:val="clear" w:color="auto" w:fill="auto"/>
          </w:tcPr>
          <w:p w:rsidR="00675E77" w:rsidRPr="00A27A1B" w:rsidRDefault="00675E77" w:rsidP="00675E77">
            <w:pPr>
              <w:pStyle w:val="05Tabletext"/>
              <w:jc w:val="center"/>
              <w:rPr>
                <w:rFonts w:ascii="Wingdings 2" w:hAnsi="Wingdings 2"/>
                <w:sz w:val="16"/>
                <w:szCs w:val="16"/>
              </w:rPr>
            </w:pPr>
            <w:r w:rsidRPr="00A27A1B">
              <w:rPr>
                <w:rFonts w:ascii="Wingdings 2" w:hAnsi="Wingdings 2"/>
                <w:sz w:val="16"/>
                <w:szCs w:val="16"/>
              </w:rPr>
              <w:t></w:t>
            </w:r>
          </w:p>
        </w:tc>
      </w:tr>
    </w:tbl>
    <w:p w:rsidR="00675E77" w:rsidRDefault="00675E77" w:rsidP="00675E77">
      <w:pPr>
        <w:pStyle w:val="11TableorFigurefootnotenostick"/>
      </w:pPr>
      <w:r>
        <w:t xml:space="preserve">Abbreviations: BUD, budesonide; EFO, </w:t>
      </w:r>
      <w:proofErr w:type="spellStart"/>
      <w:r>
        <w:t>eformoterol</w:t>
      </w:r>
      <w:proofErr w:type="spellEnd"/>
      <w:r>
        <w:t xml:space="preserve">; FLU, fluticasone; ICS, inhaled corticosteroids; LABA, long-acting beta-2 agonist; SAE, serious adverse event; SAL, salmeterol; VIL, </w:t>
      </w:r>
      <w:proofErr w:type="spellStart"/>
      <w:r>
        <w:t>vilanterol</w:t>
      </w:r>
      <w:proofErr w:type="spellEnd"/>
      <w:r w:rsidR="006D10A7">
        <w:t xml:space="preserve">; FLU/SAL, fluticasone propionate/salmeterol; FLU/VIL, fluticasone </w:t>
      </w:r>
      <w:proofErr w:type="spellStart"/>
      <w:r w:rsidR="006D10A7">
        <w:t>furoate</w:t>
      </w:r>
      <w:proofErr w:type="spellEnd"/>
      <w:r w:rsidR="006D10A7">
        <w:t>/</w:t>
      </w:r>
      <w:proofErr w:type="spellStart"/>
      <w:r w:rsidR="006D10A7">
        <w:t>vilanterol</w:t>
      </w:r>
      <w:proofErr w:type="spellEnd"/>
      <w:r w:rsidR="006D10A7">
        <w:t>.</w:t>
      </w:r>
    </w:p>
    <w:p w:rsidR="00015854" w:rsidRDefault="00675E77" w:rsidP="00015854">
      <w:pPr>
        <w:pStyle w:val="BodyText"/>
      </w:pPr>
      <w:r>
        <w:t>The authors noted that the evidence for budesonide was more inconsistent and less precise than for fluticasone, with shorter study duration (</w:t>
      </w:r>
      <w:r w:rsidR="003F6B25">
        <w:t xml:space="preserve">average of </w:t>
      </w:r>
      <w:r>
        <w:t xml:space="preserve">9 months versus 16 months, respectively). For budesonide, fewer than half the identified studies contributed to the analyses related to pneumonia due to incomplete outcome data, which the authors comment upon with regard to </w:t>
      </w:r>
      <w:proofErr w:type="spellStart"/>
      <w:r>
        <w:t>limitat</w:t>
      </w:r>
      <w:r w:rsidR="003F6B25">
        <w:t>ing</w:t>
      </w:r>
      <w:proofErr w:type="spellEnd"/>
      <w:r w:rsidR="003F6B25">
        <w:t xml:space="preserve"> the </w:t>
      </w:r>
      <w:r>
        <w:t xml:space="preserve">conclusions for this intervention. In fact, incomplete outcome data was identified as the main source of potential bias for almost half of </w:t>
      </w:r>
      <w:r w:rsidR="003F6B25">
        <w:t>the</w:t>
      </w:r>
      <w:r>
        <w:t xml:space="preserve"> 43 included studies, although it was rated as low risk. </w:t>
      </w:r>
    </w:p>
    <w:p w:rsidR="00675E77" w:rsidRDefault="00675E77" w:rsidP="00015854">
      <w:pPr>
        <w:pStyle w:val="BodyText"/>
      </w:pPr>
      <w:r>
        <w:t xml:space="preserve">The authors noted there were no systematic differences for inclusion/exclusion criteria or baseline characteristics. Fluticasone studies </w:t>
      </w:r>
      <w:proofErr w:type="gramStart"/>
      <w:r>
        <w:t>tended</w:t>
      </w:r>
      <w:proofErr w:type="gramEnd"/>
      <w:r>
        <w:t xml:space="preserve"> to have larger sample sizes, but neither this nor longer study durations were deemed significant. A similar risk of bias was noted for studies funded by the two main pharmaceutical companies. Control group event rates were similar for fluticasone and budesonide when the three-year TORCH study was excluded, as it skewed rates due to longer duration of event collection.</w:t>
      </w:r>
    </w:p>
    <w:p w:rsidR="00675E77" w:rsidRDefault="00675E77" w:rsidP="00675E77">
      <w:pPr>
        <w:pStyle w:val="BodyText"/>
      </w:pPr>
      <w:r>
        <w:t xml:space="preserve">The use of once-daily dosing with fluticasone </w:t>
      </w:r>
      <w:proofErr w:type="spellStart"/>
      <w:r>
        <w:t>furoate</w:t>
      </w:r>
      <w:proofErr w:type="spellEnd"/>
      <w:r>
        <w:t xml:space="preserve"> was noted as a potential source of heterogeneity, as was the different delivery modes for fluticasone (</w:t>
      </w:r>
      <w:proofErr w:type="spellStart"/>
      <w:r w:rsidRPr="00F12C6D">
        <w:t>Diskus</w:t>
      </w:r>
      <w:proofErr w:type="spellEnd"/>
      <w:r w:rsidRPr="00F12C6D">
        <w:t xml:space="preserve"> or </w:t>
      </w:r>
      <w:proofErr w:type="spellStart"/>
      <w:r w:rsidRPr="00F12C6D">
        <w:t>Accuhaler</w:t>
      </w:r>
      <w:proofErr w:type="spellEnd"/>
      <w:r>
        <w:t>) and budesonide (</w:t>
      </w:r>
      <w:proofErr w:type="spellStart"/>
      <w:r>
        <w:t>Turbuhaler</w:t>
      </w:r>
      <w:proofErr w:type="spellEnd"/>
      <w:r>
        <w:t xml:space="preserve">), which may have confounded the common placebo comparator in the indirect comparison. In the case of the indirect comparison of combination therapy, the different LABAs used as comparators were deemed </w:t>
      </w:r>
      <w:r w:rsidR="003F6B25">
        <w:t>sufficiently</w:t>
      </w:r>
      <w:r>
        <w:t xml:space="preserve"> different between the fluticasone and budesonide studies, and </w:t>
      </w:r>
      <w:r w:rsidR="003F6B25">
        <w:t xml:space="preserve">the comparison </w:t>
      </w:r>
      <w:r>
        <w:t>was not performed.</w:t>
      </w:r>
    </w:p>
    <w:p w:rsidR="004178B2" w:rsidRDefault="004178B2" w:rsidP="00675E77">
      <w:pPr>
        <w:pStyle w:val="BodyText"/>
      </w:pPr>
    </w:p>
    <w:p w:rsidR="00675E77" w:rsidRPr="003F6B25" w:rsidRDefault="00675E77" w:rsidP="00675E77">
      <w:pPr>
        <w:pStyle w:val="Heading6"/>
        <w:rPr>
          <w:b/>
        </w:rPr>
      </w:pPr>
      <w:r w:rsidRPr="003F6B25">
        <w:rPr>
          <w:b/>
        </w:rPr>
        <w:t>Findings</w:t>
      </w:r>
    </w:p>
    <w:p w:rsidR="00675E77" w:rsidRDefault="00675E77" w:rsidP="00675E77">
      <w:pPr>
        <w:pStyle w:val="BodyTextnospacebefore"/>
      </w:pPr>
      <w:r>
        <w:t>Significantly more serious, non-fatal pneumonia events (resulting in hospitalisation – primary outcome) are seen with fluticasone use compared to placebo, and also with combination therapy compared to LABA monotherapy (</w:t>
      </w:r>
      <w:r w:rsidR="00356377">
        <w:t xml:space="preserve">Figure </w:t>
      </w:r>
      <w:r w:rsidR="00356377">
        <w:rPr>
          <w:noProof/>
        </w:rPr>
        <w:t>4</w:t>
      </w:r>
      <w:r w:rsidR="00356377">
        <w:t>.</w:t>
      </w:r>
      <w:r w:rsidR="00356377">
        <w:rPr>
          <w:noProof/>
        </w:rPr>
        <w:t>5</w:t>
      </w:r>
      <w:r>
        <w:t xml:space="preserve">). No significant heterogeneity was noted, and the authors noted there was no significant evidence that the odds were affected by the comparison type (monotherapy versus placebo compared with combination versus LABA). These analyses are dominated by the TORCH study. This </w:t>
      </w:r>
      <w:r w:rsidR="003F6B25">
        <w:t xml:space="preserve">evidence for this </w:t>
      </w:r>
      <w:r>
        <w:t>outcome was rated as high quality.</w:t>
      </w:r>
    </w:p>
    <w:p w:rsidR="00675E77" w:rsidRDefault="00675E77" w:rsidP="002C7600">
      <w:pPr>
        <w:pStyle w:val="HeaderFigure"/>
      </w:pPr>
      <w:bookmarkStart w:id="100" w:name="_Ref467500847"/>
      <w:bookmarkStart w:id="101" w:name="_Toc468022892"/>
      <w:bookmarkStart w:id="102" w:name="_Toc468034545"/>
      <w:bookmarkStart w:id="103" w:name="_Toc480373320"/>
      <w:bookmarkStart w:id="104" w:name="_Toc486515162"/>
      <w:r>
        <w:lastRenderedPageBreak/>
        <w:t xml:space="preserve">Figure </w:t>
      </w:r>
      <w:r w:rsidR="00356377">
        <w:rPr>
          <w:noProof/>
        </w:rPr>
        <w:t>4</w:t>
      </w:r>
      <w:r w:rsidR="00CC0111">
        <w:t>.</w:t>
      </w:r>
      <w:r w:rsidR="00356377">
        <w:rPr>
          <w:noProof/>
        </w:rPr>
        <w:t>5</w:t>
      </w:r>
      <w:bookmarkEnd w:id="100"/>
      <w:r>
        <w:tab/>
      </w:r>
      <w:r w:rsidR="008C679F">
        <w:t>Risk of n</w:t>
      </w:r>
      <w:r>
        <w:t>on-fatal pneumonia SAEs for fluticasone vers</w:t>
      </w:r>
      <w:r w:rsidR="00222782">
        <w:t>u</w:t>
      </w:r>
      <w:r>
        <w:t>s controls – Kew 2014</w:t>
      </w:r>
      <w:bookmarkEnd w:id="101"/>
      <w:bookmarkEnd w:id="102"/>
      <w:bookmarkEnd w:id="103"/>
      <w:bookmarkEnd w:id="104"/>
    </w:p>
    <w:p w:rsidR="00675E77" w:rsidRDefault="00A77AD5" w:rsidP="00675E77">
      <w:pPr>
        <w:pStyle w:val="Picturewithbox"/>
        <w:keepNext/>
      </w:pPr>
      <w:r w:rsidRPr="00A77AD5">
        <w:rPr>
          <w:noProof/>
          <w:lang w:eastAsia="en-AU"/>
        </w:rPr>
        <w:t xml:space="preserve"> </w:t>
      </w:r>
      <w:r>
        <w:rPr>
          <w:noProof/>
          <w:lang w:eastAsia="en-AU"/>
        </w:rPr>
        <w:drawing>
          <wp:inline distT="0" distB="0" distL="0" distR="0" wp14:anchorId="0A205B8D" wp14:editId="1664ECD8">
            <wp:extent cx="5781675" cy="5676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81675" cy="5676900"/>
                    </a:xfrm>
                    <a:prstGeom prst="rect">
                      <a:avLst/>
                    </a:prstGeom>
                  </pic:spPr>
                </pic:pic>
              </a:graphicData>
            </a:graphic>
          </wp:inline>
        </w:drawing>
      </w:r>
      <w:r w:rsidRPr="00A77AD5">
        <w:rPr>
          <w:noProof/>
          <w:lang w:eastAsia="en-AU"/>
        </w:rPr>
        <w:t xml:space="preserve"> </w:t>
      </w:r>
      <w:r>
        <w:rPr>
          <w:noProof/>
          <w:lang w:eastAsia="en-AU"/>
        </w:rPr>
        <w:drawing>
          <wp:inline distT="0" distB="0" distL="0" distR="0" wp14:anchorId="38DECBEC" wp14:editId="5641F214">
            <wp:extent cx="5772150" cy="2428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72150" cy="2428875"/>
                    </a:xfrm>
                    <a:prstGeom prst="rect">
                      <a:avLst/>
                    </a:prstGeom>
                  </pic:spPr>
                </pic:pic>
              </a:graphicData>
            </a:graphic>
          </wp:inline>
        </w:drawing>
      </w:r>
    </w:p>
    <w:p w:rsidR="00675E77" w:rsidRDefault="00675E77" w:rsidP="00675E77">
      <w:pPr>
        <w:pStyle w:val="10TableorFigurefootnote"/>
      </w:pPr>
      <w:r>
        <w:t>Source: Kew (2014) Analysis 1.1, p114-5. Note: for each analysis, two fluticasone/</w:t>
      </w:r>
      <w:r>
        <w:rPr>
          <w:rFonts w:ascii="Arial" w:hAnsi="Arial" w:cs="Arial"/>
        </w:rPr>
        <w:t>​</w:t>
      </w:r>
      <w:proofErr w:type="spellStart"/>
      <w:r>
        <w:t>vilanterol</w:t>
      </w:r>
      <w:proofErr w:type="spellEnd"/>
      <w:r>
        <w:t xml:space="preserve"> dose groups were merged. </w:t>
      </w:r>
      <w:r w:rsidRPr="00B23726">
        <w:rPr>
          <w:b/>
        </w:rPr>
        <w:t>Note</w:t>
      </w:r>
      <w:r>
        <w:t>: pneumonia SAEs are serious pneumonia events requiring hospital admission.</w:t>
      </w:r>
    </w:p>
    <w:p w:rsidR="00675E77" w:rsidRDefault="00675E77" w:rsidP="00675E77">
      <w:pPr>
        <w:pStyle w:val="11TableorFigurefootnotenostick"/>
      </w:pPr>
      <w:r>
        <w:t xml:space="preserve">Abbreviations: CI, </w:t>
      </w:r>
      <w:r w:rsidRPr="004E5209">
        <w:t>confidence interval</w:t>
      </w:r>
      <w:r>
        <w:t xml:space="preserve">; LABA, </w:t>
      </w:r>
      <w:r w:rsidRPr="00CC5F92">
        <w:t>long-acting beta-2 agonist</w:t>
      </w:r>
      <w:r>
        <w:t>.</w:t>
      </w:r>
    </w:p>
    <w:p w:rsidR="003F6B25" w:rsidRPr="00CC5F92" w:rsidRDefault="003F6B25" w:rsidP="003F6B25">
      <w:pPr>
        <w:pStyle w:val="BodyText"/>
      </w:pPr>
      <w:r>
        <w:lastRenderedPageBreak/>
        <w:t xml:space="preserve">Subgroup analyses for the primary outcome of non-fatal pneumonia SAEs found only the high dose fluticasone propionate retained statistical significance (OR </w:t>
      </w:r>
      <w:r w:rsidRPr="001A03AD">
        <w:t>1.78 [</w:t>
      </w:r>
      <w:r>
        <w:t xml:space="preserve">95% CI: </w:t>
      </w:r>
      <w:r w:rsidRPr="001A03AD">
        <w:t>1.47, 2.16]</w:t>
      </w:r>
      <w:r>
        <w:t>). There was no significant difference in event frequency between the dose subgroups (p = 0.90, I</w:t>
      </w:r>
      <w:r w:rsidRPr="007641DD">
        <w:rPr>
          <w:vertAlign w:val="superscript"/>
        </w:rPr>
        <w:t>2</w:t>
      </w:r>
      <w:r>
        <w:t xml:space="preserve"> = 0.0%). Duration of study (greater than or less than one year) did not substantially alter the result, which remained significant in both subgroups.</w:t>
      </w:r>
    </w:p>
    <w:p w:rsidR="003F6B25" w:rsidRDefault="003F6B25" w:rsidP="003F6B25">
      <w:pPr>
        <w:pStyle w:val="BodyText"/>
      </w:pPr>
      <w:r>
        <w:t xml:space="preserve">Similar findings were reported for all pneumonia events (Figure </w:t>
      </w:r>
      <w:r w:rsidR="00A2320B">
        <w:rPr>
          <w:noProof/>
        </w:rPr>
        <w:t>4</w:t>
      </w:r>
      <w:r>
        <w:t>.</w:t>
      </w:r>
      <w:r>
        <w:rPr>
          <w:noProof/>
        </w:rPr>
        <w:t>6</w:t>
      </w:r>
      <w:r>
        <w:t xml:space="preserve">). Being under-reported across the studies, the evidence for this outcome was downgraded to moderate quality. </w:t>
      </w:r>
    </w:p>
    <w:p w:rsidR="003F6B25" w:rsidRDefault="003F6B25" w:rsidP="003F6B25">
      <w:pPr>
        <w:pStyle w:val="BodyText"/>
      </w:pPr>
      <w:r>
        <w:t>None of the other safety outcomes were statistically significant for fluticasone. In the case of mortality due to pneumonia, the evidence for this outcome was downgraded to moderate quality due to imprecision as so few events were reported.</w:t>
      </w:r>
    </w:p>
    <w:p w:rsidR="00675E77" w:rsidRDefault="00675E77" w:rsidP="002C7600">
      <w:pPr>
        <w:pStyle w:val="HeaderFigure"/>
      </w:pPr>
      <w:bookmarkStart w:id="105" w:name="_Ref467493924"/>
      <w:bookmarkStart w:id="106" w:name="_Toc468022893"/>
      <w:bookmarkStart w:id="107" w:name="_Toc468034546"/>
      <w:bookmarkStart w:id="108" w:name="_Toc480373321"/>
      <w:bookmarkStart w:id="109" w:name="_Toc486515163"/>
      <w:r>
        <w:t xml:space="preserve">Figure </w:t>
      </w:r>
      <w:r w:rsidR="00356377">
        <w:rPr>
          <w:noProof/>
        </w:rPr>
        <w:t>4</w:t>
      </w:r>
      <w:r w:rsidR="00CC0111">
        <w:t>.</w:t>
      </w:r>
      <w:r w:rsidR="00356377">
        <w:rPr>
          <w:noProof/>
        </w:rPr>
        <w:t>6</w:t>
      </w:r>
      <w:bookmarkEnd w:id="105"/>
      <w:r>
        <w:tab/>
        <w:t>All pneumonia events for fluticasone vers</w:t>
      </w:r>
      <w:r w:rsidR="00BB1098">
        <w:t>us</w:t>
      </w:r>
      <w:r>
        <w:t xml:space="preserve"> controls – Kew 2014</w:t>
      </w:r>
      <w:bookmarkEnd w:id="106"/>
      <w:bookmarkEnd w:id="107"/>
      <w:bookmarkEnd w:id="108"/>
      <w:bookmarkEnd w:id="109"/>
    </w:p>
    <w:p w:rsidR="00675E77" w:rsidRDefault="009D3242" w:rsidP="00675E77">
      <w:pPr>
        <w:pStyle w:val="Picturewithbox"/>
        <w:keepNext/>
      </w:pPr>
      <w:r>
        <w:rPr>
          <w:noProof/>
          <w:lang w:eastAsia="en-AU"/>
        </w:rPr>
        <w:drawing>
          <wp:inline distT="0" distB="0" distL="0" distR="0" wp14:anchorId="3AF0BED6" wp14:editId="47870FF9">
            <wp:extent cx="5886450" cy="5831092"/>
            <wp:effectExtent l="0" t="0" r="0" b="0"/>
            <wp:docPr id="19" name="Picture 19" descr="All pneumonia events for fluticasone verses controls – Kew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ew (2014) FLU all pneumon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6450" cy="5831092"/>
                    </a:xfrm>
                    <a:prstGeom prst="rect">
                      <a:avLst/>
                    </a:prstGeom>
                    <a:noFill/>
                    <a:ln>
                      <a:noFill/>
                    </a:ln>
                  </pic:spPr>
                </pic:pic>
              </a:graphicData>
            </a:graphic>
          </wp:inline>
        </w:drawing>
      </w:r>
    </w:p>
    <w:p w:rsidR="00675E77" w:rsidRDefault="00675E77" w:rsidP="00675E77">
      <w:pPr>
        <w:pStyle w:val="10TableorFigurefootnote"/>
      </w:pPr>
      <w:r>
        <w:t>Source: Kew (2014) Analysis 1.5, p122. Note: for each analysis, two fluticasone/</w:t>
      </w:r>
      <w:r>
        <w:rPr>
          <w:rFonts w:ascii="Arial" w:hAnsi="Arial" w:cs="Arial"/>
        </w:rPr>
        <w:t>​</w:t>
      </w:r>
      <w:proofErr w:type="spellStart"/>
      <w:r>
        <w:t>vilanterol</w:t>
      </w:r>
      <w:proofErr w:type="spellEnd"/>
      <w:r>
        <w:t xml:space="preserve"> dose groups were merged.</w:t>
      </w:r>
    </w:p>
    <w:p w:rsidR="00675E77" w:rsidRDefault="00675E77" w:rsidP="00675E77">
      <w:pPr>
        <w:pStyle w:val="11TableorFigurefootnotenostick"/>
      </w:pPr>
      <w:r>
        <w:t xml:space="preserve">Abbreviations: CI, </w:t>
      </w:r>
      <w:r w:rsidRPr="004E5209">
        <w:t>confidence interval</w:t>
      </w:r>
      <w:r>
        <w:t xml:space="preserve">; LABA, </w:t>
      </w:r>
      <w:r w:rsidRPr="00CC5F92">
        <w:t>long-acting beta-2 agonist</w:t>
      </w:r>
      <w:r>
        <w:t>.</w:t>
      </w:r>
    </w:p>
    <w:p w:rsidR="00675E77" w:rsidRDefault="00675E77" w:rsidP="00675E77">
      <w:pPr>
        <w:pStyle w:val="BodyText"/>
      </w:pPr>
      <w:r>
        <w:lastRenderedPageBreak/>
        <w:t>Only eight comparisons from seven studies (n = 6472) contributed to the analysis of non-fatal serious pneumonia events for budesonide. Statistical significance was found for the monotherapy versus placebo comparison, but not for combination therapy compared to LABA (</w:t>
      </w:r>
      <w:r w:rsidR="00356377">
        <w:t xml:space="preserve">Figure </w:t>
      </w:r>
      <w:r w:rsidR="00356377">
        <w:rPr>
          <w:noProof/>
        </w:rPr>
        <w:t>4</w:t>
      </w:r>
      <w:r w:rsidR="00356377">
        <w:t>.</w:t>
      </w:r>
      <w:r w:rsidR="00356377">
        <w:rPr>
          <w:noProof/>
        </w:rPr>
        <w:t>7</w:t>
      </w:r>
      <w:r>
        <w:t xml:space="preserve">). Heterogeneity was evident between studies and between the monotherapy and combination studies, but was not significant in either case. The </w:t>
      </w:r>
      <w:r w:rsidR="00BB1098">
        <w:t xml:space="preserve">evidence for the primary study </w:t>
      </w:r>
      <w:r>
        <w:t>outcome was downgraded to moderate quality due to the small proportion of total studies included in the analysis.</w:t>
      </w:r>
    </w:p>
    <w:p w:rsidR="00675E77" w:rsidRDefault="00675E77" w:rsidP="002C7600">
      <w:pPr>
        <w:pStyle w:val="HeaderFigure"/>
      </w:pPr>
      <w:bookmarkStart w:id="110" w:name="_Ref467516966"/>
      <w:bookmarkStart w:id="111" w:name="_Toc468022894"/>
      <w:bookmarkStart w:id="112" w:name="_Toc468034547"/>
      <w:bookmarkStart w:id="113" w:name="_Toc480373322"/>
      <w:bookmarkStart w:id="114" w:name="_Toc486515164"/>
      <w:r>
        <w:t xml:space="preserve">Figure </w:t>
      </w:r>
      <w:r w:rsidR="00356377">
        <w:rPr>
          <w:noProof/>
        </w:rPr>
        <w:t>4</w:t>
      </w:r>
      <w:r w:rsidR="00CC0111">
        <w:t>.</w:t>
      </w:r>
      <w:r w:rsidR="00356377">
        <w:rPr>
          <w:noProof/>
        </w:rPr>
        <w:t>7</w:t>
      </w:r>
      <w:bookmarkEnd w:id="110"/>
      <w:r>
        <w:tab/>
        <w:t>Non-fatal pneumonia SAEs for budesonide vers</w:t>
      </w:r>
      <w:r w:rsidR="00BB1098">
        <w:t>us</w:t>
      </w:r>
      <w:r>
        <w:t xml:space="preserve"> controls – Kew 2014</w:t>
      </w:r>
      <w:bookmarkEnd w:id="111"/>
      <w:bookmarkEnd w:id="112"/>
      <w:bookmarkEnd w:id="113"/>
      <w:bookmarkEnd w:id="114"/>
    </w:p>
    <w:p w:rsidR="00675E77" w:rsidRPr="001A03AD" w:rsidRDefault="009D3242" w:rsidP="00675E77">
      <w:pPr>
        <w:pStyle w:val="Picturewithbox"/>
      </w:pPr>
      <w:r>
        <w:rPr>
          <w:noProof/>
          <w:lang w:eastAsia="en-AU"/>
        </w:rPr>
        <w:drawing>
          <wp:inline distT="0" distB="0" distL="0" distR="0" wp14:anchorId="6760184E" wp14:editId="6C914791">
            <wp:extent cx="6111240" cy="4786630"/>
            <wp:effectExtent l="0" t="0" r="3810" b="0"/>
            <wp:docPr id="20" name="Picture 20" descr="Non-fatal pneumonia SAEs for budesonide verses controls – Kew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ew (2014) BUD pneumonia SA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1240" cy="4786630"/>
                    </a:xfrm>
                    <a:prstGeom prst="rect">
                      <a:avLst/>
                    </a:prstGeom>
                    <a:noFill/>
                    <a:ln>
                      <a:noFill/>
                    </a:ln>
                  </pic:spPr>
                </pic:pic>
              </a:graphicData>
            </a:graphic>
          </wp:inline>
        </w:drawing>
      </w:r>
    </w:p>
    <w:p w:rsidR="00675E77" w:rsidRDefault="00675E77" w:rsidP="00675E77">
      <w:pPr>
        <w:pStyle w:val="10TableorFigurefootnote"/>
      </w:pPr>
      <w:r>
        <w:t xml:space="preserve">Source: Kew (2014) Analysis 3.1, p130. </w:t>
      </w:r>
      <w:r w:rsidRPr="00B23726">
        <w:rPr>
          <w:b/>
        </w:rPr>
        <w:t>Note</w:t>
      </w:r>
      <w:r>
        <w:t>: pneumonia SAEs are serious pneumonia events requiring hospital admission.</w:t>
      </w:r>
    </w:p>
    <w:p w:rsidR="00675E77" w:rsidRPr="0024006E" w:rsidRDefault="00675E77" w:rsidP="00675E77">
      <w:pPr>
        <w:pStyle w:val="11TableorFigurefootnotenostick"/>
      </w:pPr>
      <w:r>
        <w:t xml:space="preserve">Abbreviations: CI, </w:t>
      </w:r>
      <w:r w:rsidRPr="004E5209">
        <w:t>confidence interval</w:t>
      </w:r>
      <w:r>
        <w:t>.</w:t>
      </w:r>
    </w:p>
    <w:p w:rsidR="00675E77" w:rsidRDefault="00675E77" w:rsidP="00675E77">
      <w:pPr>
        <w:pStyle w:val="BodyText"/>
      </w:pPr>
      <w:r>
        <w:t>A subgroup analysis of this outcome by dose found significantly more events with high</w:t>
      </w:r>
      <w:r w:rsidR="00AB7926">
        <w:t xml:space="preserve"> </w:t>
      </w:r>
      <w:r>
        <w:t xml:space="preserve">dose budesonide (320 </w:t>
      </w:r>
      <w:proofErr w:type="spellStart"/>
      <w:r>
        <w:t>μg</w:t>
      </w:r>
      <w:proofErr w:type="spellEnd"/>
      <w:r>
        <w:t>) versus placebo, but not with the lower dose (</w:t>
      </w:r>
      <w:r w:rsidR="00356377">
        <w:t xml:space="preserve">Figure </w:t>
      </w:r>
      <w:r w:rsidR="00356377">
        <w:rPr>
          <w:noProof/>
        </w:rPr>
        <w:t>4</w:t>
      </w:r>
      <w:r w:rsidR="00356377">
        <w:t>.</w:t>
      </w:r>
      <w:r w:rsidR="00356377">
        <w:rPr>
          <w:noProof/>
        </w:rPr>
        <w:t>8</w:t>
      </w:r>
      <w:r>
        <w:t xml:space="preserve">), and the difference between the dose subgroups was significant (p = 0.05, </w:t>
      </w:r>
      <w:r w:rsidRPr="007641DD">
        <w:t>I</w:t>
      </w:r>
      <w:r w:rsidRPr="007641DD">
        <w:rPr>
          <w:vertAlign w:val="superscript"/>
        </w:rPr>
        <w:t>2</w:t>
      </w:r>
      <w:r>
        <w:t xml:space="preserve"> = 74%).</w:t>
      </w:r>
    </w:p>
    <w:p w:rsidR="00BB1098" w:rsidRDefault="00675E77" w:rsidP="00BB1098">
      <w:pPr>
        <w:pStyle w:val="BodyText"/>
      </w:pPr>
      <w:r>
        <w:t xml:space="preserve">The authors noted a lack of evidence to draw a conclusion for budesonide for all pneumonia events, for which comparisons of either type were not statistically significant. Only a small proportion of the 17 budesonide studies (six; n = 7011) </w:t>
      </w:r>
      <w:r w:rsidR="00BB1098">
        <w:t>contributed to the analysis, resulting in a downgrading of the evidence for the outcome to moderate quality. No significant differences were observed for the other safety outcomes for budesonide.</w:t>
      </w:r>
    </w:p>
    <w:p w:rsidR="00675E77" w:rsidRDefault="00675E77" w:rsidP="002C7600">
      <w:pPr>
        <w:pStyle w:val="HeaderFigure"/>
      </w:pPr>
      <w:bookmarkStart w:id="115" w:name="_Ref467518789"/>
      <w:bookmarkStart w:id="116" w:name="_Toc468022895"/>
      <w:bookmarkStart w:id="117" w:name="_Toc468034548"/>
      <w:bookmarkStart w:id="118" w:name="_Toc480373323"/>
      <w:bookmarkStart w:id="119" w:name="_Toc486515165"/>
      <w:r>
        <w:lastRenderedPageBreak/>
        <w:t xml:space="preserve">Figure </w:t>
      </w:r>
      <w:r w:rsidR="00356377">
        <w:rPr>
          <w:noProof/>
        </w:rPr>
        <w:t>4</w:t>
      </w:r>
      <w:r w:rsidR="00CC0111">
        <w:t>.</w:t>
      </w:r>
      <w:r w:rsidR="00356377">
        <w:rPr>
          <w:noProof/>
        </w:rPr>
        <w:t>8</w:t>
      </w:r>
      <w:bookmarkEnd w:id="115"/>
      <w:r>
        <w:tab/>
        <w:t>Non-fatal pneumonia SAEs for budesonide vers</w:t>
      </w:r>
      <w:r w:rsidR="00BB1098">
        <w:t>us</w:t>
      </w:r>
      <w:r>
        <w:t xml:space="preserve"> controls by dose – Kew 2014</w:t>
      </w:r>
      <w:bookmarkEnd w:id="116"/>
      <w:bookmarkEnd w:id="117"/>
      <w:bookmarkEnd w:id="118"/>
      <w:bookmarkEnd w:id="119"/>
    </w:p>
    <w:p w:rsidR="00675E77" w:rsidRDefault="009D3242" w:rsidP="00675E77">
      <w:pPr>
        <w:pStyle w:val="Picturewithbox"/>
      </w:pPr>
      <w:r>
        <w:rPr>
          <w:noProof/>
          <w:lang w:eastAsia="en-AU"/>
        </w:rPr>
        <w:drawing>
          <wp:inline distT="0" distB="0" distL="0" distR="0" wp14:anchorId="1C7380B6" wp14:editId="03429B16">
            <wp:extent cx="5019675" cy="4973320"/>
            <wp:effectExtent l="0" t="0" r="9525" b="0"/>
            <wp:docPr id="21" name="Picture 21" descr="Non-fatal pneumonia SAEs for budesonide verses controls by dose – Kew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ew (2014) BUD pneumonia SAE by do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9675" cy="4973320"/>
                    </a:xfrm>
                    <a:prstGeom prst="rect">
                      <a:avLst/>
                    </a:prstGeom>
                    <a:noFill/>
                    <a:ln>
                      <a:noFill/>
                    </a:ln>
                  </pic:spPr>
                </pic:pic>
              </a:graphicData>
            </a:graphic>
          </wp:inline>
        </w:drawing>
      </w:r>
    </w:p>
    <w:p w:rsidR="00675E77" w:rsidRDefault="00675E77" w:rsidP="00675E77">
      <w:pPr>
        <w:pStyle w:val="10TableorFigurefootnote"/>
      </w:pPr>
      <w:r>
        <w:t xml:space="preserve">Source: Kew (2014) Analysis 4.1, p136. </w:t>
      </w:r>
      <w:r w:rsidRPr="00B23726">
        <w:rPr>
          <w:b/>
        </w:rPr>
        <w:t>Note</w:t>
      </w:r>
      <w:r>
        <w:t>: pneumonia SAEs are serious pneumonia events requiring hospital admission.</w:t>
      </w:r>
    </w:p>
    <w:p w:rsidR="00675E77" w:rsidRDefault="00675E77" w:rsidP="00675E77">
      <w:pPr>
        <w:pStyle w:val="11TableorFigurefootnotenostick"/>
      </w:pPr>
      <w:r>
        <w:t xml:space="preserve">Abbreviations: CI, </w:t>
      </w:r>
      <w:r w:rsidRPr="004E5209">
        <w:t>confidence interval</w:t>
      </w:r>
    </w:p>
    <w:p w:rsidR="00675E77" w:rsidRPr="00BB1098" w:rsidRDefault="00675E77" w:rsidP="00675E77">
      <w:pPr>
        <w:pStyle w:val="Heading6"/>
        <w:rPr>
          <w:b/>
        </w:rPr>
      </w:pPr>
      <w:r w:rsidRPr="00BB1098">
        <w:rPr>
          <w:b/>
        </w:rPr>
        <w:t>Indirect comparison of fluticasone and budesonide</w:t>
      </w:r>
    </w:p>
    <w:p w:rsidR="00675E77" w:rsidRDefault="00675E77" w:rsidP="00675E77">
      <w:pPr>
        <w:pStyle w:val="BodyTextnospacebefore"/>
      </w:pPr>
      <w:r>
        <w:t>In the absence of direct, head-to-head studies, an indirect comparison of monotherapy using fluticasone (15 RCTs) and budesonide (five RCTs) was conducted, using</w:t>
      </w:r>
      <w:r w:rsidR="00AE7377">
        <w:t xml:space="preserve"> placebo as a common comparator (a</w:t>
      </w:r>
      <w:r>
        <w:t xml:space="preserve">s discussed earlier, </w:t>
      </w:r>
      <w:r w:rsidR="00222782">
        <w:t>sufficient</w:t>
      </w:r>
      <w:r>
        <w:t xml:space="preserve"> differences prevented an indirect comparison of combination therapy versus LABA). </w:t>
      </w:r>
    </w:p>
    <w:p w:rsidR="00675E77" w:rsidRDefault="00675E77" w:rsidP="00675E77">
      <w:pPr>
        <w:pStyle w:val="BodyText"/>
      </w:pPr>
      <w:r>
        <w:t xml:space="preserve">Of the four outcomes analysed, statistical significance was reached for all pneumonia events only, favouring budesonide </w:t>
      </w:r>
      <w:r w:rsidRPr="009449DB">
        <w:t>(</w:t>
      </w:r>
      <w:r w:rsidR="00356377">
        <w:t xml:space="preserve">Figure </w:t>
      </w:r>
      <w:r w:rsidR="00356377">
        <w:rPr>
          <w:noProof/>
        </w:rPr>
        <w:t>4.9</w:t>
      </w:r>
      <w:r w:rsidRPr="009449DB">
        <w:t>).</w:t>
      </w:r>
      <w:r>
        <w:t xml:space="preserve"> This evidence was downgraded to moderate </w:t>
      </w:r>
      <w:r w:rsidR="00BB1098">
        <w:t xml:space="preserve">quality </w:t>
      </w:r>
      <w:r>
        <w:t xml:space="preserve">on account of the wide confidence interval. When the TORCH study </w:t>
      </w:r>
      <w:r w:rsidR="00BB1098">
        <w:t>was</w:t>
      </w:r>
      <w:r>
        <w:t xml:space="preserve"> removed from this analysis, significance </w:t>
      </w:r>
      <w:r w:rsidR="00222782">
        <w:t>was</w:t>
      </w:r>
      <w:r>
        <w:t xml:space="preserve"> lost.</w:t>
      </w:r>
    </w:p>
    <w:p w:rsidR="00AE7377" w:rsidRDefault="00675E77" w:rsidP="00AE7377">
      <w:pPr>
        <w:pStyle w:val="BodyText"/>
      </w:pPr>
      <w:r>
        <w:t xml:space="preserve">The indirect comparison by </w:t>
      </w:r>
      <w:proofErr w:type="spellStart"/>
      <w:r>
        <w:t>Halpin</w:t>
      </w:r>
      <w:proofErr w:type="spellEnd"/>
      <w:r>
        <w:t xml:space="preserve"> (2011; </w:t>
      </w:r>
      <w:r w:rsidR="00356377">
        <w:t xml:space="preserve">Table </w:t>
      </w:r>
      <w:r w:rsidR="00356377">
        <w:rPr>
          <w:noProof/>
        </w:rPr>
        <w:t>4</w:t>
      </w:r>
      <w:r w:rsidR="00356377">
        <w:t>.</w:t>
      </w:r>
      <w:r w:rsidR="00356377">
        <w:rPr>
          <w:noProof/>
        </w:rPr>
        <w:t>4</w:t>
      </w:r>
      <w:r>
        <w:t xml:space="preserve">; not selected as a key review), </w:t>
      </w:r>
      <w:r w:rsidR="008272CF">
        <w:t xml:space="preserve">also </w:t>
      </w:r>
      <w:r>
        <w:t xml:space="preserve">found significantly more serious pneumonia events with fluticasone versus budesonide (OR 0.41 [95% CI: 0.19, 0.86]). </w:t>
      </w:r>
    </w:p>
    <w:p w:rsidR="00675E77" w:rsidRDefault="00675E77" w:rsidP="002C7600">
      <w:pPr>
        <w:pStyle w:val="HeaderFigure"/>
      </w:pPr>
      <w:bookmarkStart w:id="120" w:name="_Ref467528236"/>
      <w:bookmarkStart w:id="121" w:name="_Toc468022896"/>
      <w:bookmarkStart w:id="122" w:name="_Toc468034549"/>
      <w:bookmarkStart w:id="123" w:name="_Toc480373324"/>
      <w:bookmarkStart w:id="124" w:name="_Toc486515166"/>
      <w:r>
        <w:lastRenderedPageBreak/>
        <w:t xml:space="preserve">Figure </w:t>
      </w:r>
      <w:r w:rsidR="00356377">
        <w:rPr>
          <w:noProof/>
        </w:rPr>
        <w:t>4</w:t>
      </w:r>
      <w:r w:rsidR="00CC0111">
        <w:t>.</w:t>
      </w:r>
      <w:r w:rsidR="00356377">
        <w:rPr>
          <w:noProof/>
        </w:rPr>
        <w:t>9</w:t>
      </w:r>
      <w:bookmarkEnd w:id="120"/>
      <w:r>
        <w:tab/>
      </w:r>
      <w:r w:rsidR="008C679F">
        <w:t xml:space="preserve">Risk of pneumonia for </w:t>
      </w:r>
      <w:r>
        <w:t>FLU and BUD monotherapy versus placebo – Kew (2014)</w:t>
      </w:r>
      <w:bookmarkEnd w:id="121"/>
      <w:bookmarkEnd w:id="122"/>
      <w:bookmarkEnd w:id="123"/>
      <w:bookmarkEnd w:id="124"/>
    </w:p>
    <w:p w:rsidR="00675E77" w:rsidRDefault="00BD6CAC" w:rsidP="00675E77">
      <w:pPr>
        <w:pStyle w:val="Picturewithbox"/>
      </w:pPr>
      <w:r w:rsidRPr="00BD6CAC">
        <w:rPr>
          <w:noProof/>
          <w:lang w:eastAsia="en-AU"/>
        </w:rPr>
        <w:t xml:space="preserve"> </w:t>
      </w:r>
      <w:r>
        <w:rPr>
          <w:noProof/>
          <w:lang w:eastAsia="en-AU"/>
        </w:rPr>
        <w:drawing>
          <wp:inline distT="0" distB="0" distL="0" distR="0" wp14:anchorId="38013663" wp14:editId="68DB26CE">
            <wp:extent cx="6120130" cy="20631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2063115"/>
                    </a:xfrm>
                    <a:prstGeom prst="rect">
                      <a:avLst/>
                    </a:prstGeom>
                  </pic:spPr>
                </pic:pic>
              </a:graphicData>
            </a:graphic>
          </wp:inline>
        </w:drawing>
      </w:r>
    </w:p>
    <w:p w:rsidR="00675E77" w:rsidRDefault="00675E77" w:rsidP="00675E77">
      <w:pPr>
        <w:pStyle w:val="10TableorFigurefootnote"/>
      </w:pPr>
      <w:r>
        <w:t>Source: Kew (2014) Figure 5, p20.</w:t>
      </w:r>
      <w:r w:rsidRPr="00CC3216">
        <w:rPr>
          <w:b/>
        </w:rPr>
        <w:t xml:space="preserve"> </w:t>
      </w:r>
    </w:p>
    <w:p w:rsidR="00AE7377" w:rsidRDefault="00AE7377" w:rsidP="00AE7377">
      <w:pPr>
        <w:pStyle w:val="BodyText"/>
      </w:pPr>
      <w:r>
        <w:t xml:space="preserve">Figure </w:t>
      </w:r>
      <w:r>
        <w:rPr>
          <w:noProof/>
        </w:rPr>
        <w:t>4</w:t>
      </w:r>
      <w:r>
        <w:t>.</w:t>
      </w:r>
      <w:r>
        <w:rPr>
          <w:noProof/>
        </w:rPr>
        <w:t>10</w:t>
      </w:r>
      <w:r>
        <w:t xml:space="preserve"> shows pooled estimates for all studies of fluticasone versus control and all budesonide versus control, for all six outcomes. Estimates were also pooled across both interventions for all outcomes except all pneumonia events, which </w:t>
      </w:r>
      <w:proofErr w:type="gramStart"/>
      <w:r>
        <w:t>was</w:t>
      </w:r>
      <w:proofErr w:type="gramEnd"/>
      <w:r>
        <w:t xml:space="preserve"> prevented by heterogeneity. The pooled estimate for non-fatal serious pneumonia events is OR 1.76 [95% CI: 1.50, 2.07], with the fluticasone studies contributing over 80% of the analysis weight.</w:t>
      </w:r>
    </w:p>
    <w:p w:rsidR="00675E77" w:rsidRDefault="00675E77" w:rsidP="00675E77">
      <w:pPr>
        <w:pStyle w:val="BodyText"/>
      </w:pPr>
      <w:r>
        <w:t>The authors note their decision to conduct this indirect analysis was based on statistical consistency and a comprehensive assessment of transitivity across the two set of monotherapy trials, and consider the comparison to be valid. However, the quality of the evidence is limited by the indirect nature of the comparison, and should be interpreted in light of the lack of consistent definition of a diagnosis of pneumonia.</w:t>
      </w:r>
    </w:p>
    <w:p w:rsidR="00675E77" w:rsidRPr="00CC5F92" w:rsidRDefault="00675E77" w:rsidP="002C7600">
      <w:pPr>
        <w:pStyle w:val="HeaderFigure"/>
      </w:pPr>
      <w:bookmarkStart w:id="125" w:name="_Ref467528647"/>
      <w:bookmarkStart w:id="126" w:name="_Toc468022897"/>
      <w:bookmarkStart w:id="127" w:name="_Toc468034550"/>
      <w:bookmarkStart w:id="128" w:name="_Toc480373325"/>
      <w:bookmarkStart w:id="129" w:name="_Toc486515167"/>
      <w:r>
        <w:lastRenderedPageBreak/>
        <w:t xml:space="preserve">Figure </w:t>
      </w:r>
      <w:r w:rsidR="00356377">
        <w:rPr>
          <w:noProof/>
        </w:rPr>
        <w:t>4</w:t>
      </w:r>
      <w:r w:rsidR="00CC0111">
        <w:t>.</w:t>
      </w:r>
      <w:r w:rsidR="00356377">
        <w:rPr>
          <w:noProof/>
        </w:rPr>
        <w:t>10</w:t>
      </w:r>
      <w:bookmarkEnd w:id="125"/>
      <w:r>
        <w:tab/>
        <w:t xml:space="preserve">Summary of pooled estimates of ICS vs placebo and combination </w:t>
      </w:r>
      <w:proofErr w:type="spellStart"/>
      <w:r>
        <w:t>ver</w:t>
      </w:r>
      <w:r w:rsidR="008272CF">
        <w:t>u</w:t>
      </w:r>
      <w:r>
        <w:t>s</w:t>
      </w:r>
      <w:proofErr w:type="spellEnd"/>
      <w:r>
        <w:t xml:space="preserve"> LABA therapy – Kew 2014</w:t>
      </w:r>
      <w:bookmarkEnd w:id="126"/>
      <w:bookmarkEnd w:id="127"/>
      <w:bookmarkEnd w:id="128"/>
      <w:bookmarkEnd w:id="129"/>
    </w:p>
    <w:p w:rsidR="00675E77" w:rsidRDefault="009D3242" w:rsidP="00675E77">
      <w:pPr>
        <w:pStyle w:val="Picturewithbox"/>
      </w:pPr>
      <w:r>
        <w:rPr>
          <w:noProof/>
          <w:lang w:eastAsia="en-AU"/>
        </w:rPr>
        <w:drawing>
          <wp:inline distT="0" distB="0" distL="0" distR="0" wp14:anchorId="5760B655" wp14:editId="343FC881">
            <wp:extent cx="6102350" cy="5962015"/>
            <wp:effectExtent l="0" t="0" r="0" b="635"/>
            <wp:docPr id="23" name="Picture 23" descr="Summary of pooled estimates of ICS vs placebo and combination verses LABA therapy – Kew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ew (2014) pooled results for each outcome, by FLU BUD v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2350" cy="5962015"/>
                    </a:xfrm>
                    <a:prstGeom prst="rect">
                      <a:avLst/>
                    </a:prstGeom>
                    <a:noFill/>
                    <a:ln>
                      <a:noFill/>
                    </a:ln>
                  </pic:spPr>
                </pic:pic>
              </a:graphicData>
            </a:graphic>
          </wp:inline>
        </w:drawing>
      </w:r>
    </w:p>
    <w:p w:rsidR="00675E77" w:rsidRDefault="00675E77" w:rsidP="00675E77">
      <w:pPr>
        <w:pStyle w:val="10TableorFigurefootnote"/>
      </w:pPr>
      <w:r>
        <w:t>Source: Kew (2014) Figure 4, p17</w:t>
      </w:r>
    </w:p>
    <w:p w:rsidR="00675E77" w:rsidRDefault="00675E77" w:rsidP="00675E77">
      <w:pPr>
        <w:pStyle w:val="11TableorFigurefootnotenostick"/>
      </w:pPr>
      <w:r>
        <w:t>Abbreviations: CI, confidence interval; ICS, inhaled corticosteroids; LABA, long-acting beta-2 agonist; SE, standard error; vs, versus.</w:t>
      </w:r>
    </w:p>
    <w:p w:rsidR="00675E77" w:rsidRPr="006204E2" w:rsidRDefault="00675E77" w:rsidP="00675E77">
      <w:pPr>
        <w:pStyle w:val="Heading6"/>
        <w:rPr>
          <w:b/>
        </w:rPr>
      </w:pPr>
      <w:r w:rsidRPr="006204E2">
        <w:rPr>
          <w:b/>
        </w:rPr>
        <w:t>Authors’ conclusions</w:t>
      </w:r>
    </w:p>
    <w:p w:rsidR="00675E77" w:rsidRPr="00167471" w:rsidRDefault="00675E77" w:rsidP="00675E77">
      <w:pPr>
        <w:pStyle w:val="BodyTextnospacebefore"/>
      </w:pPr>
      <w:r>
        <w:t>The authors concluded that whether delivered as monotherapy or in combination with a LABA, budesonide and fluticasone are associated with an increased risk of serious adverse pneumonia events. Neither, however, significantly affected mortality compared with controls, and the increased pneumonia risk should be balanced with recent cohort data and randomised evidence of efficacy regarding exacerbations and quality of life. The indirect comparison of the two drugs found the risk of any pneumonia was higher for fluticasone, but this finding may be confounded by inconsistency in the definitions used by the respective manufacturers.</w:t>
      </w:r>
    </w:p>
    <w:p w:rsidR="00675E77" w:rsidRDefault="00675E77" w:rsidP="00675E77">
      <w:pPr>
        <w:pStyle w:val="Heading5"/>
      </w:pPr>
      <w:proofErr w:type="spellStart"/>
      <w:r>
        <w:lastRenderedPageBreak/>
        <w:t>Tricco</w:t>
      </w:r>
      <w:proofErr w:type="spellEnd"/>
      <w:r>
        <w:t xml:space="preserve"> (2015) network meta-analysis</w:t>
      </w:r>
    </w:p>
    <w:p w:rsidR="00675E77" w:rsidRDefault="00675E77" w:rsidP="00675E77">
      <w:pPr>
        <w:pStyle w:val="BodyTextnospacebefore"/>
      </w:pPr>
      <w:proofErr w:type="spellStart"/>
      <w:r>
        <w:t>Tricco</w:t>
      </w:r>
      <w:proofErr w:type="spellEnd"/>
      <w:r>
        <w:t xml:space="preserve"> (2015) identified 208 parallel-group RCTs of any long-acting inhaled agents and analysed all available combinations and comparisons in a network meta-analysis. One efficacy outcome (exacerbations in the past year) and four safety outcomes were analysed: pneumonia, mortality, cardiovascular-related mortality</w:t>
      </w:r>
      <w:r w:rsidR="007A338E">
        <w:t>,</w:t>
      </w:r>
      <w:r>
        <w:t xml:space="preserve"> and serious arrhythmia.</w:t>
      </w:r>
      <w:r w:rsidRPr="00C64B08">
        <w:t xml:space="preserve"> </w:t>
      </w:r>
      <w:r>
        <w:t xml:space="preserve">Pneumonia was not further defined, so presumably refers to any pneumonia. The network meta-analyses plot for pneumonia is shown in </w:t>
      </w:r>
      <w:r w:rsidR="00356377">
        <w:t xml:space="preserve">Figure </w:t>
      </w:r>
      <w:r w:rsidR="00356377">
        <w:rPr>
          <w:noProof/>
        </w:rPr>
        <w:t>4</w:t>
      </w:r>
      <w:r w:rsidR="00356377">
        <w:t>.</w:t>
      </w:r>
      <w:r w:rsidR="00356377">
        <w:rPr>
          <w:noProof/>
        </w:rPr>
        <w:t>11</w:t>
      </w:r>
      <w:r>
        <w:t xml:space="preserve">. </w:t>
      </w:r>
    </w:p>
    <w:p w:rsidR="00675E77" w:rsidRDefault="00675E77" w:rsidP="002C7600">
      <w:pPr>
        <w:pStyle w:val="HeaderFigure"/>
      </w:pPr>
      <w:bookmarkStart w:id="130" w:name="_Ref467533248"/>
      <w:bookmarkStart w:id="131" w:name="_Toc468022898"/>
      <w:bookmarkStart w:id="132" w:name="_Toc468034551"/>
      <w:bookmarkStart w:id="133" w:name="_Toc480373326"/>
      <w:bookmarkStart w:id="134" w:name="_Toc486515168"/>
      <w:r>
        <w:t xml:space="preserve">Figure </w:t>
      </w:r>
      <w:r w:rsidR="00356377">
        <w:rPr>
          <w:noProof/>
        </w:rPr>
        <w:t>4</w:t>
      </w:r>
      <w:r w:rsidR="00CC0111">
        <w:t>.</w:t>
      </w:r>
      <w:r w:rsidR="00356377">
        <w:rPr>
          <w:noProof/>
        </w:rPr>
        <w:t>11</w:t>
      </w:r>
      <w:bookmarkEnd w:id="130"/>
      <w:r>
        <w:tab/>
        <w:t xml:space="preserve">Network meta-analysis plot for pneumonia – </w:t>
      </w:r>
      <w:proofErr w:type="spellStart"/>
      <w:r>
        <w:t>Tricco</w:t>
      </w:r>
      <w:proofErr w:type="spellEnd"/>
      <w:r>
        <w:t xml:space="preserve"> (2015)</w:t>
      </w:r>
      <w:bookmarkEnd w:id="131"/>
      <w:bookmarkEnd w:id="132"/>
      <w:bookmarkEnd w:id="133"/>
      <w:bookmarkEnd w:id="134"/>
    </w:p>
    <w:p w:rsidR="00675E77" w:rsidRPr="00034EAB" w:rsidRDefault="009D3242" w:rsidP="00675E77">
      <w:pPr>
        <w:pStyle w:val="Picturewithbox"/>
        <w:keepNext/>
      </w:pPr>
      <w:r>
        <w:rPr>
          <w:noProof/>
          <w:lang w:eastAsia="en-AU"/>
        </w:rPr>
        <w:drawing>
          <wp:inline distT="0" distB="0" distL="0" distR="0" wp14:anchorId="0DFBBD61" wp14:editId="0D9CF4C7">
            <wp:extent cx="3611245" cy="3023235"/>
            <wp:effectExtent l="0" t="0" r="8255" b="5715"/>
            <wp:docPr id="24" name="Picture 24" descr="Network meta-analysis plot for pneumonia – Tricc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icco (2014) network meta-analysis diagram v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11245" cy="3023235"/>
                    </a:xfrm>
                    <a:prstGeom prst="rect">
                      <a:avLst/>
                    </a:prstGeom>
                    <a:noFill/>
                    <a:ln>
                      <a:noFill/>
                    </a:ln>
                  </pic:spPr>
                </pic:pic>
              </a:graphicData>
            </a:graphic>
          </wp:inline>
        </w:drawing>
      </w:r>
    </w:p>
    <w:p w:rsidR="00675E77" w:rsidRDefault="00675E77" w:rsidP="00675E77">
      <w:pPr>
        <w:pStyle w:val="10TableorFigurefootnote"/>
      </w:pPr>
      <w:r>
        <w:t xml:space="preserve">Source: </w:t>
      </w:r>
      <w:proofErr w:type="spellStart"/>
      <w:r>
        <w:t>Tricco</w:t>
      </w:r>
      <w:proofErr w:type="spellEnd"/>
      <w:r>
        <w:t xml:space="preserve"> (2015) Figure 3(D), p6: </w:t>
      </w:r>
      <w:r w:rsidRPr="00F742FA">
        <w:rPr>
          <w:b/>
        </w:rPr>
        <w:t>Note</w:t>
      </w:r>
      <w:r>
        <w:t>: Nodes are proportional to the number of patients included in the corresponding treatments, and edges [lines] are weighted according to the number of studies included in the respective comparisons.</w:t>
      </w:r>
    </w:p>
    <w:p w:rsidR="00675E77" w:rsidRDefault="00675E77" w:rsidP="00675E77">
      <w:pPr>
        <w:pStyle w:val="11TableorFigurefootnotenostick"/>
      </w:pPr>
      <w:r w:rsidRPr="00034EAB">
        <w:t>Abbreviations:</w:t>
      </w:r>
      <w:r>
        <w:t xml:space="preserve"> ACLI, </w:t>
      </w:r>
      <w:proofErr w:type="spellStart"/>
      <w:r>
        <w:t>aclidinium</w:t>
      </w:r>
      <w:proofErr w:type="spellEnd"/>
      <w:r>
        <w:t xml:space="preserve"> ; BUDE, budesonide; FORM, </w:t>
      </w:r>
      <w:proofErr w:type="spellStart"/>
      <w:r>
        <w:t>eformoterol</w:t>
      </w:r>
      <w:proofErr w:type="spellEnd"/>
      <w:r>
        <w:t xml:space="preserve">; FLUT, fluticasone; GLYC, </w:t>
      </w:r>
      <w:proofErr w:type="spellStart"/>
      <w:r>
        <w:t>glycopyrronium</w:t>
      </w:r>
      <w:proofErr w:type="spellEnd"/>
      <w:r>
        <w:t xml:space="preserve"> ; INDAC, </w:t>
      </w:r>
      <w:proofErr w:type="spellStart"/>
      <w:r>
        <w:t>indacaterol</w:t>
      </w:r>
      <w:proofErr w:type="spellEnd"/>
      <w:r>
        <w:t xml:space="preserve"> ; MOME, </w:t>
      </w:r>
      <w:proofErr w:type="spellStart"/>
      <w:r>
        <w:t>mometasone</w:t>
      </w:r>
      <w:proofErr w:type="spellEnd"/>
      <w:r>
        <w:t xml:space="preserve">; SALM, salmeterol; UMEC, </w:t>
      </w:r>
      <w:proofErr w:type="spellStart"/>
      <w:r>
        <w:t>umeclidinium</w:t>
      </w:r>
      <w:proofErr w:type="spellEnd"/>
      <w:r>
        <w:t xml:space="preserve"> ; VILA, </w:t>
      </w:r>
      <w:proofErr w:type="spellStart"/>
      <w:r>
        <w:t>vilanterol</w:t>
      </w:r>
      <w:proofErr w:type="spellEnd"/>
      <w:r>
        <w:t>; BECLO, beclomethasone.</w:t>
      </w:r>
    </w:p>
    <w:p w:rsidR="00675E77" w:rsidRDefault="00675E77" w:rsidP="00675E77">
      <w:pPr>
        <w:pStyle w:val="BodyText"/>
      </w:pPr>
      <w:r>
        <w:t xml:space="preserve">Tiotropium was the focus of this MTC, but only comparisons of relevance to the current Review are presented here. Statistically significant comparisons are shown in </w:t>
      </w:r>
      <w:r w:rsidR="00356377">
        <w:t xml:space="preserve">Table </w:t>
      </w:r>
      <w:r w:rsidR="00356377">
        <w:rPr>
          <w:noProof/>
        </w:rPr>
        <w:t>4</w:t>
      </w:r>
      <w:r w:rsidR="00356377">
        <w:t>.</w:t>
      </w:r>
      <w:r w:rsidR="00356377">
        <w:rPr>
          <w:noProof/>
        </w:rPr>
        <w:t>11</w:t>
      </w:r>
      <w:r>
        <w:t>. These results are consistent wit</w:t>
      </w:r>
      <w:r w:rsidR="007A338E">
        <w:t>h the findings of the Cochrane r</w:t>
      </w:r>
      <w:r>
        <w:t>eviews reported earlier, and provide an estimate for the additional comparison of fluticasone</w:t>
      </w:r>
      <w:r w:rsidR="00172729">
        <w:t xml:space="preserve"> </w:t>
      </w:r>
      <w:proofErr w:type="spellStart"/>
      <w:r w:rsidR="00172729">
        <w:t>furoate</w:t>
      </w:r>
      <w:proofErr w:type="spellEnd"/>
      <w:r>
        <w:t>/</w:t>
      </w:r>
      <w:proofErr w:type="spellStart"/>
      <w:r>
        <w:t>vilanterol</w:t>
      </w:r>
      <w:proofErr w:type="spellEnd"/>
      <w:r>
        <w:t xml:space="preserve"> with </w:t>
      </w:r>
      <w:proofErr w:type="spellStart"/>
      <w:r>
        <w:t>vilanterol</w:t>
      </w:r>
      <w:proofErr w:type="spellEnd"/>
      <w:r>
        <w:t>, separate from the dominating fluticasone</w:t>
      </w:r>
      <w:r w:rsidR="00172729">
        <w:rPr>
          <w:rFonts w:hint="eastAsia"/>
        </w:rPr>
        <w:t xml:space="preserve"> propionate</w:t>
      </w:r>
      <w:r>
        <w:rPr>
          <w:rFonts w:hint="eastAsia"/>
        </w:rPr>
        <w:t>/</w:t>
      </w:r>
      <w:r>
        <w:t xml:space="preserve">salmeterol data (as discussed earlier, these studies include arms with doses twice that indicated </w:t>
      </w:r>
      <w:r w:rsidR="008272CF">
        <w:t xml:space="preserve">and PBS listed </w:t>
      </w:r>
      <w:r>
        <w:t>for COPD). Both the network meta-analysis and the direct meta-analysis estimates indicate more pneumonia events with fluticasone</w:t>
      </w:r>
      <w:r w:rsidR="00172729">
        <w:t xml:space="preserve"> </w:t>
      </w:r>
      <w:proofErr w:type="spellStart"/>
      <w:r w:rsidR="00172729">
        <w:t>furoate</w:t>
      </w:r>
      <w:proofErr w:type="spellEnd"/>
      <w:r>
        <w:t>/</w:t>
      </w:r>
      <w:proofErr w:type="spellStart"/>
      <w:r>
        <w:t>vilanterol</w:t>
      </w:r>
      <w:proofErr w:type="spellEnd"/>
      <w:r>
        <w:t xml:space="preserve"> than with </w:t>
      </w:r>
      <w:proofErr w:type="spellStart"/>
      <w:r>
        <w:t>vilanterol</w:t>
      </w:r>
      <w:proofErr w:type="spellEnd"/>
      <w:r>
        <w:t xml:space="preserve"> alone.</w:t>
      </w:r>
    </w:p>
    <w:p w:rsidR="007A338E" w:rsidRDefault="007A338E" w:rsidP="007A338E">
      <w:pPr>
        <w:pStyle w:val="BodyText"/>
      </w:pPr>
      <w:r>
        <w:t>No relevant comparisons were statistically significant for cardiovascular-related mortality. Only three MTC estimates were significant for overall mortality, which was lower for fluticasone</w:t>
      </w:r>
      <w:r>
        <w:rPr>
          <w:rFonts w:hint="eastAsia"/>
        </w:rPr>
        <w:t xml:space="preserve"> propionate/</w:t>
      </w:r>
      <w:r>
        <w:t xml:space="preserve">salmeterol than for placebo, </w:t>
      </w:r>
      <w:proofErr w:type="spellStart"/>
      <w:r>
        <w:t>eformoterol</w:t>
      </w:r>
      <w:proofErr w:type="spellEnd"/>
      <w:r>
        <w:t xml:space="preserve"> or fluticasone monotherapy.</w:t>
      </w:r>
    </w:p>
    <w:p w:rsidR="007A338E" w:rsidRDefault="007A338E" w:rsidP="007A338E">
      <w:pPr>
        <w:pStyle w:val="BodyTextnospacebefore"/>
      </w:pPr>
    </w:p>
    <w:p w:rsidR="007A338E" w:rsidRPr="008272CF" w:rsidRDefault="007A338E" w:rsidP="007A338E">
      <w:pPr>
        <w:pStyle w:val="Heading6"/>
        <w:rPr>
          <w:b/>
        </w:rPr>
      </w:pPr>
      <w:r w:rsidRPr="008272CF">
        <w:rPr>
          <w:b/>
        </w:rPr>
        <w:t>Authors’ conclusions</w:t>
      </w:r>
    </w:p>
    <w:p w:rsidR="007A338E" w:rsidRPr="00C64B08" w:rsidRDefault="007A338E" w:rsidP="007A338E">
      <w:pPr>
        <w:pStyle w:val="BodyTextnospacebefore"/>
      </w:pPr>
      <w:r>
        <w:t xml:space="preserve">With regards to inhaled corticosteroids, the authors concluded that fluticasone propionate/salmeterol reduces the risk of mortality, but may increase risk of pneumonia. </w:t>
      </w:r>
    </w:p>
    <w:p w:rsidR="00675E77" w:rsidRDefault="00675E77" w:rsidP="007A338E">
      <w:pPr>
        <w:pStyle w:val="HeaderTable"/>
        <w:keepLines/>
      </w:pPr>
      <w:bookmarkStart w:id="135" w:name="_Ref467568626"/>
      <w:bookmarkStart w:id="136" w:name="_Toc468022899"/>
      <w:bookmarkStart w:id="137" w:name="_Toc468034552"/>
      <w:bookmarkStart w:id="138" w:name="_Toc480373306"/>
      <w:bookmarkStart w:id="139" w:name="_Toc486515201"/>
      <w:r>
        <w:lastRenderedPageBreak/>
        <w:t xml:space="preserve">Table </w:t>
      </w:r>
      <w:r w:rsidR="00356377">
        <w:rPr>
          <w:noProof/>
        </w:rPr>
        <w:t>4</w:t>
      </w:r>
      <w:r>
        <w:t>.</w:t>
      </w:r>
      <w:r w:rsidR="00356377">
        <w:rPr>
          <w:noProof/>
        </w:rPr>
        <w:t>11</w:t>
      </w:r>
      <w:bookmarkEnd w:id="135"/>
      <w:r>
        <w:tab/>
        <w:t xml:space="preserve">Statistically significant results for pneumonia risk – </w:t>
      </w:r>
      <w:proofErr w:type="spellStart"/>
      <w:r>
        <w:t>Tricco</w:t>
      </w:r>
      <w:proofErr w:type="spellEnd"/>
      <w:r>
        <w:t xml:space="preserve"> 2015</w:t>
      </w:r>
      <w:bookmarkEnd w:id="136"/>
      <w:bookmarkEnd w:id="137"/>
      <w:bookmarkEnd w:id="138"/>
      <w:bookmarkEnd w:id="1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Statistically significant results for pneumonia risk – Tricco 2015"/>
      </w:tblPr>
      <w:tblGrid>
        <w:gridCol w:w="3018"/>
        <w:gridCol w:w="2074"/>
        <w:gridCol w:w="1874"/>
        <w:gridCol w:w="1339"/>
        <w:gridCol w:w="1343"/>
      </w:tblGrid>
      <w:tr w:rsidR="00675E77" w:rsidRPr="007E0829" w:rsidTr="00675E77">
        <w:trPr>
          <w:cantSplit/>
          <w:tblHeader/>
        </w:trPr>
        <w:tc>
          <w:tcPr>
            <w:tcW w:w="1564" w:type="pct"/>
            <w:shd w:val="clear" w:color="auto" w:fill="BFBFBF"/>
          </w:tcPr>
          <w:p w:rsidR="00675E77" w:rsidRPr="007E0829" w:rsidRDefault="00675E77" w:rsidP="007A338E">
            <w:pPr>
              <w:pStyle w:val="01TableHEADINGleftaligned"/>
              <w:keepLines/>
            </w:pPr>
            <w:r w:rsidRPr="007E0829">
              <w:t>Treatment comparison</w:t>
            </w:r>
          </w:p>
        </w:tc>
        <w:tc>
          <w:tcPr>
            <w:tcW w:w="1075" w:type="pct"/>
            <w:shd w:val="clear" w:color="auto" w:fill="BFBFBF"/>
          </w:tcPr>
          <w:p w:rsidR="00675E77" w:rsidRDefault="00675E77" w:rsidP="007A338E">
            <w:pPr>
              <w:pStyle w:val="02TableHEADINGcentred"/>
              <w:keepLines/>
            </w:pPr>
            <w:r>
              <w:t>NMA estimate</w:t>
            </w:r>
          </w:p>
          <w:p w:rsidR="00675E77" w:rsidRPr="007E0829" w:rsidRDefault="00675E77" w:rsidP="007A338E">
            <w:pPr>
              <w:pStyle w:val="02TableHEADINGcentred"/>
              <w:keepLines/>
            </w:pPr>
            <w:r w:rsidRPr="007E0829">
              <w:t xml:space="preserve">OR </w:t>
            </w:r>
            <w:r>
              <w:t>[</w:t>
            </w:r>
            <w:r w:rsidRPr="007E0829">
              <w:t>95% CI</w:t>
            </w:r>
            <w:r>
              <w:t>]</w:t>
            </w:r>
          </w:p>
        </w:tc>
        <w:tc>
          <w:tcPr>
            <w:tcW w:w="971" w:type="pct"/>
            <w:shd w:val="clear" w:color="auto" w:fill="BFBFBF"/>
          </w:tcPr>
          <w:p w:rsidR="00675E77" w:rsidRDefault="00675E77" w:rsidP="007A338E">
            <w:pPr>
              <w:pStyle w:val="02TableHEADINGcentred"/>
              <w:keepLines/>
            </w:pPr>
            <w:r w:rsidRPr="007E0829">
              <w:t>MA estimate</w:t>
            </w:r>
          </w:p>
          <w:p w:rsidR="00675E77" w:rsidRPr="007E0829" w:rsidRDefault="00675E77" w:rsidP="007A338E">
            <w:pPr>
              <w:pStyle w:val="02TableHEADINGcentred"/>
              <w:keepLines/>
            </w:pPr>
            <w:r w:rsidRPr="007E0829">
              <w:t xml:space="preserve">OR </w:t>
            </w:r>
            <w:r>
              <w:t>[</w:t>
            </w:r>
            <w:r w:rsidRPr="007E0829">
              <w:t>95% CI</w:t>
            </w:r>
            <w:r>
              <w:t>]</w:t>
            </w:r>
          </w:p>
        </w:tc>
        <w:tc>
          <w:tcPr>
            <w:tcW w:w="694" w:type="pct"/>
            <w:shd w:val="clear" w:color="auto" w:fill="BFBFBF"/>
          </w:tcPr>
          <w:p w:rsidR="00675E77" w:rsidRPr="007E0829" w:rsidRDefault="00675E77" w:rsidP="007A338E">
            <w:pPr>
              <w:pStyle w:val="02TableHEADINGcentred"/>
              <w:keepLines/>
            </w:pPr>
            <w:r w:rsidRPr="007E0829">
              <w:t>Studies (N), Patients (N)</w:t>
            </w:r>
          </w:p>
        </w:tc>
        <w:tc>
          <w:tcPr>
            <w:tcW w:w="696" w:type="pct"/>
            <w:shd w:val="clear" w:color="auto" w:fill="BFBFBF"/>
          </w:tcPr>
          <w:p w:rsidR="00675E77" w:rsidRPr="007E0829" w:rsidRDefault="00675E77" w:rsidP="007A338E">
            <w:pPr>
              <w:pStyle w:val="02TableHEADINGcentred"/>
              <w:keepLines/>
            </w:pPr>
            <w:r w:rsidRPr="007E0829">
              <w:t>MA heterogeneity variance</w:t>
            </w:r>
          </w:p>
        </w:tc>
      </w:tr>
      <w:tr w:rsidR="00675E77" w:rsidRPr="0019224F" w:rsidTr="00675E77">
        <w:trPr>
          <w:cantSplit/>
        </w:trPr>
        <w:tc>
          <w:tcPr>
            <w:tcW w:w="1564" w:type="pct"/>
            <w:shd w:val="clear" w:color="auto" w:fill="000000"/>
          </w:tcPr>
          <w:p w:rsidR="00675E77" w:rsidRPr="007E0829" w:rsidRDefault="00675E77" w:rsidP="007A338E">
            <w:pPr>
              <w:pStyle w:val="04Tablesubheading"/>
              <w:keepLines/>
            </w:pPr>
            <w:r>
              <w:t xml:space="preserve">Fluticasone </w:t>
            </w:r>
            <w:proofErr w:type="spellStart"/>
            <w:r>
              <w:t>furoate</w:t>
            </w:r>
            <w:proofErr w:type="spellEnd"/>
            <w:r>
              <w:t xml:space="preserve"> analysis</w:t>
            </w:r>
          </w:p>
        </w:tc>
        <w:tc>
          <w:tcPr>
            <w:tcW w:w="1075" w:type="pct"/>
            <w:shd w:val="clear" w:color="auto" w:fill="000000"/>
          </w:tcPr>
          <w:p w:rsidR="00675E77" w:rsidRPr="007E0829" w:rsidRDefault="00675E77" w:rsidP="007A338E">
            <w:pPr>
              <w:pStyle w:val="04Tablesubheading"/>
              <w:keepLines/>
            </w:pPr>
          </w:p>
        </w:tc>
        <w:tc>
          <w:tcPr>
            <w:tcW w:w="971" w:type="pct"/>
            <w:shd w:val="clear" w:color="auto" w:fill="000000"/>
          </w:tcPr>
          <w:p w:rsidR="00675E77" w:rsidRPr="007E0829" w:rsidRDefault="00675E77" w:rsidP="007A338E">
            <w:pPr>
              <w:pStyle w:val="04Tablesubheading"/>
              <w:keepLines/>
            </w:pPr>
          </w:p>
        </w:tc>
        <w:tc>
          <w:tcPr>
            <w:tcW w:w="694" w:type="pct"/>
            <w:shd w:val="clear" w:color="auto" w:fill="000000"/>
          </w:tcPr>
          <w:p w:rsidR="00675E77" w:rsidRPr="007E0829" w:rsidRDefault="00675E77" w:rsidP="007A338E">
            <w:pPr>
              <w:pStyle w:val="04Tablesubheading"/>
              <w:keepLines/>
            </w:pPr>
          </w:p>
        </w:tc>
        <w:tc>
          <w:tcPr>
            <w:tcW w:w="696" w:type="pct"/>
            <w:shd w:val="clear" w:color="auto" w:fill="000000"/>
          </w:tcPr>
          <w:p w:rsidR="00675E77" w:rsidRPr="007E0829" w:rsidRDefault="00675E77" w:rsidP="007A338E">
            <w:pPr>
              <w:pStyle w:val="04Tablesubheading"/>
              <w:keepLines/>
            </w:pP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FLU/VIL vs VIL</w:t>
            </w:r>
          </w:p>
        </w:tc>
        <w:tc>
          <w:tcPr>
            <w:tcW w:w="1075" w:type="pct"/>
            <w:shd w:val="clear" w:color="auto" w:fill="auto"/>
          </w:tcPr>
          <w:p w:rsidR="00675E77" w:rsidRPr="007E0829" w:rsidRDefault="00675E77" w:rsidP="007A338E">
            <w:pPr>
              <w:pStyle w:val="05Tabletext"/>
              <w:keepNext/>
              <w:keepLines/>
              <w:jc w:val="center"/>
            </w:pPr>
            <w:r w:rsidRPr="007E0829">
              <w:t>1.87</w:t>
            </w:r>
            <w:r>
              <w:t xml:space="preserve"> [</w:t>
            </w:r>
            <w:r w:rsidRPr="007E0829">
              <w:t>1.18</w:t>
            </w:r>
            <w:r>
              <w:t xml:space="preserve">, </w:t>
            </w:r>
            <w:r w:rsidRPr="007E0829">
              <w:t>2.96</w:t>
            </w:r>
            <w:r>
              <w:t>]</w:t>
            </w:r>
          </w:p>
        </w:tc>
        <w:tc>
          <w:tcPr>
            <w:tcW w:w="971" w:type="pct"/>
            <w:shd w:val="clear" w:color="auto" w:fill="auto"/>
          </w:tcPr>
          <w:p w:rsidR="00675E77" w:rsidRPr="007E0829" w:rsidRDefault="00675E77" w:rsidP="007A338E">
            <w:pPr>
              <w:pStyle w:val="05Tabletext"/>
              <w:keepNext/>
              <w:keepLines/>
              <w:jc w:val="center"/>
            </w:pPr>
            <w:r w:rsidRPr="007E0829">
              <w:t>1.9</w:t>
            </w:r>
            <w:r>
              <w:t xml:space="preserve"> [</w:t>
            </w:r>
            <w:r w:rsidRPr="007E0829">
              <w:t>1.20</w:t>
            </w:r>
            <w:r>
              <w:t xml:space="preserve">, </w:t>
            </w:r>
            <w:r w:rsidRPr="007E0829">
              <w:t>3.01</w:t>
            </w:r>
            <w:r>
              <w:t>]</w:t>
            </w:r>
          </w:p>
        </w:tc>
        <w:tc>
          <w:tcPr>
            <w:tcW w:w="694" w:type="pct"/>
            <w:shd w:val="clear" w:color="auto" w:fill="auto"/>
          </w:tcPr>
          <w:p w:rsidR="00675E77" w:rsidRPr="007E0829" w:rsidRDefault="00675E77" w:rsidP="007A338E">
            <w:pPr>
              <w:pStyle w:val="05Tabletext"/>
              <w:keepNext/>
              <w:keepLines/>
              <w:jc w:val="center"/>
            </w:pPr>
            <w:r w:rsidRPr="007E0829">
              <w:t>4 (2442)</w:t>
            </w:r>
          </w:p>
        </w:tc>
        <w:tc>
          <w:tcPr>
            <w:tcW w:w="696" w:type="pct"/>
            <w:shd w:val="clear" w:color="auto" w:fill="auto"/>
          </w:tcPr>
          <w:p w:rsidR="00675E77" w:rsidRPr="007E0829" w:rsidRDefault="00675E77" w:rsidP="007A338E">
            <w:pPr>
              <w:pStyle w:val="05Tabletext"/>
              <w:keepNext/>
              <w:keepLines/>
              <w:jc w:val="center"/>
            </w:pPr>
            <w:r w:rsidRPr="007E0829">
              <w:t>0</w:t>
            </w:r>
          </w:p>
        </w:tc>
      </w:tr>
      <w:tr w:rsidR="00675E77" w:rsidRPr="0019224F" w:rsidTr="00675E77">
        <w:trPr>
          <w:cantSplit/>
        </w:trPr>
        <w:tc>
          <w:tcPr>
            <w:tcW w:w="1564" w:type="pct"/>
            <w:shd w:val="clear" w:color="auto" w:fill="000000"/>
          </w:tcPr>
          <w:p w:rsidR="00675E77" w:rsidRPr="007E0829" w:rsidRDefault="00675E77" w:rsidP="007A338E">
            <w:pPr>
              <w:pStyle w:val="04Tablesubheading"/>
              <w:keepLines/>
            </w:pPr>
            <w:r>
              <w:t>Intra-class comparisons</w:t>
            </w:r>
          </w:p>
        </w:tc>
        <w:tc>
          <w:tcPr>
            <w:tcW w:w="1075" w:type="pct"/>
            <w:shd w:val="clear" w:color="auto" w:fill="000000"/>
          </w:tcPr>
          <w:p w:rsidR="00675E77" w:rsidRPr="007E0829" w:rsidRDefault="00675E77" w:rsidP="007A338E">
            <w:pPr>
              <w:pStyle w:val="04Tablesubheading"/>
              <w:keepLines/>
            </w:pPr>
          </w:p>
        </w:tc>
        <w:tc>
          <w:tcPr>
            <w:tcW w:w="971" w:type="pct"/>
            <w:shd w:val="clear" w:color="auto" w:fill="000000"/>
          </w:tcPr>
          <w:p w:rsidR="00675E77" w:rsidRPr="007E0829" w:rsidRDefault="00675E77" w:rsidP="007A338E">
            <w:pPr>
              <w:pStyle w:val="04Tablesubheading"/>
              <w:keepLines/>
            </w:pPr>
          </w:p>
        </w:tc>
        <w:tc>
          <w:tcPr>
            <w:tcW w:w="694" w:type="pct"/>
            <w:shd w:val="clear" w:color="auto" w:fill="000000"/>
          </w:tcPr>
          <w:p w:rsidR="00675E77" w:rsidRPr="007E0829" w:rsidRDefault="00675E77" w:rsidP="007A338E">
            <w:pPr>
              <w:pStyle w:val="04Tablesubheading"/>
              <w:keepLines/>
            </w:pPr>
          </w:p>
        </w:tc>
        <w:tc>
          <w:tcPr>
            <w:tcW w:w="696" w:type="pct"/>
            <w:shd w:val="clear" w:color="auto" w:fill="000000"/>
          </w:tcPr>
          <w:p w:rsidR="00675E77" w:rsidRPr="007E0829" w:rsidRDefault="00675E77" w:rsidP="007A338E">
            <w:pPr>
              <w:pStyle w:val="04Tablesubheading"/>
              <w:keepLines/>
            </w:pP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 vs BUD</w:t>
            </w:r>
          </w:p>
        </w:tc>
        <w:tc>
          <w:tcPr>
            <w:tcW w:w="1075" w:type="pct"/>
            <w:shd w:val="clear" w:color="auto" w:fill="auto"/>
          </w:tcPr>
          <w:p w:rsidR="00675E77" w:rsidRPr="007E0829" w:rsidRDefault="00675E77" w:rsidP="007A338E">
            <w:pPr>
              <w:pStyle w:val="05Tabletext"/>
              <w:keepNext/>
              <w:keepLines/>
              <w:jc w:val="center"/>
            </w:pPr>
            <w:r w:rsidRPr="007E0829">
              <w:t>2.21</w:t>
            </w:r>
            <w:r>
              <w:t xml:space="preserve"> [</w:t>
            </w:r>
            <w:r w:rsidRPr="007E0829">
              <w:t>1.25</w:t>
            </w:r>
            <w:r>
              <w:t xml:space="preserve">, </w:t>
            </w:r>
            <w:r w:rsidRPr="007E0829">
              <w:t>3.92</w:t>
            </w:r>
            <w:r>
              <w:t>]</w:t>
            </w:r>
          </w:p>
        </w:tc>
        <w:tc>
          <w:tcPr>
            <w:tcW w:w="971" w:type="pct"/>
            <w:shd w:val="clear" w:color="auto" w:fill="auto"/>
          </w:tcPr>
          <w:p w:rsidR="00675E77" w:rsidRPr="007E0829" w:rsidRDefault="00675E77" w:rsidP="007A338E">
            <w:pPr>
              <w:pStyle w:val="05Tabletext"/>
              <w:keepNext/>
              <w:keepLines/>
              <w:jc w:val="center"/>
            </w:pPr>
            <w:r>
              <w:t>–</w:t>
            </w:r>
          </w:p>
        </w:tc>
        <w:tc>
          <w:tcPr>
            <w:tcW w:w="694" w:type="pct"/>
            <w:shd w:val="clear" w:color="auto" w:fill="auto"/>
          </w:tcPr>
          <w:p w:rsidR="00675E77" w:rsidRPr="007E0829" w:rsidRDefault="00675E77" w:rsidP="007A338E">
            <w:pPr>
              <w:pStyle w:val="05Tabletext"/>
              <w:keepNext/>
              <w:keepLines/>
              <w:jc w:val="center"/>
            </w:pPr>
            <w:r>
              <w:t>–</w:t>
            </w:r>
          </w:p>
        </w:tc>
        <w:tc>
          <w:tcPr>
            <w:tcW w:w="696" w:type="pct"/>
            <w:shd w:val="clear" w:color="auto" w:fill="auto"/>
          </w:tcPr>
          <w:p w:rsidR="00675E77" w:rsidRPr="007E0829" w:rsidRDefault="00675E77" w:rsidP="007A338E">
            <w:pPr>
              <w:pStyle w:val="05Tabletext"/>
              <w:keepNext/>
              <w:keepLines/>
              <w:jc w:val="center"/>
            </w:pPr>
            <w:r>
              <w:t>–</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FLU/SAL vs BUD</w:t>
            </w:r>
          </w:p>
        </w:tc>
        <w:tc>
          <w:tcPr>
            <w:tcW w:w="1075" w:type="pct"/>
            <w:shd w:val="clear" w:color="auto" w:fill="auto"/>
          </w:tcPr>
          <w:p w:rsidR="00675E77" w:rsidRPr="007E0829" w:rsidRDefault="00675E77" w:rsidP="007A338E">
            <w:pPr>
              <w:pStyle w:val="05Tabletext"/>
              <w:keepNext/>
              <w:keepLines/>
              <w:jc w:val="center"/>
            </w:pPr>
            <w:r w:rsidRPr="007E0829">
              <w:t>2.52</w:t>
            </w:r>
            <w:r>
              <w:t xml:space="preserve"> [</w:t>
            </w:r>
            <w:r w:rsidRPr="007E0829">
              <w:t>1.44</w:t>
            </w:r>
            <w:r>
              <w:t xml:space="preserve">, </w:t>
            </w:r>
            <w:r w:rsidRPr="007E0829">
              <w:t>4.43</w:t>
            </w:r>
            <w:r>
              <w:t>]</w:t>
            </w:r>
          </w:p>
        </w:tc>
        <w:tc>
          <w:tcPr>
            <w:tcW w:w="971" w:type="pct"/>
            <w:shd w:val="clear" w:color="auto" w:fill="auto"/>
          </w:tcPr>
          <w:p w:rsidR="00675E77" w:rsidRPr="007E0829" w:rsidRDefault="00675E77" w:rsidP="007A338E">
            <w:pPr>
              <w:pStyle w:val="05Tabletext"/>
              <w:keepNext/>
              <w:keepLines/>
              <w:jc w:val="center"/>
            </w:pPr>
            <w:r>
              <w:t>–</w:t>
            </w:r>
          </w:p>
        </w:tc>
        <w:tc>
          <w:tcPr>
            <w:tcW w:w="694" w:type="pct"/>
            <w:shd w:val="clear" w:color="auto" w:fill="auto"/>
          </w:tcPr>
          <w:p w:rsidR="00675E77" w:rsidRPr="007E0829" w:rsidRDefault="00675E77" w:rsidP="007A338E">
            <w:pPr>
              <w:pStyle w:val="05Tabletext"/>
              <w:keepNext/>
              <w:keepLines/>
              <w:jc w:val="center"/>
            </w:pPr>
            <w:r>
              <w:t>–</w:t>
            </w:r>
          </w:p>
        </w:tc>
        <w:tc>
          <w:tcPr>
            <w:tcW w:w="696" w:type="pct"/>
            <w:shd w:val="clear" w:color="auto" w:fill="auto"/>
          </w:tcPr>
          <w:p w:rsidR="00675E77" w:rsidRPr="007E0829" w:rsidRDefault="00675E77" w:rsidP="007A338E">
            <w:pPr>
              <w:pStyle w:val="05Tabletext"/>
              <w:keepNext/>
              <w:keepLines/>
              <w:jc w:val="center"/>
            </w:pPr>
            <w:r>
              <w:t>–</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FLU/VIL vs BUD</w:t>
            </w:r>
          </w:p>
        </w:tc>
        <w:tc>
          <w:tcPr>
            <w:tcW w:w="1075" w:type="pct"/>
            <w:shd w:val="clear" w:color="auto" w:fill="auto"/>
          </w:tcPr>
          <w:p w:rsidR="00675E77" w:rsidRPr="007E0829" w:rsidRDefault="00675E77" w:rsidP="007A338E">
            <w:pPr>
              <w:pStyle w:val="05Tabletext"/>
              <w:keepNext/>
              <w:keepLines/>
              <w:jc w:val="center"/>
            </w:pPr>
            <w:r w:rsidRPr="007E0829">
              <w:t>2.83</w:t>
            </w:r>
            <w:r>
              <w:t xml:space="preserve"> [</w:t>
            </w:r>
            <w:r w:rsidRPr="007E0829">
              <w:t>1.10</w:t>
            </w:r>
            <w:r>
              <w:t xml:space="preserve">, </w:t>
            </w:r>
            <w:r w:rsidRPr="007E0829">
              <w:t>7.25</w:t>
            </w:r>
            <w:r>
              <w:t>]</w:t>
            </w:r>
          </w:p>
        </w:tc>
        <w:tc>
          <w:tcPr>
            <w:tcW w:w="971" w:type="pct"/>
            <w:shd w:val="clear" w:color="auto" w:fill="auto"/>
          </w:tcPr>
          <w:p w:rsidR="00675E77" w:rsidRPr="007E0829" w:rsidRDefault="00675E77" w:rsidP="007A338E">
            <w:pPr>
              <w:pStyle w:val="05Tabletext"/>
              <w:keepNext/>
              <w:keepLines/>
              <w:jc w:val="center"/>
            </w:pPr>
            <w:r>
              <w:t>–</w:t>
            </w:r>
          </w:p>
        </w:tc>
        <w:tc>
          <w:tcPr>
            <w:tcW w:w="694" w:type="pct"/>
            <w:shd w:val="clear" w:color="auto" w:fill="auto"/>
          </w:tcPr>
          <w:p w:rsidR="00675E77" w:rsidRPr="007E0829" w:rsidRDefault="00675E77" w:rsidP="007A338E">
            <w:pPr>
              <w:pStyle w:val="05Tabletext"/>
              <w:keepNext/>
              <w:keepLines/>
              <w:jc w:val="center"/>
            </w:pPr>
            <w:r>
              <w:t>–</w:t>
            </w:r>
          </w:p>
        </w:tc>
        <w:tc>
          <w:tcPr>
            <w:tcW w:w="696" w:type="pct"/>
            <w:shd w:val="clear" w:color="auto" w:fill="auto"/>
          </w:tcPr>
          <w:p w:rsidR="00675E77" w:rsidRPr="007E0829" w:rsidRDefault="00675E77" w:rsidP="007A338E">
            <w:pPr>
              <w:pStyle w:val="05Tabletext"/>
              <w:keepNext/>
              <w:keepLines/>
              <w:jc w:val="center"/>
            </w:pPr>
            <w:r>
              <w:t>–</w:t>
            </w:r>
          </w:p>
        </w:tc>
      </w:tr>
      <w:tr w:rsidR="00675E77" w:rsidRPr="0019224F" w:rsidTr="00675E77">
        <w:trPr>
          <w:cantSplit/>
        </w:trPr>
        <w:tc>
          <w:tcPr>
            <w:tcW w:w="1564" w:type="pct"/>
            <w:shd w:val="clear" w:color="auto" w:fill="000000"/>
          </w:tcPr>
          <w:p w:rsidR="00675E77" w:rsidRPr="007E0829" w:rsidRDefault="00675E77" w:rsidP="007A338E">
            <w:pPr>
              <w:pStyle w:val="04Tablesubheading"/>
              <w:keepLines/>
            </w:pPr>
            <w:r>
              <w:t xml:space="preserve">FLU and </w:t>
            </w:r>
            <w:r w:rsidRPr="00805F1D">
              <w:t>FLU</w:t>
            </w:r>
            <w:r>
              <w:t>/</w:t>
            </w:r>
            <w:r w:rsidRPr="0019224F">
              <w:rPr>
                <w:rFonts w:ascii="Arial" w:hAnsi="Arial" w:cs="Arial"/>
              </w:rPr>
              <w:t>​</w:t>
            </w:r>
            <w:r w:rsidRPr="00805F1D">
              <w:t>SAL</w:t>
            </w:r>
            <w:r>
              <w:t xml:space="preserve"> analyses</w:t>
            </w:r>
          </w:p>
        </w:tc>
        <w:tc>
          <w:tcPr>
            <w:tcW w:w="1075" w:type="pct"/>
            <w:shd w:val="clear" w:color="auto" w:fill="000000"/>
          </w:tcPr>
          <w:p w:rsidR="00675E77" w:rsidRPr="007E0829" w:rsidRDefault="00675E77" w:rsidP="007A338E">
            <w:pPr>
              <w:pStyle w:val="04Tablesubheading"/>
              <w:keepLines/>
            </w:pPr>
          </w:p>
        </w:tc>
        <w:tc>
          <w:tcPr>
            <w:tcW w:w="971" w:type="pct"/>
            <w:shd w:val="clear" w:color="auto" w:fill="000000"/>
          </w:tcPr>
          <w:p w:rsidR="00675E77" w:rsidRPr="007E0829" w:rsidRDefault="00675E77" w:rsidP="007A338E">
            <w:pPr>
              <w:pStyle w:val="04Tablesubheading"/>
              <w:keepLines/>
            </w:pPr>
          </w:p>
        </w:tc>
        <w:tc>
          <w:tcPr>
            <w:tcW w:w="694" w:type="pct"/>
            <w:shd w:val="clear" w:color="auto" w:fill="000000"/>
          </w:tcPr>
          <w:p w:rsidR="00675E77" w:rsidRPr="007E0829" w:rsidRDefault="00675E77" w:rsidP="007A338E">
            <w:pPr>
              <w:pStyle w:val="04Tablesubheading"/>
              <w:keepLines/>
            </w:pPr>
          </w:p>
        </w:tc>
        <w:tc>
          <w:tcPr>
            <w:tcW w:w="696" w:type="pct"/>
            <w:shd w:val="clear" w:color="auto" w:fill="000000"/>
          </w:tcPr>
          <w:p w:rsidR="00675E77" w:rsidRPr="007E0829" w:rsidRDefault="00675E77" w:rsidP="007A338E">
            <w:pPr>
              <w:pStyle w:val="04Tablesubheading"/>
              <w:keepLines/>
            </w:pP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 vs placebo</w:t>
            </w:r>
          </w:p>
        </w:tc>
        <w:tc>
          <w:tcPr>
            <w:tcW w:w="1075" w:type="pct"/>
            <w:shd w:val="clear" w:color="auto" w:fill="auto"/>
          </w:tcPr>
          <w:p w:rsidR="00675E77" w:rsidRPr="007E0829" w:rsidRDefault="00675E77" w:rsidP="007A338E">
            <w:pPr>
              <w:pStyle w:val="05Tabletext"/>
              <w:keepNext/>
              <w:keepLines/>
              <w:jc w:val="center"/>
            </w:pPr>
            <w:r w:rsidRPr="007E0829">
              <w:t>1.66</w:t>
            </w:r>
            <w:r>
              <w:t xml:space="preserve"> [</w:t>
            </w:r>
            <w:r w:rsidRPr="007E0829">
              <w:t>1.32</w:t>
            </w:r>
            <w:r>
              <w:t xml:space="preserve">, </w:t>
            </w:r>
            <w:r w:rsidRPr="007E0829">
              <w:t>2.08</w:t>
            </w:r>
            <w:r>
              <w:t>]</w:t>
            </w:r>
          </w:p>
        </w:tc>
        <w:tc>
          <w:tcPr>
            <w:tcW w:w="971" w:type="pct"/>
            <w:shd w:val="clear" w:color="auto" w:fill="auto"/>
          </w:tcPr>
          <w:p w:rsidR="00675E77" w:rsidRPr="007E0829" w:rsidRDefault="00675E77" w:rsidP="007A338E">
            <w:pPr>
              <w:pStyle w:val="05Tabletext"/>
              <w:keepNext/>
              <w:keepLines/>
              <w:jc w:val="center"/>
            </w:pPr>
            <w:r w:rsidRPr="007E0829">
              <w:t>1.6</w:t>
            </w:r>
            <w:r>
              <w:t xml:space="preserve"> [</w:t>
            </w:r>
            <w:r w:rsidRPr="007E0829">
              <w:t>1.32</w:t>
            </w:r>
            <w:r>
              <w:t xml:space="preserve">, </w:t>
            </w:r>
            <w:r w:rsidRPr="007E0829">
              <w:t>1.95</w:t>
            </w:r>
            <w:r>
              <w:t>]</w:t>
            </w:r>
          </w:p>
        </w:tc>
        <w:tc>
          <w:tcPr>
            <w:tcW w:w="694" w:type="pct"/>
            <w:shd w:val="clear" w:color="auto" w:fill="auto"/>
          </w:tcPr>
          <w:p w:rsidR="00675E77" w:rsidRPr="007E0829" w:rsidRDefault="00675E77" w:rsidP="007A338E">
            <w:pPr>
              <w:pStyle w:val="05Tabletext"/>
              <w:keepNext/>
              <w:keepLines/>
              <w:jc w:val="center"/>
            </w:pPr>
            <w:r w:rsidRPr="007E0829">
              <w:t>5 (4258)</w:t>
            </w:r>
          </w:p>
        </w:tc>
        <w:tc>
          <w:tcPr>
            <w:tcW w:w="696" w:type="pct"/>
            <w:shd w:val="clear" w:color="auto" w:fill="auto"/>
          </w:tcPr>
          <w:p w:rsidR="00675E77" w:rsidRPr="007E0829" w:rsidRDefault="00675E77" w:rsidP="007A338E">
            <w:pPr>
              <w:pStyle w:val="05Tabletext"/>
              <w:keepNext/>
              <w:keepLines/>
              <w:jc w:val="center"/>
            </w:pPr>
            <w:r w:rsidRPr="007E0829">
              <w:t>0</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FLU/SAL vs SAL</w:t>
            </w:r>
          </w:p>
        </w:tc>
        <w:tc>
          <w:tcPr>
            <w:tcW w:w="1075" w:type="pct"/>
            <w:shd w:val="clear" w:color="auto" w:fill="auto"/>
          </w:tcPr>
          <w:p w:rsidR="00675E77" w:rsidRPr="007E0829" w:rsidRDefault="00675E77" w:rsidP="007A338E">
            <w:pPr>
              <w:pStyle w:val="05Tabletext"/>
              <w:keepNext/>
              <w:keepLines/>
              <w:jc w:val="center"/>
            </w:pPr>
            <w:r w:rsidRPr="007E0829">
              <w:t>1.7</w:t>
            </w:r>
            <w:r>
              <w:t xml:space="preserve"> [</w:t>
            </w:r>
            <w:r w:rsidRPr="007E0829">
              <w:t>1.38</w:t>
            </w:r>
            <w:r>
              <w:t xml:space="preserve">, </w:t>
            </w:r>
            <w:r w:rsidRPr="007E0829">
              <w:t>2.09</w:t>
            </w:r>
            <w:r>
              <w:t>]</w:t>
            </w:r>
          </w:p>
        </w:tc>
        <w:tc>
          <w:tcPr>
            <w:tcW w:w="971" w:type="pct"/>
            <w:shd w:val="clear" w:color="auto" w:fill="auto"/>
          </w:tcPr>
          <w:p w:rsidR="00675E77" w:rsidRPr="007E0829" w:rsidRDefault="00675E77" w:rsidP="007A338E">
            <w:pPr>
              <w:pStyle w:val="05Tabletext"/>
              <w:keepNext/>
              <w:keepLines/>
              <w:jc w:val="center"/>
            </w:pPr>
            <w:r w:rsidRPr="007E0829">
              <w:t>1.69</w:t>
            </w:r>
            <w:r>
              <w:t xml:space="preserve"> [</w:t>
            </w:r>
            <w:r w:rsidRPr="007E0829">
              <w:t>1.40</w:t>
            </w:r>
            <w:r>
              <w:t xml:space="preserve">, </w:t>
            </w:r>
            <w:r w:rsidRPr="007E0829">
              <w:t>2.04</w:t>
            </w:r>
            <w:r>
              <w:t>]</w:t>
            </w:r>
          </w:p>
        </w:tc>
        <w:tc>
          <w:tcPr>
            <w:tcW w:w="694" w:type="pct"/>
            <w:shd w:val="clear" w:color="auto" w:fill="auto"/>
          </w:tcPr>
          <w:p w:rsidR="00675E77" w:rsidRPr="007E0829" w:rsidRDefault="00675E77" w:rsidP="007A338E">
            <w:pPr>
              <w:pStyle w:val="05Tabletext"/>
              <w:keepNext/>
              <w:keepLines/>
              <w:jc w:val="center"/>
            </w:pPr>
            <w:r w:rsidRPr="007E0829">
              <w:t>8 (7613)</w:t>
            </w:r>
          </w:p>
        </w:tc>
        <w:tc>
          <w:tcPr>
            <w:tcW w:w="696" w:type="pct"/>
            <w:shd w:val="clear" w:color="auto" w:fill="auto"/>
          </w:tcPr>
          <w:p w:rsidR="00675E77" w:rsidRPr="007E0829" w:rsidRDefault="00675E77" w:rsidP="007A338E">
            <w:pPr>
              <w:pStyle w:val="05Tabletext"/>
              <w:keepNext/>
              <w:keepLines/>
              <w:jc w:val="center"/>
            </w:pPr>
            <w:r w:rsidRPr="007E0829">
              <w:t>0</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SAL vs FLU</w:t>
            </w:r>
          </w:p>
        </w:tc>
        <w:tc>
          <w:tcPr>
            <w:tcW w:w="1075" w:type="pct"/>
            <w:shd w:val="clear" w:color="auto" w:fill="auto"/>
          </w:tcPr>
          <w:p w:rsidR="00675E77" w:rsidRPr="007E0829" w:rsidRDefault="00675E77" w:rsidP="007A338E">
            <w:pPr>
              <w:pStyle w:val="05Tabletext"/>
              <w:keepNext/>
              <w:keepLines/>
              <w:jc w:val="center"/>
            </w:pPr>
            <w:r w:rsidRPr="007E0829">
              <w:t>0.67</w:t>
            </w:r>
            <w:r>
              <w:t xml:space="preserve"> [</w:t>
            </w:r>
            <w:r w:rsidRPr="007E0829">
              <w:t>0.54</w:t>
            </w:r>
            <w:r>
              <w:t xml:space="preserve">, </w:t>
            </w:r>
            <w:r w:rsidRPr="007E0829">
              <w:t>0.84</w:t>
            </w:r>
            <w:r>
              <w:t>]</w:t>
            </w:r>
          </w:p>
        </w:tc>
        <w:tc>
          <w:tcPr>
            <w:tcW w:w="971" w:type="pct"/>
            <w:shd w:val="clear" w:color="auto" w:fill="auto"/>
          </w:tcPr>
          <w:p w:rsidR="00675E77" w:rsidRPr="007E0829" w:rsidRDefault="00675E77" w:rsidP="007A338E">
            <w:pPr>
              <w:pStyle w:val="05Tabletext"/>
              <w:keepNext/>
              <w:keepLines/>
              <w:jc w:val="center"/>
            </w:pPr>
            <w:r w:rsidRPr="007E0829">
              <w:t>0.68</w:t>
            </w:r>
            <w:r>
              <w:t xml:space="preserve"> [</w:t>
            </w:r>
            <w:r w:rsidRPr="007E0829">
              <w:t>0.56</w:t>
            </w:r>
            <w:r>
              <w:t xml:space="preserve">, </w:t>
            </w:r>
            <w:r w:rsidRPr="007E0829">
              <w:t>0.83</w:t>
            </w:r>
            <w:r>
              <w:t>]</w:t>
            </w:r>
          </w:p>
        </w:tc>
        <w:tc>
          <w:tcPr>
            <w:tcW w:w="694" w:type="pct"/>
            <w:shd w:val="clear" w:color="auto" w:fill="auto"/>
          </w:tcPr>
          <w:p w:rsidR="00675E77" w:rsidRPr="007E0829" w:rsidRDefault="00675E77" w:rsidP="007A338E">
            <w:pPr>
              <w:pStyle w:val="05Tabletext"/>
              <w:keepNext/>
              <w:keepLines/>
              <w:jc w:val="center"/>
            </w:pPr>
            <w:r w:rsidRPr="007E0829">
              <w:t>2 (3174)</w:t>
            </w:r>
          </w:p>
        </w:tc>
        <w:tc>
          <w:tcPr>
            <w:tcW w:w="696" w:type="pct"/>
            <w:shd w:val="clear" w:color="auto" w:fill="auto"/>
          </w:tcPr>
          <w:p w:rsidR="00675E77" w:rsidRPr="007E0829" w:rsidRDefault="00675E77" w:rsidP="007A338E">
            <w:pPr>
              <w:pStyle w:val="05Tabletext"/>
              <w:keepNext/>
              <w:keepLines/>
              <w:jc w:val="center"/>
            </w:pPr>
            <w:r w:rsidRPr="007E0829">
              <w:t>0</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EFO vs FLU</w:t>
            </w:r>
          </w:p>
        </w:tc>
        <w:tc>
          <w:tcPr>
            <w:tcW w:w="1075" w:type="pct"/>
            <w:shd w:val="clear" w:color="auto" w:fill="auto"/>
          </w:tcPr>
          <w:p w:rsidR="00675E77" w:rsidRPr="007E0829" w:rsidRDefault="00675E77" w:rsidP="007A338E">
            <w:pPr>
              <w:pStyle w:val="05Tabletext"/>
              <w:keepNext/>
              <w:keepLines/>
              <w:jc w:val="center"/>
            </w:pPr>
            <w:r w:rsidRPr="007E0829">
              <w:t>0.55</w:t>
            </w:r>
            <w:r>
              <w:t xml:space="preserve"> [</w:t>
            </w:r>
            <w:r w:rsidRPr="007E0829">
              <w:t>0.33</w:t>
            </w:r>
            <w:r>
              <w:t xml:space="preserve">, </w:t>
            </w:r>
            <w:r w:rsidRPr="007E0829">
              <w:t>0.90</w:t>
            </w:r>
            <w:r>
              <w:t>]</w:t>
            </w:r>
          </w:p>
        </w:tc>
        <w:tc>
          <w:tcPr>
            <w:tcW w:w="971" w:type="pct"/>
            <w:shd w:val="clear" w:color="auto" w:fill="auto"/>
          </w:tcPr>
          <w:p w:rsidR="00675E77" w:rsidRPr="007E0829" w:rsidRDefault="00675E77" w:rsidP="007A338E">
            <w:pPr>
              <w:pStyle w:val="05Tabletext"/>
              <w:keepNext/>
              <w:keepLines/>
              <w:jc w:val="center"/>
            </w:pPr>
            <w:r>
              <w:t>–</w:t>
            </w:r>
          </w:p>
        </w:tc>
        <w:tc>
          <w:tcPr>
            <w:tcW w:w="694" w:type="pct"/>
            <w:shd w:val="clear" w:color="auto" w:fill="auto"/>
          </w:tcPr>
          <w:p w:rsidR="00675E77" w:rsidRPr="007E0829" w:rsidRDefault="00675E77" w:rsidP="007A338E">
            <w:pPr>
              <w:pStyle w:val="05Tabletext"/>
              <w:keepNext/>
              <w:keepLines/>
              <w:jc w:val="center"/>
            </w:pPr>
            <w:r>
              <w:t>–</w:t>
            </w:r>
          </w:p>
        </w:tc>
        <w:tc>
          <w:tcPr>
            <w:tcW w:w="696" w:type="pct"/>
            <w:shd w:val="clear" w:color="auto" w:fill="auto"/>
          </w:tcPr>
          <w:p w:rsidR="00675E77" w:rsidRPr="007E0829" w:rsidRDefault="00675E77" w:rsidP="007A338E">
            <w:pPr>
              <w:pStyle w:val="05Tabletext"/>
              <w:keepNext/>
              <w:keepLines/>
              <w:jc w:val="center"/>
            </w:pPr>
            <w:r>
              <w:t>–</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FLU/SAL vs EFO</w:t>
            </w:r>
          </w:p>
        </w:tc>
        <w:tc>
          <w:tcPr>
            <w:tcW w:w="1075" w:type="pct"/>
            <w:shd w:val="clear" w:color="auto" w:fill="auto"/>
          </w:tcPr>
          <w:p w:rsidR="00675E77" w:rsidRPr="007E0829" w:rsidRDefault="00675E77" w:rsidP="007A338E">
            <w:pPr>
              <w:pStyle w:val="05Tabletext"/>
              <w:keepNext/>
              <w:keepLines/>
              <w:jc w:val="center"/>
            </w:pPr>
            <w:r w:rsidRPr="007E0829">
              <w:t>2.09</w:t>
            </w:r>
            <w:r>
              <w:t xml:space="preserve"> [</w:t>
            </w:r>
            <w:r w:rsidRPr="007E0829">
              <w:t>1.29</w:t>
            </w:r>
            <w:r>
              <w:t xml:space="preserve">, </w:t>
            </w:r>
            <w:r w:rsidRPr="007E0829">
              <w:t>3.37</w:t>
            </w:r>
            <w:r>
              <w:t>]</w:t>
            </w:r>
          </w:p>
        </w:tc>
        <w:tc>
          <w:tcPr>
            <w:tcW w:w="971" w:type="pct"/>
            <w:shd w:val="clear" w:color="auto" w:fill="auto"/>
          </w:tcPr>
          <w:p w:rsidR="00675E77" w:rsidRPr="007E0829" w:rsidRDefault="00675E77" w:rsidP="007A338E">
            <w:pPr>
              <w:pStyle w:val="05Tabletext"/>
              <w:keepNext/>
              <w:keepLines/>
              <w:jc w:val="center"/>
            </w:pPr>
            <w:r>
              <w:t>–</w:t>
            </w:r>
          </w:p>
        </w:tc>
        <w:tc>
          <w:tcPr>
            <w:tcW w:w="694" w:type="pct"/>
            <w:shd w:val="clear" w:color="auto" w:fill="auto"/>
          </w:tcPr>
          <w:p w:rsidR="00675E77" w:rsidRPr="007E0829" w:rsidRDefault="00675E77" w:rsidP="007A338E">
            <w:pPr>
              <w:pStyle w:val="05Tabletext"/>
              <w:keepNext/>
              <w:keepLines/>
              <w:jc w:val="center"/>
            </w:pPr>
            <w:r>
              <w:t>–</w:t>
            </w:r>
          </w:p>
        </w:tc>
        <w:tc>
          <w:tcPr>
            <w:tcW w:w="696" w:type="pct"/>
            <w:shd w:val="clear" w:color="auto" w:fill="auto"/>
          </w:tcPr>
          <w:p w:rsidR="00675E77" w:rsidRPr="007E0829" w:rsidRDefault="00675E77" w:rsidP="007A338E">
            <w:pPr>
              <w:pStyle w:val="05Tabletext"/>
              <w:keepNext/>
              <w:keepLines/>
              <w:jc w:val="center"/>
            </w:pPr>
            <w:r>
              <w:t>–</w:t>
            </w:r>
          </w:p>
        </w:tc>
      </w:tr>
      <w:tr w:rsidR="00675E77" w:rsidRPr="007E0829" w:rsidTr="00675E77">
        <w:trPr>
          <w:cantSplit/>
        </w:trPr>
        <w:tc>
          <w:tcPr>
            <w:tcW w:w="1564" w:type="pct"/>
            <w:shd w:val="clear" w:color="auto" w:fill="auto"/>
          </w:tcPr>
          <w:p w:rsidR="00675E77" w:rsidRPr="007E0829" w:rsidRDefault="00675E77" w:rsidP="007A338E">
            <w:pPr>
              <w:pStyle w:val="05Tabletext"/>
              <w:keepNext/>
              <w:keepLines/>
            </w:pPr>
            <w:r w:rsidRPr="007E0829">
              <w:t>FLU/SAL vs placebo</w:t>
            </w:r>
          </w:p>
        </w:tc>
        <w:tc>
          <w:tcPr>
            <w:tcW w:w="1075" w:type="pct"/>
            <w:shd w:val="clear" w:color="auto" w:fill="auto"/>
          </w:tcPr>
          <w:p w:rsidR="00675E77" w:rsidRPr="007E0829" w:rsidRDefault="00675E77" w:rsidP="007A338E">
            <w:pPr>
              <w:pStyle w:val="05Tabletext"/>
              <w:keepNext/>
              <w:keepLines/>
              <w:jc w:val="center"/>
            </w:pPr>
            <w:r w:rsidRPr="007E0829">
              <w:t>1.9</w:t>
            </w:r>
            <w:r>
              <w:t xml:space="preserve"> [</w:t>
            </w:r>
            <w:r w:rsidRPr="007E0829">
              <w:t>1.53</w:t>
            </w:r>
            <w:r>
              <w:t xml:space="preserve">, </w:t>
            </w:r>
            <w:r w:rsidRPr="007E0829">
              <w:t>2.34</w:t>
            </w:r>
            <w:r>
              <w:t>]</w:t>
            </w:r>
          </w:p>
        </w:tc>
        <w:tc>
          <w:tcPr>
            <w:tcW w:w="971" w:type="pct"/>
            <w:shd w:val="clear" w:color="auto" w:fill="auto"/>
          </w:tcPr>
          <w:p w:rsidR="00675E77" w:rsidRPr="007E0829" w:rsidRDefault="00675E77" w:rsidP="007A338E">
            <w:pPr>
              <w:pStyle w:val="05Tabletext"/>
              <w:keepNext/>
              <w:keepLines/>
              <w:jc w:val="center"/>
            </w:pPr>
            <w:r w:rsidRPr="007E0829">
              <w:t>1.75</w:t>
            </w:r>
            <w:r>
              <w:t xml:space="preserve"> [</w:t>
            </w:r>
            <w:r w:rsidRPr="007E0829">
              <w:t>1.44</w:t>
            </w:r>
            <w:r>
              <w:t xml:space="preserve">, </w:t>
            </w:r>
            <w:r w:rsidRPr="007E0829">
              <w:t>2.13</w:t>
            </w:r>
            <w:r>
              <w:t>]</w:t>
            </w:r>
          </w:p>
        </w:tc>
        <w:tc>
          <w:tcPr>
            <w:tcW w:w="694" w:type="pct"/>
            <w:shd w:val="clear" w:color="auto" w:fill="auto"/>
          </w:tcPr>
          <w:p w:rsidR="00675E77" w:rsidRPr="007E0829" w:rsidRDefault="00675E77" w:rsidP="007A338E">
            <w:pPr>
              <w:pStyle w:val="05Tabletext"/>
              <w:keepNext/>
              <w:keepLines/>
              <w:jc w:val="center"/>
            </w:pPr>
            <w:r w:rsidRPr="007E0829">
              <w:t>4 (3872)</w:t>
            </w:r>
          </w:p>
        </w:tc>
        <w:tc>
          <w:tcPr>
            <w:tcW w:w="696" w:type="pct"/>
            <w:shd w:val="clear" w:color="auto" w:fill="auto"/>
          </w:tcPr>
          <w:p w:rsidR="00675E77" w:rsidRPr="007E0829" w:rsidRDefault="00675E77" w:rsidP="007A338E">
            <w:pPr>
              <w:pStyle w:val="05Tabletext"/>
              <w:keepNext/>
              <w:keepLines/>
              <w:jc w:val="center"/>
            </w:pPr>
            <w:r w:rsidRPr="007E0829">
              <w:t>&lt;0.0001</w:t>
            </w:r>
          </w:p>
        </w:tc>
      </w:tr>
    </w:tbl>
    <w:p w:rsidR="00675E77" w:rsidRDefault="00675E77" w:rsidP="007A338E">
      <w:pPr>
        <w:pStyle w:val="10TableorFigurefootnote"/>
        <w:keepLines/>
      </w:pPr>
      <w:r>
        <w:t xml:space="preserve">Source: </w:t>
      </w:r>
      <w:proofErr w:type="spellStart"/>
      <w:r>
        <w:t>Tricco</w:t>
      </w:r>
      <w:proofErr w:type="spellEnd"/>
      <w:r>
        <w:t xml:space="preserve"> (2015) Table 3, p8</w:t>
      </w:r>
    </w:p>
    <w:p w:rsidR="00675E77" w:rsidRDefault="00675E77" w:rsidP="007A338E">
      <w:pPr>
        <w:pStyle w:val="11TableorFigurefootnotenostick"/>
        <w:keepNext/>
        <w:keepLines/>
      </w:pPr>
      <w:r>
        <w:t xml:space="preserve">Abbreviations: BUD, budesonide; CI, confidence interval; EFO, </w:t>
      </w:r>
      <w:proofErr w:type="spellStart"/>
      <w:r>
        <w:t>eformoterol</w:t>
      </w:r>
      <w:proofErr w:type="spellEnd"/>
      <w:r>
        <w:t xml:space="preserve">; FLU, fluticasone; MA, meta-analysis; NMA, network meta-analysis; OR, odds ratio; SAL, salmeterol; VIL, </w:t>
      </w:r>
      <w:proofErr w:type="spellStart"/>
      <w:r>
        <w:t>vilanterol</w:t>
      </w:r>
      <w:proofErr w:type="spellEnd"/>
      <w:r w:rsidR="009C1310">
        <w:t xml:space="preserve">; FLU/SAL, fluticasone propionate/salmeterol; FLU/VIL, fluticasone </w:t>
      </w:r>
      <w:proofErr w:type="spellStart"/>
      <w:r w:rsidR="009C1310">
        <w:t>furoate</w:t>
      </w:r>
      <w:proofErr w:type="spellEnd"/>
      <w:r w:rsidR="009C1310">
        <w:t>/</w:t>
      </w:r>
      <w:proofErr w:type="spellStart"/>
      <w:r w:rsidR="009C1310">
        <w:t>vilanterol</w:t>
      </w:r>
      <w:proofErr w:type="spellEnd"/>
      <w:r w:rsidR="006B2908">
        <w:t>.</w:t>
      </w:r>
    </w:p>
    <w:p w:rsidR="00675E77" w:rsidRDefault="00675E77" w:rsidP="00675E77">
      <w:pPr>
        <w:pStyle w:val="Heading4"/>
      </w:pPr>
      <w:r>
        <w:t xml:space="preserve">Reviews investigating other specific adverse events </w:t>
      </w:r>
    </w:p>
    <w:p w:rsidR="00675E77" w:rsidRDefault="00675E77" w:rsidP="00675E77">
      <w:pPr>
        <w:pStyle w:val="Heading5"/>
      </w:pPr>
      <w:r w:rsidRPr="00610051">
        <w:t>Dong (2014)</w:t>
      </w:r>
      <w:r>
        <w:t xml:space="preserve"> review of tuberculosis and influenza</w:t>
      </w:r>
    </w:p>
    <w:p w:rsidR="00675E77" w:rsidRDefault="00675E77" w:rsidP="00675E77">
      <w:pPr>
        <w:pStyle w:val="BodyTextnospacebefore"/>
      </w:pPr>
      <w:r>
        <w:t xml:space="preserve">Dong (2014) identified </w:t>
      </w:r>
      <w:r w:rsidR="00950856">
        <w:t>26</w:t>
      </w:r>
      <w:r>
        <w:t xml:space="preserve"> studies</w:t>
      </w:r>
      <w:r w:rsidR="00A14B50">
        <w:t xml:space="preserve"> lasting at least </w:t>
      </w:r>
      <w:r w:rsidR="00B4079B">
        <w:t>six</w:t>
      </w:r>
      <w:r w:rsidR="00A14B50">
        <w:t xml:space="preserve"> months that</w:t>
      </w:r>
      <w:r>
        <w:t xml:space="preserve"> compar</w:t>
      </w:r>
      <w:r w:rsidR="00A14B50">
        <w:t>ed</w:t>
      </w:r>
      <w:r>
        <w:t xml:space="preserve"> ICS/LABA with no-ICS controls in COPD patients </w:t>
      </w:r>
      <w:r w:rsidR="00FB4D60">
        <w:t>an</w:t>
      </w:r>
      <w:r w:rsidR="00A14B50">
        <w:t>d</w:t>
      </w:r>
      <w:r>
        <w:t xml:space="preserve"> reported </w:t>
      </w:r>
      <w:r w:rsidR="006F6725">
        <w:t>tuberculosis (</w:t>
      </w:r>
      <w:r>
        <w:t>TB</w:t>
      </w:r>
      <w:r w:rsidR="006F6725">
        <w:t>)</w:t>
      </w:r>
      <w:r>
        <w:t xml:space="preserve"> or influenza outcomes. However, as only comparisons reporting any events were included in the meta-analyses, only five RCTs were included in the analysis for TB (N = 10,203) and eight in the analysis for influenza (N = 13,914). In both analyses, two comparisons used </w:t>
      </w:r>
      <w:proofErr w:type="spellStart"/>
      <w:r>
        <w:t>mometasone</w:t>
      </w:r>
      <w:proofErr w:type="spellEnd"/>
      <w:r>
        <w:t xml:space="preserve"> combination therapy. These analyses were not stratified by specific drugs, and both included comparisons from the TORCH trial.</w:t>
      </w:r>
    </w:p>
    <w:p w:rsidR="00675E77" w:rsidRDefault="00675E77" w:rsidP="00675E77">
      <w:pPr>
        <w:pStyle w:val="BodyText"/>
      </w:pPr>
      <w:r>
        <w:t>The risk of TB was significantly higher for ICS treatment compared with no ICS controls (</w:t>
      </w:r>
      <w:proofErr w:type="spellStart"/>
      <w:r>
        <w:t>Peto</w:t>
      </w:r>
      <w:proofErr w:type="spellEnd"/>
      <w:r>
        <w:t xml:space="preserve"> OR 2.29 [95% CI: 1.04, </w:t>
      </w:r>
      <w:r w:rsidRPr="00F1742D">
        <w:t>5.03</w:t>
      </w:r>
      <w:r>
        <w:t>]). No individual trial comparison was statistically significant in this analysis (</w:t>
      </w:r>
      <w:r w:rsidR="00356377">
        <w:t xml:space="preserve">Figure </w:t>
      </w:r>
      <w:r w:rsidR="00356377">
        <w:rPr>
          <w:noProof/>
        </w:rPr>
        <w:t>4</w:t>
      </w:r>
      <w:r w:rsidR="00356377">
        <w:t>.</w:t>
      </w:r>
      <w:r w:rsidR="00356377">
        <w:rPr>
          <w:noProof/>
        </w:rPr>
        <w:t>12</w:t>
      </w:r>
      <w:r>
        <w:t>).</w:t>
      </w:r>
    </w:p>
    <w:p w:rsidR="00675E77" w:rsidRDefault="00675E77" w:rsidP="00675E77">
      <w:pPr>
        <w:pStyle w:val="BodyText"/>
      </w:pPr>
      <w:r>
        <w:t>A marginal but non-significant increase in the risk of influenza was found across the eight analysed comparisons (</w:t>
      </w:r>
      <w:proofErr w:type="spellStart"/>
      <w:r>
        <w:t>Peto</w:t>
      </w:r>
      <w:proofErr w:type="spellEnd"/>
      <w:r>
        <w:t xml:space="preserve"> OR 1.24 [0.94, 1.63]; </w:t>
      </w:r>
      <w:r w:rsidR="00356377">
        <w:t xml:space="preserve">Figure </w:t>
      </w:r>
      <w:r w:rsidR="00356377">
        <w:rPr>
          <w:noProof/>
        </w:rPr>
        <w:t>4</w:t>
      </w:r>
      <w:r w:rsidR="00356377">
        <w:t>.</w:t>
      </w:r>
      <w:r w:rsidR="00356377">
        <w:rPr>
          <w:noProof/>
        </w:rPr>
        <w:t>13</w:t>
      </w:r>
      <w:r w:rsidR="006F6725">
        <w:t>). The comparison of ICS versus</w:t>
      </w:r>
      <w:r>
        <w:t xml:space="preserve"> no ICS alone from the TORCH study was significant but imprecise (</w:t>
      </w:r>
      <w:proofErr w:type="spellStart"/>
      <w:r>
        <w:t>Peto</w:t>
      </w:r>
      <w:proofErr w:type="spellEnd"/>
      <w:r>
        <w:t xml:space="preserve"> OR 7.37 [1.49, 36.55]). </w:t>
      </w:r>
    </w:p>
    <w:p w:rsidR="00675E77" w:rsidRDefault="00675E77" w:rsidP="00675E77">
      <w:pPr>
        <w:pStyle w:val="BodyText"/>
      </w:pPr>
      <w:r>
        <w:t xml:space="preserve">Analyses were presented for a variety of meta-analytic methods (e.g. </w:t>
      </w:r>
      <w:r w:rsidRPr="002F31F9">
        <w:t>Mantel-</w:t>
      </w:r>
      <w:proofErr w:type="spellStart"/>
      <w:r w:rsidRPr="002F31F9">
        <w:t>Haenszel</w:t>
      </w:r>
      <w:proofErr w:type="spellEnd"/>
      <w:r>
        <w:t xml:space="preserve">, Bayesian, </w:t>
      </w:r>
      <w:proofErr w:type="spellStart"/>
      <w:r>
        <w:t>Peto</w:t>
      </w:r>
      <w:proofErr w:type="spellEnd"/>
      <w:r>
        <w:t>; random effects, fixed effects), but produced similar results. The authors concluded that ICS results in a two</w:t>
      </w:r>
      <w:r w:rsidR="009B3FE7">
        <w:t>-fold</w:t>
      </w:r>
      <w:r>
        <w:t xml:space="preserve"> increase in the risk of TB, and a borderline risk of influenza, and these risks need to be balanced against the benefits of ICS treatment.</w:t>
      </w:r>
    </w:p>
    <w:p w:rsidR="00675E77" w:rsidRDefault="00675E77" w:rsidP="002C7600">
      <w:pPr>
        <w:pStyle w:val="HeaderFigure"/>
      </w:pPr>
      <w:bookmarkStart w:id="140" w:name="_Ref467579775"/>
      <w:bookmarkStart w:id="141" w:name="_Toc468022900"/>
      <w:bookmarkStart w:id="142" w:name="_Toc468034553"/>
      <w:bookmarkStart w:id="143" w:name="_Toc480373327"/>
      <w:bookmarkStart w:id="144" w:name="_Toc486515169"/>
      <w:r>
        <w:lastRenderedPageBreak/>
        <w:t xml:space="preserve">Figure </w:t>
      </w:r>
      <w:r w:rsidR="00356377">
        <w:rPr>
          <w:noProof/>
        </w:rPr>
        <w:t>4</w:t>
      </w:r>
      <w:r w:rsidR="00CC0111">
        <w:t>.</w:t>
      </w:r>
      <w:r w:rsidR="00356377">
        <w:rPr>
          <w:noProof/>
        </w:rPr>
        <w:t>12</w:t>
      </w:r>
      <w:bookmarkEnd w:id="140"/>
      <w:r>
        <w:tab/>
        <w:t xml:space="preserve">Risk of TB for ICS </w:t>
      </w:r>
      <w:r w:rsidR="008C679F">
        <w:t xml:space="preserve">treatments </w:t>
      </w:r>
      <w:r>
        <w:t>versus no ICS controls – Dong 2014</w:t>
      </w:r>
      <w:bookmarkEnd w:id="141"/>
      <w:bookmarkEnd w:id="142"/>
      <w:bookmarkEnd w:id="143"/>
      <w:bookmarkEnd w:id="144"/>
    </w:p>
    <w:p w:rsidR="00675E77" w:rsidRPr="00DC3579" w:rsidRDefault="00BD6CAC" w:rsidP="00675E77">
      <w:pPr>
        <w:pStyle w:val="Picturewithbox"/>
      </w:pPr>
      <w:r>
        <w:rPr>
          <w:noProof/>
          <w:lang w:eastAsia="en-AU"/>
        </w:rPr>
        <w:drawing>
          <wp:inline distT="0" distB="0" distL="0" distR="0" wp14:anchorId="7B1E31A3" wp14:editId="3AC8110B">
            <wp:extent cx="6120130" cy="24853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2485390"/>
                    </a:xfrm>
                    <a:prstGeom prst="rect">
                      <a:avLst/>
                    </a:prstGeom>
                  </pic:spPr>
                </pic:pic>
              </a:graphicData>
            </a:graphic>
          </wp:inline>
        </w:drawing>
      </w:r>
    </w:p>
    <w:p w:rsidR="00675E77" w:rsidRDefault="00675E77" w:rsidP="00675E77">
      <w:pPr>
        <w:pStyle w:val="10TableorFigurefootnote"/>
      </w:pPr>
      <w:r>
        <w:t>Source: Dong (2014) Figure 2, p1291.</w:t>
      </w:r>
    </w:p>
    <w:p w:rsidR="00675E77" w:rsidRDefault="00675E77" w:rsidP="00675E77">
      <w:pPr>
        <w:pStyle w:val="11TableorFigurefootnotenostick"/>
      </w:pPr>
      <w:r>
        <w:t xml:space="preserve">Abbreviations: CI, confidence interval; ICS, inhaled corticosteroids; LABA, </w:t>
      </w:r>
      <w:r w:rsidRPr="00DE261F">
        <w:t>long-acting beta-2 agonist</w:t>
      </w:r>
      <w:r>
        <w:t>; OR, odds ratio; PL, placebo; TB, tuberculosis; TIO, tiotropium.</w:t>
      </w:r>
    </w:p>
    <w:p w:rsidR="00675E77" w:rsidRDefault="00675E77" w:rsidP="002C7600">
      <w:pPr>
        <w:pStyle w:val="HeaderFigure"/>
      </w:pPr>
      <w:bookmarkStart w:id="145" w:name="_Ref467591497"/>
      <w:bookmarkStart w:id="146" w:name="_Toc468022901"/>
      <w:bookmarkStart w:id="147" w:name="_Toc468034554"/>
      <w:bookmarkStart w:id="148" w:name="_Toc480373328"/>
      <w:bookmarkStart w:id="149" w:name="_Toc486515170"/>
      <w:r>
        <w:t xml:space="preserve">Figure </w:t>
      </w:r>
      <w:r w:rsidR="00356377">
        <w:rPr>
          <w:noProof/>
        </w:rPr>
        <w:t>4</w:t>
      </w:r>
      <w:r w:rsidR="00CC0111">
        <w:t>.</w:t>
      </w:r>
      <w:r w:rsidR="00356377">
        <w:rPr>
          <w:noProof/>
        </w:rPr>
        <w:t>13</w:t>
      </w:r>
      <w:bookmarkEnd w:id="145"/>
      <w:r>
        <w:tab/>
        <w:t xml:space="preserve">Risk of influenza for ICS </w:t>
      </w:r>
      <w:r w:rsidR="008C679F">
        <w:t xml:space="preserve">treatments </w:t>
      </w:r>
      <w:r>
        <w:t>versus no ICS controls – Dong 2014</w:t>
      </w:r>
      <w:bookmarkEnd w:id="146"/>
      <w:bookmarkEnd w:id="147"/>
      <w:bookmarkEnd w:id="148"/>
      <w:bookmarkEnd w:id="149"/>
    </w:p>
    <w:p w:rsidR="00675E77" w:rsidRDefault="00BD6CAC" w:rsidP="00675E77">
      <w:pPr>
        <w:pStyle w:val="Picturewithbox"/>
      </w:pPr>
      <w:r w:rsidRPr="00BD6CAC">
        <w:rPr>
          <w:noProof/>
          <w:lang w:eastAsia="en-AU"/>
        </w:rPr>
        <w:t xml:space="preserve"> </w:t>
      </w:r>
      <w:r>
        <w:rPr>
          <w:noProof/>
          <w:lang w:eastAsia="en-AU"/>
        </w:rPr>
        <w:drawing>
          <wp:inline distT="0" distB="0" distL="0" distR="0" wp14:anchorId="3915E5E5" wp14:editId="7196B9EC">
            <wp:extent cx="6120130" cy="3752215"/>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3752215"/>
                    </a:xfrm>
                    <a:prstGeom prst="rect">
                      <a:avLst/>
                    </a:prstGeom>
                  </pic:spPr>
                </pic:pic>
              </a:graphicData>
            </a:graphic>
          </wp:inline>
        </w:drawing>
      </w:r>
    </w:p>
    <w:p w:rsidR="00675E77" w:rsidRDefault="00675E77" w:rsidP="00675E77">
      <w:pPr>
        <w:pStyle w:val="10TableorFigurefootnote"/>
      </w:pPr>
      <w:r>
        <w:t>Source: Dong (2014) Figure 3, p1292.</w:t>
      </w:r>
    </w:p>
    <w:p w:rsidR="00675E77" w:rsidRDefault="00675E77" w:rsidP="00675E77">
      <w:pPr>
        <w:pStyle w:val="11TableorFigurefootnotenostick"/>
      </w:pPr>
      <w:r>
        <w:t xml:space="preserve">Abbreviations: CI, confidence interval; ICS, inhaled corticosteroids; LABA, </w:t>
      </w:r>
      <w:r w:rsidRPr="00DE261F">
        <w:t>long-acting beta-2 agonist</w:t>
      </w:r>
      <w:r>
        <w:t>; OR, odds ratio; PL, placebo.</w:t>
      </w:r>
    </w:p>
    <w:p w:rsidR="00675E77" w:rsidRPr="006F6725" w:rsidRDefault="00675E77" w:rsidP="006F6725">
      <w:pPr>
        <w:pStyle w:val="Heading5"/>
      </w:pPr>
      <w:proofErr w:type="spellStart"/>
      <w:r w:rsidRPr="006F6725">
        <w:t>Loke</w:t>
      </w:r>
      <w:proofErr w:type="spellEnd"/>
      <w:r w:rsidRPr="006F6725">
        <w:t xml:space="preserve"> (2011) review of fracture</w:t>
      </w:r>
    </w:p>
    <w:p w:rsidR="00675E77" w:rsidRPr="00143381" w:rsidRDefault="00675E77" w:rsidP="00675E77">
      <w:pPr>
        <w:pStyle w:val="BodyTextnospacebefore"/>
      </w:pPr>
      <w:r>
        <w:t xml:space="preserve">This review </w:t>
      </w:r>
      <w:r w:rsidR="00A14B50">
        <w:t xml:space="preserve">included RCTs (of at least 24 weeks’ duration) and observational studies, </w:t>
      </w:r>
      <w:r>
        <w:t xml:space="preserve">used data for </w:t>
      </w:r>
      <w:r w:rsidR="00A14B50">
        <w:t>fluticasone or budesonide</w:t>
      </w:r>
      <w:r>
        <w:t xml:space="preserve"> use in COPD patients, and did not stratify </w:t>
      </w:r>
      <w:r w:rsidR="00A14B50">
        <w:t xml:space="preserve">results </w:t>
      </w:r>
      <w:r>
        <w:t>by specific drugs.</w:t>
      </w:r>
    </w:p>
    <w:p w:rsidR="00675E77" w:rsidRDefault="00675E77" w:rsidP="00675E77">
      <w:pPr>
        <w:pStyle w:val="BodyText"/>
      </w:pPr>
      <w:r>
        <w:lastRenderedPageBreak/>
        <w:t>Of the 16 identified RCTs</w:t>
      </w:r>
      <w:r w:rsidRPr="00E37C33">
        <w:t xml:space="preserve"> </w:t>
      </w:r>
      <w:r>
        <w:t>(N = 17,513 patients), only two used budesonide.</w:t>
      </w:r>
      <w:r w:rsidRPr="00E37C33">
        <w:t xml:space="preserve"> </w:t>
      </w:r>
      <w:r>
        <w:t>Subgroups were analysed according to comparison type</w:t>
      </w:r>
      <w:r w:rsidR="00A92818">
        <w:t>:</w:t>
      </w:r>
      <w:r>
        <w:t xml:space="preserve"> ICS/LABA versus LABA</w:t>
      </w:r>
      <w:r w:rsidR="00A92818">
        <w:t>,</w:t>
      </w:r>
      <w:r>
        <w:t xml:space="preserve"> and ICS versus placebo. Fracture risk was not significa</w:t>
      </w:r>
      <w:r w:rsidRPr="0089376C">
        <w:rPr>
          <w:rStyle w:val="BodyTextChar"/>
        </w:rPr>
        <w:t>n</w:t>
      </w:r>
      <w:r>
        <w:t>t for either of these comparisons, but for ICS versus no ICS controls, there was a significant increase in fracture risk of 1.27 (</w:t>
      </w:r>
      <w:proofErr w:type="spellStart"/>
      <w:r>
        <w:t>Peto</w:t>
      </w:r>
      <w:proofErr w:type="spellEnd"/>
      <w:r>
        <w:t xml:space="preserve"> OR), which came close to, but did not cross, unity (95% CI: 1.01, 1.58; results were similar using a fixed effects, </w:t>
      </w:r>
      <w:r w:rsidRPr="002F31F9">
        <w:t>Mantel-</w:t>
      </w:r>
      <w:proofErr w:type="spellStart"/>
      <w:r w:rsidRPr="002F31F9">
        <w:t>Haenszel</w:t>
      </w:r>
      <w:proofErr w:type="spellEnd"/>
      <w:r>
        <w:t xml:space="preserve"> model: OR 1.27 [95% CI: 1.01, 1.59, p = 0.04]). </w:t>
      </w:r>
    </w:p>
    <w:p w:rsidR="00675E77" w:rsidRDefault="00675E77" w:rsidP="00675E77">
      <w:pPr>
        <w:pStyle w:val="BodyText"/>
      </w:pPr>
      <w:r>
        <w:t xml:space="preserve">The meta-analysis is shown in </w:t>
      </w:r>
      <w:r w:rsidR="00356377">
        <w:t xml:space="preserve">Figure </w:t>
      </w:r>
      <w:r w:rsidR="00356377">
        <w:rPr>
          <w:noProof/>
        </w:rPr>
        <w:t>4</w:t>
      </w:r>
      <w:r w:rsidR="00356377">
        <w:t>.</w:t>
      </w:r>
      <w:r w:rsidR="00356377">
        <w:rPr>
          <w:noProof/>
        </w:rPr>
        <w:t>14</w:t>
      </w:r>
      <w:r>
        <w:t>. All comparisons had very wide confidence intervals, except for the two derived from the TORCH study, which accounts for over 80% of the weighting in the analysis. The authors pointed out the limitations of long-term RCTs for such analyses, where results can be confounded by oral corticosteroid use and high withdrawal rates in the placebo arms, with some crossing over to ICS use.</w:t>
      </w:r>
    </w:p>
    <w:p w:rsidR="00675E77" w:rsidRDefault="00675E77" w:rsidP="002C7600">
      <w:pPr>
        <w:pStyle w:val="HeaderFigure"/>
      </w:pPr>
      <w:bookmarkStart w:id="150" w:name="_Ref467585575"/>
      <w:bookmarkStart w:id="151" w:name="_Toc468022902"/>
      <w:bookmarkStart w:id="152" w:name="_Toc468034555"/>
      <w:bookmarkStart w:id="153" w:name="_Toc480373329"/>
      <w:bookmarkStart w:id="154" w:name="_Toc486515171"/>
      <w:r>
        <w:t xml:space="preserve">Figure </w:t>
      </w:r>
      <w:r w:rsidR="00356377">
        <w:rPr>
          <w:noProof/>
        </w:rPr>
        <w:t>4</w:t>
      </w:r>
      <w:r w:rsidR="00CC0111">
        <w:t>.</w:t>
      </w:r>
      <w:r w:rsidR="00356377">
        <w:rPr>
          <w:noProof/>
        </w:rPr>
        <w:t>14</w:t>
      </w:r>
      <w:bookmarkEnd w:id="150"/>
      <w:r>
        <w:tab/>
        <w:t xml:space="preserve">Pooled RCTs </w:t>
      </w:r>
      <w:r w:rsidR="00A92818">
        <w:t xml:space="preserve">of </w:t>
      </w:r>
      <w:r w:rsidR="008272CF">
        <w:t>fracture risk</w:t>
      </w:r>
      <w:r w:rsidR="00A92818">
        <w:t xml:space="preserve"> for </w:t>
      </w:r>
      <w:r>
        <w:t xml:space="preserve">ICS versus non-ICS, by comparison subgroup – </w:t>
      </w:r>
      <w:proofErr w:type="spellStart"/>
      <w:r>
        <w:t>Loke</w:t>
      </w:r>
      <w:proofErr w:type="spellEnd"/>
      <w:r>
        <w:t xml:space="preserve"> 2011</w:t>
      </w:r>
      <w:bookmarkEnd w:id="151"/>
      <w:bookmarkEnd w:id="152"/>
      <w:bookmarkEnd w:id="153"/>
      <w:bookmarkEnd w:id="154"/>
    </w:p>
    <w:p w:rsidR="00675E77" w:rsidRDefault="009D3242" w:rsidP="00675E77">
      <w:pPr>
        <w:pStyle w:val="Picturewithbox"/>
      </w:pPr>
      <w:r>
        <w:rPr>
          <w:noProof/>
          <w:lang w:eastAsia="en-AU"/>
        </w:rPr>
        <w:drawing>
          <wp:inline distT="0" distB="0" distL="0" distR="0" wp14:anchorId="21FB8B9F" wp14:editId="4A28062A">
            <wp:extent cx="5346700" cy="4590415"/>
            <wp:effectExtent l="0" t="0" r="6350" b="635"/>
            <wp:docPr id="27" name="Picture 27" descr="Pooled RCTs for ICS versus non-ICS, by comparison subgroup – Lok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ki (2011) RCTs for fra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6700" cy="4590415"/>
                    </a:xfrm>
                    <a:prstGeom prst="rect">
                      <a:avLst/>
                    </a:prstGeom>
                    <a:noFill/>
                    <a:ln>
                      <a:noFill/>
                    </a:ln>
                  </pic:spPr>
                </pic:pic>
              </a:graphicData>
            </a:graphic>
          </wp:inline>
        </w:drawing>
      </w:r>
    </w:p>
    <w:p w:rsidR="00675E77" w:rsidRDefault="00675E77" w:rsidP="00675E77">
      <w:pPr>
        <w:pStyle w:val="10TableorFigurefootnote"/>
      </w:pPr>
      <w:r>
        <w:t>Source: Loki (2011), Figure 2, p 703</w:t>
      </w:r>
    </w:p>
    <w:p w:rsidR="00675E77" w:rsidRDefault="00675E77" w:rsidP="00675E77">
      <w:pPr>
        <w:pStyle w:val="11TableorFigurefootnotenostick"/>
      </w:pPr>
      <w:r>
        <w:t>Abbreviations: CI, confidence interval; ICS, inhaled corticosteroids; LABA, long-acting beta-2 agonist; OR, odds ratio; RCT, randomised controlled trial.</w:t>
      </w:r>
    </w:p>
    <w:p w:rsidR="00675E77" w:rsidRDefault="00675E77" w:rsidP="00675E77">
      <w:pPr>
        <w:pStyle w:val="BodyText"/>
      </w:pPr>
      <w:r>
        <w:t>Seven observational studies (two cross-sectional, five nested case</w:t>
      </w:r>
      <w:r w:rsidR="008739F8">
        <w:t>-</w:t>
      </w:r>
      <w:r>
        <w:t>control; N = 69,000) of ICS versus no ICS controls were identified, and pooled using an inverse variance, fixed effects model</w:t>
      </w:r>
      <w:r w:rsidR="006F6725">
        <w:t xml:space="preserve"> (Figure 4.15)</w:t>
      </w:r>
      <w:r>
        <w:t>. For each of three exposure subgroups, the odds of fracture with ICS were statistically significant. The pooled OR across all subgroups was 1.21 (95% CI: 1.12, 1.32; p&lt;0.0001, I</w:t>
      </w:r>
      <w:r w:rsidRPr="003949E9">
        <w:rPr>
          <w:vertAlign w:val="superscript"/>
        </w:rPr>
        <w:t>2</w:t>
      </w:r>
      <w:r>
        <w:t xml:space="preserve"> = 37%). Only one study investigated an ICS other than fluticasone or budesonide</w:t>
      </w:r>
      <w:r w:rsidRPr="003949E9">
        <w:t xml:space="preserve"> </w:t>
      </w:r>
      <w:r>
        <w:lastRenderedPageBreak/>
        <w:t>(</w:t>
      </w:r>
      <w:r w:rsidRPr="003949E9">
        <w:t>beclomethasone and tria</w:t>
      </w:r>
      <w:r>
        <w:t xml:space="preserve">mcinolone), but sensitivity analyses removing this study did not alter results.  A dose meta-regression analysis found each increase in beclomethasone equivalent of 500 </w:t>
      </w:r>
      <w:proofErr w:type="spellStart"/>
      <w:r>
        <w:t>μg</w:t>
      </w:r>
      <w:proofErr w:type="spellEnd"/>
      <w:r>
        <w:t xml:space="preserve"> corresponded to an increase in the likelihood of fractures of 9% (OR 1.09 [1.06, 1.12, p &lt;0.001]).</w:t>
      </w:r>
    </w:p>
    <w:p w:rsidR="00675E77" w:rsidRDefault="00675E77" w:rsidP="002C7600">
      <w:pPr>
        <w:pStyle w:val="HeaderFigure"/>
      </w:pPr>
      <w:bookmarkStart w:id="155" w:name="_Toc468022903"/>
      <w:bookmarkStart w:id="156" w:name="_Toc468034556"/>
      <w:bookmarkStart w:id="157" w:name="_Toc480373330"/>
      <w:bookmarkStart w:id="158" w:name="_Toc486515172"/>
      <w:r>
        <w:t xml:space="preserve">Figure </w:t>
      </w:r>
      <w:r w:rsidR="00356377">
        <w:rPr>
          <w:noProof/>
        </w:rPr>
        <w:t>4</w:t>
      </w:r>
      <w:r w:rsidR="00CC0111">
        <w:t>.</w:t>
      </w:r>
      <w:r w:rsidR="00356377">
        <w:rPr>
          <w:noProof/>
        </w:rPr>
        <w:t>15</w:t>
      </w:r>
      <w:r>
        <w:tab/>
        <w:t xml:space="preserve">Pooled observational studies </w:t>
      </w:r>
      <w:r w:rsidR="00A92818">
        <w:t xml:space="preserve">of </w:t>
      </w:r>
      <w:r w:rsidR="008272CF">
        <w:t xml:space="preserve">fracture risk </w:t>
      </w:r>
      <w:r>
        <w:t xml:space="preserve">for ICS versus non-ICS, by exposure subgroup – </w:t>
      </w:r>
      <w:proofErr w:type="spellStart"/>
      <w:r>
        <w:t>Loke</w:t>
      </w:r>
      <w:proofErr w:type="spellEnd"/>
      <w:r>
        <w:t xml:space="preserve"> 2011</w:t>
      </w:r>
      <w:bookmarkEnd w:id="155"/>
      <w:bookmarkEnd w:id="156"/>
      <w:bookmarkEnd w:id="157"/>
      <w:bookmarkEnd w:id="158"/>
    </w:p>
    <w:p w:rsidR="00675E77" w:rsidRDefault="009D3242" w:rsidP="00675E77">
      <w:pPr>
        <w:pStyle w:val="Picturewithbox"/>
      </w:pPr>
      <w:r>
        <w:rPr>
          <w:noProof/>
          <w:lang w:eastAsia="en-AU"/>
        </w:rPr>
        <w:drawing>
          <wp:inline distT="0" distB="0" distL="0" distR="0" wp14:anchorId="7C8143F5" wp14:editId="061911E2">
            <wp:extent cx="5281295" cy="4516120"/>
            <wp:effectExtent l="0" t="0" r="0" b="0"/>
            <wp:docPr id="28" name="Picture 28" descr="Pooled observational studies for ICS versus non-ICS, by exposure subgroup – Lok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ke (2011) OBS for fra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1295" cy="4516120"/>
                    </a:xfrm>
                    <a:prstGeom prst="rect">
                      <a:avLst/>
                    </a:prstGeom>
                    <a:noFill/>
                    <a:ln>
                      <a:noFill/>
                    </a:ln>
                  </pic:spPr>
                </pic:pic>
              </a:graphicData>
            </a:graphic>
          </wp:inline>
        </w:drawing>
      </w:r>
    </w:p>
    <w:p w:rsidR="00675E77" w:rsidRDefault="00675E77" w:rsidP="00675E77">
      <w:pPr>
        <w:pStyle w:val="10TableorFigurefootnote"/>
      </w:pPr>
      <w:r>
        <w:t>Source: Loki (2011), Figure 2, p 706</w:t>
      </w:r>
    </w:p>
    <w:p w:rsidR="00675E77" w:rsidRDefault="00675E77" w:rsidP="00675E77">
      <w:pPr>
        <w:pStyle w:val="11TableorFigurefootnotenostick"/>
      </w:pPr>
      <w:r>
        <w:t>Abbreviations: CI, confidence interval; ICS, inhaled corticosteroids; OR, odds ratio.</w:t>
      </w:r>
    </w:p>
    <w:p w:rsidR="00675E77" w:rsidRPr="00182E1A" w:rsidRDefault="00675E77" w:rsidP="00675E77">
      <w:pPr>
        <w:pStyle w:val="BodyText"/>
      </w:pPr>
      <w:r>
        <w:t xml:space="preserve">The authors acknowledged an element of uncertainty in the RCT analysis due to the lower limit of the confidence interval being close to the null effect threshold. However, they noted that taking the evidence as a whole, the similarity of risk point estimates across study designs and the dose-response effect seen in the observational studies strengthen the confidence in the association between ICS use and fracture. </w:t>
      </w:r>
    </w:p>
    <w:p w:rsidR="00675E77" w:rsidRDefault="00675E77" w:rsidP="00675E77">
      <w:pPr>
        <w:pStyle w:val="Heading4"/>
      </w:pPr>
      <w:r>
        <w:t>Pooled analyses</w:t>
      </w:r>
    </w:p>
    <w:p w:rsidR="00675E77" w:rsidRDefault="00675E77" w:rsidP="00675E77">
      <w:pPr>
        <w:pStyle w:val="BodyText"/>
      </w:pPr>
      <w:r>
        <w:t xml:space="preserve">The literature search identified the pooled analyses listed in </w:t>
      </w:r>
      <w:r w:rsidR="00356377">
        <w:t xml:space="preserve">Table </w:t>
      </w:r>
      <w:r w:rsidR="00356377">
        <w:rPr>
          <w:noProof/>
        </w:rPr>
        <w:t>4</w:t>
      </w:r>
      <w:r w:rsidR="00356377">
        <w:t>.</w:t>
      </w:r>
      <w:r w:rsidR="00356377">
        <w:rPr>
          <w:noProof/>
        </w:rPr>
        <w:t>12</w:t>
      </w:r>
      <w:r>
        <w:t xml:space="preserve">; they investigate interventions, comparisons or analyses not covered by the systematic reviews, so serve to supplement the analyses presented earlier. </w:t>
      </w:r>
      <w:r w:rsidR="008272CF">
        <w:t>H</w:t>
      </w:r>
      <w:r>
        <w:t>owever, the</w:t>
      </w:r>
      <w:r w:rsidR="008272CF">
        <w:t>se analyses are subject to studies</w:t>
      </w:r>
      <w:r>
        <w:t xml:space="preserve"> selection bias and, while the findings are summarised in </w:t>
      </w:r>
      <w:r w:rsidR="00356377">
        <w:t xml:space="preserve">Table </w:t>
      </w:r>
      <w:r w:rsidR="00356377">
        <w:rPr>
          <w:noProof/>
        </w:rPr>
        <w:t>4</w:t>
      </w:r>
      <w:r w:rsidR="00356377">
        <w:t>.</w:t>
      </w:r>
      <w:r w:rsidR="00356377">
        <w:rPr>
          <w:noProof/>
        </w:rPr>
        <w:t>12</w:t>
      </w:r>
      <w:r>
        <w:t>, will not be discussed further.</w:t>
      </w:r>
    </w:p>
    <w:p w:rsidR="00675E77" w:rsidRPr="00842075" w:rsidRDefault="00675E77" w:rsidP="00D52262">
      <w:pPr>
        <w:pStyle w:val="HeaderTable"/>
      </w:pPr>
      <w:bookmarkStart w:id="159" w:name="_Ref467063389"/>
      <w:bookmarkStart w:id="160" w:name="_Toc468022904"/>
      <w:bookmarkStart w:id="161" w:name="_Toc468034557"/>
      <w:bookmarkStart w:id="162" w:name="_Toc480373307"/>
      <w:bookmarkStart w:id="163" w:name="_Toc486515202"/>
      <w:r>
        <w:lastRenderedPageBreak/>
        <w:t xml:space="preserve">Table </w:t>
      </w:r>
      <w:r w:rsidR="00356377">
        <w:rPr>
          <w:noProof/>
        </w:rPr>
        <w:t>4</w:t>
      </w:r>
      <w:r>
        <w:t>.</w:t>
      </w:r>
      <w:r w:rsidR="00356377">
        <w:rPr>
          <w:noProof/>
        </w:rPr>
        <w:t>12</w:t>
      </w:r>
      <w:bookmarkEnd w:id="159"/>
      <w:r>
        <w:tab/>
        <w:t>Pooled analyses investigating the safety of ICS</w:t>
      </w:r>
      <w:bookmarkEnd w:id="160"/>
      <w:bookmarkEnd w:id="161"/>
      <w:bookmarkEnd w:id="162"/>
      <w:bookmarkEnd w:id="1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ooled analyses investigating the safety of ICS"/>
      </w:tblPr>
      <w:tblGrid>
        <w:gridCol w:w="1990"/>
        <w:gridCol w:w="2693"/>
        <w:gridCol w:w="4965"/>
      </w:tblGrid>
      <w:tr w:rsidR="00675E77" w:rsidRPr="00A74F27" w:rsidTr="00675E77">
        <w:trPr>
          <w:cantSplit/>
          <w:tblHeader/>
        </w:trPr>
        <w:tc>
          <w:tcPr>
            <w:tcW w:w="1990" w:type="dxa"/>
            <w:shd w:val="clear" w:color="auto" w:fill="BFBFBF"/>
          </w:tcPr>
          <w:p w:rsidR="00675E77" w:rsidRPr="00A74F27" w:rsidRDefault="00675E77" w:rsidP="00675E77">
            <w:pPr>
              <w:pStyle w:val="04Tablesubheading"/>
            </w:pPr>
            <w:r>
              <w:t>Ref ID</w:t>
            </w:r>
          </w:p>
        </w:tc>
        <w:tc>
          <w:tcPr>
            <w:tcW w:w="2693" w:type="dxa"/>
            <w:shd w:val="clear" w:color="auto" w:fill="BFBFBF"/>
          </w:tcPr>
          <w:p w:rsidR="00675E77" w:rsidRPr="00A74F27" w:rsidRDefault="00675E77" w:rsidP="00675E77">
            <w:pPr>
              <w:pStyle w:val="04Tablesubheading"/>
            </w:pPr>
            <w:r>
              <w:t>Title</w:t>
            </w:r>
          </w:p>
        </w:tc>
        <w:tc>
          <w:tcPr>
            <w:tcW w:w="4965" w:type="dxa"/>
            <w:shd w:val="clear" w:color="auto" w:fill="BFBFBF"/>
          </w:tcPr>
          <w:p w:rsidR="00675E77" w:rsidRPr="00A74F27" w:rsidRDefault="00675E77" w:rsidP="00675E77">
            <w:pPr>
              <w:pStyle w:val="04Tablesubheading"/>
            </w:pPr>
            <w:r>
              <w:t>Analyses and findings</w:t>
            </w:r>
          </w:p>
        </w:tc>
      </w:tr>
      <w:tr w:rsidR="00675E77" w:rsidRPr="00A74F27" w:rsidTr="00675E77">
        <w:trPr>
          <w:cantSplit/>
        </w:trPr>
        <w:tc>
          <w:tcPr>
            <w:tcW w:w="1990" w:type="dxa"/>
            <w:shd w:val="clear" w:color="auto" w:fill="000000"/>
          </w:tcPr>
          <w:p w:rsidR="00675E77" w:rsidRPr="00A74F27" w:rsidRDefault="00675E77" w:rsidP="00675E77">
            <w:pPr>
              <w:pStyle w:val="04Tablesubheading"/>
            </w:pPr>
            <w:r>
              <w:t>FLU/VIL vs VIL</w:t>
            </w:r>
          </w:p>
        </w:tc>
        <w:tc>
          <w:tcPr>
            <w:tcW w:w="2693" w:type="dxa"/>
            <w:shd w:val="clear" w:color="auto" w:fill="000000"/>
          </w:tcPr>
          <w:p w:rsidR="00675E77" w:rsidRPr="00A74F27" w:rsidRDefault="00675E77" w:rsidP="00675E77">
            <w:pPr>
              <w:pStyle w:val="04Tablesubheading"/>
            </w:pPr>
          </w:p>
        </w:tc>
        <w:tc>
          <w:tcPr>
            <w:tcW w:w="4965" w:type="dxa"/>
            <w:shd w:val="clear" w:color="auto" w:fill="000000"/>
          </w:tcPr>
          <w:p w:rsidR="00675E77" w:rsidRPr="00A74F27" w:rsidRDefault="00675E77" w:rsidP="00675E77">
            <w:pPr>
              <w:pStyle w:val="04Tablesubheading"/>
            </w:pPr>
          </w:p>
        </w:tc>
      </w:tr>
      <w:tr w:rsidR="00675E77" w:rsidRPr="00A74F27" w:rsidTr="00675E77">
        <w:trPr>
          <w:cantSplit/>
        </w:trPr>
        <w:tc>
          <w:tcPr>
            <w:tcW w:w="1990" w:type="dxa"/>
            <w:shd w:val="clear" w:color="auto" w:fill="auto"/>
          </w:tcPr>
          <w:p w:rsidR="00675E77" w:rsidRPr="00A74F27" w:rsidRDefault="00675E77" w:rsidP="00675E77">
            <w:pPr>
              <w:pStyle w:val="05Tabletext"/>
            </w:pPr>
            <w:proofErr w:type="spellStart"/>
            <w:r w:rsidRPr="00A74F27">
              <w:t>DiSantostefano</w:t>
            </w:r>
            <w:proofErr w:type="spellEnd"/>
            <w:r w:rsidRPr="00A74F27">
              <w:t xml:space="preserve"> (2014</w:t>
            </w:r>
            <w:r w:rsidR="00A27A1B">
              <w:t>a</w:t>
            </w:r>
            <w:r w:rsidRPr="00A74F27">
              <w:t>)</w:t>
            </w:r>
          </w:p>
        </w:tc>
        <w:tc>
          <w:tcPr>
            <w:tcW w:w="2693" w:type="dxa"/>
            <w:shd w:val="clear" w:color="auto" w:fill="auto"/>
          </w:tcPr>
          <w:p w:rsidR="00675E77" w:rsidRPr="00A74F27" w:rsidRDefault="00675E77" w:rsidP="00675E77">
            <w:pPr>
              <w:pStyle w:val="05Tabletext"/>
            </w:pPr>
            <w:r w:rsidRPr="00A74F27">
              <w:t xml:space="preserve">Risk of pneumonia with inhaled corticosteroid/long-acting </w:t>
            </w:r>
            <w:proofErr w:type="gramStart"/>
            <w:r w:rsidRPr="00A74F27">
              <w:t>beta</w:t>
            </w:r>
            <w:r w:rsidR="00004311">
              <w:t>(</w:t>
            </w:r>
            <w:proofErr w:type="gramEnd"/>
            <w:r w:rsidRPr="00A74F27">
              <w:t>2</w:t>
            </w:r>
            <w:r w:rsidR="00004311">
              <w:t>)</w:t>
            </w:r>
            <w:r w:rsidRPr="00A74F27">
              <w:t xml:space="preserve"> agonist therapy in chronic obstructive pulmonary disease: A cluster analysis</w:t>
            </w:r>
            <w:r>
              <w:t>.</w:t>
            </w:r>
          </w:p>
        </w:tc>
        <w:tc>
          <w:tcPr>
            <w:tcW w:w="4965" w:type="dxa"/>
            <w:shd w:val="clear" w:color="auto" w:fill="auto"/>
          </w:tcPr>
          <w:p w:rsidR="00675E77" w:rsidRPr="00A74F27" w:rsidRDefault="00675E77" w:rsidP="00675E77">
            <w:pPr>
              <w:pStyle w:val="05Tabletext"/>
            </w:pPr>
            <w:r w:rsidRPr="00A74F27">
              <w:t xml:space="preserve">Cluster analysis of </w:t>
            </w:r>
            <w:r>
              <w:t xml:space="preserve">the two 52-week FLU/VIL vs VIL RCTs reported in </w:t>
            </w:r>
            <w:proofErr w:type="spellStart"/>
            <w:r>
              <w:t>Dransfield</w:t>
            </w:r>
            <w:proofErr w:type="spellEnd"/>
            <w:r>
              <w:t xml:space="preserve"> (2013), </w:t>
            </w:r>
            <w:r w:rsidRPr="00A74F27">
              <w:t xml:space="preserve">to identify patients at greater risk of </w:t>
            </w:r>
            <w:r>
              <w:t xml:space="preserve">first pneumonia. Identified clusters included </w:t>
            </w:r>
            <w:r w:rsidRPr="00A74F27">
              <w:t>more severe o</w:t>
            </w:r>
            <w:r>
              <w:t>bstruction with body mass index</w:t>
            </w:r>
            <w:r w:rsidRPr="00A74F27">
              <w:t xml:space="preserve"> </w:t>
            </w:r>
            <w:r>
              <w:t>(</w:t>
            </w:r>
            <w:r w:rsidRPr="00A74F27">
              <w:t>&lt;19 kg/m</w:t>
            </w:r>
            <w:r w:rsidRPr="00696BA6">
              <w:rPr>
                <w:vertAlign w:val="superscript"/>
              </w:rPr>
              <w:t>2</w:t>
            </w:r>
            <w:r>
              <w:t>)</w:t>
            </w:r>
            <w:r w:rsidRPr="00A74F27">
              <w:t>; more severe obstruction with pneumonia hist</w:t>
            </w:r>
            <w:r>
              <w:t xml:space="preserve">ory and greater comorbidities; and </w:t>
            </w:r>
            <w:r w:rsidRPr="00A74F27">
              <w:t>more severe obstruction with multiple comorbidit</w:t>
            </w:r>
            <w:r>
              <w:t xml:space="preserve">ies and use of </w:t>
            </w:r>
            <w:proofErr w:type="spellStart"/>
            <w:r>
              <w:t>psychoanaleptics</w:t>
            </w:r>
            <w:proofErr w:type="spellEnd"/>
            <w:r>
              <w:t>.</w:t>
            </w:r>
          </w:p>
        </w:tc>
      </w:tr>
      <w:tr w:rsidR="00675E77" w:rsidRPr="00A74F27" w:rsidTr="00675E77">
        <w:trPr>
          <w:cantSplit/>
        </w:trPr>
        <w:tc>
          <w:tcPr>
            <w:tcW w:w="1990" w:type="dxa"/>
            <w:shd w:val="clear" w:color="auto" w:fill="000000"/>
          </w:tcPr>
          <w:p w:rsidR="00675E77" w:rsidRPr="00A74F27" w:rsidRDefault="00675E77" w:rsidP="00675E77">
            <w:pPr>
              <w:pStyle w:val="04Tablesubheading"/>
            </w:pPr>
            <w:r>
              <w:t>FLU/VIL vs FLU/SAL</w:t>
            </w:r>
          </w:p>
        </w:tc>
        <w:tc>
          <w:tcPr>
            <w:tcW w:w="2693" w:type="dxa"/>
            <w:shd w:val="clear" w:color="auto" w:fill="000000"/>
          </w:tcPr>
          <w:p w:rsidR="00675E77" w:rsidRPr="00A74F27" w:rsidRDefault="00675E77" w:rsidP="00675E77">
            <w:pPr>
              <w:pStyle w:val="04Tablesubheading"/>
            </w:pPr>
          </w:p>
        </w:tc>
        <w:tc>
          <w:tcPr>
            <w:tcW w:w="4965" w:type="dxa"/>
            <w:shd w:val="clear" w:color="auto" w:fill="000000"/>
          </w:tcPr>
          <w:p w:rsidR="00675E77" w:rsidRPr="00A74F27" w:rsidRDefault="00675E77" w:rsidP="00675E77">
            <w:pPr>
              <w:pStyle w:val="04Tablesubheading"/>
            </w:pPr>
          </w:p>
        </w:tc>
      </w:tr>
      <w:tr w:rsidR="00675E77" w:rsidRPr="00A74F27" w:rsidTr="00675E77">
        <w:trPr>
          <w:cantSplit/>
        </w:trPr>
        <w:tc>
          <w:tcPr>
            <w:tcW w:w="1990" w:type="dxa"/>
            <w:shd w:val="clear" w:color="auto" w:fill="auto"/>
          </w:tcPr>
          <w:p w:rsidR="00675E77" w:rsidRPr="00A74F27" w:rsidRDefault="00675E77" w:rsidP="00675E77">
            <w:pPr>
              <w:pStyle w:val="05Tabletext"/>
            </w:pPr>
            <w:proofErr w:type="spellStart"/>
            <w:r w:rsidRPr="00A74F27">
              <w:t>Dransfield</w:t>
            </w:r>
            <w:proofErr w:type="spellEnd"/>
            <w:r w:rsidRPr="00A74F27">
              <w:t xml:space="preserve"> (2014)</w:t>
            </w:r>
          </w:p>
        </w:tc>
        <w:tc>
          <w:tcPr>
            <w:tcW w:w="2693" w:type="dxa"/>
            <w:shd w:val="clear" w:color="auto" w:fill="auto"/>
          </w:tcPr>
          <w:p w:rsidR="00675E77" w:rsidRPr="00A74F27" w:rsidRDefault="00675E77" w:rsidP="00675E77">
            <w:pPr>
              <w:pStyle w:val="05Tabletext"/>
            </w:pPr>
            <w:r w:rsidRPr="00A74F27">
              <w:t xml:space="preserve">Efficacy and safety of once-daily fluticasone </w:t>
            </w:r>
            <w:proofErr w:type="spellStart"/>
            <w:r w:rsidRPr="00A74F27">
              <w:t>furoate</w:t>
            </w:r>
            <w:proofErr w:type="spellEnd"/>
            <w:r w:rsidRPr="00A74F27">
              <w:t>/</w:t>
            </w:r>
            <w:proofErr w:type="spellStart"/>
            <w:r w:rsidRPr="00A74F27">
              <w:t>vilanterol</w:t>
            </w:r>
            <w:proofErr w:type="spellEnd"/>
            <w:r w:rsidRPr="00A74F27">
              <w:t xml:space="preserve"> (100/25 </w:t>
            </w:r>
            <w:proofErr w:type="spellStart"/>
            <w:r w:rsidR="00AF5A10">
              <w:t>μg</w:t>
            </w:r>
            <w:proofErr w:type="spellEnd"/>
            <w:r w:rsidRPr="00A74F27">
              <w:t xml:space="preserve">) versus twice-daily fluticasone propionate/salmeterol (250/50 </w:t>
            </w:r>
            <w:proofErr w:type="spellStart"/>
            <w:r w:rsidR="00AF5A10">
              <w:t>μg</w:t>
            </w:r>
            <w:proofErr w:type="spellEnd"/>
            <w:r w:rsidRPr="00A74F27">
              <w:t>) in COPD patients</w:t>
            </w:r>
            <w:r>
              <w:t>.</w:t>
            </w:r>
          </w:p>
        </w:tc>
        <w:tc>
          <w:tcPr>
            <w:tcW w:w="4965" w:type="dxa"/>
            <w:shd w:val="clear" w:color="auto" w:fill="auto"/>
          </w:tcPr>
          <w:p w:rsidR="00675E77" w:rsidRPr="00A74F27" w:rsidRDefault="00675E77" w:rsidP="00675E77">
            <w:pPr>
              <w:pStyle w:val="05Tabletext"/>
            </w:pPr>
            <w:r>
              <w:t>P</w:t>
            </w:r>
            <w:r w:rsidRPr="00A74F27">
              <w:t xml:space="preserve">ooled analysis of three 12-week </w:t>
            </w:r>
            <w:r>
              <w:t>RCTs</w:t>
            </w:r>
            <w:r w:rsidRPr="00A74F27">
              <w:t xml:space="preserve"> of </w:t>
            </w:r>
            <w:r>
              <w:t xml:space="preserve">FLU/VIL </w:t>
            </w:r>
            <w:r w:rsidRPr="00A74F27">
              <w:t xml:space="preserve">vs </w:t>
            </w:r>
            <w:r>
              <w:t>FLU/SAL. N</w:t>
            </w:r>
            <w:r w:rsidRPr="00A74F27">
              <w:t>o di</w:t>
            </w:r>
            <w:r>
              <w:t xml:space="preserve">fference in pooled AEs or </w:t>
            </w:r>
            <w:proofErr w:type="gramStart"/>
            <w:r>
              <w:t>SAEs .</w:t>
            </w:r>
            <w:proofErr w:type="gramEnd"/>
            <w:r>
              <w:t xml:space="preserve"> The short s</w:t>
            </w:r>
            <w:r w:rsidRPr="00A74F27">
              <w:t xml:space="preserve">tudy period </w:t>
            </w:r>
            <w:r>
              <w:t>limits the</w:t>
            </w:r>
            <w:r w:rsidRPr="00A74F27">
              <w:t xml:space="preserve"> safety analysis</w:t>
            </w:r>
            <w:r>
              <w:t>.</w:t>
            </w:r>
          </w:p>
        </w:tc>
      </w:tr>
      <w:tr w:rsidR="00675E77" w:rsidRPr="00A74F27" w:rsidTr="00675E77">
        <w:trPr>
          <w:cantSplit/>
        </w:trPr>
        <w:tc>
          <w:tcPr>
            <w:tcW w:w="1990" w:type="dxa"/>
            <w:shd w:val="clear" w:color="auto" w:fill="000000"/>
          </w:tcPr>
          <w:p w:rsidR="00675E77" w:rsidRPr="00A74F27" w:rsidRDefault="00675E77" w:rsidP="00675E77">
            <w:pPr>
              <w:pStyle w:val="04Tablesubheading"/>
            </w:pPr>
            <w:r>
              <w:t>BUD, BUD/EFO vs no ICS</w:t>
            </w:r>
          </w:p>
        </w:tc>
        <w:tc>
          <w:tcPr>
            <w:tcW w:w="2693" w:type="dxa"/>
            <w:shd w:val="clear" w:color="auto" w:fill="000000"/>
          </w:tcPr>
          <w:p w:rsidR="00675E77" w:rsidRPr="00A74F27" w:rsidRDefault="00675E77" w:rsidP="00675E77">
            <w:pPr>
              <w:pStyle w:val="04Tablesubheading"/>
            </w:pPr>
          </w:p>
        </w:tc>
        <w:tc>
          <w:tcPr>
            <w:tcW w:w="4965" w:type="dxa"/>
            <w:shd w:val="clear" w:color="auto" w:fill="000000"/>
          </w:tcPr>
          <w:p w:rsidR="00675E77" w:rsidRPr="00A74F27" w:rsidRDefault="00675E77" w:rsidP="00675E77">
            <w:pPr>
              <w:pStyle w:val="04Tablesubheading"/>
            </w:pPr>
          </w:p>
        </w:tc>
      </w:tr>
      <w:tr w:rsidR="00675E77" w:rsidRPr="00A74F27" w:rsidTr="00675E77">
        <w:trPr>
          <w:cantSplit/>
        </w:trPr>
        <w:tc>
          <w:tcPr>
            <w:tcW w:w="1990" w:type="dxa"/>
            <w:shd w:val="clear" w:color="auto" w:fill="auto"/>
          </w:tcPr>
          <w:p w:rsidR="00675E77" w:rsidRPr="00A74F27" w:rsidRDefault="00675E77" w:rsidP="00675E77">
            <w:pPr>
              <w:pStyle w:val="05Tabletext"/>
            </w:pPr>
            <w:r w:rsidRPr="00A74F27">
              <w:t>O'Byrne (2012)</w:t>
            </w:r>
          </w:p>
        </w:tc>
        <w:tc>
          <w:tcPr>
            <w:tcW w:w="2693" w:type="dxa"/>
            <w:shd w:val="clear" w:color="auto" w:fill="auto"/>
          </w:tcPr>
          <w:p w:rsidR="00675E77" w:rsidRPr="00A74F27" w:rsidRDefault="00675E77" w:rsidP="00675E77">
            <w:pPr>
              <w:pStyle w:val="05Tabletext"/>
            </w:pPr>
            <w:r w:rsidRPr="00A74F27">
              <w:t>Risk of new onset diabetes mellitus in patients with asthma or COPD taking inhaled corticosteroids</w:t>
            </w:r>
            <w:r>
              <w:t>.</w:t>
            </w:r>
          </w:p>
        </w:tc>
        <w:tc>
          <w:tcPr>
            <w:tcW w:w="4965" w:type="dxa"/>
            <w:shd w:val="clear" w:color="auto" w:fill="auto"/>
          </w:tcPr>
          <w:p w:rsidR="00675E77" w:rsidRPr="00A74F27" w:rsidRDefault="00675E77" w:rsidP="00675E77">
            <w:pPr>
              <w:pStyle w:val="05Tabletext"/>
            </w:pPr>
            <w:r>
              <w:t>P</w:t>
            </w:r>
            <w:r w:rsidRPr="00A74F27">
              <w:t xml:space="preserve">ooled </w:t>
            </w:r>
            <w:r>
              <w:t>analyse</w:t>
            </w:r>
            <w:r w:rsidRPr="00A74F27">
              <w:t>s of AstraZeneca datasets for COPD and asthma</w:t>
            </w:r>
            <w:r>
              <w:t xml:space="preserve"> (BUD or BUD/EFO vs non-ICS)</w:t>
            </w:r>
            <w:r w:rsidRPr="00A74F27">
              <w:t xml:space="preserve">. No significant </w:t>
            </w:r>
            <w:r>
              <w:t>difference seen</w:t>
            </w:r>
            <w:r w:rsidRPr="00A74F27">
              <w:t xml:space="preserve"> for diabetes/hyperglycaemia AEs or SAEs</w:t>
            </w:r>
            <w:r>
              <w:t xml:space="preserve"> in either dataset.</w:t>
            </w:r>
          </w:p>
        </w:tc>
      </w:tr>
      <w:tr w:rsidR="00675E77" w:rsidRPr="00A74F27" w:rsidTr="00675E77">
        <w:trPr>
          <w:cantSplit/>
        </w:trPr>
        <w:tc>
          <w:tcPr>
            <w:tcW w:w="1990" w:type="dxa"/>
            <w:shd w:val="clear" w:color="auto" w:fill="auto"/>
          </w:tcPr>
          <w:p w:rsidR="00675E77" w:rsidRPr="00A74F27" w:rsidRDefault="00675E77" w:rsidP="00675E77">
            <w:pPr>
              <w:pStyle w:val="05Tabletext"/>
            </w:pPr>
            <w:r w:rsidRPr="00A74F27">
              <w:t>Sin (2009)</w:t>
            </w:r>
          </w:p>
        </w:tc>
        <w:tc>
          <w:tcPr>
            <w:tcW w:w="2693" w:type="dxa"/>
            <w:shd w:val="clear" w:color="auto" w:fill="auto"/>
          </w:tcPr>
          <w:p w:rsidR="00675E77" w:rsidRPr="00A74F27" w:rsidRDefault="00675E77" w:rsidP="00675E77">
            <w:pPr>
              <w:pStyle w:val="05Tabletext"/>
            </w:pPr>
            <w:r w:rsidRPr="00A74F27">
              <w:t>Budesonide and the risk of pneumonia: a meta-analysis of individual patient data</w:t>
            </w:r>
            <w:r>
              <w:t>.</w:t>
            </w:r>
          </w:p>
        </w:tc>
        <w:tc>
          <w:tcPr>
            <w:tcW w:w="4965" w:type="dxa"/>
            <w:shd w:val="clear" w:color="auto" w:fill="auto"/>
          </w:tcPr>
          <w:p w:rsidR="00675E77" w:rsidRPr="00A74F27" w:rsidRDefault="00675E77" w:rsidP="00675E77">
            <w:pPr>
              <w:pStyle w:val="05Tabletext"/>
            </w:pPr>
            <w:r>
              <w:t>P</w:t>
            </w:r>
            <w:r w:rsidRPr="00A74F27">
              <w:t>ooled analysis</w:t>
            </w:r>
            <w:r>
              <w:t xml:space="preserve"> of BUD or BUD/EFO vs EFO or placebo. A</w:t>
            </w:r>
            <w:r w:rsidRPr="00A74F27">
              <w:t>ll studies</w:t>
            </w:r>
            <w:r>
              <w:t xml:space="preserve"> are also</w:t>
            </w:r>
            <w:r w:rsidRPr="00A74F27">
              <w:t xml:space="preserve"> included in </w:t>
            </w:r>
            <w:r>
              <w:t xml:space="preserve">the </w:t>
            </w:r>
            <w:r w:rsidRPr="00A74F27">
              <w:t>Kew</w:t>
            </w:r>
            <w:r>
              <w:t xml:space="preserve"> (2014) SR, </w:t>
            </w:r>
            <w:r w:rsidRPr="00A74F27">
              <w:t xml:space="preserve">which also includes an additional 10 studies, both </w:t>
            </w:r>
            <w:r>
              <w:t>earlier and later than</w:t>
            </w:r>
            <w:r w:rsidRPr="00A74F27">
              <w:t xml:space="preserve"> these</w:t>
            </w:r>
            <w:r>
              <w:t xml:space="preserve"> and pooled BUD studies separately</w:t>
            </w:r>
            <w:r w:rsidRPr="00A74F27">
              <w:t>. However, this analysis used patient</w:t>
            </w:r>
            <w:r w:rsidR="00A51279">
              <w:t>-</w:t>
            </w:r>
            <w:r w:rsidRPr="00A74F27">
              <w:t>level data to allow adjustment for potential confounders, and found no significant in</w:t>
            </w:r>
            <w:r>
              <w:t>crease in pneumonia AEs or SAEs.</w:t>
            </w:r>
          </w:p>
        </w:tc>
      </w:tr>
    </w:tbl>
    <w:p w:rsidR="00675E77" w:rsidRDefault="00675E77" w:rsidP="00675E77">
      <w:pPr>
        <w:pStyle w:val="11TableorFigurefootnotenostick"/>
      </w:pPr>
      <w:r>
        <w:t xml:space="preserve">Abbreviations: AE, adverse event; BUD, budesonide; COPD, chronic obstructive pulmonary disease; EFO, </w:t>
      </w:r>
      <w:proofErr w:type="spellStart"/>
      <w:r>
        <w:t>eformoterol</w:t>
      </w:r>
      <w:proofErr w:type="spellEnd"/>
      <w:r>
        <w:t xml:space="preserve">; FLU, fluticasone; ICS, inhaled corticosteroids; RCT, randomised controlled trial; SAE, serious adverse event; SAL, salmeterol; </w:t>
      </w:r>
      <w:r w:rsidR="00A92818">
        <w:t xml:space="preserve">SR, systematic review; </w:t>
      </w:r>
      <w:r>
        <w:t xml:space="preserve">VIL, </w:t>
      </w:r>
      <w:proofErr w:type="spellStart"/>
      <w:r>
        <w:t>vilanterol</w:t>
      </w:r>
      <w:proofErr w:type="spellEnd"/>
      <w:r w:rsidR="009C1310">
        <w:t xml:space="preserve">; FLU/SAL, fluticasone propionate/salmeterol; FLU/VIL, fluticasone </w:t>
      </w:r>
      <w:proofErr w:type="spellStart"/>
      <w:r w:rsidR="009C1310">
        <w:t>furoate</w:t>
      </w:r>
      <w:proofErr w:type="spellEnd"/>
      <w:r w:rsidR="009C1310">
        <w:t>/</w:t>
      </w:r>
      <w:proofErr w:type="spellStart"/>
      <w:r w:rsidR="009C1310">
        <w:t>vilanterol</w:t>
      </w:r>
      <w:proofErr w:type="spellEnd"/>
      <w:r w:rsidR="00431068">
        <w:t>.</w:t>
      </w:r>
    </w:p>
    <w:p w:rsidR="00675E77" w:rsidRDefault="00675E77" w:rsidP="00D92F94">
      <w:pPr>
        <w:pStyle w:val="Heading3"/>
      </w:pPr>
      <w:bookmarkStart w:id="164" w:name="_Toc468022808"/>
      <w:bookmarkStart w:id="165" w:name="_Toc482191518"/>
      <w:bookmarkStart w:id="166" w:name="_Toc486515185"/>
      <w:bookmarkStart w:id="167" w:name="_Ref467768016"/>
      <w:bookmarkStart w:id="168" w:name="_Ref467928105"/>
      <w:bookmarkStart w:id="169" w:name="_Ref467938119"/>
      <w:r>
        <w:t>HTAs</w:t>
      </w:r>
      <w:bookmarkEnd w:id="164"/>
      <w:bookmarkEnd w:id="165"/>
      <w:bookmarkEnd w:id="166"/>
    </w:p>
    <w:p w:rsidR="00675E77" w:rsidRDefault="00675E77" w:rsidP="00675E77">
      <w:pPr>
        <w:pStyle w:val="BodyText"/>
      </w:pPr>
      <w:r>
        <w:t>A search of HTA websites for assessments of ICS for COPD investigating safety outcomes identified relevant documents from NICE and the Canadian Agency for Drugs and Technologies in Health (CADTH).</w:t>
      </w:r>
    </w:p>
    <w:p w:rsidR="00675E77" w:rsidRDefault="00675E77" w:rsidP="00675E77">
      <w:pPr>
        <w:pStyle w:val="Heading4"/>
      </w:pPr>
      <w:r>
        <w:t>NICE</w:t>
      </w:r>
    </w:p>
    <w:p w:rsidR="00675E77" w:rsidRDefault="00675E77" w:rsidP="00675E77">
      <w:pPr>
        <w:pStyle w:val="BodyText"/>
      </w:pPr>
      <w:r>
        <w:t>In June 2013, NICE published an Evidence Summary for fluticasone</w:t>
      </w:r>
      <w:r w:rsidR="009C1310">
        <w:t xml:space="preserve"> </w:t>
      </w:r>
      <w:proofErr w:type="spellStart"/>
      <w:r w:rsidR="009C1310">
        <w:t>furoate</w:t>
      </w:r>
      <w:proofErr w:type="spellEnd"/>
      <w:r>
        <w:t>/</w:t>
      </w:r>
      <w:proofErr w:type="spellStart"/>
      <w:r>
        <w:t>vilanterol</w:t>
      </w:r>
      <w:proofErr w:type="spellEnd"/>
      <w:r>
        <w:t xml:space="preserve"> (ESNM21; NICE, 2013), which is marketed as </w:t>
      </w:r>
      <w:proofErr w:type="spellStart"/>
      <w:r>
        <w:t>Relvar</w:t>
      </w:r>
      <w:proofErr w:type="spellEnd"/>
      <w:r>
        <w:t xml:space="preserve"> </w:t>
      </w:r>
      <w:proofErr w:type="spellStart"/>
      <w:r>
        <w:t>Ellipta</w:t>
      </w:r>
      <w:proofErr w:type="spellEnd"/>
      <w:r>
        <w:t xml:space="preserve"> (100/25 </w:t>
      </w:r>
      <w:proofErr w:type="spellStart"/>
      <w:r>
        <w:t>μg</w:t>
      </w:r>
      <w:proofErr w:type="spellEnd"/>
      <w:r>
        <w:t xml:space="preserve">) in Europe (same product as </w:t>
      </w:r>
      <w:proofErr w:type="spellStart"/>
      <w:r>
        <w:t>Breo</w:t>
      </w:r>
      <w:proofErr w:type="spellEnd"/>
      <w:r>
        <w:t xml:space="preserve"> </w:t>
      </w:r>
      <w:proofErr w:type="spellStart"/>
      <w:r>
        <w:t>Ellipta</w:t>
      </w:r>
      <w:proofErr w:type="spellEnd"/>
      <w:r>
        <w:t xml:space="preserve"> in Australia and US). Three study publications reporting four RCTs were identified (</w:t>
      </w:r>
      <w:r w:rsidR="00356377">
        <w:t xml:space="preserve">Table </w:t>
      </w:r>
      <w:r w:rsidR="00356377">
        <w:rPr>
          <w:noProof/>
        </w:rPr>
        <w:t>4</w:t>
      </w:r>
      <w:r w:rsidR="00356377">
        <w:t>.</w:t>
      </w:r>
      <w:r w:rsidR="00356377">
        <w:rPr>
          <w:noProof/>
        </w:rPr>
        <w:t>13</w:t>
      </w:r>
      <w:r>
        <w:t xml:space="preserve"> shows the trial doses, taken once daily). Only three RCTs were used as the basis of the Evidence Summary as the authors of the Martinez (2013) study were precluded, for methodological reasons, from performing a statistical analysis.</w:t>
      </w:r>
    </w:p>
    <w:p w:rsidR="00675E77" w:rsidRDefault="00675E77" w:rsidP="003F0B35">
      <w:pPr>
        <w:pStyle w:val="HeaderTable"/>
        <w:keepLines/>
      </w:pPr>
      <w:bookmarkStart w:id="170" w:name="_Ref467831954"/>
      <w:bookmarkStart w:id="171" w:name="_Toc468022905"/>
      <w:bookmarkStart w:id="172" w:name="_Toc468034558"/>
      <w:bookmarkStart w:id="173" w:name="_Toc480373308"/>
      <w:bookmarkStart w:id="174" w:name="_Toc486515203"/>
      <w:r>
        <w:t xml:space="preserve">Table </w:t>
      </w:r>
      <w:r w:rsidR="00356377">
        <w:rPr>
          <w:noProof/>
        </w:rPr>
        <w:t>4</w:t>
      </w:r>
      <w:r>
        <w:t>.</w:t>
      </w:r>
      <w:r w:rsidR="00356377">
        <w:rPr>
          <w:noProof/>
        </w:rPr>
        <w:t>13</w:t>
      </w:r>
      <w:bookmarkEnd w:id="170"/>
      <w:r>
        <w:tab/>
        <w:t>Study drug dosages for the published trials of fluti</w:t>
      </w:r>
      <w:r w:rsidR="004B35EA">
        <w:t xml:space="preserve">casone </w:t>
      </w:r>
      <w:proofErr w:type="spellStart"/>
      <w:r w:rsidR="004B35EA">
        <w:t>furoate</w:t>
      </w:r>
      <w:proofErr w:type="spellEnd"/>
      <w:r w:rsidR="004B35EA">
        <w:t>/</w:t>
      </w:r>
      <w:proofErr w:type="spellStart"/>
      <w:r>
        <w:t>vilanterol</w:t>
      </w:r>
      <w:bookmarkEnd w:id="171"/>
      <w:bookmarkEnd w:id="172"/>
      <w:bookmarkEnd w:id="173"/>
      <w:bookmarkEnd w:id="174"/>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Study drug dosages for the published trials of fluticasone furoate/vilanterol"/>
      </w:tblPr>
      <w:tblGrid>
        <w:gridCol w:w="2917"/>
        <w:gridCol w:w="955"/>
        <w:gridCol w:w="891"/>
        <w:gridCol w:w="890"/>
        <w:gridCol w:w="891"/>
        <w:gridCol w:w="776"/>
        <w:gridCol w:w="776"/>
        <w:gridCol w:w="776"/>
        <w:gridCol w:w="776"/>
      </w:tblGrid>
      <w:tr w:rsidR="00675E77" w:rsidRPr="00BB607C" w:rsidTr="00675E77">
        <w:trPr>
          <w:cantSplit/>
          <w:tblHeader/>
        </w:trPr>
        <w:tc>
          <w:tcPr>
            <w:tcW w:w="1512" w:type="pct"/>
            <w:tcBorders>
              <w:right w:val="nil"/>
            </w:tcBorders>
            <w:shd w:val="clear" w:color="auto" w:fill="BFBFBF"/>
          </w:tcPr>
          <w:p w:rsidR="00675E77" w:rsidRDefault="00675E77" w:rsidP="003F0B35">
            <w:pPr>
              <w:pStyle w:val="01TableHEADINGleftaligned"/>
              <w:keepLines/>
            </w:pPr>
            <w:r>
              <w:t>Study ID</w:t>
            </w:r>
          </w:p>
        </w:tc>
        <w:tc>
          <w:tcPr>
            <w:tcW w:w="495" w:type="pct"/>
            <w:tcBorders>
              <w:left w:val="nil"/>
            </w:tcBorders>
            <w:shd w:val="clear" w:color="auto" w:fill="BFBFBF"/>
          </w:tcPr>
          <w:p w:rsidR="00675E77" w:rsidRDefault="00675E77" w:rsidP="003F0B35">
            <w:pPr>
              <w:pStyle w:val="02TableHEADINGcentred"/>
              <w:keepLines/>
            </w:pPr>
            <w:r>
              <w:t>Duration</w:t>
            </w:r>
          </w:p>
        </w:tc>
        <w:tc>
          <w:tcPr>
            <w:tcW w:w="462" w:type="pct"/>
            <w:tcBorders>
              <w:left w:val="nil"/>
              <w:right w:val="nil"/>
            </w:tcBorders>
            <w:shd w:val="clear" w:color="auto" w:fill="BFBFBF"/>
          </w:tcPr>
          <w:p w:rsidR="00675E77" w:rsidRDefault="00675E77" w:rsidP="003F0B35">
            <w:pPr>
              <w:pStyle w:val="02TableHEADINGcentred"/>
              <w:keepLines/>
            </w:pPr>
            <w:r>
              <w:t>FLU/VIL</w:t>
            </w:r>
            <w:r>
              <w:br/>
            </w:r>
            <w:proofErr w:type="spellStart"/>
            <w:r>
              <w:t>μg</w:t>
            </w:r>
            <w:proofErr w:type="spellEnd"/>
          </w:p>
        </w:tc>
        <w:tc>
          <w:tcPr>
            <w:tcW w:w="461" w:type="pct"/>
            <w:tcBorders>
              <w:left w:val="nil"/>
              <w:right w:val="nil"/>
            </w:tcBorders>
            <w:shd w:val="clear" w:color="auto" w:fill="BFBFBF"/>
          </w:tcPr>
          <w:p w:rsidR="00675E77" w:rsidRDefault="00675E77" w:rsidP="003F0B35">
            <w:pPr>
              <w:pStyle w:val="02TableHEADINGcentred"/>
              <w:keepLines/>
            </w:pPr>
            <w:r>
              <w:t xml:space="preserve">FLU/VIL </w:t>
            </w:r>
            <w:r>
              <w:br/>
            </w:r>
            <w:proofErr w:type="spellStart"/>
            <w:r>
              <w:t>μg</w:t>
            </w:r>
            <w:proofErr w:type="spellEnd"/>
          </w:p>
        </w:tc>
        <w:tc>
          <w:tcPr>
            <w:tcW w:w="462" w:type="pct"/>
            <w:tcBorders>
              <w:left w:val="nil"/>
              <w:right w:val="nil"/>
            </w:tcBorders>
            <w:shd w:val="clear" w:color="auto" w:fill="BFBFBF"/>
          </w:tcPr>
          <w:p w:rsidR="00675E77" w:rsidRDefault="00675E77" w:rsidP="003F0B35">
            <w:pPr>
              <w:pStyle w:val="02TableHEADINGcentred"/>
              <w:keepLines/>
            </w:pPr>
            <w:r>
              <w:t xml:space="preserve">FLU/VIL </w:t>
            </w:r>
            <w:r>
              <w:br/>
            </w:r>
            <w:proofErr w:type="spellStart"/>
            <w:r>
              <w:t>μg</w:t>
            </w:r>
            <w:proofErr w:type="spellEnd"/>
          </w:p>
        </w:tc>
        <w:tc>
          <w:tcPr>
            <w:tcW w:w="402" w:type="pct"/>
            <w:tcBorders>
              <w:left w:val="nil"/>
              <w:right w:val="nil"/>
            </w:tcBorders>
            <w:shd w:val="clear" w:color="auto" w:fill="BFBFBF"/>
          </w:tcPr>
          <w:p w:rsidR="00675E77" w:rsidRDefault="00675E77" w:rsidP="003F0B35">
            <w:pPr>
              <w:pStyle w:val="02TableHEADINGcentred"/>
              <w:keepLines/>
            </w:pPr>
            <w:r>
              <w:t>FLU</w:t>
            </w:r>
            <w:r>
              <w:br/>
            </w:r>
            <w:proofErr w:type="spellStart"/>
            <w:r>
              <w:t>μg</w:t>
            </w:r>
            <w:proofErr w:type="spellEnd"/>
          </w:p>
        </w:tc>
        <w:tc>
          <w:tcPr>
            <w:tcW w:w="402" w:type="pct"/>
            <w:tcBorders>
              <w:left w:val="nil"/>
              <w:right w:val="nil"/>
            </w:tcBorders>
            <w:shd w:val="clear" w:color="auto" w:fill="BFBFBF"/>
          </w:tcPr>
          <w:p w:rsidR="00675E77" w:rsidRDefault="00675E77" w:rsidP="003F0B35">
            <w:pPr>
              <w:pStyle w:val="02TableHEADINGcentred"/>
              <w:keepLines/>
            </w:pPr>
            <w:r>
              <w:t xml:space="preserve">FLU </w:t>
            </w:r>
            <w:r>
              <w:br/>
            </w:r>
            <w:proofErr w:type="spellStart"/>
            <w:r>
              <w:t>μg</w:t>
            </w:r>
            <w:proofErr w:type="spellEnd"/>
          </w:p>
        </w:tc>
        <w:tc>
          <w:tcPr>
            <w:tcW w:w="402" w:type="pct"/>
            <w:tcBorders>
              <w:left w:val="nil"/>
              <w:right w:val="nil"/>
            </w:tcBorders>
            <w:shd w:val="clear" w:color="auto" w:fill="BFBFBF"/>
          </w:tcPr>
          <w:p w:rsidR="00675E77" w:rsidRDefault="00675E77" w:rsidP="003F0B35">
            <w:pPr>
              <w:pStyle w:val="02TableHEADINGcentred"/>
              <w:keepLines/>
            </w:pPr>
            <w:r>
              <w:t xml:space="preserve">VIL </w:t>
            </w:r>
            <w:r>
              <w:br/>
            </w:r>
            <w:proofErr w:type="spellStart"/>
            <w:r>
              <w:t>μg</w:t>
            </w:r>
            <w:proofErr w:type="spellEnd"/>
          </w:p>
        </w:tc>
        <w:tc>
          <w:tcPr>
            <w:tcW w:w="403" w:type="pct"/>
            <w:tcBorders>
              <w:left w:val="nil"/>
            </w:tcBorders>
            <w:shd w:val="clear" w:color="auto" w:fill="BFBFBF"/>
          </w:tcPr>
          <w:p w:rsidR="00675E77" w:rsidRDefault="00675E77" w:rsidP="003F0B35">
            <w:pPr>
              <w:pStyle w:val="02TableHEADINGcentred"/>
              <w:keepLines/>
            </w:pPr>
            <w:r>
              <w:t>Placebo</w:t>
            </w:r>
          </w:p>
        </w:tc>
      </w:tr>
      <w:tr w:rsidR="00675E77" w:rsidRPr="00BB607C" w:rsidTr="00675E77">
        <w:trPr>
          <w:cantSplit/>
        </w:trPr>
        <w:tc>
          <w:tcPr>
            <w:tcW w:w="1512" w:type="pct"/>
            <w:tcBorders>
              <w:right w:val="nil"/>
            </w:tcBorders>
            <w:shd w:val="clear" w:color="auto" w:fill="auto"/>
          </w:tcPr>
          <w:p w:rsidR="00675E77" w:rsidRDefault="00675E77" w:rsidP="003F0B35">
            <w:pPr>
              <w:pStyle w:val="05Tabletext"/>
              <w:keepNext/>
              <w:keepLines/>
            </w:pPr>
            <w:proofErr w:type="spellStart"/>
            <w:r>
              <w:t>Dransfield</w:t>
            </w:r>
            <w:proofErr w:type="spellEnd"/>
            <w:r>
              <w:t xml:space="preserve"> (2013) – 2 replicate RCTs</w:t>
            </w:r>
          </w:p>
        </w:tc>
        <w:tc>
          <w:tcPr>
            <w:tcW w:w="495" w:type="pct"/>
            <w:tcBorders>
              <w:left w:val="nil"/>
            </w:tcBorders>
          </w:tcPr>
          <w:p w:rsidR="00675E77" w:rsidRPr="00CC50B8" w:rsidRDefault="00675E77" w:rsidP="003F0B35">
            <w:pPr>
              <w:pStyle w:val="05Tabletext"/>
              <w:keepNext/>
              <w:keepLines/>
              <w:jc w:val="center"/>
            </w:pPr>
            <w:r w:rsidRPr="00CC50B8">
              <w:t>52 weeks</w:t>
            </w:r>
          </w:p>
        </w:tc>
        <w:tc>
          <w:tcPr>
            <w:tcW w:w="462" w:type="pct"/>
            <w:tcBorders>
              <w:left w:val="nil"/>
              <w:right w:val="nil"/>
            </w:tcBorders>
            <w:shd w:val="clear" w:color="auto" w:fill="auto"/>
          </w:tcPr>
          <w:p w:rsidR="00675E77" w:rsidRDefault="00675E77" w:rsidP="003F0B35">
            <w:pPr>
              <w:pStyle w:val="05Tabletext"/>
              <w:keepNext/>
              <w:keepLines/>
              <w:jc w:val="center"/>
            </w:pPr>
            <w:r>
              <w:t>2</w:t>
            </w:r>
            <w:r w:rsidRPr="00D01FCF">
              <w:t>00/25</w:t>
            </w:r>
          </w:p>
        </w:tc>
        <w:tc>
          <w:tcPr>
            <w:tcW w:w="461" w:type="pct"/>
            <w:tcBorders>
              <w:left w:val="nil"/>
              <w:right w:val="nil"/>
            </w:tcBorders>
            <w:shd w:val="clear" w:color="auto" w:fill="auto"/>
          </w:tcPr>
          <w:p w:rsidR="00675E77" w:rsidRDefault="00675E77" w:rsidP="003F0B35">
            <w:pPr>
              <w:pStyle w:val="05Tabletext"/>
              <w:keepNext/>
              <w:keepLines/>
              <w:jc w:val="center"/>
            </w:pPr>
            <w:r>
              <w:t>100/25</w:t>
            </w:r>
          </w:p>
        </w:tc>
        <w:tc>
          <w:tcPr>
            <w:tcW w:w="462" w:type="pct"/>
            <w:tcBorders>
              <w:left w:val="nil"/>
              <w:right w:val="nil"/>
            </w:tcBorders>
          </w:tcPr>
          <w:p w:rsidR="00675E77" w:rsidRDefault="00675E77" w:rsidP="003F0B35">
            <w:pPr>
              <w:pStyle w:val="05Tabletext"/>
              <w:keepNext/>
              <w:keepLines/>
              <w:jc w:val="center"/>
            </w:pPr>
            <w:r>
              <w:t>50/25</w:t>
            </w:r>
          </w:p>
        </w:tc>
        <w:tc>
          <w:tcPr>
            <w:tcW w:w="402" w:type="pct"/>
            <w:tcBorders>
              <w:left w:val="nil"/>
              <w:right w:val="nil"/>
            </w:tcBorders>
            <w:shd w:val="clear" w:color="auto" w:fill="auto"/>
          </w:tcPr>
          <w:p w:rsidR="00675E77" w:rsidRDefault="00675E77" w:rsidP="003F0B35">
            <w:pPr>
              <w:pStyle w:val="05Tabletext"/>
              <w:keepNext/>
              <w:keepLines/>
              <w:jc w:val="center"/>
            </w:pPr>
            <w:r>
              <w:t>–</w:t>
            </w:r>
          </w:p>
        </w:tc>
        <w:tc>
          <w:tcPr>
            <w:tcW w:w="402" w:type="pct"/>
            <w:tcBorders>
              <w:left w:val="nil"/>
              <w:right w:val="nil"/>
            </w:tcBorders>
          </w:tcPr>
          <w:p w:rsidR="00675E77" w:rsidRDefault="00675E77" w:rsidP="003F0B35">
            <w:pPr>
              <w:pStyle w:val="05Tabletext"/>
              <w:keepNext/>
              <w:keepLines/>
              <w:jc w:val="center"/>
            </w:pPr>
            <w:r>
              <w:t>–</w:t>
            </w:r>
          </w:p>
        </w:tc>
        <w:tc>
          <w:tcPr>
            <w:tcW w:w="402" w:type="pct"/>
            <w:tcBorders>
              <w:left w:val="nil"/>
              <w:right w:val="nil"/>
            </w:tcBorders>
            <w:shd w:val="clear" w:color="auto" w:fill="auto"/>
          </w:tcPr>
          <w:p w:rsidR="00675E77" w:rsidRDefault="00675E77" w:rsidP="003F0B35">
            <w:pPr>
              <w:pStyle w:val="05Tabletext"/>
              <w:keepNext/>
              <w:keepLines/>
              <w:jc w:val="center"/>
            </w:pPr>
            <w:r>
              <w:t>25</w:t>
            </w:r>
          </w:p>
        </w:tc>
        <w:tc>
          <w:tcPr>
            <w:tcW w:w="403" w:type="pct"/>
            <w:tcBorders>
              <w:left w:val="nil"/>
            </w:tcBorders>
            <w:shd w:val="clear" w:color="auto" w:fill="auto"/>
          </w:tcPr>
          <w:p w:rsidR="00675E77" w:rsidRDefault="00675E77" w:rsidP="003F0B35">
            <w:pPr>
              <w:pStyle w:val="05Tabletext"/>
              <w:keepNext/>
              <w:keepLines/>
              <w:jc w:val="center"/>
            </w:pPr>
            <w:r>
              <w:t>–</w:t>
            </w:r>
          </w:p>
        </w:tc>
      </w:tr>
      <w:tr w:rsidR="00675E77" w:rsidRPr="00BB607C" w:rsidTr="00675E77">
        <w:trPr>
          <w:cantSplit/>
        </w:trPr>
        <w:tc>
          <w:tcPr>
            <w:tcW w:w="1512" w:type="pct"/>
            <w:tcBorders>
              <w:right w:val="nil"/>
            </w:tcBorders>
            <w:shd w:val="clear" w:color="auto" w:fill="auto"/>
          </w:tcPr>
          <w:p w:rsidR="00675E77" w:rsidRDefault="00675E77" w:rsidP="003F0B35">
            <w:pPr>
              <w:pStyle w:val="05Tabletext"/>
              <w:keepNext/>
              <w:keepLines/>
            </w:pPr>
            <w:proofErr w:type="spellStart"/>
            <w:r>
              <w:t>Kerwin</w:t>
            </w:r>
            <w:proofErr w:type="spellEnd"/>
            <w:r>
              <w:t xml:space="preserve"> (2013)</w:t>
            </w:r>
          </w:p>
        </w:tc>
        <w:tc>
          <w:tcPr>
            <w:tcW w:w="495" w:type="pct"/>
            <w:tcBorders>
              <w:left w:val="nil"/>
            </w:tcBorders>
          </w:tcPr>
          <w:p w:rsidR="00675E77" w:rsidRPr="00CC50B8" w:rsidRDefault="00675E77" w:rsidP="003F0B35">
            <w:pPr>
              <w:pStyle w:val="05Tabletext"/>
              <w:keepNext/>
              <w:keepLines/>
              <w:jc w:val="center"/>
            </w:pPr>
            <w:r w:rsidRPr="00CC50B8">
              <w:t>24 weeks</w:t>
            </w:r>
          </w:p>
        </w:tc>
        <w:tc>
          <w:tcPr>
            <w:tcW w:w="462" w:type="pct"/>
            <w:tcBorders>
              <w:left w:val="nil"/>
              <w:right w:val="nil"/>
            </w:tcBorders>
            <w:shd w:val="clear" w:color="auto" w:fill="auto"/>
          </w:tcPr>
          <w:p w:rsidR="00675E77" w:rsidRDefault="00675E77" w:rsidP="003F0B35">
            <w:pPr>
              <w:pStyle w:val="05Tabletext"/>
              <w:keepNext/>
              <w:keepLines/>
              <w:jc w:val="center"/>
            </w:pPr>
            <w:r>
              <w:t>–</w:t>
            </w:r>
          </w:p>
        </w:tc>
        <w:tc>
          <w:tcPr>
            <w:tcW w:w="461" w:type="pct"/>
            <w:tcBorders>
              <w:left w:val="nil"/>
              <w:right w:val="nil"/>
            </w:tcBorders>
            <w:shd w:val="clear" w:color="auto" w:fill="auto"/>
          </w:tcPr>
          <w:p w:rsidR="00675E77" w:rsidRDefault="00675E77" w:rsidP="003F0B35">
            <w:pPr>
              <w:pStyle w:val="05Tabletext"/>
              <w:keepNext/>
              <w:keepLines/>
              <w:jc w:val="center"/>
            </w:pPr>
            <w:r>
              <w:t>100/25</w:t>
            </w:r>
          </w:p>
        </w:tc>
        <w:tc>
          <w:tcPr>
            <w:tcW w:w="462" w:type="pct"/>
            <w:tcBorders>
              <w:left w:val="nil"/>
              <w:right w:val="nil"/>
            </w:tcBorders>
          </w:tcPr>
          <w:p w:rsidR="00675E77" w:rsidRDefault="00675E77" w:rsidP="003F0B35">
            <w:pPr>
              <w:pStyle w:val="05Tabletext"/>
              <w:keepNext/>
              <w:keepLines/>
              <w:jc w:val="center"/>
            </w:pPr>
            <w:r>
              <w:t>50/25</w:t>
            </w:r>
          </w:p>
        </w:tc>
        <w:tc>
          <w:tcPr>
            <w:tcW w:w="402" w:type="pct"/>
            <w:tcBorders>
              <w:left w:val="nil"/>
              <w:right w:val="nil"/>
            </w:tcBorders>
            <w:shd w:val="clear" w:color="auto" w:fill="auto"/>
          </w:tcPr>
          <w:p w:rsidR="00675E77" w:rsidRDefault="00675E77" w:rsidP="003F0B35">
            <w:pPr>
              <w:pStyle w:val="05Tabletext"/>
              <w:keepNext/>
              <w:keepLines/>
              <w:jc w:val="center"/>
            </w:pPr>
            <w:r>
              <w:t>–</w:t>
            </w:r>
          </w:p>
        </w:tc>
        <w:tc>
          <w:tcPr>
            <w:tcW w:w="402" w:type="pct"/>
            <w:tcBorders>
              <w:left w:val="nil"/>
              <w:right w:val="nil"/>
            </w:tcBorders>
          </w:tcPr>
          <w:p w:rsidR="00675E77" w:rsidRDefault="00675E77" w:rsidP="003F0B35">
            <w:pPr>
              <w:pStyle w:val="05Tabletext"/>
              <w:keepNext/>
              <w:keepLines/>
              <w:jc w:val="center"/>
            </w:pPr>
            <w:r>
              <w:t>100</w:t>
            </w:r>
          </w:p>
        </w:tc>
        <w:tc>
          <w:tcPr>
            <w:tcW w:w="402" w:type="pct"/>
            <w:tcBorders>
              <w:left w:val="nil"/>
              <w:right w:val="nil"/>
            </w:tcBorders>
            <w:shd w:val="clear" w:color="auto" w:fill="auto"/>
          </w:tcPr>
          <w:p w:rsidR="00675E77" w:rsidRDefault="00675E77" w:rsidP="003F0B35">
            <w:pPr>
              <w:pStyle w:val="05Tabletext"/>
              <w:keepNext/>
              <w:keepLines/>
              <w:jc w:val="center"/>
            </w:pPr>
            <w:r>
              <w:t>25</w:t>
            </w:r>
          </w:p>
        </w:tc>
        <w:tc>
          <w:tcPr>
            <w:tcW w:w="403" w:type="pct"/>
            <w:tcBorders>
              <w:left w:val="nil"/>
            </w:tcBorders>
            <w:shd w:val="clear" w:color="auto" w:fill="auto"/>
          </w:tcPr>
          <w:p w:rsidR="00675E77" w:rsidRDefault="00675E77" w:rsidP="003F0B35">
            <w:pPr>
              <w:pStyle w:val="05Tabletext"/>
              <w:keepNext/>
              <w:keepLines/>
              <w:jc w:val="center"/>
            </w:pPr>
            <w:r>
              <w:sym w:font="Wingdings 2" w:char="F050"/>
            </w:r>
          </w:p>
        </w:tc>
      </w:tr>
      <w:tr w:rsidR="00675E77" w:rsidRPr="00BB607C" w:rsidTr="00675E77">
        <w:trPr>
          <w:cantSplit/>
        </w:trPr>
        <w:tc>
          <w:tcPr>
            <w:tcW w:w="1512" w:type="pct"/>
            <w:tcBorders>
              <w:right w:val="nil"/>
            </w:tcBorders>
            <w:shd w:val="clear" w:color="auto" w:fill="auto"/>
          </w:tcPr>
          <w:p w:rsidR="00675E77" w:rsidRDefault="00675E77" w:rsidP="003F0B35">
            <w:pPr>
              <w:pStyle w:val="05Tabletext"/>
              <w:keepNext/>
              <w:keepLines/>
            </w:pPr>
            <w:r>
              <w:t>Martinez (2013)</w:t>
            </w:r>
          </w:p>
        </w:tc>
        <w:tc>
          <w:tcPr>
            <w:tcW w:w="495" w:type="pct"/>
            <w:tcBorders>
              <w:left w:val="nil"/>
            </w:tcBorders>
          </w:tcPr>
          <w:p w:rsidR="00675E77" w:rsidRPr="00CC50B8" w:rsidRDefault="00675E77" w:rsidP="003F0B35">
            <w:pPr>
              <w:pStyle w:val="05Tabletext"/>
              <w:keepNext/>
              <w:keepLines/>
              <w:jc w:val="center"/>
            </w:pPr>
            <w:r w:rsidRPr="00CC50B8">
              <w:t>24 weeks</w:t>
            </w:r>
          </w:p>
        </w:tc>
        <w:tc>
          <w:tcPr>
            <w:tcW w:w="462" w:type="pct"/>
            <w:tcBorders>
              <w:left w:val="nil"/>
              <w:right w:val="nil"/>
            </w:tcBorders>
            <w:shd w:val="clear" w:color="auto" w:fill="auto"/>
          </w:tcPr>
          <w:p w:rsidR="00675E77" w:rsidRDefault="00675E77" w:rsidP="003F0B35">
            <w:pPr>
              <w:pStyle w:val="05Tabletext"/>
              <w:keepNext/>
              <w:keepLines/>
              <w:jc w:val="center"/>
            </w:pPr>
            <w:r w:rsidRPr="00DC66B5">
              <w:t>200/25</w:t>
            </w:r>
          </w:p>
        </w:tc>
        <w:tc>
          <w:tcPr>
            <w:tcW w:w="461" w:type="pct"/>
            <w:tcBorders>
              <w:left w:val="nil"/>
              <w:right w:val="nil"/>
            </w:tcBorders>
            <w:shd w:val="clear" w:color="auto" w:fill="auto"/>
          </w:tcPr>
          <w:p w:rsidR="00675E77" w:rsidRDefault="00675E77" w:rsidP="003F0B35">
            <w:pPr>
              <w:pStyle w:val="05Tabletext"/>
              <w:keepNext/>
              <w:keepLines/>
              <w:jc w:val="center"/>
            </w:pPr>
            <w:r w:rsidRPr="00D01FCF">
              <w:t>100/25</w:t>
            </w:r>
          </w:p>
        </w:tc>
        <w:tc>
          <w:tcPr>
            <w:tcW w:w="462" w:type="pct"/>
            <w:tcBorders>
              <w:left w:val="nil"/>
              <w:right w:val="nil"/>
            </w:tcBorders>
          </w:tcPr>
          <w:p w:rsidR="00675E77" w:rsidRDefault="00675E77" w:rsidP="003F0B35">
            <w:pPr>
              <w:pStyle w:val="05Tabletext"/>
              <w:keepNext/>
              <w:keepLines/>
              <w:jc w:val="center"/>
            </w:pPr>
            <w:r>
              <w:t>–</w:t>
            </w:r>
          </w:p>
        </w:tc>
        <w:tc>
          <w:tcPr>
            <w:tcW w:w="402" w:type="pct"/>
            <w:tcBorders>
              <w:left w:val="nil"/>
              <w:right w:val="nil"/>
            </w:tcBorders>
            <w:shd w:val="clear" w:color="auto" w:fill="auto"/>
          </w:tcPr>
          <w:p w:rsidR="00675E77" w:rsidRDefault="00675E77" w:rsidP="003F0B35">
            <w:pPr>
              <w:pStyle w:val="05Tabletext"/>
              <w:keepNext/>
              <w:keepLines/>
              <w:jc w:val="center"/>
            </w:pPr>
            <w:r>
              <w:t>200</w:t>
            </w:r>
          </w:p>
        </w:tc>
        <w:tc>
          <w:tcPr>
            <w:tcW w:w="402" w:type="pct"/>
            <w:tcBorders>
              <w:left w:val="nil"/>
              <w:right w:val="nil"/>
            </w:tcBorders>
          </w:tcPr>
          <w:p w:rsidR="00675E77" w:rsidRDefault="00675E77" w:rsidP="003F0B35">
            <w:pPr>
              <w:pStyle w:val="05Tabletext"/>
              <w:keepNext/>
              <w:keepLines/>
              <w:jc w:val="center"/>
            </w:pPr>
            <w:r>
              <w:t>100</w:t>
            </w:r>
          </w:p>
        </w:tc>
        <w:tc>
          <w:tcPr>
            <w:tcW w:w="402" w:type="pct"/>
            <w:tcBorders>
              <w:left w:val="nil"/>
              <w:right w:val="nil"/>
            </w:tcBorders>
            <w:shd w:val="clear" w:color="auto" w:fill="auto"/>
          </w:tcPr>
          <w:p w:rsidR="00675E77" w:rsidRDefault="00675E77" w:rsidP="003F0B35">
            <w:pPr>
              <w:pStyle w:val="05Tabletext"/>
              <w:keepNext/>
              <w:keepLines/>
              <w:jc w:val="center"/>
            </w:pPr>
            <w:r>
              <w:t>25</w:t>
            </w:r>
          </w:p>
        </w:tc>
        <w:tc>
          <w:tcPr>
            <w:tcW w:w="403" w:type="pct"/>
            <w:tcBorders>
              <w:left w:val="nil"/>
            </w:tcBorders>
            <w:shd w:val="clear" w:color="auto" w:fill="auto"/>
          </w:tcPr>
          <w:p w:rsidR="00675E77" w:rsidRDefault="00675E77" w:rsidP="003F0B35">
            <w:pPr>
              <w:pStyle w:val="05Tabletext"/>
              <w:keepNext/>
              <w:keepLines/>
              <w:jc w:val="center"/>
            </w:pPr>
            <w:r>
              <w:sym w:font="Wingdings 2" w:char="F050"/>
            </w:r>
          </w:p>
        </w:tc>
      </w:tr>
    </w:tbl>
    <w:p w:rsidR="003F0B35" w:rsidRDefault="00675E77" w:rsidP="003F0B35">
      <w:pPr>
        <w:pStyle w:val="11TableorFigurefootnotenostick"/>
        <w:keepNext/>
        <w:keepLines/>
      </w:pPr>
      <w:r>
        <w:t>Abbreviations: FLU, fluticasone (</w:t>
      </w:r>
      <w:proofErr w:type="spellStart"/>
      <w:r>
        <w:t>furoate</w:t>
      </w:r>
      <w:proofErr w:type="spellEnd"/>
      <w:r>
        <w:t xml:space="preserve">); RCT, randomised controlled trial; VIL, </w:t>
      </w:r>
      <w:proofErr w:type="spellStart"/>
      <w:r>
        <w:t>vilanterol</w:t>
      </w:r>
      <w:proofErr w:type="spellEnd"/>
      <w:r w:rsidR="005B5D33">
        <w:t xml:space="preserve">; FLU/VIL, fluticasone </w:t>
      </w:r>
      <w:proofErr w:type="spellStart"/>
      <w:r w:rsidR="005B5D33">
        <w:t>furoate</w:t>
      </w:r>
      <w:proofErr w:type="spellEnd"/>
      <w:r w:rsidR="005B5D33">
        <w:t>/</w:t>
      </w:r>
      <w:proofErr w:type="spellStart"/>
      <w:r w:rsidR="005B5D33">
        <w:t>vilanterol</w:t>
      </w:r>
      <w:proofErr w:type="spellEnd"/>
      <w:r w:rsidR="00120232">
        <w:t xml:space="preserve">. </w:t>
      </w:r>
    </w:p>
    <w:p w:rsidR="00675E77" w:rsidRDefault="00675E77" w:rsidP="003F0B35">
      <w:pPr>
        <w:pStyle w:val="BodyTextnospacebefore"/>
      </w:pPr>
      <w:r>
        <w:t>One further RCT was also identified (</w:t>
      </w:r>
      <w:proofErr w:type="spellStart"/>
      <w:r>
        <w:t>Agusti</w:t>
      </w:r>
      <w:proofErr w:type="spellEnd"/>
      <w:r>
        <w:t xml:space="preserve">, 2014) but was not discussed in the NICE (2013) Evidence Summary as no study data were available at the time. However, this was the pivotal </w:t>
      </w:r>
      <w:r>
        <w:lastRenderedPageBreak/>
        <w:t xml:space="preserve">trial for the </w:t>
      </w:r>
      <w:proofErr w:type="spellStart"/>
      <w:r w:rsidRPr="0080158B">
        <w:t>Breo</w:t>
      </w:r>
      <w:proofErr w:type="spellEnd"/>
      <w:r w:rsidRPr="0080158B">
        <w:t xml:space="preserve"> </w:t>
      </w:r>
      <w:proofErr w:type="spellStart"/>
      <w:r w:rsidRPr="0080158B">
        <w:t>Ellipta</w:t>
      </w:r>
      <w:proofErr w:type="spellEnd"/>
      <w:r w:rsidRPr="0080158B">
        <w:t xml:space="preserve"> </w:t>
      </w:r>
      <w:r>
        <w:t xml:space="preserve">major submission considered by the PBAC at the </w:t>
      </w:r>
      <w:r w:rsidRPr="0080158B">
        <w:t>Mar</w:t>
      </w:r>
      <w:r>
        <w:t>ch</w:t>
      </w:r>
      <w:r w:rsidRPr="0080158B">
        <w:t xml:space="preserve"> 2014</w:t>
      </w:r>
      <w:r>
        <w:t xml:space="preserve"> meeting (discussed earlier in Section </w:t>
      </w:r>
      <w:r w:rsidR="00356377">
        <w:t>4.3.2</w:t>
      </w:r>
      <w:r>
        <w:t>). This 12-week trial (n = 528) compared two groups: fluticasone</w:t>
      </w:r>
      <w:r w:rsidR="00ED1904">
        <w:t xml:space="preserve"> </w:t>
      </w:r>
      <w:proofErr w:type="spellStart"/>
      <w:r w:rsidR="00ED1904">
        <w:t>furoate</w:t>
      </w:r>
      <w:proofErr w:type="spellEnd"/>
      <w:r>
        <w:t>/</w:t>
      </w:r>
      <w:proofErr w:type="spellStart"/>
      <w:r>
        <w:t>vilanterol</w:t>
      </w:r>
      <w:proofErr w:type="spellEnd"/>
      <w:r>
        <w:t xml:space="preserve"> (100/25 </w:t>
      </w:r>
      <w:proofErr w:type="spellStart"/>
      <w:r>
        <w:t>μg</w:t>
      </w:r>
      <w:proofErr w:type="spellEnd"/>
      <w:r>
        <w:t>) and fluticasone</w:t>
      </w:r>
      <w:r w:rsidR="00ED1904">
        <w:t xml:space="preserve"> propionate</w:t>
      </w:r>
      <w:r>
        <w:t xml:space="preserve">/salmeterol (500/50 </w:t>
      </w:r>
      <w:proofErr w:type="spellStart"/>
      <w:r>
        <w:t>μg</w:t>
      </w:r>
      <w:proofErr w:type="spellEnd"/>
      <w:r>
        <w:t xml:space="preserve">). </w:t>
      </w:r>
    </w:p>
    <w:p w:rsidR="00675E77" w:rsidRDefault="00675E77" w:rsidP="00675E77">
      <w:pPr>
        <w:pStyle w:val="BodyText"/>
      </w:pPr>
      <w:r>
        <w:t xml:space="preserve">The trials in </w:t>
      </w:r>
      <w:r w:rsidR="00356377">
        <w:t xml:space="preserve">Table </w:t>
      </w:r>
      <w:r w:rsidR="00356377">
        <w:rPr>
          <w:noProof/>
        </w:rPr>
        <w:t>4</w:t>
      </w:r>
      <w:r w:rsidR="00356377">
        <w:t>.</w:t>
      </w:r>
      <w:r w:rsidR="00356377">
        <w:rPr>
          <w:noProof/>
        </w:rPr>
        <w:t>13</w:t>
      </w:r>
      <w:r>
        <w:t xml:space="preserve"> have not been presented to the PBAC – they were not included in the </w:t>
      </w:r>
      <w:proofErr w:type="spellStart"/>
      <w:r w:rsidRPr="00F56070">
        <w:t>Breo</w:t>
      </w:r>
      <w:proofErr w:type="spellEnd"/>
      <w:r w:rsidRPr="00F56070">
        <w:t xml:space="preserve"> </w:t>
      </w:r>
      <w:proofErr w:type="spellStart"/>
      <w:r w:rsidRPr="00F56070">
        <w:t>Ellipta</w:t>
      </w:r>
      <w:proofErr w:type="spellEnd"/>
      <w:r>
        <w:t xml:space="preserve"> PBAC </w:t>
      </w:r>
      <w:r w:rsidRPr="00F56070">
        <w:t>submission</w:t>
      </w:r>
      <w:r>
        <w:t xml:space="preserve"> </w:t>
      </w:r>
      <w:r w:rsidRPr="00F56070">
        <w:t>due to the absen</w:t>
      </w:r>
      <w:r>
        <w:t>ce of the nominated comparator; fluticasone</w:t>
      </w:r>
      <w:r w:rsidR="00ED1904">
        <w:t xml:space="preserve"> propionate</w:t>
      </w:r>
      <w:r>
        <w:t xml:space="preserve">/salmeterol. The </w:t>
      </w:r>
      <w:r w:rsidRPr="00F56070">
        <w:t xml:space="preserve">submission </w:t>
      </w:r>
      <w:r>
        <w:t>did</w:t>
      </w:r>
      <w:r w:rsidRPr="00F56070">
        <w:t xml:space="preserve"> </w:t>
      </w:r>
      <w:r>
        <w:t>include placebo-controlled trial evidence for safety, but in the form of</w:t>
      </w:r>
      <w:r w:rsidRPr="00F56070">
        <w:t xml:space="preserve"> an integrated analysis of 10 </w:t>
      </w:r>
      <w:r>
        <w:t xml:space="preserve">unidentified </w:t>
      </w:r>
      <w:r w:rsidRPr="00F56070">
        <w:t>trials (data from PSUR)</w:t>
      </w:r>
      <w:r>
        <w:t>, so it is probable the data from these trials were incorporated into this synthesis.</w:t>
      </w:r>
    </w:p>
    <w:p w:rsidR="00675E77" w:rsidRDefault="00675E77" w:rsidP="00675E77">
      <w:pPr>
        <w:pStyle w:val="BodyText"/>
      </w:pPr>
      <w:r>
        <w:t xml:space="preserve">Safety outcomes in the two replicate </w:t>
      </w:r>
      <w:proofErr w:type="spellStart"/>
      <w:r>
        <w:t>Dransfield</w:t>
      </w:r>
      <w:proofErr w:type="spellEnd"/>
      <w:r>
        <w:t xml:space="preserve"> (2013) RCTs are reported as combined descriptive statistics across the two studies. </w:t>
      </w:r>
      <w:r w:rsidR="00356377">
        <w:t xml:space="preserve">Table </w:t>
      </w:r>
      <w:r w:rsidR="00356377">
        <w:rPr>
          <w:noProof/>
        </w:rPr>
        <w:t>4</w:t>
      </w:r>
      <w:r w:rsidR="00356377">
        <w:t>.</w:t>
      </w:r>
      <w:r w:rsidR="00356377">
        <w:rPr>
          <w:noProof/>
        </w:rPr>
        <w:t>14</w:t>
      </w:r>
      <w:r>
        <w:t xml:space="preserve"> shows the safety outcomes discussed in the Evidence Review (supplemented for some outcomes with data from the original study publication). The pneumonia outcome was any clinically defined pneumonia, either radiographically confirmed (approximately 80-90% of events) or at the investigator’s discretion, while pneumonia requiring</w:t>
      </w:r>
      <w:r w:rsidRPr="005A4DFB">
        <w:t xml:space="preserve"> hospitalisation</w:t>
      </w:r>
      <w:r>
        <w:t xml:space="preserve"> was reported as serious pneumonia. </w:t>
      </w:r>
    </w:p>
    <w:p w:rsidR="00675E77" w:rsidRDefault="00675E77" w:rsidP="00D52262">
      <w:pPr>
        <w:pStyle w:val="HeaderTable"/>
      </w:pPr>
      <w:bookmarkStart w:id="175" w:name="_Ref467837247"/>
      <w:bookmarkStart w:id="176" w:name="_Toc468022906"/>
      <w:bookmarkStart w:id="177" w:name="_Toc468034559"/>
      <w:bookmarkStart w:id="178" w:name="_Toc480373309"/>
      <w:bookmarkStart w:id="179" w:name="_Toc486515204"/>
      <w:r>
        <w:t xml:space="preserve">Table </w:t>
      </w:r>
      <w:r w:rsidR="00356377">
        <w:rPr>
          <w:noProof/>
        </w:rPr>
        <w:t>4</w:t>
      </w:r>
      <w:r>
        <w:t>.</w:t>
      </w:r>
      <w:r w:rsidR="00356377">
        <w:rPr>
          <w:noProof/>
        </w:rPr>
        <w:t>14</w:t>
      </w:r>
      <w:bookmarkEnd w:id="175"/>
      <w:r>
        <w:tab/>
        <w:t xml:space="preserve">Safety results for 52-week </w:t>
      </w:r>
      <w:proofErr w:type="spellStart"/>
      <w:r>
        <w:t>Dransfield</w:t>
      </w:r>
      <w:proofErr w:type="spellEnd"/>
      <w:r>
        <w:t xml:space="preserve"> (2013) RCTs – NICE (2013) Evidence Summary</w:t>
      </w:r>
      <w:bookmarkEnd w:id="176"/>
      <w:bookmarkEnd w:id="177"/>
      <w:bookmarkEnd w:id="178"/>
      <w:bookmarkEnd w:id="1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Safety results for 52-week Dransfield (2013) RCTs – NICE (2013) Evidence Summary"/>
      </w:tblPr>
      <w:tblGrid>
        <w:gridCol w:w="3407"/>
        <w:gridCol w:w="1560"/>
        <w:gridCol w:w="1560"/>
        <w:gridCol w:w="1560"/>
        <w:gridCol w:w="1560"/>
      </w:tblGrid>
      <w:tr w:rsidR="00675E77" w:rsidRPr="00665477" w:rsidTr="00675E77">
        <w:trPr>
          <w:cantSplit/>
          <w:tblHeader/>
        </w:trPr>
        <w:tc>
          <w:tcPr>
            <w:tcW w:w="3407" w:type="dxa"/>
            <w:shd w:val="clear" w:color="auto" w:fill="BFBFBF"/>
          </w:tcPr>
          <w:p w:rsidR="00675E77" w:rsidRPr="00665477" w:rsidRDefault="00675E77" w:rsidP="00675E77">
            <w:pPr>
              <w:pStyle w:val="01TableHEADINGleftaligned"/>
            </w:pPr>
            <w:r w:rsidRPr="00665477">
              <w:t>Safety (ITT population)</w:t>
            </w:r>
          </w:p>
        </w:tc>
        <w:tc>
          <w:tcPr>
            <w:tcW w:w="1560" w:type="dxa"/>
            <w:shd w:val="clear" w:color="auto" w:fill="BFBFBF"/>
          </w:tcPr>
          <w:p w:rsidR="00675E77" w:rsidRDefault="00675E77" w:rsidP="00675E77">
            <w:pPr>
              <w:pStyle w:val="02TableHEADINGcentred"/>
            </w:pPr>
            <w:r>
              <w:t>FLU/VIL, 200/25μg</w:t>
            </w:r>
            <w:r>
              <w:br/>
              <w:t>(</w:t>
            </w:r>
            <w:r w:rsidRPr="00665477">
              <w:t>n</w:t>
            </w:r>
            <w:r>
              <w:t xml:space="preserve"> = </w:t>
            </w:r>
            <w:r w:rsidRPr="00665477">
              <w:t>811</w:t>
            </w:r>
            <w:r>
              <w:t xml:space="preserve">) </w:t>
            </w:r>
          </w:p>
          <w:p w:rsidR="00675E77" w:rsidRDefault="00675E77" w:rsidP="00675E77">
            <w:pPr>
              <w:pStyle w:val="02TableHEADINGcentred"/>
              <w:tabs>
                <w:tab w:val="right" w:pos="680"/>
                <w:tab w:val="right" w:pos="1247"/>
              </w:tabs>
              <w:jc w:val="left"/>
            </w:pPr>
            <w:r>
              <w:tab/>
            </w:r>
            <w:proofErr w:type="gramStart"/>
            <w:r>
              <w:t>n</w:t>
            </w:r>
            <w:proofErr w:type="gramEnd"/>
            <w:r>
              <w:tab/>
              <w:t>(%)</w:t>
            </w:r>
          </w:p>
        </w:tc>
        <w:tc>
          <w:tcPr>
            <w:tcW w:w="1560" w:type="dxa"/>
            <w:shd w:val="clear" w:color="auto" w:fill="BFBFBF"/>
          </w:tcPr>
          <w:p w:rsidR="00675E77" w:rsidRDefault="00675E77" w:rsidP="00675E77">
            <w:pPr>
              <w:pStyle w:val="02TableHEADINGcentred"/>
            </w:pPr>
            <w:r>
              <w:t>FLU/VIL, 100/25μg</w:t>
            </w:r>
            <w:r>
              <w:br/>
              <w:t>(</w:t>
            </w:r>
            <w:r w:rsidRPr="00665477">
              <w:t>n</w:t>
            </w:r>
            <w:r>
              <w:t xml:space="preserve"> = </w:t>
            </w:r>
            <w:r w:rsidRPr="00665477">
              <w:t>806</w:t>
            </w:r>
            <w:r>
              <w:t xml:space="preserve">) </w:t>
            </w:r>
          </w:p>
          <w:p w:rsidR="00675E77" w:rsidRDefault="00675E77" w:rsidP="00675E77">
            <w:pPr>
              <w:pStyle w:val="02TableHEADINGcentred"/>
              <w:tabs>
                <w:tab w:val="right" w:pos="680"/>
                <w:tab w:val="right" w:pos="1247"/>
              </w:tabs>
              <w:jc w:val="left"/>
            </w:pPr>
            <w:r>
              <w:tab/>
            </w:r>
            <w:proofErr w:type="gramStart"/>
            <w:r>
              <w:t>n</w:t>
            </w:r>
            <w:proofErr w:type="gramEnd"/>
            <w:r>
              <w:tab/>
              <w:t>(%)</w:t>
            </w:r>
          </w:p>
        </w:tc>
        <w:tc>
          <w:tcPr>
            <w:tcW w:w="1560" w:type="dxa"/>
            <w:shd w:val="clear" w:color="auto" w:fill="BFBFBF"/>
          </w:tcPr>
          <w:p w:rsidR="00675E77" w:rsidRDefault="00675E77" w:rsidP="00675E77">
            <w:pPr>
              <w:pStyle w:val="02TableHEADINGcentred"/>
            </w:pPr>
            <w:r>
              <w:t>FLU/VIL, 50/25μg</w:t>
            </w:r>
            <w:r>
              <w:br/>
              <w:t>(</w:t>
            </w:r>
            <w:r w:rsidRPr="00665477">
              <w:t>n</w:t>
            </w:r>
            <w:r>
              <w:t xml:space="preserve"> = </w:t>
            </w:r>
            <w:r w:rsidRPr="00665477">
              <w:t>820</w:t>
            </w:r>
            <w:r>
              <w:t>)</w:t>
            </w:r>
          </w:p>
          <w:p w:rsidR="00675E77" w:rsidRPr="00665477" w:rsidRDefault="00675E77" w:rsidP="00675E77">
            <w:pPr>
              <w:pStyle w:val="02TableHEADINGcentred"/>
              <w:tabs>
                <w:tab w:val="right" w:pos="680"/>
                <w:tab w:val="right" w:pos="1247"/>
              </w:tabs>
              <w:jc w:val="left"/>
            </w:pPr>
            <w:r>
              <w:tab/>
            </w:r>
            <w:proofErr w:type="gramStart"/>
            <w:r>
              <w:t>n</w:t>
            </w:r>
            <w:proofErr w:type="gramEnd"/>
            <w:r>
              <w:tab/>
              <w:t>(%)</w:t>
            </w:r>
          </w:p>
        </w:tc>
        <w:tc>
          <w:tcPr>
            <w:tcW w:w="1560" w:type="dxa"/>
            <w:shd w:val="clear" w:color="auto" w:fill="BFBFBF"/>
          </w:tcPr>
          <w:p w:rsidR="00675E77" w:rsidRDefault="00675E77" w:rsidP="00675E77">
            <w:pPr>
              <w:pStyle w:val="02TableHEADINGcentred"/>
            </w:pPr>
            <w:r>
              <w:t xml:space="preserve">VIL, 25 </w:t>
            </w:r>
            <w:proofErr w:type="spellStart"/>
            <w:r>
              <w:t>μg</w:t>
            </w:r>
            <w:proofErr w:type="spellEnd"/>
            <w:r>
              <w:br/>
              <w:t>(</w:t>
            </w:r>
            <w:r w:rsidRPr="00665477">
              <w:t>n</w:t>
            </w:r>
            <w:r>
              <w:t xml:space="preserve"> = </w:t>
            </w:r>
            <w:r w:rsidRPr="00665477">
              <w:t>818</w:t>
            </w:r>
            <w:r>
              <w:t xml:space="preserve">) </w:t>
            </w:r>
          </w:p>
          <w:p w:rsidR="00675E77" w:rsidRPr="00665477" w:rsidRDefault="00675E77" w:rsidP="00675E77">
            <w:pPr>
              <w:pStyle w:val="02TableHEADINGcentred"/>
              <w:tabs>
                <w:tab w:val="right" w:pos="680"/>
                <w:tab w:val="right" w:pos="1247"/>
              </w:tabs>
              <w:jc w:val="left"/>
            </w:pPr>
            <w:r>
              <w:tab/>
            </w:r>
            <w:proofErr w:type="gramStart"/>
            <w:r>
              <w:t>n</w:t>
            </w:r>
            <w:proofErr w:type="gramEnd"/>
            <w:r>
              <w:tab/>
              <w:t>(%)</w:t>
            </w:r>
          </w:p>
        </w:tc>
      </w:tr>
      <w:tr w:rsidR="00675E77" w:rsidRPr="00665477" w:rsidTr="00675E77">
        <w:trPr>
          <w:cantSplit/>
        </w:trPr>
        <w:tc>
          <w:tcPr>
            <w:tcW w:w="3407" w:type="dxa"/>
            <w:shd w:val="clear" w:color="auto" w:fill="auto"/>
          </w:tcPr>
          <w:p w:rsidR="00675E77" w:rsidRPr="00891DEB" w:rsidRDefault="00675E77" w:rsidP="00675E77">
            <w:pPr>
              <w:pStyle w:val="05Tabletext"/>
              <w:keepNext/>
              <w:rPr>
                <w:b/>
              </w:rPr>
            </w:pPr>
            <w:r w:rsidRPr="00891DEB">
              <w:rPr>
                <w:b/>
              </w:rPr>
              <w:t>AEs leading to discontinuation or withdrawal</w:t>
            </w:r>
          </w:p>
        </w:tc>
        <w:tc>
          <w:tcPr>
            <w:tcW w:w="1560" w:type="dxa"/>
          </w:tcPr>
          <w:p w:rsidR="00675E77" w:rsidRDefault="00675E77" w:rsidP="00675E77">
            <w:pPr>
              <w:pStyle w:val="05Tabletext"/>
              <w:keepNext/>
              <w:tabs>
                <w:tab w:val="right" w:pos="680"/>
                <w:tab w:val="right" w:pos="1247"/>
              </w:tabs>
            </w:pPr>
            <w:r>
              <w:tab/>
            </w:r>
            <w:r w:rsidRPr="00D47DC1">
              <w:t>61</w:t>
            </w:r>
            <w:r>
              <w:tab/>
              <w:t>(</w:t>
            </w:r>
            <w:r w:rsidRPr="00D47DC1">
              <w:t>7.5)</w:t>
            </w:r>
          </w:p>
        </w:tc>
        <w:tc>
          <w:tcPr>
            <w:tcW w:w="1560" w:type="dxa"/>
          </w:tcPr>
          <w:p w:rsidR="00675E77" w:rsidRDefault="00675E77" w:rsidP="00675E77">
            <w:pPr>
              <w:pStyle w:val="05Tabletext"/>
              <w:keepNext/>
              <w:tabs>
                <w:tab w:val="right" w:pos="680"/>
                <w:tab w:val="right" w:pos="1247"/>
              </w:tabs>
            </w:pPr>
            <w:r>
              <w:tab/>
            </w:r>
            <w:r w:rsidRPr="00CC3DEE">
              <w:t>62</w:t>
            </w:r>
            <w:r>
              <w:tab/>
              <w:t>(</w:t>
            </w:r>
            <w:r w:rsidRPr="00CC3DEE">
              <w:t>7.7)</w:t>
            </w:r>
          </w:p>
        </w:tc>
        <w:tc>
          <w:tcPr>
            <w:tcW w:w="1560" w:type="dxa"/>
            <w:shd w:val="clear" w:color="auto" w:fill="auto"/>
          </w:tcPr>
          <w:p w:rsidR="00675E77" w:rsidRPr="00665477" w:rsidRDefault="00675E77" w:rsidP="00675E77">
            <w:pPr>
              <w:pStyle w:val="05Tabletext"/>
              <w:keepNext/>
              <w:tabs>
                <w:tab w:val="right" w:pos="680"/>
                <w:tab w:val="right" w:pos="1247"/>
              </w:tabs>
            </w:pPr>
            <w:r>
              <w:tab/>
            </w:r>
            <w:r w:rsidRPr="00956D1F">
              <w:t>53</w:t>
            </w:r>
            <w:r>
              <w:tab/>
              <w:t>(</w:t>
            </w:r>
            <w:r w:rsidRPr="00956D1F">
              <w:t>6.5)</w:t>
            </w:r>
          </w:p>
        </w:tc>
        <w:tc>
          <w:tcPr>
            <w:tcW w:w="1560" w:type="dxa"/>
            <w:shd w:val="clear" w:color="auto" w:fill="auto"/>
          </w:tcPr>
          <w:p w:rsidR="00675E77" w:rsidRPr="00665477" w:rsidRDefault="00675E77" w:rsidP="00675E77">
            <w:pPr>
              <w:pStyle w:val="05Tabletext"/>
              <w:keepNext/>
              <w:tabs>
                <w:tab w:val="right" w:pos="680"/>
                <w:tab w:val="right" w:pos="1247"/>
              </w:tabs>
            </w:pPr>
            <w:r>
              <w:tab/>
            </w:r>
            <w:r w:rsidRPr="006E2315">
              <w:t>45</w:t>
            </w:r>
            <w:r>
              <w:tab/>
              <w:t>(</w:t>
            </w:r>
            <w:r w:rsidRPr="006E2315">
              <w:t>5.5)</w:t>
            </w:r>
          </w:p>
        </w:tc>
      </w:tr>
      <w:tr w:rsidR="00675E77" w:rsidRPr="00665477" w:rsidTr="00675E77">
        <w:trPr>
          <w:cantSplit/>
        </w:trPr>
        <w:tc>
          <w:tcPr>
            <w:tcW w:w="3407" w:type="dxa"/>
            <w:tcBorders>
              <w:bottom w:val="single" w:sz="4" w:space="0" w:color="auto"/>
            </w:tcBorders>
            <w:shd w:val="clear" w:color="auto" w:fill="auto"/>
          </w:tcPr>
          <w:p w:rsidR="00675E77" w:rsidRPr="00891DEB" w:rsidRDefault="00675E77" w:rsidP="00675E77">
            <w:pPr>
              <w:pStyle w:val="05Tabletext"/>
              <w:keepNext/>
              <w:rPr>
                <w:b/>
              </w:rPr>
            </w:pPr>
            <w:r w:rsidRPr="00891DEB">
              <w:rPr>
                <w:b/>
              </w:rPr>
              <w:t>Local corticosteroid effects</w:t>
            </w:r>
          </w:p>
        </w:tc>
        <w:tc>
          <w:tcPr>
            <w:tcW w:w="1560" w:type="dxa"/>
            <w:tcBorders>
              <w:bottom w:val="single" w:sz="4" w:space="0" w:color="auto"/>
            </w:tcBorders>
          </w:tcPr>
          <w:p w:rsidR="00675E77" w:rsidRDefault="00675E77" w:rsidP="00675E77">
            <w:pPr>
              <w:pStyle w:val="05Tabletext"/>
              <w:keepNext/>
              <w:tabs>
                <w:tab w:val="right" w:pos="680"/>
                <w:tab w:val="right" w:pos="1247"/>
              </w:tabs>
            </w:pPr>
            <w:r>
              <w:tab/>
            </w:r>
            <w:r w:rsidRPr="00D47DC1">
              <w:t>140</w:t>
            </w:r>
            <w:r>
              <w:tab/>
              <w:t>(</w:t>
            </w:r>
            <w:r w:rsidRPr="00D47DC1">
              <w:t>17.3)</w:t>
            </w:r>
          </w:p>
        </w:tc>
        <w:tc>
          <w:tcPr>
            <w:tcW w:w="1560" w:type="dxa"/>
            <w:tcBorders>
              <w:bottom w:val="single" w:sz="4" w:space="0" w:color="auto"/>
            </w:tcBorders>
          </w:tcPr>
          <w:p w:rsidR="00675E77" w:rsidRDefault="00675E77" w:rsidP="00675E77">
            <w:pPr>
              <w:pStyle w:val="05Tabletext"/>
              <w:keepNext/>
              <w:tabs>
                <w:tab w:val="right" w:pos="680"/>
                <w:tab w:val="right" w:pos="1247"/>
              </w:tabs>
            </w:pPr>
            <w:r>
              <w:tab/>
            </w:r>
            <w:r w:rsidRPr="00CC3DEE">
              <w:t>121</w:t>
            </w:r>
            <w:r>
              <w:tab/>
              <w:t>(</w:t>
            </w:r>
            <w:r w:rsidRPr="00CC3DEE">
              <w:t>15</w:t>
            </w:r>
            <w:r>
              <w:t>.0</w:t>
            </w:r>
            <w:r w:rsidRPr="00CC3DEE">
              <w:t>)</w:t>
            </w:r>
          </w:p>
        </w:tc>
        <w:tc>
          <w:tcPr>
            <w:tcW w:w="1560" w:type="dxa"/>
            <w:tcBorders>
              <w:bottom w:val="single" w:sz="4" w:space="0" w:color="auto"/>
            </w:tcBorders>
            <w:shd w:val="clear" w:color="auto" w:fill="auto"/>
          </w:tcPr>
          <w:p w:rsidR="00675E77" w:rsidRPr="00665477" w:rsidRDefault="00675E77" w:rsidP="00675E77">
            <w:pPr>
              <w:pStyle w:val="05Tabletext"/>
              <w:keepNext/>
              <w:tabs>
                <w:tab w:val="right" w:pos="680"/>
                <w:tab w:val="right" w:pos="1247"/>
              </w:tabs>
            </w:pPr>
            <w:r>
              <w:tab/>
            </w:r>
            <w:r w:rsidRPr="00956D1F">
              <w:t>142</w:t>
            </w:r>
            <w:r>
              <w:tab/>
              <w:t>(</w:t>
            </w:r>
            <w:r w:rsidRPr="00956D1F">
              <w:t>17.3)</w:t>
            </w:r>
          </w:p>
        </w:tc>
        <w:tc>
          <w:tcPr>
            <w:tcW w:w="1560" w:type="dxa"/>
            <w:tcBorders>
              <w:bottom w:val="single" w:sz="4" w:space="0" w:color="auto"/>
            </w:tcBorders>
            <w:shd w:val="clear" w:color="auto" w:fill="auto"/>
          </w:tcPr>
          <w:p w:rsidR="00675E77" w:rsidRPr="00665477" w:rsidRDefault="00675E77" w:rsidP="00675E77">
            <w:pPr>
              <w:pStyle w:val="05Tabletext"/>
              <w:keepNext/>
              <w:tabs>
                <w:tab w:val="right" w:pos="680"/>
                <w:tab w:val="right" w:pos="1247"/>
              </w:tabs>
            </w:pPr>
            <w:r>
              <w:tab/>
            </w:r>
            <w:r w:rsidRPr="006E2315">
              <w:t>96</w:t>
            </w:r>
            <w:r>
              <w:tab/>
              <w:t>(</w:t>
            </w:r>
            <w:r w:rsidRPr="006E2315">
              <w:t>11.7)</w:t>
            </w:r>
          </w:p>
        </w:tc>
      </w:tr>
      <w:tr w:rsidR="00675E77" w:rsidRPr="00665477" w:rsidTr="00675E77">
        <w:trPr>
          <w:cantSplit/>
        </w:trPr>
        <w:tc>
          <w:tcPr>
            <w:tcW w:w="3407" w:type="dxa"/>
            <w:tcBorders>
              <w:bottom w:val="nil"/>
            </w:tcBorders>
            <w:shd w:val="clear" w:color="auto" w:fill="auto"/>
          </w:tcPr>
          <w:p w:rsidR="00675E77" w:rsidRPr="00891DEB" w:rsidRDefault="00675E77" w:rsidP="00675E77">
            <w:pPr>
              <w:pStyle w:val="05Tabletext"/>
              <w:keepNext/>
              <w:rPr>
                <w:b/>
              </w:rPr>
            </w:pPr>
            <w:r w:rsidRPr="00891DEB">
              <w:rPr>
                <w:b/>
              </w:rPr>
              <w:t>Pneumonia</w:t>
            </w:r>
          </w:p>
        </w:tc>
        <w:tc>
          <w:tcPr>
            <w:tcW w:w="1560" w:type="dxa"/>
            <w:tcBorders>
              <w:bottom w:val="nil"/>
            </w:tcBorders>
          </w:tcPr>
          <w:p w:rsidR="00675E77" w:rsidRDefault="00675E77" w:rsidP="00675E77">
            <w:pPr>
              <w:pStyle w:val="05Tabletext"/>
              <w:keepNext/>
              <w:tabs>
                <w:tab w:val="right" w:pos="680"/>
                <w:tab w:val="right" w:pos="1247"/>
              </w:tabs>
              <w:ind w:left="0"/>
            </w:pPr>
          </w:p>
        </w:tc>
        <w:tc>
          <w:tcPr>
            <w:tcW w:w="1560" w:type="dxa"/>
            <w:tcBorders>
              <w:bottom w:val="nil"/>
            </w:tcBorders>
          </w:tcPr>
          <w:p w:rsidR="00675E77" w:rsidRDefault="00675E77" w:rsidP="00675E77">
            <w:pPr>
              <w:pStyle w:val="05Tabletext"/>
              <w:keepNext/>
              <w:tabs>
                <w:tab w:val="right" w:pos="680"/>
                <w:tab w:val="right" w:pos="1247"/>
              </w:tabs>
            </w:pPr>
          </w:p>
        </w:tc>
        <w:tc>
          <w:tcPr>
            <w:tcW w:w="1560" w:type="dxa"/>
            <w:tcBorders>
              <w:bottom w:val="nil"/>
            </w:tcBorders>
            <w:shd w:val="clear" w:color="auto" w:fill="auto"/>
          </w:tcPr>
          <w:p w:rsidR="00675E77" w:rsidRPr="00665477" w:rsidRDefault="00675E77" w:rsidP="00675E77">
            <w:pPr>
              <w:pStyle w:val="05Tabletext"/>
              <w:keepNext/>
              <w:tabs>
                <w:tab w:val="right" w:pos="680"/>
                <w:tab w:val="right" w:pos="1247"/>
              </w:tabs>
            </w:pPr>
          </w:p>
        </w:tc>
        <w:tc>
          <w:tcPr>
            <w:tcW w:w="1560" w:type="dxa"/>
            <w:tcBorders>
              <w:bottom w:val="nil"/>
            </w:tcBorders>
            <w:shd w:val="clear" w:color="auto" w:fill="auto"/>
          </w:tcPr>
          <w:p w:rsidR="00675E77" w:rsidRPr="00665477" w:rsidRDefault="00675E77" w:rsidP="00675E77">
            <w:pPr>
              <w:pStyle w:val="05Tabletext"/>
              <w:keepNext/>
              <w:tabs>
                <w:tab w:val="right" w:pos="680"/>
                <w:tab w:val="right" w:pos="1247"/>
              </w:tabs>
            </w:pPr>
          </w:p>
        </w:tc>
      </w:tr>
      <w:tr w:rsidR="00675E77" w:rsidRPr="00665477" w:rsidTr="00675E77">
        <w:trPr>
          <w:cantSplit/>
        </w:trPr>
        <w:tc>
          <w:tcPr>
            <w:tcW w:w="3407" w:type="dxa"/>
            <w:tcBorders>
              <w:top w:val="nil"/>
              <w:bottom w:val="nil"/>
            </w:tcBorders>
            <w:shd w:val="clear" w:color="auto" w:fill="auto"/>
          </w:tcPr>
          <w:p w:rsidR="00675E77" w:rsidRPr="00665477" w:rsidRDefault="00675E77" w:rsidP="00675E77">
            <w:pPr>
              <w:pStyle w:val="05Tabletext"/>
              <w:keepNext/>
              <w:ind w:left="227"/>
            </w:pPr>
            <w:r>
              <w:t>Any pneumonia</w:t>
            </w:r>
          </w:p>
        </w:tc>
        <w:tc>
          <w:tcPr>
            <w:tcW w:w="1560" w:type="dxa"/>
            <w:tcBorders>
              <w:top w:val="nil"/>
              <w:bottom w:val="nil"/>
            </w:tcBorders>
          </w:tcPr>
          <w:p w:rsidR="00675E77" w:rsidRDefault="00675E77" w:rsidP="00675E77">
            <w:pPr>
              <w:pStyle w:val="05Tabletext"/>
              <w:keepNext/>
              <w:tabs>
                <w:tab w:val="right" w:pos="680"/>
                <w:tab w:val="right" w:pos="1247"/>
              </w:tabs>
            </w:pPr>
            <w:r>
              <w:tab/>
            </w:r>
            <w:r w:rsidRPr="00D47DC1">
              <w:t>55</w:t>
            </w:r>
            <w:r>
              <w:tab/>
              <w:t>(</w:t>
            </w:r>
            <w:r w:rsidRPr="00D47DC1">
              <w:t>6.8)</w:t>
            </w:r>
          </w:p>
        </w:tc>
        <w:tc>
          <w:tcPr>
            <w:tcW w:w="1560" w:type="dxa"/>
            <w:tcBorders>
              <w:top w:val="nil"/>
              <w:bottom w:val="nil"/>
            </w:tcBorders>
          </w:tcPr>
          <w:p w:rsidR="00675E77" w:rsidRDefault="00675E77" w:rsidP="00675E77">
            <w:pPr>
              <w:pStyle w:val="05Tabletext"/>
              <w:keepNext/>
              <w:tabs>
                <w:tab w:val="right" w:pos="680"/>
                <w:tab w:val="right" w:pos="1247"/>
              </w:tabs>
            </w:pPr>
            <w:r>
              <w:tab/>
            </w:r>
            <w:r w:rsidRPr="00CC3DEE">
              <w:t>51</w:t>
            </w:r>
            <w:r>
              <w:tab/>
              <w:t>(</w:t>
            </w:r>
            <w:r w:rsidRPr="00CC3DEE">
              <w:t>6.3)</w:t>
            </w:r>
          </w:p>
        </w:tc>
        <w:tc>
          <w:tcPr>
            <w:tcW w:w="1560" w:type="dxa"/>
            <w:tcBorders>
              <w:top w:val="nil"/>
              <w:bottom w:val="nil"/>
            </w:tcBorders>
            <w:shd w:val="clear" w:color="auto" w:fill="auto"/>
          </w:tcPr>
          <w:p w:rsidR="00675E77" w:rsidRDefault="00675E77" w:rsidP="00675E77">
            <w:pPr>
              <w:pStyle w:val="05Tabletext"/>
              <w:keepNext/>
              <w:tabs>
                <w:tab w:val="right" w:pos="680"/>
                <w:tab w:val="right" w:pos="1247"/>
              </w:tabs>
            </w:pPr>
            <w:r>
              <w:tab/>
            </w:r>
            <w:r w:rsidRPr="00956D1F">
              <w:t>48</w:t>
            </w:r>
            <w:r>
              <w:tab/>
              <w:t>(</w:t>
            </w:r>
            <w:r w:rsidRPr="00956D1F">
              <w:t>5.9)</w:t>
            </w:r>
          </w:p>
        </w:tc>
        <w:tc>
          <w:tcPr>
            <w:tcW w:w="1560" w:type="dxa"/>
            <w:tcBorders>
              <w:top w:val="nil"/>
              <w:bottom w:val="nil"/>
            </w:tcBorders>
            <w:shd w:val="clear" w:color="auto" w:fill="auto"/>
          </w:tcPr>
          <w:p w:rsidR="00675E77" w:rsidRDefault="00675E77" w:rsidP="00675E77">
            <w:pPr>
              <w:pStyle w:val="05Tabletext"/>
              <w:keepNext/>
              <w:tabs>
                <w:tab w:val="right" w:pos="680"/>
                <w:tab w:val="right" w:pos="1247"/>
              </w:tabs>
            </w:pPr>
            <w:r>
              <w:tab/>
            </w:r>
            <w:r w:rsidRPr="006E2315">
              <w:t>27</w:t>
            </w:r>
            <w:r>
              <w:tab/>
              <w:t>(</w:t>
            </w:r>
            <w:r w:rsidRPr="006E2315">
              <w:t>3.3)</w:t>
            </w:r>
          </w:p>
        </w:tc>
      </w:tr>
      <w:tr w:rsidR="00675E77" w:rsidRPr="00665477" w:rsidTr="00675E77">
        <w:trPr>
          <w:cantSplit/>
        </w:trPr>
        <w:tc>
          <w:tcPr>
            <w:tcW w:w="3407" w:type="dxa"/>
            <w:tcBorders>
              <w:top w:val="nil"/>
              <w:bottom w:val="nil"/>
            </w:tcBorders>
            <w:shd w:val="clear" w:color="auto" w:fill="auto"/>
          </w:tcPr>
          <w:p w:rsidR="00675E77" w:rsidRPr="00665477" w:rsidRDefault="00675E77" w:rsidP="00675E77">
            <w:pPr>
              <w:pStyle w:val="05Tabletext"/>
              <w:keepNext/>
              <w:ind w:left="227"/>
            </w:pPr>
            <w:r>
              <w:t>Serious pneumonia</w:t>
            </w:r>
          </w:p>
        </w:tc>
        <w:tc>
          <w:tcPr>
            <w:tcW w:w="1560" w:type="dxa"/>
            <w:tcBorders>
              <w:top w:val="nil"/>
              <w:bottom w:val="nil"/>
            </w:tcBorders>
          </w:tcPr>
          <w:p w:rsidR="00675E77" w:rsidRDefault="00675E77" w:rsidP="00675E77">
            <w:pPr>
              <w:pStyle w:val="05Tabletext"/>
              <w:keepNext/>
              <w:tabs>
                <w:tab w:val="right" w:pos="680"/>
                <w:tab w:val="right" w:pos="1247"/>
              </w:tabs>
            </w:pPr>
            <w:r>
              <w:tab/>
              <w:t xml:space="preserve">23 </w:t>
            </w:r>
            <w:r>
              <w:tab/>
              <w:t>(3)</w:t>
            </w:r>
          </w:p>
        </w:tc>
        <w:tc>
          <w:tcPr>
            <w:tcW w:w="1560" w:type="dxa"/>
            <w:tcBorders>
              <w:top w:val="nil"/>
              <w:bottom w:val="nil"/>
            </w:tcBorders>
          </w:tcPr>
          <w:p w:rsidR="00675E77" w:rsidRDefault="00675E77" w:rsidP="00675E77">
            <w:pPr>
              <w:pStyle w:val="05Tabletext"/>
              <w:keepNext/>
              <w:tabs>
                <w:tab w:val="right" w:pos="680"/>
                <w:tab w:val="right" w:pos="1247"/>
              </w:tabs>
            </w:pPr>
            <w:r>
              <w:tab/>
              <w:t>25</w:t>
            </w:r>
            <w:r>
              <w:tab/>
              <w:t>(3)</w:t>
            </w:r>
          </w:p>
        </w:tc>
        <w:tc>
          <w:tcPr>
            <w:tcW w:w="1560" w:type="dxa"/>
            <w:tcBorders>
              <w:top w:val="nil"/>
              <w:bottom w:val="nil"/>
            </w:tcBorders>
            <w:shd w:val="clear" w:color="auto" w:fill="auto"/>
          </w:tcPr>
          <w:p w:rsidR="00675E77" w:rsidRDefault="00675E77" w:rsidP="00675E77">
            <w:pPr>
              <w:pStyle w:val="05Tabletext"/>
              <w:keepNext/>
              <w:tabs>
                <w:tab w:val="right" w:pos="680"/>
                <w:tab w:val="right" w:pos="1247"/>
              </w:tabs>
            </w:pPr>
            <w:r>
              <w:tab/>
              <w:t>24</w:t>
            </w:r>
            <w:r>
              <w:tab/>
              <w:t>(3)</w:t>
            </w:r>
          </w:p>
        </w:tc>
        <w:tc>
          <w:tcPr>
            <w:tcW w:w="1560" w:type="dxa"/>
            <w:tcBorders>
              <w:top w:val="nil"/>
              <w:bottom w:val="nil"/>
            </w:tcBorders>
            <w:shd w:val="clear" w:color="auto" w:fill="auto"/>
          </w:tcPr>
          <w:p w:rsidR="00675E77" w:rsidRDefault="00675E77" w:rsidP="00675E77">
            <w:pPr>
              <w:pStyle w:val="05Tabletext"/>
              <w:keepNext/>
              <w:tabs>
                <w:tab w:val="right" w:pos="680"/>
                <w:tab w:val="right" w:pos="1247"/>
              </w:tabs>
            </w:pPr>
            <w:r>
              <w:tab/>
              <w:t>8</w:t>
            </w:r>
            <w:r>
              <w:tab/>
              <w:t>(1)</w:t>
            </w:r>
          </w:p>
        </w:tc>
      </w:tr>
      <w:tr w:rsidR="00675E77" w:rsidRPr="00665477" w:rsidTr="00675E77">
        <w:trPr>
          <w:cantSplit/>
        </w:trPr>
        <w:tc>
          <w:tcPr>
            <w:tcW w:w="3407" w:type="dxa"/>
            <w:tcBorders>
              <w:top w:val="nil"/>
            </w:tcBorders>
            <w:shd w:val="clear" w:color="auto" w:fill="auto"/>
          </w:tcPr>
          <w:p w:rsidR="00675E77" w:rsidRPr="00665477" w:rsidRDefault="00675E77" w:rsidP="00675E77">
            <w:pPr>
              <w:pStyle w:val="05Tabletext"/>
              <w:keepNext/>
              <w:ind w:left="227"/>
            </w:pPr>
            <w:r>
              <w:t>Fatal pneumonia-related AE</w:t>
            </w:r>
          </w:p>
        </w:tc>
        <w:tc>
          <w:tcPr>
            <w:tcW w:w="1560" w:type="dxa"/>
            <w:tcBorders>
              <w:top w:val="nil"/>
            </w:tcBorders>
          </w:tcPr>
          <w:p w:rsidR="00675E77" w:rsidRDefault="00675E77" w:rsidP="00675E77">
            <w:pPr>
              <w:pStyle w:val="05Tabletext"/>
              <w:keepNext/>
              <w:tabs>
                <w:tab w:val="right" w:pos="680"/>
                <w:tab w:val="right" w:pos="1247"/>
              </w:tabs>
            </w:pPr>
            <w:r>
              <w:tab/>
              <w:t>7</w:t>
            </w:r>
            <w:r>
              <w:tab/>
              <w:t>(1)</w:t>
            </w:r>
          </w:p>
        </w:tc>
        <w:tc>
          <w:tcPr>
            <w:tcW w:w="1560" w:type="dxa"/>
            <w:tcBorders>
              <w:top w:val="nil"/>
            </w:tcBorders>
          </w:tcPr>
          <w:p w:rsidR="00675E77" w:rsidRDefault="00675E77" w:rsidP="00675E77">
            <w:pPr>
              <w:pStyle w:val="05Tabletext"/>
              <w:keepNext/>
              <w:tabs>
                <w:tab w:val="right" w:pos="680"/>
                <w:tab w:val="right" w:pos="1247"/>
              </w:tabs>
            </w:pPr>
            <w:r>
              <w:tab/>
              <w:t>1</w:t>
            </w:r>
            <w:r>
              <w:tab/>
              <w:t>(1)</w:t>
            </w:r>
          </w:p>
        </w:tc>
        <w:tc>
          <w:tcPr>
            <w:tcW w:w="1560" w:type="dxa"/>
            <w:tcBorders>
              <w:top w:val="nil"/>
            </w:tcBorders>
            <w:shd w:val="clear" w:color="auto" w:fill="auto"/>
          </w:tcPr>
          <w:p w:rsidR="00675E77" w:rsidRDefault="00675E77" w:rsidP="00675E77">
            <w:pPr>
              <w:pStyle w:val="05Tabletext"/>
              <w:keepNext/>
              <w:tabs>
                <w:tab w:val="right" w:pos="680"/>
                <w:tab w:val="right" w:pos="1247"/>
              </w:tabs>
            </w:pPr>
            <w:r>
              <w:tab/>
              <w:t>0</w:t>
            </w:r>
            <w:r>
              <w:tab/>
              <w:t>(0)</w:t>
            </w:r>
          </w:p>
        </w:tc>
        <w:tc>
          <w:tcPr>
            <w:tcW w:w="1560" w:type="dxa"/>
            <w:tcBorders>
              <w:top w:val="nil"/>
            </w:tcBorders>
            <w:shd w:val="clear" w:color="auto" w:fill="auto"/>
          </w:tcPr>
          <w:p w:rsidR="00675E77" w:rsidRDefault="00675E77" w:rsidP="00675E77">
            <w:pPr>
              <w:pStyle w:val="05Tabletext"/>
              <w:keepNext/>
              <w:tabs>
                <w:tab w:val="right" w:pos="680"/>
                <w:tab w:val="right" w:pos="1247"/>
              </w:tabs>
            </w:pPr>
            <w:r>
              <w:tab/>
              <w:t>0</w:t>
            </w:r>
            <w:r>
              <w:tab/>
              <w:t>(0)</w:t>
            </w:r>
          </w:p>
        </w:tc>
      </w:tr>
      <w:tr w:rsidR="00675E77" w:rsidRPr="00665477" w:rsidTr="00675E77">
        <w:trPr>
          <w:cantSplit/>
        </w:trPr>
        <w:tc>
          <w:tcPr>
            <w:tcW w:w="3407" w:type="dxa"/>
            <w:tcBorders>
              <w:bottom w:val="single" w:sz="4" w:space="0" w:color="auto"/>
            </w:tcBorders>
            <w:shd w:val="clear" w:color="auto" w:fill="auto"/>
          </w:tcPr>
          <w:p w:rsidR="00675E77" w:rsidRPr="00891DEB" w:rsidRDefault="00675E77" w:rsidP="00675E77">
            <w:pPr>
              <w:pStyle w:val="05Tabletext"/>
              <w:keepNext/>
              <w:rPr>
                <w:b/>
              </w:rPr>
            </w:pPr>
            <w:r w:rsidRPr="00891DEB">
              <w:rPr>
                <w:b/>
              </w:rPr>
              <w:t>Bone disorders (including fractures)</w:t>
            </w:r>
          </w:p>
        </w:tc>
        <w:tc>
          <w:tcPr>
            <w:tcW w:w="1560" w:type="dxa"/>
            <w:tcBorders>
              <w:bottom w:val="single" w:sz="4" w:space="0" w:color="auto"/>
            </w:tcBorders>
          </w:tcPr>
          <w:p w:rsidR="00675E77" w:rsidRDefault="00675E77" w:rsidP="00675E77">
            <w:pPr>
              <w:pStyle w:val="05Tabletext"/>
              <w:keepNext/>
              <w:tabs>
                <w:tab w:val="right" w:pos="680"/>
                <w:tab w:val="right" w:pos="1247"/>
              </w:tabs>
            </w:pPr>
            <w:r>
              <w:tab/>
            </w:r>
            <w:r w:rsidRPr="00D47DC1">
              <w:t>21</w:t>
            </w:r>
            <w:r>
              <w:tab/>
              <w:t>(</w:t>
            </w:r>
            <w:r w:rsidRPr="00D47DC1">
              <w:t>2.6)</w:t>
            </w:r>
          </w:p>
        </w:tc>
        <w:tc>
          <w:tcPr>
            <w:tcW w:w="1560" w:type="dxa"/>
            <w:tcBorders>
              <w:bottom w:val="single" w:sz="4" w:space="0" w:color="auto"/>
            </w:tcBorders>
          </w:tcPr>
          <w:p w:rsidR="00675E77" w:rsidRDefault="00675E77" w:rsidP="00675E77">
            <w:pPr>
              <w:pStyle w:val="05Tabletext"/>
              <w:keepNext/>
              <w:tabs>
                <w:tab w:val="right" w:pos="680"/>
                <w:tab w:val="right" w:pos="1247"/>
              </w:tabs>
            </w:pPr>
            <w:r>
              <w:tab/>
            </w:r>
            <w:r w:rsidRPr="00CC3DEE">
              <w:t>27</w:t>
            </w:r>
            <w:r>
              <w:tab/>
              <w:t>(</w:t>
            </w:r>
            <w:r w:rsidRPr="00CC3DEE">
              <w:t>3.3)</w:t>
            </w:r>
          </w:p>
        </w:tc>
        <w:tc>
          <w:tcPr>
            <w:tcW w:w="1560" w:type="dxa"/>
            <w:tcBorders>
              <w:bottom w:val="single" w:sz="4" w:space="0" w:color="auto"/>
            </w:tcBorders>
            <w:shd w:val="clear" w:color="auto" w:fill="auto"/>
          </w:tcPr>
          <w:p w:rsidR="00675E77" w:rsidRPr="00665477" w:rsidRDefault="00675E77" w:rsidP="00675E77">
            <w:pPr>
              <w:pStyle w:val="05Tabletext"/>
              <w:keepNext/>
              <w:tabs>
                <w:tab w:val="right" w:pos="680"/>
                <w:tab w:val="right" w:pos="1247"/>
              </w:tabs>
            </w:pPr>
            <w:r>
              <w:tab/>
            </w:r>
            <w:r w:rsidRPr="00956D1F">
              <w:t>24</w:t>
            </w:r>
            <w:r>
              <w:tab/>
              <w:t>(</w:t>
            </w:r>
            <w:r w:rsidRPr="00956D1F">
              <w:t>2.9)</w:t>
            </w:r>
          </w:p>
        </w:tc>
        <w:tc>
          <w:tcPr>
            <w:tcW w:w="1560" w:type="dxa"/>
            <w:tcBorders>
              <w:bottom w:val="single" w:sz="4" w:space="0" w:color="auto"/>
            </w:tcBorders>
            <w:shd w:val="clear" w:color="auto" w:fill="auto"/>
          </w:tcPr>
          <w:p w:rsidR="00675E77" w:rsidRPr="00665477" w:rsidRDefault="00675E77" w:rsidP="00675E77">
            <w:pPr>
              <w:pStyle w:val="05Tabletext"/>
              <w:keepNext/>
              <w:tabs>
                <w:tab w:val="right" w:pos="680"/>
                <w:tab w:val="right" w:pos="1247"/>
              </w:tabs>
            </w:pPr>
            <w:r>
              <w:tab/>
            </w:r>
            <w:r w:rsidRPr="006E2315">
              <w:t>9</w:t>
            </w:r>
            <w:r>
              <w:tab/>
              <w:t>(</w:t>
            </w:r>
            <w:r w:rsidRPr="006E2315">
              <w:t>1.1)</w:t>
            </w:r>
          </w:p>
        </w:tc>
      </w:tr>
      <w:tr w:rsidR="00675E77" w:rsidRPr="00665477" w:rsidTr="00675E77">
        <w:trPr>
          <w:cantSplit/>
        </w:trPr>
        <w:tc>
          <w:tcPr>
            <w:tcW w:w="3407" w:type="dxa"/>
            <w:tcBorders>
              <w:bottom w:val="nil"/>
            </w:tcBorders>
            <w:shd w:val="clear" w:color="auto" w:fill="auto"/>
          </w:tcPr>
          <w:p w:rsidR="00675E77" w:rsidRPr="00891DEB" w:rsidRDefault="00675E77" w:rsidP="00675E77">
            <w:pPr>
              <w:pStyle w:val="05Tabletext"/>
              <w:keepNext/>
              <w:rPr>
                <w:b/>
              </w:rPr>
            </w:pPr>
            <w:r w:rsidRPr="00891DEB">
              <w:rPr>
                <w:b/>
              </w:rPr>
              <w:t>Total fracture events</w:t>
            </w:r>
            <w:r>
              <w:rPr>
                <w:b/>
              </w:rPr>
              <w:t xml:space="preserve"> </w:t>
            </w:r>
            <w:r>
              <w:t>(% of total fracture events)</w:t>
            </w:r>
          </w:p>
        </w:tc>
        <w:tc>
          <w:tcPr>
            <w:tcW w:w="1560" w:type="dxa"/>
            <w:tcBorders>
              <w:bottom w:val="nil"/>
            </w:tcBorders>
          </w:tcPr>
          <w:p w:rsidR="00675E77" w:rsidRDefault="00675E77" w:rsidP="00675E77">
            <w:pPr>
              <w:pStyle w:val="05Tabletext"/>
              <w:keepNext/>
              <w:tabs>
                <w:tab w:val="right" w:pos="680"/>
                <w:tab w:val="right" w:pos="1247"/>
              </w:tabs>
            </w:pPr>
            <w:r>
              <w:tab/>
              <w:t>13</w:t>
            </w:r>
          </w:p>
        </w:tc>
        <w:tc>
          <w:tcPr>
            <w:tcW w:w="1560" w:type="dxa"/>
            <w:tcBorders>
              <w:bottom w:val="nil"/>
            </w:tcBorders>
          </w:tcPr>
          <w:p w:rsidR="00675E77" w:rsidRDefault="00675E77" w:rsidP="00675E77">
            <w:pPr>
              <w:pStyle w:val="05Tabletext"/>
              <w:keepNext/>
              <w:tabs>
                <w:tab w:val="right" w:pos="680"/>
                <w:tab w:val="right" w:pos="1247"/>
              </w:tabs>
            </w:pPr>
            <w:r>
              <w:tab/>
              <w:t>19</w:t>
            </w:r>
          </w:p>
        </w:tc>
        <w:tc>
          <w:tcPr>
            <w:tcW w:w="1560" w:type="dxa"/>
            <w:tcBorders>
              <w:bottom w:val="nil"/>
            </w:tcBorders>
            <w:shd w:val="clear" w:color="auto" w:fill="auto"/>
          </w:tcPr>
          <w:p w:rsidR="00675E77" w:rsidRDefault="00675E77" w:rsidP="00675E77">
            <w:pPr>
              <w:pStyle w:val="05Tabletext"/>
              <w:keepNext/>
              <w:tabs>
                <w:tab w:val="right" w:pos="680"/>
                <w:tab w:val="right" w:pos="1247"/>
              </w:tabs>
            </w:pPr>
            <w:r>
              <w:tab/>
              <w:t>15</w:t>
            </w:r>
          </w:p>
        </w:tc>
        <w:tc>
          <w:tcPr>
            <w:tcW w:w="1560" w:type="dxa"/>
            <w:tcBorders>
              <w:bottom w:val="nil"/>
            </w:tcBorders>
            <w:shd w:val="clear" w:color="auto" w:fill="auto"/>
          </w:tcPr>
          <w:p w:rsidR="00675E77" w:rsidRDefault="00675E77" w:rsidP="00675E77">
            <w:pPr>
              <w:pStyle w:val="05Tabletext"/>
              <w:keepNext/>
              <w:tabs>
                <w:tab w:val="right" w:pos="680"/>
                <w:tab w:val="right" w:pos="1247"/>
              </w:tabs>
            </w:pPr>
            <w:r>
              <w:tab/>
              <w:t>8</w:t>
            </w:r>
          </w:p>
        </w:tc>
      </w:tr>
      <w:tr w:rsidR="00675E77" w:rsidRPr="00665477" w:rsidTr="00675E77">
        <w:trPr>
          <w:cantSplit/>
        </w:trPr>
        <w:tc>
          <w:tcPr>
            <w:tcW w:w="3407" w:type="dxa"/>
            <w:tcBorders>
              <w:top w:val="nil"/>
              <w:bottom w:val="nil"/>
            </w:tcBorders>
            <w:shd w:val="clear" w:color="auto" w:fill="auto"/>
          </w:tcPr>
          <w:p w:rsidR="00675E77" w:rsidRPr="00665477" w:rsidRDefault="00675E77" w:rsidP="00675E77">
            <w:pPr>
              <w:pStyle w:val="05Tabletext"/>
              <w:keepNext/>
              <w:ind w:left="227"/>
            </w:pPr>
            <w:r>
              <w:t xml:space="preserve">Non-traumatic </w:t>
            </w:r>
          </w:p>
        </w:tc>
        <w:tc>
          <w:tcPr>
            <w:tcW w:w="1560" w:type="dxa"/>
            <w:tcBorders>
              <w:top w:val="nil"/>
              <w:bottom w:val="nil"/>
            </w:tcBorders>
          </w:tcPr>
          <w:p w:rsidR="00675E77" w:rsidRDefault="00675E77" w:rsidP="00675E77">
            <w:pPr>
              <w:pStyle w:val="05Tabletext"/>
              <w:keepNext/>
              <w:tabs>
                <w:tab w:val="right" w:pos="680"/>
                <w:tab w:val="right" w:pos="1247"/>
              </w:tabs>
            </w:pPr>
            <w:r>
              <w:tab/>
              <w:t>8</w:t>
            </w:r>
            <w:r>
              <w:tab/>
              <w:t>(62)</w:t>
            </w:r>
          </w:p>
        </w:tc>
        <w:tc>
          <w:tcPr>
            <w:tcW w:w="1560" w:type="dxa"/>
            <w:tcBorders>
              <w:top w:val="nil"/>
              <w:bottom w:val="nil"/>
            </w:tcBorders>
          </w:tcPr>
          <w:p w:rsidR="00675E77" w:rsidRDefault="00675E77" w:rsidP="00675E77">
            <w:pPr>
              <w:pStyle w:val="05Tabletext"/>
              <w:keepNext/>
              <w:tabs>
                <w:tab w:val="right" w:pos="680"/>
                <w:tab w:val="right" w:pos="1247"/>
              </w:tabs>
            </w:pPr>
            <w:r>
              <w:tab/>
              <w:t>6</w:t>
            </w:r>
            <w:r>
              <w:tab/>
              <w:t>(32)</w:t>
            </w:r>
          </w:p>
        </w:tc>
        <w:tc>
          <w:tcPr>
            <w:tcW w:w="1560" w:type="dxa"/>
            <w:tcBorders>
              <w:top w:val="nil"/>
              <w:bottom w:val="nil"/>
            </w:tcBorders>
            <w:shd w:val="clear" w:color="auto" w:fill="auto"/>
          </w:tcPr>
          <w:p w:rsidR="00675E77" w:rsidRDefault="00675E77" w:rsidP="00675E77">
            <w:pPr>
              <w:pStyle w:val="05Tabletext"/>
              <w:keepNext/>
              <w:tabs>
                <w:tab w:val="right" w:pos="680"/>
                <w:tab w:val="right" w:pos="1247"/>
              </w:tabs>
            </w:pPr>
            <w:r>
              <w:tab/>
              <w:t>4</w:t>
            </w:r>
            <w:r>
              <w:tab/>
              <w:t>(27)</w:t>
            </w:r>
          </w:p>
        </w:tc>
        <w:tc>
          <w:tcPr>
            <w:tcW w:w="1560" w:type="dxa"/>
            <w:tcBorders>
              <w:top w:val="nil"/>
              <w:bottom w:val="nil"/>
            </w:tcBorders>
            <w:shd w:val="clear" w:color="auto" w:fill="auto"/>
          </w:tcPr>
          <w:p w:rsidR="00675E77" w:rsidRDefault="00675E77" w:rsidP="00675E77">
            <w:pPr>
              <w:pStyle w:val="05Tabletext"/>
              <w:keepNext/>
              <w:tabs>
                <w:tab w:val="right" w:pos="680"/>
                <w:tab w:val="right" w:pos="1247"/>
              </w:tabs>
            </w:pPr>
            <w:r>
              <w:tab/>
              <w:t>2</w:t>
            </w:r>
            <w:r>
              <w:tab/>
              <w:t>(25)</w:t>
            </w:r>
          </w:p>
        </w:tc>
      </w:tr>
      <w:tr w:rsidR="00675E77" w:rsidRPr="00665477" w:rsidTr="00675E77">
        <w:trPr>
          <w:cantSplit/>
        </w:trPr>
        <w:tc>
          <w:tcPr>
            <w:tcW w:w="3407" w:type="dxa"/>
            <w:tcBorders>
              <w:top w:val="nil"/>
            </w:tcBorders>
            <w:shd w:val="clear" w:color="auto" w:fill="auto"/>
          </w:tcPr>
          <w:p w:rsidR="00675E77" w:rsidRPr="00665477" w:rsidRDefault="00675E77" w:rsidP="00675E77">
            <w:pPr>
              <w:pStyle w:val="05Tabletext"/>
              <w:keepNext/>
              <w:ind w:left="227"/>
            </w:pPr>
            <w:r>
              <w:t>Traumatic</w:t>
            </w:r>
          </w:p>
        </w:tc>
        <w:tc>
          <w:tcPr>
            <w:tcW w:w="1560" w:type="dxa"/>
            <w:tcBorders>
              <w:top w:val="nil"/>
            </w:tcBorders>
          </w:tcPr>
          <w:p w:rsidR="00675E77" w:rsidRDefault="00675E77" w:rsidP="00675E77">
            <w:pPr>
              <w:pStyle w:val="05Tabletext"/>
              <w:keepNext/>
              <w:tabs>
                <w:tab w:val="right" w:pos="680"/>
                <w:tab w:val="right" w:pos="1247"/>
              </w:tabs>
            </w:pPr>
            <w:r>
              <w:tab/>
              <w:t>5</w:t>
            </w:r>
            <w:r>
              <w:tab/>
              <w:t>(38)</w:t>
            </w:r>
          </w:p>
        </w:tc>
        <w:tc>
          <w:tcPr>
            <w:tcW w:w="1560" w:type="dxa"/>
            <w:tcBorders>
              <w:top w:val="nil"/>
            </w:tcBorders>
          </w:tcPr>
          <w:p w:rsidR="00675E77" w:rsidRDefault="00675E77" w:rsidP="00675E77">
            <w:pPr>
              <w:pStyle w:val="05Tabletext"/>
              <w:keepNext/>
              <w:tabs>
                <w:tab w:val="right" w:pos="680"/>
                <w:tab w:val="right" w:pos="1247"/>
              </w:tabs>
            </w:pPr>
            <w:r>
              <w:tab/>
              <w:t>13</w:t>
            </w:r>
            <w:r>
              <w:tab/>
              <w:t>(68)</w:t>
            </w:r>
          </w:p>
        </w:tc>
        <w:tc>
          <w:tcPr>
            <w:tcW w:w="1560" w:type="dxa"/>
            <w:tcBorders>
              <w:top w:val="nil"/>
            </w:tcBorders>
            <w:shd w:val="clear" w:color="auto" w:fill="auto"/>
          </w:tcPr>
          <w:p w:rsidR="00675E77" w:rsidRDefault="00675E77" w:rsidP="00675E77">
            <w:pPr>
              <w:pStyle w:val="05Tabletext"/>
              <w:keepNext/>
              <w:tabs>
                <w:tab w:val="right" w:pos="680"/>
                <w:tab w:val="right" w:pos="1247"/>
              </w:tabs>
            </w:pPr>
            <w:r>
              <w:tab/>
              <w:t>11</w:t>
            </w:r>
            <w:r>
              <w:tab/>
              <w:t>(73)</w:t>
            </w:r>
          </w:p>
        </w:tc>
        <w:tc>
          <w:tcPr>
            <w:tcW w:w="1560" w:type="dxa"/>
            <w:tcBorders>
              <w:top w:val="nil"/>
            </w:tcBorders>
            <w:shd w:val="clear" w:color="auto" w:fill="auto"/>
          </w:tcPr>
          <w:p w:rsidR="00675E77" w:rsidRDefault="00675E77" w:rsidP="00675E77">
            <w:pPr>
              <w:pStyle w:val="05Tabletext"/>
              <w:keepNext/>
              <w:tabs>
                <w:tab w:val="right" w:pos="680"/>
                <w:tab w:val="right" w:pos="1247"/>
              </w:tabs>
            </w:pPr>
            <w:r>
              <w:tab/>
              <w:t>6</w:t>
            </w:r>
            <w:r>
              <w:tab/>
              <w:t>(75)</w:t>
            </w:r>
          </w:p>
        </w:tc>
      </w:tr>
    </w:tbl>
    <w:p w:rsidR="00675E77" w:rsidRDefault="00675E77" w:rsidP="00675E77">
      <w:pPr>
        <w:pStyle w:val="10TableorFigurefootnote"/>
      </w:pPr>
      <w:r>
        <w:t xml:space="preserve">Source: NICE (2013) Evidence Summary, </w:t>
      </w:r>
      <w:r w:rsidRPr="003763C1">
        <w:t>Table 2 and p13</w:t>
      </w:r>
      <w:r>
        <w:t xml:space="preserve">; supplemented from </w:t>
      </w:r>
      <w:proofErr w:type="spellStart"/>
      <w:r>
        <w:t>Dransfield</w:t>
      </w:r>
      <w:proofErr w:type="spellEnd"/>
      <w:r>
        <w:t xml:space="preserve"> (2013), Table 7.</w:t>
      </w:r>
    </w:p>
    <w:p w:rsidR="00675E77" w:rsidRDefault="00675E77" w:rsidP="00675E77">
      <w:pPr>
        <w:pStyle w:val="11TableorFigurefootnotenostick"/>
      </w:pPr>
      <w:r>
        <w:t>Abbreviations: AE, adverse events; FLU, fluticasone (</w:t>
      </w:r>
      <w:proofErr w:type="spellStart"/>
      <w:r>
        <w:t>furoate</w:t>
      </w:r>
      <w:proofErr w:type="spellEnd"/>
      <w:r>
        <w:t>); ITT, intention</w:t>
      </w:r>
      <w:r w:rsidR="00D1265E">
        <w:t>-</w:t>
      </w:r>
      <w:r>
        <w:t>to</w:t>
      </w:r>
      <w:r w:rsidR="00D1265E">
        <w:t>-</w:t>
      </w:r>
      <w:r>
        <w:t xml:space="preserve">treat; NICE, </w:t>
      </w:r>
      <w:r w:rsidRPr="00F56070">
        <w:t>National Institute of Health and Care Excellence</w:t>
      </w:r>
      <w:r>
        <w:t xml:space="preserve">; RCT, randomised controlled trial; VIL, </w:t>
      </w:r>
      <w:proofErr w:type="spellStart"/>
      <w:r>
        <w:t>vilanterol</w:t>
      </w:r>
      <w:proofErr w:type="spellEnd"/>
      <w:r w:rsidR="00ED1904">
        <w:t xml:space="preserve">; FLU/SAL, fluticasone propionate/salmeterol; FLU/VIL, fluticasone </w:t>
      </w:r>
      <w:proofErr w:type="spellStart"/>
      <w:r w:rsidR="00ED1904">
        <w:t>furoate</w:t>
      </w:r>
      <w:proofErr w:type="spellEnd"/>
      <w:r w:rsidR="00ED1904">
        <w:t>/</w:t>
      </w:r>
      <w:proofErr w:type="spellStart"/>
      <w:r w:rsidR="00ED1904">
        <w:t>vilanterol</w:t>
      </w:r>
      <w:proofErr w:type="spellEnd"/>
      <w:r w:rsidR="00ED1904">
        <w:t>.</w:t>
      </w:r>
    </w:p>
    <w:p w:rsidR="00675E77" w:rsidRDefault="00675E77" w:rsidP="00675E77">
      <w:pPr>
        <w:pStyle w:val="BodyText"/>
      </w:pPr>
      <w:r>
        <w:t xml:space="preserve">Although the trial evidence includes a higher and a lower dose, results for the 100/25 </w:t>
      </w:r>
      <w:proofErr w:type="spellStart"/>
      <w:r>
        <w:t>μg</w:t>
      </w:r>
      <w:proofErr w:type="spellEnd"/>
      <w:r>
        <w:t xml:space="preserve"> product only are discussed in the NICE (2013) Evidence Summary.</w:t>
      </w:r>
    </w:p>
    <w:p w:rsidR="00675E77" w:rsidRDefault="00675E77" w:rsidP="00675E77">
      <w:pPr>
        <w:pStyle w:val="BodyText"/>
      </w:pPr>
      <w:r>
        <w:t xml:space="preserve">The evidence reviewers commented on the limitations on interpretation imposed by the lack of statistical analyses for the safety outcomes. They noted the proportions of patients discontinuing from the study due to adverse events; 7.7% versus 5.5% in the 100/25 </w:t>
      </w:r>
      <w:proofErr w:type="spellStart"/>
      <w:r>
        <w:t>μg</w:t>
      </w:r>
      <w:proofErr w:type="spellEnd"/>
      <w:r>
        <w:t xml:space="preserve"> fluticasone</w:t>
      </w:r>
      <w:r w:rsidR="00ED1904">
        <w:t xml:space="preserve"> </w:t>
      </w:r>
      <w:proofErr w:type="spellStart"/>
      <w:r w:rsidR="00ED1904">
        <w:t>furoate</w:t>
      </w:r>
      <w:proofErr w:type="spellEnd"/>
      <w:r>
        <w:t>/</w:t>
      </w:r>
      <w:proofErr w:type="spellStart"/>
      <w:r>
        <w:t>vilanterol</w:t>
      </w:r>
      <w:proofErr w:type="spellEnd"/>
      <w:r>
        <w:t xml:space="preserve"> and 25μg </w:t>
      </w:r>
      <w:proofErr w:type="spellStart"/>
      <w:r>
        <w:t>vilanterol</w:t>
      </w:r>
      <w:proofErr w:type="spellEnd"/>
      <w:r>
        <w:t xml:space="preserve"> arms, respectively. They observed that local corticosteroid effects, pneumonia and bone disorders (including fractures) were seen more frequently in the fluticasone</w:t>
      </w:r>
      <w:r w:rsidR="00ED1904">
        <w:t xml:space="preserve"> </w:t>
      </w:r>
      <w:proofErr w:type="spellStart"/>
      <w:r w:rsidR="00ED1904">
        <w:t>furoate</w:t>
      </w:r>
      <w:proofErr w:type="spellEnd"/>
      <w:r>
        <w:t>/</w:t>
      </w:r>
      <w:proofErr w:type="spellStart"/>
      <w:r>
        <w:t>vilanterol</w:t>
      </w:r>
      <w:proofErr w:type="spellEnd"/>
      <w:r>
        <w:t xml:space="preserve"> 100/25 </w:t>
      </w:r>
      <w:proofErr w:type="spellStart"/>
      <w:r>
        <w:t>μg</w:t>
      </w:r>
      <w:proofErr w:type="spellEnd"/>
      <w:r>
        <w:t xml:space="preserve"> group than in the </w:t>
      </w:r>
      <w:proofErr w:type="spellStart"/>
      <w:r>
        <w:t>vilanterol</w:t>
      </w:r>
      <w:proofErr w:type="spellEnd"/>
      <w:r>
        <w:t xml:space="preserve"> group. They also noted the difference in non-traumatic fractures (0.74% of patients for the 100/25</w:t>
      </w:r>
      <w:r w:rsidR="004B35EA">
        <w:t xml:space="preserve"> </w:t>
      </w:r>
      <w:proofErr w:type="spellStart"/>
      <w:r>
        <w:t>μg</w:t>
      </w:r>
      <w:proofErr w:type="spellEnd"/>
      <w:r>
        <w:t xml:space="preserve"> combination therapy and 0.24% for monotherapy). </w:t>
      </w:r>
    </w:p>
    <w:p w:rsidR="00675E77" w:rsidRDefault="00675E77" w:rsidP="00675E77">
      <w:pPr>
        <w:pStyle w:val="BodyText"/>
      </w:pPr>
      <w:r>
        <w:lastRenderedPageBreak/>
        <w:t>The reviewers remarked on the two-fold higher rate of any pneumonia in the 100/25</w:t>
      </w:r>
      <w:r w:rsidR="004B35EA">
        <w:t xml:space="preserve"> </w:t>
      </w:r>
      <w:proofErr w:type="spellStart"/>
      <w:r>
        <w:t>μg</w:t>
      </w:r>
      <w:proofErr w:type="spellEnd"/>
      <w:r>
        <w:t xml:space="preserve"> combination group compared with </w:t>
      </w:r>
      <w:proofErr w:type="spellStart"/>
      <w:r>
        <w:t>vilanterol</w:t>
      </w:r>
      <w:proofErr w:type="spellEnd"/>
      <w:r>
        <w:t xml:space="preserve"> monotherapy (6.3 versus 3.3%, respectively). This difference is statistically significant.</w:t>
      </w:r>
      <w:r>
        <w:rPr>
          <w:rStyle w:val="FootnoteReference"/>
        </w:rPr>
        <w:footnoteReference w:id="19"/>
      </w:r>
      <w:r>
        <w:t xml:space="preserve"> According to the original study publication, this difference was observed in both </w:t>
      </w:r>
      <w:proofErr w:type="spellStart"/>
      <w:r w:rsidR="007C1311">
        <w:t>Dransfield</w:t>
      </w:r>
      <w:proofErr w:type="spellEnd"/>
      <w:r w:rsidR="007C1311">
        <w:t xml:space="preserve"> et al (2013) </w:t>
      </w:r>
      <w:r>
        <w:t>Study 1 and Study 2. For serious pneumonia the difference is even more marked (3.1% versus 0.98%, respectively).</w:t>
      </w:r>
    </w:p>
    <w:p w:rsidR="00675E77" w:rsidRDefault="00675E77" w:rsidP="00675E77">
      <w:pPr>
        <w:pStyle w:val="BodyText"/>
      </w:pPr>
      <w:r>
        <w:t xml:space="preserve">Fatal pneumonia during treatment occurred in no patients in the </w:t>
      </w:r>
      <w:proofErr w:type="spellStart"/>
      <w:r>
        <w:t>vilanterol</w:t>
      </w:r>
      <w:proofErr w:type="spellEnd"/>
      <w:r>
        <w:t xml:space="preserve"> group but in one patient in the 100/25</w:t>
      </w:r>
      <w:r w:rsidR="004B35EA">
        <w:t xml:space="preserve"> </w:t>
      </w:r>
      <w:proofErr w:type="spellStart"/>
      <w:r>
        <w:t>μg</w:t>
      </w:r>
      <w:proofErr w:type="spellEnd"/>
      <w:r>
        <w:t xml:space="preserve"> combination </w:t>
      </w:r>
      <w:proofErr w:type="gramStart"/>
      <w:r>
        <w:t>group,</w:t>
      </w:r>
      <w:proofErr w:type="gramEnd"/>
      <w:r>
        <w:t xml:space="preserve"> and the reviewers noted the potential risk of pneumonia with the use of </w:t>
      </w:r>
      <w:r w:rsidR="007C1311">
        <w:t xml:space="preserve">ICS </w:t>
      </w:r>
      <w:r>
        <w:t xml:space="preserve">for COPD has been recognised by the Medicines and Healthcare products Regulatory Agency (MHRA). </w:t>
      </w:r>
    </w:p>
    <w:p w:rsidR="00675E77" w:rsidRDefault="00675E77" w:rsidP="00675E77">
      <w:pPr>
        <w:pStyle w:val="BodyText"/>
      </w:pPr>
      <w:r>
        <w:t>The authors of the current Review note that a high rate of fatal pneumonia occurred in the highest dose arm of this study (200</w:t>
      </w:r>
      <w:r w:rsidR="004B35EA">
        <w:t>/</w:t>
      </w:r>
      <w:r>
        <w:t xml:space="preserve">25 </w:t>
      </w:r>
      <w:proofErr w:type="spellStart"/>
      <w:r w:rsidRPr="00BC4C3B">
        <w:t>μ</w:t>
      </w:r>
      <w:r>
        <w:t>g</w:t>
      </w:r>
      <w:proofErr w:type="spellEnd"/>
      <w:r>
        <w:t xml:space="preserve">), which accounted for seven of the eight pneumonia deaths. </w:t>
      </w:r>
      <w:proofErr w:type="spellStart"/>
      <w:proofErr w:type="gramStart"/>
      <w:r>
        <w:t>Dransfield</w:t>
      </w:r>
      <w:proofErr w:type="spellEnd"/>
      <w:r>
        <w:t xml:space="preserve"> et al (2013) report that all seven deaths were in Study 1, and four were in a single centre in the Philippines (</w:t>
      </w:r>
      <w:proofErr w:type="spellStart"/>
      <w:r>
        <w:t>Dransfield</w:t>
      </w:r>
      <w:proofErr w:type="spellEnd"/>
      <w:r>
        <w:t xml:space="preserve"> (2013) and supplementary appendix).</w:t>
      </w:r>
      <w:proofErr w:type="gramEnd"/>
      <w:r>
        <w:t xml:space="preserve"> They also reported a ninth death, occurring after study treatment in the </w:t>
      </w:r>
      <w:proofErr w:type="spellStart"/>
      <w:r>
        <w:t>vilanterol</w:t>
      </w:r>
      <w:proofErr w:type="spellEnd"/>
      <w:r>
        <w:t xml:space="preserve"> group. </w:t>
      </w:r>
      <w:proofErr w:type="spellStart"/>
      <w:r>
        <w:t>Dransfield</w:t>
      </w:r>
      <w:proofErr w:type="spellEnd"/>
      <w:r>
        <w:t xml:space="preserve"> et al (2013) noted more pneumonia deaths occurred than expected, and raises particular concerns about the 200/25 </w:t>
      </w:r>
      <w:proofErr w:type="spellStart"/>
      <w:r>
        <w:t>μg</w:t>
      </w:r>
      <w:proofErr w:type="spellEnd"/>
      <w:r>
        <w:t xml:space="preserve"> combination.</w:t>
      </w:r>
    </w:p>
    <w:p w:rsidR="00675E77" w:rsidRDefault="00675E77" w:rsidP="00675E77">
      <w:pPr>
        <w:pStyle w:val="BodyText"/>
      </w:pPr>
      <w:r>
        <w:t xml:space="preserve">Discussion of the RCT by </w:t>
      </w:r>
      <w:proofErr w:type="spellStart"/>
      <w:r>
        <w:t>Kerwin</w:t>
      </w:r>
      <w:proofErr w:type="spellEnd"/>
      <w:r>
        <w:t xml:space="preserve"> (2013) was very limited; pneumonia occurred in 2% of patients in the fluticasone</w:t>
      </w:r>
      <w:r w:rsidR="00ED1904">
        <w:t xml:space="preserve"> </w:t>
      </w:r>
      <w:proofErr w:type="spellStart"/>
      <w:r w:rsidR="00ED1904">
        <w:t>furoate</w:t>
      </w:r>
      <w:proofErr w:type="spellEnd"/>
      <w:r>
        <w:t>/</w:t>
      </w:r>
      <w:proofErr w:type="spellStart"/>
      <w:r>
        <w:t>vilanterol</w:t>
      </w:r>
      <w:proofErr w:type="spellEnd"/>
      <w:r>
        <w:t xml:space="preserve"> group and 1% of patients in the placebo group.</w:t>
      </w:r>
    </w:p>
    <w:p w:rsidR="00675E77" w:rsidRDefault="00675E77" w:rsidP="00675E77">
      <w:pPr>
        <w:pStyle w:val="Heading4"/>
      </w:pPr>
      <w:r>
        <w:t>CADTH</w:t>
      </w:r>
    </w:p>
    <w:p w:rsidR="00675E77" w:rsidRDefault="00675E77" w:rsidP="00675E77">
      <w:pPr>
        <w:pStyle w:val="Heading5"/>
      </w:pPr>
      <w:r>
        <w:t xml:space="preserve">CDEC Final Recommendation for </w:t>
      </w:r>
      <w:proofErr w:type="spellStart"/>
      <w:r>
        <w:t>Breo</w:t>
      </w:r>
      <w:proofErr w:type="spellEnd"/>
      <w:r>
        <w:t xml:space="preserve"> </w:t>
      </w:r>
      <w:proofErr w:type="spellStart"/>
      <w:r>
        <w:t>Ellipta</w:t>
      </w:r>
      <w:proofErr w:type="spellEnd"/>
      <w:r>
        <w:t xml:space="preserve"> (FLU/VIL) for COPD – CADTH 2014</w:t>
      </w:r>
    </w:p>
    <w:p w:rsidR="00675E77" w:rsidRDefault="00675E77" w:rsidP="00675E77">
      <w:pPr>
        <w:pStyle w:val="BodyTextnospacebefore"/>
      </w:pPr>
      <w:r>
        <w:t xml:space="preserve">CADTH performs </w:t>
      </w:r>
      <w:r w:rsidRPr="00DB0792">
        <w:t>evaluation</w:t>
      </w:r>
      <w:r>
        <w:t>s</w:t>
      </w:r>
      <w:r w:rsidRPr="00DB0792">
        <w:t xml:space="preserve"> of the clinical, economic</w:t>
      </w:r>
      <w:r>
        <w:t xml:space="preserve">, and patient evidence on new drugs, or existing drugs approved for new indications, as part of the </w:t>
      </w:r>
      <w:r w:rsidRPr="005A1661">
        <w:t>Common Drug Review (CDR) process</w:t>
      </w:r>
      <w:r>
        <w:t xml:space="preserve">. These reviews inform the development of </w:t>
      </w:r>
      <w:r w:rsidRPr="005A1661">
        <w:t>recommendations</w:t>
      </w:r>
      <w:r>
        <w:t xml:space="preserve"> by the </w:t>
      </w:r>
      <w:r w:rsidRPr="00E04983">
        <w:t xml:space="preserve">Canadian Drug Expert Committee </w:t>
      </w:r>
      <w:r>
        <w:t>(</w:t>
      </w:r>
      <w:r w:rsidRPr="005A1661">
        <w:t>CDEC</w:t>
      </w:r>
      <w:r>
        <w:t>), for consideration by various</w:t>
      </w:r>
      <w:r w:rsidRPr="005A1661">
        <w:t xml:space="preserve"> publicly funded drug plans.</w:t>
      </w:r>
      <w:r>
        <w:t xml:space="preserve"> The original CDR report for </w:t>
      </w:r>
      <w:proofErr w:type="spellStart"/>
      <w:r w:rsidRPr="00A76A25">
        <w:t>Breo</w:t>
      </w:r>
      <w:proofErr w:type="spellEnd"/>
      <w:r w:rsidRPr="00A76A25">
        <w:t xml:space="preserve"> </w:t>
      </w:r>
      <w:proofErr w:type="spellStart"/>
      <w:r w:rsidRPr="00A76A25">
        <w:t>Ellipta</w:t>
      </w:r>
      <w:proofErr w:type="spellEnd"/>
      <w:r>
        <w:t xml:space="preserve"> (fluticasone</w:t>
      </w:r>
      <w:r w:rsidR="00ED1904">
        <w:t xml:space="preserve"> </w:t>
      </w:r>
      <w:proofErr w:type="spellStart"/>
      <w:r w:rsidR="00ED1904">
        <w:t>furoate</w:t>
      </w:r>
      <w:proofErr w:type="spellEnd"/>
      <w:r>
        <w:t>/</w:t>
      </w:r>
      <w:proofErr w:type="spellStart"/>
      <w:r>
        <w:t>vilanterol</w:t>
      </w:r>
      <w:proofErr w:type="spellEnd"/>
      <w:r>
        <w:t>) is not available on the CADTH website, but a redacted version of the Notice of Final Recommendation was released in August 2014, summarising the findings of the CDEC during the July 2014 meeting (CADTH, 2014).</w:t>
      </w:r>
    </w:p>
    <w:p w:rsidR="00675E77" w:rsidRDefault="00675E77" w:rsidP="00675E77">
      <w:pPr>
        <w:pStyle w:val="BodyText"/>
      </w:pPr>
      <w:r>
        <w:t xml:space="preserve">The CDEC recommended listing </w:t>
      </w:r>
      <w:proofErr w:type="spellStart"/>
      <w:r w:rsidRPr="00A76A25">
        <w:t>Breo</w:t>
      </w:r>
      <w:proofErr w:type="spellEnd"/>
      <w:r w:rsidRPr="00A76A25">
        <w:t xml:space="preserve"> </w:t>
      </w:r>
      <w:proofErr w:type="spellStart"/>
      <w:r w:rsidRPr="00A76A25">
        <w:t>Ellipta</w:t>
      </w:r>
      <w:proofErr w:type="spellEnd"/>
      <w:r>
        <w:t xml:space="preserve"> for COPD, restricted to specific clinical criteria. The evaluation report identified 10 double-blind, multicentre RCTs, including the two 12-month </w:t>
      </w:r>
      <w:proofErr w:type="spellStart"/>
      <w:r>
        <w:t>vilanterol</w:t>
      </w:r>
      <w:proofErr w:type="spellEnd"/>
      <w:r>
        <w:t xml:space="preserve">-controlled trials reported in </w:t>
      </w:r>
      <w:proofErr w:type="spellStart"/>
      <w:r>
        <w:t>Dransfield</w:t>
      </w:r>
      <w:proofErr w:type="spellEnd"/>
      <w:r>
        <w:t xml:space="preserve"> (2013). </w:t>
      </w:r>
    </w:p>
    <w:p w:rsidR="00675E77" w:rsidRDefault="00675E77" w:rsidP="00675E77">
      <w:pPr>
        <w:pStyle w:val="BodyText"/>
      </w:pPr>
      <w:r>
        <w:t>The discussion of safety in this Notice of Final Recommendation is limited to the following remarks:</w:t>
      </w:r>
    </w:p>
    <w:p w:rsidR="00675E77" w:rsidRDefault="00675E77" w:rsidP="00675E77">
      <w:pPr>
        <w:pStyle w:val="Bullettext"/>
      </w:pPr>
      <w:r w:rsidRPr="00382AA2">
        <w:t xml:space="preserve">similar to the product monograph for </w:t>
      </w:r>
      <w:r>
        <w:t>fluticasone</w:t>
      </w:r>
      <w:r w:rsidR="00ED1904">
        <w:t xml:space="preserve"> propionate</w:t>
      </w:r>
      <w:r>
        <w:t>/salmeterol</w:t>
      </w:r>
      <w:r w:rsidRPr="00382AA2">
        <w:t xml:space="preserve">, the product monograph for </w:t>
      </w:r>
      <w:r>
        <w:t>fluticasone</w:t>
      </w:r>
      <w:r w:rsidR="00ED1904">
        <w:t xml:space="preserve"> </w:t>
      </w:r>
      <w:proofErr w:type="spellStart"/>
      <w:r w:rsidR="00ED1904">
        <w:t>furoate</w:t>
      </w:r>
      <w:proofErr w:type="spellEnd"/>
      <w:r>
        <w:t>/</w:t>
      </w:r>
      <w:proofErr w:type="spellStart"/>
      <w:r>
        <w:t>vilanterol</w:t>
      </w:r>
      <w:proofErr w:type="spellEnd"/>
      <w:r w:rsidRPr="00382AA2">
        <w:t xml:space="preserve"> states that an increase in the incidence of pneumonia has been observed in patients with COPD receiving treatment</w:t>
      </w:r>
      <w:r>
        <w:t xml:space="preserve"> with the LABA/ICS combination;</w:t>
      </w:r>
    </w:p>
    <w:p w:rsidR="00675E77" w:rsidRDefault="00675E77" w:rsidP="00675E77">
      <w:pPr>
        <w:pStyle w:val="Bullettext"/>
      </w:pPr>
      <w:r w:rsidRPr="00382AA2">
        <w:lastRenderedPageBreak/>
        <w:t xml:space="preserve">the RCTs included in the CDR systematic review were too short in duration and lacked statistical power to draw any conclusions about the comparative risk of pneumonia with </w:t>
      </w:r>
      <w:r>
        <w:t>fluticasone</w:t>
      </w:r>
      <w:r w:rsidR="00ED1904">
        <w:t xml:space="preserve"> </w:t>
      </w:r>
      <w:proofErr w:type="spellStart"/>
      <w:r w:rsidR="00ED1904">
        <w:t>furoate</w:t>
      </w:r>
      <w:proofErr w:type="spellEnd"/>
      <w:r>
        <w:t>/</w:t>
      </w:r>
      <w:proofErr w:type="spellStart"/>
      <w:r>
        <w:t>vilanterol</w:t>
      </w:r>
      <w:proofErr w:type="spellEnd"/>
      <w:r w:rsidRPr="00382AA2">
        <w:t xml:space="preserve"> relative to </w:t>
      </w:r>
      <w:r>
        <w:t>fluticasone</w:t>
      </w:r>
      <w:r w:rsidR="00ED1904">
        <w:t xml:space="preserve"> propionate</w:t>
      </w:r>
      <w:r>
        <w:t>/salmeterol;</w:t>
      </w:r>
    </w:p>
    <w:p w:rsidR="00675E77" w:rsidRDefault="00675E77" w:rsidP="00675E77">
      <w:pPr>
        <w:pStyle w:val="Bullettext"/>
      </w:pPr>
      <w:proofErr w:type="gramStart"/>
      <w:r w:rsidRPr="00E000FA">
        <w:t>longer-term</w:t>
      </w:r>
      <w:proofErr w:type="gramEnd"/>
      <w:r w:rsidRPr="00E000FA">
        <w:t xml:space="preserve"> studies are required to characteri</w:t>
      </w:r>
      <w:r>
        <w:t>s</w:t>
      </w:r>
      <w:r w:rsidRPr="00E000FA">
        <w:t xml:space="preserve">e the risk of pneumonia in patients treated with </w:t>
      </w:r>
      <w:r>
        <w:t>fluticasone</w:t>
      </w:r>
      <w:r w:rsidR="00ED1904">
        <w:t xml:space="preserve"> </w:t>
      </w:r>
      <w:proofErr w:type="spellStart"/>
      <w:r w:rsidR="00ED1904">
        <w:t>furoate</w:t>
      </w:r>
      <w:proofErr w:type="spellEnd"/>
      <w:r>
        <w:t>/</w:t>
      </w:r>
      <w:proofErr w:type="spellStart"/>
      <w:r>
        <w:t>vilanterol</w:t>
      </w:r>
      <w:proofErr w:type="spellEnd"/>
      <w:r>
        <w:t xml:space="preserve"> and other LABA/ICS products.</w:t>
      </w:r>
    </w:p>
    <w:p w:rsidR="00675E77" w:rsidRDefault="00675E77" w:rsidP="00D92F94">
      <w:pPr>
        <w:pStyle w:val="Heading3"/>
      </w:pPr>
      <w:bookmarkStart w:id="180" w:name="_Toc468022809"/>
      <w:bookmarkStart w:id="181" w:name="_Toc482191519"/>
      <w:bookmarkStart w:id="182" w:name="_Toc486515186"/>
      <w:r>
        <w:t>Observational studies</w:t>
      </w:r>
      <w:bookmarkEnd w:id="167"/>
      <w:bookmarkEnd w:id="168"/>
      <w:bookmarkEnd w:id="169"/>
      <w:bookmarkEnd w:id="180"/>
      <w:bookmarkEnd w:id="181"/>
      <w:bookmarkEnd w:id="182"/>
    </w:p>
    <w:p w:rsidR="00675E77" w:rsidRDefault="00675E77" w:rsidP="00675E77">
      <w:pPr>
        <w:pStyle w:val="Heading4"/>
      </w:pPr>
      <w:r>
        <w:t>Risk of pneumonia</w:t>
      </w:r>
    </w:p>
    <w:p w:rsidR="00675E77" w:rsidRDefault="00675E77" w:rsidP="00675E77">
      <w:pPr>
        <w:pStyle w:val="BodyText"/>
      </w:pPr>
      <w:r>
        <w:t xml:space="preserve">Of 31 identified observational studies investigating safety outcomes for ICS use in COPD patients, the majority report pneumonia. These 15 studies are listed in </w:t>
      </w:r>
      <w:r w:rsidR="00356377">
        <w:t xml:space="preserve">Table </w:t>
      </w:r>
      <w:r w:rsidR="00356377">
        <w:rPr>
          <w:noProof/>
        </w:rPr>
        <w:t>4</w:t>
      </w:r>
      <w:r w:rsidR="00356377">
        <w:t>.</w:t>
      </w:r>
      <w:r w:rsidR="00356377">
        <w:rPr>
          <w:noProof/>
        </w:rPr>
        <w:t>15</w:t>
      </w:r>
      <w:r>
        <w:t xml:space="preserve"> by year of publication.</w:t>
      </w:r>
    </w:p>
    <w:p w:rsidR="00675E77" w:rsidRDefault="00675E77" w:rsidP="00D52262">
      <w:pPr>
        <w:pStyle w:val="HeaderTable"/>
      </w:pPr>
      <w:bookmarkStart w:id="183" w:name="_Ref467664366"/>
      <w:bookmarkStart w:id="184" w:name="_Toc468022907"/>
      <w:bookmarkStart w:id="185" w:name="_Toc468034560"/>
      <w:bookmarkStart w:id="186" w:name="_Toc480373310"/>
      <w:bookmarkStart w:id="187" w:name="_Toc486515205"/>
      <w:r>
        <w:t xml:space="preserve">Table </w:t>
      </w:r>
      <w:r w:rsidR="00356377">
        <w:rPr>
          <w:noProof/>
        </w:rPr>
        <w:t>4</w:t>
      </w:r>
      <w:r>
        <w:t>.</w:t>
      </w:r>
      <w:r w:rsidR="00356377">
        <w:rPr>
          <w:noProof/>
        </w:rPr>
        <w:t>15</w:t>
      </w:r>
      <w:bookmarkEnd w:id="183"/>
      <w:r>
        <w:tab/>
        <w:t>Observational studies reporting pneumonia outcomes for COPD</w:t>
      </w:r>
      <w:bookmarkEnd w:id="184"/>
      <w:bookmarkEnd w:id="185"/>
      <w:bookmarkEnd w:id="186"/>
      <w:bookmarkEnd w:id="187"/>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Observational studies reporting pneumonia outcomes for COPD"/>
      </w:tblPr>
      <w:tblGrid>
        <w:gridCol w:w="1139"/>
        <w:gridCol w:w="723"/>
        <w:gridCol w:w="4380"/>
        <w:gridCol w:w="3402"/>
      </w:tblGrid>
      <w:tr w:rsidR="00675E77" w:rsidRPr="003553F1" w:rsidTr="00675E77">
        <w:trPr>
          <w:cantSplit/>
          <w:tblHeader/>
        </w:trPr>
        <w:tc>
          <w:tcPr>
            <w:tcW w:w="1139" w:type="dxa"/>
            <w:shd w:val="clear" w:color="auto" w:fill="BFBFBF"/>
          </w:tcPr>
          <w:p w:rsidR="00675E77" w:rsidRPr="002B2660" w:rsidRDefault="00675E77" w:rsidP="00675E77">
            <w:pPr>
              <w:pStyle w:val="01TableHEADINGleftaligned"/>
            </w:pPr>
            <w:r>
              <w:t>Ref ID</w:t>
            </w:r>
          </w:p>
        </w:tc>
        <w:tc>
          <w:tcPr>
            <w:tcW w:w="723" w:type="dxa"/>
            <w:shd w:val="clear" w:color="auto" w:fill="BFBFBF"/>
          </w:tcPr>
          <w:p w:rsidR="00675E77" w:rsidRPr="002B2660" w:rsidRDefault="00675E77" w:rsidP="00675E77">
            <w:pPr>
              <w:pStyle w:val="01TableHEADINGleftaligned"/>
            </w:pPr>
            <w:r>
              <w:t>Country</w:t>
            </w:r>
          </w:p>
        </w:tc>
        <w:tc>
          <w:tcPr>
            <w:tcW w:w="4380" w:type="dxa"/>
            <w:shd w:val="clear" w:color="auto" w:fill="BFBFBF"/>
          </w:tcPr>
          <w:p w:rsidR="00675E77" w:rsidRPr="002B2660" w:rsidRDefault="00675E77" w:rsidP="00675E77">
            <w:pPr>
              <w:pStyle w:val="01TableHEADINGleftaligned"/>
            </w:pPr>
            <w:r>
              <w:t>Publication title</w:t>
            </w:r>
          </w:p>
        </w:tc>
        <w:tc>
          <w:tcPr>
            <w:tcW w:w="3402" w:type="dxa"/>
            <w:shd w:val="clear" w:color="auto" w:fill="BFBFBF"/>
          </w:tcPr>
          <w:p w:rsidR="00675E77" w:rsidRPr="002B2660" w:rsidRDefault="00675E77" w:rsidP="00675E77">
            <w:pPr>
              <w:pStyle w:val="01TableHEADINGleftaligned"/>
            </w:pPr>
            <w:r>
              <w:t>Overall findings</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Kern (2015)</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Comparative effectiveness of budesonide/formoterol combination and fluticasone/salmeterol combination among chronic obstructive pulmonary disease patients new to controller treatment: A US administrative claims database study.</w:t>
            </w:r>
          </w:p>
        </w:tc>
        <w:tc>
          <w:tcPr>
            <w:tcW w:w="3402" w:type="dxa"/>
            <w:shd w:val="clear" w:color="auto" w:fill="auto"/>
          </w:tcPr>
          <w:p w:rsidR="00675E77" w:rsidRPr="002B2660" w:rsidRDefault="00675E77" w:rsidP="00675E77">
            <w:pPr>
              <w:pStyle w:val="05Tabletext"/>
            </w:pPr>
            <w:r>
              <w:t>No intra-class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Lee (2015)</w:t>
            </w:r>
          </w:p>
        </w:tc>
        <w:tc>
          <w:tcPr>
            <w:tcW w:w="723" w:type="dxa"/>
            <w:shd w:val="clear" w:color="auto" w:fill="auto"/>
          </w:tcPr>
          <w:p w:rsidR="00675E77" w:rsidRPr="002B2660" w:rsidRDefault="00675E77" w:rsidP="00675E77">
            <w:pPr>
              <w:pStyle w:val="05Tabletext"/>
            </w:pPr>
            <w:r w:rsidRPr="002B2660">
              <w:t>Taiwan</w:t>
            </w:r>
          </w:p>
        </w:tc>
        <w:tc>
          <w:tcPr>
            <w:tcW w:w="4380" w:type="dxa"/>
            <w:shd w:val="clear" w:color="auto" w:fill="auto"/>
          </w:tcPr>
          <w:p w:rsidR="00675E77" w:rsidRPr="002B2660" w:rsidRDefault="00675E77" w:rsidP="00675E77">
            <w:pPr>
              <w:pStyle w:val="05Tabletext"/>
            </w:pPr>
            <w:r w:rsidRPr="00DB273B">
              <w:t>Inhaled corticosteroids increase the risk of pneumonia in patients with chronic obstructive pulmonary disease: A nationwide cohort study.</w:t>
            </w:r>
          </w:p>
        </w:tc>
        <w:tc>
          <w:tcPr>
            <w:tcW w:w="3402" w:type="dxa"/>
            <w:shd w:val="clear" w:color="auto" w:fill="auto"/>
          </w:tcPr>
          <w:p w:rsidR="00675E77" w:rsidRPr="002B2660" w:rsidRDefault="00675E77" w:rsidP="00675E77">
            <w:pPr>
              <w:pStyle w:val="05Tabletext"/>
            </w:pPr>
            <w:r>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Suissa</w:t>
            </w:r>
            <w:proofErr w:type="spellEnd"/>
            <w:r w:rsidRPr="002B2660">
              <w:t xml:space="preserve"> (2015)</w:t>
            </w:r>
          </w:p>
        </w:tc>
        <w:tc>
          <w:tcPr>
            <w:tcW w:w="723" w:type="dxa"/>
            <w:shd w:val="clear" w:color="auto" w:fill="auto"/>
          </w:tcPr>
          <w:p w:rsidR="00675E77" w:rsidRPr="002B2660" w:rsidRDefault="00675E77" w:rsidP="00675E77">
            <w:pPr>
              <w:pStyle w:val="05Tabletext"/>
            </w:pPr>
            <w:r w:rsidRPr="002B2660">
              <w:t>Canada</w:t>
            </w:r>
          </w:p>
        </w:tc>
        <w:tc>
          <w:tcPr>
            <w:tcW w:w="4380" w:type="dxa"/>
            <w:shd w:val="clear" w:color="auto" w:fill="auto"/>
          </w:tcPr>
          <w:p w:rsidR="00675E77" w:rsidRPr="002B2660" w:rsidRDefault="00675E77" w:rsidP="00675E77">
            <w:pPr>
              <w:pStyle w:val="05Tabletext"/>
            </w:pPr>
            <w:r w:rsidRPr="00DB273B">
              <w:t>Discontinuation of Inhaled Corticosteroids in COPD and the Risk Reduction of Pneumonia.</w:t>
            </w:r>
          </w:p>
        </w:tc>
        <w:tc>
          <w:tcPr>
            <w:tcW w:w="3402" w:type="dxa"/>
            <w:shd w:val="clear" w:color="auto" w:fill="auto"/>
          </w:tcPr>
          <w:p w:rsidR="00675E77" w:rsidRPr="002B2660" w:rsidRDefault="00675E77" w:rsidP="00675E77">
            <w:pPr>
              <w:pStyle w:val="05Tabletext"/>
            </w:pPr>
            <w:r>
              <w:t>Favours discontinuation</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DiSantostefano</w:t>
            </w:r>
            <w:proofErr w:type="spellEnd"/>
            <w:r w:rsidRPr="002B2660">
              <w:t xml:space="preserve"> (2014</w:t>
            </w:r>
            <w:r w:rsidR="00A27A1B">
              <w:t>b</w:t>
            </w:r>
            <w:r w:rsidRPr="002B2660">
              <w:t>)</w:t>
            </w:r>
          </w:p>
        </w:tc>
        <w:tc>
          <w:tcPr>
            <w:tcW w:w="723" w:type="dxa"/>
            <w:shd w:val="clear" w:color="auto" w:fill="auto"/>
          </w:tcPr>
          <w:p w:rsidR="00675E77" w:rsidRPr="002B2660" w:rsidRDefault="00675E77" w:rsidP="00675E77">
            <w:pPr>
              <w:pStyle w:val="05Tabletext"/>
            </w:pPr>
            <w:r w:rsidRPr="002B2660">
              <w:t xml:space="preserve">UK </w:t>
            </w:r>
          </w:p>
        </w:tc>
        <w:tc>
          <w:tcPr>
            <w:tcW w:w="4380" w:type="dxa"/>
            <w:shd w:val="clear" w:color="auto" w:fill="auto"/>
          </w:tcPr>
          <w:p w:rsidR="00675E77" w:rsidRPr="002B2660" w:rsidRDefault="00675E77" w:rsidP="00675E77">
            <w:pPr>
              <w:pStyle w:val="05Tabletext"/>
            </w:pPr>
            <w:r w:rsidRPr="00DB273B">
              <w:t>Risk of pneumonia with inhaled corticosteroid versus long-acting bronchodilator regimens in chronic obstructive pulmonary disease: a new-user cohort study.</w:t>
            </w:r>
          </w:p>
        </w:tc>
        <w:tc>
          <w:tcPr>
            <w:tcW w:w="3402" w:type="dxa"/>
            <w:shd w:val="clear" w:color="auto" w:fill="auto"/>
          </w:tcPr>
          <w:p w:rsidR="00675E77" w:rsidRPr="002B2660" w:rsidRDefault="00675E77" w:rsidP="00675E77">
            <w:pPr>
              <w:pStyle w:val="05Tabletext"/>
            </w:pPr>
            <w:r>
              <w:t>Favours LABD without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Festic</w:t>
            </w:r>
            <w:proofErr w:type="spellEnd"/>
            <w:r w:rsidRPr="002B2660">
              <w:t xml:space="preserve"> (2014)</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 xml:space="preserve">Prehospital use of inhaled corticosteroids and point prevalence of pneumonia at the time of hospital admission: Secondary analysis of a </w:t>
            </w:r>
            <w:proofErr w:type="spellStart"/>
            <w:r w:rsidRPr="00DB273B">
              <w:t>multicenter</w:t>
            </w:r>
            <w:proofErr w:type="spellEnd"/>
            <w:r w:rsidRPr="00DB273B">
              <w:t xml:space="preserve"> cohort study.</w:t>
            </w:r>
          </w:p>
        </w:tc>
        <w:tc>
          <w:tcPr>
            <w:tcW w:w="3402" w:type="dxa"/>
            <w:shd w:val="clear" w:color="auto" w:fill="auto"/>
          </w:tcPr>
          <w:p w:rsidR="00675E77" w:rsidRPr="002B2660" w:rsidRDefault="00675E77" w:rsidP="00675E77">
            <w:pPr>
              <w:pStyle w:val="05Tabletext"/>
            </w:pPr>
            <w:r>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Flynn (2014)</w:t>
            </w:r>
          </w:p>
        </w:tc>
        <w:tc>
          <w:tcPr>
            <w:tcW w:w="723" w:type="dxa"/>
            <w:shd w:val="clear" w:color="auto" w:fill="auto"/>
          </w:tcPr>
          <w:p w:rsidR="00675E77" w:rsidRPr="002B2660" w:rsidRDefault="00675E77" w:rsidP="00675E77">
            <w:pPr>
              <w:pStyle w:val="05Tabletext"/>
            </w:pPr>
            <w:r w:rsidRPr="002B2660">
              <w:t>Scotland</w:t>
            </w:r>
          </w:p>
        </w:tc>
        <w:tc>
          <w:tcPr>
            <w:tcW w:w="4380" w:type="dxa"/>
            <w:shd w:val="clear" w:color="auto" w:fill="auto"/>
          </w:tcPr>
          <w:p w:rsidR="00675E77" w:rsidRPr="002B2660" w:rsidRDefault="00675E77" w:rsidP="00675E77">
            <w:pPr>
              <w:pStyle w:val="05Tabletext"/>
            </w:pPr>
            <w:r w:rsidRPr="00DB273B">
              <w:t>Quantifying the real life risk profile of inhaled corticosteroids in COPD by record linkage analysis.</w:t>
            </w:r>
            <w:r>
              <w:t xml:space="preserve"> [also reports diabetes, cataracts, fracture]</w:t>
            </w:r>
          </w:p>
        </w:tc>
        <w:tc>
          <w:tcPr>
            <w:tcW w:w="3402" w:type="dxa"/>
            <w:shd w:val="clear" w:color="auto" w:fill="auto"/>
          </w:tcPr>
          <w:p w:rsidR="00675E77" w:rsidRDefault="00675E77" w:rsidP="00675E77">
            <w:pPr>
              <w:pStyle w:val="05Tabletext"/>
              <w:tabs>
                <w:tab w:val="left" w:pos="1984"/>
              </w:tabs>
            </w:pPr>
            <w:r w:rsidRPr="00920836">
              <w:rPr>
                <w:u w:val="single"/>
              </w:rPr>
              <w:t>Pneumonia hospitalisations</w:t>
            </w:r>
            <w:r>
              <w:t xml:space="preserve"> </w:t>
            </w:r>
            <w:r>
              <w:tab/>
              <w:t>Favours no ICS</w:t>
            </w:r>
          </w:p>
          <w:p w:rsidR="00675E77" w:rsidRDefault="00675E77" w:rsidP="00675E77">
            <w:pPr>
              <w:pStyle w:val="05Tabletext"/>
              <w:tabs>
                <w:tab w:val="left" w:pos="1984"/>
              </w:tabs>
            </w:pPr>
            <w:r w:rsidRPr="00920836">
              <w:rPr>
                <w:u w:val="single"/>
              </w:rPr>
              <w:t>Cataract</w:t>
            </w:r>
            <w:r>
              <w:t xml:space="preserve"> </w:t>
            </w:r>
            <w:r>
              <w:tab/>
              <w:t>Favours no ICS</w:t>
            </w:r>
          </w:p>
          <w:p w:rsidR="00675E77" w:rsidRDefault="00675E77" w:rsidP="00675E77">
            <w:pPr>
              <w:pStyle w:val="05Tabletext"/>
              <w:tabs>
                <w:tab w:val="left" w:pos="1984"/>
              </w:tabs>
            </w:pPr>
            <w:r w:rsidRPr="00920836">
              <w:rPr>
                <w:u w:val="single"/>
              </w:rPr>
              <w:t>Diabetes</w:t>
            </w:r>
            <w:r>
              <w:tab/>
              <w:t>No difference</w:t>
            </w:r>
          </w:p>
          <w:p w:rsidR="00675E77" w:rsidRPr="002B2660" w:rsidRDefault="00675E77" w:rsidP="00675E77">
            <w:pPr>
              <w:pStyle w:val="05Tabletext"/>
              <w:tabs>
                <w:tab w:val="left" w:pos="1984"/>
              </w:tabs>
            </w:pPr>
            <w:r w:rsidRPr="00920836">
              <w:rPr>
                <w:u w:val="single"/>
              </w:rPr>
              <w:t>Fracture</w:t>
            </w:r>
            <w:r>
              <w:tab/>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Eurich</w:t>
            </w:r>
            <w:proofErr w:type="spellEnd"/>
            <w:r w:rsidRPr="002B2660">
              <w:t xml:space="preserve"> (2013)</w:t>
            </w:r>
          </w:p>
        </w:tc>
        <w:tc>
          <w:tcPr>
            <w:tcW w:w="723" w:type="dxa"/>
            <w:shd w:val="clear" w:color="auto" w:fill="auto"/>
          </w:tcPr>
          <w:p w:rsidR="00675E77" w:rsidRPr="002B2660" w:rsidRDefault="00675E77" w:rsidP="00675E77">
            <w:pPr>
              <w:pStyle w:val="05Tabletext"/>
            </w:pPr>
            <w:r w:rsidRPr="002B2660">
              <w:t>Canada</w:t>
            </w:r>
          </w:p>
        </w:tc>
        <w:tc>
          <w:tcPr>
            <w:tcW w:w="4380" w:type="dxa"/>
            <w:shd w:val="clear" w:color="auto" w:fill="auto"/>
          </w:tcPr>
          <w:p w:rsidR="00675E77" w:rsidRPr="002B2660" w:rsidRDefault="00675E77" w:rsidP="00675E77">
            <w:pPr>
              <w:pStyle w:val="05Tabletext"/>
            </w:pPr>
            <w:r w:rsidRPr="00DB273B">
              <w:t>Inhaled corticosteroids and risk of recurrent pneumonia: A population-based, nested case-control study.</w:t>
            </w:r>
          </w:p>
        </w:tc>
        <w:tc>
          <w:tcPr>
            <w:tcW w:w="3402" w:type="dxa"/>
            <w:shd w:val="clear" w:color="auto" w:fill="auto"/>
          </w:tcPr>
          <w:p w:rsidR="00675E77" w:rsidRPr="002B2660" w:rsidRDefault="00675E77" w:rsidP="00675E77">
            <w:pPr>
              <w:pStyle w:val="05Tabletext"/>
            </w:pPr>
            <w:r>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Janson (2013)</w:t>
            </w:r>
          </w:p>
        </w:tc>
        <w:tc>
          <w:tcPr>
            <w:tcW w:w="723" w:type="dxa"/>
            <w:shd w:val="clear" w:color="auto" w:fill="auto"/>
          </w:tcPr>
          <w:p w:rsidR="00675E77" w:rsidRPr="002B2660" w:rsidRDefault="00675E77" w:rsidP="00675E77">
            <w:pPr>
              <w:pStyle w:val="05Tabletext"/>
            </w:pPr>
            <w:r w:rsidRPr="002B2660">
              <w:t>Sweden</w:t>
            </w:r>
          </w:p>
        </w:tc>
        <w:tc>
          <w:tcPr>
            <w:tcW w:w="4380" w:type="dxa"/>
            <w:shd w:val="clear" w:color="auto" w:fill="auto"/>
          </w:tcPr>
          <w:p w:rsidR="00675E77" w:rsidRPr="002B2660" w:rsidRDefault="00675E77">
            <w:pPr>
              <w:pStyle w:val="05Tabletext"/>
            </w:pPr>
            <w:r w:rsidRPr="00DB273B">
              <w:t xml:space="preserve">Pneumonia and pneumonia related mortality in patients with COPD treated with fixed combinations of inhaled corticosteroid </w:t>
            </w:r>
            <w:r>
              <w:t>and long</w:t>
            </w:r>
            <w:r w:rsidR="00D1265E">
              <w:t>-</w:t>
            </w:r>
            <w:r>
              <w:t xml:space="preserve">acting </w:t>
            </w:r>
            <w:r w:rsidR="00EE326E" w:rsidRPr="00EE326E">
              <w:t>β</w:t>
            </w:r>
            <w:r w:rsidRPr="004B35EA">
              <w:rPr>
                <w:vertAlign w:val="subscript"/>
              </w:rPr>
              <w:t>2</w:t>
            </w:r>
            <w:r w:rsidRPr="00DB273B">
              <w:t xml:space="preserve"> agonist: Observational matched cohort study (PATHOS).</w:t>
            </w:r>
          </w:p>
        </w:tc>
        <w:tc>
          <w:tcPr>
            <w:tcW w:w="3402" w:type="dxa"/>
            <w:shd w:val="clear" w:color="auto" w:fill="auto"/>
          </w:tcPr>
          <w:p w:rsidR="00675E77" w:rsidRDefault="00675E77" w:rsidP="00675E77">
            <w:pPr>
              <w:pStyle w:val="05Tabletext"/>
              <w:tabs>
                <w:tab w:val="left" w:pos="1984"/>
              </w:tabs>
            </w:pPr>
            <w:r>
              <w:t>FLU/SAL vs BUD/</w:t>
            </w:r>
            <w:r>
              <w:rPr>
                <w:rFonts w:ascii="Arial" w:hAnsi="Arial" w:cs="Arial"/>
              </w:rPr>
              <w:t>​</w:t>
            </w:r>
            <w:r>
              <w:t>EFO</w:t>
            </w:r>
          </w:p>
          <w:p w:rsidR="00675E77" w:rsidRPr="002B2660" w:rsidRDefault="00675E77" w:rsidP="00675E77">
            <w:pPr>
              <w:pStyle w:val="05Tabletext"/>
              <w:tabs>
                <w:tab w:val="left" w:pos="1701"/>
              </w:tabs>
            </w:pPr>
            <w:r>
              <w:tab/>
              <w:t>Favours BUD/EFO</w:t>
            </w:r>
          </w:p>
        </w:tc>
      </w:tr>
      <w:tr w:rsidR="00675E77" w:rsidRPr="003553F1" w:rsidTr="00675E77">
        <w:trPr>
          <w:cantSplit/>
        </w:trPr>
        <w:tc>
          <w:tcPr>
            <w:tcW w:w="1139" w:type="dxa"/>
            <w:shd w:val="clear" w:color="auto" w:fill="auto"/>
          </w:tcPr>
          <w:p w:rsidR="00675E77" w:rsidRPr="002B2660" w:rsidRDefault="00675E77" w:rsidP="00675E77">
            <w:pPr>
              <w:pStyle w:val="05Tabletext"/>
            </w:pPr>
            <w:r>
              <w:t>Lee (2013a)</w:t>
            </w:r>
          </w:p>
        </w:tc>
        <w:tc>
          <w:tcPr>
            <w:tcW w:w="723" w:type="dxa"/>
            <w:shd w:val="clear" w:color="auto" w:fill="auto"/>
          </w:tcPr>
          <w:p w:rsidR="00675E77" w:rsidRPr="002B2660" w:rsidRDefault="00675E77" w:rsidP="00675E77">
            <w:pPr>
              <w:pStyle w:val="05Tabletext"/>
            </w:pPr>
            <w:r>
              <w:t>South Korea</w:t>
            </w:r>
          </w:p>
        </w:tc>
        <w:tc>
          <w:tcPr>
            <w:tcW w:w="4380" w:type="dxa"/>
            <w:shd w:val="clear" w:color="auto" w:fill="auto"/>
          </w:tcPr>
          <w:p w:rsidR="00675E77" w:rsidRPr="00DB273B" w:rsidRDefault="00675E77" w:rsidP="00675E77">
            <w:pPr>
              <w:pStyle w:val="05Tabletext"/>
            </w:pPr>
            <w:r>
              <w:t>Risk of hospital admission or emergency room visit for pneumonia in patients using respiratory inhalers: A case-crossover study</w:t>
            </w:r>
          </w:p>
        </w:tc>
        <w:tc>
          <w:tcPr>
            <w:tcW w:w="3402" w:type="dxa"/>
            <w:shd w:val="clear" w:color="auto" w:fill="auto"/>
          </w:tcPr>
          <w:p w:rsidR="00675E77" w:rsidRDefault="00675E77" w:rsidP="00675E77">
            <w:pPr>
              <w:pStyle w:val="05Tabletext"/>
              <w:tabs>
                <w:tab w:val="left" w:pos="1843"/>
              </w:tabs>
            </w:pPr>
            <w:r w:rsidRPr="00920836">
              <w:rPr>
                <w:u w:val="single"/>
              </w:rPr>
              <w:t>ICS/LABA vs control</w:t>
            </w:r>
            <w:r>
              <w:tab/>
              <w:t>Favours no ICS</w:t>
            </w:r>
          </w:p>
          <w:p w:rsidR="00675E77" w:rsidRDefault="00675E77" w:rsidP="00675E77">
            <w:pPr>
              <w:pStyle w:val="05Tabletext"/>
              <w:tabs>
                <w:tab w:val="left" w:pos="1843"/>
              </w:tabs>
            </w:pPr>
            <w:r w:rsidRPr="00920836">
              <w:rPr>
                <w:u w:val="single"/>
              </w:rPr>
              <w:t>ICS vs control</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Suissa</w:t>
            </w:r>
            <w:proofErr w:type="spellEnd"/>
            <w:r w:rsidRPr="002B2660">
              <w:t xml:space="preserve"> (2013)</w:t>
            </w:r>
          </w:p>
        </w:tc>
        <w:tc>
          <w:tcPr>
            <w:tcW w:w="723" w:type="dxa"/>
            <w:shd w:val="clear" w:color="auto" w:fill="auto"/>
          </w:tcPr>
          <w:p w:rsidR="00675E77" w:rsidRPr="002B2660" w:rsidRDefault="00675E77" w:rsidP="00675E77">
            <w:pPr>
              <w:pStyle w:val="05Tabletext"/>
            </w:pPr>
            <w:r w:rsidRPr="002B2660">
              <w:t>Canada</w:t>
            </w:r>
          </w:p>
        </w:tc>
        <w:tc>
          <w:tcPr>
            <w:tcW w:w="4380" w:type="dxa"/>
            <w:shd w:val="clear" w:color="auto" w:fill="auto"/>
          </w:tcPr>
          <w:p w:rsidR="00675E77" w:rsidRPr="002B2660" w:rsidRDefault="00675E77" w:rsidP="00675E77">
            <w:pPr>
              <w:pStyle w:val="05Tabletext"/>
            </w:pPr>
            <w:r w:rsidRPr="00DB273B">
              <w:t>Inhaled corticosteroids in COPD and the risk of serious pneumonia.</w:t>
            </w:r>
          </w:p>
        </w:tc>
        <w:tc>
          <w:tcPr>
            <w:tcW w:w="3402" w:type="dxa"/>
            <w:shd w:val="clear" w:color="auto" w:fill="auto"/>
          </w:tcPr>
          <w:p w:rsidR="00675E77" w:rsidRPr="002B2660" w:rsidRDefault="00675E77" w:rsidP="00675E77">
            <w:pPr>
              <w:pStyle w:val="05Tabletext"/>
            </w:pPr>
            <w:r>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Yawn (2013)</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Inhaled corticosteroid use in patients with chronic obstructive pulmonary disease and the risk of pneumonia: A retrospective claims data analysis.</w:t>
            </w:r>
          </w:p>
        </w:tc>
        <w:tc>
          <w:tcPr>
            <w:tcW w:w="3402" w:type="dxa"/>
            <w:shd w:val="clear" w:color="auto" w:fill="auto"/>
          </w:tcPr>
          <w:p w:rsidR="00675E77" w:rsidRPr="002B2660" w:rsidRDefault="00675E77" w:rsidP="00675E77">
            <w:pPr>
              <w:pStyle w:val="05Tabletext"/>
            </w:pPr>
            <w:r>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Thornton Snider (2012)</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Inhaled corticosteroids and the risk of pneumonia in Medicare patients with COPD.</w:t>
            </w:r>
          </w:p>
        </w:tc>
        <w:tc>
          <w:tcPr>
            <w:tcW w:w="3402" w:type="dxa"/>
            <w:shd w:val="clear" w:color="auto" w:fill="auto"/>
          </w:tcPr>
          <w:p w:rsidR="00675E77" w:rsidRPr="002B2660" w:rsidRDefault="00675E77" w:rsidP="00675E77">
            <w:pPr>
              <w:pStyle w:val="05Tabletext"/>
            </w:pPr>
            <w:r>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Joo</w:t>
            </w:r>
            <w:proofErr w:type="spellEnd"/>
            <w:r w:rsidRPr="002B2660">
              <w:t xml:space="preserve"> (2010)</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Inhaled corticosteroids and risk of pneumonia in newly diagnosed COPD.</w:t>
            </w:r>
          </w:p>
        </w:tc>
        <w:tc>
          <w:tcPr>
            <w:tcW w:w="3402" w:type="dxa"/>
            <w:shd w:val="clear" w:color="auto" w:fill="auto"/>
          </w:tcPr>
          <w:p w:rsidR="00675E77" w:rsidRPr="002B2660" w:rsidRDefault="00675E77" w:rsidP="00675E77">
            <w:pPr>
              <w:pStyle w:val="05Tabletext"/>
            </w:pPr>
            <w:r>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Mapel</w:t>
            </w:r>
            <w:proofErr w:type="spellEnd"/>
            <w:r w:rsidRPr="002B2660">
              <w:t xml:space="preserve"> (2010)</w:t>
            </w:r>
          </w:p>
        </w:tc>
        <w:tc>
          <w:tcPr>
            <w:tcW w:w="723" w:type="dxa"/>
            <w:shd w:val="clear" w:color="auto" w:fill="auto"/>
          </w:tcPr>
          <w:p w:rsidR="00675E77" w:rsidRPr="002B2660" w:rsidRDefault="00675E77" w:rsidP="00675E77">
            <w:pPr>
              <w:pStyle w:val="05Tabletext"/>
            </w:pPr>
            <w:r>
              <w:t>US</w:t>
            </w:r>
          </w:p>
        </w:tc>
        <w:tc>
          <w:tcPr>
            <w:tcW w:w="4380" w:type="dxa"/>
            <w:shd w:val="clear" w:color="auto" w:fill="auto"/>
          </w:tcPr>
          <w:p w:rsidR="00675E77" w:rsidRPr="002B2660" w:rsidRDefault="00675E77" w:rsidP="00675E77">
            <w:pPr>
              <w:pStyle w:val="05Tabletext"/>
            </w:pPr>
            <w:r w:rsidRPr="00DB273B">
              <w:t>Pneumonia among COPD patients using inhaled corticosteroids and long-acting bronchodilators.</w:t>
            </w:r>
          </w:p>
        </w:tc>
        <w:tc>
          <w:tcPr>
            <w:tcW w:w="3402" w:type="dxa"/>
            <w:shd w:val="clear" w:color="auto" w:fill="auto"/>
          </w:tcPr>
          <w:p w:rsidR="00675E77" w:rsidRPr="002B2660" w:rsidRDefault="00675E77" w:rsidP="00675E77">
            <w:pPr>
              <w:pStyle w:val="05Tabletext"/>
            </w:pPr>
            <w:r>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lastRenderedPageBreak/>
              <w:t>Ernst (2007)</w:t>
            </w:r>
          </w:p>
        </w:tc>
        <w:tc>
          <w:tcPr>
            <w:tcW w:w="723" w:type="dxa"/>
            <w:shd w:val="clear" w:color="auto" w:fill="auto"/>
          </w:tcPr>
          <w:p w:rsidR="00675E77" w:rsidRPr="002B2660" w:rsidRDefault="00675E77" w:rsidP="00675E77">
            <w:pPr>
              <w:pStyle w:val="05Tabletext"/>
            </w:pPr>
            <w:r w:rsidRPr="002B2660">
              <w:t>Canada</w:t>
            </w:r>
          </w:p>
        </w:tc>
        <w:tc>
          <w:tcPr>
            <w:tcW w:w="4380" w:type="dxa"/>
            <w:shd w:val="clear" w:color="auto" w:fill="auto"/>
          </w:tcPr>
          <w:p w:rsidR="00675E77" w:rsidRPr="002B2660" w:rsidRDefault="00675E77" w:rsidP="00675E77">
            <w:pPr>
              <w:pStyle w:val="05Tabletext"/>
            </w:pPr>
            <w:r w:rsidRPr="00DB273B">
              <w:t>Inhaled corticosteroid use in chronic obstructive pulmonary disease and the risk of hospitalization for pneumonia.</w:t>
            </w:r>
          </w:p>
        </w:tc>
        <w:tc>
          <w:tcPr>
            <w:tcW w:w="3402" w:type="dxa"/>
            <w:shd w:val="clear" w:color="auto" w:fill="auto"/>
          </w:tcPr>
          <w:p w:rsidR="00675E77" w:rsidRPr="002B2660" w:rsidRDefault="00675E77" w:rsidP="00675E77">
            <w:pPr>
              <w:pStyle w:val="05Tabletext"/>
            </w:pPr>
            <w:r>
              <w:t>Favours no ICS</w:t>
            </w:r>
          </w:p>
        </w:tc>
      </w:tr>
    </w:tbl>
    <w:p w:rsidR="00675E77" w:rsidRDefault="00675E77" w:rsidP="00675E77">
      <w:pPr>
        <w:pStyle w:val="10TableorFigurefootnote"/>
      </w:pPr>
      <w:r>
        <w:t xml:space="preserve">Abbreviations: AE, adverse event; BUD, budesonide; COPD, chronic obstructive pulmonary disease; EFO, </w:t>
      </w:r>
      <w:proofErr w:type="spellStart"/>
      <w:r>
        <w:t>eformoterol</w:t>
      </w:r>
      <w:proofErr w:type="spellEnd"/>
      <w:r>
        <w:t xml:space="preserve">; FLU, fluticasone; ICS, inhaled corticosteroids; LABD, long-acting inhaled </w:t>
      </w:r>
      <w:proofErr w:type="spellStart"/>
      <w:r>
        <w:t>brochodilators</w:t>
      </w:r>
      <w:proofErr w:type="spellEnd"/>
      <w:r>
        <w:t>; SAL, salmeterol; vs, versus</w:t>
      </w:r>
      <w:r w:rsidR="00412154">
        <w:t xml:space="preserve">; FLU/SAL, fluticasone propionate/salmeterol; FLU/VIL, fluticasone </w:t>
      </w:r>
      <w:proofErr w:type="spellStart"/>
      <w:r w:rsidR="00412154">
        <w:t>furoate</w:t>
      </w:r>
      <w:proofErr w:type="spellEnd"/>
      <w:r w:rsidR="00412154">
        <w:t>/</w:t>
      </w:r>
      <w:proofErr w:type="spellStart"/>
      <w:r w:rsidR="00412154">
        <w:t>vilanterol</w:t>
      </w:r>
      <w:proofErr w:type="spellEnd"/>
      <w:r w:rsidR="004B5582">
        <w:t>.</w:t>
      </w:r>
    </w:p>
    <w:p w:rsidR="00675E77" w:rsidRDefault="00675E77" w:rsidP="00675E77">
      <w:pPr>
        <w:pStyle w:val="11TableorFigurefootnotenostick"/>
      </w:pPr>
      <w:r>
        <w:t>Note: Adjusted estimates reported.</w:t>
      </w:r>
    </w:p>
    <w:p w:rsidR="00C7351C" w:rsidRDefault="00356377" w:rsidP="00675E77">
      <w:pPr>
        <w:pStyle w:val="BodyText"/>
      </w:pPr>
      <w:r>
        <w:t xml:space="preserve">Table </w:t>
      </w:r>
      <w:r>
        <w:rPr>
          <w:noProof/>
        </w:rPr>
        <w:t>4</w:t>
      </w:r>
      <w:r>
        <w:t>.</w:t>
      </w:r>
      <w:r>
        <w:rPr>
          <w:noProof/>
        </w:rPr>
        <w:t>16</w:t>
      </w:r>
      <w:r w:rsidR="00675E77">
        <w:t xml:space="preserve"> summarises the study design and results from all observational studies</w:t>
      </w:r>
      <w:r w:rsidR="00675E77" w:rsidRPr="00805694">
        <w:t xml:space="preserve"> </w:t>
      </w:r>
      <w:r w:rsidR="00675E77">
        <w:t xml:space="preserve">reporting pneumonia as a main outcome since 2012. </w:t>
      </w:r>
      <w:r w:rsidR="00C7351C">
        <w:t>These studies do not report the duration of exposure, and so their findings do not necessarily relate exclusively to prolonged ICS use. But the nature of these data sources (registries and databases) means typical use of ICS is captured, and since COPD patients will tend to use ICS combination therapy for extended time periods, it might be assumed these findings relate largely to prolonged ICS use.</w:t>
      </w:r>
    </w:p>
    <w:p w:rsidR="00675E77" w:rsidRDefault="00675E77" w:rsidP="00675E77">
      <w:pPr>
        <w:pStyle w:val="BodyText"/>
      </w:pPr>
      <w:r>
        <w:t xml:space="preserve">With few exceptions, these studies confirm the findings regarding pneumonia risk from the systematic reviews of the RCTs. The 2013 nested case-control study by </w:t>
      </w:r>
      <w:proofErr w:type="spellStart"/>
      <w:r>
        <w:t>Suissa</w:t>
      </w:r>
      <w:proofErr w:type="spellEnd"/>
      <w:r>
        <w:t xml:space="preserve"> and colleagues conducted risk factor analyses in matched cohorts of COPD patients with and without pneumonia from the Quebec health insurance databases. They identified a dose-dependent serious pneumonia risk with all doses of ICS, which was noted by PBAC at the March 2014 meeting for fluticasone</w:t>
      </w:r>
      <w:r w:rsidR="00412154">
        <w:t xml:space="preserve"> </w:t>
      </w:r>
      <w:proofErr w:type="spellStart"/>
      <w:r w:rsidR="00412154">
        <w:t>furoate</w:t>
      </w:r>
      <w:proofErr w:type="spellEnd"/>
      <w:r>
        <w:t>/</w:t>
      </w:r>
      <w:proofErr w:type="spellStart"/>
      <w:r>
        <w:t>vilanterol</w:t>
      </w:r>
      <w:proofErr w:type="spellEnd"/>
      <w:r>
        <w:t xml:space="preserve"> (</w:t>
      </w:r>
      <w:proofErr w:type="spellStart"/>
      <w:r>
        <w:t>Breo</w:t>
      </w:r>
      <w:proofErr w:type="spellEnd"/>
      <w:r>
        <w:t xml:space="preserve"> </w:t>
      </w:r>
      <w:proofErr w:type="spellStart"/>
      <w:r>
        <w:t>Ellipta</w:t>
      </w:r>
      <w:proofErr w:type="spellEnd"/>
      <w:r>
        <w:t>). That study found the risk was more evident for fluticasone than budesonide.</w:t>
      </w:r>
    </w:p>
    <w:p w:rsidR="00675E77" w:rsidRDefault="00675E77" w:rsidP="00675E77">
      <w:pPr>
        <w:pStyle w:val="BodyText"/>
      </w:pPr>
      <w:r>
        <w:t>The same group later published a study of new users of respiratory medications and ICS using a subset of the original data set. They showed discontinuation of ICS significantly reduces the serious pneumonia risk within four months (</w:t>
      </w:r>
      <w:proofErr w:type="spellStart"/>
      <w:r>
        <w:t>Suissa</w:t>
      </w:r>
      <w:proofErr w:type="spellEnd"/>
      <w:r>
        <w:t xml:space="preserve">, 2015), for all ICS (RR </w:t>
      </w:r>
      <w:r w:rsidRPr="00E207EC">
        <w:t>0.63 [</w:t>
      </w:r>
      <w:r>
        <w:t xml:space="preserve">95% CI: </w:t>
      </w:r>
      <w:r w:rsidRPr="00E207EC">
        <w:t>0.60, 0.66]</w:t>
      </w:r>
      <w:r>
        <w:t>); fluticasone (</w:t>
      </w:r>
      <w:r w:rsidRPr="00E207EC">
        <w:t>0.58 [0.54, 0.61]</w:t>
      </w:r>
      <w:r>
        <w:t>); budesonide (</w:t>
      </w:r>
      <w:r w:rsidRPr="00E207EC">
        <w:t>0.87 [0.78, 0.97]</w:t>
      </w:r>
      <w:r>
        <w:t>); and all other ICS (</w:t>
      </w:r>
      <w:r w:rsidRPr="00E207EC">
        <w:t>0.75 [0.68, 0.82]</w:t>
      </w:r>
      <w:r>
        <w:t xml:space="preserve">) (also see </w:t>
      </w:r>
      <w:r w:rsidR="00356377">
        <w:t xml:space="preserve">Figure </w:t>
      </w:r>
      <w:r w:rsidR="00356377">
        <w:rPr>
          <w:noProof/>
        </w:rPr>
        <w:t>4</w:t>
      </w:r>
      <w:r w:rsidR="00356377">
        <w:t>.</w:t>
      </w:r>
      <w:r w:rsidR="00356377">
        <w:rPr>
          <w:noProof/>
        </w:rPr>
        <w:t>16</w:t>
      </w:r>
      <w:r>
        <w:t xml:space="preserve"> in Section </w:t>
      </w:r>
      <w:r w:rsidR="00356377">
        <w:t>4.4.5</w:t>
      </w:r>
      <w:r>
        <w:t xml:space="preserve"> for an illustration of the rate of risk decline from this study). Similar studies from the US, Canada and Taiwan also compared risk factors in COPD patients with or without pneumonia (Lee, 2015; </w:t>
      </w:r>
      <w:proofErr w:type="spellStart"/>
      <w:r>
        <w:t>Eurick</w:t>
      </w:r>
      <w:proofErr w:type="spellEnd"/>
      <w:r>
        <w:t>, 2013; Yawn, 2013; Thornton Snider, 2012), each reporting significant associations between ICS use and pneumonia.</w:t>
      </w:r>
    </w:p>
    <w:p w:rsidR="00675E77" w:rsidRDefault="00675E77" w:rsidP="00675E77">
      <w:pPr>
        <w:pStyle w:val="BodyText"/>
      </w:pPr>
      <w:r>
        <w:t>Four studies directly compared pneumonia outcomes in COPD patients on ICS with those not on ICS (</w:t>
      </w:r>
      <w:proofErr w:type="spellStart"/>
      <w:r>
        <w:t>DiSantostefano</w:t>
      </w:r>
      <w:proofErr w:type="spellEnd"/>
      <w:r>
        <w:t>, 2014</w:t>
      </w:r>
      <w:r w:rsidR="00A27A1B">
        <w:t>b</w:t>
      </w:r>
      <w:r>
        <w:t xml:space="preserve">; Flynn, 2014; </w:t>
      </w:r>
      <w:proofErr w:type="spellStart"/>
      <w:r>
        <w:t>Festic</w:t>
      </w:r>
      <w:proofErr w:type="spellEnd"/>
      <w:r>
        <w:t>, 2014; Lee, 2013a). The first two found increased risk with ICS (</w:t>
      </w:r>
      <w:proofErr w:type="spellStart"/>
      <w:r>
        <w:t>DiSantostefano</w:t>
      </w:r>
      <w:proofErr w:type="spellEnd"/>
      <w:r>
        <w:t>, 2014</w:t>
      </w:r>
      <w:r w:rsidR="00A27A1B">
        <w:t>b</w:t>
      </w:r>
      <w:r>
        <w:t>; Flynn, 2014), consistent with the studies discussed above. One study reported no difference between groups (</w:t>
      </w:r>
      <w:proofErr w:type="spellStart"/>
      <w:r>
        <w:t>Festic</w:t>
      </w:r>
      <w:proofErr w:type="spellEnd"/>
      <w:r>
        <w:t xml:space="preserve">, 2014; multi-hospital data). However, the </w:t>
      </w:r>
      <w:proofErr w:type="spellStart"/>
      <w:r>
        <w:t>Festic</w:t>
      </w:r>
      <w:proofErr w:type="spellEnd"/>
      <w:r>
        <w:t xml:space="preserve"> (2014) study did not exclusively include COPD patients, who were a subset of around 10% of the total cohort, making it much smaller than the other studies.</w:t>
      </w:r>
    </w:p>
    <w:p w:rsidR="00675E77" w:rsidRDefault="00675E77" w:rsidP="00675E77">
      <w:pPr>
        <w:pStyle w:val="BodyText"/>
      </w:pPr>
      <w:r>
        <w:t>Conflicting results were reported within the fourth of these studies (Lee 2013a; of a South Korean health insurance database). Compared with no ICS or LABA, ICS increased pneumonia risk when used alone (</w:t>
      </w:r>
      <w:r w:rsidRPr="007878B9">
        <w:t>OR 1.89 [1.76, 2.02]</w:t>
      </w:r>
      <w:r>
        <w:t xml:space="preserve">), but decreased pneumonia risk when combined with LABA (OR 0.64 [0.61, 0.67]). Like </w:t>
      </w:r>
      <w:proofErr w:type="spellStart"/>
      <w:r>
        <w:t>Festic</w:t>
      </w:r>
      <w:proofErr w:type="spellEnd"/>
      <w:r>
        <w:t xml:space="preserve"> (2014), this study included a broader population, with COPD patients analysed as a subgroup.</w:t>
      </w:r>
    </w:p>
    <w:p w:rsidR="00675E77" w:rsidRDefault="00675E77" w:rsidP="00675E77">
      <w:pPr>
        <w:pStyle w:val="Heading4"/>
      </w:pPr>
      <w:r>
        <w:lastRenderedPageBreak/>
        <w:t>Intra-class comparisons</w:t>
      </w:r>
    </w:p>
    <w:p w:rsidR="00675E77" w:rsidRDefault="00675E77" w:rsidP="00675E77">
      <w:pPr>
        <w:pStyle w:val="BodyText"/>
      </w:pPr>
      <w:r>
        <w:t xml:space="preserve">As noted above, the </w:t>
      </w:r>
      <w:proofErr w:type="spellStart"/>
      <w:r>
        <w:t>Suissa</w:t>
      </w:r>
      <w:proofErr w:type="spellEnd"/>
      <w:r>
        <w:t xml:space="preserve"> (2013) study found a more pronounced effect on pneumonia for fluticasone than for budesonide; the effect was evident at all fluticasone doses and all but the lowest budesonide dose. In light of the larger and more numerous studies for fluticasone, it is not clear that this is a reflection of true differences between the drugs. Two studies have directly compared patients taking fluticasone</w:t>
      </w:r>
      <w:r w:rsidR="00412154">
        <w:t xml:space="preserve"> propionate</w:t>
      </w:r>
      <w:r>
        <w:t>/salmeterol with patients taking budesonide/</w:t>
      </w:r>
      <w:proofErr w:type="spellStart"/>
      <w:r>
        <w:t>eformoterol</w:t>
      </w:r>
      <w:proofErr w:type="spellEnd"/>
      <w:r>
        <w:t xml:space="preserve">, and reported conflicting findings. </w:t>
      </w:r>
    </w:p>
    <w:p w:rsidR="00675E77" w:rsidRDefault="00675E77" w:rsidP="00675E77">
      <w:pPr>
        <w:pStyle w:val="BodyText"/>
      </w:pPr>
      <w:r>
        <w:t xml:space="preserve">The study by Janson et al (2013) analysed two matched cohorts from a Swedish database of registry-linked </w:t>
      </w:r>
      <w:r w:rsidRPr="00E717F8">
        <w:t xml:space="preserve">primary </w:t>
      </w:r>
      <w:r>
        <w:t xml:space="preserve">care medical records (PATHOS study) and found </w:t>
      </w:r>
      <w:r w:rsidR="00A92818">
        <w:t xml:space="preserve">a </w:t>
      </w:r>
      <w:r>
        <w:t>significantly higher risk for fluticasone</w:t>
      </w:r>
      <w:r w:rsidR="00412154">
        <w:t xml:space="preserve"> propionate</w:t>
      </w:r>
      <w:r>
        <w:t xml:space="preserve">/salmeterol </w:t>
      </w:r>
      <w:r w:rsidRPr="0026403B">
        <w:t>compared with budesonide/</w:t>
      </w:r>
      <w:proofErr w:type="spellStart"/>
      <w:r w:rsidRPr="0026403B">
        <w:t>eformoterol</w:t>
      </w:r>
      <w:proofErr w:type="spellEnd"/>
      <w:r w:rsidRPr="0026403B">
        <w:t xml:space="preserve"> </w:t>
      </w:r>
      <w:r>
        <w:t>for pneumonia hospitalisation (</w:t>
      </w:r>
      <w:r w:rsidRPr="00ED084B">
        <w:t>RR 1.74 [</w:t>
      </w:r>
      <w:r>
        <w:t xml:space="preserve">95% CI: </w:t>
      </w:r>
      <w:r w:rsidRPr="00ED084B">
        <w:t>1.56, 1.94]</w:t>
      </w:r>
      <w:r>
        <w:t>), fatal pneumonia (</w:t>
      </w:r>
      <w:r w:rsidRPr="00ED084B">
        <w:t>1.76 [1.22, 2.53]</w:t>
      </w:r>
      <w:r>
        <w:t>) and any pneumonia (</w:t>
      </w:r>
      <w:r w:rsidRPr="00ED084B">
        <w:t>1.73 [1.57, 1.90]</w:t>
      </w:r>
      <w:r>
        <w:t>).</w:t>
      </w:r>
    </w:p>
    <w:p w:rsidR="00675E77" w:rsidRDefault="00675E77" w:rsidP="00675E77">
      <w:pPr>
        <w:pStyle w:val="BodyText"/>
      </w:pPr>
      <w:r>
        <w:t>A US health insurance database was used by Kern et al (2015) who also analysed two matched cohorts of patient taking either fluticasone</w:t>
      </w:r>
      <w:r w:rsidR="00412154">
        <w:t xml:space="preserve"> propionate</w:t>
      </w:r>
      <w:r>
        <w:t xml:space="preserve">/salmeterol (250/50 </w:t>
      </w:r>
      <w:proofErr w:type="spellStart"/>
      <w:r>
        <w:t>μg</w:t>
      </w:r>
      <w:proofErr w:type="spellEnd"/>
      <w:r>
        <w:t>) or budesonide/</w:t>
      </w:r>
      <w:proofErr w:type="spellStart"/>
      <w:r>
        <w:t>eformoterol</w:t>
      </w:r>
      <w:proofErr w:type="spellEnd"/>
      <w:r>
        <w:t xml:space="preserve"> (160/4.5 </w:t>
      </w:r>
      <w:proofErr w:type="spellStart"/>
      <w:r>
        <w:t>μg</w:t>
      </w:r>
      <w:proofErr w:type="spellEnd"/>
      <w:r>
        <w:t xml:space="preserve">), but restricted the population to new users of ICS/LABA. They found no difference between these interventions for any pneumonia, pneumonia hospitalisation, pneumonia emergency department visit or outpatient pneumonia (see </w:t>
      </w:r>
      <w:r w:rsidR="00356377">
        <w:t xml:space="preserve">Table </w:t>
      </w:r>
      <w:r w:rsidR="00356377">
        <w:rPr>
          <w:noProof/>
        </w:rPr>
        <w:t>4</w:t>
      </w:r>
      <w:r w:rsidR="00356377">
        <w:t>.</w:t>
      </w:r>
      <w:r w:rsidR="00356377">
        <w:rPr>
          <w:noProof/>
        </w:rPr>
        <w:t>16</w:t>
      </w:r>
      <w:r>
        <w:t>).</w:t>
      </w:r>
    </w:p>
    <w:p w:rsidR="00675E77" w:rsidRDefault="00A92818" w:rsidP="00675E77">
      <w:pPr>
        <w:pStyle w:val="BodyText"/>
      </w:pPr>
      <w:r>
        <w:t>I</w:t>
      </w:r>
      <w:r w:rsidR="00675E77">
        <w:t>t remains unclear whether there is an intra-class difference between fluticasone and budesonide for the risk of pneumonia in COPD patients.</w:t>
      </w:r>
    </w:p>
    <w:p w:rsidR="00675E77" w:rsidRDefault="00675E77" w:rsidP="00675E77">
      <w:pPr>
        <w:pStyle w:val="BodyText"/>
        <w:sectPr w:rsidR="00675E77" w:rsidSect="00CB3D44">
          <w:footerReference w:type="default" r:id="rId31"/>
          <w:pgSz w:w="11906" w:h="16838"/>
          <w:pgMar w:top="1134" w:right="1134" w:bottom="1134" w:left="1134" w:header="709" w:footer="709" w:gutter="0"/>
          <w:cols w:space="708"/>
          <w:docGrid w:linePitch="360"/>
        </w:sectPr>
      </w:pPr>
    </w:p>
    <w:p w:rsidR="00675E77" w:rsidRDefault="00675E77" w:rsidP="00D52262">
      <w:pPr>
        <w:pStyle w:val="HeaderTable"/>
      </w:pPr>
      <w:bookmarkStart w:id="188" w:name="_Ref467751006"/>
      <w:bookmarkStart w:id="189" w:name="_Toc468022908"/>
      <w:bookmarkStart w:id="190" w:name="_Toc468034561"/>
      <w:bookmarkStart w:id="191" w:name="_Toc480373311"/>
      <w:bookmarkStart w:id="192" w:name="_Toc486515206"/>
      <w:r>
        <w:lastRenderedPageBreak/>
        <w:t xml:space="preserve">Table </w:t>
      </w:r>
      <w:r w:rsidR="00356377">
        <w:rPr>
          <w:noProof/>
        </w:rPr>
        <w:t>4</w:t>
      </w:r>
      <w:r>
        <w:t>.</w:t>
      </w:r>
      <w:r w:rsidR="00356377">
        <w:rPr>
          <w:noProof/>
        </w:rPr>
        <w:t>16</w:t>
      </w:r>
      <w:bookmarkEnd w:id="188"/>
      <w:r>
        <w:tab/>
        <w:t>Observational studies reporting pneumonia outcomes – summary of findings</w:t>
      </w:r>
      <w:bookmarkEnd w:id="189"/>
      <w:bookmarkEnd w:id="190"/>
      <w:bookmarkEnd w:id="191"/>
      <w:bookmarkEnd w:id="192"/>
    </w:p>
    <w:tbl>
      <w:tblPr>
        <w:tblW w:w="1453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Observational studies reporting pneumonia outcomes – summary of findings"/>
      </w:tblPr>
      <w:tblGrid>
        <w:gridCol w:w="1365"/>
        <w:gridCol w:w="1560"/>
        <w:gridCol w:w="2552"/>
        <w:gridCol w:w="2976"/>
        <w:gridCol w:w="3828"/>
        <w:gridCol w:w="2251"/>
      </w:tblGrid>
      <w:tr w:rsidR="00675E77" w:rsidRPr="00D75DC9" w:rsidTr="00675E77">
        <w:trPr>
          <w:cantSplit/>
          <w:tblHeader/>
        </w:trPr>
        <w:tc>
          <w:tcPr>
            <w:tcW w:w="1365" w:type="dxa"/>
            <w:shd w:val="clear" w:color="auto" w:fill="BFBFBF"/>
          </w:tcPr>
          <w:p w:rsidR="00675E77" w:rsidRDefault="00675E77" w:rsidP="00675E77">
            <w:pPr>
              <w:pStyle w:val="01TableHEADINGleftaligned"/>
            </w:pPr>
            <w:r>
              <w:t>Study ID</w:t>
            </w:r>
          </w:p>
          <w:p w:rsidR="00675E77" w:rsidRPr="00D75DC9" w:rsidRDefault="00675E77" w:rsidP="00675E77">
            <w:pPr>
              <w:pStyle w:val="01TableHEADINGleftaligned"/>
            </w:pPr>
            <w:r>
              <w:t>Study design</w:t>
            </w:r>
          </w:p>
        </w:tc>
        <w:tc>
          <w:tcPr>
            <w:tcW w:w="1560" w:type="dxa"/>
            <w:shd w:val="clear" w:color="auto" w:fill="BFBFBF"/>
          </w:tcPr>
          <w:p w:rsidR="00675E77" w:rsidRDefault="00675E77" w:rsidP="00675E77">
            <w:pPr>
              <w:pStyle w:val="01TableHEADINGleftaligned"/>
            </w:pPr>
            <w:r>
              <w:t>Source/ Period (</w:t>
            </w:r>
            <w:proofErr w:type="spellStart"/>
            <w:r>
              <w:t>excl</w:t>
            </w:r>
            <w:proofErr w:type="spellEnd"/>
            <w:r>
              <w:t xml:space="preserve"> follow up)/ Study cohort size (N)</w:t>
            </w:r>
          </w:p>
        </w:tc>
        <w:tc>
          <w:tcPr>
            <w:tcW w:w="2552" w:type="dxa"/>
            <w:shd w:val="clear" w:color="auto" w:fill="BFBFBF"/>
          </w:tcPr>
          <w:p w:rsidR="00675E77" w:rsidRDefault="00675E77" w:rsidP="00675E77">
            <w:pPr>
              <w:pStyle w:val="01TableHEADINGleftaligned"/>
            </w:pPr>
            <w:r>
              <w:t>Population</w:t>
            </w:r>
          </w:p>
        </w:tc>
        <w:tc>
          <w:tcPr>
            <w:tcW w:w="2976" w:type="dxa"/>
            <w:shd w:val="clear" w:color="auto" w:fill="BFBFBF"/>
          </w:tcPr>
          <w:p w:rsidR="00675E77" w:rsidRDefault="00675E77" w:rsidP="00675E77">
            <w:pPr>
              <w:pStyle w:val="01TableHEADINGleftaligned"/>
            </w:pPr>
            <w:r>
              <w:t>Comparison (n)</w:t>
            </w:r>
          </w:p>
          <w:p w:rsidR="00675E77" w:rsidRPr="00D75DC9" w:rsidRDefault="00675E77" w:rsidP="00675E77">
            <w:pPr>
              <w:pStyle w:val="01TableHEADINGleftaligned"/>
            </w:pPr>
            <w:r>
              <w:t>Analysis</w:t>
            </w:r>
          </w:p>
        </w:tc>
        <w:tc>
          <w:tcPr>
            <w:tcW w:w="3828" w:type="dxa"/>
            <w:shd w:val="clear" w:color="auto" w:fill="BFBFBF"/>
          </w:tcPr>
          <w:p w:rsidR="00675E77" w:rsidRPr="00D75DC9" w:rsidRDefault="00675E77" w:rsidP="00675E77">
            <w:pPr>
              <w:pStyle w:val="01TableHEADINGleftaligned"/>
            </w:pPr>
            <w:r>
              <w:t>Safety findings [95% CI]</w:t>
            </w:r>
          </w:p>
        </w:tc>
        <w:tc>
          <w:tcPr>
            <w:tcW w:w="2251" w:type="dxa"/>
            <w:shd w:val="clear" w:color="auto" w:fill="BFBFBF"/>
          </w:tcPr>
          <w:p w:rsidR="00675E77" w:rsidRPr="00D75DC9" w:rsidRDefault="00675E77" w:rsidP="00675E77">
            <w:pPr>
              <w:pStyle w:val="01TableHEADINGleftaligned"/>
            </w:pPr>
            <w:r>
              <w:t>Authors’ conclusion</w:t>
            </w:r>
          </w:p>
        </w:tc>
      </w:tr>
      <w:tr w:rsidR="00675E77" w:rsidRPr="00D75DC9" w:rsidTr="00675E77">
        <w:trPr>
          <w:cantSplit/>
        </w:trPr>
        <w:tc>
          <w:tcPr>
            <w:tcW w:w="1365" w:type="dxa"/>
            <w:shd w:val="clear" w:color="auto" w:fill="auto"/>
          </w:tcPr>
          <w:p w:rsidR="00675E77" w:rsidRPr="002B63B5" w:rsidRDefault="00675E77" w:rsidP="00675E77">
            <w:pPr>
              <w:pStyle w:val="05Tabletext"/>
              <w:rPr>
                <w:b/>
              </w:rPr>
            </w:pPr>
            <w:r w:rsidRPr="002B63B5">
              <w:rPr>
                <w:b/>
              </w:rPr>
              <w:t>Kern (2015)</w:t>
            </w:r>
          </w:p>
          <w:p w:rsidR="00675E77" w:rsidRPr="002B63B5" w:rsidRDefault="00675E77" w:rsidP="00675E77">
            <w:pPr>
              <w:pStyle w:val="06Tabletextspacebefore"/>
            </w:pPr>
            <w:r>
              <w:t>Propensity matched cohorts</w:t>
            </w:r>
          </w:p>
        </w:tc>
        <w:tc>
          <w:tcPr>
            <w:tcW w:w="1560" w:type="dxa"/>
          </w:tcPr>
          <w:p w:rsidR="00675E77" w:rsidRDefault="00675E77" w:rsidP="00675E77">
            <w:pPr>
              <w:pStyle w:val="05Tabletext"/>
            </w:pPr>
            <w:proofErr w:type="spellStart"/>
            <w:r w:rsidRPr="002B38A2">
              <w:t>HealthCore</w:t>
            </w:r>
            <w:proofErr w:type="spellEnd"/>
            <w:r w:rsidRPr="002B38A2">
              <w:t xml:space="preserve"> Integ</w:t>
            </w:r>
            <w:r>
              <w:t>rated Research Environment – health insurance, US</w:t>
            </w:r>
          </w:p>
          <w:p w:rsidR="00675E77" w:rsidRDefault="00675E77" w:rsidP="00675E77">
            <w:pPr>
              <w:pStyle w:val="06Tabletextspacebefore"/>
            </w:pPr>
            <w:r>
              <w:t>Period:</w:t>
            </w:r>
            <w:r w:rsidR="00621726">
              <w:t xml:space="preserve"> </w:t>
            </w:r>
            <w:r>
              <w:t xml:space="preserve">Mar 2009 to Mar </w:t>
            </w:r>
            <w:r w:rsidRPr="002B38A2">
              <w:t>2012</w:t>
            </w:r>
          </w:p>
          <w:p w:rsidR="00675E77" w:rsidRPr="002B38A2" w:rsidRDefault="00675E77" w:rsidP="00675E77">
            <w:pPr>
              <w:pStyle w:val="06Tabletextspacebefore"/>
            </w:pPr>
            <w:r>
              <w:t>N = 10,227</w:t>
            </w:r>
          </w:p>
        </w:tc>
        <w:tc>
          <w:tcPr>
            <w:tcW w:w="2552" w:type="dxa"/>
            <w:shd w:val="clear" w:color="auto" w:fill="auto"/>
          </w:tcPr>
          <w:p w:rsidR="00675E77" w:rsidRDefault="00675E77" w:rsidP="00675E77">
            <w:pPr>
              <w:pStyle w:val="07Tablebullet"/>
            </w:pPr>
            <w:r>
              <w:t>primary diagnosis COPD</w:t>
            </w:r>
          </w:p>
          <w:p w:rsidR="00675E77" w:rsidRDefault="00675E77" w:rsidP="00675E77">
            <w:pPr>
              <w:pStyle w:val="07Tablebullet"/>
            </w:pPr>
            <w:r>
              <w:t>&gt; 40y</w:t>
            </w:r>
          </w:p>
          <w:p w:rsidR="00675E77" w:rsidRDefault="00675E77" w:rsidP="00675E77">
            <w:pPr>
              <w:pStyle w:val="07Tablebullet"/>
            </w:pPr>
            <w:r w:rsidRPr="0063358D">
              <w:rPr>
                <w:b/>
              </w:rPr>
              <w:t>new users</w:t>
            </w:r>
            <w:r>
              <w:t xml:space="preserve"> of ICS/LABA, defined </w:t>
            </w:r>
            <w:r w:rsidRPr="007D0149">
              <w:t xml:space="preserve">by no use over prior </w:t>
            </w:r>
            <w:r>
              <w:t>1 year</w:t>
            </w:r>
          </w:p>
          <w:p w:rsidR="00675E77" w:rsidRPr="00ED606B" w:rsidRDefault="00675E77" w:rsidP="00675E77">
            <w:pPr>
              <w:pStyle w:val="07Tablebullet"/>
            </w:pPr>
            <w:r>
              <w:t xml:space="preserve">concurrent asthma not excluded </w:t>
            </w:r>
          </w:p>
        </w:tc>
        <w:tc>
          <w:tcPr>
            <w:tcW w:w="2976" w:type="dxa"/>
            <w:shd w:val="clear" w:color="auto" w:fill="auto"/>
          </w:tcPr>
          <w:p w:rsidR="00675E77" w:rsidRPr="002B63B5" w:rsidRDefault="00675E77" w:rsidP="00675E77">
            <w:pPr>
              <w:pStyle w:val="05Tabletext"/>
            </w:pPr>
            <w:r w:rsidRPr="00ED606B">
              <w:rPr>
                <w:u w:val="single"/>
              </w:rPr>
              <w:t>FLU/SAL</w:t>
            </w:r>
            <w:r>
              <w:tab/>
            </w:r>
            <w:r w:rsidRPr="002B63B5">
              <w:t xml:space="preserve">250/50 </w:t>
            </w:r>
            <w:proofErr w:type="spellStart"/>
            <w:r w:rsidRPr="002B63B5">
              <w:t>μg</w:t>
            </w:r>
            <w:proofErr w:type="spellEnd"/>
            <w:r>
              <w:t xml:space="preserve"> (3697 matched)</w:t>
            </w:r>
          </w:p>
          <w:p w:rsidR="00675E77" w:rsidRDefault="00675E77" w:rsidP="00675E77">
            <w:pPr>
              <w:pStyle w:val="05Tabletext"/>
            </w:pPr>
            <w:r w:rsidRPr="00ED6800">
              <w:t xml:space="preserve">vs </w:t>
            </w:r>
          </w:p>
          <w:p w:rsidR="00675E77" w:rsidRDefault="00675E77" w:rsidP="00675E77">
            <w:pPr>
              <w:pStyle w:val="05Tabletext"/>
            </w:pPr>
            <w:r w:rsidRPr="00ED606B">
              <w:rPr>
                <w:u w:val="single"/>
              </w:rPr>
              <w:t>BUD/EFO</w:t>
            </w:r>
            <w:r w:rsidRPr="00ED6800">
              <w:t xml:space="preserve"> </w:t>
            </w:r>
            <w:r w:rsidRPr="002B63B5">
              <w:t xml:space="preserve">160/4.5 </w:t>
            </w:r>
            <w:proofErr w:type="spellStart"/>
            <w:r w:rsidRPr="002B63B5">
              <w:t>μg</w:t>
            </w:r>
            <w:proofErr w:type="spellEnd"/>
            <w:r>
              <w:t xml:space="preserve"> (3697 matched)</w:t>
            </w:r>
          </w:p>
          <w:p w:rsidR="00675E77" w:rsidRPr="00252B5C" w:rsidRDefault="00675E77" w:rsidP="00675E77">
            <w:pPr>
              <w:pStyle w:val="06Tabletextspacebefore"/>
            </w:pPr>
            <w:proofErr w:type="gramStart"/>
            <w:r w:rsidRPr="0027635E">
              <w:t>Group</w:t>
            </w:r>
            <w:r w:rsidR="002F692B">
              <w:t>s</w:t>
            </w:r>
            <w:proofErr w:type="gramEnd"/>
            <w:r w:rsidRPr="0027635E">
              <w:t xml:space="preserve"> propensity matched from 3778 and 6439 patients, respectively</w:t>
            </w:r>
            <w:r>
              <w:t>.</w:t>
            </w:r>
          </w:p>
          <w:p w:rsidR="00675E77" w:rsidRPr="0027635E" w:rsidRDefault="00675E77" w:rsidP="002F692B">
            <w:pPr>
              <w:pStyle w:val="06Tabletextspacebefore"/>
              <w:spacing w:before="120"/>
              <w:ind w:right="227"/>
            </w:pPr>
            <w:r w:rsidRPr="00252B5C">
              <w:rPr>
                <w:u w:val="single"/>
              </w:rPr>
              <w:t>Analysis</w:t>
            </w:r>
            <w:r>
              <w:t xml:space="preserve">: </w:t>
            </w:r>
            <w:r w:rsidRPr="0027635E">
              <w:t xml:space="preserve">logistic </w:t>
            </w:r>
            <w:r>
              <w:t>regression.</w:t>
            </w:r>
          </w:p>
        </w:tc>
        <w:tc>
          <w:tcPr>
            <w:tcW w:w="3828" w:type="dxa"/>
            <w:shd w:val="clear" w:color="auto" w:fill="auto"/>
          </w:tcPr>
          <w:p w:rsidR="00675E77" w:rsidRPr="00BF4E83" w:rsidRDefault="00675E77" w:rsidP="00675E77">
            <w:pPr>
              <w:pStyle w:val="05Tabletext"/>
              <w:rPr>
                <w:u w:val="single"/>
              </w:rPr>
            </w:pPr>
            <w:r w:rsidRPr="00BF4E83">
              <w:rPr>
                <w:u w:val="single"/>
              </w:rPr>
              <w:t>Pneumonia, any</w:t>
            </w:r>
          </w:p>
          <w:p w:rsidR="00675E77" w:rsidRPr="00F6254F" w:rsidRDefault="00675E77" w:rsidP="00675E77">
            <w:pPr>
              <w:pStyle w:val="05Tabletext"/>
            </w:pPr>
            <w:r w:rsidRPr="00F6254F">
              <w:t>OR 0.</w:t>
            </w:r>
            <w:r>
              <w:t>92 [0.81,1.04]</w:t>
            </w:r>
          </w:p>
          <w:p w:rsidR="00675E77" w:rsidRPr="00BF4E83" w:rsidRDefault="00675E77" w:rsidP="00675E77">
            <w:pPr>
              <w:pStyle w:val="05Tabletext"/>
              <w:rPr>
                <w:u w:val="single"/>
              </w:rPr>
            </w:pPr>
            <w:r w:rsidRPr="00BF4E83">
              <w:rPr>
                <w:u w:val="single"/>
              </w:rPr>
              <w:t>Pneumonia hospitalisation</w:t>
            </w:r>
          </w:p>
          <w:p w:rsidR="00675E77" w:rsidRPr="00F6254F" w:rsidRDefault="00675E77" w:rsidP="00675E77">
            <w:pPr>
              <w:pStyle w:val="05Tabletext"/>
            </w:pPr>
            <w:r>
              <w:t>OR 0.87 [0.75, 10.2]</w:t>
            </w:r>
          </w:p>
          <w:p w:rsidR="00675E77" w:rsidRPr="00BF4E83" w:rsidRDefault="00675E77" w:rsidP="00675E77">
            <w:pPr>
              <w:pStyle w:val="05Tabletext"/>
              <w:rPr>
                <w:u w:val="single"/>
              </w:rPr>
            </w:pPr>
            <w:r w:rsidRPr="00BF4E83">
              <w:rPr>
                <w:u w:val="single"/>
              </w:rPr>
              <w:t>Pneumonia, ED visit</w:t>
            </w:r>
          </w:p>
          <w:p w:rsidR="00675E77" w:rsidRPr="00F6254F" w:rsidRDefault="00675E77" w:rsidP="00675E77">
            <w:pPr>
              <w:pStyle w:val="05Tabletext"/>
            </w:pPr>
            <w:r>
              <w:t>OR 0.80 [0.51, 1.23]</w:t>
            </w:r>
          </w:p>
          <w:p w:rsidR="00675E77" w:rsidRPr="00BF4E83" w:rsidRDefault="00675E77" w:rsidP="00675E77">
            <w:pPr>
              <w:pStyle w:val="05Tabletext"/>
              <w:rPr>
                <w:u w:val="single"/>
              </w:rPr>
            </w:pPr>
            <w:r w:rsidRPr="00BF4E83">
              <w:rPr>
                <w:u w:val="single"/>
              </w:rPr>
              <w:t>Pneumonia, outpatient</w:t>
            </w:r>
          </w:p>
          <w:p w:rsidR="00675E77" w:rsidRPr="00F6254F" w:rsidRDefault="00675E77" w:rsidP="00675E77">
            <w:pPr>
              <w:pStyle w:val="05Tabletext"/>
            </w:pPr>
            <w:r>
              <w:t>OR 0.97 [0.84, 1.12]</w:t>
            </w:r>
          </w:p>
        </w:tc>
        <w:tc>
          <w:tcPr>
            <w:tcW w:w="2251" w:type="dxa"/>
            <w:shd w:val="clear" w:color="auto" w:fill="auto"/>
          </w:tcPr>
          <w:p w:rsidR="00675E77" w:rsidRPr="00D75DC9" w:rsidRDefault="00675E77" w:rsidP="00675E77">
            <w:pPr>
              <w:pStyle w:val="05Tabletext"/>
            </w:pPr>
            <w:r w:rsidRPr="00D75DC9">
              <w:t>No difference</w:t>
            </w:r>
            <w:r>
              <w:t xml:space="preserve"> in rates of pneumonia in</w:t>
            </w:r>
            <w:r w:rsidRPr="00D75DC9">
              <w:t xml:space="preserve"> patients new to </w:t>
            </w:r>
            <w:r>
              <w:t>FLU/SAL compared with BUD/EFO.</w:t>
            </w:r>
          </w:p>
        </w:tc>
      </w:tr>
      <w:tr w:rsidR="00675E77" w:rsidRPr="00D75DC9" w:rsidTr="00675E77">
        <w:trPr>
          <w:cantSplit/>
        </w:trPr>
        <w:tc>
          <w:tcPr>
            <w:tcW w:w="1365" w:type="dxa"/>
            <w:shd w:val="clear" w:color="auto" w:fill="auto"/>
          </w:tcPr>
          <w:p w:rsidR="00675E77" w:rsidRDefault="00675E77" w:rsidP="00675E77">
            <w:pPr>
              <w:pStyle w:val="05Tabletext"/>
              <w:rPr>
                <w:b/>
              </w:rPr>
            </w:pPr>
            <w:r w:rsidRPr="002B63B5">
              <w:rPr>
                <w:b/>
              </w:rPr>
              <w:t>Lee (2015)</w:t>
            </w:r>
          </w:p>
          <w:p w:rsidR="00675E77" w:rsidRPr="003E59AF" w:rsidRDefault="00675E77" w:rsidP="00675E77">
            <w:pPr>
              <w:pStyle w:val="06Tabletextspacebefore"/>
            </w:pPr>
            <w:r>
              <w:t>Single cohort</w:t>
            </w:r>
          </w:p>
        </w:tc>
        <w:tc>
          <w:tcPr>
            <w:tcW w:w="1560" w:type="dxa"/>
            <w:shd w:val="clear" w:color="auto" w:fill="auto"/>
          </w:tcPr>
          <w:p w:rsidR="00675E77" w:rsidRDefault="00675E77" w:rsidP="00675E77">
            <w:pPr>
              <w:pStyle w:val="05Tabletext"/>
            </w:pPr>
            <w:r>
              <w:t>Longitudinal Health Insurance Database 2005, Taiwan</w:t>
            </w:r>
          </w:p>
          <w:p w:rsidR="00675E77" w:rsidRDefault="00675E77" w:rsidP="00675E77">
            <w:pPr>
              <w:pStyle w:val="06Tabletextspacebefore"/>
            </w:pPr>
            <w:r>
              <w:t>Period: 1996 to 2007</w:t>
            </w:r>
          </w:p>
          <w:p w:rsidR="00675E77" w:rsidRPr="00E04599" w:rsidRDefault="00675E77" w:rsidP="00675E77">
            <w:pPr>
              <w:pStyle w:val="06Tabletextspacebefore"/>
            </w:pPr>
            <w:r>
              <w:t>N = 6034</w:t>
            </w:r>
          </w:p>
        </w:tc>
        <w:tc>
          <w:tcPr>
            <w:tcW w:w="2552" w:type="dxa"/>
            <w:shd w:val="clear" w:color="auto" w:fill="auto"/>
          </w:tcPr>
          <w:p w:rsidR="00675E77" w:rsidRDefault="00675E77" w:rsidP="00675E77">
            <w:pPr>
              <w:pStyle w:val="07Tablebullet"/>
            </w:pPr>
            <w:r>
              <w:t xml:space="preserve">COPD-compatible diagnosis code </w:t>
            </w:r>
          </w:p>
          <w:p w:rsidR="00675E77" w:rsidRDefault="00675E77" w:rsidP="00675E77">
            <w:pPr>
              <w:pStyle w:val="07Tablebullet"/>
            </w:pPr>
            <w:r>
              <w:t>prescribing history of COPD-specific medications</w:t>
            </w:r>
          </w:p>
          <w:p w:rsidR="00675E77" w:rsidRDefault="00675E77" w:rsidP="00675E77">
            <w:pPr>
              <w:pStyle w:val="07Tablebullet"/>
            </w:pPr>
            <w:r>
              <w:t>no age restriction reported</w:t>
            </w:r>
          </w:p>
          <w:p w:rsidR="00675E77" w:rsidRPr="00D75DC9" w:rsidRDefault="00675E77" w:rsidP="00675E77">
            <w:pPr>
              <w:pStyle w:val="07Tablebullet"/>
            </w:pPr>
            <w:r>
              <w:t>eligibility of asthma not reported</w:t>
            </w:r>
          </w:p>
        </w:tc>
        <w:tc>
          <w:tcPr>
            <w:tcW w:w="2976" w:type="dxa"/>
            <w:shd w:val="clear" w:color="auto" w:fill="auto"/>
          </w:tcPr>
          <w:p w:rsidR="00675E77" w:rsidRDefault="00675E77" w:rsidP="00675E77">
            <w:pPr>
              <w:pStyle w:val="05Tabletext"/>
            </w:pPr>
            <w:r w:rsidRPr="00F6254F">
              <w:rPr>
                <w:u w:val="single"/>
              </w:rPr>
              <w:t>Pneumonia</w:t>
            </w:r>
            <w:r>
              <w:t xml:space="preserve"> (2411)</w:t>
            </w:r>
          </w:p>
          <w:p w:rsidR="00675E77" w:rsidRPr="00F6254F" w:rsidRDefault="00675E77" w:rsidP="00675E77">
            <w:pPr>
              <w:pStyle w:val="05Tabletext"/>
            </w:pPr>
            <w:r>
              <w:t>vs</w:t>
            </w:r>
          </w:p>
          <w:p w:rsidR="00675E77" w:rsidRDefault="00675E77" w:rsidP="00675E77">
            <w:pPr>
              <w:pStyle w:val="05Tabletext"/>
            </w:pPr>
            <w:r w:rsidRPr="00F6254F">
              <w:rPr>
                <w:u w:val="single"/>
              </w:rPr>
              <w:t>No pneumonia</w:t>
            </w:r>
            <w:r>
              <w:t xml:space="preserve"> (3623)</w:t>
            </w:r>
          </w:p>
          <w:p w:rsidR="00675E77" w:rsidRPr="000A196D" w:rsidRDefault="00675E77" w:rsidP="002F692B">
            <w:pPr>
              <w:pStyle w:val="06Tabletextspacebefore"/>
              <w:spacing w:before="120"/>
              <w:ind w:right="227"/>
            </w:pPr>
            <w:r w:rsidRPr="00252B5C">
              <w:rPr>
                <w:u w:val="single"/>
              </w:rPr>
              <w:t>Analysis</w:t>
            </w:r>
            <w:r>
              <w:t>: multivariate regression analysis, unmatched subgroups.</w:t>
            </w:r>
          </w:p>
        </w:tc>
        <w:tc>
          <w:tcPr>
            <w:tcW w:w="3828" w:type="dxa"/>
            <w:shd w:val="clear" w:color="auto" w:fill="auto"/>
          </w:tcPr>
          <w:p w:rsidR="00675E77" w:rsidRPr="00C04A2E" w:rsidRDefault="00675E77" w:rsidP="00675E77">
            <w:pPr>
              <w:pStyle w:val="05Tabletext"/>
            </w:pPr>
            <w:r>
              <w:t xml:space="preserve">Risk factor analysis – </w:t>
            </w:r>
            <w:r w:rsidRPr="00C04A2E">
              <w:t xml:space="preserve">ICS </w:t>
            </w:r>
            <w:r>
              <w:t>vs no ICS</w:t>
            </w:r>
          </w:p>
          <w:p w:rsidR="00675E77" w:rsidRDefault="00675E77" w:rsidP="00675E77">
            <w:pPr>
              <w:pStyle w:val="05Tabletext"/>
              <w:rPr>
                <w:u w:val="single"/>
              </w:rPr>
            </w:pPr>
            <w:r w:rsidRPr="00F6254F">
              <w:rPr>
                <w:u w:val="single"/>
              </w:rPr>
              <w:t>Pneumonia</w:t>
            </w:r>
          </w:p>
          <w:p w:rsidR="00675E77" w:rsidRDefault="00675E77" w:rsidP="00675E77">
            <w:pPr>
              <w:pStyle w:val="05Tabletext"/>
              <w:tabs>
                <w:tab w:val="left" w:pos="1985"/>
              </w:tabs>
              <w:rPr>
                <w:b/>
              </w:rPr>
            </w:pPr>
            <w:r>
              <w:t>HR 1.06 [1.02, 1.11]</w:t>
            </w:r>
            <w:r>
              <w:tab/>
            </w:r>
            <w:r w:rsidRPr="002744A7">
              <w:rPr>
                <w:b/>
              </w:rPr>
              <w:t>Favours no ICS</w:t>
            </w:r>
          </w:p>
          <w:p w:rsidR="00675E77" w:rsidRPr="00BC2809" w:rsidRDefault="00675E77" w:rsidP="00675E77">
            <w:pPr>
              <w:pStyle w:val="05Tabletext"/>
            </w:pPr>
            <w:r>
              <w:t>independent risk factor</w:t>
            </w:r>
          </w:p>
        </w:tc>
        <w:tc>
          <w:tcPr>
            <w:tcW w:w="2251" w:type="dxa"/>
            <w:shd w:val="clear" w:color="auto" w:fill="auto"/>
          </w:tcPr>
          <w:p w:rsidR="00675E77" w:rsidRPr="00D75DC9" w:rsidRDefault="00675E77" w:rsidP="00675E77">
            <w:pPr>
              <w:pStyle w:val="05Tabletext"/>
            </w:pPr>
            <w:r>
              <w:t>This study demonstrates the association between ICS use and pneumonia in COPD patients.</w:t>
            </w:r>
          </w:p>
        </w:tc>
      </w:tr>
      <w:tr w:rsidR="00675E77" w:rsidRPr="00D75DC9" w:rsidTr="00675E77">
        <w:trPr>
          <w:cantSplit/>
        </w:trPr>
        <w:tc>
          <w:tcPr>
            <w:tcW w:w="1365" w:type="dxa"/>
            <w:shd w:val="clear" w:color="auto" w:fill="auto"/>
          </w:tcPr>
          <w:p w:rsidR="00675E77" w:rsidRPr="007D0149" w:rsidRDefault="00675E77" w:rsidP="00675E77">
            <w:pPr>
              <w:pStyle w:val="05Tabletext"/>
              <w:rPr>
                <w:b/>
              </w:rPr>
            </w:pPr>
            <w:proofErr w:type="spellStart"/>
            <w:r w:rsidRPr="007D0149">
              <w:rPr>
                <w:b/>
              </w:rPr>
              <w:t>Suissa</w:t>
            </w:r>
            <w:proofErr w:type="spellEnd"/>
            <w:r w:rsidRPr="007D0149">
              <w:rPr>
                <w:b/>
              </w:rPr>
              <w:t xml:space="preserve"> (2015)</w:t>
            </w:r>
          </w:p>
          <w:p w:rsidR="00675E77" w:rsidRPr="007D0149" w:rsidRDefault="00675E77" w:rsidP="00675E77">
            <w:pPr>
              <w:pStyle w:val="06Tabletextspacebefore"/>
              <w:rPr>
                <w:i/>
              </w:rPr>
            </w:pPr>
            <w:r w:rsidRPr="007D0149">
              <w:t>Nested case</w:t>
            </w:r>
            <w:r w:rsidR="008739F8">
              <w:t>-</w:t>
            </w:r>
            <w:r w:rsidRPr="007D0149">
              <w:t>control</w:t>
            </w:r>
          </w:p>
        </w:tc>
        <w:tc>
          <w:tcPr>
            <w:tcW w:w="1560" w:type="dxa"/>
            <w:shd w:val="clear" w:color="auto" w:fill="auto"/>
          </w:tcPr>
          <w:p w:rsidR="00675E77" w:rsidRPr="007D0149" w:rsidRDefault="00675E77" w:rsidP="00675E77">
            <w:pPr>
              <w:pStyle w:val="05Tabletext"/>
            </w:pPr>
            <w:r w:rsidRPr="007D0149">
              <w:t>Quebec health insurance databases, Canada</w:t>
            </w:r>
          </w:p>
          <w:p w:rsidR="00675E77" w:rsidRPr="007D0149" w:rsidRDefault="00675E77" w:rsidP="00675E77">
            <w:pPr>
              <w:pStyle w:val="06Tabletextspacebefore"/>
            </w:pPr>
            <w:r w:rsidRPr="007D0149">
              <w:t>Period:</w:t>
            </w:r>
            <w:r w:rsidR="001C372E">
              <w:t xml:space="preserve"> </w:t>
            </w:r>
            <w:r w:rsidRPr="007D0149">
              <w:t>1990 to 2005</w:t>
            </w:r>
          </w:p>
          <w:p w:rsidR="00675E77" w:rsidRPr="007D0149" w:rsidRDefault="00675E77" w:rsidP="00675E77">
            <w:pPr>
              <w:pStyle w:val="06Tabletextspacebefore"/>
            </w:pPr>
            <w:r w:rsidRPr="007D0149">
              <w:t xml:space="preserve">N = </w:t>
            </w:r>
            <w:r>
              <w:t>163,514</w:t>
            </w:r>
          </w:p>
        </w:tc>
        <w:tc>
          <w:tcPr>
            <w:tcW w:w="2552" w:type="dxa"/>
            <w:shd w:val="clear" w:color="auto" w:fill="auto"/>
          </w:tcPr>
          <w:p w:rsidR="00675E77" w:rsidRDefault="00675E77" w:rsidP="00675E77">
            <w:pPr>
              <w:pStyle w:val="07Tablebullet"/>
            </w:pPr>
            <w:r w:rsidRPr="007D0149">
              <w:t>inferred COPD from respiratory medicines prescribing history</w:t>
            </w:r>
            <w:r>
              <w:t xml:space="preserve"> and exclusion of asthma</w:t>
            </w:r>
          </w:p>
          <w:p w:rsidR="00675E77" w:rsidRDefault="00675E77" w:rsidP="00675E77">
            <w:pPr>
              <w:pStyle w:val="07Tablebullet"/>
            </w:pPr>
            <w:r w:rsidRPr="007D0149">
              <w:t>≥ 55y</w:t>
            </w:r>
            <w:r>
              <w:t xml:space="preserve"> </w:t>
            </w:r>
          </w:p>
          <w:p w:rsidR="00675E77" w:rsidRDefault="00675E77" w:rsidP="00675E77">
            <w:pPr>
              <w:pStyle w:val="07Tablebullet"/>
            </w:pPr>
            <w:r w:rsidRPr="002F60F8">
              <w:rPr>
                <w:b/>
              </w:rPr>
              <w:t>new users</w:t>
            </w:r>
            <w:r>
              <w:t xml:space="preserve"> of respiratory medications, defined </w:t>
            </w:r>
            <w:r w:rsidRPr="007D0149">
              <w:t>by no use over prior 2 years</w:t>
            </w:r>
            <w:r>
              <w:t xml:space="preserve"> (163,514)</w:t>
            </w:r>
          </w:p>
          <w:p w:rsidR="00675E77" w:rsidRDefault="00675E77" w:rsidP="00675E77">
            <w:pPr>
              <w:pStyle w:val="07Tablebullet"/>
            </w:pPr>
            <w:r>
              <w:t xml:space="preserve">subset of </w:t>
            </w:r>
            <w:r w:rsidRPr="002F60F8">
              <w:rPr>
                <w:b/>
              </w:rPr>
              <w:t>new users</w:t>
            </w:r>
            <w:r>
              <w:t xml:space="preserve"> of ICS (103,386)</w:t>
            </w:r>
          </w:p>
          <w:p w:rsidR="00675E77" w:rsidRPr="007D0149" w:rsidRDefault="00675E77" w:rsidP="00675E77">
            <w:pPr>
              <w:pStyle w:val="06Tabletextspacebefore"/>
            </w:pPr>
            <w:r w:rsidRPr="00E250CF">
              <w:t>Note</w:t>
            </w:r>
            <w:r>
              <w:t xml:space="preserve">: this is subset of </w:t>
            </w:r>
            <w:proofErr w:type="spellStart"/>
            <w:r>
              <w:t>Suissa</w:t>
            </w:r>
            <w:proofErr w:type="spellEnd"/>
            <w:r>
              <w:t xml:space="preserve"> (2013) dataset, selecting new users of </w:t>
            </w:r>
            <w:r w:rsidRPr="00B23B50">
              <w:rPr>
                <w:u w:val="single"/>
              </w:rPr>
              <w:t>ICS</w:t>
            </w:r>
            <w:r w:rsidRPr="00B23B50">
              <w:t xml:space="preserve"> and </w:t>
            </w:r>
            <w:r>
              <w:t>investigating discontinuation.</w:t>
            </w:r>
          </w:p>
        </w:tc>
        <w:tc>
          <w:tcPr>
            <w:tcW w:w="2976" w:type="dxa"/>
            <w:shd w:val="clear" w:color="auto" w:fill="auto"/>
          </w:tcPr>
          <w:p w:rsidR="00675E77" w:rsidRPr="007D0149" w:rsidRDefault="00675E77" w:rsidP="00675E77">
            <w:pPr>
              <w:pStyle w:val="05Tabletext"/>
            </w:pPr>
            <w:r w:rsidRPr="007D0149">
              <w:rPr>
                <w:u w:val="single"/>
              </w:rPr>
              <w:t>Pneumonia</w:t>
            </w:r>
            <w:r>
              <w:rPr>
                <w:u w:val="single"/>
              </w:rPr>
              <w:t xml:space="preserve"> </w:t>
            </w:r>
            <w:r w:rsidRPr="00762F00">
              <w:t>(new ICS-user cohort)</w:t>
            </w:r>
            <w:r w:rsidRPr="007D0149">
              <w:t xml:space="preserve"> (14,020)</w:t>
            </w:r>
          </w:p>
          <w:p w:rsidR="00675E77" w:rsidRPr="007D0149" w:rsidRDefault="00675E77" w:rsidP="00675E77">
            <w:pPr>
              <w:pStyle w:val="05Tabletext"/>
            </w:pPr>
            <w:r w:rsidRPr="007D0149">
              <w:t>vs</w:t>
            </w:r>
          </w:p>
          <w:p w:rsidR="00675E77" w:rsidRDefault="00675E77" w:rsidP="00675E77">
            <w:pPr>
              <w:pStyle w:val="05Tabletext"/>
            </w:pPr>
            <w:r>
              <w:rPr>
                <w:u w:val="single"/>
              </w:rPr>
              <w:t xml:space="preserve">No </w:t>
            </w:r>
            <w:r w:rsidRPr="00762F00">
              <w:rPr>
                <w:u w:val="single"/>
              </w:rPr>
              <w:t>pneumonia</w:t>
            </w:r>
            <w:r>
              <w:t xml:space="preserve"> </w:t>
            </w:r>
            <w:r w:rsidRPr="00762F00">
              <w:t>(matched, from new respiratory meds-user cohort)</w:t>
            </w:r>
            <w:r>
              <w:t xml:space="preserve"> </w:t>
            </w:r>
            <w:r w:rsidRPr="007D0149">
              <w:t>(132,697)</w:t>
            </w:r>
          </w:p>
          <w:p w:rsidR="00675E77" w:rsidRPr="00744B46" w:rsidRDefault="00675E77" w:rsidP="002F692B">
            <w:pPr>
              <w:pStyle w:val="06Tabletextspacebefore"/>
              <w:spacing w:before="120"/>
              <w:ind w:right="227"/>
            </w:pPr>
            <w:r w:rsidRPr="00252B5C">
              <w:rPr>
                <w:u w:val="single"/>
              </w:rPr>
              <w:t>Analysis</w:t>
            </w:r>
            <w:r>
              <w:t>: conditional logistic regression, matched controls.</w:t>
            </w:r>
          </w:p>
        </w:tc>
        <w:tc>
          <w:tcPr>
            <w:tcW w:w="3828" w:type="dxa"/>
            <w:shd w:val="clear" w:color="auto" w:fill="auto"/>
          </w:tcPr>
          <w:p w:rsidR="00675E77" w:rsidRDefault="00675E77" w:rsidP="00675E77">
            <w:pPr>
              <w:pStyle w:val="05Tabletext"/>
              <w:rPr>
                <w:u w:val="single"/>
              </w:rPr>
            </w:pPr>
            <w:r>
              <w:t>Risk factor analysis – ICS vs</w:t>
            </w:r>
            <w:r w:rsidRPr="005A785E">
              <w:t xml:space="preserve"> </w:t>
            </w:r>
            <w:r w:rsidRPr="00E250CF">
              <w:t>discontinuation</w:t>
            </w:r>
          </w:p>
          <w:p w:rsidR="00675E77" w:rsidRPr="00A50735" w:rsidRDefault="00675E77" w:rsidP="00675E77">
            <w:pPr>
              <w:pStyle w:val="05Tabletext"/>
              <w:tabs>
                <w:tab w:val="left" w:pos="851"/>
              </w:tabs>
            </w:pPr>
            <w:r w:rsidRPr="00A50735">
              <w:rPr>
                <w:u w:val="single"/>
              </w:rPr>
              <w:t>Pneumonia</w:t>
            </w:r>
            <w:r w:rsidRPr="00A50735">
              <w:t>, serious (hospitalisation or death)</w:t>
            </w:r>
            <w:r>
              <w:t xml:space="preserve"> </w:t>
            </w:r>
            <w:r>
              <w:tab/>
              <w:t>RR</w:t>
            </w:r>
          </w:p>
          <w:p w:rsidR="00675E77" w:rsidRPr="007D0149" w:rsidRDefault="00675E77" w:rsidP="00675E77">
            <w:pPr>
              <w:pStyle w:val="05Tabletext"/>
              <w:tabs>
                <w:tab w:val="left" w:pos="851"/>
              </w:tabs>
            </w:pPr>
            <w:r w:rsidRPr="000D4B26">
              <w:t>All ICS:</w:t>
            </w:r>
            <w:r w:rsidRPr="007D0149">
              <w:tab/>
              <w:t>0.63 [0.60, 0.66]</w:t>
            </w:r>
            <w:r>
              <w:t xml:space="preserve"> </w:t>
            </w:r>
            <w:r w:rsidRPr="00621285">
              <w:rPr>
                <w:b/>
              </w:rPr>
              <w:t>Favours discontinuation</w:t>
            </w:r>
          </w:p>
          <w:p w:rsidR="00675E77" w:rsidRPr="007D0149" w:rsidRDefault="00675E77" w:rsidP="00675E77">
            <w:pPr>
              <w:pStyle w:val="05Tabletext"/>
              <w:tabs>
                <w:tab w:val="left" w:pos="851"/>
              </w:tabs>
            </w:pPr>
            <w:r w:rsidRPr="000D4B26">
              <w:t>FLU:</w:t>
            </w:r>
            <w:r w:rsidRPr="007D0149">
              <w:tab/>
              <w:t>0.58 [0.54, 0.61]</w:t>
            </w:r>
            <w:r>
              <w:t xml:space="preserve"> </w:t>
            </w:r>
            <w:r w:rsidRPr="00621285">
              <w:rPr>
                <w:b/>
              </w:rPr>
              <w:t>Favours discontinuation</w:t>
            </w:r>
          </w:p>
          <w:p w:rsidR="00675E77" w:rsidRPr="007D0149" w:rsidRDefault="00675E77" w:rsidP="00675E77">
            <w:pPr>
              <w:pStyle w:val="05Tabletext"/>
              <w:tabs>
                <w:tab w:val="left" w:pos="851"/>
              </w:tabs>
            </w:pPr>
            <w:r w:rsidRPr="000D4B26">
              <w:t>BUD:</w:t>
            </w:r>
            <w:r w:rsidRPr="007D0149">
              <w:tab/>
              <w:t>0.87 [0.78, 0.97]</w:t>
            </w:r>
            <w:r>
              <w:t xml:space="preserve"> </w:t>
            </w:r>
            <w:r w:rsidRPr="00621285">
              <w:rPr>
                <w:b/>
              </w:rPr>
              <w:t>Favours discontinuation</w:t>
            </w:r>
          </w:p>
          <w:p w:rsidR="00675E77" w:rsidRPr="007D0149" w:rsidRDefault="00675E77" w:rsidP="00675E77">
            <w:pPr>
              <w:pStyle w:val="05Tabletext"/>
              <w:tabs>
                <w:tab w:val="left" w:pos="851"/>
              </w:tabs>
            </w:pPr>
            <w:r w:rsidRPr="000D4B26">
              <w:t>Other ICS:</w:t>
            </w:r>
            <w:r w:rsidRPr="007D0149">
              <w:tab/>
              <w:t>0.75 [0.68, 0.82]</w:t>
            </w:r>
            <w:r>
              <w:t xml:space="preserve"> </w:t>
            </w:r>
            <w:r w:rsidRPr="00621285">
              <w:rPr>
                <w:b/>
              </w:rPr>
              <w:t>Favours discontinuation</w:t>
            </w:r>
          </w:p>
          <w:p w:rsidR="00675E77" w:rsidRPr="007D0149" w:rsidRDefault="00675E77" w:rsidP="00675E77">
            <w:pPr>
              <w:pStyle w:val="06Tabletextspacebefore"/>
            </w:pPr>
            <w:r w:rsidRPr="007D0149">
              <w:t>Rate of risk reduction with discontinuation:</w:t>
            </w:r>
          </w:p>
          <w:p w:rsidR="00675E77" w:rsidRPr="007D0149" w:rsidRDefault="00675E77" w:rsidP="00675E77">
            <w:pPr>
              <w:pStyle w:val="05Tabletext"/>
            </w:pPr>
            <w:r w:rsidRPr="007D0149">
              <w:t>1 month, 20%; 4 months, 50%</w:t>
            </w:r>
          </w:p>
        </w:tc>
        <w:tc>
          <w:tcPr>
            <w:tcW w:w="2251" w:type="dxa"/>
            <w:shd w:val="clear" w:color="auto" w:fill="auto"/>
          </w:tcPr>
          <w:p w:rsidR="00675E77" w:rsidRPr="00D75DC9" w:rsidRDefault="00675E77" w:rsidP="00675E77">
            <w:pPr>
              <w:pStyle w:val="05Tabletext"/>
            </w:pPr>
            <w:r w:rsidRPr="007D0149">
              <w:t>Discontinuation of ICS use in COPD is associated with a reduction in the elevated risk of serious pneumonia, particularly so with fluticasone.</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proofErr w:type="spellStart"/>
            <w:r w:rsidRPr="00543892">
              <w:rPr>
                <w:b/>
              </w:rPr>
              <w:t>DiSantostefano</w:t>
            </w:r>
            <w:proofErr w:type="spellEnd"/>
            <w:r w:rsidRPr="00543892">
              <w:rPr>
                <w:b/>
              </w:rPr>
              <w:t xml:space="preserve"> (2014</w:t>
            </w:r>
            <w:r w:rsidR="00A27A1B">
              <w:rPr>
                <w:b/>
              </w:rPr>
              <w:t>b</w:t>
            </w:r>
            <w:r w:rsidRPr="00543892">
              <w:rPr>
                <w:b/>
              </w:rPr>
              <w:t>)</w:t>
            </w:r>
          </w:p>
          <w:p w:rsidR="00675E77" w:rsidRPr="00D75DC9" w:rsidRDefault="00675E77" w:rsidP="00675E77">
            <w:pPr>
              <w:pStyle w:val="05Tabletext"/>
            </w:pPr>
            <w:r>
              <w:t>Single cohort</w:t>
            </w:r>
          </w:p>
        </w:tc>
        <w:tc>
          <w:tcPr>
            <w:tcW w:w="1560" w:type="dxa"/>
            <w:shd w:val="clear" w:color="auto" w:fill="auto"/>
          </w:tcPr>
          <w:p w:rsidR="00675E77" w:rsidRDefault="00675E77" w:rsidP="00675E77">
            <w:pPr>
              <w:pStyle w:val="05Tabletext"/>
            </w:pPr>
            <w:r>
              <w:t>CPRD GOLD database, UK</w:t>
            </w:r>
          </w:p>
          <w:p w:rsidR="00675E77" w:rsidRDefault="00675E77" w:rsidP="00675E77">
            <w:pPr>
              <w:pStyle w:val="06Tabletextspacebefore"/>
            </w:pPr>
            <w:r>
              <w:t xml:space="preserve">Period: 2002 to </w:t>
            </w:r>
            <w:r w:rsidRPr="00976F03">
              <w:t>2010</w:t>
            </w:r>
          </w:p>
          <w:p w:rsidR="00675E77" w:rsidRPr="00D75DC9" w:rsidRDefault="00675E77" w:rsidP="00675E77">
            <w:pPr>
              <w:pStyle w:val="06Tabletextspacebefore"/>
            </w:pPr>
            <w:r>
              <w:t>N = 18,047</w:t>
            </w:r>
          </w:p>
        </w:tc>
        <w:tc>
          <w:tcPr>
            <w:tcW w:w="2552" w:type="dxa"/>
            <w:shd w:val="clear" w:color="auto" w:fill="auto"/>
          </w:tcPr>
          <w:p w:rsidR="00675E77" w:rsidRDefault="00675E77" w:rsidP="00675E77">
            <w:pPr>
              <w:pStyle w:val="07Tablebullet"/>
            </w:pPr>
            <w:r>
              <w:t>COPD diagnosis</w:t>
            </w:r>
          </w:p>
          <w:p w:rsidR="00675E77" w:rsidRDefault="00675E77" w:rsidP="00675E77">
            <w:pPr>
              <w:pStyle w:val="07Tablebullet"/>
            </w:pPr>
            <w:r>
              <w:t>≥ 45y</w:t>
            </w:r>
          </w:p>
          <w:p w:rsidR="00675E77" w:rsidRDefault="00675E77" w:rsidP="00675E77">
            <w:pPr>
              <w:pStyle w:val="07Tablebullet"/>
            </w:pPr>
            <w:r w:rsidRPr="00AB30A6">
              <w:rPr>
                <w:b/>
              </w:rPr>
              <w:t>new users</w:t>
            </w:r>
            <w:r>
              <w:t xml:space="preserve"> of ICS-containing therapy (ICS not further defined) or LABD</w:t>
            </w:r>
          </w:p>
          <w:p w:rsidR="00675E77" w:rsidRDefault="00675E77" w:rsidP="00675E77">
            <w:pPr>
              <w:pStyle w:val="07Tablebullet"/>
            </w:pPr>
            <w:r>
              <w:t>concurrent asthma not excluded</w:t>
            </w:r>
          </w:p>
          <w:p w:rsidR="00675E77" w:rsidRPr="00976F03" w:rsidRDefault="00675E77" w:rsidP="00675E77">
            <w:pPr>
              <w:pStyle w:val="06Tabletextspacebefore"/>
            </w:pPr>
          </w:p>
        </w:tc>
        <w:tc>
          <w:tcPr>
            <w:tcW w:w="2976" w:type="dxa"/>
            <w:shd w:val="clear" w:color="auto" w:fill="auto"/>
          </w:tcPr>
          <w:p w:rsidR="00675E77" w:rsidRDefault="00675E77" w:rsidP="00675E77">
            <w:pPr>
              <w:pStyle w:val="05Tabletext"/>
            </w:pPr>
            <w:r w:rsidRPr="009615AE">
              <w:rPr>
                <w:u w:val="single"/>
              </w:rPr>
              <w:t>ICS/LABA</w:t>
            </w:r>
            <w:r>
              <w:t xml:space="preserve"> (11,555)</w:t>
            </w:r>
          </w:p>
          <w:p w:rsidR="00675E77" w:rsidRDefault="00675E77" w:rsidP="00675E77">
            <w:pPr>
              <w:pStyle w:val="05Tabletext"/>
            </w:pPr>
            <w:r>
              <w:t>vs</w:t>
            </w:r>
          </w:p>
          <w:p w:rsidR="00675E77" w:rsidRDefault="00675E77" w:rsidP="00675E77">
            <w:pPr>
              <w:pStyle w:val="05Tabletext"/>
            </w:pPr>
            <w:r w:rsidRPr="009615AE">
              <w:rPr>
                <w:u w:val="single"/>
              </w:rPr>
              <w:t>LABD</w:t>
            </w:r>
            <w:r>
              <w:t xml:space="preserve"> monotherapy (6492)</w:t>
            </w:r>
          </w:p>
          <w:p w:rsidR="00675E77" w:rsidRPr="009615AE" w:rsidRDefault="00675E77" w:rsidP="002F692B">
            <w:pPr>
              <w:pStyle w:val="06Tabletextspacebefore"/>
              <w:spacing w:before="120"/>
              <w:ind w:right="227"/>
            </w:pPr>
            <w:r>
              <w:rPr>
                <w:u w:val="single"/>
              </w:rPr>
              <w:t>Analysis:</w:t>
            </w:r>
            <w:r>
              <w:t xml:space="preserve"> logistic regression, unmatched groups.</w:t>
            </w:r>
          </w:p>
        </w:tc>
        <w:tc>
          <w:tcPr>
            <w:tcW w:w="3828" w:type="dxa"/>
            <w:shd w:val="clear" w:color="auto" w:fill="auto"/>
          </w:tcPr>
          <w:p w:rsidR="00675E77" w:rsidRPr="00E05D4F" w:rsidRDefault="00675E77" w:rsidP="00675E77">
            <w:pPr>
              <w:pStyle w:val="05Tabletext"/>
              <w:rPr>
                <w:u w:val="single"/>
              </w:rPr>
            </w:pPr>
            <w:r w:rsidRPr="00E05D4F">
              <w:rPr>
                <w:u w:val="single"/>
              </w:rPr>
              <w:t>Pneumonia hospitalisation</w:t>
            </w:r>
          </w:p>
          <w:p w:rsidR="00675E77" w:rsidRDefault="00675E77" w:rsidP="00675E77">
            <w:pPr>
              <w:pStyle w:val="05Tabletext"/>
              <w:tabs>
                <w:tab w:val="left" w:pos="1985"/>
              </w:tabs>
              <w:rPr>
                <w:b/>
              </w:rPr>
            </w:pPr>
            <w:r>
              <w:t>HR 1.55</w:t>
            </w:r>
            <w:r w:rsidRPr="00976F03">
              <w:t xml:space="preserve"> </w:t>
            </w:r>
            <w:r>
              <w:t>[</w:t>
            </w:r>
            <w:r w:rsidRPr="00976F03">
              <w:t>1.14, 2.10</w:t>
            </w:r>
            <w:r>
              <w:t>]</w:t>
            </w:r>
            <w:r>
              <w:tab/>
            </w:r>
            <w:r w:rsidRPr="00976F03">
              <w:rPr>
                <w:b/>
              </w:rPr>
              <w:t>Favours LABD</w:t>
            </w:r>
          </w:p>
          <w:p w:rsidR="00675E77" w:rsidRPr="00976F03" w:rsidRDefault="00675E77" w:rsidP="00675E77">
            <w:pPr>
              <w:pStyle w:val="05Tabletext"/>
              <w:rPr>
                <w:u w:val="single"/>
              </w:rPr>
            </w:pPr>
            <w:r w:rsidRPr="00976F03">
              <w:rPr>
                <w:u w:val="single"/>
              </w:rPr>
              <w:t xml:space="preserve">Any pneumonia </w:t>
            </w:r>
          </w:p>
          <w:p w:rsidR="00675E77" w:rsidRDefault="00675E77" w:rsidP="00675E77">
            <w:pPr>
              <w:pStyle w:val="05Tabletext"/>
              <w:tabs>
                <w:tab w:val="left" w:pos="1985"/>
              </w:tabs>
            </w:pPr>
            <w:r>
              <w:t xml:space="preserve">HR 1.49 [1.22, 1.83] </w:t>
            </w:r>
            <w:r>
              <w:tab/>
            </w:r>
            <w:r w:rsidRPr="00976F03">
              <w:rPr>
                <w:b/>
              </w:rPr>
              <w:t>Favours LABD</w:t>
            </w:r>
          </w:p>
          <w:p w:rsidR="00675E77" w:rsidRPr="00976F03" w:rsidRDefault="00675E77" w:rsidP="00675E77">
            <w:pPr>
              <w:pStyle w:val="06Tabletextspacebefore"/>
            </w:pPr>
            <w:r>
              <w:t>Dose</w:t>
            </w:r>
            <w:r w:rsidR="00EA0FF5">
              <w:t>-</w:t>
            </w:r>
            <w:r>
              <w:t>response apparent, but CIs overlapping</w:t>
            </w:r>
          </w:p>
        </w:tc>
        <w:tc>
          <w:tcPr>
            <w:tcW w:w="2251" w:type="dxa"/>
            <w:shd w:val="clear" w:color="auto" w:fill="auto"/>
          </w:tcPr>
          <w:p w:rsidR="00675E77" w:rsidRPr="00D75DC9" w:rsidRDefault="00675E77" w:rsidP="00675E77">
            <w:pPr>
              <w:pStyle w:val="05Tabletext"/>
            </w:pPr>
            <w:r>
              <w:t>The results of this new-user cohort study are consistent with published findings; ICS were associated with a 20–50% increased risk of pneumonia in COPD, which reduced with exposure time.</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proofErr w:type="spellStart"/>
            <w:r w:rsidRPr="00543892">
              <w:rPr>
                <w:b/>
              </w:rPr>
              <w:lastRenderedPageBreak/>
              <w:t>Festic</w:t>
            </w:r>
            <w:proofErr w:type="spellEnd"/>
            <w:r w:rsidRPr="00543892">
              <w:rPr>
                <w:b/>
              </w:rPr>
              <w:t xml:space="preserve"> (2014)</w:t>
            </w:r>
          </w:p>
          <w:p w:rsidR="00675E77" w:rsidRPr="00D90052" w:rsidRDefault="00675E77" w:rsidP="00675E77">
            <w:pPr>
              <w:pStyle w:val="06Tabletextspacebefore"/>
            </w:pPr>
            <w:r>
              <w:t>Single cohort</w:t>
            </w:r>
          </w:p>
        </w:tc>
        <w:tc>
          <w:tcPr>
            <w:tcW w:w="1560" w:type="dxa"/>
          </w:tcPr>
          <w:p w:rsidR="00675E77" w:rsidRDefault="00675E77" w:rsidP="00675E77">
            <w:pPr>
              <w:pStyle w:val="05Tabletext"/>
            </w:pPr>
            <w:r>
              <w:t>Multi-hospital records (prospective and retrospective), US</w:t>
            </w:r>
          </w:p>
          <w:p w:rsidR="00675E77" w:rsidRDefault="00675E77" w:rsidP="00675E77">
            <w:pPr>
              <w:pStyle w:val="05Tabletext"/>
            </w:pPr>
            <w:r>
              <w:t>Period:</w:t>
            </w:r>
            <w:r w:rsidR="00B95A58">
              <w:t xml:space="preserve"> </w:t>
            </w:r>
            <w:r>
              <w:t>Mar 2009, Aug 2009</w:t>
            </w:r>
          </w:p>
          <w:p w:rsidR="00675E77" w:rsidRPr="00DE7BDE" w:rsidRDefault="00675E77" w:rsidP="00675E77">
            <w:pPr>
              <w:pStyle w:val="06Tabletextspacebefore"/>
            </w:pPr>
            <w:r>
              <w:t>N = 5584</w:t>
            </w:r>
          </w:p>
          <w:p w:rsidR="00675E77" w:rsidRPr="00F31F1A" w:rsidRDefault="00675E77" w:rsidP="00675E77">
            <w:pPr>
              <w:pStyle w:val="05Tabletext"/>
            </w:pPr>
            <w:r>
              <w:t>(COPD = 589)</w:t>
            </w:r>
          </w:p>
        </w:tc>
        <w:tc>
          <w:tcPr>
            <w:tcW w:w="2552" w:type="dxa"/>
            <w:shd w:val="clear" w:color="auto" w:fill="auto"/>
          </w:tcPr>
          <w:p w:rsidR="00675E77" w:rsidRDefault="00675E77" w:rsidP="00675E77">
            <w:pPr>
              <w:pStyle w:val="07Tablebullet"/>
            </w:pPr>
            <w:r>
              <w:t>patients admitted with a risk factor for acute respiratory distress syndrome (N = 5584)</w:t>
            </w:r>
          </w:p>
          <w:p w:rsidR="00675E77" w:rsidRPr="00D75DC9" w:rsidRDefault="00675E77" w:rsidP="00675E77">
            <w:pPr>
              <w:pStyle w:val="07Tablebullet"/>
            </w:pPr>
            <w:r>
              <w:t>COPD diagnosis subset (N = 589)</w:t>
            </w:r>
          </w:p>
        </w:tc>
        <w:tc>
          <w:tcPr>
            <w:tcW w:w="2976" w:type="dxa"/>
            <w:shd w:val="clear" w:color="auto" w:fill="auto"/>
          </w:tcPr>
          <w:p w:rsidR="00675E77" w:rsidRDefault="00675E77" w:rsidP="00675E77">
            <w:pPr>
              <w:pStyle w:val="05Tabletext"/>
            </w:pPr>
            <w:r w:rsidRPr="0011186F">
              <w:rPr>
                <w:u w:val="single"/>
              </w:rPr>
              <w:t>ICS</w:t>
            </w:r>
            <w:r w:rsidRPr="00D75DC9">
              <w:t xml:space="preserve"> </w:t>
            </w:r>
            <w:r>
              <w:t>(226)</w:t>
            </w:r>
          </w:p>
          <w:p w:rsidR="00675E77" w:rsidRDefault="00675E77" w:rsidP="00675E77">
            <w:pPr>
              <w:pStyle w:val="05Tabletext"/>
            </w:pPr>
            <w:r>
              <w:t>vs</w:t>
            </w:r>
          </w:p>
          <w:p w:rsidR="00675E77" w:rsidRDefault="00675E77" w:rsidP="00675E77">
            <w:pPr>
              <w:pStyle w:val="05Tabletext"/>
            </w:pPr>
            <w:r w:rsidRPr="0011186F">
              <w:rPr>
                <w:u w:val="single"/>
              </w:rPr>
              <w:t>no ICS</w:t>
            </w:r>
            <w:r>
              <w:t xml:space="preserve"> (363)</w:t>
            </w:r>
          </w:p>
          <w:p w:rsidR="00675E77" w:rsidRPr="00F31F1A" w:rsidRDefault="00675E77" w:rsidP="002F692B">
            <w:pPr>
              <w:pStyle w:val="06Tabletextspacebefore"/>
              <w:spacing w:before="120"/>
              <w:ind w:right="227"/>
            </w:pPr>
            <w:r w:rsidRPr="0011186F">
              <w:rPr>
                <w:u w:val="single"/>
              </w:rPr>
              <w:t>Analysis</w:t>
            </w:r>
            <w:r>
              <w:t xml:space="preserve">: </w:t>
            </w:r>
            <w:r w:rsidRPr="008951BB">
              <w:t xml:space="preserve">multivariate </w:t>
            </w:r>
            <w:r>
              <w:t xml:space="preserve">logistic </w:t>
            </w:r>
            <w:r w:rsidRPr="008951BB">
              <w:t>regression</w:t>
            </w:r>
            <w:r>
              <w:t>, unmatched groups. COPD subgroup analysis.</w:t>
            </w:r>
          </w:p>
        </w:tc>
        <w:tc>
          <w:tcPr>
            <w:tcW w:w="3828" w:type="dxa"/>
            <w:shd w:val="clear" w:color="auto" w:fill="auto"/>
          </w:tcPr>
          <w:p w:rsidR="00675E77" w:rsidRPr="007338E1" w:rsidRDefault="00675E77" w:rsidP="00675E77">
            <w:pPr>
              <w:pStyle w:val="05Tabletext"/>
              <w:rPr>
                <w:u w:val="single"/>
              </w:rPr>
            </w:pPr>
            <w:r w:rsidRPr="007338E1">
              <w:rPr>
                <w:u w:val="single"/>
              </w:rPr>
              <w:t>Pneumonia</w:t>
            </w:r>
          </w:p>
          <w:p w:rsidR="00675E77" w:rsidRPr="0038687D" w:rsidRDefault="00675E77" w:rsidP="00675E77">
            <w:pPr>
              <w:pStyle w:val="05Tabletext"/>
            </w:pPr>
            <w:r>
              <w:t>OR 1.40 [0.95-2.09] p = 0.093</w:t>
            </w:r>
          </w:p>
        </w:tc>
        <w:tc>
          <w:tcPr>
            <w:tcW w:w="2251" w:type="dxa"/>
            <w:shd w:val="clear" w:color="auto" w:fill="auto"/>
          </w:tcPr>
          <w:p w:rsidR="00675E77" w:rsidRPr="00D75DC9" w:rsidRDefault="00675E77" w:rsidP="00675E77">
            <w:pPr>
              <w:pStyle w:val="05Tabletext"/>
            </w:pPr>
            <w:r>
              <w:t>ICS</w:t>
            </w:r>
            <w:r w:rsidR="006556A8">
              <w:t xml:space="preserve"> </w:t>
            </w:r>
            <w:r>
              <w:t>use was not independently associated with pneumonia requiring hospitalisation in COPD patients.</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r w:rsidRPr="00543892">
              <w:rPr>
                <w:b/>
              </w:rPr>
              <w:t>Flynn (2014)</w:t>
            </w:r>
          </w:p>
          <w:p w:rsidR="00675E77" w:rsidRPr="003E59AF" w:rsidRDefault="00675E77" w:rsidP="00675E77">
            <w:pPr>
              <w:pStyle w:val="06Tabletextspacebefore"/>
            </w:pPr>
            <w:r>
              <w:t>Single cohort</w:t>
            </w:r>
          </w:p>
        </w:tc>
        <w:tc>
          <w:tcPr>
            <w:tcW w:w="1560" w:type="dxa"/>
            <w:shd w:val="clear" w:color="auto" w:fill="auto"/>
          </w:tcPr>
          <w:p w:rsidR="00675E77" w:rsidRDefault="00675E77" w:rsidP="00675E77">
            <w:pPr>
              <w:pStyle w:val="05Tabletext"/>
            </w:pPr>
            <w:r>
              <w:t>Tayside Allergy and Respiratory Disease Information</w:t>
            </w:r>
          </w:p>
          <w:p w:rsidR="00675E77" w:rsidRDefault="00675E77" w:rsidP="00675E77">
            <w:pPr>
              <w:pStyle w:val="05Tabletext"/>
            </w:pPr>
            <w:r>
              <w:t>System (TARDIS)</w:t>
            </w:r>
          </w:p>
          <w:p w:rsidR="00675E77" w:rsidRDefault="00675E77" w:rsidP="00675E77">
            <w:pPr>
              <w:pStyle w:val="06Tabletextspacebefore"/>
            </w:pPr>
            <w:r>
              <w:t>Period:</w:t>
            </w:r>
            <w:r w:rsidR="00B95A58">
              <w:t xml:space="preserve"> </w:t>
            </w:r>
            <w:r>
              <w:t>Jan 2000 to Dec 2012</w:t>
            </w:r>
          </w:p>
          <w:p w:rsidR="00675E77" w:rsidRPr="00E311E0" w:rsidRDefault="00675E77" w:rsidP="00675E77">
            <w:pPr>
              <w:pStyle w:val="06Tabletextspacebefore"/>
            </w:pPr>
            <w:r>
              <w:t>N = 4305</w:t>
            </w:r>
          </w:p>
        </w:tc>
        <w:tc>
          <w:tcPr>
            <w:tcW w:w="2552" w:type="dxa"/>
            <w:shd w:val="clear" w:color="auto" w:fill="auto"/>
          </w:tcPr>
          <w:p w:rsidR="00675E77" w:rsidRDefault="00675E77" w:rsidP="00675E77">
            <w:pPr>
              <w:pStyle w:val="07Tablebullet"/>
            </w:pPr>
            <w:r>
              <w:t>COPD diagnosis, ≥ 40y</w:t>
            </w:r>
          </w:p>
          <w:p w:rsidR="00675E77" w:rsidRDefault="00675E77" w:rsidP="00675E77">
            <w:pPr>
              <w:pStyle w:val="07Tablebullet"/>
            </w:pPr>
            <w:r>
              <w:t>2-y follow up</w:t>
            </w:r>
          </w:p>
          <w:p w:rsidR="00675E77" w:rsidRPr="00D75DC9" w:rsidRDefault="00675E77" w:rsidP="00675E77">
            <w:pPr>
              <w:pStyle w:val="07Tablebullet"/>
            </w:pPr>
            <w:r>
              <w:t>prior cancer diagnosis excluded</w:t>
            </w:r>
          </w:p>
        </w:tc>
        <w:tc>
          <w:tcPr>
            <w:tcW w:w="2976" w:type="dxa"/>
            <w:shd w:val="clear" w:color="auto" w:fill="auto"/>
          </w:tcPr>
          <w:p w:rsidR="00675E77" w:rsidRDefault="00675E77" w:rsidP="00675E77">
            <w:pPr>
              <w:pStyle w:val="05Tabletext"/>
            </w:pPr>
            <w:r w:rsidRPr="00FE2566">
              <w:rPr>
                <w:u w:val="single"/>
              </w:rPr>
              <w:t xml:space="preserve">ICS </w:t>
            </w:r>
            <w:r>
              <w:t>(3243)</w:t>
            </w:r>
          </w:p>
          <w:p w:rsidR="00675E77" w:rsidRDefault="00675E77" w:rsidP="00675E77">
            <w:pPr>
              <w:pStyle w:val="05Tabletext"/>
            </w:pPr>
            <w:r w:rsidRPr="00D75DC9">
              <w:t xml:space="preserve">vs </w:t>
            </w:r>
          </w:p>
          <w:p w:rsidR="00675E77" w:rsidRDefault="00675E77" w:rsidP="00675E77">
            <w:pPr>
              <w:pStyle w:val="05Tabletext"/>
            </w:pPr>
            <w:r w:rsidRPr="00FE2566">
              <w:rPr>
                <w:u w:val="single"/>
              </w:rPr>
              <w:t>no ICS</w:t>
            </w:r>
            <w:r>
              <w:t xml:space="preserve"> (1062)</w:t>
            </w:r>
          </w:p>
          <w:p w:rsidR="00675E77" w:rsidRDefault="00675E77" w:rsidP="00675E77">
            <w:pPr>
              <w:pStyle w:val="06Tabletextspacebefore"/>
              <w:spacing w:before="240"/>
            </w:pPr>
            <w:r>
              <w:t>ICS = FLU (67.7%), BUD (11.8%); BEC (20.5%)</w:t>
            </w:r>
          </w:p>
          <w:p w:rsidR="00675E77" w:rsidRPr="00252B5C" w:rsidRDefault="00675E77" w:rsidP="002F692B">
            <w:pPr>
              <w:pStyle w:val="06Tabletextspacebefore"/>
              <w:spacing w:before="120"/>
              <w:ind w:right="227"/>
            </w:pPr>
            <w:r w:rsidRPr="00252B5C">
              <w:rPr>
                <w:u w:val="single"/>
              </w:rPr>
              <w:t>Analysis</w:t>
            </w:r>
            <w:r>
              <w:t xml:space="preserve">: </w:t>
            </w:r>
            <w:r w:rsidRPr="008951BB">
              <w:t>multivariate regression</w:t>
            </w:r>
            <w:r>
              <w:t xml:space="preserve"> (&amp; univariate, not shown here), unmatched subgroups.</w:t>
            </w:r>
          </w:p>
        </w:tc>
        <w:tc>
          <w:tcPr>
            <w:tcW w:w="3828" w:type="dxa"/>
            <w:shd w:val="clear" w:color="auto" w:fill="auto"/>
          </w:tcPr>
          <w:p w:rsidR="00675E77" w:rsidRPr="00567579" w:rsidRDefault="00675E77" w:rsidP="00675E77">
            <w:pPr>
              <w:pStyle w:val="05Tabletext"/>
              <w:rPr>
                <w:u w:val="single"/>
              </w:rPr>
            </w:pPr>
            <w:r w:rsidRPr="00567579">
              <w:rPr>
                <w:u w:val="single"/>
              </w:rPr>
              <w:t>New diabetes type 2</w:t>
            </w:r>
          </w:p>
          <w:p w:rsidR="00675E77" w:rsidRPr="00567579" w:rsidRDefault="00675E77" w:rsidP="00675E77">
            <w:pPr>
              <w:pStyle w:val="05Tabletext"/>
            </w:pPr>
            <w:r w:rsidRPr="00567579">
              <w:t>HR 0.70 [0.43</w:t>
            </w:r>
            <w:r>
              <w:t xml:space="preserve">, </w:t>
            </w:r>
            <w:r w:rsidRPr="00567579">
              <w:t>1.12]</w:t>
            </w:r>
          </w:p>
          <w:p w:rsidR="00675E77" w:rsidRPr="00567579" w:rsidRDefault="00675E77" w:rsidP="00675E77">
            <w:pPr>
              <w:pStyle w:val="05Tabletext"/>
              <w:rPr>
                <w:u w:val="single"/>
              </w:rPr>
            </w:pPr>
            <w:r w:rsidRPr="00567579">
              <w:rPr>
                <w:u w:val="single"/>
              </w:rPr>
              <w:t>Worsening of existing diabetes type 2</w:t>
            </w:r>
          </w:p>
          <w:p w:rsidR="00675E77" w:rsidRPr="00567579" w:rsidRDefault="00675E77" w:rsidP="00675E77">
            <w:pPr>
              <w:pStyle w:val="05Tabletext"/>
            </w:pPr>
            <w:r w:rsidRPr="00567579">
              <w:t>HR 0.70 [0.43</w:t>
            </w:r>
            <w:r>
              <w:t xml:space="preserve">, </w:t>
            </w:r>
            <w:r w:rsidRPr="00567579">
              <w:t>1.12]</w:t>
            </w:r>
          </w:p>
          <w:p w:rsidR="00675E77" w:rsidRPr="00567579" w:rsidRDefault="00675E77" w:rsidP="00675E77">
            <w:pPr>
              <w:pStyle w:val="05Tabletext"/>
              <w:rPr>
                <w:u w:val="single"/>
              </w:rPr>
            </w:pPr>
            <w:r w:rsidRPr="00567579">
              <w:rPr>
                <w:u w:val="single"/>
              </w:rPr>
              <w:t>Pneumonia</w:t>
            </w:r>
            <w:r w:rsidRPr="00481CED">
              <w:t xml:space="preserve"> hospitalisations</w:t>
            </w:r>
          </w:p>
          <w:p w:rsidR="00675E77" w:rsidRPr="002744A7" w:rsidRDefault="00675E77" w:rsidP="00675E77">
            <w:pPr>
              <w:pStyle w:val="05Tabletext"/>
              <w:tabs>
                <w:tab w:val="left" w:pos="1985"/>
              </w:tabs>
              <w:rPr>
                <w:b/>
              </w:rPr>
            </w:pPr>
            <w:r w:rsidRPr="00567579">
              <w:t>HR 1.38 [1.09</w:t>
            </w:r>
            <w:r>
              <w:t xml:space="preserve">, </w:t>
            </w:r>
            <w:r w:rsidRPr="00567579">
              <w:t>1.74]</w:t>
            </w:r>
            <w:r>
              <w:tab/>
            </w:r>
            <w:r w:rsidRPr="002744A7">
              <w:rPr>
                <w:b/>
              </w:rPr>
              <w:t>Favours no ICS</w:t>
            </w:r>
          </w:p>
          <w:p w:rsidR="00675E77" w:rsidRPr="00567579" w:rsidRDefault="00675E77" w:rsidP="00675E77">
            <w:pPr>
              <w:pStyle w:val="05Tabletext"/>
              <w:tabs>
                <w:tab w:val="left" w:pos="1985"/>
              </w:tabs>
              <w:rPr>
                <w:u w:val="single"/>
              </w:rPr>
            </w:pPr>
            <w:r w:rsidRPr="00567579">
              <w:rPr>
                <w:u w:val="single"/>
              </w:rPr>
              <w:t xml:space="preserve">Fracture </w:t>
            </w:r>
            <w:r w:rsidRPr="00481CED">
              <w:t>hospitalisations</w:t>
            </w:r>
          </w:p>
          <w:p w:rsidR="00675E77" w:rsidRPr="00567579" w:rsidRDefault="00675E77" w:rsidP="00675E77">
            <w:pPr>
              <w:pStyle w:val="05Tabletext"/>
              <w:tabs>
                <w:tab w:val="left" w:pos="1985"/>
              </w:tabs>
            </w:pPr>
            <w:r w:rsidRPr="00567579">
              <w:t>HR 1.08 [0.75</w:t>
            </w:r>
            <w:r>
              <w:t xml:space="preserve">, </w:t>
            </w:r>
            <w:r w:rsidRPr="00567579">
              <w:t>1.51]</w:t>
            </w:r>
          </w:p>
          <w:p w:rsidR="00675E77" w:rsidRPr="00567579" w:rsidRDefault="00675E77" w:rsidP="00675E77">
            <w:pPr>
              <w:pStyle w:val="05Tabletext"/>
              <w:tabs>
                <w:tab w:val="left" w:pos="1985"/>
              </w:tabs>
              <w:rPr>
                <w:u w:val="single"/>
              </w:rPr>
            </w:pPr>
            <w:r w:rsidRPr="00567579">
              <w:rPr>
                <w:u w:val="single"/>
              </w:rPr>
              <w:t>Cataract</w:t>
            </w:r>
            <w:r>
              <w:rPr>
                <w:u w:val="single"/>
              </w:rPr>
              <w:t>-related admissions</w:t>
            </w:r>
          </w:p>
          <w:p w:rsidR="00675E77" w:rsidRPr="00D75DC9" w:rsidRDefault="00675E77" w:rsidP="00675E77">
            <w:pPr>
              <w:pStyle w:val="05Tabletext"/>
              <w:tabs>
                <w:tab w:val="left" w:pos="1985"/>
              </w:tabs>
            </w:pPr>
            <w:r w:rsidRPr="00567579">
              <w:t>HR 1.42 [1.07</w:t>
            </w:r>
            <w:r>
              <w:t xml:space="preserve">, </w:t>
            </w:r>
            <w:r w:rsidRPr="00567579">
              <w:t>1.88]</w:t>
            </w:r>
            <w:r>
              <w:tab/>
            </w:r>
            <w:r w:rsidRPr="002744A7">
              <w:rPr>
                <w:b/>
              </w:rPr>
              <w:t>Favours no ICS</w:t>
            </w:r>
          </w:p>
        </w:tc>
        <w:tc>
          <w:tcPr>
            <w:tcW w:w="2251" w:type="dxa"/>
            <w:shd w:val="clear" w:color="auto" w:fill="auto"/>
          </w:tcPr>
          <w:p w:rsidR="00675E77" w:rsidRPr="00D75DC9" w:rsidRDefault="00675E77" w:rsidP="00675E77">
            <w:pPr>
              <w:pStyle w:val="05Tabletext"/>
            </w:pPr>
            <w:r>
              <w:t>ICS exposure in our cohort was not associated with new onset of diabetes, worsening of existing diabetes or fracture hospitalisation. There was however an association with increased cataracts and pneumonia hospitalisations.</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proofErr w:type="spellStart"/>
            <w:r w:rsidRPr="00543892">
              <w:rPr>
                <w:b/>
              </w:rPr>
              <w:t>Eurich</w:t>
            </w:r>
            <w:proofErr w:type="spellEnd"/>
            <w:r w:rsidRPr="00543892">
              <w:rPr>
                <w:b/>
              </w:rPr>
              <w:t xml:space="preserve"> (2013)</w:t>
            </w:r>
          </w:p>
          <w:p w:rsidR="00675E77" w:rsidRPr="00D75DC9" w:rsidRDefault="00675E77" w:rsidP="00675E77">
            <w:pPr>
              <w:pStyle w:val="06Tabletextspacebefore"/>
            </w:pPr>
            <w:r>
              <w:t>Nested case</w:t>
            </w:r>
            <w:r w:rsidR="008739F8">
              <w:t>-</w:t>
            </w:r>
            <w:r>
              <w:t>control</w:t>
            </w:r>
          </w:p>
        </w:tc>
        <w:tc>
          <w:tcPr>
            <w:tcW w:w="1560" w:type="dxa"/>
            <w:shd w:val="clear" w:color="auto" w:fill="auto"/>
          </w:tcPr>
          <w:p w:rsidR="00675E77" w:rsidRDefault="00675E77" w:rsidP="00675E77">
            <w:pPr>
              <w:pStyle w:val="05Tabletext"/>
            </w:pPr>
            <w:r>
              <w:t xml:space="preserve">Multi-hospital population-based clinical registry, </w:t>
            </w:r>
            <w:r w:rsidRPr="00D75DC9">
              <w:t>Canada</w:t>
            </w:r>
          </w:p>
          <w:p w:rsidR="00675E77" w:rsidRDefault="00675E77" w:rsidP="00675E77">
            <w:pPr>
              <w:pStyle w:val="06Tabletextspacebefore"/>
            </w:pPr>
            <w:r>
              <w:t>Period:</w:t>
            </w:r>
            <w:r w:rsidR="00B95A58">
              <w:t xml:space="preserve"> </w:t>
            </w:r>
            <w:r>
              <w:t>2000 to 2002</w:t>
            </w:r>
          </w:p>
          <w:p w:rsidR="00675E77" w:rsidRDefault="00675E77" w:rsidP="00675E77">
            <w:pPr>
              <w:pStyle w:val="06Tabletextspacebefore"/>
            </w:pPr>
            <w:r>
              <w:t>N = 6897</w:t>
            </w:r>
          </w:p>
          <w:p w:rsidR="00675E77" w:rsidRPr="002B3912" w:rsidRDefault="00675E77" w:rsidP="00675E77">
            <w:pPr>
              <w:pStyle w:val="05Tabletext"/>
            </w:pPr>
            <w:r>
              <w:t>(COPD = 2652)</w:t>
            </w:r>
          </w:p>
        </w:tc>
        <w:tc>
          <w:tcPr>
            <w:tcW w:w="2552" w:type="dxa"/>
            <w:shd w:val="clear" w:color="auto" w:fill="auto"/>
          </w:tcPr>
          <w:p w:rsidR="00675E77" w:rsidRDefault="00675E77" w:rsidP="00675E77">
            <w:pPr>
              <w:pStyle w:val="07Tablebullet"/>
            </w:pPr>
            <w:r>
              <w:t>patients with or without COPD admitted with recurrent pneumonia ≥ 30 days after initial pneumonia episode</w:t>
            </w:r>
          </w:p>
          <w:p w:rsidR="00675E77" w:rsidRPr="003465BE" w:rsidRDefault="00675E77" w:rsidP="00675E77">
            <w:pPr>
              <w:pStyle w:val="07Tablebullet"/>
            </w:pPr>
            <w:r>
              <w:t>≥ 65y</w:t>
            </w:r>
          </w:p>
        </w:tc>
        <w:tc>
          <w:tcPr>
            <w:tcW w:w="2976" w:type="dxa"/>
            <w:shd w:val="clear" w:color="auto" w:fill="auto"/>
          </w:tcPr>
          <w:p w:rsidR="00675E77" w:rsidRDefault="00675E77" w:rsidP="00675E77">
            <w:pPr>
              <w:pStyle w:val="05Tabletext"/>
            </w:pPr>
            <w:r w:rsidRPr="003465BE">
              <w:rPr>
                <w:u w:val="single"/>
              </w:rPr>
              <w:t>Pneumonia</w:t>
            </w:r>
            <w:r>
              <w:t xml:space="preserve"> (653) COPD subgroup (254)</w:t>
            </w:r>
          </w:p>
          <w:p w:rsidR="00675E77" w:rsidRDefault="00675E77" w:rsidP="00675E77">
            <w:pPr>
              <w:pStyle w:val="05Tabletext"/>
            </w:pPr>
            <w:r>
              <w:t>vs</w:t>
            </w:r>
          </w:p>
          <w:p w:rsidR="00675E77" w:rsidRDefault="00675E77" w:rsidP="00675E77">
            <w:pPr>
              <w:pStyle w:val="05Tabletext"/>
            </w:pPr>
            <w:r w:rsidRPr="003465BE">
              <w:rPr>
                <w:u w:val="single"/>
              </w:rPr>
              <w:t>No pneumonia</w:t>
            </w:r>
            <w:r>
              <w:t xml:space="preserve"> (6244) COPD subgroup (2398)</w:t>
            </w:r>
          </w:p>
          <w:p w:rsidR="00675E77" w:rsidRPr="003465BE" w:rsidRDefault="00675E77" w:rsidP="002F692B">
            <w:pPr>
              <w:pStyle w:val="06Tabletextspacebefore"/>
              <w:ind w:right="227"/>
            </w:pPr>
            <w:r w:rsidRPr="003465BE">
              <w:rPr>
                <w:u w:val="single"/>
              </w:rPr>
              <w:t>Analysis</w:t>
            </w:r>
            <w:r>
              <w:t>: conditional multivariate logistic regression, matched controls (incl. for COPD history). Covariates analysed for COPD subgroup: current ICS use (within 90 days) vs never used ICS (ICS not further defined).</w:t>
            </w:r>
          </w:p>
        </w:tc>
        <w:tc>
          <w:tcPr>
            <w:tcW w:w="3828" w:type="dxa"/>
            <w:shd w:val="clear" w:color="auto" w:fill="auto"/>
          </w:tcPr>
          <w:p w:rsidR="00675E77" w:rsidRDefault="00675E77" w:rsidP="00675E77">
            <w:pPr>
              <w:pStyle w:val="05Tabletext"/>
            </w:pPr>
            <w:r>
              <w:t xml:space="preserve">Risk factor analysis for COPD subgroup </w:t>
            </w:r>
          </w:p>
          <w:p w:rsidR="00675E77" w:rsidRPr="00BC2809" w:rsidRDefault="00675E77" w:rsidP="00675E77">
            <w:pPr>
              <w:pStyle w:val="05Tabletext"/>
            </w:pPr>
            <w:r>
              <w:t>– ICS vs no ICS</w:t>
            </w:r>
          </w:p>
          <w:p w:rsidR="00675E77" w:rsidRDefault="00675E77" w:rsidP="00675E77">
            <w:pPr>
              <w:pStyle w:val="05Tabletext"/>
            </w:pPr>
            <w:r w:rsidRPr="0012731B">
              <w:rPr>
                <w:u w:val="single"/>
              </w:rPr>
              <w:t>P</w:t>
            </w:r>
            <w:r>
              <w:rPr>
                <w:u w:val="single"/>
              </w:rPr>
              <w:t>neumonia</w:t>
            </w:r>
          </w:p>
          <w:p w:rsidR="00675E77" w:rsidRPr="007E47B6" w:rsidRDefault="00675E77" w:rsidP="00675E77">
            <w:pPr>
              <w:pStyle w:val="05Tabletext"/>
              <w:tabs>
                <w:tab w:val="left" w:pos="1985"/>
              </w:tabs>
            </w:pPr>
            <w:r>
              <w:t>OR 1.72 [1.17, 2.55]</w:t>
            </w:r>
            <w:r>
              <w:tab/>
            </w:r>
            <w:r w:rsidRPr="002744A7">
              <w:rPr>
                <w:b/>
              </w:rPr>
              <w:t>Favours no ICS</w:t>
            </w:r>
          </w:p>
        </w:tc>
        <w:tc>
          <w:tcPr>
            <w:tcW w:w="2251" w:type="dxa"/>
            <w:shd w:val="clear" w:color="auto" w:fill="auto"/>
          </w:tcPr>
          <w:p w:rsidR="00675E77" w:rsidRPr="00D75DC9" w:rsidRDefault="00675E77" w:rsidP="00675E77">
            <w:pPr>
              <w:pStyle w:val="05Tabletext"/>
            </w:pPr>
            <w:r>
              <w:t>ICS use was independently associated with a significant 90% increased risk of pneumonia in high</w:t>
            </w:r>
            <w:r w:rsidR="006556A8">
              <w:t xml:space="preserve"> </w:t>
            </w:r>
            <w:r>
              <w:t>risk patients who had previously survived an episode of pneumonia.</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r w:rsidRPr="00543892">
              <w:rPr>
                <w:b/>
              </w:rPr>
              <w:t>Janson (2013)</w:t>
            </w:r>
          </w:p>
          <w:p w:rsidR="00675E77" w:rsidRPr="00F42FFF" w:rsidRDefault="00675E77" w:rsidP="00675E77">
            <w:pPr>
              <w:pStyle w:val="06Tabletextspacebefore"/>
            </w:pPr>
            <w:r w:rsidRPr="00D75DC9">
              <w:t>PATHOS</w:t>
            </w:r>
            <w:r>
              <w:t xml:space="preserve"> study</w:t>
            </w:r>
          </w:p>
          <w:p w:rsidR="00675E77" w:rsidRPr="00D75DC9" w:rsidRDefault="00675E77" w:rsidP="00675E77">
            <w:pPr>
              <w:pStyle w:val="06Tabletextspacebefore"/>
            </w:pPr>
            <w:r>
              <w:t>Matched cohorts</w:t>
            </w:r>
          </w:p>
        </w:tc>
        <w:tc>
          <w:tcPr>
            <w:tcW w:w="1560" w:type="dxa"/>
            <w:shd w:val="clear" w:color="auto" w:fill="auto"/>
          </w:tcPr>
          <w:p w:rsidR="00675E77" w:rsidRDefault="00675E77" w:rsidP="00675E77">
            <w:pPr>
              <w:pStyle w:val="05Tabletext"/>
            </w:pPr>
            <w:r w:rsidRPr="00F42FFF">
              <w:t>Primary care medical records data linked to Swedish</w:t>
            </w:r>
            <w:r>
              <w:t xml:space="preserve"> registries</w:t>
            </w:r>
          </w:p>
          <w:p w:rsidR="00675E77" w:rsidRDefault="00675E77" w:rsidP="00675E77">
            <w:pPr>
              <w:pStyle w:val="06Tabletextspacebefore"/>
            </w:pPr>
            <w:r>
              <w:t>Period:</w:t>
            </w:r>
            <w:r w:rsidR="00B95A58">
              <w:t xml:space="preserve"> </w:t>
            </w:r>
            <w:r>
              <w:t>1999 to 2009</w:t>
            </w:r>
          </w:p>
          <w:p w:rsidR="00675E77" w:rsidRPr="00F42FFF" w:rsidRDefault="00675E77" w:rsidP="00675E77">
            <w:pPr>
              <w:pStyle w:val="06Tabletextspacebefore"/>
            </w:pPr>
            <w:r>
              <w:t xml:space="preserve">N = </w:t>
            </w:r>
            <w:r w:rsidRPr="00F42FFF">
              <w:t>9893</w:t>
            </w:r>
          </w:p>
        </w:tc>
        <w:tc>
          <w:tcPr>
            <w:tcW w:w="2552" w:type="dxa"/>
            <w:shd w:val="clear" w:color="auto" w:fill="auto"/>
          </w:tcPr>
          <w:p w:rsidR="00675E77" w:rsidRDefault="00675E77" w:rsidP="00675E77">
            <w:pPr>
              <w:pStyle w:val="07Tablebullet"/>
            </w:pPr>
            <w:r>
              <w:t>COPD diagnosis</w:t>
            </w:r>
          </w:p>
          <w:p w:rsidR="00675E77" w:rsidRPr="00F42FFF" w:rsidRDefault="00675E77" w:rsidP="00675E77">
            <w:pPr>
              <w:pStyle w:val="07Tablebullet"/>
            </w:pPr>
            <w:r>
              <w:t>using FLU/SAL or BUD/EFO</w:t>
            </w:r>
          </w:p>
        </w:tc>
        <w:tc>
          <w:tcPr>
            <w:tcW w:w="2976" w:type="dxa"/>
            <w:shd w:val="clear" w:color="auto" w:fill="auto"/>
          </w:tcPr>
          <w:p w:rsidR="00675E77" w:rsidRDefault="00675E77" w:rsidP="00675E77">
            <w:pPr>
              <w:pStyle w:val="05Tabletext"/>
            </w:pPr>
            <w:r w:rsidRPr="00E05D4F">
              <w:rPr>
                <w:u w:val="single"/>
              </w:rPr>
              <w:t>FLU/SAL</w:t>
            </w:r>
            <w:r>
              <w:t xml:space="preserve"> (</w:t>
            </w:r>
            <w:r w:rsidRPr="00F42FFF">
              <w:t>2734</w:t>
            </w:r>
            <w:r>
              <w:t>)</w:t>
            </w:r>
          </w:p>
          <w:p w:rsidR="00675E77" w:rsidRDefault="00675E77" w:rsidP="00675E77">
            <w:pPr>
              <w:pStyle w:val="05Tabletext"/>
            </w:pPr>
            <w:r>
              <w:t>vs</w:t>
            </w:r>
          </w:p>
          <w:p w:rsidR="00675E77" w:rsidRDefault="00675E77" w:rsidP="00675E77">
            <w:pPr>
              <w:pStyle w:val="05Tabletext"/>
            </w:pPr>
            <w:r w:rsidRPr="00E05D4F">
              <w:rPr>
                <w:u w:val="single"/>
              </w:rPr>
              <w:t>BUD/EFO</w:t>
            </w:r>
            <w:r>
              <w:t xml:space="preserve"> (</w:t>
            </w:r>
            <w:r w:rsidRPr="00F42FFF">
              <w:t>2734</w:t>
            </w:r>
            <w:r>
              <w:t>)</w:t>
            </w:r>
          </w:p>
          <w:p w:rsidR="00675E77" w:rsidRDefault="00B95A58" w:rsidP="00675E77">
            <w:pPr>
              <w:pStyle w:val="06Tabletextspacebefore"/>
            </w:pPr>
            <w:proofErr w:type="gramStart"/>
            <w:r>
              <w:t>Groups</w:t>
            </w:r>
            <w:proofErr w:type="gramEnd"/>
            <w:r w:rsidR="00675E77">
              <w:t xml:space="preserve"> propensity matched from 2738 and 7155</w:t>
            </w:r>
            <w:r w:rsidR="00675E77" w:rsidRPr="0027635E">
              <w:t xml:space="preserve"> patients, respectively</w:t>
            </w:r>
            <w:r w:rsidR="00675E77">
              <w:t>.</w:t>
            </w:r>
          </w:p>
          <w:p w:rsidR="00675E77" w:rsidRPr="00F42FFF" w:rsidRDefault="00675E77" w:rsidP="00675E77">
            <w:pPr>
              <w:pStyle w:val="06Tabletextspacebefore"/>
              <w:spacing w:before="120"/>
              <w:ind w:left="227" w:right="227"/>
            </w:pPr>
            <w:r w:rsidRPr="00252B5C">
              <w:rPr>
                <w:u w:val="single"/>
              </w:rPr>
              <w:t>Analysis</w:t>
            </w:r>
            <w:r>
              <w:t xml:space="preserve">: </w:t>
            </w:r>
            <w:r w:rsidRPr="0027635E">
              <w:t xml:space="preserve">logistic </w:t>
            </w:r>
            <w:r>
              <w:t>regression.</w:t>
            </w:r>
          </w:p>
        </w:tc>
        <w:tc>
          <w:tcPr>
            <w:tcW w:w="3828" w:type="dxa"/>
            <w:shd w:val="clear" w:color="auto" w:fill="auto"/>
          </w:tcPr>
          <w:p w:rsidR="00675E77" w:rsidRDefault="00675E77" w:rsidP="00675E77">
            <w:pPr>
              <w:pStyle w:val="05Tabletext"/>
              <w:rPr>
                <w:u w:val="single"/>
              </w:rPr>
            </w:pPr>
            <w:r>
              <w:rPr>
                <w:u w:val="single"/>
              </w:rPr>
              <w:t>Any pneumonia</w:t>
            </w:r>
          </w:p>
          <w:p w:rsidR="00675E77" w:rsidRPr="002F4ED6" w:rsidRDefault="00675E77" w:rsidP="00675E77">
            <w:pPr>
              <w:pStyle w:val="05Tabletext"/>
              <w:tabs>
                <w:tab w:val="left" w:pos="1985"/>
              </w:tabs>
              <w:rPr>
                <w:b/>
              </w:rPr>
            </w:pPr>
            <w:r w:rsidRPr="002F4ED6">
              <w:t>RR 1.73 [1.57, 1.90]</w:t>
            </w:r>
            <w:r w:rsidRPr="002F4ED6">
              <w:tab/>
            </w:r>
            <w:r w:rsidRPr="009E1B35">
              <w:rPr>
                <w:b/>
              </w:rPr>
              <w:t>Favours BUD/EFO</w:t>
            </w:r>
          </w:p>
          <w:p w:rsidR="00675E77" w:rsidRPr="00E05D4F" w:rsidRDefault="00675E77" w:rsidP="00675E77">
            <w:pPr>
              <w:pStyle w:val="05Tabletext"/>
              <w:rPr>
                <w:u w:val="single"/>
              </w:rPr>
            </w:pPr>
            <w:r w:rsidRPr="00E05D4F">
              <w:rPr>
                <w:u w:val="single"/>
              </w:rPr>
              <w:t>Pneumonia hospitalisation</w:t>
            </w:r>
          </w:p>
          <w:p w:rsidR="00675E77" w:rsidRDefault="00675E77" w:rsidP="00675E77">
            <w:pPr>
              <w:pStyle w:val="05Tabletext"/>
              <w:tabs>
                <w:tab w:val="left" w:pos="1985"/>
              </w:tabs>
            </w:pPr>
            <w:r>
              <w:t>RR 1.74 [1.56, 1.94]</w:t>
            </w:r>
            <w:r>
              <w:tab/>
            </w:r>
            <w:r w:rsidRPr="009E1B35">
              <w:rPr>
                <w:b/>
              </w:rPr>
              <w:t>Favours BUD/EFO</w:t>
            </w:r>
          </w:p>
          <w:p w:rsidR="00675E77" w:rsidRPr="009E1B35" w:rsidRDefault="00675E77" w:rsidP="00675E77">
            <w:pPr>
              <w:pStyle w:val="05Tabletext"/>
              <w:rPr>
                <w:u w:val="single"/>
              </w:rPr>
            </w:pPr>
            <w:r w:rsidRPr="009E1B35">
              <w:rPr>
                <w:u w:val="single"/>
              </w:rPr>
              <w:t>Fatal pneumonia</w:t>
            </w:r>
          </w:p>
          <w:p w:rsidR="00675E77" w:rsidRDefault="00675E77" w:rsidP="00675E77">
            <w:pPr>
              <w:pStyle w:val="05Tabletext"/>
              <w:tabs>
                <w:tab w:val="left" w:pos="1985"/>
              </w:tabs>
            </w:pPr>
            <w:r>
              <w:t>HR 1.76 [1.22, 2.53]</w:t>
            </w:r>
            <w:r>
              <w:tab/>
            </w:r>
            <w:r w:rsidRPr="009E1B35">
              <w:rPr>
                <w:b/>
              </w:rPr>
              <w:t>Favours BUD/EFO</w:t>
            </w:r>
          </w:p>
          <w:p w:rsidR="00675E77" w:rsidRPr="009E1B35" w:rsidRDefault="00675E77" w:rsidP="00675E77">
            <w:pPr>
              <w:pStyle w:val="05Tabletext"/>
              <w:rPr>
                <w:u w:val="single"/>
              </w:rPr>
            </w:pPr>
            <w:r w:rsidRPr="009E1B35">
              <w:rPr>
                <w:u w:val="single"/>
              </w:rPr>
              <w:t>All-cause mortality</w:t>
            </w:r>
          </w:p>
          <w:p w:rsidR="00675E77" w:rsidRPr="00E05D4F" w:rsidRDefault="00675E77" w:rsidP="00675E77">
            <w:pPr>
              <w:pStyle w:val="05Tabletext"/>
            </w:pPr>
            <w:r>
              <w:t>HR 1.08 [0.93, 1.14]</w:t>
            </w:r>
          </w:p>
        </w:tc>
        <w:tc>
          <w:tcPr>
            <w:tcW w:w="2251" w:type="dxa"/>
            <w:shd w:val="clear" w:color="auto" w:fill="auto"/>
          </w:tcPr>
          <w:p w:rsidR="00675E77" w:rsidRPr="00D75DC9" w:rsidRDefault="00675E77" w:rsidP="00675E77">
            <w:pPr>
              <w:pStyle w:val="05Tabletext"/>
            </w:pPr>
            <w:r>
              <w:t>There is an intra-class difference between fixed combinations of inhaled corticosteroid/long</w:t>
            </w:r>
            <w:r w:rsidR="00D1265E">
              <w:t>-</w:t>
            </w:r>
            <w:r>
              <w:t>acting β</w:t>
            </w:r>
            <w:r w:rsidRPr="002F692B">
              <w:rPr>
                <w:vertAlign w:val="subscript"/>
              </w:rPr>
              <w:t>2</w:t>
            </w:r>
            <w:r>
              <w:t xml:space="preserve"> agonist with regard to the risk of pneumonia and pneumonia</w:t>
            </w:r>
            <w:r w:rsidR="00185623">
              <w:t>-</w:t>
            </w:r>
            <w:r>
              <w:t>related events in the treatment of patients with COPD.</w:t>
            </w:r>
          </w:p>
        </w:tc>
      </w:tr>
      <w:tr w:rsidR="00675E77" w:rsidRPr="00D75DC9" w:rsidTr="00675E77">
        <w:trPr>
          <w:cantSplit/>
        </w:trPr>
        <w:tc>
          <w:tcPr>
            <w:tcW w:w="1365" w:type="dxa"/>
            <w:shd w:val="clear" w:color="auto" w:fill="auto"/>
          </w:tcPr>
          <w:p w:rsidR="00675E77" w:rsidRDefault="00675E77" w:rsidP="00675E77">
            <w:pPr>
              <w:pStyle w:val="05Tabletext"/>
              <w:rPr>
                <w:b/>
              </w:rPr>
            </w:pPr>
            <w:r>
              <w:rPr>
                <w:b/>
              </w:rPr>
              <w:lastRenderedPageBreak/>
              <w:t>Lee (2013a)</w:t>
            </w:r>
          </w:p>
          <w:p w:rsidR="00675E77" w:rsidRPr="00446A48" w:rsidRDefault="00675E77" w:rsidP="00675E77">
            <w:pPr>
              <w:pStyle w:val="06Tabletextspacebefore"/>
            </w:pPr>
            <w:r w:rsidRPr="00446A48">
              <w:t>Case</w:t>
            </w:r>
            <w:r w:rsidR="008739F8">
              <w:t>-</w:t>
            </w:r>
            <w:r w:rsidRPr="00446A48">
              <w:t>crossover study</w:t>
            </w:r>
          </w:p>
        </w:tc>
        <w:tc>
          <w:tcPr>
            <w:tcW w:w="1560" w:type="dxa"/>
            <w:shd w:val="clear" w:color="auto" w:fill="auto"/>
          </w:tcPr>
          <w:p w:rsidR="00675E77" w:rsidRDefault="00675E77" w:rsidP="00675E77">
            <w:pPr>
              <w:pStyle w:val="05Tabletext"/>
            </w:pPr>
            <w:r>
              <w:t>Health Insurance Review and Assessment Service, South Korea</w:t>
            </w:r>
          </w:p>
          <w:p w:rsidR="00675E77" w:rsidRDefault="00675E77" w:rsidP="00675E77">
            <w:pPr>
              <w:pStyle w:val="06Tabletextspacebefore"/>
            </w:pPr>
            <w:r>
              <w:t>Period:</w:t>
            </w:r>
            <w:r w:rsidR="002167A5">
              <w:t xml:space="preserve"> </w:t>
            </w:r>
            <w:r>
              <w:t>Jan 2008 - Dec 2010</w:t>
            </w:r>
          </w:p>
          <w:p w:rsidR="00675E77" w:rsidRDefault="00675E77" w:rsidP="00675E77">
            <w:pPr>
              <w:pStyle w:val="06Tabletextspacebefore"/>
            </w:pPr>
            <w:r>
              <w:t>N = 186, 018</w:t>
            </w:r>
          </w:p>
          <w:p w:rsidR="00675E77" w:rsidRPr="001E3AB7" w:rsidRDefault="00675E77" w:rsidP="00675E77">
            <w:pPr>
              <w:pStyle w:val="05Tabletext"/>
            </w:pPr>
            <w:r>
              <w:t>(COPD = 110,333)</w:t>
            </w:r>
          </w:p>
        </w:tc>
        <w:tc>
          <w:tcPr>
            <w:tcW w:w="2552" w:type="dxa"/>
            <w:shd w:val="clear" w:color="auto" w:fill="auto"/>
          </w:tcPr>
          <w:p w:rsidR="00675E77" w:rsidRDefault="00675E77" w:rsidP="00675E77">
            <w:pPr>
              <w:pStyle w:val="07Tablebullet"/>
            </w:pPr>
            <w:r>
              <w:t>any users of respiratory medications</w:t>
            </w:r>
          </w:p>
          <w:p w:rsidR="00675E77" w:rsidRDefault="00675E77" w:rsidP="00675E77">
            <w:pPr>
              <w:pStyle w:val="07Tablebullet"/>
            </w:pPr>
            <w:r>
              <w:t>method of identification of COPD patients not reported</w:t>
            </w:r>
          </w:p>
          <w:p w:rsidR="00675E77" w:rsidRDefault="00675E77" w:rsidP="00675E77">
            <w:pPr>
              <w:pStyle w:val="07Tablebullet"/>
            </w:pPr>
            <w:r>
              <w:t>no other criteria reported</w:t>
            </w:r>
          </w:p>
          <w:p w:rsidR="00675E77" w:rsidRDefault="00675E77" w:rsidP="00675E77">
            <w:pPr>
              <w:pStyle w:val="06Tabletextspacebefore"/>
              <w:spacing w:before="120"/>
            </w:pPr>
          </w:p>
        </w:tc>
        <w:tc>
          <w:tcPr>
            <w:tcW w:w="2976" w:type="dxa"/>
            <w:shd w:val="clear" w:color="auto" w:fill="auto"/>
          </w:tcPr>
          <w:p w:rsidR="00675E77" w:rsidRPr="00D45635" w:rsidRDefault="00675E77" w:rsidP="00675E77">
            <w:pPr>
              <w:pStyle w:val="05Tabletext"/>
            </w:pPr>
            <w:r>
              <w:t xml:space="preserve">For COPD </w:t>
            </w:r>
            <w:r w:rsidRPr="00D45635">
              <w:t>subgroup:</w:t>
            </w:r>
          </w:p>
          <w:p w:rsidR="00675E77" w:rsidRDefault="00675E77" w:rsidP="00675E77">
            <w:pPr>
              <w:pStyle w:val="06Tabletextspacebefore"/>
            </w:pPr>
            <w:r w:rsidRPr="008374A4">
              <w:rPr>
                <w:u w:val="single"/>
              </w:rPr>
              <w:t>NO</w:t>
            </w:r>
            <w:r w:rsidRPr="00DB791F">
              <w:rPr>
                <w:u w:val="single"/>
              </w:rPr>
              <w:t xml:space="preserve"> ICS/LABA</w:t>
            </w:r>
            <w:r>
              <w:rPr>
                <w:u w:val="single"/>
              </w:rPr>
              <w:t xml:space="preserve"> (n for case/control periods</w:t>
            </w:r>
            <w:r>
              <w:t xml:space="preserve">) (96,261; 97,274) </w:t>
            </w:r>
          </w:p>
          <w:p w:rsidR="00675E77" w:rsidRDefault="00675E77" w:rsidP="00675E77">
            <w:pPr>
              <w:pStyle w:val="05Tabletext"/>
            </w:pPr>
            <w:r>
              <w:t>vs</w:t>
            </w:r>
          </w:p>
          <w:p w:rsidR="00675E77" w:rsidRPr="00DB791F" w:rsidRDefault="00675E77" w:rsidP="00C60DCE">
            <w:pPr>
              <w:pStyle w:val="06Tabletextspacebefore"/>
              <w:numPr>
                <w:ilvl w:val="0"/>
                <w:numId w:val="43"/>
              </w:numPr>
              <w:spacing w:before="0"/>
              <w:rPr>
                <w:u w:val="single"/>
              </w:rPr>
            </w:pPr>
            <w:r w:rsidRPr="00DB791F">
              <w:rPr>
                <w:u w:val="single"/>
              </w:rPr>
              <w:t>ICS/LABA</w:t>
            </w:r>
            <w:r w:rsidRPr="00DB791F">
              <w:t xml:space="preserve"> (</w:t>
            </w:r>
            <w:r>
              <w:t>9,</w:t>
            </w:r>
            <w:r w:rsidRPr="00DB791F">
              <w:t>657; 11</w:t>
            </w:r>
            <w:r>
              <w:t>,</w:t>
            </w:r>
            <w:r w:rsidRPr="00DB791F">
              <w:t>184)</w:t>
            </w:r>
          </w:p>
          <w:p w:rsidR="00675E77" w:rsidRPr="00F4438A" w:rsidRDefault="00675E77" w:rsidP="00C60DCE">
            <w:pPr>
              <w:pStyle w:val="06Tabletextspacebefore"/>
              <w:numPr>
                <w:ilvl w:val="0"/>
                <w:numId w:val="43"/>
              </w:numPr>
              <w:rPr>
                <w:u w:val="single"/>
              </w:rPr>
            </w:pPr>
            <w:r w:rsidRPr="00DB791F">
              <w:rPr>
                <w:u w:val="single"/>
              </w:rPr>
              <w:t>ICS alone</w:t>
            </w:r>
            <w:r w:rsidRPr="00DB791F">
              <w:t xml:space="preserve"> (</w:t>
            </w:r>
            <w:r>
              <w:t>4,242; 1,759)</w:t>
            </w:r>
          </w:p>
          <w:p w:rsidR="00675E77" w:rsidRPr="00F7455F" w:rsidRDefault="00675E77" w:rsidP="002F692B">
            <w:pPr>
              <w:pStyle w:val="06Tabletextspacebefore"/>
              <w:spacing w:before="120"/>
              <w:ind w:right="227"/>
            </w:pPr>
            <w:r w:rsidRPr="00252B5C">
              <w:rPr>
                <w:u w:val="single"/>
              </w:rPr>
              <w:t>Analysis</w:t>
            </w:r>
            <w:r>
              <w:t>: conditional logistic regression. Study uses data from same patient at earlier time period as a control.</w:t>
            </w:r>
          </w:p>
        </w:tc>
        <w:tc>
          <w:tcPr>
            <w:tcW w:w="3828" w:type="dxa"/>
            <w:shd w:val="clear" w:color="auto" w:fill="auto"/>
          </w:tcPr>
          <w:p w:rsidR="00675E77" w:rsidRPr="008374A4" w:rsidRDefault="00675E77" w:rsidP="00675E77">
            <w:pPr>
              <w:pStyle w:val="05Tabletext"/>
            </w:pPr>
            <w:r>
              <w:rPr>
                <w:u w:val="single"/>
              </w:rPr>
              <w:t xml:space="preserve">Pneumonia </w:t>
            </w:r>
            <w:r>
              <w:t>(hospitalisation or ED visit)</w:t>
            </w:r>
          </w:p>
          <w:p w:rsidR="00675E77" w:rsidRPr="006A1916" w:rsidRDefault="00675E77" w:rsidP="00675E77">
            <w:pPr>
              <w:pStyle w:val="05Tabletext"/>
              <w:rPr>
                <w:u w:val="single"/>
              </w:rPr>
            </w:pPr>
            <w:r w:rsidRPr="006A1916">
              <w:rPr>
                <w:u w:val="single"/>
              </w:rPr>
              <w:t xml:space="preserve">ICS/LABA </w:t>
            </w:r>
            <w:r>
              <w:rPr>
                <w:u w:val="single"/>
              </w:rPr>
              <w:t xml:space="preserve">vs no </w:t>
            </w:r>
            <w:r w:rsidRPr="006A1916">
              <w:rPr>
                <w:u w:val="single"/>
              </w:rPr>
              <w:t xml:space="preserve">ICS/LABA: </w:t>
            </w:r>
          </w:p>
          <w:p w:rsidR="00675E77" w:rsidRDefault="00675E77" w:rsidP="00675E77">
            <w:pPr>
              <w:pStyle w:val="05Tabletext"/>
              <w:tabs>
                <w:tab w:val="left" w:pos="1985"/>
              </w:tabs>
            </w:pPr>
            <w:r>
              <w:t>OR 0.64 [0.61, 0.67]</w:t>
            </w:r>
            <w:r>
              <w:tab/>
            </w:r>
            <w:r w:rsidRPr="00BE5FC3">
              <w:rPr>
                <w:b/>
              </w:rPr>
              <w:t>Favours ICS/LABA</w:t>
            </w:r>
          </w:p>
          <w:p w:rsidR="00675E77" w:rsidRPr="00BE5FC3" w:rsidRDefault="00675E77" w:rsidP="00675E77">
            <w:pPr>
              <w:pStyle w:val="06Tabletextspacebefore"/>
              <w:rPr>
                <w:u w:val="single"/>
              </w:rPr>
            </w:pPr>
            <w:r w:rsidRPr="00BE5FC3">
              <w:rPr>
                <w:u w:val="single"/>
              </w:rPr>
              <w:t>ICS</w:t>
            </w:r>
            <w:r>
              <w:rPr>
                <w:u w:val="single"/>
              </w:rPr>
              <w:t xml:space="preserve"> alone</w:t>
            </w:r>
            <w:r w:rsidRPr="00BE5FC3">
              <w:rPr>
                <w:u w:val="single"/>
              </w:rPr>
              <w:t xml:space="preserve"> vs no ICS/LABA:</w:t>
            </w:r>
          </w:p>
          <w:p w:rsidR="00675E77" w:rsidRDefault="00675E77" w:rsidP="00675E77">
            <w:pPr>
              <w:pStyle w:val="05Tabletext"/>
              <w:tabs>
                <w:tab w:val="left" w:pos="1985"/>
              </w:tabs>
            </w:pPr>
            <w:r>
              <w:t>OR 1.89 [1.76, 2.02]</w:t>
            </w:r>
            <w:r>
              <w:tab/>
            </w:r>
            <w:r w:rsidRPr="00BE5FC3">
              <w:rPr>
                <w:b/>
              </w:rPr>
              <w:t>Favours no ICS/LABA</w:t>
            </w:r>
          </w:p>
          <w:p w:rsidR="00675E77" w:rsidRDefault="00675E77" w:rsidP="00675E77">
            <w:pPr>
              <w:pStyle w:val="06Tabletextspacebefore"/>
            </w:pPr>
          </w:p>
          <w:p w:rsidR="00675E77" w:rsidRPr="006A1916" w:rsidRDefault="00675E77" w:rsidP="00675E77">
            <w:pPr>
              <w:pStyle w:val="06Tabletextspacebefore"/>
            </w:pPr>
          </w:p>
          <w:p w:rsidR="00675E77" w:rsidRPr="006A1916" w:rsidRDefault="00675E77" w:rsidP="00675E77">
            <w:pPr>
              <w:pStyle w:val="06Tabletextspacebefore"/>
            </w:pPr>
          </w:p>
        </w:tc>
        <w:tc>
          <w:tcPr>
            <w:tcW w:w="2251" w:type="dxa"/>
            <w:shd w:val="clear" w:color="auto" w:fill="auto"/>
          </w:tcPr>
          <w:p w:rsidR="00675E77" w:rsidRDefault="00675E77" w:rsidP="00675E77">
            <w:pPr>
              <w:pStyle w:val="05Tabletext"/>
            </w:pPr>
            <w:r>
              <w:t>We suggest that the use of ICS with LABA decreases the risk of hospital admission or ER visit for pneumonia, whereas the use of ICS alone may increase that risk.</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proofErr w:type="spellStart"/>
            <w:r w:rsidRPr="00543892">
              <w:rPr>
                <w:b/>
              </w:rPr>
              <w:t>Suissa</w:t>
            </w:r>
            <w:proofErr w:type="spellEnd"/>
            <w:r w:rsidRPr="00543892">
              <w:rPr>
                <w:b/>
              </w:rPr>
              <w:t xml:space="preserve"> (2013)</w:t>
            </w:r>
          </w:p>
          <w:p w:rsidR="00675E77" w:rsidRPr="00002D10" w:rsidRDefault="00675E77" w:rsidP="00675E77">
            <w:pPr>
              <w:pStyle w:val="06Tabletextspacebefore"/>
            </w:pPr>
            <w:r>
              <w:t>Nested case</w:t>
            </w:r>
            <w:r w:rsidR="008739F8">
              <w:t>-</w:t>
            </w:r>
            <w:r>
              <w:t>control</w:t>
            </w:r>
          </w:p>
        </w:tc>
        <w:tc>
          <w:tcPr>
            <w:tcW w:w="1560" w:type="dxa"/>
            <w:shd w:val="clear" w:color="auto" w:fill="auto"/>
          </w:tcPr>
          <w:p w:rsidR="00675E77" w:rsidRPr="007D0149" w:rsidRDefault="00675E77" w:rsidP="00675E77">
            <w:pPr>
              <w:pStyle w:val="05Tabletext"/>
            </w:pPr>
            <w:r w:rsidRPr="007D0149">
              <w:t>Quebec health insurance databases, Canada</w:t>
            </w:r>
          </w:p>
          <w:p w:rsidR="00675E77" w:rsidRPr="007D0149" w:rsidRDefault="00675E77" w:rsidP="00675E77">
            <w:pPr>
              <w:pStyle w:val="06Tabletextspacebefore"/>
            </w:pPr>
            <w:r w:rsidRPr="007D0149">
              <w:t>Period:</w:t>
            </w:r>
            <w:r w:rsidR="002167A5">
              <w:t xml:space="preserve"> </w:t>
            </w:r>
            <w:r w:rsidRPr="007D0149">
              <w:t>1990 to 2005</w:t>
            </w:r>
          </w:p>
          <w:p w:rsidR="00675E77" w:rsidRPr="00D75DC9" w:rsidRDefault="00675E77" w:rsidP="00675E77">
            <w:pPr>
              <w:pStyle w:val="06Tabletextspacebefore"/>
            </w:pPr>
            <w:r w:rsidRPr="007D0149">
              <w:t xml:space="preserve">N = </w:t>
            </w:r>
            <w:r>
              <w:t>163,514</w:t>
            </w:r>
          </w:p>
        </w:tc>
        <w:tc>
          <w:tcPr>
            <w:tcW w:w="2552" w:type="dxa"/>
            <w:shd w:val="clear" w:color="auto" w:fill="auto"/>
          </w:tcPr>
          <w:p w:rsidR="00675E77" w:rsidRDefault="00675E77" w:rsidP="00675E77">
            <w:pPr>
              <w:pStyle w:val="07Tablebullet"/>
            </w:pPr>
            <w:r w:rsidRPr="007D0149">
              <w:t>inferred COPD from respiratory medicines prescribing history</w:t>
            </w:r>
            <w:r>
              <w:t xml:space="preserve"> and exclusion of asthma</w:t>
            </w:r>
          </w:p>
          <w:p w:rsidR="00675E77" w:rsidRDefault="00675E77" w:rsidP="00675E77">
            <w:pPr>
              <w:pStyle w:val="07Tablebullet"/>
            </w:pPr>
            <w:r w:rsidRPr="007D0149">
              <w:t>≥ 55y</w:t>
            </w:r>
            <w:r>
              <w:t xml:space="preserve"> </w:t>
            </w:r>
          </w:p>
          <w:p w:rsidR="00675E77" w:rsidRPr="00D75DC9" w:rsidRDefault="00675E77" w:rsidP="00675E77">
            <w:pPr>
              <w:pStyle w:val="07Tablebullet"/>
            </w:pPr>
            <w:r w:rsidRPr="002F60F8">
              <w:rPr>
                <w:b/>
              </w:rPr>
              <w:t>new users</w:t>
            </w:r>
            <w:r>
              <w:t xml:space="preserve"> of respiratory medications, defined </w:t>
            </w:r>
            <w:r w:rsidRPr="007D0149">
              <w:t>by no use over prior 2 years</w:t>
            </w:r>
            <w:r>
              <w:t xml:space="preserve"> (163,514)</w:t>
            </w:r>
          </w:p>
        </w:tc>
        <w:tc>
          <w:tcPr>
            <w:tcW w:w="2976" w:type="dxa"/>
            <w:shd w:val="clear" w:color="auto" w:fill="auto"/>
          </w:tcPr>
          <w:p w:rsidR="00675E77" w:rsidRPr="007D0149" w:rsidRDefault="00675E77" w:rsidP="00675E77">
            <w:pPr>
              <w:pStyle w:val="05Tabletext"/>
            </w:pPr>
            <w:r w:rsidRPr="007D0149">
              <w:rPr>
                <w:u w:val="single"/>
              </w:rPr>
              <w:t>Pneumonia</w:t>
            </w:r>
            <w:r>
              <w:t xml:space="preserve"> (20,344</w:t>
            </w:r>
            <w:r w:rsidRPr="007D0149">
              <w:t>)</w:t>
            </w:r>
          </w:p>
          <w:p w:rsidR="00675E77" w:rsidRPr="007D0149" w:rsidRDefault="00675E77" w:rsidP="00675E77">
            <w:pPr>
              <w:pStyle w:val="05Tabletext"/>
            </w:pPr>
            <w:r w:rsidRPr="007D0149">
              <w:t>vs</w:t>
            </w:r>
          </w:p>
          <w:p w:rsidR="00675E77" w:rsidRDefault="00675E77" w:rsidP="00675E77">
            <w:pPr>
              <w:pStyle w:val="05Tabletext"/>
            </w:pPr>
            <w:r>
              <w:rPr>
                <w:u w:val="single"/>
              </w:rPr>
              <w:t>Matched controls</w:t>
            </w:r>
            <w:r w:rsidRPr="007D0149">
              <w:t xml:space="preserve"> (</w:t>
            </w:r>
            <w:r>
              <w:t>197,705</w:t>
            </w:r>
            <w:r w:rsidRPr="007D0149">
              <w:t>)</w:t>
            </w:r>
          </w:p>
          <w:p w:rsidR="00675E77" w:rsidRPr="00D75DC9" w:rsidRDefault="00675E77" w:rsidP="002F692B">
            <w:pPr>
              <w:pStyle w:val="06Tabletextspacebefore"/>
              <w:spacing w:before="120"/>
              <w:ind w:right="227"/>
            </w:pPr>
            <w:r w:rsidRPr="00252B5C">
              <w:rPr>
                <w:u w:val="single"/>
              </w:rPr>
              <w:t>Analysis</w:t>
            </w:r>
            <w:r>
              <w:t>: conditional logistic regression, matched controls.</w:t>
            </w:r>
          </w:p>
        </w:tc>
        <w:tc>
          <w:tcPr>
            <w:tcW w:w="3828" w:type="dxa"/>
            <w:shd w:val="clear" w:color="auto" w:fill="auto"/>
          </w:tcPr>
          <w:p w:rsidR="00675E77" w:rsidRDefault="00675E77" w:rsidP="00675E77">
            <w:pPr>
              <w:pStyle w:val="05Tabletext"/>
              <w:rPr>
                <w:u w:val="single"/>
              </w:rPr>
            </w:pPr>
            <w:r>
              <w:t>Risk factor analysis – ICS use vs</w:t>
            </w:r>
            <w:r w:rsidRPr="00543892">
              <w:t xml:space="preserve"> </w:t>
            </w:r>
            <w:r>
              <w:t>no use</w:t>
            </w:r>
          </w:p>
          <w:p w:rsidR="00675E77" w:rsidRDefault="00675E77" w:rsidP="00675E77">
            <w:pPr>
              <w:pStyle w:val="05Tabletext"/>
            </w:pPr>
            <w:r w:rsidRPr="006F498F">
              <w:rPr>
                <w:u w:val="single"/>
              </w:rPr>
              <w:t>Pneumonia, serious</w:t>
            </w:r>
            <w:r w:rsidRPr="00A50735">
              <w:t xml:space="preserve"> (hospitalisation or death)</w:t>
            </w:r>
            <w:r>
              <w:t xml:space="preserve"> </w:t>
            </w:r>
          </w:p>
          <w:p w:rsidR="00675E77" w:rsidRPr="001460A7" w:rsidRDefault="00675E77" w:rsidP="00675E77">
            <w:pPr>
              <w:pStyle w:val="05Tabletext"/>
              <w:tabs>
                <w:tab w:val="left" w:pos="1418"/>
              </w:tabs>
              <w:ind w:left="170"/>
            </w:pPr>
            <w:r>
              <w:tab/>
            </w:r>
            <w:r w:rsidRPr="001460A7">
              <w:t>RR</w:t>
            </w:r>
          </w:p>
          <w:p w:rsidR="00675E77" w:rsidRPr="007D0149" w:rsidRDefault="00675E77" w:rsidP="00675E77">
            <w:pPr>
              <w:pStyle w:val="05Tabletext"/>
              <w:tabs>
                <w:tab w:val="left" w:pos="1418"/>
              </w:tabs>
            </w:pPr>
            <w:r w:rsidRPr="003D16D4">
              <w:t>All ICS:</w:t>
            </w:r>
            <w:r w:rsidRPr="007D0149">
              <w:tab/>
            </w:r>
            <w:r>
              <w:t>1.69</w:t>
            </w:r>
            <w:r w:rsidRPr="007D0149">
              <w:t xml:space="preserve"> [</w:t>
            </w:r>
            <w:r>
              <w:t>1.63,</w:t>
            </w:r>
            <w:r w:rsidRPr="003A7D83">
              <w:t xml:space="preserve"> 1.75</w:t>
            </w:r>
            <w:r w:rsidRPr="007D0149">
              <w:t>]</w:t>
            </w:r>
            <w:r>
              <w:t xml:space="preserve"> </w:t>
            </w:r>
            <w:r w:rsidRPr="003102BE">
              <w:rPr>
                <w:b/>
              </w:rPr>
              <w:t>Fav</w:t>
            </w:r>
            <w:r>
              <w:rPr>
                <w:b/>
              </w:rPr>
              <w:t xml:space="preserve">ours </w:t>
            </w:r>
            <w:r w:rsidRPr="003102BE">
              <w:rPr>
                <w:b/>
              </w:rPr>
              <w:t>no ICS</w:t>
            </w:r>
          </w:p>
          <w:p w:rsidR="00675E77" w:rsidRPr="007D0149" w:rsidRDefault="00675E77" w:rsidP="00675E77">
            <w:pPr>
              <w:pStyle w:val="05Tabletext"/>
              <w:tabs>
                <w:tab w:val="left" w:pos="1418"/>
              </w:tabs>
              <w:ind w:left="170"/>
            </w:pPr>
            <w:r w:rsidRPr="00C4348A">
              <w:t>Low dose:</w:t>
            </w:r>
            <w:r w:rsidRPr="007D0149">
              <w:tab/>
            </w:r>
            <w:r>
              <w:t>1.24 [1.13,</w:t>
            </w:r>
            <w:r w:rsidRPr="003A7D83">
              <w:t xml:space="preserve"> 1.36</w:t>
            </w:r>
            <w:r w:rsidRPr="007D0149">
              <w:t>]</w:t>
            </w:r>
            <w:r>
              <w:t xml:space="preserve"> </w:t>
            </w:r>
            <w:r w:rsidRPr="003102BE">
              <w:rPr>
                <w:b/>
              </w:rPr>
              <w:t>Fav</w:t>
            </w:r>
            <w:r>
              <w:rPr>
                <w:b/>
              </w:rPr>
              <w:t xml:space="preserve">ours </w:t>
            </w:r>
            <w:r w:rsidRPr="003102BE">
              <w:rPr>
                <w:b/>
              </w:rPr>
              <w:t>no ICS</w:t>
            </w:r>
          </w:p>
          <w:p w:rsidR="00675E77" w:rsidRPr="007D0149" w:rsidRDefault="00675E77" w:rsidP="00675E77">
            <w:pPr>
              <w:pStyle w:val="05Tabletext"/>
              <w:tabs>
                <w:tab w:val="left" w:pos="1418"/>
              </w:tabs>
              <w:ind w:left="170"/>
            </w:pPr>
            <w:r w:rsidRPr="00C4348A">
              <w:t>Medium dose:</w:t>
            </w:r>
            <w:r w:rsidRPr="007D0149">
              <w:tab/>
            </w:r>
            <w:r>
              <w:t>1.66 [1.59,</w:t>
            </w:r>
            <w:r w:rsidRPr="003A7D83">
              <w:t xml:space="preserve"> 1.74</w:t>
            </w:r>
            <w:r w:rsidRPr="007D0149">
              <w:t>]</w:t>
            </w:r>
            <w:r>
              <w:t xml:space="preserve"> </w:t>
            </w:r>
            <w:r w:rsidRPr="003102BE">
              <w:rPr>
                <w:b/>
              </w:rPr>
              <w:t>Fav</w:t>
            </w:r>
            <w:r>
              <w:rPr>
                <w:b/>
              </w:rPr>
              <w:t xml:space="preserve">ours </w:t>
            </w:r>
            <w:r w:rsidRPr="003102BE">
              <w:rPr>
                <w:b/>
              </w:rPr>
              <w:t>no ICS</w:t>
            </w:r>
          </w:p>
          <w:p w:rsidR="00675E77" w:rsidRDefault="00675E77" w:rsidP="00675E77">
            <w:pPr>
              <w:pStyle w:val="05Tabletext"/>
              <w:tabs>
                <w:tab w:val="left" w:pos="1418"/>
              </w:tabs>
              <w:ind w:left="170"/>
            </w:pPr>
            <w:r w:rsidRPr="00C4348A">
              <w:t>High dose:</w:t>
            </w:r>
            <w:r w:rsidRPr="007D0149">
              <w:tab/>
            </w:r>
            <w:r>
              <w:t>1.86</w:t>
            </w:r>
            <w:r w:rsidRPr="007D0149">
              <w:t xml:space="preserve"> [</w:t>
            </w:r>
            <w:r w:rsidRPr="003A7D83">
              <w:t>1.77</w:t>
            </w:r>
            <w:r>
              <w:t xml:space="preserve">, </w:t>
            </w:r>
            <w:r w:rsidRPr="003A7D83">
              <w:t>1.94</w:t>
            </w:r>
            <w:r w:rsidRPr="007D0149">
              <w:t>]</w:t>
            </w:r>
            <w:r>
              <w:t xml:space="preserve"> </w:t>
            </w:r>
            <w:r w:rsidRPr="003102BE">
              <w:rPr>
                <w:b/>
              </w:rPr>
              <w:t>Fav</w:t>
            </w:r>
            <w:r>
              <w:rPr>
                <w:b/>
              </w:rPr>
              <w:t xml:space="preserve">ours </w:t>
            </w:r>
            <w:r w:rsidRPr="003102BE">
              <w:rPr>
                <w:b/>
              </w:rPr>
              <w:t>no ICS</w:t>
            </w:r>
          </w:p>
          <w:p w:rsidR="00675E77" w:rsidRDefault="00675E77" w:rsidP="00675E77">
            <w:pPr>
              <w:pStyle w:val="05Tabletext"/>
              <w:tabs>
                <w:tab w:val="left" w:pos="1418"/>
              </w:tabs>
            </w:pPr>
            <w:r w:rsidRPr="00C4348A">
              <w:t>Past use:</w:t>
            </w:r>
            <w:r w:rsidRPr="00C4348A">
              <w:tab/>
            </w:r>
            <w:r>
              <w:t>1.15 [</w:t>
            </w:r>
            <w:r w:rsidRPr="00C4348A">
              <w:t>1.10</w:t>
            </w:r>
            <w:r>
              <w:t xml:space="preserve">, </w:t>
            </w:r>
            <w:r w:rsidRPr="00C4348A">
              <w:t>1.20</w:t>
            </w:r>
            <w:r>
              <w:t xml:space="preserve">] </w:t>
            </w:r>
            <w:r w:rsidRPr="003102BE">
              <w:rPr>
                <w:b/>
              </w:rPr>
              <w:t>Fav</w:t>
            </w:r>
            <w:r>
              <w:rPr>
                <w:b/>
              </w:rPr>
              <w:t xml:space="preserve">ours </w:t>
            </w:r>
            <w:r w:rsidRPr="003102BE">
              <w:rPr>
                <w:b/>
              </w:rPr>
              <w:t>no ICS</w:t>
            </w:r>
          </w:p>
          <w:p w:rsidR="00675E77" w:rsidRPr="00C4348A" w:rsidRDefault="00675E77" w:rsidP="00675E77">
            <w:pPr>
              <w:pStyle w:val="05Tabletext"/>
              <w:tabs>
                <w:tab w:val="left" w:pos="1418"/>
              </w:tabs>
              <w:ind w:left="170"/>
            </w:pPr>
            <w:r w:rsidRPr="00C4348A">
              <w:t>Days since stopping:</w:t>
            </w:r>
          </w:p>
          <w:p w:rsidR="00675E77" w:rsidRDefault="00675E77" w:rsidP="00675E77">
            <w:pPr>
              <w:pStyle w:val="05Tabletext"/>
              <w:tabs>
                <w:tab w:val="left" w:pos="1418"/>
              </w:tabs>
              <w:ind w:left="170"/>
            </w:pPr>
            <w:r>
              <w:t>61-180</w:t>
            </w:r>
            <w:r>
              <w:tab/>
              <w:t>1.19 [</w:t>
            </w:r>
            <w:r w:rsidRPr="00C4348A">
              <w:t>1.13</w:t>
            </w:r>
            <w:r>
              <w:t xml:space="preserve">, </w:t>
            </w:r>
            <w:r w:rsidRPr="00C4348A">
              <w:t>1.26</w:t>
            </w:r>
            <w:r>
              <w:t xml:space="preserve">] </w:t>
            </w:r>
            <w:r w:rsidRPr="003102BE">
              <w:rPr>
                <w:b/>
              </w:rPr>
              <w:t>Fav</w:t>
            </w:r>
            <w:r>
              <w:rPr>
                <w:b/>
              </w:rPr>
              <w:t xml:space="preserve">ours </w:t>
            </w:r>
            <w:r w:rsidRPr="003102BE">
              <w:rPr>
                <w:b/>
              </w:rPr>
              <w:t>no ICS</w:t>
            </w:r>
          </w:p>
          <w:p w:rsidR="00675E77" w:rsidRDefault="00675E77" w:rsidP="00675E77">
            <w:pPr>
              <w:pStyle w:val="05Tabletext"/>
              <w:tabs>
                <w:tab w:val="left" w:pos="1418"/>
              </w:tabs>
              <w:ind w:left="170"/>
            </w:pPr>
            <w:r>
              <w:t>181–270</w:t>
            </w:r>
            <w:r>
              <w:tab/>
              <w:t>1.08 [</w:t>
            </w:r>
            <w:r w:rsidRPr="00C4348A">
              <w:t>0.99</w:t>
            </w:r>
            <w:r>
              <w:t xml:space="preserve">, </w:t>
            </w:r>
            <w:r w:rsidRPr="00C4348A">
              <w:t>1.17</w:t>
            </w:r>
            <w:r>
              <w:t>]</w:t>
            </w:r>
          </w:p>
          <w:p w:rsidR="00675E77" w:rsidRDefault="00675E77" w:rsidP="00675E77">
            <w:pPr>
              <w:pStyle w:val="05Tabletext"/>
              <w:tabs>
                <w:tab w:val="left" w:pos="1418"/>
              </w:tabs>
              <w:ind w:left="170"/>
            </w:pPr>
            <w:r w:rsidRPr="00C4348A">
              <w:t>271–365</w:t>
            </w:r>
            <w:r>
              <w:tab/>
            </w:r>
            <w:r w:rsidRPr="00C4348A">
              <w:t>1.08</w:t>
            </w:r>
            <w:r>
              <w:t xml:space="preserve"> [</w:t>
            </w:r>
            <w:r w:rsidRPr="00C4348A">
              <w:t>0.99</w:t>
            </w:r>
            <w:r>
              <w:t xml:space="preserve">, </w:t>
            </w:r>
            <w:r w:rsidRPr="00C4348A">
              <w:t>1.18</w:t>
            </w:r>
            <w:r>
              <w:t>]</w:t>
            </w:r>
          </w:p>
          <w:p w:rsidR="00675E77" w:rsidRPr="007D0149" w:rsidRDefault="00675E77" w:rsidP="00675E77">
            <w:pPr>
              <w:pStyle w:val="05Tabletext"/>
              <w:tabs>
                <w:tab w:val="left" w:pos="1418"/>
              </w:tabs>
            </w:pPr>
            <w:r w:rsidRPr="003D16D4">
              <w:t>FLU:</w:t>
            </w:r>
            <w:r w:rsidRPr="007D0149">
              <w:tab/>
            </w:r>
            <w:r>
              <w:t>2.01</w:t>
            </w:r>
            <w:r w:rsidRPr="007D0149">
              <w:t xml:space="preserve"> [</w:t>
            </w:r>
            <w:r w:rsidRPr="00C24337">
              <w:t>1.93</w:t>
            </w:r>
            <w:r>
              <w:t xml:space="preserve">, </w:t>
            </w:r>
            <w:r w:rsidRPr="00C24337">
              <w:t>2.10</w:t>
            </w:r>
            <w:r w:rsidRPr="007D0149">
              <w:t>]</w:t>
            </w:r>
            <w:r>
              <w:t xml:space="preserve"> </w:t>
            </w:r>
            <w:r w:rsidRPr="003102BE">
              <w:rPr>
                <w:b/>
              </w:rPr>
              <w:t>Fav</w:t>
            </w:r>
            <w:r>
              <w:rPr>
                <w:b/>
              </w:rPr>
              <w:t xml:space="preserve">ours </w:t>
            </w:r>
            <w:r w:rsidRPr="003102BE">
              <w:rPr>
                <w:b/>
              </w:rPr>
              <w:t>no ICS</w:t>
            </w:r>
          </w:p>
          <w:p w:rsidR="00675E77" w:rsidRPr="007D0149" w:rsidRDefault="00675E77" w:rsidP="00675E77">
            <w:pPr>
              <w:pStyle w:val="05Tabletext"/>
              <w:tabs>
                <w:tab w:val="left" w:pos="1418"/>
              </w:tabs>
              <w:ind w:left="170"/>
            </w:pPr>
            <w:r w:rsidRPr="00C4348A">
              <w:t>Low dose:</w:t>
            </w:r>
            <w:r w:rsidRPr="007D0149">
              <w:tab/>
            </w:r>
            <w:r>
              <w:t>1.46 [</w:t>
            </w:r>
            <w:r w:rsidRPr="00C24337">
              <w:t>1.15</w:t>
            </w:r>
            <w:r>
              <w:t xml:space="preserve">, </w:t>
            </w:r>
            <w:r w:rsidRPr="00C24337">
              <w:t>1.87</w:t>
            </w:r>
            <w:r w:rsidRPr="007D0149">
              <w:t>]</w:t>
            </w:r>
            <w:r>
              <w:t xml:space="preserve"> </w:t>
            </w:r>
            <w:r w:rsidRPr="003102BE">
              <w:rPr>
                <w:b/>
              </w:rPr>
              <w:t>Fav</w:t>
            </w:r>
            <w:r>
              <w:rPr>
                <w:b/>
              </w:rPr>
              <w:t xml:space="preserve">ours </w:t>
            </w:r>
            <w:r w:rsidRPr="003102BE">
              <w:rPr>
                <w:b/>
              </w:rPr>
              <w:t>no ICS</w:t>
            </w:r>
          </w:p>
          <w:p w:rsidR="00675E77" w:rsidRPr="007D0149" w:rsidRDefault="00675E77" w:rsidP="00675E77">
            <w:pPr>
              <w:pStyle w:val="05Tabletext"/>
              <w:tabs>
                <w:tab w:val="left" w:pos="1418"/>
              </w:tabs>
              <w:ind w:left="170"/>
            </w:pPr>
            <w:r w:rsidRPr="00C4348A">
              <w:t>Medium dose:</w:t>
            </w:r>
            <w:r w:rsidRPr="007D0149">
              <w:tab/>
            </w:r>
            <w:r>
              <w:t>1.87 [</w:t>
            </w:r>
            <w:r w:rsidRPr="00C24337">
              <w:t>1.77</w:t>
            </w:r>
            <w:r>
              <w:t xml:space="preserve">, </w:t>
            </w:r>
            <w:r w:rsidRPr="00C24337">
              <w:t>1.97</w:t>
            </w:r>
            <w:r w:rsidRPr="007D0149">
              <w:t>]</w:t>
            </w:r>
            <w:r>
              <w:t xml:space="preserve"> </w:t>
            </w:r>
            <w:r w:rsidRPr="003102BE">
              <w:rPr>
                <w:b/>
              </w:rPr>
              <w:t>Fav</w:t>
            </w:r>
            <w:r>
              <w:rPr>
                <w:b/>
              </w:rPr>
              <w:t xml:space="preserve">ours </w:t>
            </w:r>
            <w:r w:rsidRPr="003102BE">
              <w:rPr>
                <w:b/>
              </w:rPr>
              <w:t>no ICS</w:t>
            </w:r>
          </w:p>
          <w:p w:rsidR="00675E77" w:rsidRDefault="00675E77" w:rsidP="00675E77">
            <w:pPr>
              <w:pStyle w:val="05Tabletext"/>
              <w:tabs>
                <w:tab w:val="left" w:pos="1418"/>
              </w:tabs>
              <w:ind w:left="170"/>
            </w:pPr>
            <w:r w:rsidRPr="00C4348A">
              <w:t>High dose:</w:t>
            </w:r>
            <w:r w:rsidRPr="007D0149">
              <w:tab/>
            </w:r>
            <w:r>
              <w:t>2.22</w:t>
            </w:r>
            <w:r w:rsidRPr="007D0149">
              <w:t xml:space="preserve"> [</w:t>
            </w:r>
            <w:r w:rsidRPr="00C24337">
              <w:t>2.10</w:t>
            </w:r>
            <w:r>
              <w:t xml:space="preserve">, </w:t>
            </w:r>
            <w:r w:rsidRPr="00C24337">
              <w:t>2.34</w:t>
            </w:r>
            <w:r w:rsidRPr="007D0149">
              <w:t>]</w:t>
            </w:r>
            <w:r>
              <w:t xml:space="preserve"> </w:t>
            </w:r>
            <w:r w:rsidRPr="003102BE">
              <w:rPr>
                <w:b/>
              </w:rPr>
              <w:t>Fav</w:t>
            </w:r>
            <w:r>
              <w:rPr>
                <w:b/>
              </w:rPr>
              <w:t xml:space="preserve">ours </w:t>
            </w:r>
            <w:r w:rsidRPr="003102BE">
              <w:rPr>
                <w:b/>
              </w:rPr>
              <w:t>no ICS</w:t>
            </w:r>
          </w:p>
          <w:p w:rsidR="00675E77" w:rsidRPr="007D0149" w:rsidRDefault="00675E77" w:rsidP="00675E77">
            <w:pPr>
              <w:pStyle w:val="05Tabletext"/>
              <w:tabs>
                <w:tab w:val="left" w:pos="1418"/>
              </w:tabs>
            </w:pPr>
            <w:r w:rsidRPr="003D16D4">
              <w:t>BUD:</w:t>
            </w:r>
            <w:r w:rsidRPr="007D0149">
              <w:tab/>
            </w:r>
            <w:r>
              <w:t>1.17</w:t>
            </w:r>
            <w:r w:rsidRPr="007D0149">
              <w:t xml:space="preserve"> [</w:t>
            </w:r>
            <w:r w:rsidRPr="00C24337">
              <w:t>1.09</w:t>
            </w:r>
            <w:r>
              <w:t xml:space="preserve">, </w:t>
            </w:r>
            <w:r w:rsidRPr="00C24337">
              <w:t>1.26</w:t>
            </w:r>
            <w:r w:rsidRPr="007D0149">
              <w:t>]</w:t>
            </w:r>
            <w:r>
              <w:t xml:space="preserve"> </w:t>
            </w:r>
            <w:r w:rsidRPr="003102BE">
              <w:rPr>
                <w:b/>
              </w:rPr>
              <w:t>Fav</w:t>
            </w:r>
            <w:r>
              <w:rPr>
                <w:b/>
              </w:rPr>
              <w:t xml:space="preserve">ours </w:t>
            </w:r>
            <w:r w:rsidRPr="003102BE">
              <w:rPr>
                <w:b/>
              </w:rPr>
              <w:t>no ICS</w:t>
            </w:r>
          </w:p>
          <w:p w:rsidR="00675E77" w:rsidRPr="007D0149" w:rsidRDefault="00675E77" w:rsidP="00675E77">
            <w:pPr>
              <w:pStyle w:val="05Tabletext"/>
              <w:tabs>
                <w:tab w:val="left" w:pos="1418"/>
              </w:tabs>
              <w:ind w:left="170"/>
            </w:pPr>
            <w:r w:rsidRPr="00C4348A">
              <w:t>Low dose:</w:t>
            </w:r>
            <w:r w:rsidRPr="007D0149">
              <w:tab/>
            </w:r>
            <w:r>
              <w:t>1.05 [</w:t>
            </w:r>
            <w:r w:rsidRPr="00C24337">
              <w:t>0.81</w:t>
            </w:r>
            <w:r>
              <w:t xml:space="preserve">, </w:t>
            </w:r>
            <w:r w:rsidRPr="00C24337">
              <w:t>1.36</w:t>
            </w:r>
            <w:r w:rsidRPr="007D0149">
              <w:t>]</w:t>
            </w:r>
          </w:p>
          <w:p w:rsidR="00675E77" w:rsidRPr="007D0149" w:rsidRDefault="00675E77" w:rsidP="00675E77">
            <w:pPr>
              <w:pStyle w:val="05Tabletext"/>
              <w:tabs>
                <w:tab w:val="left" w:pos="1418"/>
              </w:tabs>
              <w:ind w:left="170"/>
            </w:pPr>
            <w:r w:rsidRPr="00C4348A">
              <w:t>Medium dose:</w:t>
            </w:r>
            <w:r w:rsidRPr="007D0149">
              <w:tab/>
            </w:r>
            <w:r>
              <w:t>1.23 [</w:t>
            </w:r>
            <w:r w:rsidRPr="00C24337">
              <w:t>1.12</w:t>
            </w:r>
            <w:r>
              <w:t xml:space="preserve">, </w:t>
            </w:r>
            <w:r w:rsidRPr="00C24337">
              <w:t>1.35</w:t>
            </w:r>
            <w:r w:rsidRPr="007D0149">
              <w:t>]</w:t>
            </w:r>
            <w:r>
              <w:t xml:space="preserve"> </w:t>
            </w:r>
            <w:r w:rsidRPr="003102BE">
              <w:rPr>
                <w:b/>
              </w:rPr>
              <w:t>Fav</w:t>
            </w:r>
            <w:r>
              <w:rPr>
                <w:b/>
              </w:rPr>
              <w:t xml:space="preserve">ours </w:t>
            </w:r>
            <w:r w:rsidRPr="003102BE">
              <w:rPr>
                <w:b/>
              </w:rPr>
              <w:t>no ICS</w:t>
            </w:r>
          </w:p>
          <w:p w:rsidR="00675E77" w:rsidRDefault="00675E77" w:rsidP="00675E77">
            <w:pPr>
              <w:pStyle w:val="05Tabletext"/>
              <w:tabs>
                <w:tab w:val="left" w:pos="1418"/>
              </w:tabs>
              <w:ind w:left="170"/>
            </w:pPr>
            <w:r w:rsidRPr="00C4348A">
              <w:t>High dose:</w:t>
            </w:r>
            <w:r w:rsidRPr="007D0149">
              <w:tab/>
            </w:r>
            <w:r>
              <w:t>1.13</w:t>
            </w:r>
            <w:r w:rsidRPr="007D0149">
              <w:t xml:space="preserve"> [</w:t>
            </w:r>
            <w:r w:rsidRPr="00C24337">
              <w:t>1.02</w:t>
            </w:r>
            <w:r>
              <w:t xml:space="preserve">, </w:t>
            </w:r>
            <w:r w:rsidRPr="00C24337">
              <w:t>1.26</w:t>
            </w:r>
            <w:r w:rsidRPr="007D0149">
              <w:t>]</w:t>
            </w:r>
            <w:r>
              <w:t xml:space="preserve"> </w:t>
            </w:r>
            <w:r w:rsidRPr="003102BE">
              <w:rPr>
                <w:b/>
              </w:rPr>
              <w:t>Fav</w:t>
            </w:r>
            <w:r>
              <w:rPr>
                <w:b/>
              </w:rPr>
              <w:t xml:space="preserve">ours </w:t>
            </w:r>
            <w:r w:rsidRPr="003102BE">
              <w:rPr>
                <w:b/>
              </w:rPr>
              <w:t>no ICS</w:t>
            </w:r>
          </w:p>
          <w:p w:rsidR="00675E77" w:rsidRPr="003102BE" w:rsidRDefault="00675E77" w:rsidP="00675E77">
            <w:pPr>
              <w:pStyle w:val="06Tabletextspacebefore"/>
            </w:pPr>
            <w:r>
              <w:t>Results for ‘other ICS’ also reported, not shown.</w:t>
            </w:r>
          </w:p>
        </w:tc>
        <w:tc>
          <w:tcPr>
            <w:tcW w:w="2251" w:type="dxa"/>
            <w:shd w:val="clear" w:color="auto" w:fill="auto"/>
          </w:tcPr>
          <w:p w:rsidR="00675E77" w:rsidRPr="00D75DC9" w:rsidRDefault="00675E77" w:rsidP="00675E77">
            <w:pPr>
              <w:pStyle w:val="05Tabletext"/>
            </w:pPr>
            <w:r>
              <w:t>ICS use by patients with COPD increases the risk of serious pneumonia. The risk is particularly elevated and dose</w:t>
            </w:r>
            <w:r w:rsidR="00EA0FF5">
              <w:t>-</w:t>
            </w:r>
            <w:r>
              <w:t>related with fluticasone. While residual confounding cannot be ruled out, the results are consistent with those from recent randomised trials.</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r w:rsidRPr="00543892">
              <w:rPr>
                <w:b/>
              </w:rPr>
              <w:t>Yawn (2013)</w:t>
            </w:r>
          </w:p>
          <w:p w:rsidR="00675E77" w:rsidRPr="00D75DC9" w:rsidRDefault="00675E77" w:rsidP="00675E77">
            <w:pPr>
              <w:pStyle w:val="06Tabletextspacebefore"/>
            </w:pPr>
            <w:r>
              <w:t>Single cohort</w:t>
            </w:r>
          </w:p>
        </w:tc>
        <w:tc>
          <w:tcPr>
            <w:tcW w:w="1560" w:type="dxa"/>
            <w:shd w:val="clear" w:color="auto" w:fill="auto"/>
          </w:tcPr>
          <w:p w:rsidR="00675E77" w:rsidRDefault="00675E77" w:rsidP="00675E77">
            <w:pPr>
              <w:pStyle w:val="05Tabletext"/>
            </w:pPr>
            <w:r>
              <w:t xml:space="preserve">Two </w:t>
            </w:r>
            <w:proofErr w:type="spellStart"/>
            <w:r w:rsidRPr="00186DC9">
              <w:t>MarketScan</w:t>
            </w:r>
            <w:proofErr w:type="spellEnd"/>
            <w:r>
              <w:t xml:space="preserve"> ® US health insurance databases</w:t>
            </w:r>
          </w:p>
          <w:p w:rsidR="00675E77" w:rsidRDefault="00675E77" w:rsidP="00675E77">
            <w:pPr>
              <w:pStyle w:val="06Tabletextspacebefore"/>
            </w:pPr>
            <w:r>
              <w:t>Period:</w:t>
            </w:r>
            <w:r>
              <w:br/>
              <w:t>Jan 2006 - Sep 2010</w:t>
            </w:r>
          </w:p>
          <w:p w:rsidR="00675E77" w:rsidRPr="00D75DC9" w:rsidRDefault="00675E77" w:rsidP="00675E77">
            <w:pPr>
              <w:pStyle w:val="06Tabletextspacebefore"/>
            </w:pPr>
            <w:r>
              <w:t>N = 135,445</w:t>
            </w:r>
          </w:p>
        </w:tc>
        <w:tc>
          <w:tcPr>
            <w:tcW w:w="2552" w:type="dxa"/>
            <w:shd w:val="clear" w:color="auto" w:fill="auto"/>
          </w:tcPr>
          <w:p w:rsidR="00675E77" w:rsidRDefault="00675E77" w:rsidP="00675E77">
            <w:pPr>
              <w:pStyle w:val="07Tablebullet"/>
            </w:pPr>
            <w:r w:rsidRPr="00186DC9">
              <w:rPr>
                <w:b/>
              </w:rPr>
              <w:t>newly diagnosed</w:t>
            </w:r>
            <w:r>
              <w:t xml:space="preserve"> COPD</w:t>
            </w:r>
          </w:p>
          <w:p w:rsidR="00675E77" w:rsidRPr="00166ABB" w:rsidRDefault="00675E77" w:rsidP="00675E77">
            <w:pPr>
              <w:pStyle w:val="07Tablebullet"/>
            </w:pPr>
            <w:r>
              <w:t>≥ 45y</w:t>
            </w:r>
          </w:p>
          <w:p w:rsidR="00675E77" w:rsidRDefault="00675E77" w:rsidP="00675E77">
            <w:pPr>
              <w:pStyle w:val="07Tablebullet"/>
            </w:pPr>
            <w:r w:rsidRPr="00186DC9">
              <w:rPr>
                <w:b/>
              </w:rPr>
              <w:t>new users</w:t>
            </w:r>
            <w:r>
              <w:t xml:space="preserve"> of ICS, defined by no use over prior 1 year</w:t>
            </w:r>
          </w:p>
          <w:p w:rsidR="00675E77" w:rsidRPr="00166ABB" w:rsidRDefault="00675E77" w:rsidP="00675E77">
            <w:pPr>
              <w:pStyle w:val="07Tablebullet"/>
            </w:pPr>
            <w:r>
              <w:t>pneumonia in prior year excluded</w:t>
            </w:r>
          </w:p>
          <w:p w:rsidR="00675E77" w:rsidRPr="00166ABB" w:rsidRDefault="00675E77" w:rsidP="00675E77">
            <w:pPr>
              <w:pStyle w:val="07Tablebullet"/>
            </w:pPr>
            <w:r>
              <w:t>asthma, lung cancer</w:t>
            </w:r>
          </w:p>
        </w:tc>
        <w:tc>
          <w:tcPr>
            <w:tcW w:w="2976" w:type="dxa"/>
            <w:shd w:val="clear" w:color="auto" w:fill="auto"/>
          </w:tcPr>
          <w:p w:rsidR="00675E77" w:rsidRDefault="00675E77" w:rsidP="00675E77">
            <w:pPr>
              <w:pStyle w:val="05Tabletext"/>
            </w:pPr>
            <w:r w:rsidRPr="00D7369D">
              <w:rPr>
                <w:u w:val="single"/>
              </w:rPr>
              <w:t>Pneumonia</w:t>
            </w:r>
            <w:r>
              <w:t xml:space="preserve"> (</w:t>
            </w:r>
            <w:r w:rsidRPr="00D7369D">
              <w:t>28,750</w:t>
            </w:r>
            <w:r>
              <w:t>)</w:t>
            </w:r>
          </w:p>
          <w:p w:rsidR="00675E77" w:rsidRDefault="00675E77" w:rsidP="00675E77">
            <w:pPr>
              <w:pStyle w:val="05Tabletext"/>
            </w:pPr>
            <w:r>
              <w:t>vs</w:t>
            </w:r>
          </w:p>
          <w:p w:rsidR="008802C1" w:rsidRDefault="00675E77" w:rsidP="008802C1">
            <w:pPr>
              <w:pStyle w:val="05Tabletext"/>
            </w:pPr>
            <w:r w:rsidRPr="00D7369D">
              <w:rPr>
                <w:u w:val="single"/>
              </w:rPr>
              <w:t>No pneumonia</w:t>
            </w:r>
            <w:r>
              <w:t xml:space="preserve"> (106,695)</w:t>
            </w:r>
          </w:p>
          <w:p w:rsidR="008802C1" w:rsidRDefault="008802C1" w:rsidP="008802C1">
            <w:pPr>
              <w:pStyle w:val="05Tabletext"/>
              <w:rPr>
                <w:u w:val="single"/>
              </w:rPr>
            </w:pPr>
          </w:p>
          <w:p w:rsidR="00675E77" w:rsidRPr="00D7369D" w:rsidRDefault="00675E77" w:rsidP="008802C1">
            <w:pPr>
              <w:pStyle w:val="05Tabletext"/>
            </w:pPr>
            <w:r w:rsidRPr="00252B5C">
              <w:rPr>
                <w:u w:val="single"/>
              </w:rPr>
              <w:t>Analysis</w:t>
            </w:r>
            <w:r>
              <w:t>: multivariate regression analysis, unmatched subgroups.</w:t>
            </w:r>
          </w:p>
        </w:tc>
        <w:tc>
          <w:tcPr>
            <w:tcW w:w="3828" w:type="dxa"/>
            <w:shd w:val="clear" w:color="auto" w:fill="auto"/>
          </w:tcPr>
          <w:p w:rsidR="00675E77" w:rsidRPr="00BC2809" w:rsidRDefault="00675E77" w:rsidP="00675E77">
            <w:pPr>
              <w:pStyle w:val="05Tabletext"/>
            </w:pPr>
            <w:r>
              <w:t>Risk factor analysis – ICS vs no ICS</w:t>
            </w:r>
          </w:p>
          <w:p w:rsidR="00675E77" w:rsidRPr="00B86A85" w:rsidRDefault="00675E77" w:rsidP="00675E77">
            <w:pPr>
              <w:pStyle w:val="05Tabletext"/>
              <w:tabs>
                <w:tab w:val="left" w:pos="1276"/>
              </w:tabs>
              <w:rPr>
                <w:b/>
                <w:u w:val="single"/>
              </w:rPr>
            </w:pPr>
            <w:r w:rsidRPr="003D16D4">
              <w:rPr>
                <w:u w:val="single"/>
              </w:rPr>
              <w:t xml:space="preserve">Any </w:t>
            </w:r>
            <w:r w:rsidRPr="00B86A85">
              <w:rPr>
                <w:u w:val="single"/>
              </w:rPr>
              <w:t>pneumonia</w:t>
            </w:r>
            <w:r w:rsidRPr="00B86A85">
              <w:tab/>
            </w:r>
            <w:r w:rsidRPr="00B86A85">
              <w:rPr>
                <w:b/>
              </w:rPr>
              <w:t>HR</w:t>
            </w:r>
          </w:p>
          <w:p w:rsidR="00675E77" w:rsidRDefault="00675E77" w:rsidP="00675E77">
            <w:pPr>
              <w:pStyle w:val="05Tabletext"/>
              <w:tabs>
                <w:tab w:val="left" w:pos="1276"/>
              </w:tabs>
            </w:pPr>
            <w:r w:rsidRPr="00B86A85">
              <w:t>All ICS</w:t>
            </w:r>
            <w:r w:rsidRPr="003D16D4">
              <w:t>:</w:t>
            </w:r>
            <w:r>
              <w:tab/>
              <w:t xml:space="preserve">1.51 [1.42, 1.61] </w:t>
            </w:r>
            <w:r w:rsidRPr="003102BE">
              <w:rPr>
                <w:b/>
              </w:rPr>
              <w:t>Fav</w:t>
            </w:r>
            <w:r>
              <w:rPr>
                <w:b/>
              </w:rPr>
              <w:t xml:space="preserve">ours </w:t>
            </w:r>
            <w:r w:rsidRPr="003102BE">
              <w:rPr>
                <w:b/>
              </w:rPr>
              <w:t>no ICS</w:t>
            </w:r>
          </w:p>
          <w:p w:rsidR="00675E77" w:rsidRPr="00B86A85" w:rsidRDefault="00675E77" w:rsidP="00675E77">
            <w:pPr>
              <w:pStyle w:val="05Tabletext"/>
              <w:tabs>
                <w:tab w:val="left" w:pos="1276"/>
              </w:tabs>
              <w:ind w:left="170"/>
              <w:rPr>
                <w:u w:val="single"/>
              </w:rPr>
            </w:pPr>
            <w:r>
              <w:t>Low dose:</w:t>
            </w:r>
            <w:r>
              <w:tab/>
              <w:t xml:space="preserve">1.38 [1.27, 1.49] </w:t>
            </w:r>
            <w:r w:rsidRPr="003102BE">
              <w:rPr>
                <w:b/>
              </w:rPr>
              <w:t>Fav</w:t>
            </w:r>
            <w:r>
              <w:rPr>
                <w:b/>
              </w:rPr>
              <w:t xml:space="preserve">ours </w:t>
            </w:r>
            <w:r w:rsidRPr="003102BE">
              <w:rPr>
                <w:b/>
              </w:rPr>
              <w:t>no ICS</w:t>
            </w:r>
          </w:p>
          <w:p w:rsidR="00675E77" w:rsidRDefault="00675E77" w:rsidP="00675E77">
            <w:pPr>
              <w:pStyle w:val="05Tabletext"/>
              <w:tabs>
                <w:tab w:val="left" w:pos="1276"/>
              </w:tabs>
              <w:ind w:left="170"/>
            </w:pPr>
            <w:r>
              <w:t>Medium dose:</w:t>
            </w:r>
            <w:r>
              <w:tab/>
              <w:t>1.69 [</w:t>
            </w:r>
            <w:r w:rsidRPr="003D16D4">
              <w:t>1.52, 1.88</w:t>
            </w:r>
            <w:r>
              <w:t xml:space="preserve">] </w:t>
            </w:r>
            <w:r w:rsidRPr="003102BE">
              <w:rPr>
                <w:b/>
              </w:rPr>
              <w:t>Fav</w:t>
            </w:r>
            <w:r>
              <w:rPr>
                <w:b/>
              </w:rPr>
              <w:t xml:space="preserve">ours </w:t>
            </w:r>
            <w:r w:rsidRPr="003102BE">
              <w:rPr>
                <w:b/>
              </w:rPr>
              <w:t>no ICS</w:t>
            </w:r>
          </w:p>
          <w:p w:rsidR="00675E77" w:rsidRPr="00B86A85" w:rsidRDefault="00675E77" w:rsidP="00675E77">
            <w:pPr>
              <w:pStyle w:val="05Tabletext"/>
              <w:tabs>
                <w:tab w:val="left" w:pos="1276"/>
              </w:tabs>
              <w:ind w:left="170"/>
              <w:rPr>
                <w:b/>
              </w:rPr>
            </w:pPr>
            <w:r>
              <w:t>High dose:</w:t>
            </w:r>
            <w:r>
              <w:tab/>
              <w:t>2.57 [</w:t>
            </w:r>
            <w:r w:rsidRPr="003D16D4">
              <w:t>1.98, 3.33</w:t>
            </w:r>
            <w:r>
              <w:t xml:space="preserve">] </w:t>
            </w:r>
            <w:r w:rsidRPr="003102BE">
              <w:rPr>
                <w:b/>
              </w:rPr>
              <w:t>Fav</w:t>
            </w:r>
            <w:r>
              <w:rPr>
                <w:b/>
              </w:rPr>
              <w:t xml:space="preserve">ours </w:t>
            </w:r>
            <w:r w:rsidRPr="003102BE">
              <w:rPr>
                <w:b/>
              </w:rPr>
              <w:t>no ICS</w:t>
            </w:r>
          </w:p>
        </w:tc>
        <w:tc>
          <w:tcPr>
            <w:tcW w:w="2251" w:type="dxa"/>
            <w:shd w:val="clear" w:color="auto" w:fill="auto"/>
          </w:tcPr>
          <w:p w:rsidR="00675E77" w:rsidRPr="00D75DC9" w:rsidRDefault="00675E77" w:rsidP="00675E77">
            <w:pPr>
              <w:pStyle w:val="05Tabletext"/>
            </w:pPr>
            <w:r w:rsidRPr="00186DC9">
              <w:t>The use of ICS in newly diagnosed patients with COPD is potentially associated with a dose-related increase in the risk of pneumonia</w:t>
            </w:r>
            <w:r>
              <w:t>.</w:t>
            </w:r>
          </w:p>
        </w:tc>
      </w:tr>
      <w:tr w:rsidR="00675E77" w:rsidRPr="00D75DC9" w:rsidTr="00675E77">
        <w:trPr>
          <w:cantSplit/>
        </w:trPr>
        <w:tc>
          <w:tcPr>
            <w:tcW w:w="1365" w:type="dxa"/>
            <w:shd w:val="clear" w:color="auto" w:fill="auto"/>
          </w:tcPr>
          <w:p w:rsidR="00675E77" w:rsidRPr="00543892" w:rsidRDefault="00675E77" w:rsidP="00675E77">
            <w:pPr>
              <w:pStyle w:val="05Tabletext"/>
              <w:rPr>
                <w:b/>
              </w:rPr>
            </w:pPr>
            <w:r w:rsidRPr="00543892">
              <w:rPr>
                <w:b/>
              </w:rPr>
              <w:lastRenderedPageBreak/>
              <w:t>Thornton Snider (2012)</w:t>
            </w:r>
          </w:p>
          <w:p w:rsidR="00675E77" w:rsidRPr="00D75DC9" w:rsidRDefault="00675E77" w:rsidP="00675E77">
            <w:pPr>
              <w:pStyle w:val="06Tabletextspacebefore"/>
            </w:pPr>
            <w:r>
              <w:t>Nested case</w:t>
            </w:r>
            <w:r w:rsidR="008739F8">
              <w:t>-</w:t>
            </w:r>
            <w:r>
              <w:t>control</w:t>
            </w:r>
          </w:p>
        </w:tc>
        <w:tc>
          <w:tcPr>
            <w:tcW w:w="1560" w:type="dxa"/>
            <w:shd w:val="clear" w:color="auto" w:fill="auto"/>
          </w:tcPr>
          <w:p w:rsidR="00675E77" w:rsidRDefault="00675E77" w:rsidP="00675E77">
            <w:pPr>
              <w:pStyle w:val="05Tabletext"/>
            </w:pPr>
            <w:r>
              <w:t>Humana Medicare plan database, US</w:t>
            </w:r>
          </w:p>
          <w:p w:rsidR="00675E77" w:rsidRDefault="00675E77" w:rsidP="00675E77">
            <w:pPr>
              <w:pStyle w:val="06Tabletextspacebefore"/>
            </w:pPr>
            <w:r>
              <w:t>Period:</w:t>
            </w:r>
            <w:r w:rsidR="002167A5">
              <w:t xml:space="preserve"> </w:t>
            </w:r>
            <w:r>
              <w:t>Jan 2007 - Sep 2011</w:t>
            </w:r>
          </w:p>
          <w:p w:rsidR="00675E77" w:rsidRPr="00543892" w:rsidRDefault="00675E77" w:rsidP="00675E77">
            <w:pPr>
              <w:pStyle w:val="06Tabletextspacebefore"/>
            </w:pPr>
            <w:r>
              <w:t>N = 83,455</w:t>
            </w:r>
          </w:p>
        </w:tc>
        <w:tc>
          <w:tcPr>
            <w:tcW w:w="2552" w:type="dxa"/>
            <w:shd w:val="clear" w:color="auto" w:fill="auto"/>
          </w:tcPr>
          <w:p w:rsidR="00675E77" w:rsidRDefault="00675E77" w:rsidP="00675E77">
            <w:pPr>
              <w:pStyle w:val="07Tablebullet"/>
            </w:pPr>
            <w:r>
              <w:t>COPD diagnosis</w:t>
            </w:r>
          </w:p>
          <w:p w:rsidR="00675E77" w:rsidRDefault="00675E77" w:rsidP="00675E77">
            <w:pPr>
              <w:pStyle w:val="07Tablebullet"/>
            </w:pPr>
            <w:r>
              <w:t>≥ 65y</w:t>
            </w:r>
          </w:p>
          <w:p w:rsidR="00675E77" w:rsidRPr="00543892" w:rsidRDefault="00675E77" w:rsidP="00675E77">
            <w:pPr>
              <w:pStyle w:val="07Tablebullet"/>
            </w:pPr>
            <w:r>
              <w:t>asthma excluded</w:t>
            </w:r>
          </w:p>
        </w:tc>
        <w:tc>
          <w:tcPr>
            <w:tcW w:w="2976" w:type="dxa"/>
            <w:shd w:val="clear" w:color="auto" w:fill="auto"/>
          </w:tcPr>
          <w:p w:rsidR="00675E77" w:rsidRDefault="00675E77" w:rsidP="00675E77">
            <w:pPr>
              <w:pStyle w:val="05Tabletext"/>
            </w:pPr>
            <w:r w:rsidRPr="00543892">
              <w:rPr>
                <w:u w:val="single"/>
              </w:rPr>
              <w:t>Pneumonia</w:t>
            </w:r>
            <w:r>
              <w:t xml:space="preserve"> (13,778)</w:t>
            </w:r>
          </w:p>
          <w:p w:rsidR="00675E77" w:rsidRDefault="00675E77" w:rsidP="00675E77">
            <w:pPr>
              <w:pStyle w:val="05Tabletext"/>
            </w:pPr>
            <w:r>
              <w:t>vs</w:t>
            </w:r>
          </w:p>
          <w:p w:rsidR="00675E77" w:rsidRDefault="00675E77" w:rsidP="00675E77">
            <w:pPr>
              <w:pStyle w:val="05Tabletext"/>
            </w:pPr>
            <w:r w:rsidRPr="00543892">
              <w:rPr>
                <w:u w:val="single"/>
              </w:rPr>
              <w:t>Matched controls</w:t>
            </w:r>
            <w:r>
              <w:t xml:space="preserve"> (36,767)</w:t>
            </w:r>
          </w:p>
          <w:p w:rsidR="00675E77" w:rsidRPr="009C3285" w:rsidRDefault="00675E77" w:rsidP="002F692B">
            <w:pPr>
              <w:pStyle w:val="06Tabletextspacebefore"/>
              <w:spacing w:before="120"/>
              <w:ind w:right="227"/>
            </w:pPr>
            <w:r w:rsidRPr="00252B5C">
              <w:rPr>
                <w:u w:val="single"/>
              </w:rPr>
              <w:t>Analysis</w:t>
            </w:r>
            <w:r>
              <w:t>: conditional logistic regression, matched controls.</w:t>
            </w:r>
          </w:p>
        </w:tc>
        <w:tc>
          <w:tcPr>
            <w:tcW w:w="3828" w:type="dxa"/>
            <w:shd w:val="clear" w:color="auto" w:fill="auto"/>
          </w:tcPr>
          <w:p w:rsidR="00675E77" w:rsidRDefault="00675E77" w:rsidP="00675E77">
            <w:pPr>
              <w:pStyle w:val="05Tabletext"/>
              <w:rPr>
                <w:u w:val="single"/>
              </w:rPr>
            </w:pPr>
            <w:r>
              <w:t>Risk factor analysis – ICS use vs</w:t>
            </w:r>
            <w:r w:rsidRPr="00543892">
              <w:t xml:space="preserve"> </w:t>
            </w:r>
            <w:r>
              <w:t>no use</w:t>
            </w:r>
          </w:p>
          <w:p w:rsidR="00675E77" w:rsidRPr="00B86A85" w:rsidRDefault="00675E77" w:rsidP="00675E77">
            <w:pPr>
              <w:pStyle w:val="05Tabletext"/>
              <w:tabs>
                <w:tab w:val="left" w:pos="1276"/>
              </w:tabs>
              <w:rPr>
                <w:u w:val="single"/>
              </w:rPr>
            </w:pPr>
            <w:r w:rsidRPr="00B86A85">
              <w:rPr>
                <w:u w:val="single"/>
              </w:rPr>
              <w:t>Any pneumonia</w:t>
            </w:r>
            <w:r w:rsidRPr="00B86A85">
              <w:tab/>
            </w:r>
            <w:r w:rsidRPr="003102BE">
              <w:rPr>
                <w:b/>
              </w:rPr>
              <w:t>O</w:t>
            </w:r>
            <w:r w:rsidRPr="00B86A85">
              <w:rPr>
                <w:b/>
              </w:rPr>
              <w:t>R</w:t>
            </w:r>
          </w:p>
          <w:p w:rsidR="00675E77" w:rsidRDefault="00675E77" w:rsidP="00675E77">
            <w:pPr>
              <w:pStyle w:val="05Tabletext"/>
              <w:tabs>
                <w:tab w:val="left" w:pos="1276"/>
              </w:tabs>
            </w:pPr>
            <w:r>
              <w:t>Any ICS:</w:t>
            </w:r>
            <w:r>
              <w:tab/>
              <w:t xml:space="preserve">1.11 [1.05, 1.18] </w:t>
            </w:r>
            <w:r w:rsidRPr="003102BE">
              <w:rPr>
                <w:b/>
              </w:rPr>
              <w:t>Fav</w:t>
            </w:r>
            <w:r>
              <w:rPr>
                <w:b/>
              </w:rPr>
              <w:t xml:space="preserve">ours </w:t>
            </w:r>
            <w:r w:rsidRPr="003102BE">
              <w:rPr>
                <w:b/>
              </w:rPr>
              <w:t>no ICS</w:t>
            </w:r>
          </w:p>
          <w:p w:rsidR="00675E77" w:rsidRDefault="00675E77" w:rsidP="00675E77">
            <w:pPr>
              <w:pStyle w:val="05Tabletext"/>
              <w:tabs>
                <w:tab w:val="left" w:pos="1276"/>
              </w:tabs>
              <w:ind w:left="170"/>
            </w:pPr>
            <w:r>
              <w:t>Current use:</w:t>
            </w:r>
            <w:r>
              <w:tab/>
              <w:t>1.26 [1.16, 1.36]</w:t>
            </w:r>
            <w:r w:rsidRPr="003102BE">
              <w:rPr>
                <w:b/>
              </w:rPr>
              <w:t xml:space="preserve"> Fav</w:t>
            </w:r>
            <w:r>
              <w:rPr>
                <w:b/>
              </w:rPr>
              <w:t xml:space="preserve">ours </w:t>
            </w:r>
            <w:r w:rsidRPr="003102BE">
              <w:rPr>
                <w:b/>
              </w:rPr>
              <w:t>no ICS</w:t>
            </w:r>
            <w:r>
              <w:t xml:space="preserve"> Low dose:</w:t>
            </w:r>
            <w:r>
              <w:tab/>
            </w:r>
            <w:r w:rsidRPr="003102BE">
              <w:t xml:space="preserve">1.11 </w:t>
            </w:r>
            <w:r>
              <w:t>[</w:t>
            </w:r>
            <w:r w:rsidRPr="003102BE">
              <w:t>1.00</w:t>
            </w:r>
            <w:r>
              <w:t xml:space="preserve">, </w:t>
            </w:r>
            <w:r w:rsidRPr="003102BE">
              <w:t>1.23</w:t>
            </w:r>
            <w:r>
              <w:t>]</w:t>
            </w:r>
          </w:p>
          <w:p w:rsidR="00675E77" w:rsidRDefault="00675E77" w:rsidP="00675E77">
            <w:pPr>
              <w:pStyle w:val="05Tabletext"/>
              <w:tabs>
                <w:tab w:val="left" w:pos="1276"/>
              </w:tabs>
            </w:pPr>
            <w:r>
              <w:t>Medium dose:</w:t>
            </w:r>
            <w:r>
              <w:tab/>
            </w:r>
            <w:r w:rsidRPr="003102BE">
              <w:t xml:space="preserve">1.39 </w:t>
            </w:r>
            <w:r>
              <w:t>[</w:t>
            </w:r>
            <w:r w:rsidRPr="003102BE">
              <w:t>1.25</w:t>
            </w:r>
            <w:r>
              <w:t xml:space="preserve">, </w:t>
            </w:r>
            <w:r w:rsidRPr="003102BE">
              <w:t>1.55</w:t>
            </w:r>
            <w:r>
              <w:t>]</w:t>
            </w:r>
            <w:r w:rsidRPr="003102BE">
              <w:rPr>
                <w:b/>
              </w:rPr>
              <w:t xml:space="preserve"> Fav</w:t>
            </w:r>
            <w:r>
              <w:rPr>
                <w:b/>
              </w:rPr>
              <w:t xml:space="preserve">ours </w:t>
            </w:r>
            <w:r w:rsidRPr="003102BE">
              <w:rPr>
                <w:b/>
              </w:rPr>
              <w:t>no ICS</w:t>
            </w:r>
            <w:r>
              <w:t xml:space="preserve"> High dose:</w:t>
            </w:r>
            <w:r>
              <w:tab/>
            </w:r>
            <w:r w:rsidRPr="003102BE">
              <w:t xml:space="preserve">1.55 </w:t>
            </w:r>
            <w:r>
              <w:t>[</w:t>
            </w:r>
            <w:r w:rsidRPr="003102BE">
              <w:t>1.25</w:t>
            </w:r>
            <w:r>
              <w:t xml:space="preserve">, </w:t>
            </w:r>
            <w:r w:rsidRPr="003102BE">
              <w:t>1.92</w:t>
            </w:r>
            <w:r>
              <w:t>]</w:t>
            </w:r>
            <w:r w:rsidRPr="003102BE">
              <w:rPr>
                <w:b/>
              </w:rPr>
              <w:t xml:space="preserve"> Fav</w:t>
            </w:r>
            <w:r>
              <w:rPr>
                <w:b/>
              </w:rPr>
              <w:t xml:space="preserve">ours </w:t>
            </w:r>
            <w:r w:rsidRPr="003102BE">
              <w:rPr>
                <w:b/>
              </w:rPr>
              <w:t>no ICS</w:t>
            </w:r>
            <w:r>
              <w:t xml:space="preserve"> Past use:</w:t>
            </w:r>
            <w:r>
              <w:tab/>
            </w:r>
            <w:r w:rsidRPr="001B1A3D">
              <w:t xml:space="preserve">1.04 </w:t>
            </w:r>
            <w:r>
              <w:t>[0.97, 1.11]</w:t>
            </w:r>
          </w:p>
          <w:p w:rsidR="00675E77" w:rsidRDefault="00675E77" w:rsidP="00675E77">
            <w:pPr>
              <w:pStyle w:val="05Tabletext"/>
              <w:tabs>
                <w:tab w:val="left" w:pos="1276"/>
              </w:tabs>
              <w:ind w:left="170"/>
            </w:pPr>
            <w:r>
              <w:t>Low dose:</w:t>
            </w:r>
            <w:r>
              <w:tab/>
            </w:r>
            <w:r w:rsidRPr="003102BE">
              <w:t xml:space="preserve">1.01 </w:t>
            </w:r>
            <w:r>
              <w:t>[</w:t>
            </w:r>
            <w:r w:rsidRPr="003102BE">
              <w:t>0.93</w:t>
            </w:r>
            <w:r>
              <w:t xml:space="preserve">, </w:t>
            </w:r>
            <w:r w:rsidRPr="003102BE">
              <w:t>1.10</w:t>
            </w:r>
            <w:r>
              <w:t>]</w:t>
            </w:r>
          </w:p>
          <w:p w:rsidR="00675E77" w:rsidRDefault="00675E77" w:rsidP="00675E77">
            <w:pPr>
              <w:pStyle w:val="05Tabletext"/>
              <w:tabs>
                <w:tab w:val="left" w:pos="1276"/>
              </w:tabs>
              <w:ind w:left="170"/>
            </w:pPr>
            <w:r>
              <w:t>Medium dose:</w:t>
            </w:r>
            <w:r>
              <w:tab/>
            </w:r>
            <w:r w:rsidRPr="003102BE">
              <w:t xml:space="preserve">1.05 </w:t>
            </w:r>
            <w:r>
              <w:t>[</w:t>
            </w:r>
            <w:r w:rsidRPr="003102BE">
              <w:t>0.96</w:t>
            </w:r>
            <w:r>
              <w:t xml:space="preserve">, </w:t>
            </w:r>
            <w:r w:rsidRPr="003102BE">
              <w:t>1.16</w:t>
            </w:r>
            <w:r>
              <w:t>]</w:t>
            </w:r>
          </w:p>
          <w:p w:rsidR="00675E77" w:rsidRPr="00B86A85" w:rsidRDefault="00675E77" w:rsidP="00675E77">
            <w:pPr>
              <w:pStyle w:val="05Tabletext"/>
              <w:tabs>
                <w:tab w:val="left" w:pos="1276"/>
              </w:tabs>
              <w:ind w:left="170"/>
            </w:pPr>
            <w:r>
              <w:t>High dose:</w:t>
            </w:r>
            <w:r>
              <w:tab/>
            </w:r>
            <w:r w:rsidRPr="003102BE">
              <w:t xml:space="preserve">1.17 </w:t>
            </w:r>
            <w:r>
              <w:t>[</w:t>
            </w:r>
            <w:r w:rsidRPr="003102BE">
              <w:t>0.98</w:t>
            </w:r>
            <w:r>
              <w:t xml:space="preserve">, </w:t>
            </w:r>
            <w:r w:rsidRPr="003102BE">
              <w:t>1.39</w:t>
            </w:r>
            <w:r>
              <w:t>]</w:t>
            </w:r>
          </w:p>
        </w:tc>
        <w:tc>
          <w:tcPr>
            <w:tcW w:w="2251" w:type="dxa"/>
            <w:shd w:val="clear" w:color="auto" w:fill="auto"/>
          </w:tcPr>
          <w:p w:rsidR="00675E77" w:rsidRPr="00D75DC9" w:rsidRDefault="00675E77" w:rsidP="00675E77">
            <w:pPr>
              <w:pStyle w:val="05Tabletext"/>
            </w:pPr>
            <w:r>
              <w:t>This study confirms the results of earlier studies that ICS elevates the risk of pneumonia, and that this risk is greatest among current users. There is also an indication of a dose-response relationship as measured by average daily dose, particularly for current users.</w:t>
            </w:r>
          </w:p>
        </w:tc>
      </w:tr>
    </w:tbl>
    <w:p w:rsidR="00675E77" w:rsidRDefault="00675E77" w:rsidP="00675E77">
      <w:pPr>
        <w:pStyle w:val="10TableorFigurefootnote"/>
      </w:pPr>
      <w:r>
        <w:t xml:space="preserve">Abbreviations: </w:t>
      </w:r>
      <w:proofErr w:type="spellStart"/>
      <w:r>
        <w:t>adj</w:t>
      </w:r>
      <w:proofErr w:type="spellEnd"/>
      <w:r>
        <w:t xml:space="preserve"> OR, adjusted odds ratio; BEC, beclomethasone; BUD, budesonide; COPD, chronic obstructive pulmonary disease; CPRD GOLD, Clinical Practice Research Datalink GP </w:t>
      </w:r>
      <w:proofErr w:type="spellStart"/>
      <w:r>
        <w:t>OnLine</w:t>
      </w:r>
      <w:proofErr w:type="spellEnd"/>
      <w:r>
        <w:t xml:space="preserve"> Data; ED, emergency department; HR, hazard ratio; ICS, inhaled corticosteroids; LABD, long-acting inhaled bronchodilators; MOM, </w:t>
      </w:r>
      <w:proofErr w:type="spellStart"/>
      <w:r>
        <w:t>mometasone</w:t>
      </w:r>
      <w:proofErr w:type="spellEnd"/>
      <w:r>
        <w:t>; RR, risk ratio; y, years</w:t>
      </w:r>
      <w:r w:rsidR="002167A5">
        <w:t xml:space="preserve">; FLU/SAL, fluticasone propionate/salmeterol; FLU/VIL, fluticasone </w:t>
      </w:r>
      <w:proofErr w:type="spellStart"/>
      <w:r w:rsidR="002167A5">
        <w:t>furoate</w:t>
      </w:r>
      <w:proofErr w:type="spellEnd"/>
      <w:r w:rsidR="002167A5">
        <w:t>/</w:t>
      </w:r>
      <w:proofErr w:type="spellStart"/>
      <w:r w:rsidR="002167A5">
        <w:t>vilanterol</w:t>
      </w:r>
      <w:proofErr w:type="spellEnd"/>
      <w:r w:rsidR="002167A5">
        <w:t>.</w:t>
      </w:r>
    </w:p>
    <w:p w:rsidR="00675E77" w:rsidRDefault="00675E77" w:rsidP="00675E77">
      <w:pPr>
        <w:pStyle w:val="11TableorFigurefootnotenostick"/>
      </w:pPr>
      <w:r>
        <w:t>Note: Adjusted estimates reported.</w:t>
      </w:r>
    </w:p>
    <w:p w:rsidR="00675E77" w:rsidRDefault="00675E77" w:rsidP="00675E77">
      <w:pPr>
        <w:pStyle w:val="BodyText"/>
      </w:pPr>
    </w:p>
    <w:p w:rsidR="00675E77" w:rsidRDefault="00675E77" w:rsidP="00675E77">
      <w:pPr>
        <w:pStyle w:val="BodyText"/>
        <w:sectPr w:rsidR="00675E77" w:rsidSect="00675E77">
          <w:footerReference w:type="default" r:id="rId32"/>
          <w:pgSz w:w="16838" w:h="11906" w:orient="landscape"/>
          <w:pgMar w:top="1134" w:right="1134" w:bottom="1134" w:left="1134" w:header="709" w:footer="709" w:gutter="0"/>
          <w:cols w:space="708"/>
          <w:docGrid w:linePitch="360"/>
        </w:sectPr>
      </w:pPr>
    </w:p>
    <w:p w:rsidR="00675E77" w:rsidRDefault="00675E77" w:rsidP="00675E77">
      <w:pPr>
        <w:pStyle w:val="Heading4"/>
      </w:pPr>
      <w:r>
        <w:lastRenderedPageBreak/>
        <w:t>Other outcomes</w:t>
      </w:r>
    </w:p>
    <w:p w:rsidR="00675E77" w:rsidRDefault="00675E77" w:rsidP="00675E77">
      <w:pPr>
        <w:pStyle w:val="BodyText"/>
      </w:pPr>
      <w:r w:rsidRPr="00626642">
        <w:t>The remaining observational studies identified in the literature search investigated mortality outcomes (7 studies), fracture (3 studies), lung cancer (2 studies), tuberculosis (1 study), osteoporosis (1 study), stroke (1 study), and cataracts and glaucoma (1 study). These studies are listed in</w:t>
      </w:r>
      <w:r>
        <w:t xml:space="preserve"> </w:t>
      </w:r>
      <w:r w:rsidR="00356377">
        <w:t xml:space="preserve">Table </w:t>
      </w:r>
      <w:r w:rsidR="00356377">
        <w:rPr>
          <w:noProof/>
        </w:rPr>
        <w:t>4</w:t>
      </w:r>
      <w:r w:rsidR="00356377">
        <w:t>.</w:t>
      </w:r>
      <w:r w:rsidR="00356377">
        <w:rPr>
          <w:noProof/>
        </w:rPr>
        <w:t>17</w:t>
      </w:r>
      <w:r>
        <w:t>.</w:t>
      </w:r>
    </w:p>
    <w:p w:rsidR="00675E77" w:rsidRDefault="00675E77" w:rsidP="00D52262">
      <w:pPr>
        <w:pStyle w:val="HeaderTable"/>
      </w:pPr>
      <w:bookmarkStart w:id="193" w:name="_Ref467940012"/>
      <w:bookmarkStart w:id="194" w:name="_Toc468022909"/>
      <w:bookmarkStart w:id="195" w:name="_Toc468034562"/>
      <w:bookmarkStart w:id="196" w:name="_Toc480373312"/>
      <w:bookmarkStart w:id="197" w:name="_Toc486515207"/>
      <w:r>
        <w:t xml:space="preserve">Table </w:t>
      </w:r>
      <w:r w:rsidR="00356377">
        <w:rPr>
          <w:noProof/>
        </w:rPr>
        <w:t>4</w:t>
      </w:r>
      <w:r>
        <w:t>.</w:t>
      </w:r>
      <w:r w:rsidR="00356377">
        <w:rPr>
          <w:noProof/>
        </w:rPr>
        <w:t>17</w:t>
      </w:r>
      <w:bookmarkEnd w:id="193"/>
      <w:r>
        <w:tab/>
        <w:t>Observational studies reporting safety outcomes with ICS use</w:t>
      </w:r>
      <w:bookmarkEnd w:id="194"/>
      <w:bookmarkEnd w:id="195"/>
      <w:bookmarkEnd w:id="196"/>
      <w:bookmarkEnd w:id="197"/>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Observational studies reporting safety outcomes with ICS use"/>
      </w:tblPr>
      <w:tblGrid>
        <w:gridCol w:w="1139"/>
        <w:gridCol w:w="723"/>
        <w:gridCol w:w="4380"/>
        <w:gridCol w:w="3402"/>
      </w:tblGrid>
      <w:tr w:rsidR="00675E77" w:rsidRPr="003553F1" w:rsidTr="00675E77">
        <w:trPr>
          <w:cantSplit/>
          <w:tblHeader/>
        </w:trPr>
        <w:tc>
          <w:tcPr>
            <w:tcW w:w="1139" w:type="dxa"/>
            <w:shd w:val="clear" w:color="auto" w:fill="BFBFBF"/>
          </w:tcPr>
          <w:p w:rsidR="00675E77" w:rsidRPr="002B2660" w:rsidRDefault="00675E77" w:rsidP="00675E77">
            <w:pPr>
              <w:pStyle w:val="01TableHEADINGleftaligned"/>
            </w:pPr>
            <w:r>
              <w:t>Ref ID</w:t>
            </w:r>
          </w:p>
        </w:tc>
        <w:tc>
          <w:tcPr>
            <w:tcW w:w="723" w:type="dxa"/>
            <w:shd w:val="clear" w:color="auto" w:fill="BFBFBF"/>
          </w:tcPr>
          <w:p w:rsidR="00675E77" w:rsidRPr="002B2660" w:rsidRDefault="00675E77" w:rsidP="00675E77">
            <w:pPr>
              <w:pStyle w:val="01TableHEADINGleftaligned"/>
            </w:pPr>
            <w:r>
              <w:t>Country</w:t>
            </w:r>
          </w:p>
        </w:tc>
        <w:tc>
          <w:tcPr>
            <w:tcW w:w="4380" w:type="dxa"/>
            <w:shd w:val="clear" w:color="auto" w:fill="BFBFBF"/>
          </w:tcPr>
          <w:p w:rsidR="00675E77" w:rsidRPr="002B2660" w:rsidRDefault="00675E77" w:rsidP="00675E77">
            <w:pPr>
              <w:pStyle w:val="01TableHEADINGleftaligned"/>
            </w:pPr>
            <w:r>
              <w:t>Publication title</w:t>
            </w:r>
          </w:p>
        </w:tc>
        <w:tc>
          <w:tcPr>
            <w:tcW w:w="3402" w:type="dxa"/>
            <w:shd w:val="clear" w:color="auto" w:fill="BFBFBF"/>
          </w:tcPr>
          <w:p w:rsidR="00675E77" w:rsidRPr="002B2660" w:rsidRDefault="00675E77" w:rsidP="00675E77">
            <w:pPr>
              <w:pStyle w:val="01TableHEADINGleftaligned"/>
            </w:pPr>
            <w:r>
              <w:t>Overall findings</w:t>
            </w:r>
          </w:p>
        </w:tc>
      </w:tr>
      <w:tr w:rsidR="00675E77" w:rsidRPr="003553F1" w:rsidTr="00675E77">
        <w:trPr>
          <w:cantSplit/>
        </w:trPr>
        <w:tc>
          <w:tcPr>
            <w:tcW w:w="1139" w:type="dxa"/>
            <w:shd w:val="clear" w:color="auto" w:fill="000000"/>
          </w:tcPr>
          <w:p w:rsidR="00675E77" w:rsidRPr="002B2660" w:rsidRDefault="00675E77" w:rsidP="00675E77">
            <w:pPr>
              <w:pStyle w:val="04Tablesubheading"/>
            </w:pPr>
            <w:r>
              <w:t>Mortality</w:t>
            </w:r>
          </w:p>
        </w:tc>
        <w:tc>
          <w:tcPr>
            <w:tcW w:w="723" w:type="dxa"/>
            <w:shd w:val="clear" w:color="auto" w:fill="000000"/>
          </w:tcPr>
          <w:p w:rsidR="00675E77" w:rsidRPr="002B2660" w:rsidRDefault="00675E77" w:rsidP="00675E77">
            <w:pPr>
              <w:pStyle w:val="04Tablesubheading"/>
            </w:pPr>
          </w:p>
        </w:tc>
        <w:tc>
          <w:tcPr>
            <w:tcW w:w="4380" w:type="dxa"/>
            <w:shd w:val="clear" w:color="auto" w:fill="000000"/>
          </w:tcPr>
          <w:p w:rsidR="00675E77" w:rsidRPr="00DB273B" w:rsidRDefault="00675E77" w:rsidP="00675E77">
            <w:pPr>
              <w:pStyle w:val="04Tablesubheading"/>
            </w:pPr>
            <w:r>
              <w:t>In COPD patients with pneumonia</w:t>
            </w:r>
          </w:p>
        </w:tc>
        <w:tc>
          <w:tcPr>
            <w:tcW w:w="3402" w:type="dxa"/>
            <w:shd w:val="clear" w:color="auto" w:fill="000000"/>
          </w:tcPr>
          <w:p w:rsidR="00675E77" w:rsidRPr="002B2660" w:rsidRDefault="00675E77" w:rsidP="00675E77">
            <w:pPr>
              <w:pStyle w:val="04Tablesubheading"/>
            </w:pP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Yamauchi (2016)</w:t>
            </w:r>
          </w:p>
        </w:tc>
        <w:tc>
          <w:tcPr>
            <w:tcW w:w="723" w:type="dxa"/>
            <w:shd w:val="clear" w:color="auto" w:fill="auto"/>
          </w:tcPr>
          <w:p w:rsidR="00675E77" w:rsidRPr="002B2660" w:rsidRDefault="00675E77" w:rsidP="00675E77">
            <w:pPr>
              <w:pStyle w:val="05Tabletext"/>
            </w:pPr>
            <w:r w:rsidRPr="002B2660">
              <w:t>Japan</w:t>
            </w:r>
          </w:p>
        </w:tc>
        <w:tc>
          <w:tcPr>
            <w:tcW w:w="4380" w:type="dxa"/>
            <w:shd w:val="clear" w:color="auto" w:fill="auto"/>
          </w:tcPr>
          <w:p w:rsidR="00675E77" w:rsidRPr="002B2660" w:rsidRDefault="00675E77" w:rsidP="00675E77">
            <w:pPr>
              <w:pStyle w:val="05Tabletext"/>
            </w:pPr>
            <w:r w:rsidRPr="00DB273B">
              <w:t>Effect of outpatient therapy with inhaled corticosteroids on decreasing in-hospital mortality from pneumonia in patients with COPD.</w:t>
            </w:r>
          </w:p>
        </w:tc>
        <w:tc>
          <w:tcPr>
            <w:tcW w:w="3402" w:type="dxa"/>
            <w:shd w:val="clear" w:color="auto" w:fill="auto"/>
          </w:tcPr>
          <w:p w:rsidR="00675E77" w:rsidRPr="001848B3" w:rsidRDefault="00675E77" w:rsidP="00675E77">
            <w:pPr>
              <w:pStyle w:val="05Tabletext"/>
              <w:tabs>
                <w:tab w:val="left" w:pos="2139"/>
              </w:tabs>
              <w:rPr>
                <w:u w:val="single"/>
              </w:rPr>
            </w:pPr>
            <w:r w:rsidRPr="001848B3">
              <w:rPr>
                <w:u w:val="single"/>
              </w:rPr>
              <w:t>All-cause, in-hospital mortality in COPD patients with</w:t>
            </w:r>
            <w:r>
              <w:rPr>
                <w:u w:val="single"/>
              </w:rPr>
              <w:t xml:space="preserve"> pneumonia</w:t>
            </w:r>
          </w:p>
          <w:p w:rsidR="00675E77" w:rsidRPr="00FC64DA" w:rsidRDefault="00675E77" w:rsidP="00675E77">
            <w:pPr>
              <w:pStyle w:val="05Tabletext"/>
              <w:tabs>
                <w:tab w:val="left" w:pos="2139"/>
              </w:tabs>
            </w:pPr>
            <w:r>
              <w:t>OR 0.80 [0.68, 0.94]</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Chen (2011)</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Observational study of inhaled corticosteroids on outcomes for COPD patients with pneumonia.</w:t>
            </w:r>
          </w:p>
        </w:tc>
        <w:tc>
          <w:tcPr>
            <w:tcW w:w="3402" w:type="dxa"/>
            <w:shd w:val="clear" w:color="auto" w:fill="auto"/>
          </w:tcPr>
          <w:p w:rsidR="00675E77" w:rsidRPr="001848B3" w:rsidRDefault="00675E77" w:rsidP="00675E77">
            <w:pPr>
              <w:pStyle w:val="05Tabletext"/>
              <w:rPr>
                <w:u w:val="single"/>
              </w:rPr>
            </w:pPr>
            <w:r w:rsidRPr="001848B3">
              <w:rPr>
                <w:u w:val="single"/>
              </w:rPr>
              <w:t>All</w:t>
            </w:r>
            <w:r>
              <w:rPr>
                <w:u w:val="single"/>
              </w:rPr>
              <w:t xml:space="preserve">-cause </w:t>
            </w:r>
            <w:r w:rsidRPr="001848B3">
              <w:rPr>
                <w:u w:val="single"/>
              </w:rPr>
              <w:t>mortality in COPD patients with</w:t>
            </w:r>
            <w:r>
              <w:rPr>
                <w:u w:val="single"/>
              </w:rPr>
              <w:t xml:space="preserve"> pneumonia</w:t>
            </w:r>
          </w:p>
          <w:p w:rsidR="00675E77" w:rsidRDefault="00675E77" w:rsidP="00675E77">
            <w:pPr>
              <w:pStyle w:val="05Tabletext"/>
              <w:tabs>
                <w:tab w:val="left" w:pos="2139"/>
              </w:tabs>
            </w:pPr>
            <w:r>
              <w:t xml:space="preserve">30-day OR 0.80 [0.72, </w:t>
            </w:r>
            <w:r w:rsidRPr="00C03649">
              <w:t>0.89</w:t>
            </w:r>
            <w:r>
              <w:t>]</w:t>
            </w:r>
            <w:r>
              <w:tab/>
              <w:t>Favours ICS</w:t>
            </w:r>
          </w:p>
          <w:p w:rsidR="00675E77" w:rsidRPr="00B558F8" w:rsidRDefault="00675E77" w:rsidP="00675E77">
            <w:pPr>
              <w:pStyle w:val="05Tabletext"/>
              <w:tabs>
                <w:tab w:val="left" w:pos="2139"/>
              </w:tabs>
            </w:pPr>
            <w:r>
              <w:t xml:space="preserve">90-day OR 0.78 [0.72, </w:t>
            </w:r>
            <w:r w:rsidRPr="00C03649">
              <w:t>0.85</w:t>
            </w:r>
            <w:r>
              <w:t>]</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Malo</w:t>
            </w:r>
            <w:proofErr w:type="spellEnd"/>
            <w:r w:rsidRPr="002B2660">
              <w:t xml:space="preserve"> De Molina (2010)</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Inhaled corticosteroid use is associated with lower mortality for subjects with COPD and hospitalised with pneumonia.</w:t>
            </w:r>
          </w:p>
        </w:tc>
        <w:tc>
          <w:tcPr>
            <w:tcW w:w="3402" w:type="dxa"/>
            <w:shd w:val="clear" w:color="auto" w:fill="auto"/>
          </w:tcPr>
          <w:p w:rsidR="00675E77" w:rsidRPr="001848B3" w:rsidRDefault="00675E77" w:rsidP="00675E77">
            <w:pPr>
              <w:pStyle w:val="05Tabletext"/>
              <w:rPr>
                <w:u w:val="single"/>
              </w:rPr>
            </w:pPr>
            <w:r w:rsidRPr="001848B3">
              <w:rPr>
                <w:u w:val="single"/>
              </w:rPr>
              <w:t>All</w:t>
            </w:r>
            <w:r>
              <w:rPr>
                <w:u w:val="single"/>
              </w:rPr>
              <w:t xml:space="preserve">-cause </w:t>
            </w:r>
            <w:r w:rsidRPr="001848B3">
              <w:rPr>
                <w:u w:val="single"/>
              </w:rPr>
              <w:t>mortality in COPD patients with</w:t>
            </w:r>
            <w:r>
              <w:rPr>
                <w:u w:val="single"/>
              </w:rPr>
              <w:t xml:space="preserve"> pneumonia</w:t>
            </w:r>
          </w:p>
          <w:p w:rsidR="00675E77" w:rsidRDefault="00675E77" w:rsidP="00675E77">
            <w:pPr>
              <w:pStyle w:val="05Tabletext"/>
              <w:tabs>
                <w:tab w:val="left" w:pos="2139"/>
              </w:tabs>
            </w:pPr>
            <w:r>
              <w:t xml:space="preserve">30-day OR 0.76 [0.70, 0.83] </w:t>
            </w:r>
            <w:r>
              <w:tab/>
              <w:t>Favours ICS</w:t>
            </w:r>
          </w:p>
          <w:p w:rsidR="00675E77" w:rsidRPr="002B2660" w:rsidRDefault="00675E77" w:rsidP="00675E77">
            <w:pPr>
              <w:pStyle w:val="05Tabletext"/>
              <w:tabs>
                <w:tab w:val="left" w:pos="2139"/>
              </w:tabs>
            </w:pPr>
            <w:r>
              <w:t>90-day OR 0.80 [0.75, 0.86]</w:t>
            </w:r>
            <w:r>
              <w:tab/>
              <w:t>Favours ICS</w:t>
            </w:r>
          </w:p>
        </w:tc>
      </w:tr>
      <w:tr w:rsidR="00675E77" w:rsidRPr="003553F1" w:rsidTr="00675E77">
        <w:trPr>
          <w:cantSplit/>
        </w:trPr>
        <w:tc>
          <w:tcPr>
            <w:tcW w:w="1139" w:type="dxa"/>
            <w:shd w:val="clear" w:color="auto" w:fill="000000"/>
          </w:tcPr>
          <w:p w:rsidR="00675E77" w:rsidRPr="002B2660" w:rsidRDefault="00675E77" w:rsidP="00675E77">
            <w:pPr>
              <w:pStyle w:val="04Tablesubheading"/>
            </w:pPr>
            <w:r>
              <w:t>Mortality</w:t>
            </w:r>
          </w:p>
        </w:tc>
        <w:tc>
          <w:tcPr>
            <w:tcW w:w="723" w:type="dxa"/>
            <w:shd w:val="clear" w:color="auto" w:fill="000000"/>
          </w:tcPr>
          <w:p w:rsidR="00675E77" w:rsidRPr="002B2660" w:rsidRDefault="00675E77" w:rsidP="00675E77">
            <w:pPr>
              <w:pStyle w:val="04Tablesubheading"/>
            </w:pPr>
          </w:p>
        </w:tc>
        <w:tc>
          <w:tcPr>
            <w:tcW w:w="4380" w:type="dxa"/>
            <w:shd w:val="clear" w:color="auto" w:fill="000000"/>
          </w:tcPr>
          <w:p w:rsidR="00675E77" w:rsidRPr="00DB273B" w:rsidRDefault="00675E77" w:rsidP="00675E77">
            <w:pPr>
              <w:pStyle w:val="04Tablesubheading"/>
            </w:pPr>
            <w:r>
              <w:t>All</w:t>
            </w:r>
            <w:r w:rsidR="00D4474B">
              <w:t>-</w:t>
            </w:r>
            <w:r>
              <w:t>cause</w:t>
            </w:r>
          </w:p>
        </w:tc>
        <w:tc>
          <w:tcPr>
            <w:tcW w:w="3402" w:type="dxa"/>
            <w:shd w:val="clear" w:color="auto" w:fill="000000"/>
          </w:tcPr>
          <w:p w:rsidR="00675E77" w:rsidRPr="002B2660" w:rsidRDefault="00675E77" w:rsidP="00675E77">
            <w:pPr>
              <w:pStyle w:val="04Tablesubheading"/>
            </w:pP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Di Martino (2016)</w:t>
            </w:r>
          </w:p>
        </w:tc>
        <w:tc>
          <w:tcPr>
            <w:tcW w:w="723" w:type="dxa"/>
            <w:shd w:val="clear" w:color="auto" w:fill="auto"/>
          </w:tcPr>
          <w:p w:rsidR="00675E77" w:rsidRPr="002B2660" w:rsidRDefault="00675E77" w:rsidP="00675E77">
            <w:pPr>
              <w:pStyle w:val="05Tabletext"/>
            </w:pPr>
            <w:r w:rsidRPr="002B2660">
              <w:t>Italy</w:t>
            </w:r>
          </w:p>
        </w:tc>
        <w:tc>
          <w:tcPr>
            <w:tcW w:w="4380" w:type="dxa"/>
            <w:shd w:val="clear" w:color="auto" w:fill="auto"/>
          </w:tcPr>
          <w:p w:rsidR="00675E77" w:rsidRPr="002B2660" w:rsidRDefault="00675E77" w:rsidP="00675E77">
            <w:pPr>
              <w:pStyle w:val="05Tabletext"/>
            </w:pPr>
            <w:r w:rsidRPr="00DB273B">
              <w:t>The Effect on Total Mortality of Adding Inhaled Corticosteroids to Long-Acting Bronchodilators for COPD: A Real Practice Analysis in Italy.</w:t>
            </w:r>
          </w:p>
        </w:tc>
        <w:tc>
          <w:tcPr>
            <w:tcW w:w="3402" w:type="dxa"/>
            <w:shd w:val="clear" w:color="auto" w:fill="auto"/>
          </w:tcPr>
          <w:p w:rsidR="00675E77" w:rsidRPr="001A4C4F" w:rsidRDefault="00675E77" w:rsidP="00675E77">
            <w:pPr>
              <w:pStyle w:val="05Tabletext"/>
              <w:rPr>
                <w:u w:val="single"/>
              </w:rPr>
            </w:pPr>
            <w:r>
              <w:rPr>
                <w:u w:val="single"/>
              </w:rPr>
              <w:t>All-cause m</w:t>
            </w:r>
            <w:r w:rsidRPr="001A4C4F">
              <w:rPr>
                <w:u w:val="single"/>
              </w:rPr>
              <w:t>ortality</w:t>
            </w:r>
          </w:p>
          <w:p w:rsidR="00675E77" w:rsidRPr="001848B3" w:rsidRDefault="00675E77" w:rsidP="00675E77">
            <w:pPr>
              <w:pStyle w:val="05Tabletext"/>
              <w:tabs>
                <w:tab w:val="left" w:pos="2139"/>
              </w:tabs>
            </w:pPr>
            <w:r>
              <w:t>OR 0.83 [</w:t>
            </w:r>
            <w:r w:rsidRPr="001848B3">
              <w:t>0.72-0.97</w:t>
            </w:r>
            <w:r>
              <w:t>]</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Gershon</w:t>
            </w:r>
            <w:proofErr w:type="spellEnd"/>
            <w:r w:rsidRPr="002B2660">
              <w:t xml:space="preserve"> (2014)</w:t>
            </w:r>
          </w:p>
        </w:tc>
        <w:tc>
          <w:tcPr>
            <w:tcW w:w="723" w:type="dxa"/>
            <w:shd w:val="clear" w:color="auto" w:fill="auto"/>
          </w:tcPr>
          <w:p w:rsidR="00675E77" w:rsidRPr="002B2660" w:rsidRDefault="00675E77" w:rsidP="00675E77">
            <w:pPr>
              <w:pStyle w:val="05Tabletext"/>
            </w:pPr>
            <w:r w:rsidRPr="002B2660">
              <w:t xml:space="preserve">Canada </w:t>
            </w:r>
          </w:p>
        </w:tc>
        <w:tc>
          <w:tcPr>
            <w:tcW w:w="4380" w:type="dxa"/>
            <w:shd w:val="clear" w:color="auto" w:fill="auto"/>
          </w:tcPr>
          <w:p w:rsidR="00675E77" w:rsidRPr="002B2660" w:rsidRDefault="00675E77" w:rsidP="00675E77">
            <w:pPr>
              <w:pStyle w:val="05Tabletext"/>
            </w:pPr>
            <w:r w:rsidRPr="00DB273B">
              <w:t>Combination long-acting beta-agonists and inhaled corticosteroids compared with long-acting beta-agonists alone in older adults with chronic obstructive pulmonary disease.</w:t>
            </w:r>
          </w:p>
        </w:tc>
        <w:tc>
          <w:tcPr>
            <w:tcW w:w="3402" w:type="dxa"/>
            <w:shd w:val="clear" w:color="auto" w:fill="auto"/>
          </w:tcPr>
          <w:p w:rsidR="00675E77" w:rsidRPr="007D2B33" w:rsidRDefault="00675E77" w:rsidP="00675E77">
            <w:pPr>
              <w:pStyle w:val="05Tabletext"/>
              <w:rPr>
                <w:u w:val="single"/>
              </w:rPr>
            </w:pPr>
            <w:r w:rsidRPr="007D2B33">
              <w:rPr>
                <w:u w:val="single"/>
              </w:rPr>
              <w:t>All-cause mortality</w:t>
            </w:r>
          </w:p>
          <w:p w:rsidR="00675E77" w:rsidRPr="001A4C4F" w:rsidRDefault="00675E77" w:rsidP="00675E77">
            <w:pPr>
              <w:pStyle w:val="05Tabletext"/>
            </w:pPr>
            <w:r>
              <w:t>HR 0.92 [</w:t>
            </w:r>
            <w:r w:rsidRPr="001A4C4F">
              <w:t>0.87</w:t>
            </w:r>
            <w:r>
              <w:t>, 0.97]</w:t>
            </w:r>
            <w:r>
              <w:tab/>
            </w:r>
            <w:r>
              <w:tab/>
              <w:t>Favours ICS</w:t>
            </w:r>
          </w:p>
          <w:p w:rsidR="00675E77" w:rsidRDefault="00675E77" w:rsidP="00675E77">
            <w:pPr>
              <w:pStyle w:val="06Tabletextspacebefore"/>
              <w:rPr>
                <w:u w:val="single"/>
              </w:rPr>
            </w:pPr>
            <w:r w:rsidRPr="007D2B33">
              <w:rPr>
                <w:u w:val="single"/>
              </w:rPr>
              <w:t>Pneumonia hospitalisation</w:t>
            </w:r>
          </w:p>
          <w:p w:rsidR="00675E77" w:rsidRPr="00B558F8" w:rsidRDefault="00675E77" w:rsidP="00675E77">
            <w:pPr>
              <w:pStyle w:val="05Tabletext"/>
              <w:tabs>
                <w:tab w:val="left" w:pos="2139"/>
              </w:tabs>
            </w:pPr>
            <w:r>
              <w:t>HR 1.01 [0.93, 1.08]</w:t>
            </w:r>
            <w:r>
              <w:tab/>
            </w:r>
            <w:r w:rsidRPr="00B558F8">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Cyr (2010)</w:t>
            </w:r>
          </w:p>
        </w:tc>
        <w:tc>
          <w:tcPr>
            <w:tcW w:w="723" w:type="dxa"/>
            <w:shd w:val="clear" w:color="auto" w:fill="auto"/>
          </w:tcPr>
          <w:p w:rsidR="00675E77" w:rsidRPr="002B2660" w:rsidRDefault="00675E77" w:rsidP="00675E77">
            <w:pPr>
              <w:pStyle w:val="05Tabletext"/>
            </w:pPr>
            <w:r w:rsidRPr="002B2660">
              <w:t>Canada</w:t>
            </w:r>
          </w:p>
        </w:tc>
        <w:tc>
          <w:tcPr>
            <w:tcW w:w="4380" w:type="dxa"/>
            <w:shd w:val="clear" w:color="auto" w:fill="auto"/>
          </w:tcPr>
          <w:p w:rsidR="00675E77" w:rsidRPr="002B2660" w:rsidRDefault="00675E77">
            <w:pPr>
              <w:pStyle w:val="05Tabletext"/>
            </w:pPr>
            <w:r w:rsidRPr="00DB273B">
              <w:t>Effects of inhaled corticosteroids in monotherapy or com</w:t>
            </w:r>
            <w:r>
              <w:t xml:space="preserve">bined with long-acting </w:t>
            </w:r>
            <w:r w:rsidR="002167A5">
              <w:t>β</w:t>
            </w:r>
            <w:r w:rsidRPr="00F77209">
              <w:rPr>
                <w:vertAlign w:val="subscript"/>
              </w:rPr>
              <w:t>2</w:t>
            </w:r>
            <w:r w:rsidRPr="00DB273B">
              <w:t>-agonists on mortality among patients with chronic obstructive pulmonary disease.</w:t>
            </w:r>
          </w:p>
        </w:tc>
        <w:tc>
          <w:tcPr>
            <w:tcW w:w="3402" w:type="dxa"/>
            <w:shd w:val="clear" w:color="auto" w:fill="auto"/>
          </w:tcPr>
          <w:p w:rsidR="00675E77" w:rsidRPr="00C03649" w:rsidRDefault="00675E77" w:rsidP="00675E77">
            <w:pPr>
              <w:pStyle w:val="05Tabletext"/>
              <w:rPr>
                <w:u w:val="single"/>
              </w:rPr>
            </w:pPr>
            <w:r w:rsidRPr="00C03649">
              <w:rPr>
                <w:u w:val="single"/>
              </w:rPr>
              <w:t>All-cause mortality</w:t>
            </w:r>
          </w:p>
          <w:p w:rsidR="00675E77" w:rsidRPr="00FE23F7" w:rsidRDefault="00675E77" w:rsidP="00675E77">
            <w:pPr>
              <w:pStyle w:val="05Tabletext"/>
            </w:pPr>
            <w:r w:rsidRPr="00FE23F7">
              <w:t>ICS vs LABA:</w:t>
            </w:r>
          </w:p>
          <w:p w:rsidR="00675E77" w:rsidRDefault="00675E77" w:rsidP="00675E77">
            <w:pPr>
              <w:pStyle w:val="05Tabletext"/>
              <w:tabs>
                <w:tab w:val="left" w:pos="2139"/>
              </w:tabs>
            </w:pPr>
            <w:r>
              <w:t>OR 0.69 [0.53, 0.88]</w:t>
            </w:r>
            <w:r>
              <w:tab/>
              <w:t>Favours ICS</w:t>
            </w:r>
          </w:p>
          <w:p w:rsidR="00675E77" w:rsidRPr="0066231E" w:rsidRDefault="00675E77" w:rsidP="00675E77">
            <w:pPr>
              <w:pStyle w:val="05Tabletext"/>
              <w:rPr>
                <w:u w:val="single"/>
              </w:rPr>
            </w:pPr>
            <w:r w:rsidRPr="00FE23F7">
              <w:t>ICS/LABA vs LABA</w:t>
            </w:r>
            <w:r w:rsidRPr="0066231E">
              <w:rPr>
                <w:u w:val="single"/>
              </w:rPr>
              <w:t>:</w:t>
            </w:r>
          </w:p>
          <w:p w:rsidR="00675E77" w:rsidRPr="004F5892" w:rsidRDefault="00675E77" w:rsidP="00675E77">
            <w:pPr>
              <w:pStyle w:val="05Tabletext"/>
              <w:tabs>
                <w:tab w:val="left" w:pos="2139"/>
              </w:tabs>
            </w:pPr>
            <w:r>
              <w:t xml:space="preserve">OR 0.73 [0.56, 0.96] </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Mapel</w:t>
            </w:r>
            <w:proofErr w:type="spellEnd"/>
            <w:r w:rsidRPr="002B2660">
              <w:t xml:space="preserve"> (2007)</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Survival among COPD patients using fluticasone/salmeterol in combination versus other inhaled steroids and bronchodilators alone.</w:t>
            </w:r>
          </w:p>
        </w:tc>
        <w:tc>
          <w:tcPr>
            <w:tcW w:w="3402" w:type="dxa"/>
            <w:shd w:val="clear" w:color="auto" w:fill="auto"/>
          </w:tcPr>
          <w:p w:rsidR="00675E77" w:rsidRDefault="00675E77" w:rsidP="00675E77">
            <w:pPr>
              <w:pStyle w:val="05Tabletext"/>
              <w:tabs>
                <w:tab w:val="left" w:pos="2139"/>
              </w:tabs>
              <w:rPr>
                <w:u w:val="single"/>
              </w:rPr>
            </w:pPr>
            <w:r w:rsidRPr="0066231E">
              <w:rPr>
                <w:u w:val="single"/>
              </w:rPr>
              <w:t>All-cause mortality</w:t>
            </w:r>
          </w:p>
          <w:p w:rsidR="00675E77" w:rsidRPr="00FE23F7" w:rsidRDefault="00675E77" w:rsidP="00675E77">
            <w:pPr>
              <w:pStyle w:val="05Tabletext"/>
            </w:pPr>
            <w:r>
              <w:t>ICS/LABA vs no ICS/LABA:</w:t>
            </w:r>
          </w:p>
          <w:p w:rsidR="00675E77" w:rsidRDefault="00675E77" w:rsidP="00675E77">
            <w:pPr>
              <w:pStyle w:val="05Tabletext"/>
              <w:tabs>
                <w:tab w:val="left" w:pos="2139"/>
              </w:tabs>
            </w:pPr>
            <w:r>
              <w:t xml:space="preserve">HR 0.59 [0.46, 0.77] </w:t>
            </w:r>
            <w:r>
              <w:tab/>
              <w:t>Favours ICS</w:t>
            </w:r>
          </w:p>
          <w:p w:rsidR="00675E77" w:rsidRPr="00FE23F7" w:rsidRDefault="00675E77" w:rsidP="00675E77">
            <w:pPr>
              <w:pStyle w:val="05Tabletext"/>
            </w:pPr>
            <w:r w:rsidRPr="00FE23F7">
              <w:t>ICS vs no ICS</w:t>
            </w:r>
            <w:r>
              <w:t>:</w:t>
            </w:r>
          </w:p>
          <w:p w:rsidR="00675E77" w:rsidRPr="002B2660" w:rsidRDefault="00675E77" w:rsidP="00675E77">
            <w:pPr>
              <w:pStyle w:val="05Tabletext"/>
              <w:tabs>
                <w:tab w:val="left" w:pos="2139"/>
              </w:tabs>
            </w:pPr>
            <w:r>
              <w:t>HR 0.76 [0.61, 0.95]</w:t>
            </w:r>
            <w:r>
              <w:tab/>
              <w:t>Favours ICS</w:t>
            </w:r>
          </w:p>
        </w:tc>
      </w:tr>
      <w:tr w:rsidR="00675E77" w:rsidRPr="003553F1" w:rsidTr="00675E77">
        <w:trPr>
          <w:cantSplit/>
        </w:trPr>
        <w:tc>
          <w:tcPr>
            <w:tcW w:w="1139" w:type="dxa"/>
            <w:shd w:val="clear" w:color="auto" w:fill="000000"/>
          </w:tcPr>
          <w:p w:rsidR="00675E77" w:rsidRPr="002B2660" w:rsidRDefault="00675E77" w:rsidP="00675E77">
            <w:pPr>
              <w:pStyle w:val="04Tablesubheading"/>
            </w:pPr>
            <w:r>
              <w:t>Fracture</w:t>
            </w:r>
          </w:p>
        </w:tc>
        <w:tc>
          <w:tcPr>
            <w:tcW w:w="723" w:type="dxa"/>
            <w:shd w:val="clear" w:color="auto" w:fill="000000"/>
          </w:tcPr>
          <w:p w:rsidR="00675E77" w:rsidRPr="002B2660" w:rsidRDefault="00675E77" w:rsidP="00675E77">
            <w:pPr>
              <w:pStyle w:val="04Tablesubheading"/>
            </w:pPr>
          </w:p>
        </w:tc>
        <w:tc>
          <w:tcPr>
            <w:tcW w:w="4380" w:type="dxa"/>
            <w:shd w:val="clear" w:color="auto" w:fill="000000"/>
          </w:tcPr>
          <w:p w:rsidR="00675E77" w:rsidRPr="00DB273B" w:rsidRDefault="00675E77" w:rsidP="00675E77">
            <w:pPr>
              <w:pStyle w:val="04Tablesubheading"/>
            </w:pPr>
          </w:p>
        </w:tc>
        <w:tc>
          <w:tcPr>
            <w:tcW w:w="3402" w:type="dxa"/>
            <w:shd w:val="clear" w:color="auto" w:fill="000000"/>
          </w:tcPr>
          <w:p w:rsidR="00675E77" w:rsidRPr="002B2660" w:rsidRDefault="00675E77" w:rsidP="00675E77">
            <w:pPr>
              <w:pStyle w:val="04Tablesubheading"/>
            </w:pP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Gonnelli</w:t>
            </w:r>
            <w:proofErr w:type="spellEnd"/>
            <w:r w:rsidRPr="002B2660">
              <w:t xml:space="preserve"> (2010)</w:t>
            </w:r>
          </w:p>
        </w:tc>
        <w:tc>
          <w:tcPr>
            <w:tcW w:w="723" w:type="dxa"/>
            <w:shd w:val="clear" w:color="auto" w:fill="auto"/>
          </w:tcPr>
          <w:p w:rsidR="00675E77" w:rsidRPr="002B2660" w:rsidRDefault="00675E77" w:rsidP="00675E77">
            <w:pPr>
              <w:pStyle w:val="05Tabletext"/>
            </w:pPr>
            <w:r w:rsidRPr="002B2660">
              <w:t>Italy</w:t>
            </w:r>
          </w:p>
        </w:tc>
        <w:tc>
          <w:tcPr>
            <w:tcW w:w="4380" w:type="dxa"/>
            <w:shd w:val="clear" w:color="auto" w:fill="auto"/>
          </w:tcPr>
          <w:p w:rsidR="00675E77" w:rsidRPr="002B2660" w:rsidRDefault="00675E77">
            <w:pPr>
              <w:pStyle w:val="05Tabletext"/>
            </w:pPr>
            <w:r w:rsidRPr="00DB273B">
              <w:t xml:space="preserve">Effect of inhaled glucocorticoids and </w:t>
            </w:r>
            <w:r w:rsidR="006204E2">
              <w:t>β</w:t>
            </w:r>
            <w:r w:rsidRPr="00F77209">
              <w:rPr>
                <w:vertAlign w:val="subscript"/>
              </w:rPr>
              <w:t>2</w:t>
            </w:r>
            <w:r w:rsidRPr="00DB273B">
              <w:t xml:space="preserve"> agonists on vertebral fracture risk in COPD patients: the EOLO study.</w:t>
            </w:r>
          </w:p>
        </w:tc>
        <w:tc>
          <w:tcPr>
            <w:tcW w:w="3402" w:type="dxa"/>
            <w:shd w:val="clear" w:color="auto" w:fill="auto"/>
          </w:tcPr>
          <w:p w:rsidR="00675E77" w:rsidRPr="001A4C4F" w:rsidRDefault="00675E77" w:rsidP="00675E77">
            <w:pPr>
              <w:pStyle w:val="05Tabletext"/>
              <w:rPr>
                <w:u w:val="single"/>
              </w:rPr>
            </w:pPr>
            <w:r w:rsidRPr="001A4C4F">
              <w:rPr>
                <w:u w:val="single"/>
              </w:rPr>
              <w:t>Vertebral fracture</w:t>
            </w:r>
          </w:p>
          <w:p w:rsidR="00194614" w:rsidRDefault="00675E77">
            <w:pPr>
              <w:pStyle w:val="05Tabletext"/>
              <w:tabs>
                <w:tab w:val="left" w:pos="1984"/>
              </w:tabs>
            </w:pPr>
            <w:r>
              <w:t>Highest dose:</w:t>
            </w:r>
            <w:r w:rsidR="00194614">
              <w:t xml:space="preserve"> </w:t>
            </w:r>
          </w:p>
          <w:p w:rsidR="00675E77" w:rsidRPr="002B2660" w:rsidRDefault="00675E77">
            <w:pPr>
              <w:pStyle w:val="05Tabletext"/>
              <w:tabs>
                <w:tab w:val="left" w:pos="1984"/>
              </w:tabs>
            </w:pPr>
            <w:r>
              <w:t>OR 1.4 [</w:t>
            </w:r>
            <w:r w:rsidRPr="008464DB">
              <w:t>1.04</w:t>
            </w:r>
            <w:r>
              <w:t xml:space="preserve">, </w:t>
            </w:r>
            <w:r w:rsidRPr="008464DB">
              <w:t>1.89</w:t>
            </w:r>
            <w:r>
              <w:t>]</w:t>
            </w:r>
            <w:r>
              <w:tab/>
            </w:r>
            <w:r w:rsidRPr="00CD4656">
              <w:t>Favours no ICS</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Miller (2010)</w:t>
            </w:r>
          </w:p>
        </w:tc>
        <w:tc>
          <w:tcPr>
            <w:tcW w:w="723" w:type="dxa"/>
            <w:shd w:val="clear" w:color="auto" w:fill="auto"/>
          </w:tcPr>
          <w:p w:rsidR="00675E77" w:rsidRPr="002B2660" w:rsidRDefault="00675E77" w:rsidP="00675E77">
            <w:pPr>
              <w:pStyle w:val="05Tabletext"/>
            </w:pPr>
            <w:r w:rsidRPr="002B2660">
              <w:t>UK</w:t>
            </w:r>
          </w:p>
        </w:tc>
        <w:tc>
          <w:tcPr>
            <w:tcW w:w="4380" w:type="dxa"/>
            <w:shd w:val="clear" w:color="auto" w:fill="auto"/>
          </w:tcPr>
          <w:p w:rsidR="00675E77" w:rsidRPr="002B2660" w:rsidRDefault="00675E77" w:rsidP="00675E77">
            <w:pPr>
              <w:pStyle w:val="05Tabletext"/>
            </w:pPr>
            <w:r w:rsidRPr="00DB273B">
              <w:t>Long-term use of fluticasone propionate/salmeterol fixed-dose combination and incidence of non</w:t>
            </w:r>
            <w:r>
              <w:t>-</w:t>
            </w:r>
            <w:r w:rsidRPr="00DB273B">
              <w:t>vertebral fractures among patients with COPD in the UK general practice research database.</w:t>
            </w:r>
          </w:p>
        </w:tc>
        <w:tc>
          <w:tcPr>
            <w:tcW w:w="3402" w:type="dxa"/>
            <w:shd w:val="clear" w:color="auto" w:fill="auto"/>
          </w:tcPr>
          <w:p w:rsidR="00675E77" w:rsidRPr="001A4C4F" w:rsidRDefault="00675E77" w:rsidP="00675E77">
            <w:pPr>
              <w:pStyle w:val="05Tabletext"/>
              <w:rPr>
                <w:u w:val="single"/>
              </w:rPr>
            </w:pPr>
            <w:r w:rsidRPr="001A4C4F">
              <w:rPr>
                <w:u w:val="single"/>
              </w:rPr>
              <w:t>Non-vertebral fracture</w:t>
            </w:r>
          </w:p>
          <w:p w:rsidR="00675E77" w:rsidRPr="008D2410" w:rsidRDefault="00675E77" w:rsidP="00675E77">
            <w:pPr>
              <w:pStyle w:val="05Tabletext"/>
              <w:tabs>
                <w:tab w:val="left" w:pos="1984"/>
              </w:tabs>
            </w:pPr>
            <w:r>
              <w:t>OR 1.12</w:t>
            </w:r>
            <w:r w:rsidRPr="008D2410">
              <w:t xml:space="preserve"> </w:t>
            </w:r>
            <w:r>
              <w:t xml:space="preserve">[0.97, </w:t>
            </w:r>
            <w:r w:rsidRPr="008D2410">
              <w:t>1.3</w:t>
            </w:r>
            <w:r>
              <w:t>]</w:t>
            </w:r>
            <w:r>
              <w:tab/>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Pujades</w:t>
            </w:r>
            <w:proofErr w:type="spellEnd"/>
            <w:r w:rsidRPr="002B2660">
              <w:t>-Rodriguez (2007)</w:t>
            </w:r>
          </w:p>
        </w:tc>
        <w:tc>
          <w:tcPr>
            <w:tcW w:w="723" w:type="dxa"/>
            <w:shd w:val="clear" w:color="auto" w:fill="auto"/>
          </w:tcPr>
          <w:p w:rsidR="00675E77" w:rsidRPr="002B2660" w:rsidRDefault="00675E77" w:rsidP="00675E77">
            <w:pPr>
              <w:pStyle w:val="05Tabletext"/>
            </w:pPr>
            <w:r w:rsidRPr="002B2660">
              <w:t>UK</w:t>
            </w:r>
          </w:p>
        </w:tc>
        <w:tc>
          <w:tcPr>
            <w:tcW w:w="4380" w:type="dxa"/>
            <w:shd w:val="clear" w:color="auto" w:fill="auto"/>
          </w:tcPr>
          <w:p w:rsidR="00675E77" w:rsidRPr="002B2660" w:rsidRDefault="00675E77" w:rsidP="00675E77">
            <w:pPr>
              <w:pStyle w:val="05Tabletext"/>
            </w:pPr>
            <w:r w:rsidRPr="00DB273B">
              <w:t>Inhaled corticosteroids and the risk of fracture in chronic obstructive pulmonary disease.</w:t>
            </w:r>
            <w:r>
              <w:t xml:space="preserve"> [any fracture]</w:t>
            </w:r>
          </w:p>
        </w:tc>
        <w:tc>
          <w:tcPr>
            <w:tcW w:w="3402" w:type="dxa"/>
            <w:shd w:val="clear" w:color="auto" w:fill="auto"/>
          </w:tcPr>
          <w:p w:rsidR="00675E77" w:rsidRPr="001A4C4F" w:rsidRDefault="00675E77" w:rsidP="00675E77">
            <w:pPr>
              <w:pStyle w:val="05Tabletext"/>
              <w:rPr>
                <w:u w:val="single"/>
              </w:rPr>
            </w:pPr>
            <w:r w:rsidRPr="001A4C4F">
              <w:rPr>
                <w:u w:val="single"/>
              </w:rPr>
              <w:t>Any fracture</w:t>
            </w:r>
          </w:p>
          <w:p w:rsidR="00675E77" w:rsidRDefault="00675E77" w:rsidP="00675E77">
            <w:pPr>
              <w:pStyle w:val="05Tabletext"/>
            </w:pPr>
            <w:r>
              <w:t>Highest dose:</w:t>
            </w:r>
          </w:p>
          <w:p w:rsidR="00675E77" w:rsidRDefault="00675E77" w:rsidP="00675E77">
            <w:pPr>
              <w:pStyle w:val="05Tabletext"/>
              <w:tabs>
                <w:tab w:val="left" w:pos="1984"/>
              </w:tabs>
            </w:pPr>
            <w:r>
              <w:t xml:space="preserve">OR 1.80 [1.04, 3.11] </w:t>
            </w:r>
            <w:r>
              <w:tab/>
            </w:r>
            <w:r w:rsidRPr="00CD4656">
              <w:t>Favours no ICS</w:t>
            </w:r>
          </w:p>
          <w:p w:rsidR="00675E77" w:rsidRPr="00F77209" w:rsidRDefault="00675E77" w:rsidP="00675E77">
            <w:pPr>
              <w:pStyle w:val="05Tabletext"/>
            </w:pPr>
            <w:proofErr w:type="gramStart"/>
            <w:r w:rsidRPr="00F77209">
              <w:t>but</w:t>
            </w:r>
            <w:proofErr w:type="gramEnd"/>
            <w:r w:rsidRPr="00F77209">
              <w:t xml:space="preserve"> significance lost with adjustment for oral corticosteroids.</w:t>
            </w:r>
          </w:p>
        </w:tc>
      </w:tr>
      <w:tr w:rsidR="00675E77" w:rsidRPr="003553F1" w:rsidTr="00675E77">
        <w:trPr>
          <w:cantSplit/>
        </w:trPr>
        <w:tc>
          <w:tcPr>
            <w:tcW w:w="1139" w:type="dxa"/>
            <w:shd w:val="clear" w:color="auto" w:fill="000000"/>
          </w:tcPr>
          <w:p w:rsidR="00675E77" w:rsidRPr="002B2660" w:rsidRDefault="00675E77" w:rsidP="00675E77">
            <w:pPr>
              <w:pStyle w:val="04Tablesubheading"/>
            </w:pPr>
            <w:r>
              <w:t>Other</w:t>
            </w:r>
          </w:p>
        </w:tc>
        <w:tc>
          <w:tcPr>
            <w:tcW w:w="723" w:type="dxa"/>
            <w:shd w:val="clear" w:color="auto" w:fill="000000"/>
          </w:tcPr>
          <w:p w:rsidR="00675E77" w:rsidRPr="002B2660" w:rsidRDefault="00675E77" w:rsidP="00675E77">
            <w:pPr>
              <w:pStyle w:val="04Tablesubheading"/>
            </w:pPr>
          </w:p>
        </w:tc>
        <w:tc>
          <w:tcPr>
            <w:tcW w:w="4380" w:type="dxa"/>
            <w:shd w:val="clear" w:color="auto" w:fill="000000"/>
          </w:tcPr>
          <w:p w:rsidR="00675E77" w:rsidRPr="00DB273B" w:rsidRDefault="00675E77" w:rsidP="00675E77">
            <w:pPr>
              <w:pStyle w:val="04Tablesubheading"/>
            </w:pPr>
          </w:p>
        </w:tc>
        <w:tc>
          <w:tcPr>
            <w:tcW w:w="3402" w:type="dxa"/>
            <w:shd w:val="clear" w:color="auto" w:fill="000000"/>
          </w:tcPr>
          <w:p w:rsidR="00675E77" w:rsidRPr="002B2660" w:rsidRDefault="00675E77" w:rsidP="00675E77">
            <w:pPr>
              <w:pStyle w:val="04Tablesubheading"/>
            </w:pP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Liu (2016)</w:t>
            </w:r>
          </w:p>
        </w:tc>
        <w:tc>
          <w:tcPr>
            <w:tcW w:w="723" w:type="dxa"/>
            <w:shd w:val="clear" w:color="auto" w:fill="auto"/>
          </w:tcPr>
          <w:p w:rsidR="00675E77" w:rsidRPr="002B2660" w:rsidRDefault="00675E77" w:rsidP="00675E77">
            <w:pPr>
              <w:pStyle w:val="05Tabletext"/>
            </w:pPr>
            <w:r w:rsidRPr="002B2660">
              <w:t>Taiwan</w:t>
            </w:r>
          </w:p>
        </w:tc>
        <w:tc>
          <w:tcPr>
            <w:tcW w:w="4380" w:type="dxa"/>
            <w:shd w:val="clear" w:color="auto" w:fill="auto"/>
          </w:tcPr>
          <w:p w:rsidR="00675E77" w:rsidRPr="002B2660" w:rsidRDefault="00675E77" w:rsidP="00675E77">
            <w:pPr>
              <w:pStyle w:val="05Tabletext"/>
            </w:pPr>
            <w:r w:rsidRPr="00DB273B">
              <w:t>Inhaled corticosteroids can reduce osteoporosis in female patients with COPD.</w:t>
            </w:r>
          </w:p>
        </w:tc>
        <w:tc>
          <w:tcPr>
            <w:tcW w:w="3402" w:type="dxa"/>
            <w:shd w:val="clear" w:color="auto" w:fill="auto"/>
          </w:tcPr>
          <w:p w:rsidR="00675E77" w:rsidRPr="00CB5C89" w:rsidRDefault="00675E77" w:rsidP="00675E77">
            <w:pPr>
              <w:pStyle w:val="05Tabletext"/>
              <w:rPr>
                <w:u w:val="single"/>
              </w:rPr>
            </w:pPr>
            <w:r w:rsidRPr="00CB5C89">
              <w:rPr>
                <w:u w:val="single"/>
              </w:rPr>
              <w:t>Osteoporosis</w:t>
            </w:r>
          </w:p>
          <w:p w:rsidR="00675E77" w:rsidRPr="00CB5C89" w:rsidRDefault="00675E77" w:rsidP="00675E77">
            <w:pPr>
              <w:pStyle w:val="05Tabletext"/>
              <w:tabs>
                <w:tab w:val="left" w:pos="1984"/>
              </w:tabs>
            </w:pPr>
            <w:r>
              <w:t>HR 0.73 [</w:t>
            </w:r>
            <w:r w:rsidRPr="00CB5C89">
              <w:t>0.63</w:t>
            </w:r>
            <w:r>
              <w:t xml:space="preserve">, </w:t>
            </w:r>
            <w:r w:rsidRPr="00CB5C89">
              <w:t>0</w:t>
            </w:r>
            <w:r>
              <w:t>.</w:t>
            </w:r>
            <w:r w:rsidRPr="00CB5C89">
              <w:t>84</w:t>
            </w:r>
            <w:r>
              <w:t xml:space="preserve">] </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r>
              <w:lastRenderedPageBreak/>
              <w:t>Lee (2013b</w:t>
            </w:r>
            <w:r w:rsidRPr="002B2660">
              <w:t>)</w:t>
            </w:r>
          </w:p>
        </w:tc>
        <w:tc>
          <w:tcPr>
            <w:tcW w:w="723" w:type="dxa"/>
            <w:shd w:val="clear" w:color="auto" w:fill="auto"/>
          </w:tcPr>
          <w:p w:rsidR="00675E77" w:rsidRPr="002B2660" w:rsidRDefault="00675E77" w:rsidP="00675E77">
            <w:pPr>
              <w:pStyle w:val="05Tabletext"/>
            </w:pPr>
            <w:r w:rsidRPr="002B2660">
              <w:t>Taiwan</w:t>
            </w:r>
          </w:p>
        </w:tc>
        <w:tc>
          <w:tcPr>
            <w:tcW w:w="4380" w:type="dxa"/>
            <w:shd w:val="clear" w:color="auto" w:fill="auto"/>
          </w:tcPr>
          <w:p w:rsidR="00675E77" w:rsidRPr="002B2660" w:rsidRDefault="00675E77" w:rsidP="00675E77">
            <w:pPr>
              <w:pStyle w:val="05Tabletext"/>
            </w:pPr>
            <w:r w:rsidRPr="00DB273B">
              <w:t>Risk factors for pulmonary tuberculosis in patients with chronic obstructive airway disease in Taiwan: A nationwide cohort study.</w:t>
            </w:r>
          </w:p>
        </w:tc>
        <w:tc>
          <w:tcPr>
            <w:tcW w:w="3402" w:type="dxa"/>
            <w:shd w:val="clear" w:color="auto" w:fill="auto"/>
          </w:tcPr>
          <w:p w:rsidR="00675E77" w:rsidRPr="009A2F29" w:rsidRDefault="00675E77" w:rsidP="00675E77">
            <w:pPr>
              <w:pStyle w:val="05Tabletext"/>
              <w:rPr>
                <w:u w:val="single"/>
              </w:rPr>
            </w:pPr>
            <w:r w:rsidRPr="009A2F29">
              <w:rPr>
                <w:u w:val="single"/>
              </w:rPr>
              <w:t>Tuberculosis</w:t>
            </w:r>
          </w:p>
          <w:p w:rsidR="00675E77" w:rsidRPr="002B2660" w:rsidRDefault="00675E77" w:rsidP="00675E77">
            <w:pPr>
              <w:pStyle w:val="05Tabletext"/>
              <w:tabs>
                <w:tab w:val="left" w:pos="1984"/>
              </w:tabs>
            </w:pPr>
            <w:r>
              <w:tab/>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Miller (2011)</w:t>
            </w:r>
          </w:p>
        </w:tc>
        <w:tc>
          <w:tcPr>
            <w:tcW w:w="723" w:type="dxa"/>
            <w:shd w:val="clear" w:color="auto" w:fill="auto"/>
          </w:tcPr>
          <w:p w:rsidR="00675E77" w:rsidRPr="002B2660" w:rsidRDefault="00675E77" w:rsidP="00675E77">
            <w:pPr>
              <w:pStyle w:val="05Tabletext"/>
            </w:pPr>
            <w:r w:rsidRPr="002B2660">
              <w:t>UK</w:t>
            </w:r>
          </w:p>
        </w:tc>
        <w:tc>
          <w:tcPr>
            <w:tcW w:w="4380" w:type="dxa"/>
            <w:shd w:val="clear" w:color="auto" w:fill="auto"/>
          </w:tcPr>
          <w:p w:rsidR="00675E77" w:rsidRPr="002B2660" w:rsidRDefault="00675E77" w:rsidP="00675E77">
            <w:pPr>
              <w:pStyle w:val="05Tabletext"/>
            </w:pPr>
            <w:r w:rsidRPr="00DB273B">
              <w:t>Long-term use of fluticasone propionate/ salmeterol fixed-dose combination and incidence of cataracts and glaucoma among chronic obstructive pulmonary disease patients in the UK general practice research database.</w:t>
            </w:r>
          </w:p>
        </w:tc>
        <w:tc>
          <w:tcPr>
            <w:tcW w:w="3402" w:type="dxa"/>
            <w:shd w:val="clear" w:color="auto" w:fill="auto"/>
          </w:tcPr>
          <w:p w:rsidR="00675E77" w:rsidRDefault="00675E77" w:rsidP="00675E77">
            <w:pPr>
              <w:pStyle w:val="05Tabletext"/>
              <w:rPr>
                <w:u w:val="single"/>
              </w:rPr>
            </w:pPr>
            <w:r w:rsidRPr="001817BB">
              <w:rPr>
                <w:u w:val="single"/>
              </w:rPr>
              <w:t>Cataracts</w:t>
            </w:r>
          </w:p>
          <w:p w:rsidR="00675E77" w:rsidRPr="00F61230" w:rsidRDefault="00675E77" w:rsidP="00675E77">
            <w:pPr>
              <w:pStyle w:val="05Tabletext"/>
            </w:pPr>
            <w:r>
              <w:t>Use vs no use in last year:</w:t>
            </w:r>
          </w:p>
          <w:p w:rsidR="00675E77" w:rsidRPr="001817BB" w:rsidRDefault="00675E77" w:rsidP="00675E77">
            <w:pPr>
              <w:pStyle w:val="05Tabletext"/>
              <w:tabs>
                <w:tab w:val="left" w:pos="1984"/>
              </w:tabs>
            </w:pPr>
            <w:r>
              <w:t>OR 1.10 [0.97, 1.24]</w:t>
            </w:r>
            <w:r>
              <w:tab/>
              <w:t>No difference</w:t>
            </w:r>
          </w:p>
          <w:p w:rsidR="00675E77" w:rsidRPr="00CB5C89" w:rsidRDefault="00675E77" w:rsidP="00675E77">
            <w:pPr>
              <w:pStyle w:val="05Tabletext"/>
              <w:rPr>
                <w:u w:val="single"/>
              </w:rPr>
            </w:pPr>
            <w:r w:rsidRPr="00CB5C89">
              <w:rPr>
                <w:u w:val="single"/>
              </w:rPr>
              <w:t>Glaucoma</w:t>
            </w:r>
          </w:p>
          <w:p w:rsidR="00675E77" w:rsidRPr="001817BB" w:rsidRDefault="00675E77" w:rsidP="00675E77">
            <w:pPr>
              <w:pStyle w:val="05Tabletext"/>
              <w:tabs>
                <w:tab w:val="left" w:pos="1984"/>
              </w:tabs>
              <w:rPr>
                <w:u w:val="single"/>
              </w:rPr>
            </w:pPr>
            <w:r>
              <w:t>OR 0.94 [0.64, 1.38]</w:t>
            </w:r>
            <w:r>
              <w:tab/>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Macie (2008)</w:t>
            </w:r>
          </w:p>
        </w:tc>
        <w:tc>
          <w:tcPr>
            <w:tcW w:w="723" w:type="dxa"/>
            <w:shd w:val="clear" w:color="auto" w:fill="auto"/>
          </w:tcPr>
          <w:p w:rsidR="00675E77" w:rsidRPr="002B2660" w:rsidRDefault="00675E77" w:rsidP="00675E77">
            <w:pPr>
              <w:pStyle w:val="05Tabletext"/>
            </w:pPr>
            <w:r w:rsidRPr="002B2660">
              <w:t>Canada</w:t>
            </w:r>
          </w:p>
        </w:tc>
        <w:tc>
          <w:tcPr>
            <w:tcW w:w="4380" w:type="dxa"/>
            <w:shd w:val="clear" w:color="auto" w:fill="auto"/>
          </w:tcPr>
          <w:p w:rsidR="00675E77" w:rsidRPr="002B2660" w:rsidRDefault="00675E77" w:rsidP="00675E77">
            <w:pPr>
              <w:pStyle w:val="05Tabletext"/>
            </w:pPr>
            <w:r w:rsidRPr="00DB273B">
              <w:t>Cardiovascular morbidity and the use of inhaled bronchodilators.</w:t>
            </w:r>
          </w:p>
        </w:tc>
        <w:tc>
          <w:tcPr>
            <w:tcW w:w="3402" w:type="dxa"/>
            <w:shd w:val="clear" w:color="auto" w:fill="auto"/>
          </w:tcPr>
          <w:p w:rsidR="00675E77" w:rsidRDefault="00675E77" w:rsidP="00675E77">
            <w:pPr>
              <w:pStyle w:val="05Tabletext"/>
            </w:pPr>
            <w:r w:rsidRPr="009A2F29">
              <w:rPr>
                <w:u w:val="single"/>
              </w:rPr>
              <w:t>Stroke</w:t>
            </w:r>
          </w:p>
          <w:p w:rsidR="00675E77" w:rsidRPr="002B2660" w:rsidRDefault="00675E77" w:rsidP="00675E77">
            <w:pPr>
              <w:pStyle w:val="05Tabletext"/>
              <w:tabs>
                <w:tab w:val="left" w:pos="1984"/>
              </w:tabs>
            </w:pPr>
            <w:r>
              <w:tab/>
              <w:t>No difference</w:t>
            </w:r>
          </w:p>
        </w:tc>
      </w:tr>
      <w:tr w:rsidR="00675E77" w:rsidRPr="003553F1" w:rsidTr="00675E77">
        <w:trPr>
          <w:cantSplit/>
        </w:trPr>
        <w:tc>
          <w:tcPr>
            <w:tcW w:w="1139" w:type="dxa"/>
            <w:shd w:val="clear" w:color="auto" w:fill="auto"/>
          </w:tcPr>
          <w:p w:rsidR="00675E77" w:rsidRPr="002B2660" w:rsidRDefault="00675E77" w:rsidP="00675E77">
            <w:pPr>
              <w:pStyle w:val="05Tabletext"/>
            </w:pPr>
            <w:r w:rsidRPr="002B2660">
              <w:t>Kiri (2009)</w:t>
            </w:r>
          </w:p>
        </w:tc>
        <w:tc>
          <w:tcPr>
            <w:tcW w:w="723" w:type="dxa"/>
            <w:shd w:val="clear" w:color="auto" w:fill="auto"/>
          </w:tcPr>
          <w:p w:rsidR="00675E77" w:rsidRPr="002B2660" w:rsidRDefault="00675E77" w:rsidP="00675E77">
            <w:pPr>
              <w:pStyle w:val="05Tabletext"/>
            </w:pPr>
            <w:r w:rsidRPr="002B2660">
              <w:t>UK</w:t>
            </w:r>
          </w:p>
        </w:tc>
        <w:tc>
          <w:tcPr>
            <w:tcW w:w="4380" w:type="dxa"/>
            <w:shd w:val="clear" w:color="auto" w:fill="auto"/>
          </w:tcPr>
          <w:p w:rsidR="00675E77" w:rsidRPr="002B2660" w:rsidRDefault="00675E77" w:rsidP="00675E77">
            <w:pPr>
              <w:pStyle w:val="05Tabletext"/>
            </w:pPr>
            <w:r w:rsidRPr="00DB273B">
              <w:t>Inha</w:t>
            </w:r>
            <w:r>
              <w:t>le</w:t>
            </w:r>
            <w:r w:rsidRPr="00DB273B">
              <w:t>d corticosteroids and risk of lung cancer among COPD patients who quit smoking.</w:t>
            </w:r>
          </w:p>
        </w:tc>
        <w:tc>
          <w:tcPr>
            <w:tcW w:w="3402" w:type="dxa"/>
            <w:shd w:val="clear" w:color="auto" w:fill="auto"/>
          </w:tcPr>
          <w:p w:rsidR="00675E77" w:rsidRDefault="00675E77" w:rsidP="00675E77">
            <w:pPr>
              <w:pStyle w:val="05Tabletext"/>
              <w:rPr>
                <w:u w:val="single"/>
              </w:rPr>
            </w:pPr>
            <w:r w:rsidRPr="00CB5C89">
              <w:rPr>
                <w:u w:val="single"/>
              </w:rPr>
              <w:t>Lung cancer</w:t>
            </w:r>
          </w:p>
          <w:p w:rsidR="00675E77" w:rsidRPr="00CB5C89" w:rsidRDefault="00675E77" w:rsidP="00675E77">
            <w:pPr>
              <w:pStyle w:val="05Tabletext"/>
              <w:tabs>
                <w:tab w:val="left" w:pos="1984"/>
              </w:tabs>
            </w:pPr>
            <w:r>
              <w:t xml:space="preserve">HR 0.50 [0.27, </w:t>
            </w:r>
            <w:r w:rsidRPr="00CB5C89">
              <w:t>0.90</w:t>
            </w:r>
            <w:r>
              <w:t>]</w:t>
            </w:r>
            <w:r>
              <w:tab/>
              <w:t>Favours ICS</w:t>
            </w:r>
          </w:p>
        </w:tc>
      </w:tr>
      <w:tr w:rsidR="00675E77" w:rsidRPr="003553F1" w:rsidTr="00675E77">
        <w:trPr>
          <w:cantSplit/>
        </w:trPr>
        <w:tc>
          <w:tcPr>
            <w:tcW w:w="1139" w:type="dxa"/>
            <w:shd w:val="clear" w:color="auto" w:fill="auto"/>
          </w:tcPr>
          <w:p w:rsidR="00675E77" w:rsidRPr="002B2660" w:rsidRDefault="00675E77" w:rsidP="00675E77">
            <w:pPr>
              <w:pStyle w:val="05Tabletext"/>
            </w:pPr>
            <w:proofErr w:type="spellStart"/>
            <w:r w:rsidRPr="002B2660">
              <w:t>Parimon</w:t>
            </w:r>
            <w:proofErr w:type="spellEnd"/>
            <w:r w:rsidRPr="002B2660">
              <w:t xml:space="preserve"> (2007)</w:t>
            </w:r>
          </w:p>
        </w:tc>
        <w:tc>
          <w:tcPr>
            <w:tcW w:w="723" w:type="dxa"/>
            <w:shd w:val="clear" w:color="auto" w:fill="auto"/>
          </w:tcPr>
          <w:p w:rsidR="00675E77" w:rsidRPr="002B2660" w:rsidRDefault="00675E77" w:rsidP="00675E77">
            <w:pPr>
              <w:pStyle w:val="05Tabletext"/>
            </w:pPr>
            <w:r w:rsidRPr="002B2660">
              <w:t>US</w:t>
            </w:r>
          </w:p>
        </w:tc>
        <w:tc>
          <w:tcPr>
            <w:tcW w:w="4380" w:type="dxa"/>
            <w:shd w:val="clear" w:color="auto" w:fill="auto"/>
          </w:tcPr>
          <w:p w:rsidR="00675E77" w:rsidRPr="002B2660" w:rsidRDefault="00675E77" w:rsidP="00675E77">
            <w:pPr>
              <w:pStyle w:val="05Tabletext"/>
            </w:pPr>
            <w:r w:rsidRPr="00DB273B">
              <w:t>Inhaled corticosteroids and risk of lung cancer among patients with chronic obstructive pulmonary disease.</w:t>
            </w:r>
          </w:p>
        </w:tc>
        <w:tc>
          <w:tcPr>
            <w:tcW w:w="3402" w:type="dxa"/>
            <w:shd w:val="clear" w:color="auto" w:fill="auto"/>
          </w:tcPr>
          <w:p w:rsidR="00675E77" w:rsidRDefault="00675E77" w:rsidP="00675E77">
            <w:pPr>
              <w:pStyle w:val="05Tabletext"/>
              <w:rPr>
                <w:u w:val="single"/>
              </w:rPr>
            </w:pPr>
            <w:r w:rsidRPr="00CB5C89">
              <w:rPr>
                <w:u w:val="single"/>
              </w:rPr>
              <w:t>Lung cancer</w:t>
            </w:r>
          </w:p>
          <w:p w:rsidR="00675E77" w:rsidRDefault="00675E77" w:rsidP="00675E77">
            <w:pPr>
              <w:pStyle w:val="05Tabletext"/>
            </w:pPr>
            <w:r>
              <w:t xml:space="preserve">High dose: </w:t>
            </w:r>
          </w:p>
          <w:p w:rsidR="00675E77" w:rsidRDefault="00675E77" w:rsidP="00675E77">
            <w:pPr>
              <w:pStyle w:val="05Tabletext"/>
              <w:tabs>
                <w:tab w:val="left" w:pos="1984"/>
              </w:tabs>
            </w:pPr>
            <w:r>
              <w:t xml:space="preserve">HR 0.39 [0.16, </w:t>
            </w:r>
            <w:r w:rsidRPr="008D46FD">
              <w:t>0.96</w:t>
            </w:r>
            <w:r>
              <w:t>]</w:t>
            </w:r>
            <w:r>
              <w:tab/>
              <w:t>Favours ICS</w:t>
            </w:r>
          </w:p>
          <w:p w:rsidR="00675E77" w:rsidRDefault="00675E77" w:rsidP="00675E77">
            <w:pPr>
              <w:pStyle w:val="05Tabletext"/>
            </w:pPr>
            <w:r>
              <w:t xml:space="preserve">Low dose: </w:t>
            </w:r>
          </w:p>
          <w:p w:rsidR="00675E77" w:rsidRPr="00CB5C89" w:rsidRDefault="00675E77" w:rsidP="00675E77">
            <w:pPr>
              <w:pStyle w:val="05Tabletext"/>
              <w:tabs>
                <w:tab w:val="left" w:pos="1984"/>
              </w:tabs>
            </w:pPr>
            <w:r>
              <w:t>HR 1.3 [</w:t>
            </w:r>
            <w:r w:rsidRPr="00CB5C89">
              <w:t>0.67</w:t>
            </w:r>
            <w:r>
              <w:t xml:space="preserve">, </w:t>
            </w:r>
            <w:r w:rsidRPr="00CB5C89">
              <w:t>1.90</w:t>
            </w:r>
            <w:r>
              <w:t>]</w:t>
            </w:r>
            <w:r>
              <w:tab/>
              <w:t>No difference</w:t>
            </w:r>
          </w:p>
        </w:tc>
      </w:tr>
    </w:tbl>
    <w:p w:rsidR="00675E77" w:rsidRDefault="00675E77" w:rsidP="00675E77">
      <w:pPr>
        <w:pStyle w:val="11TableorFigurefootnotenostick"/>
      </w:pPr>
      <w:r>
        <w:t xml:space="preserve">Abbreviations: AE, adverse event; BUD, budesonide; CI, confidence interval; COPD, chronic obstructive pulmonary disease; EFO, </w:t>
      </w:r>
      <w:proofErr w:type="spellStart"/>
      <w:r>
        <w:t>eformoterol</w:t>
      </w:r>
      <w:proofErr w:type="spellEnd"/>
      <w:r>
        <w:t xml:space="preserve">; FLU, fluticasone; HR, hazard ratio; ICS, inhaled corticosteroids; LABD, long-acting inhaled </w:t>
      </w:r>
      <w:proofErr w:type="spellStart"/>
      <w:r>
        <w:t>brochodilators</w:t>
      </w:r>
      <w:proofErr w:type="spellEnd"/>
      <w:r>
        <w:t>; OR, odds ratio; SAL, salmeterol; vs, versus.</w:t>
      </w:r>
    </w:p>
    <w:p w:rsidR="00675E77" w:rsidRDefault="00675E77" w:rsidP="00675E77">
      <w:pPr>
        <w:pStyle w:val="BodyText"/>
      </w:pPr>
      <w:r>
        <w:t>Seven studies in North America, Europe, Japan and the US reported all-cause mortality as a main outcome, three in COPD patients admitted to hospital for pneumonia (Yamauchi</w:t>
      </w:r>
      <w:r w:rsidR="006F6725">
        <w:t xml:space="preserve"> et al</w:t>
      </w:r>
      <w:r>
        <w:t xml:space="preserve">, </w:t>
      </w:r>
      <w:r w:rsidRPr="002B2660">
        <w:t>2016</w:t>
      </w:r>
      <w:r>
        <w:t xml:space="preserve">; Chen </w:t>
      </w:r>
      <w:r w:rsidR="006F6725">
        <w:t xml:space="preserve">et al, </w:t>
      </w:r>
      <w:r>
        <w:t xml:space="preserve">2011; </w:t>
      </w:r>
      <w:proofErr w:type="spellStart"/>
      <w:r w:rsidRPr="00EE4BFA">
        <w:t>Malo</w:t>
      </w:r>
      <w:proofErr w:type="spellEnd"/>
      <w:r>
        <w:t xml:space="preserve"> De Molina</w:t>
      </w:r>
      <w:r w:rsidR="006F6725">
        <w:t xml:space="preserve"> et al</w:t>
      </w:r>
      <w:r>
        <w:t xml:space="preserve">, </w:t>
      </w:r>
      <w:r w:rsidRPr="00EE4BFA">
        <w:t>2010</w:t>
      </w:r>
      <w:r w:rsidRPr="002B2660">
        <w:t>)</w:t>
      </w:r>
      <w:r>
        <w:t>, and four for all-cause mortality in the COPD population (Di Martino</w:t>
      </w:r>
      <w:r w:rsidR="006F6725">
        <w:t xml:space="preserve"> et al</w:t>
      </w:r>
      <w:r>
        <w:t xml:space="preserve">, </w:t>
      </w:r>
      <w:r w:rsidRPr="002B2660">
        <w:t>2016</w:t>
      </w:r>
      <w:r>
        <w:t xml:space="preserve">; </w:t>
      </w:r>
      <w:proofErr w:type="spellStart"/>
      <w:r>
        <w:t>Gershon</w:t>
      </w:r>
      <w:proofErr w:type="spellEnd"/>
      <w:r w:rsidR="006F6725">
        <w:t xml:space="preserve"> et al</w:t>
      </w:r>
      <w:r>
        <w:t>, 2014; Cyr</w:t>
      </w:r>
      <w:r w:rsidR="006F6725">
        <w:t xml:space="preserve"> et al</w:t>
      </w:r>
      <w:r>
        <w:t xml:space="preserve">, 2010; </w:t>
      </w:r>
      <w:proofErr w:type="spellStart"/>
      <w:r>
        <w:t>Mapel</w:t>
      </w:r>
      <w:proofErr w:type="spellEnd"/>
      <w:r w:rsidR="006F6725">
        <w:t xml:space="preserve"> et al</w:t>
      </w:r>
      <w:r>
        <w:t>, 2007</w:t>
      </w:r>
      <w:r w:rsidRPr="002B2660">
        <w:t>)</w:t>
      </w:r>
      <w:r>
        <w:t>. Each of these studies reported significantly less mortality with ICS use (</w:t>
      </w:r>
      <w:r w:rsidR="00356377">
        <w:t xml:space="preserve">Table </w:t>
      </w:r>
      <w:r w:rsidR="00356377">
        <w:rPr>
          <w:noProof/>
        </w:rPr>
        <w:t>4</w:t>
      </w:r>
      <w:r w:rsidR="00356377">
        <w:t>.</w:t>
      </w:r>
      <w:r w:rsidR="00356377">
        <w:rPr>
          <w:noProof/>
        </w:rPr>
        <w:t>15</w:t>
      </w:r>
      <w:r>
        <w:t>). Such gains have widely been noted as an important consideration when balancing the risks and benefits of therapy.</w:t>
      </w:r>
    </w:p>
    <w:p w:rsidR="00675E77" w:rsidRDefault="00675E77" w:rsidP="00675E77">
      <w:pPr>
        <w:pStyle w:val="BodyText"/>
      </w:pPr>
      <w:r>
        <w:t>Three studies investigated fracture; two in the UK and one in Italy. The Italian study was restricted to vertebral fractures, and found an association with the highest ICS dose (</w:t>
      </w:r>
      <w:proofErr w:type="spellStart"/>
      <w:r>
        <w:t>Gonnelli</w:t>
      </w:r>
      <w:proofErr w:type="spellEnd"/>
      <w:r w:rsidR="006F6725">
        <w:t xml:space="preserve"> et al</w:t>
      </w:r>
      <w:r>
        <w:t xml:space="preserve">, 2010). Similarly, </w:t>
      </w:r>
      <w:proofErr w:type="spellStart"/>
      <w:r w:rsidRPr="009A2F29">
        <w:t>Pujades</w:t>
      </w:r>
      <w:proofErr w:type="spellEnd"/>
      <w:r w:rsidRPr="009A2F29">
        <w:t>-Rodriguez (2007)</w:t>
      </w:r>
      <w:r>
        <w:t xml:space="preserve"> found an increased risk of any fracture with the highest dose of ICS, but the lower bound of the confidence interval reached unity when the results were adjusted for factors including oral corticosteroid use. The third study found no effect of ICS use on non-vertebral fractures. The evidence for fracture is therefore inconsistent.</w:t>
      </w:r>
    </w:p>
    <w:p w:rsidR="00675E77" w:rsidRDefault="00675E77" w:rsidP="00675E77">
      <w:pPr>
        <w:pStyle w:val="BodyText"/>
      </w:pPr>
      <w:r>
        <w:t>Two studies reported evidence of protection from lung</w:t>
      </w:r>
      <w:r w:rsidR="006F6725">
        <w:t xml:space="preserve"> cancer with ICS use; Kiri</w:t>
      </w:r>
      <w:r>
        <w:t xml:space="preserve"> (2009) in COPD patients who had quit smoking, and </w:t>
      </w:r>
      <w:proofErr w:type="spellStart"/>
      <w:r>
        <w:t>Parimon</w:t>
      </w:r>
      <w:proofErr w:type="spellEnd"/>
      <w:r>
        <w:t xml:space="preserve"> (2007) in a broader COPD population (after correcting for smoking status). Three further studies found no association between ICS use and tuberculosis (Lee</w:t>
      </w:r>
      <w:r w:rsidR="006F6725">
        <w:t xml:space="preserve"> et al</w:t>
      </w:r>
      <w:r>
        <w:t>, 2013b), stroke (Macie</w:t>
      </w:r>
      <w:r w:rsidR="006F6725">
        <w:t xml:space="preserve"> et al</w:t>
      </w:r>
      <w:r>
        <w:t>, 2008), and glaucoma or cataracts (Miller</w:t>
      </w:r>
      <w:r w:rsidR="006F6725">
        <w:t xml:space="preserve"> et al</w:t>
      </w:r>
      <w:r>
        <w:t>, 2011). However, this latter finding is in contrast to Flynn (2014), which reports ICS use was associated with a significant increase in cataract-related hospital admissions (</w:t>
      </w:r>
      <w:r w:rsidRPr="003452DB">
        <w:t>HR 1.42 [1.07, 1.88]</w:t>
      </w:r>
      <w:r>
        <w:t>).</w:t>
      </w:r>
    </w:p>
    <w:p w:rsidR="00675E77" w:rsidRDefault="00675E77" w:rsidP="00D92F94">
      <w:pPr>
        <w:pStyle w:val="Heading3"/>
      </w:pPr>
      <w:bookmarkStart w:id="198" w:name="_Toc468022810"/>
      <w:bookmarkStart w:id="199" w:name="_Toc482191520"/>
      <w:bookmarkStart w:id="200" w:name="_Toc486515187"/>
      <w:r>
        <w:t>Regulatory agency reports – ICS safety</w:t>
      </w:r>
      <w:bookmarkEnd w:id="198"/>
      <w:bookmarkEnd w:id="199"/>
      <w:bookmarkEnd w:id="200"/>
    </w:p>
    <w:p w:rsidR="00675E77" w:rsidRDefault="00675E77" w:rsidP="00675E77">
      <w:pPr>
        <w:pStyle w:val="BodyText"/>
      </w:pPr>
      <w:r>
        <w:t>A search of the websites for the regulatory agencies (TGA, FDA and EMA) identified one relevant report from the EMA.</w:t>
      </w:r>
    </w:p>
    <w:p w:rsidR="00675E77" w:rsidRDefault="00675E77" w:rsidP="00675E77">
      <w:pPr>
        <w:pStyle w:val="Heading4"/>
      </w:pPr>
      <w:r>
        <w:lastRenderedPageBreak/>
        <w:t xml:space="preserve">European Medicines Agency Assessment Report – EMA 2016 </w:t>
      </w:r>
    </w:p>
    <w:p w:rsidR="00675E77" w:rsidRDefault="00675E77" w:rsidP="00675E77">
      <w:pPr>
        <w:pStyle w:val="BodyText"/>
      </w:pPr>
      <w:r>
        <w:t xml:space="preserve">The ICS products authorised in the European Union for COPD include those registered in Australia for COPD – </w:t>
      </w:r>
      <w:r w:rsidRPr="00155A27">
        <w:t>fluticasone p</w:t>
      </w:r>
      <w:r>
        <w:t xml:space="preserve">ropionate, fluticasone </w:t>
      </w:r>
      <w:proofErr w:type="spellStart"/>
      <w:r>
        <w:t>furoate</w:t>
      </w:r>
      <w:proofErr w:type="spellEnd"/>
      <w:r>
        <w:t xml:space="preserve"> and </w:t>
      </w:r>
      <w:r w:rsidRPr="00155A27">
        <w:t xml:space="preserve">budesonide </w:t>
      </w:r>
      <w:r>
        <w:t>– and also beclomethasone</w:t>
      </w:r>
      <w:r w:rsidRPr="00155A27">
        <w:t xml:space="preserve"> and </w:t>
      </w:r>
      <w:proofErr w:type="spellStart"/>
      <w:r w:rsidRPr="00155A27">
        <w:t>flunisolide</w:t>
      </w:r>
      <w:proofErr w:type="spellEnd"/>
      <w:r>
        <w:t xml:space="preserve">. The three-year TORCH trial using </w:t>
      </w:r>
      <w:r w:rsidRPr="00155A27">
        <w:t>fluticasone p</w:t>
      </w:r>
      <w:r>
        <w:t xml:space="preserve">ropionate first revealed the increased risk of pneumonia, later supported by pharmacovigilance data. As a consequence, in April 2015 the European Commission requested the </w:t>
      </w:r>
      <w:r w:rsidRPr="004733E0">
        <w:t>Pharmacovigilance Risk Assessment Committee (PRAC)</w:t>
      </w:r>
      <w:r>
        <w:t xml:space="preserve"> of the EMA to “</w:t>
      </w:r>
      <w:r w:rsidRPr="004733E0">
        <w:t>assess the impact of the above concerns on the benefit-risk balance of ICS containing medicinal products indicated in the treatment of COPD and to issue a recommendation on whether the relevant marketing authorisations should be maintained, varied, suspended or revoked</w:t>
      </w:r>
      <w:r>
        <w:t xml:space="preserve">”. </w:t>
      </w:r>
      <w:r w:rsidRPr="000A6CAF">
        <w:t xml:space="preserve">Marketing authorisation holders were asked </w:t>
      </w:r>
      <w:r>
        <w:t>“</w:t>
      </w:r>
      <w:r w:rsidRPr="000A6CAF">
        <w:t>to provide all available data on the risk of pneumonia with their ICS-containing products in COPD patients and to comment on the impact thereof on the benefit-risk balance of their products</w:t>
      </w:r>
      <w:r>
        <w:t>”.</w:t>
      </w:r>
    </w:p>
    <w:p w:rsidR="00675E77" w:rsidRDefault="00675E77" w:rsidP="00675E77">
      <w:pPr>
        <w:pStyle w:val="BodyText"/>
      </w:pPr>
      <w:r>
        <w:t xml:space="preserve">The resulting assessment report, </w:t>
      </w:r>
      <w:r w:rsidRPr="00B54439">
        <w:rPr>
          <w:i/>
        </w:rPr>
        <w:t>‘Inhaled corticosteroids (ICS) containing medicinal products indicated in the treatment of chronic obstructive pulmonary disease (COPD)’</w:t>
      </w:r>
      <w:r>
        <w:t>, was released in March 2016.</w:t>
      </w:r>
    </w:p>
    <w:p w:rsidR="00675E77" w:rsidRDefault="00675E77" w:rsidP="00675E77">
      <w:pPr>
        <w:pStyle w:val="Heading5"/>
      </w:pPr>
      <w:r>
        <w:t>Meta-analyses</w:t>
      </w:r>
    </w:p>
    <w:p w:rsidR="00675E77" w:rsidRDefault="00675E77" w:rsidP="00675E77">
      <w:pPr>
        <w:pStyle w:val="BodyTextnospacebefore"/>
      </w:pPr>
      <w:proofErr w:type="gramStart"/>
      <w:r>
        <w:t>A selection of meta-analyses were</w:t>
      </w:r>
      <w:proofErr w:type="gramEnd"/>
      <w:r>
        <w:t xml:space="preserve"> presented in the PRAC review. The PRAC commented that the many meta-analyses performed since the publication of the TORCH study have all found an association between ICS use in COPD patients and an increased risk of pneumonia, and that the TORCH study tends to dominate these analyses. The Cochrane review by Kew and </w:t>
      </w:r>
      <w:proofErr w:type="spellStart"/>
      <w:r w:rsidRPr="00155A27">
        <w:t>Seniukovich</w:t>
      </w:r>
      <w:proofErr w:type="spellEnd"/>
      <w:r>
        <w:t xml:space="preserve"> (2012) was identified as the ‘most important’ of the Cochrane meta-analyses for the purpose of the</w:t>
      </w:r>
      <w:r w:rsidR="003B7B67">
        <w:t xml:space="preserve"> PRAC</w:t>
      </w:r>
      <w:r>
        <w:t xml:space="preserve"> assessment, and the</w:t>
      </w:r>
      <w:r w:rsidR="003B7B67">
        <w:t xml:space="preserve"> committee</w:t>
      </w:r>
      <w:r>
        <w:t xml:space="preserve"> noted this Cochrane review found an overall increased risk of pneumonia of 40% to 70% in ICS-treated COPD patients.</w:t>
      </w:r>
    </w:p>
    <w:p w:rsidR="00675E77" w:rsidRPr="00350AA1" w:rsidRDefault="00675E77" w:rsidP="00675E77">
      <w:pPr>
        <w:pStyle w:val="Heading5"/>
      </w:pPr>
      <w:r>
        <w:t>Observational studies</w:t>
      </w:r>
    </w:p>
    <w:p w:rsidR="00675E77" w:rsidRDefault="00675E77" w:rsidP="00675E77">
      <w:pPr>
        <w:pStyle w:val="BodyTextnospacebefore"/>
      </w:pPr>
      <w:r>
        <w:t>A selection of observational studies was also presented, which the reviewers noted were largely in agreement with the RCT findings. They mentioned three studies that did not find a significant risk increase (</w:t>
      </w:r>
      <w:proofErr w:type="spellStart"/>
      <w:r>
        <w:t>Mapel</w:t>
      </w:r>
      <w:proofErr w:type="spellEnd"/>
      <w:r>
        <w:t xml:space="preserve">, 2010; </w:t>
      </w:r>
      <w:proofErr w:type="spellStart"/>
      <w:r>
        <w:t>Festic</w:t>
      </w:r>
      <w:proofErr w:type="spellEnd"/>
      <w:r>
        <w:t xml:space="preserve"> 2014; </w:t>
      </w:r>
      <w:proofErr w:type="spellStart"/>
      <w:r>
        <w:t>Gershon</w:t>
      </w:r>
      <w:proofErr w:type="spellEnd"/>
      <w:r>
        <w:t xml:space="preserve">, 2014), and one with conflicting results within the study (Lee 2013a; the results extracted from this study in the EMA (2016) report are for any patients taking respiratory medications – results for the COPD subgroup are shown in </w:t>
      </w:r>
      <w:r w:rsidR="00356377">
        <w:t xml:space="preserve">Table </w:t>
      </w:r>
      <w:r w:rsidR="00356377">
        <w:rPr>
          <w:noProof/>
        </w:rPr>
        <w:t>4</w:t>
      </w:r>
      <w:r w:rsidR="00356377">
        <w:t>.</w:t>
      </w:r>
      <w:r w:rsidR="00356377">
        <w:rPr>
          <w:noProof/>
        </w:rPr>
        <w:t>16</w:t>
      </w:r>
      <w:r>
        <w:t xml:space="preserve"> – also see discussion of this study in Section </w:t>
      </w:r>
      <w:r w:rsidR="00356377">
        <w:t>4.4.2</w:t>
      </w:r>
      <w:r>
        <w:t xml:space="preserve">). </w:t>
      </w:r>
    </w:p>
    <w:p w:rsidR="00675E77" w:rsidRDefault="00675E77" w:rsidP="00675E77">
      <w:pPr>
        <w:pStyle w:val="BodyText"/>
      </w:pPr>
      <w:r>
        <w:t xml:space="preserve">The PRAC considered that as three of these studies investigated </w:t>
      </w:r>
      <w:r w:rsidRPr="00B13AA9">
        <w:t xml:space="preserve">pneumonia hospitalisations </w:t>
      </w:r>
      <w:r>
        <w:t xml:space="preserve">and not ‘any pneumonia’, an effect may have been evident had cases of less severe pneumonia been captured. Variations in study methodology were also commented upon, including study type, cohort size, patient selection and the degree of adjustment for confounders such as disease severity. The PRAC concluded that the majority of the observational studies estimated an increase in the risk of pneumonia in patients treated with ICS of </w:t>
      </w:r>
      <w:proofErr w:type="gramStart"/>
      <w:r>
        <w:t>between 40% to 70%</w:t>
      </w:r>
      <w:proofErr w:type="gramEnd"/>
      <w:r>
        <w:t xml:space="preserve">. </w:t>
      </w:r>
    </w:p>
    <w:p w:rsidR="00675E77" w:rsidRDefault="00675E77" w:rsidP="00675E77">
      <w:pPr>
        <w:pStyle w:val="Heading5"/>
      </w:pPr>
      <w:r>
        <w:t>Intra-class comparisons</w:t>
      </w:r>
    </w:p>
    <w:p w:rsidR="00675E77" w:rsidRDefault="00675E77" w:rsidP="00675E77">
      <w:pPr>
        <w:pStyle w:val="BodyTextnospacebefore"/>
      </w:pPr>
      <w:r>
        <w:t xml:space="preserve">The PRAC commented on the conflicting findings across both the systematic reviews and observational studies regarding the comparative safety of fluticasone and budesonide, with some finding an increased risk with fluticasone and others finding no difference. They discuss </w:t>
      </w:r>
      <w:r>
        <w:lastRenderedPageBreak/>
        <w:t>the challenge of interpreting studies of such diverse methodologies (especially the observational studies).</w:t>
      </w:r>
    </w:p>
    <w:p w:rsidR="00675E77" w:rsidRDefault="00675E77" w:rsidP="00675E77">
      <w:pPr>
        <w:pStyle w:val="BodyText"/>
      </w:pPr>
      <w:r>
        <w:t xml:space="preserve">The reviewers commented on the indirect comparison of fluticasone and budesonide monotherapy by Kew and </w:t>
      </w:r>
      <w:proofErr w:type="spellStart"/>
      <w:r w:rsidRPr="008D697E">
        <w:t>Seniukovich</w:t>
      </w:r>
      <w:proofErr w:type="spellEnd"/>
      <w:r>
        <w:t xml:space="preserve"> (2014), which, as reported earlier, found an increased risk for fluticasone (OR 1.86 [</w:t>
      </w:r>
      <w:r w:rsidRPr="008D697E">
        <w:t>95% CI</w:t>
      </w:r>
      <w:r>
        <w:t>: 1.04,</w:t>
      </w:r>
      <w:r w:rsidRPr="008D697E">
        <w:t xml:space="preserve"> 3.34</w:t>
      </w:r>
      <w:r>
        <w:t xml:space="preserve">]) that was lost when the TORCH trial was removed in sensitivity analyses. </w:t>
      </w:r>
    </w:p>
    <w:p w:rsidR="00675E77" w:rsidRDefault="00675E77" w:rsidP="00675E77">
      <w:pPr>
        <w:pStyle w:val="BodyText"/>
      </w:pPr>
      <w:r>
        <w:t>The TORCH trial was considered to have skewed the data as a result of the much higher rates of pneumonia (due to the longer duration of three years) and the larger number of subjects compared to most other studies, especially with the lack of a similar study for budesonide.</w:t>
      </w:r>
    </w:p>
    <w:p w:rsidR="00675E77" w:rsidRDefault="00675E77" w:rsidP="00675E77">
      <w:pPr>
        <w:pStyle w:val="BodyText"/>
        <w:keepNext/>
      </w:pPr>
      <w:r>
        <w:t xml:space="preserve">The PRAC also discussed a meta-analysis provided by a </w:t>
      </w:r>
      <w:r w:rsidRPr="00707096">
        <w:t xml:space="preserve">marketing </w:t>
      </w:r>
      <w:r>
        <w:t xml:space="preserve">authorisation holder, which combined 11 budesonide trials showing no increased pneumonia SAE risk compared to control. However, no measure of heterogeneity was presented, and subgroup analysis identified statistically significant pneumonia SAE increase for studies over 12 months duration, studies comparing the 640 </w:t>
      </w:r>
      <w:proofErr w:type="spellStart"/>
      <w:r>
        <w:t>μg</w:t>
      </w:r>
      <w:proofErr w:type="spellEnd"/>
      <w:r>
        <w:t xml:space="preserve"> dose with placebo, and in patients less than 55 years of age.</w:t>
      </w:r>
    </w:p>
    <w:p w:rsidR="00675E77" w:rsidRDefault="00675E77" w:rsidP="00675E77">
      <w:pPr>
        <w:pStyle w:val="BodyText"/>
        <w:keepNext/>
      </w:pPr>
      <w:r>
        <w:t xml:space="preserve">The PRAC concluded that there is “no </w:t>
      </w:r>
      <w:r w:rsidRPr="00DD170B">
        <w:t>conclusive clinical evidence for intra-class differences in the magnitude of the risk among inhaled corticosteroid products</w:t>
      </w:r>
      <w:r>
        <w:t>”.</w:t>
      </w:r>
    </w:p>
    <w:p w:rsidR="00675E77" w:rsidRDefault="00675E77" w:rsidP="00675E77">
      <w:pPr>
        <w:pStyle w:val="Heading5"/>
      </w:pPr>
      <w:r>
        <w:t>Dose</w:t>
      </w:r>
      <w:r w:rsidR="00EA0FF5">
        <w:t>-</w:t>
      </w:r>
      <w:r>
        <w:t>response effect</w:t>
      </w:r>
    </w:p>
    <w:p w:rsidR="00675E77" w:rsidRDefault="00675E77" w:rsidP="00675E77">
      <w:pPr>
        <w:pStyle w:val="BodyTextnospacebefore"/>
      </w:pPr>
      <w:r>
        <w:t>The PRAC discussed the findings of a number of meta-analyses and observational studies that investigated a possible dose</w:t>
      </w:r>
      <w:r w:rsidR="00EA0FF5">
        <w:t>-</w:t>
      </w:r>
      <w:r>
        <w:t>response effect, noting that while there is some evidence for a dose</w:t>
      </w:r>
      <w:r w:rsidR="00EA0FF5">
        <w:t>-</w:t>
      </w:r>
      <w:r>
        <w:t>response, the evidence is not consistent. General limitations were mentioned that need to be considered when interpreting these studies and generalising to ICS-using COPD patients:</w:t>
      </w:r>
    </w:p>
    <w:p w:rsidR="00675E77" w:rsidRDefault="00675E77" w:rsidP="00675E77">
      <w:pPr>
        <w:pStyle w:val="Bullettext"/>
      </w:pPr>
      <w:r>
        <w:t>residual confounding;</w:t>
      </w:r>
    </w:p>
    <w:p w:rsidR="00675E77" w:rsidRDefault="00675E77" w:rsidP="00675E77">
      <w:pPr>
        <w:pStyle w:val="Bullettext"/>
      </w:pPr>
      <w:r>
        <w:t>reliance on retrospective data;</w:t>
      </w:r>
    </w:p>
    <w:p w:rsidR="00675E77" w:rsidRDefault="00675E77" w:rsidP="00675E77">
      <w:pPr>
        <w:pStyle w:val="Bullettext"/>
      </w:pPr>
      <w:r w:rsidRPr="005C756B">
        <w:t xml:space="preserve">early departure of the </w:t>
      </w:r>
      <w:r>
        <w:t>subject from the database;</w:t>
      </w:r>
    </w:p>
    <w:p w:rsidR="00675E77" w:rsidRDefault="00675E77" w:rsidP="00675E77">
      <w:pPr>
        <w:pStyle w:val="Bullettext"/>
      </w:pPr>
      <w:r w:rsidRPr="005C756B">
        <w:t>lack of information ab</w:t>
      </w:r>
      <w:r>
        <w:t>out indication of prescription;</w:t>
      </w:r>
    </w:p>
    <w:p w:rsidR="00675E77" w:rsidRDefault="00675E77" w:rsidP="00675E77">
      <w:pPr>
        <w:pStyle w:val="Bullettext"/>
      </w:pPr>
      <w:r>
        <w:t>the absence of randomisation;</w:t>
      </w:r>
    </w:p>
    <w:p w:rsidR="00675E77" w:rsidRDefault="00675E77" w:rsidP="00675E77">
      <w:pPr>
        <w:pStyle w:val="Bullettext"/>
      </w:pPr>
      <w:r w:rsidRPr="005C756B">
        <w:t>difficulties in stratifying by severity of COPD disease from availa</w:t>
      </w:r>
      <w:r>
        <w:t>ble information on the database;</w:t>
      </w:r>
    </w:p>
    <w:p w:rsidR="00675E77" w:rsidRDefault="00675E77" w:rsidP="00675E77">
      <w:pPr>
        <w:pStyle w:val="Bullettext"/>
      </w:pPr>
      <w:r w:rsidRPr="005C756B">
        <w:t>reliance on information from dispensed prescriptions with no information on whether the medications were taken or absorbed as prescribed</w:t>
      </w:r>
      <w:r>
        <w:t>;</w:t>
      </w:r>
    </w:p>
    <w:p w:rsidR="00675E77" w:rsidRDefault="00675E77" w:rsidP="00675E77">
      <w:pPr>
        <w:pStyle w:val="Bullettext"/>
      </w:pPr>
      <w:r w:rsidRPr="00C87513">
        <w:t>no definitions of pneumonia were used in these studies, and mostly relied</w:t>
      </w:r>
      <w:r>
        <w:t xml:space="preserve"> on information from clinicians; and</w:t>
      </w:r>
    </w:p>
    <w:p w:rsidR="00675E77" w:rsidRDefault="00675E77" w:rsidP="00675E77">
      <w:pPr>
        <w:pStyle w:val="Bullettext"/>
      </w:pPr>
      <w:proofErr w:type="gramStart"/>
      <w:r>
        <w:t>some</w:t>
      </w:r>
      <w:proofErr w:type="gramEnd"/>
      <w:r>
        <w:t xml:space="preserve"> studies considered a ‘high’</w:t>
      </w:r>
      <w:r w:rsidRPr="00C87513">
        <w:t xml:space="preserve"> do</w:t>
      </w:r>
      <w:r>
        <w:t>se of fluticasone to exceed the daily dose</w:t>
      </w:r>
      <w:r w:rsidRPr="00C87513">
        <w:t xml:space="preserve"> threshold</w:t>
      </w:r>
      <w:r>
        <w:t xml:space="preserve"> (they noted </w:t>
      </w:r>
      <w:r w:rsidRPr="00C87513">
        <w:t>the extent of usage of a higher than recommended dose of ICS in</w:t>
      </w:r>
      <w:r>
        <w:t xml:space="preserve"> clinical practice is not known).</w:t>
      </w:r>
    </w:p>
    <w:p w:rsidR="00675E77" w:rsidRPr="005C756B" w:rsidRDefault="00675E77" w:rsidP="00675E77">
      <w:pPr>
        <w:pStyle w:val="BodyText"/>
      </w:pPr>
      <w:r>
        <w:t>They concluded that “w</w:t>
      </w:r>
      <w:r w:rsidRPr="00B86108">
        <w:t>hile the concept of a dose-response for pneumonia risk has biological plausibility and there is some supportive clinical evidence, this has not been demonstrated conclusively across all studies</w:t>
      </w:r>
      <w:r>
        <w:t>”.</w:t>
      </w:r>
    </w:p>
    <w:p w:rsidR="00675E77" w:rsidRDefault="00675E77" w:rsidP="00675E77">
      <w:pPr>
        <w:pStyle w:val="Heading5"/>
      </w:pPr>
      <w:r>
        <w:lastRenderedPageBreak/>
        <w:t>Concomitant medications</w:t>
      </w:r>
    </w:p>
    <w:p w:rsidR="00675E77" w:rsidRDefault="00675E77" w:rsidP="00675E77">
      <w:pPr>
        <w:pStyle w:val="BodyTextnospacebefore"/>
      </w:pPr>
      <w:r>
        <w:t xml:space="preserve">Although the range of ICS-concomitant medications for COPD patients extends across different therapeutic classes (LABAs, LAMAs, </w:t>
      </w:r>
      <w:proofErr w:type="spellStart"/>
      <w:r>
        <w:t>aminophyllines</w:t>
      </w:r>
      <w:proofErr w:type="spellEnd"/>
      <w:r>
        <w:t xml:space="preserve"> and oral corticosteroids), the products assessed in the EMA (2016) report were considered by the PRAC to be commonly administered with LABA, either separately or as a fixed</w:t>
      </w:r>
      <w:r w:rsidR="004B2947">
        <w:t>-</w:t>
      </w:r>
      <w:r>
        <w:t xml:space="preserve">dose combination. It was noted that not many studies have investigated </w:t>
      </w:r>
      <w:r w:rsidRPr="00B86108">
        <w:t>the potential effects of other classes of medication prescribed for a COPD indication</w:t>
      </w:r>
    </w:p>
    <w:p w:rsidR="00675E77" w:rsidRPr="00350AA1" w:rsidRDefault="00675E77" w:rsidP="00675E77">
      <w:pPr>
        <w:pStyle w:val="Heading5"/>
      </w:pPr>
      <w:r>
        <w:t>Overall conclusions</w:t>
      </w:r>
    </w:p>
    <w:p w:rsidR="00675E77" w:rsidRDefault="00675E77" w:rsidP="00675E77">
      <w:pPr>
        <w:pStyle w:val="BodyTextnospacebefore"/>
      </w:pPr>
      <w:r>
        <w:t>The PRAC made the following observations regarding the body of evidence for the risk of pneumonia from ICS. Despite the range of limitations, including the lack of a consistent pneumonia definition in most studies (especially prior to TORCH) and studies not powered to detect pneumonia, “</w:t>
      </w:r>
      <w:r w:rsidRPr="00243CF6">
        <w:t>a consistent association between ICS use and increased risk of pneumonia in COPD patients was seen across the meta-analyses</w:t>
      </w:r>
      <w:r>
        <w:t>”</w:t>
      </w:r>
      <w:r w:rsidRPr="00243CF6">
        <w:t>.</w:t>
      </w:r>
      <w:r>
        <w:t xml:space="preserve"> The PRAC also considered that the </w:t>
      </w:r>
      <w:r w:rsidRPr="00243CF6">
        <w:t xml:space="preserve">overall evidence from observational studies </w:t>
      </w:r>
      <w:r>
        <w:t>“</w:t>
      </w:r>
      <w:r w:rsidRPr="00243CF6">
        <w:t>was in agreement with the randomised clinical trials (RCT) findings and it was therefore considered that the evidence continues to support the conclusion that treatment with ICS increases the risk of pneumonia in COPD patients</w:t>
      </w:r>
      <w:r>
        <w:t>”</w:t>
      </w:r>
      <w:r w:rsidRPr="00243CF6">
        <w:t>.</w:t>
      </w:r>
    </w:p>
    <w:p w:rsidR="00675E77" w:rsidRDefault="00675E77" w:rsidP="00675E77">
      <w:pPr>
        <w:pStyle w:val="BodyText"/>
      </w:pPr>
      <w:r>
        <w:t>It was decided that</w:t>
      </w:r>
      <w:r w:rsidRPr="004F5DE3">
        <w:t xml:space="preserve"> the evidence provided supports a causal association between the use of ICS-containing products and an increased risk of pneumonia in COPD patients</w:t>
      </w:r>
      <w:r>
        <w:t xml:space="preserve">, but that the </w:t>
      </w:r>
      <w:r w:rsidRPr="00243CF6">
        <w:t xml:space="preserve">clinical evidence for intra-class differences in the magnitude of the risk among </w:t>
      </w:r>
      <w:r w:rsidR="003B7B67">
        <w:t xml:space="preserve">ICS </w:t>
      </w:r>
      <w:r w:rsidRPr="00243CF6">
        <w:t>products</w:t>
      </w:r>
      <w:r>
        <w:t xml:space="preserve"> is not conclusive.</w:t>
      </w:r>
    </w:p>
    <w:p w:rsidR="00675E77" w:rsidRDefault="00675E77" w:rsidP="00675E77">
      <w:pPr>
        <w:pStyle w:val="BodyText"/>
      </w:pPr>
      <w:r>
        <w:t xml:space="preserve">The following recommendations were made regarding product information: </w:t>
      </w:r>
    </w:p>
    <w:p w:rsidR="00675E77" w:rsidRDefault="00675E77" w:rsidP="00675E77">
      <w:pPr>
        <w:pStyle w:val="Bullettext"/>
      </w:pPr>
      <w:r w:rsidRPr="00243CF6">
        <w:t>pneumonia (in COPD patients) should be added as a common adverse drug reaction in the product information</w:t>
      </w:r>
      <w:r>
        <w:t xml:space="preserve"> of all ICS-containing products;</w:t>
      </w:r>
    </w:p>
    <w:p w:rsidR="00675E77" w:rsidRPr="00243CF6" w:rsidRDefault="00675E77" w:rsidP="00675E77">
      <w:pPr>
        <w:pStyle w:val="Bullettext"/>
      </w:pPr>
      <w:r>
        <w:t xml:space="preserve">for </w:t>
      </w:r>
      <w:r w:rsidRPr="00243CF6">
        <w:t>products with an existing risk management plan (RMP), “increased risk of pneumonia in COPD patients” should be consider</w:t>
      </w:r>
      <w:r>
        <w:t>ed an Important Identified Risk;</w:t>
      </w:r>
    </w:p>
    <w:p w:rsidR="00675E77" w:rsidRDefault="00675E77" w:rsidP="00675E77">
      <w:pPr>
        <w:pStyle w:val="Bullettext"/>
      </w:pPr>
      <w:r w:rsidRPr="00243CF6">
        <w:t>a warning should be included in the product information for healthcare professionals and patients to remain vigilant for the possible development of pneumonia in patients with COPD, taking into consideration the overlap of the symptoms of pneumonia wit</w:t>
      </w:r>
      <w:r>
        <w:t>h those of exacerbation of COPD and</w:t>
      </w:r>
    </w:p>
    <w:p w:rsidR="00675E77" w:rsidRDefault="00675E77" w:rsidP="00675E77">
      <w:pPr>
        <w:pStyle w:val="Bullettext"/>
      </w:pPr>
      <w:proofErr w:type="gramStart"/>
      <w:r>
        <w:t>a</w:t>
      </w:r>
      <w:proofErr w:type="gramEnd"/>
      <w:r>
        <w:t xml:space="preserve"> possible dose-response effect should be reflected in the product information.</w:t>
      </w:r>
    </w:p>
    <w:p w:rsidR="00675E77" w:rsidRDefault="00675E77" w:rsidP="00675E77">
      <w:pPr>
        <w:pStyle w:val="BodyText"/>
      </w:pPr>
      <w:r>
        <w:t xml:space="preserve">The report concluded </w:t>
      </w:r>
      <w:r w:rsidRPr="004F5DE3">
        <w:t>that the benefit-risk balance of ICS-containing products remained favourable, provided the proposed changes to the product information are implemented.</w:t>
      </w:r>
    </w:p>
    <w:p w:rsidR="00675E77" w:rsidRDefault="00675E77" w:rsidP="00D92F94">
      <w:pPr>
        <w:pStyle w:val="Heading3"/>
      </w:pPr>
      <w:bookmarkStart w:id="201" w:name="_Ref467928531"/>
      <w:bookmarkStart w:id="202" w:name="_Toc468022811"/>
      <w:bookmarkStart w:id="203" w:name="_Toc482191521"/>
      <w:bookmarkStart w:id="204" w:name="_Toc486515188"/>
      <w:r>
        <w:t>Additional key studies</w:t>
      </w:r>
      <w:bookmarkEnd w:id="201"/>
      <w:bookmarkEnd w:id="202"/>
      <w:bookmarkEnd w:id="203"/>
      <w:bookmarkEnd w:id="204"/>
    </w:p>
    <w:p w:rsidR="00675E77" w:rsidRDefault="00675E77" w:rsidP="00675E77">
      <w:pPr>
        <w:pStyle w:val="Heading4"/>
      </w:pPr>
      <w:r>
        <w:t>Mortality st</w:t>
      </w:r>
      <w:r w:rsidR="00750448">
        <w:t>udy for fluticasone</w:t>
      </w:r>
      <w:r w:rsidR="00194614">
        <w:t xml:space="preserve"> </w:t>
      </w:r>
      <w:proofErr w:type="spellStart"/>
      <w:r w:rsidR="00194614">
        <w:t>furoate</w:t>
      </w:r>
      <w:proofErr w:type="spellEnd"/>
      <w:r w:rsidR="00750448">
        <w:t>/</w:t>
      </w:r>
      <w:proofErr w:type="spellStart"/>
      <w:r w:rsidR="00750448">
        <w:t>vilanterol</w:t>
      </w:r>
      <w:proofErr w:type="spellEnd"/>
      <w:r>
        <w:t xml:space="preserve"> – SUMMIT</w:t>
      </w:r>
    </w:p>
    <w:p w:rsidR="00675E77" w:rsidRDefault="00675E77" w:rsidP="00675E77">
      <w:pPr>
        <w:pStyle w:val="BodyText"/>
      </w:pPr>
      <w:r>
        <w:t xml:space="preserve">The primary purpose of the </w:t>
      </w:r>
      <w:r w:rsidRPr="00E82BD6">
        <w:t xml:space="preserve">Study to Understand Mortality and </w:t>
      </w:r>
      <w:proofErr w:type="spellStart"/>
      <w:r w:rsidRPr="00E82BD6">
        <w:t>MorbidITy</w:t>
      </w:r>
      <w:proofErr w:type="spellEnd"/>
      <w:r>
        <w:t xml:space="preserve"> </w:t>
      </w:r>
      <w:r w:rsidRPr="00E82BD6">
        <w:t>(SUMMIT)</w:t>
      </w:r>
      <w:r>
        <w:t xml:space="preserve"> was to investigate whether mortality is reduced in COPD patients with heightened cardiovascular risk by fluticasone</w:t>
      </w:r>
      <w:r w:rsidR="00194614">
        <w:t xml:space="preserve"> </w:t>
      </w:r>
      <w:proofErr w:type="spellStart"/>
      <w:r w:rsidR="00194614">
        <w:t>furoate</w:t>
      </w:r>
      <w:proofErr w:type="spellEnd"/>
      <w:r>
        <w:t>/</w:t>
      </w:r>
      <w:proofErr w:type="spellStart"/>
      <w:r>
        <w:t>vilanterol</w:t>
      </w:r>
      <w:proofErr w:type="spellEnd"/>
      <w:r>
        <w:t xml:space="preserve"> combination therapy. The rationale for this </w:t>
      </w:r>
      <w:r w:rsidRPr="00E82BD6">
        <w:t xml:space="preserve">double-blind </w:t>
      </w:r>
      <w:r>
        <w:t>RCT</w:t>
      </w:r>
      <w:r w:rsidRPr="00E82BD6">
        <w:t xml:space="preserve"> </w:t>
      </w:r>
      <w:r>
        <w:t>came from the fluticasone</w:t>
      </w:r>
      <w:r w:rsidR="00194614">
        <w:t xml:space="preserve"> propionate</w:t>
      </w:r>
      <w:r>
        <w:t xml:space="preserve">/salmeterol TORCH study, which found a reduction </w:t>
      </w:r>
      <w:r>
        <w:lastRenderedPageBreak/>
        <w:t>in all-cause mortality in patients with moderate-to-severe COPD that came close to reaching statistical significance (17.5%</w:t>
      </w:r>
      <w:r w:rsidRPr="00860F3C">
        <w:t xml:space="preserve"> relative risk reductio</w:t>
      </w:r>
      <w:r>
        <w:t xml:space="preserve">n; </w:t>
      </w:r>
      <w:r w:rsidR="002303F7">
        <w:t>P</w:t>
      </w:r>
      <w:r>
        <w:t>=0.052). Many of the deaths were cardiovascular, and a post</w:t>
      </w:r>
      <w:r w:rsidR="006333E9">
        <w:t xml:space="preserve"> </w:t>
      </w:r>
      <w:r>
        <w:t xml:space="preserve">hoc analysis suggested cardiovascular mortality may be reduced by combination therapy. </w:t>
      </w:r>
    </w:p>
    <w:p w:rsidR="00675E77" w:rsidRDefault="00675E77" w:rsidP="00675E77">
      <w:pPr>
        <w:pStyle w:val="BodyText"/>
      </w:pPr>
      <w:r>
        <w:t>In order to power the study to detect a reduction in mortality, 16,590 patients were randomised in 1368 centres across</w:t>
      </w:r>
      <w:r w:rsidRPr="00E82BD6">
        <w:t xml:space="preserve"> 43 countries</w:t>
      </w:r>
      <w:r>
        <w:t xml:space="preserve"> (</w:t>
      </w:r>
      <w:proofErr w:type="spellStart"/>
      <w:r>
        <w:t>Vestbo</w:t>
      </w:r>
      <w:proofErr w:type="spellEnd"/>
      <w:r w:rsidR="006F6725">
        <w:t xml:space="preserve"> et al</w:t>
      </w:r>
      <w:r>
        <w:t xml:space="preserve">, 2016). Patient eligibility criteria included </w:t>
      </w:r>
      <w:r w:rsidRPr="00BD0B41">
        <w:t>% predicted post-bronchodilator FEV</w:t>
      </w:r>
      <w:r w:rsidRPr="004B5715">
        <w:rPr>
          <w:vertAlign w:val="subscript"/>
        </w:rPr>
        <w:t>1</w:t>
      </w:r>
      <w:r>
        <w:t xml:space="preserve"> between 50% and 70% and a history, or increased risk, of cardiovascular disease (based on age and current medications). Patients were randomised to one of four treatments; fluticasone</w:t>
      </w:r>
      <w:r w:rsidR="00194614">
        <w:t xml:space="preserve"> </w:t>
      </w:r>
      <w:proofErr w:type="spellStart"/>
      <w:r w:rsidR="00194614">
        <w:t>furoate</w:t>
      </w:r>
      <w:proofErr w:type="spellEnd"/>
      <w:r>
        <w:t>/</w:t>
      </w:r>
      <w:proofErr w:type="spellStart"/>
      <w:r>
        <w:t>vilanterol</w:t>
      </w:r>
      <w:proofErr w:type="spellEnd"/>
      <w:r>
        <w:t xml:space="preserve"> (100/25 </w:t>
      </w:r>
      <w:proofErr w:type="spellStart"/>
      <w:r>
        <w:t>μg</w:t>
      </w:r>
      <w:proofErr w:type="spellEnd"/>
      <w:r>
        <w:t xml:space="preserve">) or placebo, or monotherapy with either fluticasone </w:t>
      </w:r>
      <w:proofErr w:type="spellStart"/>
      <w:r>
        <w:t>furoate</w:t>
      </w:r>
      <w:proofErr w:type="spellEnd"/>
      <w:r>
        <w:t xml:space="preserve"> or </w:t>
      </w:r>
      <w:proofErr w:type="spellStart"/>
      <w:r>
        <w:t>vilanterol</w:t>
      </w:r>
      <w:proofErr w:type="spellEnd"/>
      <w:r>
        <w:t>. Follow up continued until at least 1000 deaths had occurred (median study exposure was 1.8 years [interquartile range: 1.2, 2.6], maximum: 4 years).</w:t>
      </w:r>
    </w:p>
    <w:p w:rsidR="00675E77" w:rsidRDefault="00675E77" w:rsidP="00675E77">
      <w:pPr>
        <w:pStyle w:val="BodyText"/>
      </w:pPr>
      <w:r>
        <w:t>Contrary to the expectations of the investigators, treatment with fluticasone</w:t>
      </w:r>
      <w:r w:rsidR="00194614">
        <w:t xml:space="preserve"> </w:t>
      </w:r>
      <w:proofErr w:type="spellStart"/>
      <w:r w:rsidR="00194614">
        <w:t>furoate</w:t>
      </w:r>
      <w:proofErr w:type="spellEnd"/>
      <w:r>
        <w:t>/</w:t>
      </w:r>
      <w:proofErr w:type="spellStart"/>
      <w:r>
        <w:t>vilanterol</w:t>
      </w:r>
      <w:proofErr w:type="spellEnd"/>
      <w:r>
        <w:t xml:space="preserve"> had no significant effect on all-cause mortality or cardiovascular outcomes. However, the authors acknowledged that “a clinically meaningful difference in mortality has not been entirely excluded because the 95% CI for the HR encompasses a 26% reduction in the risk of dying”.</w:t>
      </w:r>
    </w:p>
    <w:p w:rsidR="00675E77" w:rsidRDefault="00675E77" w:rsidP="00675E77">
      <w:pPr>
        <w:pStyle w:val="BodyText"/>
      </w:pPr>
      <w:r>
        <w:t xml:space="preserve">Pneumonia, defined as new </w:t>
      </w:r>
      <w:proofErr w:type="spellStart"/>
      <w:r>
        <w:t>auscultatory</w:t>
      </w:r>
      <w:proofErr w:type="spellEnd"/>
      <w:r>
        <w:t xml:space="preserve"> findings compatible with parenchymal lung infection and/or radiographic evidence of parenchymal/air space disease, was required to be recorded as an adverse event. Pneumonia rates were not different between the placebo group and the groups receiving fluticasone </w:t>
      </w:r>
      <w:proofErr w:type="spellStart"/>
      <w:r>
        <w:t>furoate</w:t>
      </w:r>
      <w:proofErr w:type="spellEnd"/>
      <w:r>
        <w:t xml:space="preserve"> as monotherapy or in combination with </w:t>
      </w:r>
      <w:proofErr w:type="spellStart"/>
      <w:r>
        <w:t>vilanterol</w:t>
      </w:r>
      <w:proofErr w:type="spellEnd"/>
      <w:r>
        <w:t xml:space="preserve"> (</w:t>
      </w:r>
      <w:r w:rsidR="00356377">
        <w:t xml:space="preserve">Table </w:t>
      </w:r>
      <w:r w:rsidR="00356377">
        <w:rPr>
          <w:noProof/>
        </w:rPr>
        <w:t>4</w:t>
      </w:r>
      <w:r w:rsidR="00356377">
        <w:t>.</w:t>
      </w:r>
      <w:r w:rsidR="00356377">
        <w:rPr>
          <w:noProof/>
        </w:rPr>
        <w:t>18</w:t>
      </w:r>
      <w:r>
        <w:t xml:space="preserve">). Rates were lower in the </w:t>
      </w:r>
      <w:proofErr w:type="spellStart"/>
      <w:r>
        <w:t>vilanterol</w:t>
      </w:r>
      <w:proofErr w:type="spellEnd"/>
      <w:r>
        <w:t xml:space="preserve"> monotherapy group, however, than in the other three groups.</w:t>
      </w:r>
    </w:p>
    <w:p w:rsidR="00675E77" w:rsidRDefault="00675E77" w:rsidP="00D52262">
      <w:pPr>
        <w:pStyle w:val="HeaderTable"/>
      </w:pPr>
      <w:bookmarkStart w:id="205" w:name="_Ref467864786"/>
      <w:bookmarkStart w:id="206" w:name="_Toc468022910"/>
      <w:bookmarkStart w:id="207" w:name="_Toc468034563"/>
      <w:bookmarkStart w:id="208" w:name="_Toc480373313"/>
      <w:bookmarkStart w:id="209" w:name="_Toc486515208"/>
      <w:r>
        <w:t xml:space="preserve">Table </w:t>
      </w:r>
      <w:r w:rsidR="00356377">
        <w:rPr>
          <w:noProof/>
        </w:rPr>
        <w:t>4</w:t>
      </w:r>
      <w:r>
        <w:t>.</w:t>
      </w:r>
      <w:r w:rsidR="00356377">
        <w:rPr>
          <w:noProof/>
        </w:rPr>
        <w:t>18</w:t>
      </w:r>
      <w:bookmarkEnd w:id="205"/>
      <w:r>
        <w:tab/>
        <w:t>Pneumonia in the SUMMIT trial of fluticasone</w:t>
      </w:r>
      <w:r w:rsidR="00194614">
        <w:t xml:space="preserve"> </w:t>
      </w:r>
      <w:proofErr w:type="spellStart"/>
      <w:r w:rsidR="00194614">
        <w:t>furoate</w:t>
      </w:r>
      <w:proofErr w:type="spellEnd"/>
      <w:r>
        <w:t>/</w:t>
      </w:r>
      <w:proofErr w:type="spellStart"/>
      <w:r>
        <w:t>vilanterol</w:t>
      </w:r>
      <w:proofErr w:type="spellEnd"/>
      <w:r>
        <w:t xml:space="preserve"> – </w:t>
      </w:r>
      <w:proofErr w:type="spellStart"/>
      <w:r>
        <w:t>Vestbo</w:t>
      </w:r>
      <w:proofErr w:type="spellEnd"/>
      <w:r>
        <w:t xml:space="preserve"> 2016</w:t>
      </w:r>
      <w:bookmarkEnd w:id="206"/>
      <w:bookmarkEnd w:id="207"/>
      <w:bookmarkEnd w:id="208"/>
      <w:bookmarkEnd w:id="2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neumonia in the SUMMIT trial of fluticasone/vilanterol – Vestbo 2016"/>
      </w:tblPr>
      <w:tblGrid>
        <w:gridCol w:w="2557"/>
        <w:gridCol w:w="1772"/>
        <w:gridCol w:w="1772"/>
        <w:gridCol w:w="1772"/>
        <w:gridCol w:w="1772"/>
      </w:tblGrid>
      <w:tr w:rsidR="00675E77" w:rsidRPr="00D2259D" w:rsidTr="00675E77">
        <w:trPr>
          <w:cantSplit/>
          <w:tblHeader/>
        </w:trPr>
        <w:tc>
          <w:tcPr>
            <w:tcW w:w="2557" w:type="dxa"/>
            <w:shd w:val="clear" w:color="auto" w:fill="BFBFBF"/>
          </w:tcPr>
          <w:p w:rsidR="00675E77" w:rsidRDefault="00675E77" w:rsidP="00675E77">
            <w:pPr>
              <w:pStyle w:val="01TableHEADINGleftaligned"/>
            </w:pPr>
            <w:r>
              <w:t>Adverse events (safety population)</w:t>
            </w:r>
          </w:p>
        </w:tc>
        <w:tc>
          <w:tcPr>
            <w:tcW w:w="1772" w:type="dxa"/>
            <w:shd w:val="clear" w:color="auto" w:fill="BFBFBF"/>
          </w:tcPr>
          <w:p w:rsidR="00675E77" w:rsidRDefault="00675E77" w:rsidP="00675E77">
            <w:pPr>
              <w:pStyle w:val="02TableHEADINGcentred"/>
            </w:pPr>
            <w:r>
              <w:t xml:space="preserve">FLU/VIL, 100/25 </w:t>
            </w:r>
            <w:proofErr w:type="spellStart"/>
            <w:r>
              <w:t>μg</w:t>
            </w:r>
            <w:proofErr w:type="spellEnd"/>
            <w:r>
              <w:br/>
              <w:t>(n = 4140)</w:t>
            </w:r>
          </w:p>
        </w:tc>
        <w:tc>
          <w:tcPr>
            <w:tcW w:w="1772" w:type="dxa"/>
            <w:shd w:val="clear" w:color="auto" w:fill="BFBFBF"/>
          </w:tcPr>
          <w:p w:rsidR="00675E77" w:rsidRDefault="00675E77" w:rsidP="00675E77">
            <w:pPr>
              <w:pStyle w:val="02TableHEADINGcentred"/>
            </w:pPr>
            <w:r>
              <w:t xml:space="preserve">FLU, 100 </w:t>
            </w:r>
            <w:proofErr w:type="spellStart"/>
            <w:r>
              <w:t>μg</w:t>
            </w:r>
            <w:proofErr w:type="spellEnd"/>
            <w:r>
              <w:br/>
              <w:t>(n = 4157)</w:t>
            </w:r>
          </w:p>
        </w:tc>
        <w:tc>
          <w:tcPr>
            <w:tcW w:w="1772" w:type="dxa"/>
            <w:shd w:val="clear" w:color="auto" w:fill="BFBFBF"/>
          </w:tcPr>
          <w:p w:rsidR="00675E77" w:rsidRDefault="00675E77" w:rsidP="00675E77">
            <w:pPr>
              <w:pStyle w:val="02TableHEADINGcentred"/>
            </w:pPr>
            <w:r>
              <w:t xml:space="preserve">VIL, 25 </w:t>
            </w:r>
            <w:proofErr w:type="spellStart"/>
            <w:r>
              <w:t>μg</w:t>
            </w:r>
            <w:proofErr w:type="spellEnd"/>
            <w:r>
              <w:br/>
              <w:t>(n = 4140)</w:t>
            </w:r>
          </w:p>
        </w:tc>
        <w:tc>
          <w:tcPr>
            <w:tcW w:w="1772" w:type="dxa"/>
            <w:shd w:val="clear" w:color="auto" w:fill="BFBFBF"/>
          </w:tcPr>
          <w:p w:rsidR="00675E77" w:rsidRDefault="00675E77" w:rsidP="00675E77">
            <w:pPr>
              <w:pStyle w:val="02TableHEADINGcentred"/>
            </w:pPr>
            <w:r>
              <w:t>Placebo</w:t>
            </w:r>
            <w:r>
              <w:br/>
              <w:t>(n = 4131)</w:t>
            </w:r>
          </w:p>
        </w:tc>
      </w:tr>
      <w:tr w:rsidR="00675E77" w:rsidTr="00675E77">
        <w:trPr>
          <w:cantSplit/>
        </w:trPr>
        <w:tc>
          <w:tcPr>
            <w:tcW w:w="2557" w:type="dxa"/>
            <w:shd w:val="clear" w:color="auto" w:fill="auto"/>
          </w:tcPr>
          <w:p w:rsidR="00675E77" w:rsidRDefault="00675E77" w:rsidP="00675E77">
            <w:pPr>
              <w:pStyle w:val="05Tabletext"/>
              <w:keepNext/>
            </w:pPr>
            <w:r>
              <w:t>Pneumonia, n (%)</w:t>
            </w:r>
          </w:p>
          <w:p w:rsidR="00675E77" w:rsidRPr="00E8766B" w:rsidRDefault="00675E77" w:rsidP="00675E77">
            <w:pPr>
              <w:pStyle w:val="05Tabletext"/>
              <w:keepNext/>
            </w:pPr>
            <w:r>
              <w:t>[95% CI]</w:t>
            </w:r>
          </w:p>
        </w:tc>
        <w:tc>
          <w:tcPr>
            <w:tcW w:w="1772" w:type="dxa"/>
          </w:tcPr>
          <w:p w:rsidR="00675E77" w:rsidRDefault="00675E77" w:rsidP="00675E77">
            <w:pPr>
              <w:pStyle w:val="05Tabletext"/>
              <w:keepNext/>
              <w:jc w:val="center"/>
            </w:pPr>
            <w:r>
              <w:t>237 (6)</w:t>
            </w:r>
          </w:p>
          <w:p w:rsidR="00675E77" w:rsidRDefault="00675E77" w:rsidP="00675E77">
            <w:pPr>
              <w:pStyle w:val="05Tabletext"/>
              <w:keepNext/>
              <w:jc w:val="center"/>
            </w:pPr>
            <w:r>
              <w:t xml:space="preserve">[3·5, </w:t>
            </w:r>
            <w:r w:rsidRPr="00E8766B">
              <w:t>4·4</w:t>
            </w:r>
            <w:r>
              <w:t>]</w:t>
            </w:r>
          </w:p>
        </w:tc>
        <w:tc>
          <w:tcPr>
            <w:tcW w:w="1772" w:type="dxa"/>
          </w:tcPr>
          <w:p w:rsidR="00675E77" w:rsidRDefault="00675E77" w:rsidP="00675E77">
            <w:pPr>
              <w:pStyle w:val="05Tabletext"/>
              <w:keepNext/>
              <w:jc w:val="center"/>
            </w:pPr>
            <w:r>
              <w:t>228 (5)</w:t>
            </w:r>
          </w:p>
          <w:p w:rsidR="00675E77" w:rsidRDefault="00675E77" w:rsidP="00675E77">
            <w:pPr>
              <w:pStyle w:val="05Tabletext"/>
              <w:keepNext/>
              <w:jc w:val="center"/>
            </w:pPr>
            <w:r>
              <w:t xml:space="preserve">[3·8, </w:t>
            </w:r>
            <w:r w:rsidRPr="00E8766B">
              <w:t>4·8</w:t>
            </w:r>
            <w:r>
              <w:t>]</w:t>
            </w:r>
          </w:p>
        </w:tc>
        <w:tc>
          <w:tcPr>
            <w:tcW w:w="1772" w:type="dxa"/>
          </w:tcPr>
          <w:p w:rsidR="00675E77" w:rsidRDefault="00675E77" w:rsidP="00675E77">
            <w:pPr>
              <w:pStyle w:val="05Tabletext"/>
              <w:keepNext/>
              <w:jc w:val="center"/>
            </w:pPr>
            <w:r>
              <w:t>163 (4)</w:t>
            </w:r>
          </w:p>
          <w:p w:rsidR="00675E77" w:rsidRDefault="00675E77" w:rsidP="00675E77">
            <w:pPr>
              <w:pStyle w:val="05Tabletext"/>
              <w:keepNext/>
              <w:jc w:val="center"/>
            </w:pPr>
            <w:r>
              <w:t xml:space="preserve">[2·4, </w:t>
            </w:r>
            <w:r w:rsidRPr="00E8766B">
              <w:t>3·2</w:t>
            </w:r>
            <w:r>
              <w:t>]</w:t>
            </w:r>
          </w:p>
        </w:tc>
        <w:tc>
          <w:tcPr>
            <w:tcW w:w="1772" w:type="dxa"/>
            <w:shd w:val="clear" w:color="auto" w:fill="auto"/>
          </w:tcPr>
          <w:p w:rsidR="00675E77" w:rsidRDefault="00675E77" w:rsidP="00675E77">
            <w:pPr>
              <w:pStyle w:val="05Tabletext"/>
              <w:keepNext/>
              <w:jc w:val="center"/>
            </w:pPr>
            <w:r>
              <w:t>214 (5)</w:t>
            </w:r>
          </w:p>
          <w:p w:rsidR="00675E77" w:rsidRPr="00E8766B" w:rsidRDefault="00675E77" w:rsidP="00675E77">
            <w:pPr>
              <w:pStyle w:val="05Tabletext"/>
              <w:keepNext/>
              <w:jc w:val="center"/>
            </w:pPr>
            <w:r>
              <w:t>[3·4, 4·3]</w:t>
            </w:r>
          </w:p>
        </w:tc>
      </w:tr>
      <w:tr w:rsidR="00675E77" w:rsidTr="00675E77">
        <w:trPr>
          <w:cantSplit/>
        </w:trPr>
        <w:tc>
          <w:tcPr>
            <w:tcW w:w="2557" w:type="dxa"/>
            <w:shd w:val="clear" w:color="auto" w:fill="auto"/>
          </w:tcPr>
          <w:p w:rsidR="00675E77" w:rsidRDefault="00675E77" w:rsidP="00675E77">
            <w:pPr>
              <w:pStyle w:val="05Tabletext"/>
              <w:keepNext/>
            </w:pPr>
            <w:r>
              <w:t>Rate per 100 patient-years</w:t>
            </w:r>
          </w:p>
        </w:tc>
        <w:tc>
          <w:tcPr>
            <w:tcW w:w="1772" w:type="dxa"/>
          </w:tcPr>
          <w:p w:rsidR="00675E77" w:rsidRDefault="00675E77" w:rsidP="00675E77">
            <w:pPr>
              <w:pStyle w:val="05Tabletext"/>
              <w:keepNext/>
              <w:jc w:val="center"/>
            </w:pPr>
            <w:r>
              <w:t>3.9</w:t>
            </w:r>
          </w:p>
        </w:tc>
        <w:tc>
          <w:tcPr>
            <w:tcW w:w="1772" w:type="dxa"/>
          </w:tcPr>
          <w:p w:rsidR="00675E77" w:rsidRDefault="00675E77" w:rsidP="00675E77">
            <w:pPr>
              <w:pStyle w:val="05Tabletext"/>
              <w:keepNext/>
              <w:jc w:val="center"/>
            </w:pPr>
            <w:r>
              <w:t>4.2</w:t>
            </w:r>
          </w:p>
        </w:tc>
        <w:tc>
          <w:tcPr>
            <w:tcW w:w="1772" w:type="dxa"/>
          </w:tcPr>
          <w:p w:rsidR="00675E77" w:rsidRDefault="00675E77" w:rsidP="00675E77">
            <w:pPr>
              <w:pStyle w:val="05Tabletext"/>
              <w:keepNext/>
              <w:jc w:val="center"/>
            </w:pPr>
            <w:r>
              <w:t>2.8</w:t>
            </w:r>
          </w:p>
        </w:tc>
        <w:tc>
          <w:tcPr>
            <w:tcW w:w="1772" w:type="dxa"/>
            <w:shd w:val="clear" w:color="auto" w:fill="auto"/>
          </w:tcPr>
          <w:p w:rsidR="00675E77" w:rsidRDefault="00675E77" w:rsidP="00675E77">
            <w:pPr>
              <w:pStyle w:val="05Tabletext"/>
              <w:keepNext/>
              <w:jc w:val="center"/>
            </w:pPr>
            <w:r>
              <w:t>3.8</w:t>
            </w:r>
          </w:p>
        </w:tc>
      </w:tr>
    </w:tbl>
    <w:p w:rsidR="00675E77" w:rsidRDefault="00675E77" w:rsidP="00675E77">
      <w:pPr>
        <w:pStyle w:val="10TableorFigurefootnote"/>
      </w:pPr>
      <w:r>
        <w:t xml:space="preserve">Source: </w:t>
      </w:r>
      <w:proofErr w:type="spellStart"/>
      <w:r>
        <w:t>Vestbo</w:t>
      </w:r>
      <w:proofErr w:type="spellEnd"/>
      <w:r>
        <w:t xml:space="preserve"> (2016), Table 2, p1821</w:t>
      </w:r>
    </w:p>
    <w:p w:rsidR="00675E77" w:rsidRDefault="00675E77" w:rsidP="00675E77">
      <w:pPr>
        <w:pStyle w:val="11TableorFigurefootnotenostick"/>
      </w:pPr>
      <w:r>
        <w:t xml:space="preserve">Abbreviations: CI, confidence interval; FLU, fluticasone, VIL, </w:t>
      </w:r>
      <w:proofErr w:type="spellStart"/>
      <w:r>
        <w:t>vilanterol</w:t>
      </w:r>
      <w:proofErr w:type="spellEnd"/>
      <w:r w:rsidR="00194614">
        <w:t xml:space="preserve">; FLU/VIL, fluticasone </w:t>
      </w:r>
      <w:proofErr w:type="spellStart"/>
      <w:r w:rsidR="00194614">
        <w:t>furoate</w:t>
      </w:r>
      <w:proofErr w:type="spellEnd"/>
      <w:r w:rsidR="00194614">
        <w:t>/</w:t>
      </w:r>
      <w:proofErr w:type="spellStart"/>
      <w:r w:rsidR="00194614">
        <w:t>vilanterol</w:t>
      </w:r>
      <w:proofErr w:type="spellEnd"/>
      <w:r w:rsidR="002303F7">
        <w:t>.</w:t>
      </w:r>
    </w:p>
    <w:p w:rsidR="00675E77" w:rsidRDefault="00675E77" w:rsidP="00675E77">
      <w:pPr>
        <w:pStyle w:val="BodyText"/>
      </w:pPr>
      <w:r>
        <w:t xml:space="preserve">Compared to the TORCH trial, which reported the original pneumonia safety signal, the patient population in SUMMIT had milder COPD (mean % predicted </w:t>
      </w:r>
      <w:r w:rsidRPr="00A82B92">
        <w:t>post-bronchodilator FEV</w:t>
      </w:r>
      <w:r w:rsidRPr="00A82B92">
        <w:rPr>
          <w:vertAlign w:val="subscript"/>
        </w:rPr>
        <w:t>1</w:t>
      </w:r>
      <w:r w:rsidRPr="00A82B92">
        <w:t xml:space="preserve"> </w:t>
      </w:r>
      <w:r>
        <w:t xml:space="preserve">was around 44% in TORCH versus 60% in SUMMIT). The authors thought this difference in disease severity and the consequent lower rates of pneumonia and bacterial colonisation in the airways of these patients might explain the absence of excess pneumonia risk in the SUMMIT trial. </w:t>
      </w:r>
    </w:p>
    <w:p w:rsidR="00675E77" w:rsidRDefault="00675E77" w:rsidP="00675E77">
      <w:pPr>
        <w:pStyle w:val="BodyText"/>
      </w:pPr>
      <w:r>
        <w:t xml:space="preserve">The apparent lower risk of pneumonia in patients receiving </w:t>
      </w:r>
      <w:proofErr w:type="spellStart"/>
      <w:r>
        <w:t>vilanterol</w:t>
      </w:r>
      <w:proofErr w:type="spellEnd"/>
      <w:r>
        <w:t xml:space="preserve"> monotherapy was not anticipated by the authors, who declared they do not have a ready explanation for this unexpected finding.</w:t>
      </w:r>
    </w:p>
    <w:p w:rsidR="00675E77" w:rsidRDefault="00675E77" w:rsidP="00675E77">
      <w:pPr>
        <w:pStyle w:val="Heading4"/>
      </w:pPr>
      <w:r>
        <w:lastRenderedPageBreak/>
        <w:t>Withdrawal stud</w:t>
      </w:r>
      <w:r w:rsidR="003B7B67">
        <w:t>ies including</w:t>
      </w:r>
      <w:r>
        <w:t xml:space="preserve"> WISDOM</w:t>
      </w:r>
    </w:p>
    <w:p w:rsidR="00675E77" w:rsidRDefault="00675E77" w:rsidP="00675E77">
      <w:pPr>
        <w:pStyle w:val="BodyText"/>
      </w:pPr>
      <w:r>
        <w:t>A number of RCTs investigating the impact of ICS withdrawal have been conducted, the largest being the WISDOM trial (Magnussen, 2014), in which gradual discontinuation of ICS in severe COPD patients over a three</w:t>
      </w:r>
      <w:r w:rsidR="009828FD">
        <w:t>-</w:t>
      </w:r>
      <w:r>
        <w:t>month period did not result in increased exacerbations. After a 6-week run</w:t>
      </w:r>
      <w:r w:rsidR="006333E9">
        <w:t>-</w:t>
      </w:r>
      <w:r>
        <w:t>in period on triple therapy (fluticasone</w:t>
      </w:r>
      <w:r w:rsidR="00194614">
        <w:t xml:space="preserve"> propionate</w:t>
      </w:r>
      <w:r>
        <w:t xml:space="preserve">/salmeterol (500/50 </w:t>
      </w:r>
      <w:proofErr w:type="spellStart"/>
      <w:r>
        <w:t>μg</w:t>
      </w:r>
      <w:proofErr w:type="spellEnd"/>
      <w:r>
        <w:t xml:space="preserve">) plus tiotropium (18 </w:t>
      </w:r>
      <w:proofErr w:type="spellStart"/>
      <w:r>
        <w:t>μg</w:t>
      </w:r>
      <w:proofErr w:type="spellEnd"/>
      <w:r>
        <w:t>), 2485 patients were randomised to either continued triple therapy or withdrawal of fluticasone. There was no significant reduction in pneumonia rates in the withdrawal arm 12 months from randomisation; the authors speculated whether this might be specific to differences between the patient population in this and other studies, or a residual ICS effect.</w:t>
      </w:r>
    </w:p>
    <w:p w:rsidR="00675E77" w:rsidRDefault="00675E77" w:rsidP="00675E77">
      <w:pPr>
        <w:pStyle w:val="BodyText"/>
      </w:pPr>
      <w:r>
        <w:t>The INSTEAD trial</w:t>
      </w:r>
      <w:r w:rsidR="00131C31" w:rsidRPr="00131C31">
        <w:t xml:space="preserve"> </w:t>
      </w:r>
      <w:r w:rsidR="00131C31">
        <w:t>(</w:t>
      </w:r>
      <w:r w:rsidR="00131C31" w:rsidRPr="00131C31">
        <w:t>Rossi</w:t>
      </w:r>
      <w:r w:rsidR="00131C31">
        <w:t>, 2015)</w:t>
      </w:r>
      <w:r w:rsidR="00131C31" w:rsidRPr="00131C31">
        <w:t xml:space="preserve"> </w:t>
      </w:r>
      <w:r>
        <w:t>switched patients from fluticasone</w:t>
      </w:r>
      <w:r w:rsidR="00194614">
        <w:t xml:space="preserve"> propionate</w:t>
      </w:r>
      <w:r>
        <w:t xml:space="preserve">/salmeterol (500/50 </w:t>
      </w:r>
      <w:proofErr w:type="spellStart"/>
      <w:r>
        <w:t>μg</w:t>
      </w:r>
      <w:proofErr w:type="spellEnd"/>
      <w:r>
        <w:t xml:space="preserve">) to </w:t>
      </w:r>
      <w:proofErr w:type="spellStart"/>
      <w:r>
        <w:t>indacaterol</w:t>
      </w:r>
      <w:proofErr w:type="spellEnd"/>
      <w:r>
        <w:t xml:space="preserve"> at randomisation (N=581) after a three-month run-in; at 26 weeks there were two pneumonia SAEs in the combination therapy group and none in the </w:t>
      </w:r>
      <w:proofErr w:type="spellStart"/>
      <w:r>
        <w:t>indacaterol</w:t>
      </w:r>
      <w:proofErr w:type="spellEnd"/>
      <w:r>
        <w:t xml:space="preserve"> group (until 5 days after the study, when one patient experienced a pneumonia SAE).</w:t>
      </w:r>
    </w:p>
    <w:p w:rsidR="00675E77" w:rsidRDefault="00675E77" w:rsidP="00675E77">
      <w:pPr>
        <w:pStyle w:val="BodyText"/>
      </w:pPr>
      <w:r>
        <w:t>Larger trials powered to detect pneumonia events would be necessary to demonstrate the impact of ICS withdrawal on pneumonia risk. The large nested case</w:t>
      </w:r>
      <w:r w:rsidR="008739F8">
        <w:t>-</w:t>
      </w:r>
      <w:r>
        <w:t xml:space="preserve">control study by </w:t>
      </w:r>
      <w:proofErr w:type="spellStart"/>
      <w:r>
        <w:t>Suissa</w:t>
      </w:r>
      <w:proofErr w:type="spellEnd"/>
      <w:r>
        <w:t xml:space="preserve"> and colleagues (2015) specifically analysed the impact of ICS withdrawal on pneumonia rates. A fall in risk was evident within a month, and within four months risk had reduced by around 50% (</w:t>
      </w:r>
      <w:r w:rsidR="00356377">
        <w:t xml:space="preserve">Figure </w:t>
      </w:r>
      <w:r w:rsidR="00356377">
        <w:rPr>
          <w:noProof/>
        </w:rPr>
        <w:t>4</w:t>
      </w:r>
      <w:r w:rsidR="00356377">
        <w:t>.</w:t>
      </w:r>
      <w:r w:rsidR="00356377">
        <w:rPr>
          <w:noProof/>
        </w:rPr>
        <w:t>16</w:t>
      </w:r>
      <w:r>
        <w:t xml:space="preserve">). As discussed earlier in Section </w:t>
      </w:r>
      <w:r w:rsidR="00356377">
        <w:t>4.4.2</w:t>
      </w:r>
      <w:r>
        <w:t xml:space="preserve">, this effect was seen for both fluticasone and budesonide, with statistically significant falls in risk of 58% and 87%, respectively, compared to patients continuing ICS therapy. </w:t>
      </w:r>
    </w:p>
    <w:p w:rsidR="00675E77" w:rsidRDefault="00675E77" w:rsidP="002C7600">
      <w:pPr>
        <w:pStyle w:val="HeaderFigure"/>
      </w:pPr>
      <w:bookmarkStart w:id="210" w:name="_Ref467928012"/>
      <w:bookmarkStart w:id="211" w:name="_Toc468022911"/>
      <w:bookmarkStart w:id="212" w:name="_Toc468034564"/>
      <w:bookmarkStart w:id="213" w:name="_Toc480373331"/>
      <w:bookmarkStart w:id="214" w:name="_Toc486515173"/>
      <w:r>
        <w:t xml:space="preserve">Figure </w:t>
      </w:r>
      <w:r w:rsidR="00356377">
        <w:rPr>
          <w:noProof/>
        </w:rPr>
        <w:t>4</w:t>
      </w:r>
      <w:r w:rsidR="00CC0111">
        <w:t>.</w:t>
      </w:r>
      <w:r w:rsidR="00356377">
        <w:rPr>
          <w:noProof/>
        </w:rPr>
        <w:t>16</w:t>
      </w:r>
      <w:bookmarkEnd w:id="210"/>
      <w:r>
        <w:tab/>
        <w:t xml:space="preserve">Risk of serious pneumonia after withdrawal from inhaled corticosteroids – </w:t>
      </w:r>
      <w:proofErr w:type="spellStart"/>
      <w:r>
        <w:t>Suissa</w:t>
      </w:r>
      <w:proofErr w:type="spellEnd"/>
      <w:r>
        <w:t xml:space="preserve"> 2015</w:t>
      </w:r>
      <w:bookmarkEnd w:id="211"/>
      <w:bookmarkEnd w:id="212"/>
      <w:bookmarkEnd w:id="213"/>
      <w:bookmarkEnd w:id="214"/>
    </w:p>
    <w:p w:rsidR="00675E77" w:rsidRDefault="009D3242" w:rsidP="00675E77">
      <w:pPr>
        <w:pStyle w:val="Picturewithbox"/>
      </w:pPr>
      <w:r>
        <w:rPr>
          <w:noProof/>
          <w:lang w:eastAsia="en-AU"/>
        </w:rPr>
        <w:drawing>
          <wp:inline distT="0" distB="0" distL="0" distR="0" wp14:anchorId="0ACFB298" wp14:editId="5D031A21">
            <wp:extent cx="4693285" cy="3312160"/>
            <wp:effectExtent l="0" t="0" r="0" b="2540"/>
            <wp:docPr id="29" name="Picture 29" descr="Risk of serious pneumonia after withdrawal from inhaled corticosteroids ¬– Suissa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uissa (20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93285" cy="3312160"/>
                    </a:xfrm>
                    <a:prstGeom prst="rect">
                      <a:avLst/>
                    </a:prstGeom>
                    <a:noFill/>
                    <a:ln>
                      <a:noFill/>
                    </a:ln>
                  </pic:spPr>
                </pic:pic>
              </a:graphicData>
            </a:graphic>
          </wp:inline>
        </w:drawing>
      </w:r>
      <w:r w:rsidR="00675E77">
        <w:t xml:space="preserve"> </w:t>
      </w:r>
    </w:p>
    <w:p w:rsidR="00675E77" w:rsidRDefault="00675E77" w:rsidP="00675E77">
      <w:pPr>
        <w:pStyle w:val="10TableorFigurefootnote"/>
      </w:pPr>
      <w:r>
        <w:t xml:space="preserve"> Source: </w:t>
      </w:r>
      <w:proofErr w:type="spellStart"/>
      <w:r>
        <w:t>Suissa</w:t>
      </w:r>
      <w:proofErr w:type="spellEnd"/>
      <w:r>
        <w:t xml:space="preserve"> (2015), Figure 2, p 1181</w:t>
      </w:r>
    </w:p>
    <w:p w:rsidR="00675E77" w:rsidRPr="005428E4" w:rsidRDefault="00675E77" w:rsidP="00675E77">
      <w:pPr>
        <w:pStyle w:val="11TableorFigurefootnotenostick"/>
      </w:pPr>
      <w:r>
        <w:t>Abbreviations: ICS, inhaled corticosteroids.</w:t>
      </w:r>
    </w:p>
    <w:p w:rsidR="00675E77" w:rsidRPr="00B63A13" w:rsidRDefault="00675E77" w:rsidP="00675E77">
      <w:pPr>
        <w:pStyle w:val="Heading4"/>
      </w:pPr>
      <w:r>
        <w:lastRenderedPageBreak/>
        <w:t>TORCH summary</w:t>
      </w:r>
    </w:p>
    <w:p w:rsidR="00675E77" w:rsidRDefault="00675E77" w:rsidP="00675E77">
      <w:pPr>
        <w:pStyle w:val="Heading5"/>
      </w:pPr>
      <w:r>
        <w:t>Study design and selected safety outcomes– Calverley 2007</w:t>
      </w:r>
    </w:p>
    <w:p w:rsidR="00675E77" w:rsidRDefault="00675E77" w:rsidP="00675E77">
      <w:pPr>
        <w:pStyle w:val="BodyTextnospacebefore"/>
      </w:pPr>
      <w:r>
        <w:t xml:space="preserve">The three-year TORCH trial randomised 6,184 patients, at 444 centres in 42 countries, to either </w:t>
      </w:r>
      <w:proofErr w:type="spellStart"/>
      <w:r>
        <w:t>fluticasone</w:t>
      </w:r>
      <w:r w:rsidR="00194614">
        <w:t>propionate</w:t>
      </w:r>
      <w:proofErr w:type="spellEnd"/>
      <w:r>
        <w:t xml:space="preserve">/salmeterol (500/50 </w:t>
      </w:r>
      <w:proofErr w:type="spellStart"/>
      <w:r>
        <w:t>μg</w:t>
      </w:r>
      <w:proofErr w:type="spellEnd"/>
      <w:r>
        <w:t>) combined therapy, monotherapy with either drug, or to placebo. Patient eligibility criteria included the following: COPD patients 40 to 80 years of age; predicted FEV</w:t>
      </w:r>
      <w:r w:rsidRPr="00D22B59">
        <w:rPr>
          <w:vertAlign w:val="subscript"/>
        </w:rPr>
        <w:t>1</w:t>
      </w:r>
      <w:r>
        <w:t xml:space="preserve"> &lt;60%; an increase of FEV</w:t>
      </w:r>
      <w:r w:rsidRPr="00A476F3">
        <w:rPr>
          <w:vertAlign w:val="subscript"/>
        </w:rPr>
        <w:t>1</w:t>
      </w:r>
      <w:r>
        <w:t xml:space="preserve"> with the use of 400 </w:t>
      </w:r>
      <w:proofErr w:type="spellStart"/>
      <w:r>
        <w:t>μg</w:t>
      </w:r>
      <w:proofErr w:type="spellEnd"/>
      <w:r>
        <w:t xml:space="preserve"> of </w:t>
      </w:r>
      <w:proofErr w:type="spellStart"/>
      <w:r>
        <w:t>albuterol</w:t>
      </w:r>
      <w:proofErr w:type="spellEnd"/>
      <w:r>
        <w:t xml:space="preserve"> of &lt;10% of the predicted value for that patient, and a ratio of pre-bronchodilator FEV</w:t>
      </w:r>
      <w:r w:rsidRPr="00A476F3">
        <w:rPr>
          <w:vertAlign w:val="subscript"/>
        </w:rPr>
        <w:t>1</w:t>
      </w:r>
      <w:r>
        <w:t xml:space="preserve"> to FVC ≤0.7. The primary outcome was all-cause mortality for the comparison of combination therapy with placebo.</w:t>
      </w:r>
    </w:p>
    <w:p w:rsidR="00675E77" w:rsidRDefault="00675E77" w:rsidP="00675E77">
      <w:pPr>
        <w:pStyle w:val="BodyText"/>
      </w:pPr>
      <w:r>
        <w:t xml:space="preserve">The flow of patients in the TORCH trial is shown in </w:t>
      </w:r>
      <w:r w:rsidR="00356377">
        <w:t xml:space="preserve">Table </w:t>
      </w:r>
      <w:r w:rsidR="00356377">
        <w:rPr>
          <w:noProof/>
        </w:rPr>
        <w:t>4</w:t>
      </w:r>
      <w:r w:rsidR="00356377">
        <w:t>.</w:t>
      </w:r>
      <w:r w:rsidR="00356377">
        <w:rPr>
          <w:noProof/>
        </w:rPr>
        <w:t>19</w:t>
      </w:r>
      <w:r>
        <w:t>. Study withdrawal was very high in all groups, ranging from 34% of patients on combination therapy up to 44% in the placebo group. According to the authors, the high withdrawal rate in the placebo group is likely to have resulted in an underestimation of the effect of the combination therapy on all secondary outcomes.</w:t>
      </w:r>
    </w:p>
    <w:p w:rsidR="00675E77" w:rsidRPr="00A52044" w:rsidRDefault="00675E77" w:rsidP="003F0B35">
      <w:pPr>
        <w:pStyle w:val="HeaderTable"/>
        <w:keepLines/>
      </w:pPr>
      <w:bookmarkStart w:id="215" w:name="_Ref467931303"/>
      <w:bookmarkStart w:id="216" w:name="_Toc468022912"/>
      <w:bookmarkStart w:id="217" w:name="_Toc468034565"/>
      <w:bookmarkStart w:id="218" w:name="_Toc480373314"/>
      <w:bookmarkStart w:id="219" w:name="_Toc486515209"/>
      <w:r>
        <w:t xml:space="preserve">Table </w:t>
      </w:r>
      <w:r w:rsidR="00356377">
        <w:rPr>
          <w:noProof/>
        </w:rPr>
        <w:t>4</w:t>
      </w:r>
      <w:r>
        <w:t>.</w:t>
      </w:r>
      <w:r w:rsidR="00356377">
        <w:rPr>
          <w:noProof/>
        </w:rPr>
        <w:t>19</w:t>
      </w:r>
      <w:bookmarkEnd w:id="215"/>
      <w:r>
        <w:tab/>
        <w:t>Patient disposition in the TORCH RCT</w:t>
      </w:r>
      <w:bookmarkEnd w:id="216"/>
      <w:bookmarkEnd w:id="217"/>
      <w:bookmarkEnd w:id="218"/>
      <w:bookmarkEnd w:id="219"/>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atient disposition in the TORCH RCT"/>
      </w:tblPr>
      <w:tblGrid>
        <w:gridCol w:w="1938"/>
        <w:gridCol w:w="1931"/>
        <w:gridCol w:w="1931"/>
        <w:gridCol w:w="1931"/>
        <w:gridCol w:w="1931"/>
      </w:tblGrid>
      <w:tr w:rsidR="00675E77" w:rsidTr="00675E77">
        <w:trPr>
          <w:cantSplit/>
          <w:tblHeader/>
        </w:trPr>
        <w:tc>
          <w:tcPr>
            <w:tcW w:w="1938" w:type="dxa"/>
            <w:shd w:val="clear" w:color="auto" w:fill="BFBFBF"/>
          </w:tcPr>
          <w:p w:rsidR="00675E77" w:rsidRDefault="00675E77" w:rsidP="003F0B35">
            <w:pPr>
              <w:pStyle w:val="01TableHEADINGleftaligned"/>
              <w:keepLines/>
            </w:pPr>
            <w:r>
              <w:t>Event (n)</w:t>
            </w:r>
          </w:p>
        </w:tc>
        <w:tc>
          <w:tcPr>
            <w:tcW w:w="1931" w:type="dxa"/>
            <w:shd w:val="clear" w:color="auto" w:fill="BFBFBF"/>
          </w:tcPr>
          <w:p w:rsidR="00675E77" w:rsidRDefault="00675E77" w:rsidP="003F0B35">
            <w:pPr>
              <w:pStyle w:val="02TableHEADINGcentred"/>
              <w:keepLines/>
            </w:pPr>
            <w:r>
              <w:t>FLU/SAL 500/50</w:t>
            </w:r>
          </w:p>
        </w:tc>
        <w:tc>
          <w:tcPr>
            <w:tcW w:w="1931" w:type="dxa"/>
            <w:shd w:val="clear" w:color="auto" w:fill="BFBFBF"/>
          </w:tcPr>
          <w:p w:rsidR="00675E77" w:rsidRDefault="00675E77" w:rsidP="003F0B35">
            <w:pPr>
              <w:pStyle w:val="02TableHEADINGcentred"/>
              <w:keepLines/>
            </w:pPr>
            <w:r>
              <w:t>FLU 500</w:t>
            </w:r>
          </w:p>
        </w:tc>
        <w:tc>
          <w:tcPr>
            <w:tcW w:w="1931" w:type="dxa"/>
            <w:shd w:val="clear" w:color="auto" w:fill="BFBFBF"/>
          </w:tcPr>
          <w:p w:rsidR="00675E77" w:rsidRDefault="00675E77" w:rsidP="003F0B35">
            <w:pPr>
              <w:pStyle w:val="02TableHEADINGcentred"/>
              <w:keepLines/>
            </w:pPr>
            <w:r>
              <w:t>SAL 50</w:t>
            </w:r>
          </w:p>
        </w:tc>
        <w:tc>
          <w:tcPr>
            <w:tcW w:w="1931" w:type="dxa"/>
            <w:shd w:val="clear" w:color="auto" w:fill="BFBFBF"/>
          </w:tcPr>
          <w:p w:rsidR="00675E77" w:rsidRDefault="00675E77" w:rsidP="003F0B35">
            <w:pPr>
              <w:pStyle w:val="02TableHEADINGcentred"/>
              <w:keepLines/>
            </w:pPr>
            <w:proofErr w:type="spellStart"/>
            <w:r>
              <w:t>Placabo</w:t>
            </w:r>
            <w:proofErr w:type="spellEnd"/>
          </w:p>
        </w:tc>
      </w:tr>
      <w:tr w:rsidR="00675E77" w:rsidTr="00675E77">
        <w:trPr>
          <w:cantSplit/>
        </w:trPr>
        <w:tc>
          <w:tcPr>
            <w:tcW w:w="1938" w:type="dxa"/>
            <w:shd w:val="clear" w:color="auto" w:fill="auto"/>
          </w:tcPr>
          <w:p w:rsidR="00675E77" w:rsidRDefault="00675E77" w:rsidP="003F0B35">
            <w:pPr>
              <w:pStyle w:val="05Tabletext"/>
              <w:keepNext/>
              <w:keepLines/>
            </w:pPr>
            <w:r>
              <w:t>Randomised (N = 6184)</w:t>
            </w:r>
          </w:p>
        </w:tc>
        <w:tc>
          <w:tcPr>
            <w:tcW w:w="1931" w:type="dxa"/>
            <w:shd w:val="clear" w:color="auto" w:fill="auto"/>
          </w:tcPr>
          <w:p w:rsidR="00675E77" w:rsidRDefault="00675E77" w:rsidP="003F0B35">
            <w:pPr>
              <w:pStyle w:val="05Tabletext"/>
              <w:keepNext/>
              <w:keepLines/>
              <w:jc w:val="center"/>
            </w:pPr>
            <w:r>
              <w:t>1546</w:t>
            </w:r>
          </w:p>
        </w:tc>
        <w:tc>
          <w:tcPr>
            <w:tcW w:w="1931" w:type="dxa"/>
            <w:shd w:val="clear" w:color="auto" w:fill="auto"/>
          </w:tcPr>
          <w:p w:rsidR="00675E77" w:rsidRDefault="00675E77" w:rsidP="003F0B35">
            <w:pPr>
              <w:pStyle w:val="05Tabletext"/>
              <w:keepNext/>
              <w:keepLines/>
              <w:jc w:val="center"/>
            </w:pPr>
            <w:r>
              <w:t>1551</w:t>
            </w:r>
          </w:p>
        </w:tc>
        <w:tc>
          <w:tcPr>
            <w:tcW w:w="1931" w:type="dxa"/>
            <w:shd w:val="clear" w:color="auto" w:fill="auto"/>
          </w:tcPr>
          <w:p w:rsidR="00675E77" w:rsidRDefault="00675E77" w:rsidP="003F0B35">
            <w:pPr>
              <w:pStyle w:val="05Tabletext"/>
              <w:keepNext/>
              <w:keepLines/>
              <w:jc w:val="center"/>
            </w:pPr>
            <w:r>
              <w:t>1542</w:t>
            </w:r>
          </w:p>
        </w:tc>
        <w:tc>
          <w:tcPr>
            <w:tcW w:w="1931" w:type="dxa"/>
            <w:shd w:val="clear" w:color="auto" w:fill="auto"/>
          </w:tcPr>
          <w:p w:rsidR="00675E77" w:rsidRDefault="00675E77" w:rsidP="003F0B35">
            <w:pPr>
              <w:pStyle w:val="05Tabletext"/>
              <w:keepNext/>
              <w:keepLines/>
              <w:jc w:val="center"/>
            </w:pPr>
            <w:r>
              <w:t>1545</w:t>
            </w:r>
          </w:p>
        </w:tc>
      </w:tr>
      <w:tr w:rsidR="00675E77" w:rsidTr="00675E77">
        <w:trPr>
          <w:cantSplit/>
        </w:trPr>
        <w:tc>
          <w:tcPr>
            <w:tcW w:w="1938" w:type="dxa"/>
            <w:shd w:val="clear" w:color="auto" w:fill="auto"/>
          </w:tcPr>
          <w:p w:rsidR="00675E77" w:rsidRDefault="00675E77" w:rsidP="003F0B35">
            <w:pPr>
              <w:pStyle w:val="05Tabletext"/>
              <w:keepNext/>
              <w:keepLines/>
            </w:pPr>
            <w:r>
              <w:t>Received study drug</w:t>
            </w:r>
          </w:p>
        </w:tc>
        <w:tc>
          <w:tcPr>
            <w:tcW w:w="1931" w:type="dxa"/>
            <w:shd w:val="clear" w:color="auto" w:fill="auto"/>
          </w:tcPr>
          <w:p w:rsidR="00675E77" w:rsidRDefault="00675E77" w:rsidP="003F0B35">
            <w:pPr>
              <w:pStyle w:val="05Tabletext"/>
              <w:keepNext/>
              <w:keepLines/>
              <w:jc w:val="center"/>
            </w:pPr>
            <w:r>
              <w:t>1533</w:t>
            </w:r>
          </w:p>
        </w:tc>
        <w:tc>
          <w:tcPr>
            <w:tcW w:w="1931" w:type="dxa"/>
            <w:shd w:val="clear" w:color="auto" w:fill="auto"/>
          </w:tcPr>
          <w:p w:rsidR="00675E77" w:rsidRDefault="00675E77" w:rsidP="003F0B35">
            <w:pPr>
              <w:pStyle w:val="05Tabletext"/>
              <w:keepNext/>
              <w:keepLines/>
              <w:jc w:val="center"/>
            </w:pPr>
            <w:r>
              <w:t>1534</w:t>
            </w:r>
          </w:p>
        </w:tc>
        <w:tc>
          <w:tcPr>
            <w:tcW w:w="1931" w:type="dxa"/>
            <w:shd w:val="clear" w:color="auto" w:fill="auto"/>
          </w:tcPr>
          <w:p w:rsidR="00675E77" w:rsidRDefault="00675E77" w:rsidP="003F0B35">
            <w:pPr>
              <w:pStyle w:val="05Tabletext"/>
              <w:keepNext/>
              <w:keepLines/>
              <w:jc w:val="center"/>
            </w:pPr>
            <w:r>
              <w:t>1521</w:t>
            </w:r>
          </w:p>
        </w:tc>
        <w:tc>
          <w:tcPr>
            <w:tcW w:w="1931" w:type="dxa"/>
            <w:shd w:val="clear" w:color="auto" w:fill="auto"/>
          </w:tcPr>
          <w:p w:rsidR="00675E77" w:rsidRDefault="00675E77" w:rsidP="003F0B35">
            <w:pPr>
              <w:pStyle w:val="05Tabletext"/>
              <w:keepNext/>
              <w:keepLines/>
              <w:jc w:val="center"/>
            </w:pPr>
            <w:r>
              <w:t>1524</w:t>
            </w:r>
          </w:p>
        </w:tc>
      </w:tr>
      <w:tr w:rsidR="00675E77" w:rsidTr="00675E77">
        <w:trPr>
          <w:cantSplit/>
        </w:trPr>
        <w:tc>
          <w:tcPr>
            <w:tcW w:w="1938" w:type="dxa"/>
            <w:shd w:val="clear" w:color="auto" w:fill="auto"/>
          </w:tcPr>
          <w:p w:rsidR="00675E77" w:rsidRDefault="00675E77" w:rsidP="003F0B35">
            <w:pPr>
              <w:pStyle w:val="05Tabletext"/>
              <w:keepNext/>
              <w:keepLines/>
            </w:pPr>
            <w:r>
              <w:t>Withdrawals (proportion of randomised group)</w:t>
            </w:r>
          </w:p>
        </w:tc>
        <w:tc>
          <w:tcPr>
            <w:tcW w:w="1931" w:type="dxa"/>
            <w:shd w:val="clear" w:color="auto" w:fill="auto"/>
          </w:tcPr>
          <w:p w:rsidR="00194614" w:rsidRDefault="00675E77" w:rsidP="003F0B35">
            <w:pPr>
              <w:pStyle w:val="05Tabletext"/>
              <w:keepNext/>
              <w:keepLines/>
              <w:jc w:val="center"/>
            </w:pPr>
            <w:r>
              <w:t>522</w:t>
            </w:r>
          </w:p>
          <w:p w:rsidR="00675E77" w:rsidRDefault="00675E77" w:rsidP="003F0B35">
            <w:pPr>
              <w:pStyle w:val="05Tabletext"/>
              <w:keepNext/>
              <w:keepLines/>
              <w:jc w:val="center"/>
            </w:pPr>
            <w:r>
              <w:t>(34.1%)</w:t>
            </w:r>
          </w:p>
        </w:tc>
        <w:tc>
          <w:tcPr>
            <w:tcW w:w="1931" w:type="dxa"/>
            <w:shd w:val="clear" w:color="auto" w:fill="auto"/>
          </w:tcPr>
          <w:p w:rsidR="00194614" w:rsidRDefault="00675E77" w:rsidP="003F0B35">
            <w:pPr>
              <w:pStyle w:val="05Tabletext"/>
              <w:keepNext/>
              <w:keepLines/>
              <w:jc w:val="center"/>
            </w:pPr>
            <w:r>
              <w:t>587</w:t>
            </w:r>
          </w:p>
          <w:p w:rsidR="00675E77" w:rsidRDefault="00675E77" w:rsidP="003F0B35">
            <w:pPr>
              <w:pStyle w:val="05Tabletext"/>
              <w:keepNext/>
              <w:keepLines/>
              <w:jc w:val="center"/>
            </w:pPr>
            <w:r>
              <w:t>(38.3%)</w:t>
            </w:r>
          </w:p>
        </w:tc>
        <w:tc>
          <w:tcPr>
            <w:tcW w:w="1931" w:type="dxa"/>
            <w:shd w:val="clear" w:color="auto" w:fill="auto"/>
          </w:tcPr>
          <w:p w:rsidR="00194614" w:rsidRDefault="00675E77" w:rsidP="003F0B35">
            <w:pPr>
              <w:pStyle w:val="05Tabletext"/>
              <w:keepNext/>
              <w:keepLines/>
              <w:jc w:val="center"/>
            </w:pPr>
            <w:r>
              <w:t>561</w:t>
            </w:r>
          </w:p>
          <w:p w:rsidR="00675E77" w:rsidRDefault="00675E77" w:rsidP="003F0B35">
            <w:pPr>
              <w:pStyle w:val="05Tabletext"/>
              <w:keepNext/>
              <w:keepLines/>
              <w:jc w:val="center"/>
            </w:pPr>
            <w:r>
              <w:t>(36.9%)</w:t>
            </w:r>
          </w:p>
        </w:tc>
        <w:tc>
          <w:tcPr>
            <w:tcW w:w="1931" w:type="dxa"/>
            <w:shd w:val="clear" w:color="auto" w:fill="auto"/>
          </w:tcPr>
          <w:p w:rsidR="00194614" w:rsidRDefault="00675E77" w:rsidP="003F0B35">
            <w:pPr>
              <w:pStyle w:val="05Tabletext"/>
              <w:keepNext/>
              <w:keepLines/>
              <w:jc w:val="center"/>
            </w:pPr>
            <w:r>
              <w:t>673</w:t>
            </w:r>
          </w:p>
          <w:p w:rsidR="00675E77" w:rsidRDefault="00675E77" w:rsidP="003F0B35">
            <w:pPr>
              <w:pStyle w:val="05Tabletext"/>
              <w:keepNext/>
              <w:keepLines/>
              <w:jc w:val="center"/>
            </w:pPr>
            <w:r>
              <w:t>(44.2%)</w:t>
            </w:r>
          </w:p>
        </w:tc>
      </w:tr>
      <w:tr w:rsidR="00675E77" w:rsidTr="00675E77">
        <w:trPr>
          <w:cantSplit/>
        </w:trPr>
        <w:tc>
          <w:tcPr>
            <w:tcW w:w="1938" w:type="dxa"/>
            <w:shd w:val="clear" w:color="auto" w:fill="auto"/>
          </w:tcPr>
          <w:p w:rsidR="00675E77" w:rsidRDefault="00675E77" w:rsidP="003F0B35">
            <w:pPr>
              <w:pStyle w:val="05Tabletext"/>
              <w:keepNext/>
              <w:keepLines/>
            </w:pPr>
            <w:r>
              <w:t>Withdrew due to AE</w:t>
            </w:r>
          </w:p>
        </w:tc>
        <w:tc>
          <w:tcPr>
            <w:tcW w:w="1931" w:type="dxa"/>
            <w:shd w:val="clear" w:color="auto" w:fill="auto"/>
          </w:tcPr>
          <w:p w:rsidR="00675E77" w:rsidRDefault="00675E77" w:rsidP="003F0B35">
            <w:pPr>
              <w:pStyle w:val="05Tabletext"/>
              <w:keepNext/>
              <w:keepLines/>
              <w:jc w:val="center"/>
            </w:pPr>
            <w:r>
              <w:t>289</w:t>
            </w:r>
          </w:p>
        </w:tc>
        <w:tc>
          <w:tcPr>
            <w:tcW w:w="1931" w:type="dxa"/>
            <w:shd w:val="clear" w:color="auto" w:fill="auto"/>
          </w:tcPr>
          <w:p w:rsidR="00675E77" w:rsidRDefault="00675E77" w:rsidP="003F0B35">
            <w:pPr>
              <w:pStyle w:val="05Tabletext"/>
              <w:keepNext/>
              <w:keepLines/>
              <w:jc w:val="center"/>
            </w:pPr>
            <w:r>
              <w:t>360</w:t>
            </w:r>
          </w:p>
        </w:tc>
        <w:tc>
          <w:tcPr>
            <w:tcW w:w="1931" w:type="dxa"/>
            <w:shd w:val="clear" w:color="auto" w:fill="auto"/>
          </w:tcPr>
          <w:p w:rsidR="00675E77" w:rsidRDefault="00675E77" w:rsidP="003F0B35">
            <w:pPr>
              <w:pStyle w:val="05Tabletext"/>
              <w:keepNext/>
              <w:keepLines/>
              <w:jc w:val="center"/>
            </w:pPr>
            <w:r>
              <w:t>303</w:t>
            </w:r>
          </w:p>
        </w:tc>
        <w:tc>
          <w:tcPr>
            <w:tcW w:w="1931" w:type="dxa"/>
            <w:shd w:val="clear" w:color="auto" w:fill="auto"/>
          </w:tcPr>
          <w:p w:rsidR="00675E77" w:rsidRDefault="00675E77" w:rsidP="003F0B35">
            <w:pPr>
              <w:pStyle w:val="05Tabletext"/>
              <w:keepNext/>
              <w:keepLines/>
              <w:jc w:val="center"/>
            </w:pPr>
            <w:r>
              <w:t>366</w:t>
            </w:r>
          </w:p>
        </w:tc>
      </w:tr>
      <w:tr w:rsidR="00675E77" w:rsidTr="00675E77">
        <w:trPr>
          <w:cantSplit/>
        </w:trPr>
        <w:tc>
          <w:tcPr>
            <w:tcW w:w="1938" w:type="dxa"/>
            <w:shd w:val="clear" w:color="auto" w:fill="auto"/>
          </w:tcPr>
          <w:p w:rsidR="00675E77" w:rsidRDefault="00675E77" w:rsidP="003F0B35">
            <w:pPr>
              <w:pStyle w:val="05Tabletext"/>
              <w:keepNext/>
              <w:keepLines/>
            </w:pPr>
            <w:r>
              <w:t>Completed study</w:t>
            </w:r>
          </w:p>
        </w:tc>
        <w:tc>
          <w:tcPr>
            <w:tcW w:w="1931" w:type="dxa"/>
            <w:shd w:val="clear" w:color="auto" w:fill="auto"/>
          </w:tcPr>
          <w:p w:rsidR="00675E77" w:rsidRDefault="00675E77" w:rsidP="003F0B35">
            <w:pPr>
              <w:pStyle w:val="05Tabletext"/>
              <w:keepNext/>
              <w:keepLines/>
              <w:jc w:val="center"/>
            </w:pPr>
            <w:r>
              <w:t>1011</w:t>
            </w:r>
          </w:p>
        </w:tc>
        <w:tc>
          <w:tcPr>
            <w:tcW w:w="1931" w:type="dxa"/>
            <w:shd w:val="clear" w:color="auto" w:fill="auto"/>
          </w:tcPr>
          <w:p w:rsidR="00675E77" w:rsidRDefault="00675E77" w:rsidP="003F0B35">
            <w:pPr>
              <w:pStyle w:val="05Tabletext"/>
              <w:keepNext/>
              <w:keepLines/>
              <w:jc w:val="center"/>
            </w:pPr>
            <w:r>
              <w:t>947</w:t>
            </w:r>
          </w:p>
        </w:tc>
        <w:tc>
          <w:tcPr>
            <w:tcW w:w="1931" w:type="dxa"/>
            <w:shd w:val="clear" w:color="auto" w:fill="auto"/>
          </w:tcPr>
          <w:p w:rsidR="00675E77" w:rsidRDefault="00675E77" w:rsidP="003F0B35">
            <w:pPr>
              <w:pStyle w:val="05Tabletext"/>
              <w:keepNext/>
              <w:keepLines/>
              <w:jc w:val="center"/>
            </w:pPr>
            <w:r>
              <w:t>960</w:t>
            </w:r>
          </w:p>
        </w:tc>
        <w:tc>
          <w:tcPr>
            <w:tcW w:w="1931" w:type="dxa"/>
            <w:shd w:val="clear" w:color="auto" w:fill="auto"/>
          </w:tcPr>
          <w:p w:rsidR="00675E77" w:rsidRDefault="00675E77" w:rsidP="003F0B35">
            <w:pPr>
              <w:pStyle w:val="05Tabletext"/>
              <w:keepNext/>
              <w:keepLines/>
              <w:jc w:val="center"/>
            </w:pPr>
            <w:r>
              <w:t>851</w:t>
            </w:r>
          </w:p>
        </w:tc>
      </w:tr>
    </w:tbl>
    <w:p w:rsidR="00675E77" w:rsidRDefault="00675E77" w:rsidP="003F0B35">
      <w:pPr>
        <w:pStyle w:val="10TableorFigurefootnote"/>
        <w:keepLines/>
      </w:pPr>
      <w:r>
        <w:t>Source: Calverley (2007), Figure 1, p778</w:t>
      </w:r>
    </w:p>
    <w:p w:rsidR="00675E77" w:rsidRDefault="00675E77" w:rsidP="003F0B35">
      <w:pPr>
        <w:pStyle w:val="11TableorFigurefootnotenostick"/>
        <w:keepNext/>
        <w:keepLines/>
      </w:pPr>
      <w:r>
        <w:t>Abbreviations: FLU, fluticasone; RCT, randomised controlled trial; SAL, salmeterol.</w:t>
      </w:r>
    </w:p>
    <w:p w:rsidR="00675E77" w:rsidRDefault="00675E77" w:rsidP="00675E77">
      <w:pPr>
        <w:pStyle w:val="BodyText"/>
      </w:pPr>
      <w:r>
        <w:t>Events resulting in withdrawal or discontinuation of study drug were highest in the placebo group, while more combination therapy patients reported drug-related adverse events (</w:t>
      </w:r>
      <w:r w:rsidR="00356377">
        <w:t xml:space="preserve">Table </w:t>
      </w:r>
      <w:r w:rsidR="00356377">
        <w:rPr>
          <w:noProof/>
        </w:rPr>
        <w:t>4</w:t>
      </w:r>
      <w:r w:rsidR="00356377">
        <w:t>.</w:t>
      </w:r>
      <w:r w:rsidR="00356377">
        <w:rPr>
          <w:noProof/>
        </w:rPr>
        <w:t>20</w:t>
      </w:r>
      <w:r>
        <w:t>). Pneumonia, fractures and eye disorders were listed as events of special interest. Pneumonia was reported as an adverse event or serious adverse event – it was not prospectively defined in the study protocol as excess risk was not anticipated.</w:t>
      </w:r>
    </w:p>
    <w:p w:rsidR="00675E77" w:rsidRDefault="00675E77" w:rsidP="00675E77">
      <w:pPr>
        <w:pStyle w:val="BodyText"/>
      </w:pPr>
      <w:r>
        <w:t xml:space="preserve">Calverley et al (2007) reported pneumonia rates using event-free survival analyses (Kaplan-Meier). </w:t>
      </w:r>
      <w:r w:rsidRPr="00782CA8">
        <w:t xml:space="preserve">These </w:t>
      </w:r>
      <w:r>
        <w:t>three</w:t>
      </w:r>
      <w:r w:rsidRPr="00782CA8">
        <w:t xml:space="preserve">-year event-free survival rates for pneumonia have </w:t>
      </w:r>
      <w:r>
        <w:t>usually</w:t>
      </w:r>
      <w:r w:rsidRPr="00782CA8">
        <w:t xml:space="preserve"> been applied to the </w:t>
      </w:r>
      <w:r>
        <w:t>entire original randomised group sample size</w:t>
      </w:r>
      <w:r w:rsidRPr="00782CA8">
        <w:t xml:space="preserve"> to obtain </w:t>
      </w:r>
      <w:r>
        <w:t>the event frequencies</w:t>
      </w:r>
      <w:r w:rsidRPr="00782CA8">
        <w:t xml:space="preserve"> for meta-analyse</w:t>
      </w:r>
      <w:r>
        <w:t xml:space="preserve">s. </w:t>
      </w:r>
      <w:r w:rsidR="00356377">
        <w:t xml:space="preserve">Table </w:t>
      </w:r>
      <w:r w:rsidR="00356377">
        <w:rPr>
          <w:noProof/>
        </w:rPr>
        <w:t>4</w:t>
      </w:r>
      <w:r w:rsidR="00356377">
        <w:t>.</w:t>
      </w:r>
      <w:r w:rsidR="00356377">
        <w:rPr>
          <w:noProof/>
        </w:rPr>
        <w:t>20</w:t>
      </w:r>
      <w:r>
        <w:t xml:space="preserve"> supplements the published results with data from the TORCH Clinical Study Report for pneumonia as an adverse event or serious adverse event.</w:t>
      </w:r>
    </w:p>
    <w:p w:rsidR="00FE50AF" w:rsidRDefault="00675E77" w:rsidP="00675E77">
      <w:pPr>
        <w:pStyle w:val="BodyText"/>
      </w:pPr>
      <w:r>
        <w:t xml:space="preserve">For the Kapan-Meier pneumonia probability estimate, the differences between </w:t>
      </w:r>
      <w:r w:rsidR="00C85735">
        <w:t>the</w:t>
      </w:r>
      <w:r>
        <w:t xml:space="preserve"> fluticasone group (combination or monotherapy) and the placebo group were statistically significant, as was the difference between the combination therapy and salmeterol groups. </w:t>
      </w:r>
    </w:p>
    <w:p w:rsidR="00675E77" w:rsidRDefault="00675E77" w:rsidP="00675E77">
      <w:pPr>
        <w:pStyle w:val="BodyText"/>
      </w:pPr>
      <w:r>
        <w:t>The authors noted that th</w:t>
      </w:r>
      <w:r w:rsidR="00024991">
        <w:t>is</w:t>
      </w:r>
      <w:r>
        <w:t xml:space="preserve"> increase in pneumonia events did not appear to result in an increase in </w:t>
      </w:r>
      <w:r w:rsidR="00024991">
        <w:t>mortality</w:t>
      </w:r>
      <w:r>
        <w:t xml:space="preserve"> (</w:t>
      </w:r>
      <w:r w:rsidR="00024991">
        <w:t xml:space="preserve">in fact, a reduction in </w:t>
      </w:r>
      <w:r>
        <w:t xml:space="preserve">all-cause mortality </w:t>
      </w:r>
      <w:r w:rsidR="00024991">
        <w:t>in the fluticasone</w:t>
      </w:r>
      <w:r w:rsidR="00194614">
        <w:t xml:space="preserve"> propionate</w:t>
      </w:r>
      <w:r w:rsidR="00024991" w:rsidRPr="00024991">
        <w:t>/s</w:t>
      </w:r>
      <w:r w:rsidR="00024991">
        <w:t>almeterol group</w:t>
      </w:r>
      <w:r w:rsidR="006D7258">
        <w:t xml:space="preserve"> versus placebo</w:t>
      </w:r>
      <w:r w:rsidR="00024991">
        <w:t xml:space="preserve"> </w:t>
      </w:r>
      <w:r>
        <w:t>came close to, but did not reach, statistical significance: H</w:t>
      </w:r>
      <w:r w:rsidR="002303F7">
        <w:t>R 0.825 [95% CI: 0.681, 1.002], P</w:t>
      </w:r>
      <w:r>
        <w:t>=0.052).</w:t>
      </w:r>
    </w:p>
    <w:p w:rsidR="00675E77" w:rsidRDefault="00675E77" w:rsidP="00D52262">
      <w:pPr>
        <w:pStyle w:val="HeaderTable"/>
      </w:pPr>
      <w:bookmarkStart w:id="220" w:name="_Ref467879234"/>
      <w:bookmarkStart w:id="221" w:name="_Toc468022913"/>
      <w:bookmarkStart w:id="222" w:name="_Toc468034566"/>
      <w:bookmarkStart w:id="223" w:name="_Toc480373315"/>
      <w:bookmarkStart w:id="224" w:name="_Toc486515210"/>
      <w:r>
        <w:lastRenderedPageBreak/>
        <w:t xml:space="preserve">Table </w:t>
      </w:r>
      <w:r w:rsidR="00356377">
        <w:rPr>
          <w:noProof/>
        </w:rPr>
        <w:t>4</w:t>
      </w:r>
      <w:r>
        <w:t>.</w:t>
      </w:r>
      <w:r w:rsidR="00356377">
        <w:rPr>
          <w:noProof/>
        </w:rPr>
        <w:t>20</w:t>
      </w:r>
      <w:bookmarkEnd w:id="220"/>
      <w:r>
        <w:tab/>
        <w:t>Selected safety results from the TORCH RCT – Calverley 2007 and SCO30003 CSR</w:t>
      </w:r>
      <w:bookmarkEnd w:id="221"/>
      <w:bookmarkEnd w:id="222"/>
      <w:bookmarkEnd w:id="223"/>
      <w:bookmarkEnd w:id="2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bottom w:w="28" w:type="dxa"/>
          <w:right w:w="0" w:type="dxa"/>
        </w:tblCellMar>
        <w:tblLook w:val="04A0" w:firstRow="1" w:lastRow="0" w:firstColumn="1" w:lastColumn="0" w:noHBand="0" w:noVBand="1"/>
        <w:tblDescription w:val="Selected safety results from the TORCH RCT – Calverley 2007 and SCO30003 CSR"/>
      </w:tblPr>
      <w:tblGrid>
        <w:gridCol w:w="4400"/>
        <w:gridCol w:w="1312"/>
        <w:gridCol w:w="1312"/>
        <w:gridCol w:w="1312"/>
        <w:gridCol w:w="1312"/>
      </w:tblGrid>
      <w:tr w:rsidR="00675E77" w:rsidRPr="00F3715E" w:rsidTr="006D7258">
        <w:trPr>
          <w:cantSplit/>
          <w:tblHeader/>
        </w:trPr>
        <w:tc>
          <w:tcPr>
            <w:tcW w:w="4400" w:type="dxa"/>
            <w:shd w:val="clear" w:color="auto" w:fill="BFBFBF"/>
          </w:tcPr>
          <w:p w:rsidR="00675E77" w:rsidRDefault="00675E77" w:rsidP="00675E77">
            <w:pPr>
              <w:pStyle w:val="01TableHEADINGleftaligned"/>
            </w:pPr>
            <w:r>
              <w:t>Adverse Event (% of patients)</w:t>
            </w:r>
          </w:p>
        </w:tc>
        <w:tc>
          <w:tcPr>
            <w:tcW w:w="1312" w:type="dxa"/>
            <w:shd w:val="clear" w:color="auto" w:fill="BFBFBF"/>
          </w:tcPr>
          <w:p w:rsidR="00675E77" w:rsidRDefault="00675E77" w:rsidP="00675E77">
            <w:pPr>
              <w:pStyle w:val="02TableHEADINGcentred"/>
            </w:pPr>
            <w:r>
              <w:t>FLU/SAL 500/50</w:t>
            </w:r>
            <w:r>
              <w:br/>
              <w:t>(N = 1546)</w:t>
            </w:r>
          </w:p>
        </w:tc>
        <w:tc>
          <w:tcPr>
            <w:tcW w:w="1312" w:type="dxa"/>
            <w:shd w:val="clear" w:color="auto" w:fill="BFBFBF"/>
          </w:tcPr>
          <w:p w:rsidR="00675E77" w:rsidRDefault="00675E77" w:rsidP="00675E77">
            <w:pPr>
              <w:pStyle w:val="02TableHEADINGcentred"/>
            </w:pPr>
            <w:r>
              <w:t>FLU 500</w:t>
            </w:r>
            <w:r>
              <w:br/>
              <w:t>(N = 1552)</w:t>
            </w:r>
          </w:p>
        </w:tc>
        <w:tc>
          <w:tcPr>
            <w:tcW w:w="1312" w:type="dxa"/>
            <w:shd w:val="clear" w:color="auto" w:fill="BFBFBF"/>
          </w:tcPr>
          <w:p w:rsidR="00675E77" w:rsidRDefault="00675E77" w:rsidP="00675E77">
            <w:pPr>
              <w:pStyle w:val="02TableHEADINGcentred"/>
            </w:pPr>
            <w:r>
              <w:t>SAL 50</w:t>
            </w:r>
            <w:r>
              <w:br/>
              <w:t>(N = 1542)</w:t>
            </w:r>
          </w:p>
        </w:tc>
        <w:tc>
          <w:tcPr>
            <w:tcW w:w="1312" w:type="dxa"/>
            <w:shd w:val="clear" w:color="auto" w:fill="BFBFBF"/>
          </w:tcPr>
          <w:p w:rsidR="00675E77" w:rsidRDefault="00675E77" w:rsidP="00675E77">
            <w:pPr>
              <w:pStyle w:val="02TableHEADINGcentred"/>
            </w:pPr>
            <w:r>
              <w:t>Placebo</w:t>
            </w:r>
            <w:r>
              <w:br/>
              <w:t>(N = 1554)</w:t>
            </w:r>
          </w:p>
        </w:tc>
      </w:tr>
      <w:tr w:rsidR="00675E77" w:rsidRPr="00F3715E" w:rsidTr="006D7258">
        <w:trPr>
          <w:cantSplit/>
        </w:trPr>
        <w:tc>
          <w:tcPr>
            <w:tcW w:w="4400" w:type="dxa"/>
            <w:shd w:val="clear" w:color="auto" w:fill="auto"/>
          </w:tcPr>
          <w:p w:rsidR="00675E77" w:rsidRDefault="00675E77" w:rsidP="00675E77">
            <w:pPr>
              <w:pStyle w:val="05Tabletext"/>
            </w:pPr>
            <w:r>
              <w:t>Any adverse event</w:t>
            </w:r>
          </w:p>
        </w:tc>
        <w:tc>
          <w:tcPr>
            <w:tcW w:w="1312" w:type="dxa"/>
          </w:tcPr>
          <w:p w:rsidR="00675E77" w:rsidRDefault="00675E77" w:rsidP="00675E77">
            <w:pPr>
              <w:pStyle w:val="05Tabletext"/>
              <w:jc w:val="center"/>
            </w:pPr>
            <w:r>
              <w:t>89</w:t>
            </w:r>
          </w:p>
        </w:tc>
        <w:tc>
          <w:tcPr>
            <w:tcW w:w="1312" w:type="dxa"/>
          </w:tcPr>
          <w:p w:rsidR="00675E77" w:rsidRDefault="00675E77" w:rsidP="00675E77">
            <w:pPr>
              <w:pStyle w:val="05Tabletext"/>
              <w:jc w:val="center"/>
            </w:pPr>
            <w:r>
              <w:t>90</w:t>
            </w:r>
          </w:p>
        </w:tc>
        <w:tc>
          <w:tcPr>
            <w:tcW w:w="1312" w:type="dxa"/>
          </w:tcPr>
          <w:p w:rsidR="00675E77" w:rsidRDefault="00675E77" w:rsidP="00675E77">
            <w:pPr>
              <w:pStyle w:val="05Tabletext"/>
              <w:jc w:val="center"/>
            </w:pPr>
            <w:r>
              <w:t>90</w:t>
            </w:r>
          </w:p>
        </w:tc>
        <w:tc>
          <w:tcPr>
            <w:tcW w:w="1312" w:type="dxa"/>
            <w:shd w:val="clear" w:color="auto" w:fill="auto"/>
          </w:tcPr>
          <w:p w:rsidR="00675E77" w:rsidRDefault="00675E77" w:rsidP="00675E77">
            <w:pPr>
              <w:pStyle w:val="05Tabletext"/>
              <w:jc w:val="center"/>
            </w:pPr>
            <w:r>
              <w:t>90</w:t>
            </w:r>
          </w:p>
        </w:tc>
      </w:tr>
      <w:tr w:rsidR="00675E77" w:rsidRPr="00F3715E" w:rsidTr="006D7258">
        <w:trPr>
          <w:cantSplit/>
        </w:trPr>
        <w:tc>
          <w:tcPr>
            <w:tcW w:w="4400" w:type="dxa"/>
            <w:shd w:val="clear" w:color="auto" w:fill="auto"/>
          </w:tcPr>
          <w:p w:rsidR="00675E77" w:rsidRDefault="00675E77" w:rsidP="00675E77">
            <w:pPr>
              <w:pStyle w:val="05Tabletext"/>
            </w:pPr>
            <w:r>
              <w:t>Serious adverse event</w:t>
            </w:r>
          </w:p>
        </w:tc>
        <w:tc>
          <w:tcPr>
            <w:tcW w:w="1312" w:type="dxa"/>
          </w:tcPr>
          <w:p w:rsidR="00675E77" w:rsidRDefault="00675E77" w:rsidP="00675E77">
            <w:pPr>
              <w:pStyle w:val="05Tabletext"/>
              <w:jc w:val="center"/>
            </w:pPr>
            <w:r>
              <w:t>43</w:t>
            </w:r>
          </w:p>
        </w:tc>
        <w:tc>
          <w:tcPr>
            <w:tcW w:w="1312" w:type="dxa"/>
          </w:tcPr>
          <w:p w:rsidR="00675E77" w:rsidRDefault="00675E77" w:rsidP="00675E77">
            <w:pPr>
              <w:pStyle w:val="05Tabletext"/>
              <w:jc w:val="center"/>
            </w:pPr>
            <w:r>
              <w:t>42</w:t>
            </w:r>
          </w:p>
        </w:tc>
        <w:tc>
          <w:tcPr>
            <w:tcW w:w="1312" w:type="dxa"/>
          </w:tcPr>
          <w:p w:rsidR="00675E77" w:rsidRDefault="00675E77" w:rsidP="00675E77">
            <w:pPr>
              <w:pStyle w:val="05Tabletext"/>
              <w:jc w:val="center"/>
            </w:pPr>
            <w:r>
              <w:t>40</w:t>
            </w:r>
          </w:p>
        </w:tc>
        <w:tc>
          <w:tcPr>
            <w:tcW w:w="1312" w:type="dxa"/>
            <w:shd w:val="clear" w:color="auto" w:fill="auto"/>
          </w:tcPr>
          <w:p w:rsidR="00675E77" w:rsidRDefault="00675E77" w:rsidP="00675E77">
            <w:pPr>
              <w:pStyle w:val="05Tabletext"/>
              <w:jc w:val="center"/>
            </w:pPr>
            <w:r>
              <w:t>41</w:t>
            </w:r>
          </w:p>
        </w:tc>
      </w:tr>
      <w:tr w:rsidR="00675E77" w:rsidTr="006D7258">
        <w:trPr>
          <w:cantSplit/>
        </w:trPr>
        <w:tc>
          <w:tcPr>
            <w:tcW w:w="4400" w:type="dxa"/>
            <w:shd w:val="clear" w:color="auto" w:fill="auto"/>
          </w:tcPr>
          <w:p w:rsidR="00675E77" w:rsidRDefault="00675E77" w:rsidP="00675E77">
            <w:pPr>
              <w:pStyle w:val="05Tabletext"/>
            </w:pPr>
            <w:r>
              <w:t>Drug-related adverse event</w:t>
            </w:r>
          </w:p>
        </w:tc>
        <w:tc>
          <w:tcPr>
            <w:tcW w:w="1312" w:type="dxa"/>
          </w:tcPr>
          <w:p w:rsidR="00675E77" w:rsidRDefault="00675E77" w:rsidP="00675E77">
            <w:pPr>
              <w:pStyle w:val="05Tabletext"/>
              <w:jc w:val="center"/>
            </w:pPr>
            <w:r>
              <w:t>18</w:t>
            </w:r>
          </w:p>
        </w:tc>
        <w:tc>
          <w:tcPr>
            <w:tcW w:w="1312" w:type="dxa"/>
          </w:tcPr>
          <w:p w:rsidR="00675E77" w:rsidRDefault="00675E77" w:rsidP="00675E77">
            <w:pPr>
              <w:pStyle w:val="05Tabletext"/>
              <w:jc w:val="center"/>
            </w:pPr>
            <w:r>
              <w:t>19</w:t>
            </w:r>
          </w:p>
        </w:tc>
        <w:tc>
          <w:tcPr>
            <w:tcW w:w="1312" w:type="dxa"/>
          </w:tcPr>
          <w:p w:rsidR="00675E77" w:rsidRDefault="00675E77" w:rsidP="00675E77">
            <w:pPr>
              <w:pStyle w:val="05Tabletext"/>
              <w:jc w:val="center"/>
            </w:pPr>
            <w:r>
              <w:t>12</w:t>
            </w:r>
          </w:p>
        </w:tc>
        <w:tc>
          <w:tcPr>
            <w:tcW w:w="1312" w:type="dxa"/>
            <w:shd w:val="clear" w:color="auto" w:fill="auto"/>
          </w:tcPr>
          <w:p w:rsidR="00675E77" w:rsidRDefault="00675E77" w:rsidP="00675E77">
            <w:pPr>
              <w:pStyle w:val="05Tabletext"/>
              <w:jc w:val="center"/>
            </w:pPr>
            <w:r>
              <w:t>13</w:t>
            </w:r>
          </w:p>
        </w:tc>
      </w:tr>
      <w:tr w:rsidR="00675E77" w:rsidTr="006D7258">
        <w:trPr>
          <w:cantSplit/>
        </w:trPr>
        <w:tc>
          <w:tcPr>
            <w:tcW w:w="4400" w:type="dxa"/>
            <w:shd w:val="clear" w:color="auto" w:fill="auto"/>
          </w:tcPr>
          <w:p w:rsidR="00675E77" w:rsidRDefault="00675E77" w:rsidP="00675E77">
            <w:pPr>
              <w:pStyle w:val="05Tabletext"/>
            </w:pPr>
            <w:r>
              <w:t>Event resulting in withdrawal or discontinuation of study drug</w:t>
            </w:r>
          </w:p>
        </w:tc>
        <w:tc>
          <w:tcPr>
            <w:tcW w:w="1312" w:type="dxa"/>
          </w:tcPr>
          <w:p w:rsidR="00675E77" w:rsidRDefault="00675E77" w:rsidP="00675E77">
            <w:pPr>
              <w:pStyle w:val="05Tabletext"/>
              <w:jc w:val="center"/>
            </w:pPr>
            <w:r>
              <w:t>18</w:t>
            </w:r>
          </w:p>
        </w:tc>
        <w:tc>
          <w:tcPr>
            <w:tcW w:w="1312" w:type="dxa"/>
          </w:tcPr>
          <w:p w:rsidR="00675E77" w:rsidRDefault="00675E77" w:rsidP="00675E77">
            <w:pPr>
              <w:pStyle w:val="05Tabletext"/>
              <w:jc w:val="center"/>
            </w:pPr>
            <w:r>
              <w:t>23</w:t>
            </w:r>
          </w:p>
        </w:tc>
        <w:tc>
          <w:tcPr>
            <w:tcW w:w="1312" w:type="dxa"/>
          </w:tcPr>
          <w:p w:rsidR="00675E77" w:rsidRDefault="00675E77" w:rsidP="00675E77">
            <w:pPr>
              <w:pStyle w:val="05Tabletext"/>
              <w:jc w:val="center"/>
            </w:pPr>
            <w:r>
              <w:t>20</w:t>
            </w:r>
          </w:p>
        </w:tc>
        <w:tc>
          <w:tcPr>
            <w:tcW w:w="1312" w:type="dxa"/>
            <w:shd w:val="clear" w:color="auto" w:fill="auto"/>
          </w:tcPr>
          <w:p w:rsidR="00675E77" w:rsidRDefault="00675E77" w:rsidP="00675E77">
            <w:pPr>
              <w:pStyle w:val="05Tabletext"/>
              <w:jc w:val="center"/>
            </w:pPr>
            <w:r>
              <w:t>24</w:t>
            </w:r>
          </w:p>
        </w:tc>
      </w:tr>
      <w:tr w:rsidR="00675E77" w:rsidTr="006D7258">
        <w:trPr>
          <w:cantSplit/>
        </w:trPr>
        <w:tc>
          <w:tcPr>
            <w:tcW w:w="4400" w:type="dxa"/>
            <w:shd w:val="clear" w:color="auto" w:fill="000000"/>
          </w:tcPr>
          <w:p w:rsidR="00675E77" w:rsidRDefault="00675E77" w:rsidP="00675E77">
            <w:pPr>
              <w:pStyle w:val="04Tablesubheading"/>
            </w:pPr>
            <w:r>
              <w:t>Noted as special interest</w:t>
            </w:r>
          </w:p>
        </w:tc>
        <w:tc>
          <w:tcPr>
            <w:tcW w:w="1312" w:type="dxa"/>
            <w:shd w:val="clear" w:color="auto" w:fill="000000"/>
          </w:tcPr>
          <w:p w:rsidR="00675E77" w:rsidRDefault="00675E77" w:rsidP="00675E77">
            <w:pPr>
              <w:pStyle w:val="04Tablesubheading"/>
            </w:pPr>
          </w:p>
        </w:tc>
        <w:tc>
          <w:tcPr>
            <w:tcW w:w="1312" w:type="dxa"/>
            <w:shd w:val="clear" w:color="auto" w:fill="000000"/>
          </w:tcPr>
          <w:p w:rsidR="00675E77" w:rsidRDefault="00675E77" w:rsidP="00675E77">
            <w:pPr>
              <w:pStyle w:val="04Tablesubheading"/>
            </w:pPr>
          </w:p>
        </w:tc>
        <w:tc>
          <w:tcPr>
            <w:tcW w:w="1312" w:type="dxa"/>
            <w:shd w:val="clear" w:color="auto" w:fill="000000"/>
          </w:tcPr>
          <w:p w:rsidR="00675E77" w:rsidRDefault="00675E77" w:rsidP="00675E77">
            <w:pPr>
              <w:pStyle w:val="04Tablesubheading"/>
            </w:pPr>
          </w:p>
        </w:tc>
        <w:tc>
          <w:tcPr>
            <w:tcW w:w="1312" w:type="dxa"/>
            <w:shd w:val="clear" w:color="auto" w:fill="000000"/>
          </w:tcPr>
          <w:p w:rsidR="00675E77" w:rsidRDefault="00675E77" w:rsidP="00675E77">
            <w:pPr>
              <w:pStyle w:val="04Tablesubheading"/>
            </w:pPr>
          </w:p>
        </w:tc>
      </w:tr>
      <w:tr w:rsidR="00675E77" w:rsidRPr="00F3715E" w:rsidTr="006D7258">
        <w:trPr>
          <w:cantSplit/>
        </w:trPr>
        <w:tc>
          <w:tcPr>
            <w:tcW w:w="4400" w:type="dxa"/>
            <w:tcBorders>
              <w:bottom w:val="single" w:sz="4" w:space="0" w:color="auto"/>
            </w:tcBorders>
            <w:shd w:val="clear" w:color="auto" w:fill="auto"/>
          </w:tcPr>
          <w:p w:rsidR="00675E77" w:rsidRDefault="00675E77" w:rsidP="00675E77">
            <w:pPr>
              <w:pStyle w:val="05Tabletext"/>
            </w:pPr>
            <w:r>
              <w:t>Pneumonia (% from Kaplan-Meier)</w:t>
            </w:r>
          </w:p>
        </w:tc>
        <w:tc>
          <w:tcPr>
            <w:tcW w:w="1312" w:type="dxa"/>
            <w:tcBorders>
              <w:bottom w:val="single" w:sz="4" w:space="0" w:color="auto"/>
            </w:tcBorders>
          </w:tcPr>
          <w:p w:rsidR="00675E77" w:rsidRDefault="00675E77" w:rsidP="00675E77">
            <w:pPr>
              <w:pStyle w:val="05Tabletext"/>
              <w:jc w:val="center"/>
            </w:pPr>
            <w:r>
              <w:t>19.6</w:t>
            </w:r>
          </w:p>
        </w:tc>
        <w:tc>
          <w:tcPr>
            <w:tcW w:w="1312" w:type="dxa"/>
            <w:tcBorders>
              <w:bottom w:val="single" w:sz="4" w:space="0" w:color="auto"/>
            </w:tcBorders>
          </w:tcPr>
          <w:p w:rsidR="00675E77" w:rsidRDefault="00675E77" w:rsidP="00675E77">
            <w:pPr>
              <w:pStyle w:val="05Tabletext"/>
              <w:jc w:val="center"/>
            </w:pPr>
            <w:r>
              <w:t>18.3</w:t>
            </w:r>
          </w:p>
        </w:tc>
        <w:tc>
          <w:tcPr>
            <w:tcW w:w="1312" w:type="dxa"/>
            <w:tcBorders>
              <w:bottom w:val="single" w:sz="4" w:space="0" w:color="auto"/>
            </w:tcBorders>
          </w:tcPr>
          <w:p w:rsidR="00675E77" w:rsidRDefault="00675E77" w:rsidP="00675E77">
            <w:pPr>
              <w:pStyle w:val="05Tabletext"/>
              <w:jc w:val="center"/>
            </w:pPr>
            <w:r>
              <w:t>13.3</w:t>
            </w:r>
          </w:p>
        </w:tc>
        <w:tc>
          <w:tcPr>
            <w:tcW w:w="1312" w:type="dxa"/>
            <w:tcBorders>
              <w:bottom w:val="single" w:sz="4" w:space="0" w:color="auto"/>
            </w:tcBorders>
            <w:shd w:val="clear" w:color="auto" w:fill="auto"/>
          </w:tcPr>
          <w:p w:rsidR="00675E77" w:rsidRDefault="00675E77" w:rsidP="00675E77">
            <w:pPr>
              <w:pStyle w:val="05Tabletext"/>
              <w:jc w:val="center"/>
            </w:pPr>
            <w:r>
              <w:t>12.3</w:t>
            </w:r>
          </w:p>
        </w:tc>
      </w:tr>
      <w:tr w:rsidR="00675E77" w:rsidTr="006D7258">
        <w:trPr>
          <w:cantSplit/>
        </w:trPr>
        <w:tc>
          <w:tcPr>
            <w:tcW w:w="4400" w:type="dxa"/>
            <w:shd w:val="clear" w:color="auto" w:fill="auto"/>
          </w:tcPr>
          <w:p w:rsidR="00675E77" w:rsidRDefault="00675E77" w:rsidP="00675E77">
            <w:pPr>
              <w:pStyle w:val="05Tabletext"/>
            </w:pPr>
            <w:r>
              <w:t>Pneumonia AE – n (%)</w:t>
            </w:r>
          </w:p>
        </w:tc>
        <w:tc>
          <w:tcPr>
            <w:tcW w:w="1312" w:type="dxa"/>
          </w:tcPr>
          <w:p w:rsidR="00675E77" w:rsidRDefault="00675E77" w:rsidP="00675E77">
            <w:pPr>
              <w:pStyle w:val="05Tabletext"/>
              <w:jc w:val="center"/>
            </w:pPr>
            <w:r>
              <w:t>207 (13)</w:t>
            </w:r>
          </w:p>
        </w:tc>
        <w:tc>
          <w:tcPr>
            <w:tcW w:w="1312" w:type="dxa"/>
          </w:tcPr>
          <w:p w:rsidR="00675E77" w:rsidRDefault="00675E77" w:rsidP="00675E77">
            <w:pPr>
              <w:pStyle w:val="05Tabletext"/>
              <w:jc w:val="center"/>
            </w:pPr>
            <w:r>
              <w:t>185 (12)</w:t>
            </w:r>
          </w:p>
        </w:tc>
        <w:tc>
          <w:tcPr>
            <w:tcW w:w="1312" w:type="dxa"/>
          </w:tcPr>
          <w:p w:rsidR="00675E77" w:rsidRDefault="00675E77" w:rsidP="00675E77">
            <w:pPr>
              <w:pStyle w:val="05Tabletext"/>
              <w:jc w:val="center"/>
            </w:pPr>
            <w:r>
              <w:t>133 (9)</w:t>
            </w:r>
          </w:p>
        </w:tc>
        <w:tc>
          <w:tcPr>
            <w:tcW w:w="1312" w:type="dxa"/>
            <w:shd w:val="clear" w:color="auto" w:fill="auto"/>
          </w:tcPr>
          <w:p w:rsidR="00675E77" w:rsidRDefault="00675E77" w:rsidP="00675E77">
            <w:pPr>
              <w:pStyle w:val="05Tabletext"/>
              <w:jc w:val="center"/>
            </w:pPr>
            <w:r>
              <w:t>112 (7)</w:t>
            </w:r>
          </w:p>
        </w:tc>
      </w:tr>
      <w:tr w:rsidR="00675E77" w:rsidTr="006D7258">
        <w:trPr>
          <w:cantSplit/>
        </w:trPr>
        <w:tc>
          <w:tcPr>
            <w:tcW w:w="4400" w:type="dxa"/>
            <w:shd w:val="clear" w:color="auto" w:fill="auto"/>
          </w:tcPr>
          <w:p w:rsidR="00675E77" w:rsidRDefault="00675E77" w:rsidP="00675E77">
            <w:pPr>
              <w:pStyle w:val="05Tabletext"/>
            </w:pPr>
            <w:r>
              <w:t>Pneumonia SAE – n (%)</w:t>
            </w:r>
          </w:p>
        </w:tc>
        <w:tc>
          <w:tcPr>
            <w:tcW w:w="1312" w:type="dxa"/>
          </w:tcPr>
          <w:p w:rsidR="00675E77" w:rsidRDefault="00675E77" w:rsidP="00675E77">
            <w:pPr>
              <w:pStyle w:val="05Tabletext"/>
              <w:jc w:val="center"/>
            </w:pPr>
            <w:r>
              <w:t>138 (9)</w:t>
            </w:r>
          </w:p>
        </w:tc>
        <w:tc>
          <w:tcPr>
            <w:tcW w:w="1312" w:type="dxa"/>
          </w:tcPr>
          <w:p w:rsidR="00675E77" w:rsidRDefault="00675E77" w:rsidP="00675E77">
            <w:pPr>
              <w:pStyle w:val="05Tabletext"/>
              <w:jc w:val="center"/>
            </w:pPr>
            <w:r>
              <w:t>121 (8)</w:t>
            </w:r>
          </w:p>
        </w:tc>
        <w:tc>
          <w:tcPr>
            <w:tcW w:w="1312" w:type="dxa"/>
          </w:tcPr>
          <w:p w:rsidR="00675E77" w:rsidRDefault="00675E77" w:rsidP="00675E77">
            <w:pPr>
              <w:pStyle w:val="05Tabletext"/>
              <w:jc w:val="center"/>
            </w:pPr>
            <w:r>
              <w:t>82 (5)</w:t>
            </w:r>
          </w:p>
        </w:tc>
        <w:tc>
          <w:tcPr>
            <w:tcW w:w="1312" w:type="dxa"/>
            <w:shd w:val="clear" w:color="auto" w:fill="auto"/>
          </w:tcPr>
          <w:p w:rsidR="00675E77" w:rsidRDefault="00675E77" w:rsidP="00675E77">
            <w:pPr>
              <w:pStyle w:val="05Tabletext"/>
              <w:jc w:val="center"/>
            </w:pPr>
            <w:r>
              <w:t>69 (4)</w:t>
            </w:r>
          </w:p>
        </w:tc>
      </w:tr>
      <w:tr w:rsidR="00675E77" w:rsidRPr="00F3715E" w:rsidTr="006D7258">
        <w:trPr>
          <w:cantSplit/>
        </w:trPr>
        <w:tc>
          <w:tcPr>
            <w:tcW w:w="4400" w:type="dxa"/>
            <w:tcBorders>
              <w:bottom w:val="nil"/>
            </w:tcBorders>
            <w:shd w:val="clear" w:color="auto" w:fill="auto"/>
          </w:tcPr>
          <w:p w:rsidR="00675E77" w:rsidRDefault="00675E77" w:rsidP="00675E77">
            <w:pPr>
              <w:pStyle w:val="05Tabletext"/>
              <w:keepNext/>
            </w:pPr>
            <w:r>
              <w:t>Fractures (% from Kaplan-Meier)</w:t>
            </w:r>
          </w:p>
        </w:tc>
        <w:tc>
          <w:tcPr>
            <w:tcW w:w="1312" w:type="dxa"/>
            <w:tcBorders>
              <w:bottom w:val="nil"/>
            </w:tcBorders>
          </w:tcPr>
          <w:p w:rsidR="00675E77" w:rsidRDefault="00675E77" w:rsidP="00675E77">
            <w:pPr>
              <w:pStyle w:val="05Tabletext"/>
              <w:keepNext/>
              <w:jc w:val="center"/>
            </w:pPr>
          </w:p>
        </w:tc>
        <w:tc>
          <w:tcPr>
            <w:tcW w:w="1312" w:type="dxa"/>
            <w:tcBorders>
              <w:bottom w:val="nil"/>
            </w:tcBorders>
          </w:tcPr>
          <w:p w:rsidR="00675E77" w:rsidRDefault="00675E77" w:rsidP="00675E77">
            <w:pPr>
              <w:pStyle w:val="05Tabletext"/>
              <w:keepNext/>
              <w:jc w:val="center"/>
            </w:pPr>
          </w:p>
        </w:tc>
        <w:tc>
          <w:tcPr>
            <w:tcW w:w="1312" w:type="dxa"/>
            <w:tcBorders>
              <w:bottom w:val="nil"/>
            </w:tcBorders>
          </w:tcPr>
          <w:p w:rsidR="00675E77" w:rsidRDefault="00675E77" w:rsidP="00675E77">
            <w:pPr>
              <w:pStyle w:val="05Tabletext"/>
              <w:keepNext/>
              <w:jc w:val="center"/>
            </w:pPr>
          </w:p>
        </w:tc>
        <w:tc>
          <w:tcPr>
            <w:tcW w:w="1312" w:type="dxa"/>
            <w:tcBorders>
              <w:bottom w:val="nil"/>
            </w:tcBorders>
            <w:shd w:val="clear" w:color="auto" w:fill="auto"/>
          </w:tcPr>
          <w:p w:rsidR="00675E77" w:rsidRDefault="00675E77" w:rsidP="00675E77">
            <w:pPr>
              <w:pStyle w:val="05Tabletext"/>
              <w:keepNext/>
              <w:jc w:val="center"/>
            </w:pPr>
          </w:p>
        </w:tc>
      </w:tr>
      <w:tr w:rsidR="00675E77" w:rsidTr="006D7258">
        <w:trPr>
          <w:cantSplit/>
        </w:trPr>
        <w:tc>
          <w:tcPr>
            <w:tcW w:w="4400" w:type="dxa"/>
            <w:tcBorders>
              <w:top w:val="nil"/>
              <w:bottom w:val="nil"/>
            </w:tcBorders>
            <w:shd w:val="clear" w:color="auto" w:fill="auto"/>
            <w:tcMar>
              <w:top w:w="0" w:type="dxa"/>
              <w:bottom w:w="0" w:type="dxa"/>
            </w:tcMar>
          </w:tcPr>
          <w:p w:rsidR="00675E77" w:rsidRDefault="00675E77" w:rsidP="00675E77">
            <w:pPr>
              <w:pStyle w:val="05Tabletext"/>
              <w:keepNext/>
              <w:spacing w:before="0"/>
              <w:ind w:left="170"/>
            </w:pPr>
            <w:r>
              <w:t>Total</w:t>
            </w:r>
          </w:p>
        </w:tc>
        <w:tc>
          <w:tcPr>
            <w:tcW w:w="1312" w:type="dxa"/>
            <w:tcBorders>
              <w:top w:val="nil"/>
              <w:bottom w:val="nil"/>
            </w:tcBorders>
            <w:tcMar>
              <w:top w:w="0" w:type="dxa"/>
              <w:bottom w:w="0" w:type="dxa"/>
            </w:tcMar>
          </w:tcPr>
          <w:p w:rsidR="00675E77" w:rsidRDefault="00675E77" w:rsidP="00675E77">
            <w:pPr>
              <w:pStyle w:val="05Tabletext"/>
              <w:keepNext/>
              <w:spacing w:before="0"/>
              <w:jc w:val="center"/>
            </w:pPr>
            <w:r>
              <w:t>6.3</w:t>
            </w:r>
          </w:p>
        </w:tc>
        <w:tc>
          <w:tcPr>
            <w:tcW w:w="1312" w:type="dxa"/>
            <w:tcBorders>
              <w:top w:val="nil"/>
              <w:bottom w:val="nil"/>
            </w:tcBorders>
            <w:tcMar>
              <w:top w:w="0" w:type="dxa"/>
              <w:bottom w:w="0" w:type="dxa"/>
            </w:tcMar>
          </w:tcPr>
          <w:p w:rsidR="00675E77" w:rsidRDefault="00675E77" w:rsidP="00675E77">
            <w:pPr>
              <w:pStyle w:val="05Tabletext"/>
              <w:keepNext/>
              <w:spacing w:before="0"/>
              <w:jc w:val="center"/>
            </w:pPr>
            <w:r>
              <w:t>5.4</w:t>
            </w:r>
          </w:p>
        </w:tc>
        <w:tc>
          <w:tcPr>
            <w:tcW w:w="1312" w:type="dxa"/>
            <w:tcBorders>
              <w:top w:val="nil"/>
              <w:bottom w:val="nil"/>
            </w:tcBorders>
            <w:tcMar>
              <w:top w:w="0" w:type="dxa"/>
              <w:bottom w:w="0" w:type="dxa"/>
            </w:tcMar>
          </w:tcPr>
          <w:p w:rsidR="00675E77" w:rsidRDefault="00675E77" w:rsidP="00675E77">
            <w:pPr>
              <w:pStyle w:val="05Tabletext"/>
              <w:keepNext/>
              <w:spacing w:before="0"/>
              <w:jc w:val="center"/>
            </w:pPr>
            <w:r>
              <w:t>5.1</w:t>
            </w:r>
          </w:p>
        </w:tc>
        <w:tc>
          <w:tcPr>
            <w:tcW w:w="1312" w:type="dxa"/>
            <w:tcBorders>
              <w:top w:val="nil"/>
              <w:bottom w:val="nil"/>
            </w:tcBorders>
            <w:shd w:val="clear" w:color="auto" w:fill="auto"/>
            <w:tcMar>
              <w:top w:w="0" w:type="dxa"/>
              <w:bottom w:w="0" w:type="dxa"/>
            </w:tcMar>
          </w:tcPr>
          <w:p w:rsidR="00675E77" w:rsidRDefault="00675E77" w:rsidP="00675E77">
            <w:pPr>
              <w:pStyle w:val="05Tabletext"/>
              <w:keepNext/>
              <w:spacing w:before="0"/>
              <w:jc w:val="center"/>
            </w:pPr>
            <w:r>
              <w:t>5.1</w:t>
            </w:r>
          </w:p>
        </w:tc>
      </w:tr>
      <w:tr w:rsidR="00675E77" w:rsidTr="006D7258">
        <w:trPr>
          <w:cantSplit/>
        </w:trPr>
        <w:tc>
          <w:tcPr>
            <w:tcW w:w="4400" w:type="dxa"/>
            <w:tcBorders>
              <w:top w:val="nil"/>
            </w:tcBorders>
            <w:shd w:val="clear" w:color="auto" w:fill="auto"/>
          </w:tcPr>
          <w:p w:rsidR="00675E77" w:rsidRDefault="00675E77" w:rsidP="00675E77">
            <w:pPr>
              <w:pStyle w:val="05Tabletext"/>
              <w:spacing w:before="0"/>
              <w:ind w:left="170"/>
            </w:pPr>
            <w:r>
              <w:t>Non-traumatic</w:t>
            </w:r>
          </w:p>
        </w:tc>
        <w:tc>
          <w:tcPr>
            <w:tcW w:w="1312" w:type="dxa"/>
            <w:tcBorders>
              <w:top w:val="nil"/>
            </w:tcBorders>
          </w:tcPr>
          <w:p w:rsidR="00675E77" w:rsidRDefault="00675E77" w:rsidP="00675E77">
            <w:pPr>
              <w:pStyle w:val="05Tabletext"/>
              <w:spacing w:before="0"/>
              <w:jc w:val="center"/>
            </w:pPr>
            <w:r>
              <w:t>1.7</w:t>
            </w:r>
          </w:p>
        </w:tc>
        <w:tc>
          <w:tcPr>
            <w:tcW w:w="1312" w:type="dxa"/>
            <w:tcBorders>
              <w:top w:val="nil"/>
            </w:tcBorders>
          </w:tcPr>
          <w:p w:rsidR="00675E77" w:rsidRDefault="00675E77" w:rsidP="00675E77">
            <w:pPr>
              <w:pStyle w:val="05Tabletext"/>
              <w:spacing w:before="0"/>
              <w:jc w:val="center"/>
            </w:pPr>
            <w:r>
              <w:t>1.7</w:t>
            </w:r>
          </w:p>
        </w:tc>
        <w:tc>
          <w:tcPr>
            <w:tcW w:w="1312" w:type="dxa"/>
            <w:tcBorders>
              <w:top w:val="nil"/>
            </w:tcBorders>
          </w:tcPr>
          <w:p w:rsidR="00675E77" w:rsidRDefault="00675E77" w:rsidP="00675E77">
            <w:pPr>
              <w:pStyle w:val="05Tabletext"/>
              <w:spacing w:before="0"/>
              <w:jc w:val="center"/>
            </w:pPr>
            <w:r>
              <w:t>2.5</w:t>
            </w:r>
          </w:p>
        </w:tc>
        <w:tc>
          <w:tcPr>
            <w:tcW w:w="1312" w:type="dxa"/>
            <w:tcBorders>
              <w:top w:val="nil"/>
            </w:tcBorders>
            <w:shd w:val="clear" w:color="auto" w:fill="auto"/>
          </w:tcPr>
          <w:p w:rsidR="00675E77" w:rsidRDefault="00675E77" w:rsidP="00675E77">
            <w:pPr>
              <w:pStyle w:val="05Tabletext"/>
              <w:spacing w:before="0"/>
              <w:jc w:val="center"/>
            </w:pPr>
            <w:r>
              <w:t>1.8</w:t>
            </w:r>
          </w:p>
        </w:tc>
      </w:tr>
      <w:tr w:rsidR="00675E77" w:rsidTr="006D7258">
        <w:trPr>
          <w:cantSplit/>
        </w:trPr>
        <w:tc>
          <w:tcPr>
            <w:tcW w:w="4400" w:type="dxa"/>
            <w:shd w:val="clear" w:color="auto" w:fill="auto"/>
          </w:tcPr>
          <w:p w:rsidR="00675E77" w:rsidRDefault="00675E77" w:rsidP="00675E77">
            <w:pPr>
              <w:pStyle w:val="05Tabletext"/>
            </w:pPr>
            <w:r>
              <w:t>Eye disorders (% from Kaplan-Meier)</w:t>
            </w:r>
          </w:p>
        </w:tc>
        <w:tc>
          <w:tcPr>
            <w:tcW w:w="1312" w:type="dxa"/>
          </w:tcPr>
          <w:p w:rsidR="00675E77" w:rsidRDefault="00675E77" w:rsidP="00675E77">
            <w:pPr>
              <w:pStyle w:val="05Tabletext"/>
              <w:jc w:val="center"/>
            </w:pPr>
            <w:r>
              <w:t>5.2</w:t>
            </w:r>
          </w:p>
        </w:tc>
        <w:tc>
          <w:tcPr>
            <w:tcW w:w="1312" w:type="dxa"/>
          </w:tcPr>
          <w:p w:rsidR="00675E77" w:rsidRDefault="00675E77" w:rsidP="00675E77">
            <w:pPr>
              <w:pStyle w:val="05Tabletext"/>
              <w:jc w:val="center"/>
            </w:pPr>
            <w:r>
              <w:t>4.1</w:t>
            </w:r>
          </w:p>
        </w:tc>
        <w:tc>
          <w:tcPr>
            <w:tcW w:w="1312" w:type="dxa"/>
          </w:tcPr>
          <w:p w:rsidR="00675E77" w:rsidRDefault="00675E77" w:rsidP="00675E77">
            <w:pPr>
              <w:pStyle w:val="05Tabletext"/>
              <w:jc w:val="center"/>
            </w:pPr>
            <w:r>
              <w:t>4.3</w:t>
            </w:r>
          </w:p>
        </w:tc>
        <w:tc>
          <w:tcPr>
            <w:tcW w:w="1312" w:type="dxa"/>
            <w:shd w:val="clear" w:color="auto" w:fill="auto"/>
          </w:tcPr>
          <w:p w:rsidR="00675E77" w:rsidRDefault="00675E77" w:rsidP="00675E77">
            <w:pPr>
              <w:pStyle w:val="05Tabletext"/>
              <w:jc w:val="center"/>
            </w:pPr>
            <w:r>
              <w:t>3.6</w:t>
            </w:r>
          </w:p>
        </w:tc>
      </w:tr>
    </w:tbl>
    <w:p w:rsidR="00675E77" w:rsidRDefault="00675E77" w:rsidP="00675E77">
      <w:pPr>
        <w:pStyle w:val="10TableorFigurefootnote"/>
      </w:pPr>
      <w:r>
        <w:t xml:space="preserve">Source: Calverley (2007) Table 4, p787; </w:t>
      </w:r>
      <w:proofErr w:type="spellStart"/>
      <w:r>
        <w:t>GalaxoSmithKline</w:t>
      </w:r>
      <w:proofErr w:type="spellEnd"/>
      <w:r>
        <w:t xml:space="preserve"> Clinical Study Report SCO30003 – 2006, Table 29, p82</w:t>
      </w:r>
    </w:p>
    <w:p w:rsidR="00675E77" w:rsidRDefault="00675E77" w:rsidP="002303F7">
      <w:pPr>
        <w:pStyle w:val="11TableorFigurefootnotenostick"/>
      </w:pPr>
      <w:r>
        <w:t>Abbreviations: CSR, clinical study report; FLU, fluticasone; RCT, randomised controlled trial; SAL, salmeterol</w:t>
      </w:r>
      <w:r w:rsidR="00B24E6D">
        <w:t>; FLU/SAL, fluticasone propionate/</w:t>
      </w:r>
      <w:proofErr w:type="spellStart"/>
      <w:r w:rsidR="00B24E6D">
        <w:t>salmeterol.</w:t>
      </w:r>
      <w:r>
        <w:t>Pneumonia</w:t>
      </w:r>
      <w:proofErr w:type="spellEnd"/>
      <w:r>
        <w:t xml:space="preserve"> post hoc analysis of TORCH – Crim 2009</w:t>
      </w:r>
    </w:p>
    <w:p w:rsidR="00675E77" w:rsidRDefault="00675E77" w:rsidP="00675E77">
      <w:pPr>
        <w:pStyle w:val="BodyTextnospacebefore"/>
      </w:pPr>
      <w:proofErr w:type="gramStart"/>
      <w:r>
        <w:t>A post hoc analysis of the TORCH trial by Crim and colleagues (2009).</w:t>
      </w:r>
      <w:proofErr w:type="gramEnd"/>
      <w:r>
        <w:t xml:space="preserve"> To account for the differential drop-out rate, pneumonia was reported as events per 1,000 treatment years. In this analysis, excess pneumonia risk was still evident in the fluticasone and fluticasone</w:t>
      </w:r>
      <w:r w:rsidR="000675D8">
        <w:t xml:space="preserve"> propionate</w:t>
      </w:r>
      <w:r>
        <w:t>/salmeterol groups. Time to first pneumonia was also analysed and found to be shorter in the ICS-containing groups.</w:t>
      </w:r>
    </w:p>
    <w:p w:rsidR="00675E77" w:rsidRDefault="00675E77" w:rsidP="00675E77">
      <w:pPr>
        <w:pStyle w:val="BodyText"/>
      </w:pPr>
      <w:r>
        <w:t xml:space="preserve">An analysis of risk factors for pneumonia was performed for all trial participants, regardless of treatment group. </w:t>
      </w:r>
      <w:r w:rsidR="00356377">
        <w:t xml:space="preserve">Figure </w:t>
      </w:r>
      <w:r w:rsidR="00356377">
        <w:rPr>
          <w:noProof/>
        </w:rPr>
        <w:t>4</w:t>
      </w:r>
      <w:r w:rsidR="00356377">
        <w:t>.</w:t>
      </w:r>
      <w:r w:rsidR="00356377">
        <w:rPr>
          <w:noProof/>
        </w:rPr>
        <w:t>17</w:t>
      </w:r>
      <w:r>
        <w:t xml:space="preserve"> shows hazard ratios and associated 95% </w:t>
      </w:r>
      <w:r w:rsidR="008C7FDE">
        <w:t>CIs</w:t>
      </w:r>
      <w:r>
        <w:t xml:space="preserve"> for the factors from a Cox’s proportional model for time to first pneumonia. Risk of pneumonia was significantly higher in patients with l</w:t>
      </w:r>
      <w:r w:rsidRPr="007714E0">
        <w:t>ower % predicted FEV</w:t>
      </w:r>
      <w:r w:rsidRPr="007714E0">
        <w:rPr>
          <w:vertAlign w:val="subscript"/>
        </w:rPr>
        <w:t>1</w:t>
      </w:r>
      <w:r>
        <w:t xml:space="preserve">, especially less than </w:t>
      </w:r>
      <w:r w:rsidRPr="007714E0">
        <w:t xml:space="preserve">30% </w:t>
      </w:r>
      <w:r>
        <w:t>of predicted (72% higher than patients with ≥50% predicted FEV</w:t>
      </w:r>
      <w:r w:rsidRPr="007714E0">
        <w:rPr>
          <w:vertAlign w:val="subscript"/>
        </w:rPr>
        <w:t>1</w:t>
      </w:r>
      <w:r w:rsidRPr="00AF0789">
        <w:t>)</w:t>
      </w:r>
      <w:r w:rsidR="003B7B67">
        <w:t>, and those with ≥ 1 exacerbation</w:t>
      </w:r>
      <w:r>
        <w:t>. This finding suggests the population indicated for ICS/LABA combination therapy is the population most vulnerable to the serious side effects of ICS use. The identification of pneumonia risk in COPD severity subgroups, however, is out of the scope of the current Review, and is not addressed further.</w:t>
      </w:r>
    </w:p>
    <w:p w:rsidR="00675E77" w:rsidRDefault="00675E77" w:rsidP="002C7600">
      <w:pPr>
        <w:pStyle w:val="HeaderFigure"/>
      </w:pPr>
      <w:bookmarkStart w:id="225" w:name="_Ref467884530"/>
      <w:bookmarkStart w:id="226" w:name="_Toc468022914"/>
      <w:bookmarkStart w:id="227" w:name="_Toc468034567"/>
      <w:bookmarkStart w:id="228" w:name="_Toc480373332"/>
      <w:bookmarkStart w:id="229" w:name="_Toc486515174"/>
      <w:r>
        <w:lastRenderedPageBreak/>
        <w:t xml:space="preserve">Figure </w:t>
      </w:r>
      <w:r w:rsidR="00356377">
        <w:rPr>
          <w:noProof/>
        </w:rPr>
        <w:t>4</w:t>
      </w:r>
      <w:r w:rsidR="00CC0111">
        <w:t>.</w:t>
      </w:r>
      <w:r w:rsidR="00356377">
        <w:rPr>
          <w:noProof/>
        </w:rPr>
        <w:t>17</w:t>
      </w:r>
      <w:bookmarkEnd w:id="225"/>
      <w:r>
        <w:tab/>
        <w:t>Risk factors for pneumonia, adjusted HR – Crim 2009</w:t>
      </w:r>
      <w:bookmarkEnd w:id="226"/>
      <w:bookmarkEnd w:id="227"/>
      <w:bookmarkEnd w:id="228"/>
      <w:bookmarkEnd w:id="229"/>
    </w:p>
    <w:p w:rsidR="00675E77" w:rsidRDefault="009D3242" w:rsidP="00675E77">
      <w:pPr>
        <w:pStyle w:val="Picturewithbox"/>
      </w:pPr>
      <w:r>
        <w:rPr>
          <w:noProof/>
          <w:lang w:eastAsia="en-AU"/>
        </w:rPr>
        <w:drawing>
          <wp:inline distT="0" distB="0" distL="0" distR="0" wp14:anchorId="5B0E4492" wp14:editId="4D69740C">
            <wp:extent cx="3793329" cy="3486150"/>
            <wp:effectExtent l="0" t="0" r="0" b="0"/>
            <wp:docPr id="30" name="Picture 30" descr="Risk factors for pneumonia, adjusted HR – Crim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im (200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05345" cy="3497193"/>
                    </a:xfrm>
                    <a:prstGeom prst="rect">
                      <a:avLst/>
                    </a:prstGeom>
                    <a:noFill/>
                    <a:ln>
                      <a:noFill/>
                    </a:ln>
                  </pic:spPr>
                </pic:pic>
              </a:graphicData>
            </a:graphic>
          </wp:inline>
        </w:drawing>
      </w:r>
    </w:p>
    <w:p w:rsidR="00675E77" w:rsidRDefault="00675E77" w:rsidP="00675E77">
      <w:pPr>
        <w:pStyle w:val="10TableorFigurefootnote"/>
      </w:pPr>
      <w:r>
        <w:t>Source: Crim (2009), Figure 2, p 645</w:t>
      </w:r>
    </w:p>
    <w:p w:rsidR="00675E77" w:rsidRPr="00055508" w:rsidRDefault="00675E77" w:rsidP="00675E77">
      <w:pPr>
        <w:pStyle w:val="11TableorFigurefootnotenostick"/>
      </w:pPr>
      <w:r>
        <w:t>Abbreviations: BMI, body mass index; CI, confidence interval; COPD, chronic obstructive pulmonary disease; FEV</w:t>
      </w:r>
      <w:r w:rsidRPr="00055508">
        <w:rPr>
          <w:vertAlign w:val="subscript"/>
        </w:rPr>
        <w:t>1</w:t>
      </w:r>
      <w:r>
        <w:t xml:space="preserve">, </w:t>
      </w:r>
      <w:r w:rsidRPr="00055508">
        <w:t>forced expiratory volume at 1 second</w:t>
      </w:r>
      <w:r>
        <w:t>; HR, hazard ratio; MRC, Medical Research Council.</w:t>
      </w:r>
    </w:p>
    <w:p w:rsidR="00675E77" w:rsidRDefault="00675E77" w:rsidP="00D92F94">
      <w:pPr>
        <w:pStyle w:val="Heading2"/>
      </w:pPr>
      <w:bookmarkStart w:id="230" w:name="_Toc468022812"/>
      <w:bookmarkStart w:id="231" w:name="_Toc482191522"/>
      <w:bookmarkStart w:id="232" w:name="_Toc486515189"/>
      <w:r>
        <w:t>Conclusions</w:t>
      </w:r>
      <w:bookmarkEnd w:id="230"/>
      <w:bookmarkEnd w:id="231"/>
      <w:bookmarkEnd w:id="232"/>
    </w:p>
    <w:p w:rsidR="00D073E1" w:rsidRDefault="004D77F9" w:rsidP="00675E77">
      <w:pPr>
        <w:pStyle w:val="BodyText"/>
      </w:pPr>
      <w:r>
        <w:t>T</w:t>
      </w:r>
      <w:r w:rsidR="00583C7B">
        <w:t>he majority of RCTs included in the meta-analyses presented here are of t</w:t>
      </w:r>
      <w:r w:rsidR="00C7351C">
        <w:t>hree months duration or longer. T</w:t>
      </w:r>
      <w:r w:rsidR="00D073E1">
        <w:t xml:space="preserve">he key systematic reviews </w:t>
      </w:r>
      <w:r w:rsidR="00C7351C">
        <w:t>that used</w:t>
      </w:r>
      <w:r w:rsidR="00D073E1">
        <w:t xml:space="preserve"> an adverse event(s) as the primary outcome </w:t>
      </w:r>
      <w:r w:rsidR="00C7351C">
        <w:t>investigated studies treating patients for at least</w:t>
      </w:r>
      <w:r w:rsidR="00D073E1">
        <w:t xml:space="preserve"> 12 weeks (Kew</w:t>
      </w:r>
      <w:r w:rsidR="00BC0E60">
        <w:t xml:space="preserve"> et al</w:t>
      </w:r>
      <w:r w:rsidR="00D073E1">
        <w:t xml:space="preserve">, 2014) or </w:t>
      </w:r>
      <w:r w:rsidR="006101F6">
        <w:t>six</w:t>
      </w:r>
      <w:r w:rsidR="00D073E1">
        <w:t xml:space="preserve"> months</w:t>
      </w:r>
      <w:r w:rsidR="00C7351C">
        <w:t xml:space="preserve"> (Dong</w:t>
      </w:r>
      <w:r w:rsidR="00BC0E60">
        <w:t xml:space="preserve"> et al, 2014; </w:t>
      </w:r>
      <w:proofErr w:type="spellStart"/>
      <w:r w:rsidR="00BC0E60">
        <w:t>Loke</w:t>
      </w:r>
      <w:proofErr w:type="spellEnd"/>
      <w:r w:rsidR="00BC0E60">
        <w:t xml:space="preserve"> et al</w:t>
      </w:r>
      <w:r w:rsidR="00C7351C">
        <w:t>, 2011)</w:t>
      </w:r>
      <w:r w:rsidR="009A46A0">
        <w:t>. The majority of studies in the key syste</w:t>
      </w:r>
      <w:r w:rsidR="00BC0E60">
        <w:t>matic review for pneumonia (Kew et al,</w:t>
      </w:r>
      <w:r w:rsidR="009A46A0">
        <w:t xml:space="preserve"> 2014) were of at least three months’ duration, with half being one year or longer. While the observational studies did not report exposure times, the nature of the long-term real world data used in these studies suggests typical use is captured, which is usually prolonged. Therefore, it is considered appropriate by the current authors to attribute the findings for this </w:t>
      </w:r>
      <w:proofErr w:type="spellStart"/>
      <w:r w:rsidR="009A46A0">
        <w:t>ToR</w:t>
      </w:r>
      <w:proofErr w:type="spellEnd"/>
      <w:r w:rsidR="009A46A0">
        <w:t xml:space="preserve"> to prolonged ICS use. </w:t>
      </w:r>
    </w:p>
    <w:p w:rsidR="004F3EA6" w:rsidRDefault="00675E77" w:rsidP="004F3EA6">
      <w:pPr>
        <w:pStyle w:val="BodyText"/>
      </w:pPr>
      <w:r>
        <w:t>A number of meta-analyses from systematic reviews have found risk of pneumonia is increased with ICS use. The most relevant key systematic review (Kew</w:t>
      </w:r>
      <w:r w:rsidR="00BC0E60">
        <w:t xml:space="preserve"> et al</w:t>
      </w:r>
      <w:r>
        <w:t>, 2014) found ICS use increased the risk for non-fatal, pneumonia SAEs by 62% to 78% (budesonide and fluticasone, respectively), and for any pneumonia event by 68% (fluticasone). The large, three-year TORCH study dominated analyses (frequently accounting for over 80% of meta-analysis weightings), but there was little heterogeneity in the results, with most studies reporting a non-significant risk increase. Results were sim</w:t>
      </w:r>
      <w:r w:rsidR="00BC0E60">
        <w:t>ilar for the two comparisons:</w:t>
      </w:r>
      <w:r>
        <w:t xml:space="preserve"> ICS versus placebo</w:t>
      </w:r>
      <w:r w:rsidR="00BC0E60">
        <w:t>,</w:t>
      </w:r>
      <w:r>
        <w:t xml:space="preserve"> and ICS/LABA versus LABA. </w:t>
      </w:r>
    </w:p>
    <w:p w:rsidR="00675E77" w:rsidRPr="008028A0" w:rsidRDefault="00675E77" w:rsidP="004F3EA6">
      <w:pPr>
        <w:pStyle w:val="BodyText"/>
      </w:pPr>
      <w:r>
        <w:t>In subgroup analyses of the TORCH trial, the risk of pneumonia with ICS use was found to be greater in p</w:t>
      </w:r>
      <w:r w:rsidR="00BC0E60">
        <w:t xml:space="preserve">atients with more severe COPD, </w:t>
      </w:r>
      <w:r>
        <w:t xml:space="preserve">the population for whom this therapy is indicated. </w:t>
      </w:r>
      <w:r>
        <w:lastRenderedPageBreak/>
        <w:t>The risk of pneumonia in the more mild COPD population, where the use of ICS/LABA combination therapy is inappropriate, is unclear.</w:t>
      </w:r>
    </w:p>
    <w:p w:rsidR="00675E77" w:rsidRDefault="00675E77" w:rsidP="00675E77">
      <w:pPr>
        <w:pStyle w:val="BodyText"/>
      </w:pPr>
      <w:r>
        <w:t>Observational study findings generally agreed with each other and with the meta-analyses regarding pneumonia, with the largest case</w:t>
      </w:r>
      <w:r w:rsidR="008739F8">
        <w:t>-</w:t>
      </w:r>
      <w:r>
        <w:t>control study (</w:t>
      </w:r>
      <w:proofErr w:type="spellStart"/>
      <w:r>
        <w:t>Suissa</w:t>
      </w:r>
      <w:proofErr w:type="spellEnd"/>
      <w:r w:rsidR="00BC0E60">
        <w:t xml:space="preserve"> et al</w:t>
      </w:r>
      <w:r>
        <w:t xml:space="preserve">, 2013; </w:t>
      </w:r>
      <w:r w:rsidRPr="004F600F">
        <w:t>Quebec health insurance databases</w:t>
      </w:r>
      <w:r>
        <w:t>) reporting a 69% risk increase across all ICS. Increases were higher for fluticasone (101%) than for budesonide (17%) and a dose</w:t>
      </w:r>
      <w:r w:rsidR="00EA0FF5">
        <w:t>-</w:t>
      </w:r>
      <w:r>
        <w:t>response was evident with both. A subgroup analysis of new</w:t>
      </w:r>
      <w:r w:rsidR="00B225A4">
        <w:t xml:space="preserve"> </w:t>
      </w:r>
      <w:r>
        <w:t xml:space="preserve">ICS users in the same nested case-control found discontinuation of ICS reduced risk within four months to 63% of the risk with ICS (58% with fluticasone, 87% with budesonide; </w:t>
      </w:r>
      <w:proofErr w:type="spellStart"/>
      <w:r>
        <w:t>Suissa</w:t>
      </w:r>
      <w:proofErr w:type="spellEnd"/>
      <w:r w:rsidR="00BC0E60">
        <w:t xml:space="preserve"> et al</w:t>
      </w:r>
      <w:r>
        <w:t xml:space="preserve">, 2015). </w:t>
      </w:r>
    </w:p>
    <w:p w:rsidR="00675E77" w:rsidRDefault="00675E77" w:rsidP="00675E77">
      <w:pPr>
        <w:pStyle w:val="BodyText"/>
      </w:pPr>
      <w:r>
        <w:t>Two observational studies investigated intra-class differences between fluticasone and budesonide (such comparisons were thwarted in the meta-analyses of RCTs by the imbalance in sample sizes and study duration for budesonide</w:t>
      </w:r>
      <w:r w:rsidR="00BC0E60">
        <w:t>,</w:t>
      </w:r>
      <w:r>
        <w:t xml:space="preserve"> and the more frequently studied fluticasone). Kern (2015) matched 3,697 patients taking fluticasone</w:t>
      </w:r>
      <w:r w:rsidR="000675D8">
        <w:t xml:space="preserve"> propionate</w:t>
      </w:r>
      <w:r>
        <w:t>/salmeterol with the same number taking budesonide/</w:t>
      </w:r>
      <w:proofErr w:type="spellStart"/>
      <w:r>
        <w:t>eformoterol</w:t>
      </w:r>
      <w:proofErr w:type="spellEnd"/>
      <w:r>
        <w:t xml:space="preserve"> (US health insurance database) and found no statistically significant difference between the two for any of the pneumonia outcomes tested. This was in contrast to the PATHOS study (Janson</w:t>
      </w:r>
      <w:r w:rsidR="00BC0E60">
        <w:t xml:space="preserve"> et al</w:t>
      </w:r>
      <w:r>
        <w:t xml:space="preserve">, 2013; Swedish primary care medical records linked to registries) that matched 2,734 users of each of these combination therapies and found the risk of all pneumonia outcomes was higher with fluticasone FDC by 73% to 76% compared with budesonide FDC. </w:t>
      </w:r>
    </w:p>
    <w:p w:rsidR="00675E77" w:rsidRDefault="00675E77" w:rsidP="00675E77">
      <w:pPr>
        <w:pStyle w:val="BodyText"/>
      </w:pPr>
      <w:r>
        <w:t>All-cause mortality was consistently found to favour ICS use, for both the general COPD population and those with pneumonia, across the observational studies. Findings for fracture were less consistent (with fewer studies).</w:t>
      </w:r>
    </w:p>
    <w:p w:rsidR="00675E77" w:rsidRDefault="00675E77" w:rsidP="00675E77">
      <w:pPr>
        <w:pStyle w:val="BodyText"/>
      </w:pPr>
      <w:r>
        <w:t xml:space="preserve">The European Medicines Agency made the following conclusions in their 2016 Assessment Report on ICS products: </w:t>
      </w:r>
    </w:p>
    <w:p w:rsidR="00675E77" w:rsidRDefault="00675E77" w:rsidP="00675E77">
      <w:pPr>
        <w:pStyle w:val="Bullettext"/>
      </w:pPr>
      <w:r>
        <w:t>the Kew and</w:t>
      </w:r>
      <w:r w:rsidRPr="00D52959">
        <w:t xml:space="preserve"> </w:t>
      </w:r>
      <w:proofErr w:type="spellStart"/>
      <w:r w:rsidRPr="002127E7">
        <w:t>Seniukovich</w:t>
      </w:r>
      <w:proofErr w:type="spellEnd"/>
      <w:r>
        <w:t xml:space="preserve"> (2014) Cochrane review found an overall increased risk of pneumonia of 40% to 70% in ICS-treated COPD patients;</w:t>
      </w:r>
    </w:p>
    <w:p w:rsidR="00675E77" w:rsidRDefault="00675E77" w:rsidP="00675E77">
      <w:pPr>
        <w:pStyle w:val="Bullettext"/>
      </w:pPr>
      <w:r>
        <w:t>the majority of the observational studies estimated an increase in the risk of pneumonia in patients treated with ICS of between 40% to 70%;</w:t>
      </w:r>
    </w:p>
    <w:p w:rsidR="00675E77" w:rsidRDefault="00826A82" w:rsidP="00675E77">
      <w:pPr>
        <w:pStyle w:val="Bullettext"/>
      </w:pPr>
      <w:r>
        <w:t xml:space="preserve">there is </w:t>
      </w:r>
      <w:r w:rsidR="00675E77" w:rsidRPr="00D52959">
        <w:t xml:space="preserve">no conclusive clinical evidence for intra-class differences in the magnitude of the risk among </w:t>
      </w:r>
      <w:r w:rsidR="00675E77">
        <w:t>inhaled corticosteroid products; and</w:t>
      </w:r>
    </w:p>
    <w:p w:rsidR="00675E77" w:rsidRDefault="00675E77" w:rsidP="00675E77">
      <w:pPr>
        <w:pStyle w:val="Bullettext"/>
      </w:pPr>
      <w:proofErr w:type="gramStart"/>
      <w:r w:rsidRPr="00D52959">
        <w:t>while</w:t>
      </w:r>
      <w:proofErr w:type="gramEnd"/>
      <w:r w:rsidRPr="00D52959">
        <w:t xml:space="preserve"> the concept of a dose-response for pneumonia risk has biological plausibility and there is some supportive clinical evidence, this has not been demonstrated conclusively across all studies</w:t>
      </w:r>
      <w:r>
        <w:t>.</w:t>
      </w:r>
    </w:p>
    <w:p w:rsidR="005E6576" w:rsidRPr="00EE601E" w:rsidRDefault="00675E77" w:rsidP="00675E77">
      <w:pPr>
        <w:pStyle w:val="BodyText"/>
      </w:pPr>
      <w:r>
        <w:t>The</w:t>
      </w:r>
      <w:r w:rsidR="004E3DE7">
        <w:t xml:space="preserve"> EMA</w:t>
      </w:r>
      <w:r>
        <w:t xml:space="preserve"> recommended adding </w:t>
      </w:r>
      <w:r w:rsidRPr="00243CF6">
        <w:t>pneumonia (in COPD patients) as a common adverse drug reaction in the product information</w:t>
      </w:r>
      <w:r>
        <w:t xml:space="preserve"> of all ICS-containing products, and concluded that </w:t>
      </w:r>
      <w:r w:rsidRPr="004F5DE3">
        <w:t>the benefit-risk balance of ICS-containing products remained favourable, provided the proposed changes to the product information are implemented</w:t>
      </w:r>
      <w:r>
        <w:t>.</w:t>
      </w:r>
    </w:p>
    <w:sectPr w:rsidR="005E6576" w:rsidRPr="00EE601E" w:rsidSect="00A0321C">
      <w:footerReference w:type="default" r:id="rId3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832" w:rsidRDefault="009D3832" w:rsidP="00DD796F">
      <w:pPr>
        <w:spacing w:before="0" w:line="240" w:lineRule="auto"/>
      </w:pPr>
      <w:r>
        <w:separator/>
      </w:r>
    </w:p>
    <w:p w:rsidR="009D3832" w:rsidRDefault="009D3832"/>
    <w:p w:rsidR="009D3832" w:rsidRDefault="009D3832"/>
  </w:endnote>
  <w:endnote w:type="continuationSeparator" w:id="0">
    <w:p w:rsidR="009D3832" w:rsidRDefault="009D3832" w:rsidP="00DD796F">
      <w:pPr>
        <w:spacing w:before="0" w:line="240" w:lineRule="auto"/>
      </w:pPr>
      <w:r>
        <w:continuationSeparator/>
      </w:r>
    </w:p>
    <w:p w:rsidR="009D3832" w:rsidRDefault="009D3832"/>
    <w:p w:rsidR="009D3832" w:rsidRDefault="009D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Default="0033442A" w:rsidP="001C5235">
    <w:pPr>
      <w:pStyle w:val="FooterwithPortrait"/>
    </w:pPr>
    <w:r w:rsidRPr="001C5235">
      <w:t>Post-market Review of COPD Medicines</w:t>
    </w:r>
    <w:r>
      <w:tab/>
    </w: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Default="0033442A" w:rsidP="003F0B35">
    <w:pPr>
      <w:pStyle w:val="Footer"/>
      <w:pBdr>
        <w:top w:val="none" w:sz="0" w:space="0" w:color="auto"/>
      </w:pBd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Default="0033442A" w:rsidP="00750448">
    <w:pPr>
      <w:pStyle w:val="FooterwithPortrait"/>
      <w:rPr>
        <w:noProof/>
      </w:rPr>
    </w:pPr>
    <w:r>
      <w:tab/>
    </w:r>
    <w:r>
      <w:fldChar w:fldCharType="begin"/>
    </w:r>
    <w:r>
      <w:instrText xml:space="preserve"> PAGE   \* MERGEFORMAT </w:instrText>
    </w:r>
    <w:r>
      <w:fldChar w:fldCharType="separate"/>
    </w:r>
    <w:r w:rsidR="009B0A06">
      <w:rPr>
        <w:noProof/>
      </w:rPr>
      <w:t>13</w:t>
    </w:r>
    <w:r>
      <w:rPr>
        <w:noProof/>
      </w:rPr>
      <w:fldChar w:fldCharType="end"/>
    </w:r>
  </w:p>
  <w:p w:rsidR="003F0B35" w:rsidRPr="00750448" w:rsidRDefault="003F0B35" w:rsidP="003F0B35">
    <w:pPr>
      <w:pStyle w:val="FooterwithPortrait"/>
      <w:spacing w:before="0"/>
      <w:jc w:val="center"/>
      <w:rPr>
        <w:noProof/>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Pr="00571626" w:rsidRDefault="0033442A" w:rsidP="00CB3D44">
    <w:pPr>
      <w:pStyle w:val="FooterwithLandscape"/>
    </w:pPr>
    <w:r>
      <w:tab/>
    </w:r>
    <w:r>
      <w:fldChar w:fldCharType="begin"/>
    </w:r>
    <w:r>
      <w:instrText xml:space="preserve"> PAGE   \* MERGEFORMAT </w:instrText>
    </w:r>
    <w:r>
      <w:fldChar w:fldCharType="separate"/>
    </w:r>
    <w:r w:rsidR="009B0A06">
      <w:rPr>
        <w:noProof/>
      </w:rPr>
      <w:t>17</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Default="0033442A" w:rsidP="003F0B35">
    <w:pPr>
      <w:pStyle w:val="FooterwithPortrait"/>
      <w:spacing w:before="120"/>
      <w:rPr>
        <w:noProof/>
      </w:rPr>
    </w:pPr>
    <w:r>
      <w:tab/>
    </w:r>
    <w:r>
      <w:fldChar w:fldCharType="begin"/>
    </w:r>
    <w:r>
      <w:instrText xml:space="preserve"> PAGE   \* MERGEFORMAT </w:instrText>
    </w:r>
    <w:r>
      <w:fldChar w:fldCharType="separate"/>
    </w:r>
    <w:r w:rsidR="009B0A06">
      <w:rPr>
        <w:noProof/>
      </w:rPr>
      <w:t>45</w:t>
    </w:r>
    <w:r>
      <w:rPr>
        <w:noProof/>
      </w:rPr>
      <w:fldChar w:fldCharType="end"/>
    </w:r>
  </w:p>
  <w:p w:rsidR="003F0B35" w:rsidRPr="00750448" w:rsidRDefault="003F0B35" w:rsidP="003F0B35">
    <w:pPr>
      <w:pStyle w:val="FooterwithPortrait"/>
      <w:spacing w:before="0"/>
      <w:jc w:val="center"/>
      <w:rPr>
        <w:noProof/>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Pr="00894600" w:rsidRDefault="0033442A" w:rsidP="007C4609">
    <w:pPr>
      <w:pStyle w:val="FooterwithLandscape"/>
    </w:pPr>
    <w:r>
      <w:tab/>
    </w:r>
    <w:r>
      <w:fldChar w:fldCharType="begin"/>
    </w:r>
    <w:r>
      <w:instrText xml:space="preserve"> PAGE   \* MERGEFORMAT </w:instrText>
    </w:r>
    <w:r>
      <w:fldChar w:fldCharType="separate"/>
    </w:r>
    <w:r w:rsidR="009B0A06">
      <w:rPr>
        <w:noProof/>
      </w:rPr>
      <w:t>49</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Default="0033442A" w:rsidP="003F0B35">
    <w:pPr>
      <w:pStyle w:val="FooterwithPortrait"/>
      <w:spacing w:before="120"/>
      <w:rPr>
        <w:noProof/>
      </w:rPr>
    </w:pPr>
    <w:r>
      <w:tab/>
    </w:r>
    <w:r>
      <w:fldChar w:fldCharType="begin"/>
    </w:r>
    <w:r>
      <w:instrText xml:space="preserve"> PAGE   \* MERGEFORMAT </w:instrText>
    </w:r>
    <w:r>
      <w:fldChar w:fldCharType="separate"/>
    </w:r>
    <w:r w:rsidR="009B0A06">
      <w:rPr>
        <w:noProof/>
      </w:rPr>
      <w:t>60</w:t>
    </w:r>
    <w:r>
      <w:rPr>
        <w:noProof/>
      </w:rPr>
      <w:fldChar w:fldCharType="end"/>
    </w:r>
  </w:p>
  <w:p w:rsidR="003F0B35" w:rsidRPr="00750448" w:rsidRDefault="003F0B35" w:rsidP="003F0B35">
    <w:pPr>
      <w:pStyle w:val="FooterwithPortrait"/>
      <w:spacing w:before="0"/>
      <w:jc w:val="cente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832" w:rsidRDefault="009D3832" w:rsidP="00DD796F">
      <w:pPr>
        <w:spacing w:before="0" w:line="240" w:lineRule="auto"/>
      </w:pPr>
      <w:r>
        <w:separator/>
      </w:r>
    </w:p>
  </w:footnote>
  <w:footnote w:type="continuationSeparator" w:id="0">
    <w:p w:rsidR="009D3832" w:rsidRDefault="009D3832" w:rsidP="00DD796F">
      <w:pPr>
        <w:spacing w:before="0" w:line="240" w:lineRule="auto"/>
      </w:pPr>
      <w:r>
        <w:continuationSeparator/>
      </w:r>
    </w:p>
    <w:p w:rsidR="009D3832" w:rsidRDefault="009D3832"/>
    <w:p w:rsidR="009D3832" w:rsidRDefault="009D3832"/>
  </w:footnote>
  <w:footnote w:id="1">
    <w:p w:rsidR="0033442A" w:rsidRPr="00DD6A6D" w:rsidRDefault="0033442A" w:rsidP="00675E77">
      <w:pPr>
        <w:pStyle w:val="FootnoteText"/>
        <w:rPr>
          <w:lang w:val="en-US"/>
        </w:rPr>
      </w:pPr>
      <w:r>
        <w:rPr>
          <w:rStyle w:val="FootnoteReference"/>
        </w:rPr>
        <w:footnoteRef/>
      </w:r>
      <w:r>
        <w:t xml:space="preserve"> </w:t>
      </w:r>
      <w:r>
        <w:rPr>
          <w:lang w:val="en-US"/>
        </w:rPr>
        <w:t xml:space="preserve">The submission did not provide citation details, but this </w:t>
      </w:r>
      <w:hyperlink r:id="rId1" w:history="1">
        <w:r w:rsidRPr="00A13CEF">
          <w:rPr>
            <w:rStyle w:val="Hyperlink"/>
            <w:lang w:val="en-US"/>
          </w:rPr>
          <w:t>report</w:t>
        </w:r>
      </w:hyperlink>
      <w:r>
        <w:rPr>
          <w:lang w:val="en-US"/>
        </w:rPr>
        <w:t xml:space="preserve"> can be accessed online.</w:t>
      </w:r>
    </w:p>
  </w:footnote>
  <w:footnote w:id="2">
    <w:p w:rsidR="0033442A" w:rsidRPr="004F1882" w:rsidRDefault="0033442A" w:rsidP="00675E77">
      <w:pPr>
        <w:pStyle w:val="FootnoteText"/>
        <w:rPr>
          <w:lang w:val="en-US"/>
        </w:rPr>
      </w:pPr>
      <w:r>
        <w:rPr>
          <w:rStyle w:val="FootnoteReference"/>
        </w:rPr>
        <w:footnoteRef/>
      </w:r>
      <w:r>
        <w:t xml:space="preserve"> </w:t>
      </w:r>
      <w:r w:rsidRPr="004F1882">
        <w:t>The TORCH study was not included in the integrated analysis for fluticasone/salmeterol due to being of longer duration than any of the fluticasone/</w:t>
      </w:r>
      <w:proofErr w:type="spellStart"/>
      <w:r w:rsidRPr="004F1882">
        <w:t>vilanterol</w:t>
      </w:r>
      <w:proofErr w:type="spellEnd"/>
      <w:r w:rsidRPr="004F1882">
        <w:t xml:space="preserve"> studies, but pneumonia rates in the TORCH study </w:t>
      </w:r>
      <w:proofErr w:type="gramStart"/>
      <w:r w:rsidRPr="004F1882">
        <w:t>were</w:t>
      </w:r>
      <w:proofErr w:type="gramEnd"/>
      <w:r w:rsidRPr="004F1882">
        <w:t xml:space="preserve"> presented separately, as discussed in the earlier section for </w:t>
      </w:r>
      <w:proofErr w:type="spellStart"/>
      <w:r w:rsidRPr="004F1882">
        <w:t>Seretide</w:t>
      </w:r>
      <w:proofErr w:type="spellEnd"/>
      <w:r w:rsidRPr="004F1882">
        <w:t xml:space="preserve"> </w:t>
      </w:r>
      <w:proofErr w:type="spellStart"/>
      <w:r w:rsidRPr="004F1882">
        <w:t>Accuhaler</w:t>
      </w:r>
      <w:proofErr w:type="spellEnd"/>
      <w:r w:rsidRPr="004F1882">
        <w:t xml:space="preserve"> and MDI).</w:t>
      </w:r>
    </w:p>
  </w:footnote>
  <w:footnote w:id="3">
    <w:p w:rsidR="0033442A" w:rsidRPr="00683965" w:rsidRDefault="0033442A" w:rsidP="00675E77">
      <w:pPr>
        <w:pStyle w:val="FootnoteText"/>
        <w:rPr>
          <w:lang w:val="en-US"/>
        </w:rPr>
      </w:pPr>
      <w:r>
        <w:rPr>
          <w:rStyle w:val="FootnoteReference"/>
        </w:rPr>
        <w:footnoteRef/>
      </w:r>
      <w:r>
        <w:t xml:space="preserve"> </w:t>
      </w:r>
      <w:proofErr w:type="gramStart"/>
      <w:r>
        <w:t xml:space="preserve">Australian Product Information for </w:t>
      </w:r>
      <w:proofErr w:type="spellStart"/>
      <w:r w:rsidRPr="00FC47EE">
        <w:t>Symbicort</w:t>
      </w:r>
      <w:proofErr w:type="spellEnd"/>
      <w:r w:rsidRPr="00FC47EE">
        <w:t xml:space="preserve"> </w:t>
      </w:r>
      <w:proofErr w:type="spellStart"/>
      <w:r w:rsidRPr="00FC47EE">
        <w:t>Turbuhaler</w:t>
      </w:r>
      <w:proofErr w:type="spellEnd"/>
      <w:r>
        <w:t>.</w:t>
      </w:r>
      <w:proofErr w:type="gramEnd"/>
    </w:p>
  </w:footnote>
  <w:footnote w:id="4">
    <w:p w:rsidR="0033442A" w:rsidRPr="0024328B" w:rsidRDefault="0033442A" w:rsidP="00675E77">
      <w:pPr>
        <w:pStyle w:val="FootnoteText"/>
        <w:rPr>
          <w:lang w:val="en-US"/>
        </w:rPr>
      </w:pPr>
      <w:r>
        <w:rPr>
          <w:rStyle w:val="FootnoteReference"/>
        </w:rPr>
        <w:footnoteRef/>
      </w:r>
      <w:r>
        <w:t xml:space="preserve"> </w:t>
      </w:r>
      <w:r>
        <w:rPr>
          <w:lang w:val="en-US"/>
        </w:rPr>
        <w:t xml:space="preserve">Studies of </w:t>
      </w:r>
      <w:proofErr w:type="spellStart"/>
      <w:r>
        <w:rPr>
          <w:lang w:val="en-US"/>
        </w:rPr>
        <w:t>mometasone</w:t>
      </w:r>
      <w:proofErr w:type="spellEnd"/>
      <w:r>
        <w:rPr>
          <w:lang w:val="en-US"/>
        </w:rPr>
        <w:t>/</w:t>
      </w:r>
      <w:proofErr w:type="spellStart"/>
      <w:r>
        <w:rPr>
          <w:lang w:val="en-US"/>
        </w:rPr>
        <w:t>eformoterol</w:t>
      </w:r>
      <w:proofErr w:type="spellEnd"/>
      <w:r>
        <w:rPr>
          <w:lang w:val="en-US"/>
        </w:rPr>
        <w:t xml:space="preserve"> versus placebo were also included.</w:t>
      </w:r>
    </w:p>
  </w:footnote>
  <w:footnote w:id="5">
    <w:p w:rsidR="0033442A" w:rsidRPr="007D5559" w:rsidRDefault="0033442A" w:rsidP="00675E77">
      <w:pPr>
        <w:pStyle w:val="FootnoteText"/>
        <w:rPr>
          <w:lang w:val="en-US"/>
        </w:rPr>
      </w:pPr>
      <w:r>
        <w:rPr>
          <w:rStyle w:val="FootnoteReference"/>
        </w:rPr>
        <w:footnoteRef/>
      </w:r>
      <w:r>
        <w:t xml:space="preserve"> Singh, (2</w:t>
      </w:r>
      <w:r w:rsidRPr="007D5559">
        <w:t>009</w:t>
      </w:r>
      <w:r>
        <w:t>); this meta-analysis was identified by the current Review literature search but excluded from detailed review due to the availability of more recent reviews.</w:t>
      </w:r>
    </w:p>
  </w:footnote>
  <w:footnote w:id="6">
    <w:p w:rsidR="0033442A" w:rsidRDefault="0033442A" w:rsidP="00675E77">
      <w:pPr>
        <w:pStyle w:val="FootnoteText"/>
      </w:pPr>
      <w:r>
        <w:rPr>
          <w:rStyle w:val="FootnoteReference"/>
        </w:rPr>
        <w:footnoteRef/>
      </w:r>
      <w:r>
        <w:t xml:space="preserve"> Reasons for ineligibility of recent fluticasone studies: </w:t>
      </w:r>
      <w:r w:rsidRPr="0079066B">
        <w:t>wrong intervention (</w:t>
      </w:r>
      <w:proofErr w:type="spellStart"/>
      <w:r w:rsidRPr="0079066B">
        <w:t>furoate</w:t>
      </w:r>
      <w:proofErr w:type="spellEnd"/>
      <w:r w:rsidRPr="0079066B">
        <w:t xml:space="preserve"> rather than propionate salt of fluticasone: </w:t>
      </w:r>
      <w:proofErr w:type="spellStart"/>
      <w:r w:rsidRPr="0079066B">
        <w:t>Dransfield</w:t>
      </w:r>
      <w:proofErr w:type="spellEnd"/>
      <w:r w:rsidRPr="0079066B">
        <w:t xml:space="preserve">, 2013; </w:t>
      </w:r>
      <w:proofErr w:type="spellStart"/>
      <w:r w:rsidRPr="0079066B">
        <w:t>Kerwin</w:t>
      </w:r>
      <w:proofErr w:type="spellEnd"/>
      <w:r w:rsidRPr="0079066B">
        <w:t xml:space="preserve">, 2013; Martinez, 2013) or wrong comparator (no placebo or LAMA arm: </w:t>
      </w:r>
      <w:proofErr w:type="spellStart"/>
      <w:r w:rsidRPr="0079066B">
        <w:t>Vogelmeier</w:t>
      </w:r>
      <w:proofErr w:type="spellEnd"/>
      <w:r w:rsidRPr="0079066B">
        <w:t>, 2013)</w:t>
      </w:r>
      <w:r>
        <w:t xml:space="preserve">. Reasons for ineligibility of recent budesonide studies from </w:t>
      </w:r>
      <w:proofErr w:type="spellStart"/>
      <w:r>
        <w:t>Nannini</w:t>
      </w:r>
      <w:proofErr w:type="spellEnd"/>
      <w:r>
        <w:t xml:space="preserve"> (2013): no placebo arm.</w:t>
      </w:r>
    </w:p>
  </w:footnote>
  <w:footnote w:id="7">
    <w:p w:rsidR="0033442A" w:rsidRDefault="0033442A" w:rsidP="00675E77">
      <w:pPr>
        <w:pStyle w:val="FootnoteText"/>
      </w:pPr>
      <w:r>
        <w:rPr>
          <w:rStyle w:val="FootnoteReference"/>
        </w:rPr>
        <w:footnoteRef/>
      </w:r>
      <w:r>
        <w:t xml:space="preserve"> </w:t>
      </w:r>
      <w:r w:rsidRPr="00672B68">
        <w:t xml:space="preserve">Apart from </w:t>
      </w:r>
      <w:proofErr w:type="spellStart"/>
      <w:r w:rsidRPr="00672B68">
        <w:t>Nanini</w:t>
      </w:r>
      <w:proofErr w:type="spellEnd"/>
      <w:r w:rsidRPr="00672B68">
        <w:t xml:space="preserve"> (2012), the literature searches for these reviews were conducted in a six-month pe</w:t>
      </w:r>
      <w:r>
        <w:t xml:space="preserve">riod from June to December 2013. </w:t>
      </w:r>
      <w:r w:rsidRPr="002E5D56">
        <w:t xml:space="preserve">Only the </w:t>
      </w:r>
      <w:r>
        <w:t xml:space="preserve">non-key </w:t>
      </w:r>
      <w:r w:rsidRPr="002E5D56">
        <w:t xml:space="preserve">review by </w:t>
      </w:r>
      <w:proofErr w:type="spellStart"/>
      <w:r w:rsidRPr="002E5D56">
        <w:t>Festic</w:t>
      </w:r>
      <w:proofErr w:type="spellEnd"/>
      <w:r w:rsidRPr="002E5D56">
        <w:t xml:space="preserve"> (2016) was performe</w:t>
      </w:r>
      <w:r>
        <w:t xml:space="preserve">d more recently (February 2015) – </w:t>
      </w:r>
      <w:r w:rsidRPr="002E5D56">
        <w:t xml:space="preserve">one unique study was included (Crim, 2015), </w:t>
      </w:r>
      <w:r>
        <w:t xml:space="preserve">but </w:t>
      </w:r>
      <w:r w:rsidRPr="002E5D56">
        <w:t xml:space="preserve">this is a post-hoc analysis of the two RCTs reported in </w:t>
      </w:r>
      <w:proofErr w:type="spellStart"/>
      <w:r w:rsidRPr="002E5D56">
        <w:t>Dransfield</w:t>
      </w:r>
      <w:proofErr w:type="spellEnd"/>
      <w:r w:rsidRPr="002E5D56">
        <w:t xml:space="preserve"> (2013), and did not provide any additional data for analysis.</w:t>
      </w:r>
    </w:p>
  </w:footnote>
  <w:footnote w:id="8">
    <w:p w:rsidR="0033442A" w:rsidRPr="00E240AB" w:rsidRDefault="0033442A">
      <w:pPr>
        <w:pStyle w:val="FootnoteText"/>
        <w:rPr>
          <w:lang w:val="en-US"/>
        </w:rPr>
      </w:pPr>
      <w:r>
        <w:rPr>
          <w:rStyle w:val="FootnoteReference"/>
        </w:rPr>
        <w:footnoteRef/>
      </w:r>
      <w:r>
        <w:t xml:space="preserve"> Pneumonia was a secondary outcome. The primary outcome in </w:t>
      </w:r>
      <w:proofErr w:type="spellStart"/>
      <w:r>
        <w:t>Tricco</w:t>
      </w:r>
      <w:proofErr w:type="spellEnd"/>
      <w:r>
        <w:t xml:space="preserve"> (2015) </w:t>
      </w:r>
      <w:r>
        <w:rPr>
          <w:lang w:val="en-US"/>
        </w:rPr>
        <w:t xml:space="preserve">was exacerbations. Other secondary outcomes were mortality, cardiovascular-related mortality and serious </w:t>
      </w:r>
      <w:proofErr w:type="spellStart"/>
      <w:r>
        <w:rPr>
          <w:lang w:val="en-US"/>
        </w:rPr>
        <w:t>arrhymthmia</w:t>
      </w:r>
      <w:proofErr w:type="spellEnd"/>
      <w:r>
        <w:rPr>
          <w:lang w:val="en-US"/>
        </w:rPr>
        <w:t>.</w:t>
      </w:r>
    </w:p>
  </w:footnote>
  <w:footnote w:id="9">
    <w:p w:rsidR="0033442A" w:rsidRPr="00E50379" w:rsidRDefault="0033442A" w:rsidP="00B046F8">
      <w:pPr>
        <w:pStyle w:val="FootnoteText"/>
        <w:rPr>
          <w:lang w:val="en-US"/>
        </w:rPr>
      </w:pPr>
      <w:r>
        <w:rPr>
          <w:rStyle w:val="FootnoteReference"/>
        </w:rPr>
        <w:footnoteRef/>
      </w:r>
      <w:r>
        <w:rPr>
          <w:lang w:val="en-US"/>
        </w:rPr>
        <w:t xml:space="preserve"> Non-fatal, serious pneumonia was the primary outcome for Kew (2014). Secondary outcomes were mortality, mortality due to pneumonia, non-fatal serious adverse events and study withdrawals. All pneumonia events were also reported.</w:t>
      </w:r>
    </w:p>
  </w:footnote>
  <w:footnote w:id="10">
    <w:p w:rsidR="0033442A" w:rsidRPr="002312DA" w:rsidRDefault="0033442A" w:rsidP="00675E77">
      <w:pPr>
        <w:pStyle w:val="FootnoteText"/>
        <w:rPr>
          <w:lang w:val="en-US"/>
        </w:rPr>
      </w:pPr>
      <w:r>
        <w:rPr>
          <w:rStyle w:val="FootnoteReference"/>
        </w:rPr>
        <w:footnoteRef/>
      </w:r>
      <w:r>
        <w:t xml:space="preserve"> Not necessarily an exhaustive list of included fluticasone and budesonide studies for </w:t>
      </w:r>
      <w:proofErr w:type="spellStart"/>
      <w:r>
        <w:t>Tricco</w:t>
      </w:r>
      <w:proofErr w:type="spellEnd"/>
      <w:r>
        <w:t xml:space="preserve"> (2015).</w:t>
      </w:r>
    </w:p>
  </w:footnote>
  <w:footnote w:id="11">
    <w:p w:rsidR="0033442A" w:rsidRPr="000A1EBA" w:rsidRDefault="0033442A" w:rsidP="00675E77">
      <w:pPr>
        <w:pStyle w:val="FootnoteText"/>
        <w:rPr>
          <w:lang w:val="en-US"/>
        </w:rPr>
      </w:pPr>
      <w:r>
        <w:rPr>
          <w:rStyle w:val="FootnoteReference"/>
        </w:rPr>
        <w:footnoteRef/>
      </w:r>
      <w:r>
        <w:t xml:space="preserve"> This study identified as Choudhury 2005 in Kew (2014).</w:t>
      </w:r>
    </w:p>
  </w:footnote>
  <w:footnote w:id="12">
    <w:p w:rsidR="0033442A" w:rsidRPr="000A1EBA" w:rsidRDefault="0033442A" w:rsidP="00675E77">
      <w:pPr>
        <w:pStyle w:val="FootnoteText"/>
        <w:rPr>
          <w:lang w:val="en-US"/>
        </w:rPr>
      </w:pPr>
      <w:r>
        <w:rPr>
          <w:rStyle w:val="FootnoteReference"/>
        </w:rPr>
        <w:footnoteRef/>
      </w:r>
      <w:r>
        <w:t xml:space="preserve"> </w:t>
      </w:r>
      <w:r>
        <w:rPr>
          <w:lang w:val="en-US"/>
        </w:rPr>
        <w:t>This study identified as</w:t>
      </w:r>
      <w:r w:rsidRPr="000A1EBA">
        <w:rPr>
          <w:lang w:val="en-US"/>
        </w:rPr>
        <w:t xml:space="preserve"> SFCT01</w:t>
      </w:r>
      <w:r>
        <w:rPr>
          <w:lang w:val="en-US"/>
        </w:rPr>
        <w:t xml:space="preserve"> in </w:t>
      </w:r>
      <w:proofErr w:type="spellStart"/>
      <w:r>
        <w:rPr>
          <w:lang w:val="en-US"/>
        </w:rPr>
        <w:t>Nanini</w:t>
      </w:r>
      <w:proofErr w:type="spellEnd"/>
      <w:r>
        <w:rPr>
          <w:lang w:val="en-US"/>
        </w:rPr>
        <w:t xml:space="preserve"> (2013).</w:t>
      </w:r>
    </w:p>
  </w:footnote>
  <w:footnote w:id="13">
    <w:p w:rsidR="0033442A" w:rsidRPr="0099401A" w:rsidRDefault="0033442A" w:rsidP="00675E77">
      <w:pPr>
        <w:pStyle w:val="FootnoteText"/>
        <w:rPr>
          <w:lang w:val="en-US"/>
        </w:rPr>
      </w:pPr>
      <w:r>
        <w:rPr>
          <w:rStyle w:val="FootnoteReference"/>
        </w:rPr>
        <w:footnoteRef/>
      </w:r>
      <w:r>
        <w:t xml:space="preserve"> </w:t>
      </w:r>
      <w:r>
        <w:rPr>
          <w:lang w:val="en-US"/>
        </w:rPr>
        <w:t xml:space="preserve">This study identified as van Den Boom (2001) in </w:t>
      </w:r>
      <w:proofErr w:type="spellStart"/>
      <w:r>
        <w:rPr>
          <w:lang w:val="en-US"/>
        </w:rPr>
        <w:t>Tricco</w:t>
      </w:r>
      <w:proofErr w:type="spellEnd"/>
      <w:r>
        <w:rPr>
          <w:lang w:val="en-US"/>
        </w:rPr>
        <w:t xml:space="preserve"> (2015).</w:t>
      </w:r>
    </w:p>
  </w:footnote>
  <w:footnote w:id="14">
    <w:p w:rsidR="0033442A" w:rsidRPr="00AE1061" w:rsidRDefault="0033442A" w:rsidP="00675E77">
      <w:pPr>
        <w:pStyle w:val="FootnoteText"/>
        <w:rPr>
          <w:lang w:val="en-US"/>
        </w:rPr>
      </w:pPr>
      <w:r>
        <w:rPr>
          <w:rStyle w:val="FootnoteReference"/>
        </w:rPr>
        <w:footnoteRef/>
      </w:r>
      <w:r>
        <w:t xml:space="preserve"> </w:t>
      </w:r>
      <w:r>
        <w:rPr>
          <w:lang w:val="en-US"/>
        </w:rPr>
        <w:t xml:space="preserve">Study publication used was </w:t>
      </w:r>
      <w:proofErr w:type="spellStart"/>
      <w:r>
        <w:rPr>
          <w:lang w:val="en-US"/>
        </w:rPr>
        <w:t>Johnell</w:t>
      </w:r>
      <w:proofErr w:type="spellEnd"/>
      <w:r>
        <w:rPr>
          <w:lang w:val="en-US"/>
        </w:rPr>
        <w:t xml:space="preserve"> (2002).</w:t>
      </w:r>
    </w:p>
  </w:footnote>
  <w:footnote w:id="15">
    <w:p w:rsidR="0033442A" w:rsidRPr="0088291F" w:rsidRDefault="0033442A" w:rsidP="00675E77">
      <w:pPr>
        <w:pStyle w:val="FootnoteText"/>
        <w:rPr>
          <w:lang w:val="en-US"/>
        </w:rPr>
      </w:pPr>
      <w:r>
        <w:rPr>
          <w:rStyle w:val="FootnoteReference"/>
        </w:rPr>
        <w:footnoteRef/>
      </w:r>
      <w:r>
        <w:t xml:space="preserve"> </w:t>
      </w:r>
      <w:r w:rsidRPr="0088291F">
        <w:t xml:space="preserve">Not shown here, but all studies included </w:t>
      </w:r>
      <w:r>
        <w:t xml:space="preserve">in the </w:t>
      </w:r>
      <w:proofErr w:type="spellStart"/>
      <w:r>
        <w:t>Nannini</w:t>
      </w:r>
      <w:proofErr w:type="spellEnd"/>
      <w:r>
        <w:t xml:space="preserve"> et al reviews </w:t>
      </w:r>
      <w:r w:rsidRPr="0088291F">
        <w:t>are also in</w:t>
      </w:r>
      <w:r>
        <w:t xml:space="preserve">cluded in the </w:t>
      </w:r>
      <w:proofErr w:type="spellStart"/>
      <w:r>
        <w:t>Tricco</w:t>
      </w:r>
      <w:proofErr w:type="spellEnd"/>
      <w:r>
        <w:t xml:space="preserve"> (2015) MTC: </w:t>
      </w:r>
      <w:r>
        <w:fldChar w:fldCharType="begin"/>
      </w:r>
      <w:r>
        <w:instrText xml:space="preserve"> REF _Ref467510218 \h </w:instrText>
      </w:r>
      <w:r>
        <w:fldChar w:fldCharType="separate"/>
      </w:r>
      <w:r>
        <w:t xml:space="preserve">Table </w:t>
      </w:r>
      <w:r>
        <w:rPr>
          <w:noProof/>
        </w:rPr>
        <w:t>4</w:t>
      </w:r>
      <w:r>
        <w:t>.</w:t>
      </w:r>
      <w:r>
        <w:rPr>
          <w:noProof/>
        </w:rPr>
        <w:t>10</w:t>
      </w:r>
      <w:r>
        <w:fldChar w:fldCharType="end"/>
      </w:r>
      <w:r>
        <w:t xml:space="preserve"> lists highest doses used, and all align with PBS-listed doses, except the fluticasone/</w:t>
      </w:r>
      <w:r>
        <w:rPr>
          <w:rFonts w:ascii="Arial" w:hAnsi="Arial" w:cs="Arial"/>
        </w:rPr>
        <w:t>​</w:t>
      </w:r>
      <w:proofErr w:type="spellStart"/>
      <w:r>
        <w:t>vilanterol</w:t>
      </w:r>
      <w:proofErr w:type="spellEnd"/>
      <w:r>
        <w:t xml:space="preserve"> studies, which are not included in </w:t>
      </w:r>
      <w:proofErr w:type="spellStart"/>
      <w:r>
        <w:t>Nannini</w:t>
      </w:r>
      <w:proofErr w:type="spellEnd"/>
      <w:r>
        <w:t xml:space="preserve"> (2012) or </w:t>
      </w:r>
      <w:proofErr w:type="spellStart"/>
      <w:r>
        <w:t>Nannini</w:t>
      </w:r>
      <w:proofErr w:type="spellEnd"/>
      <w:r>
        <w:t xml:space="preserve"> (2013).</w:t>
      </w:r>
      <w:r w:rsidRPr="0088291F">
        <w:t xml:space="preserve">  </w:t>
      </w:r>
    </w:p>
  </w:footnote>
  <w:footnote w:id="16">
    <w:p w:rsidR="0033442A" w:rsidRPr="001812BB" w:rsidRDefault="0033442A" w:rsidP="001812BB">
      <w:pPr>
        <w:pStyle w:val="FootnoteText"/>
        <w:rPr>
          <w:lang w:val="en-US"/>
        </w:rPr>
      </w:pPr>
      <w:r w:rsidRPr="001812BB">
        <w:rPr>
          <w:rStyle w:val="FootnoteReference"/>
        </w:rPr>
        <w:footnoteRef/>
      </w:r>
      <w:r w:rsidRPr="001812BB">
        <w:t xml:space="preserve"> </w:t>
      </w:r>
      <w:r w:rsidRPr="001812BB">
        <w:rPr>
          <w:lang w:val="en-US"/>
        </w:rPr>
        <w:t xml:space="preserve">Only highest dose for main intervention is shown. </w:t>
      </w:r>
      <w:proofErr w:type="gramStart"/>
      <w:r w:rsidRPr="001812BB">
        <w:rPr>
          <w:lang w:val="en-US"/>
        </w:rPr>
        <w:t xml:space="preserve">All doses taken twice/day, except for fluticasone </w:t>
      </w:r>
      <w:proofErr w:type="spellStart"/>
      <w:r w:rsidRPr="001812BB">
        <w:rPr>
          <w:lang w:val="en-US"/>
        </w:rPr>
        <w:t>furoate</w:t>
      </w:r>
      <w:proofErr w:type="spellEnd"/>
      <w:r w:rsidRPr="001812BB">
        <w:rPr>
          <w:lang w:val="en-US"/>
        </w:rPr>
        <w:t>/</w:t>
      </w:r>
      <w:proofErr w:type="spellStart"/>
      <w:r w:rsidRPr="001812BB">
        <w:rPr>
          <w:lang w:val="en-US"/>
        </w:rPr>
        <w:t>vilanterol</w:t>
      </w:r>
      <w:proofErr w:type="spellEnd"/>
      <w:r w:rsidRPr="001812BB">
        <w:rPr>
          <w:lang w:val="en-US"/>
        </w:rPr>
        <w:t xml:space="preserve"> studies, which were once/day.</w:t>
      </w:r>
      <w:proofErr w:type="gramEnd"/>
    </w:p>
  </w:footnote>
  <w:footnote w:id="17">
    <w:p w:rsidR="0033442A" w:rsidRPr="001812BB" w:rsidRDefault="0033442A">
      <w:pPr>
        <w:pStyle w:val="FootnoteText"/>
        <w:rPr>
          <w:lang w:val="en-US"/>
        </w:rPr>
      </w:pPr>
      <w:r w:rsidRPr="001812BB">
        <w:rPr>
          <w:rStyle w:val="FootnoteReference"/>
        </w:rPr>
        <w:footnoteRef/>
      </w:r>
      <w:r w:rsidRPr="001812BB">
        <w:t xml:space="preserve"> </w:t>
      </w:r>
      <w:r w:rsidRPr="001812BB">
        <w:rPr>
          <w:lang w:val="en-US"/>
        </w:rPr>
        <w:t>This outcome is not reported in the current Review.</w:t>
      </w:r>
    </w:p>
  </w:footnote>
  <w:footnote w:id="18">
    <w:p w:rsidR="0033442A" w:rsidRPr="00CD72DA" w:rsidRDefault="0033442A">
      <w:pPr>
        <w:pStyle w:val="FootnoteText"/>
        <w:rPr>
          <w:lang w:val="en-US"/>
        </w:rPr>
      </w:pPr>
      <w:r w:rsidRPr="001812BB">
        <w:rPr>
          <w:rStyle w:val="FootnoteReference"/>
        </w:rPr>
        <w:footnoteRef/>
      </w:r>
      <w:r w:rsidRPr="001812BB">
        <w:t xml:space="preserve"> </w:t>
      </w:r>
      <w:r w:rsidRPr="001812BB">
        <w:rPr>
          <w:lang w:val="en-US"/>
        </w:rPr>
        <w:t xml:space="preserve">For first 6 months, morning dose was 800 </w:t>
      </w:r>
      <w:proofErr w:type="spellStart"/>
      <w:r w:rsidRPr="001812BB">
        <w:rPr>
          <w:lang w:val="en-US"/>
        </w:rPr>
        <w:t>μg</w:t>
      </w:r>
      <w:proofErr w:type="spellEnd"/>
      <w:r w:rsidRPr="001812BB">
        <w:rPr>
          <w:lang w:val="en-US"/>
        </w:rPr>
        <w:t xml:space="preserve">, evening dose 400 </w:t>
      </w:r>
      <w:proofErr w:type="spellStart"/>
      <w:r w:rsidRPr="001812BB">
        <w:rPr>
          <w:lang w:val="en-US"/>
        </w:rPr>
        <w:t>μg</w:t>
      </w:r>
      <w:proofErr w:type="spellEnd"/>
      <w:r w:rsidRPr="001812BB">
        <w:rPr>
          <w:lang w:val="en-US"/>
        </w:rPr>
        <w:t xml:space="preserve">, reduced to 400 </w:t>
      </w:r>
      <w:proofErr w:type="spellStart"/>
      <w:r w:rsidRPr="001812BB">
        <w:rPr>
          <w:lang w:val="en-US"/>
        </w:rPr>
        <w:t>μg</w:t>
      </w:r>
      <w:proofErr w:type="spellEnd"/>
      <w:r w:rsidRPr="001812BB">
        <w:rPr>
          <w:lang w:val="en-US"/>
        </w:rPr>
        <w:t xml:space="preserve"> twice per day for following 30 months.</w:t>
      </w:r>
    </w:p>
  </w:footnote>
  <w:footnote w:id="19">
    <w:p w:rsidR="0033442A" w:rsidRPr="00BD41D0" w:rsidRDefault="0033442A" w:rsidP="00675E77">
      <w:pPr>
        <w:pStyle w:val="FootnoteText"/>
        <w:rPr>
          <w:lang w:val="en-US"/>
        </w:rPr>
      </w:pPr>
      <w:r>
        <w:rPr>
          <w:rStyle w:val="FootnoteReference"/>
        </w:rPr>
        <w:footnoteRef/>
      </w:r>
      <w:r>
        <w:t xml:space="preserve"> </w:t>
      </w:r>
      <w:r>
        <w:rPr>
          <w:lang w:val="en-US"/>
        </w:rPr>
        <w:t xml:space="preserve">Calculated post hoc by the authors of the current Review using Review Manager 5.3: </w:t>
      </w:r>
      <w:r w:rsidRPr="00BD41D0">
        <w:rPr>
          <w:lang w:val="en-US"/>
        </w:rPr>
        <w:t>unadjuste</w:t>
      </w:r>
      <w:r>
        <w:rPr>
          <w:lang w:val="en-US"/>
        </w:rPr>
        <w:t>d OR 1.98 [95% CI: 1.23, 3.19]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Pr="00750448" w:rsidRDefault="0033442A" w:rsidP="003F0B35">
    <w:pPr>
      <w:pStyle w:val="Header"/>
      <w:spacing w:after="120"/>
    </w:pPr>
    <w:r w:rsidRPr="00750448">
      <w:rPr>
        <w:noProof/>
      </w:rPr>
      <w:t>Post-market Review of COPD Medicines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42A" w:rsidRDefault="0033442A" w:rsidP="003F0B35">
    <w:pPr>
      <w:pStyle w:val="Header"/>
      <w:pBdr>
        <w:bottom w:val="none" w:sz="0" w:space="0"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CD6"/>
    <w:multiLevelType w:val="hybridMultilevel"/>
    <w:tmpl w:val="1222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E739B8"/>
    <w:multiLevelType w:val="hybridMultilevel"/>
    <w:tmpl w:val="08CCD776"/>
    <w:lvl w:ilvl="0" w:tplc="C1D8369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
    <w:nsid w:val="02077482"/>
    <w:multiLevelType w:val="hybridMultilevel"/>
    <w:tmpl w:val="ED44FCB2"/>
    <w:lvl w:ilvl="0" w:tplc="FFC6DE9E">
      <w:start w:val="1"/>
      <w:numFmt w:val="bullet"/>
      <w:pStyle w:val="08Bulletsseriesofsentences"/>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nsid w:val="020D5BE6"/>
    <w:multiLevelType w:val="hybridMultilevel"/>
    <w:tmpl w:val="D2A004FA"/>
    <w:lvl w:ilvl="0" w:tplc="7DDCFD6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
    <w:nsid w:val="09327C54"/>
    <w:multiLevelType w:val="hybridMultilevel"/>
    <w:tmpl w:val="E1787402"/>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
    <w:nsid w:val="09484027"/>
    <w:multiLevelType w:val="hybridMultilevel"/>
    <w:tmpl w:val="A87AEAAA"/>
    <w:lvl w:ilvl="0" w:tplc="42369FDE">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597FA0"/>
    <w:multiLevelType w:val="hybridMultilevel"/>
    <w:tmpl w:val="D236FD9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7">
    <w:nsid w:val="0C68343F"/>
    <w:multiLevelType w:val="hybridMultilevel"/>
    <w:tmpl w:val="05003222"/>
    <w:lvl w:ilvl="0" w:tplc="A37E978A">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8">
    <w:nsid w:val="112A2494"/>
    <w:multiLevelType w:val="hybridMultilevel"/>
    <w:tmpl w:val="0582CC9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9">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181B9B"/>
    <w:multiLevelType w:val="hybridMultilevel"/>
    <w:tmpl w:val="6D26D46A"/>
    <w:lvl w:ilvl="0" w:tplc="FA2ADC28">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1">
    <w:nsid w:val="143F6BEA"/>
    <w:multiLevelType w:val="hybridMultilevel"/>
    <w:tmpl w:val="D19870BE"/>
    <w:lvl w:ilvl="0" w:tplc="93B4DE2C">
      <w:start w:val="5"/>
      <w:numFmt w:val="bullet"/>
      <w:lvlText w:val=""/>
      <w:lvlJc w:val="left"/>
      <w:pPr>
        <w:ind w:left="417" w:hanging="360"/>
      </w:pPr>
      <w:rPr>
        <w:rFonts w:ascii="Wingdings 2" w:eastAsia="Calibri" w:hAnsi="Wingdings 2" w:cs="Times New Roman"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nsid w:val="19557DD8"/>
    <w:multiLevelType w:val="hybridMultilevel"/>
    <w:tmpl w:val="16BCA7C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3">
    <w:nsid w:val="1B97141B"/>
    <w:multiLevelType w:val="hybridMultilevel"/>
    <w:tmpl w:val="0D90A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EFA0BA0"/>
    <w:multiLevelType w:val="hybridMultilevel"/>
    <w:tmpl w:val="6EFE66CE"/>
    <w:lvl w:ilvl="0" w:tplc="ECE6FCF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5">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0A45D0F"/>
    <w:multiLevelType w:val="hybridMultilevel"/>
    <w:tmpl w:val="8B26B3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1CC48A2"/>
    <w:multiLevelType w:val="hybridMultilevel"/>
    <w:tmpl w:val="6A04AC62"/>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8">
    <w:nsid w:val="22F66D2C"/>
    <w:multiLevelType w:val="hybridMultilevel"/>
    <w:tmpl w:val="05B8D7A4"/>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9">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0">
    <w:nsid w:val="25C53B03"/>
    <w:multiLevelType w:val="multilevel"/>
    <w:tmpl w:val="164243D4"/>
    <w:styleLink w:val="Headings"/>
    <w:lvl w:ilvl="0">
      <w:start w:val="4"/>
      <w:numFmt w:val="decimal"/>
      <w:pStyle w:val="Heading1"/>
      <w:suff w:val="nothing"/>
      <w:lvlText w:val="Section %1"/>
      <w:lvlJc w:val="left"/>
      <w:pPr>
        <w:ind w:left="3403"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nsid w:val="292811B0"/>
    <w:multiLevelType w:val="hybridMultilevel"/>
    <w:tmpl w:val="A09E699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2">
    <w:nsid w:val="29CD493E"/>
    <w:multiLevelType w:val="hybridMultilevel"/>
    <w:tmpl w:val="384C0E4A"/>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3">
    <w:nsid w:val="2A7E62EF"/>
    <w:multiLevelType w:val="hybridMultilevel"/>
    <w:tmpl w:val="630EA02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4">
    <w:nsid w:val="2CB020A6"/>
    <w:multiLevelType w:val="hybridMultilevel"/>
    <w:tmpl w:val="4C5E0A8A"/>
    <w:lvl w:ilvl="0" w:tplc="B95EC132">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5">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5F07911"/>
    <w:multiLevelType w:val="hybridMultilevel"/>
    <w:tmpl w:val="E7DA5392"/>
    <w:lvl w:ilvl="0" w:tplc="6F82700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8">
    <w:nsid w:val="398C6EF7"/>
    <w:multiLevelType w:val="hybridMultilevel"/>
    <w:tmpl w:val="6AD4A812"/>
    <w:lvl w:ilvl="0" w:tplc="546075A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9">
    <w:nsid w:val="3A243664"/>
    <w:multiLevelType w:val="hybridMultilevel"/>
    <w:tmpl w:val="17B0F972"/>
    <w:lvl w:ilvl="0" w:tplc="D1706AD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0">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A6F6760"/>
    <w:multiLevelType w:val="hybridMultilevel"/>
    <w:tmpl w:val="4E84A802"/>
    <w:lvl w:ilvl="0" w:tplc="0106989A">
      <w:start w:val="1"/>
      <w:numFmt w:val="decimal"/>
      <w:lvlText w:val="%1."/>
      <w:lvlJc w:val="left"/>
      <w:pPr>
        <w:ind w:left="227" w:hanging="170"/>
      </w:pPr>
      <w:rPr>
        <w:rFonts w:ascii="Arial Narrow" w:eastAsia="Calibri" w:hAnsi="Arial Narrow" w:cs="Times New Roman"/>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2">
    <w:nsid w:val="3AE80BEC"/>
    <w:multiLevelType w:val="hybridMultilevel"/>
    <w:tmpl w:val="14208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B015C10"/>
    <w:multiLevelType w:val="hybridMultilevel"/>
    <w:tmpl w:val="3988855C"/>
    <w:lvl w:ilvl="0" w:tplc="24F41754">
      <w:start w:val="1"/>
      <w:numFmt w:val="decimal"/>
      <w:lvlText w:val="%1."/>
      <w:lvlJc w:val="left"/>
      <w:pPr>
        <w:ind w:left="227" w:hanging="170"/>
      </w:pPr>
      <w:rPr>
        <w:rFonts w:hint="default"/>
        <w:i w:val="0"/>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4">
    <w:nsid w:val="3C21031B"/>
    <w:multiLevelType w:val="hybridMultilevel"/>
    <w:tmpl w:val="428C5C32"/>
    <w:lvl w:ilvl="0" w:tplc="BC849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5">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nsid w:val="41563AEE"/>
    <w:multiLevelType w:val="hybridMultilevel"/>
    <w:tmpl w:val="D7BCBEF8"/>
    <w:lvl w:ilvl="0" w:tplc="B87C00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7">
    <w:nsid w:val="41FA53E0"/>
    <w:multiLevelType w:val="hybridMultilevel"/>
    <w:tmpl w:val="15EC573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8">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9">
    <w:nsid w:val="46BA1DB7"/>
    <w:multiLevelType w:val="hybridMultilevel"/>
    <w:tmpl w:val="6660E64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0">
    <w:nsid w:val="4B0B3354"/>
    <w:multiLevelType w:val="hybridMultilevel"/>
    <w:tmpl w:val="28F48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4D161851"/>
    <w:multiLevelType w:val="hybridMultilevel"/>
    <w:tmpl w:val="39144416"/>
    <w:lvl w:ilvl="0" w:tplc="D9BEE21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2">
    <w:nsid w:val="4EE862EA"/>
    <w:multiLevelType w:val="hybridMultilevel"/>
    <w:tmpl w:val="CF3E0466"/>
    <w:lvl w:ilvl="0" w:tplc="B1EC349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3">
    <w:nsid w:val="4F2040A4"/>
    <w:multiLevelType w:val="hybridMultilevel"/>
    <w:tmpl w:val="504E4F06"/>
    <w:lvl w:ilvl="0" w:tplc="FD18203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4">
    <w:nsid w:val="50231435"/>
    <w:multiLevelType w:val="hybridMultilevel"/>
    <w:tmpl w:val="D3EE0F4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5">
    <w:nsid w:val="50D53A42"/>
    <w:multiLevelType w:val="hybridMultilevel"/>
    <w:tmpl w:val="5D52750C"/>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6">
    <w:nsid w:val="54C4192B"/>
    <w:multiLevelType w:val="hybridMultilevel"/>
    <w:tmpl w:val="4F78034E"/>
    <w:lvl w:ilvl="0" w:tplc="D3BA439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7">
    <w:nsid w:val="5797041D"/>
    <w:multiLevelType w:val="hybridMultilevel"/>
    <w:tmpl w:val="040A7474"/>
    <w:lvl w:ilvl="0" w:tplc="E090A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8">
    <w:nsid w:val="591E201E"/>
    <w:multiLevelType w:val="hybridMultilevel"/>
    <w:tmpl w:val="A2D66482"/>
    <w:lvl w:ilvl="0" w:tplc="B1D2321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9">
    <w:nsid w:val="5ACB5430"/>
    <w:multiLevelType w:val="hybridMultilevel"/>
    <w:tmpl w:val="4582FC36"/>
    <w:lvl w:ilvl="0" w:tplc="3110A75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0">
    <w:nsid w:val="5D9A310B"/>
    <w:multiLevelType w:val="hybridMultilevel"/>
    <w:tmpl w:val="3D5EC8F2"/>
    <w:lvl w:ilvl="0" w:tplc="6A56EBB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1">
    <w:nsid w:val="5E511A44"/>
    <w:multiLevelType w:val="hybridMultilevel"/>
    <w:tmpl w:val="B0D46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nsid w:val="601D0643"/>
    <w:multiLevelType w:val="hybridMultilevel"/>
    <w:tmpl w:val="7E062F58"/>
    <w:lvl w:ilvl="0" w:tplc="53E0397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3">
    <w:nsid w:val="60C36840"/>
    <w:multiLevelType w:val="hybridMultilevel"/>
    <w:tmpl w:val="63E24DD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4">
    <w:nsid w:val="661A44C7"/>
    <w:multiLevelType w:val="hybridMultilevel"/>
    <w:tmpl w:val="2286C7C8"/>
    <w:lvl w:ilvl="0" w:tplc="C02AB3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5">
    <w:nsid w:val="6661524C"/>
    <w:multiLevelType w:val="hybridMultilevel"/>
    <w:tmpl w:val="CDE8EBC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6">
    <w:nsid w:val="67F7371C"/>
    <w:multiLevelType w:val="hybridMultilevel"/>
    <w:tmpl w:val="46627684"/>
    <w:lvl w:ilvl="0" w:tplc="A1AE146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7">
    <w:nsid w:val="69AD63BA"/>
    <w:multiLevelType w:val="hybridMultilevel"/>
    <w:tmpl w:val="318666E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8">
    <w:nsid w:val="6B5856DB"/>
    <w:multiLevelType w:val="hybridMultilevel"/>
    <w:tmpl w:val="8866478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9">
    <w:nsid w:val="6E3C3F00"/>
    <w:multiLevelType w:val="hybridMultilevel"/>
    <w:tmpl w:val="4FE8045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0">
    <w:nsid w:val="71756BCA"/>
    <w:multiLevelType w:val="hybridMultilevel"/>
    <w:tmpl w:val="E234A206"/>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1">
    <w:nsid w:val="72230358"/>
    <w:multiLevelType w:val="hybridMultilevel"/>
    <w:tmpl w:val="2376C6C6"/>
    <w:lvl w:ilvl="0" w:tplc="7E32C55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62">
    <w:nsid w:val="770E20AA"/>
    <w:multiLevelType w:val="hybridMultilevel"/>
    <w:tmpl w:val="845AFC7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3">
    <w:nsid w:val="780D5CA2"/>
    <w:multiLevelType w:val="hybridMultilevel"/>
    <w:tmpl w:val="705A969C"/>
    <w:lvl w:ilvl="0" w:tplc="878C752C">
      <w:start w:val="1"/>
      <w:numFmt w:val="decimal"/>
      <w:lvlText w:val="%1."/>
      <w:lvlJc w:val="left"/>
      <w:pPr>
        <w:ind w:left="777" w:hanging="360"/>
      </w:pPr>
      <w:rPr>
        <w:b/>
      </w:rPr>
    </w:lvl>
    <w:lvl w:ilvl="1" w:tplc="4D96EF50">
      <w:start w:val="1"/>
      <w:numFmt w:val="lowerLetter"/>
      <w:lvlText w:val="%2."/>
      <w:lvlJc w:val="left"/>
      <w:pPr>
        <w:ind w:left="1497" w:hanging="360"/>
      </w:pPr>
      <w:rPr>
        <w:rFonts w:hint="default"/>
      </w:r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4">
    <w:nsid w:val="78595295"/>
    <w:multiLevelType w:val="hybridMultilevel"/>
    <w:tmpl w:val="A47EFD1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5">
    <w:nsid w:val="799170CD"/>
    <w:multiLevelType w:val="hybridMultilevel"/>
    <w:tmpl w:val="299A7D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6">
    <w:nsid w:val="7B0D00B7"/>
    <w:multiLevelType w:val="hybridMultilevel"/>
    <w:tmpl w:val="2F1A4DA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num w:numId="1">
    <w:abstractNumId w:val="25"/>
  </w:num>
  <w:num w:numId="2">
    <w:abstractNumId w:val="9"/>
  </w:num>
  <w:num w:numId="3">
    <w:abstractNumId w:val="26"/>
  </w:num>
  <w:num w:numId="4">
    <w:abstractNumId w:val="15"/>
  </w:num>
  <w:num w:numId="5">
    <w:abstractNumId w:val="19"/>
  </w:num>
  <w:num w:numId="6">
    <w:abstractNumId w:val="2"/>
  </w:num>
  <w:num w:numId="7">
    <w:abstractNumId w:val="35"/>
  </w:num>
  <w:num w:numId="8">
    <w:abstractNumId w:val="30"/>
  </w:num>
  <w:num w:numId="9">
    <w:abstractNumId w:val="38"/>
  </w:num>
  <w:num w:numId="10">
    <w:abstractNumId w:val="58"/>
  </w:num>
  <w:num w:numId="11">
    <w:abstractNumId w:val="22"/>
  </w:num>
  <w:num w:numId="12">
    <w:abstractNumId w:val="4"/>
  </w:num>
  <w:num w:numId="13">
    <w:abstractNumId w:val="63"/>
  </w:num>
  <w:num w:numId="14">
    <w:abstractNumId w:val="18"/>
  </w:num>
  <w:num w:numId="15">
    <w:abstractNumId w:val="62"/>
  </w:num>
  <w:num w:numId="16">
    <w:abstractNumId w:val="20"/>
    <w:lvlOverride w:ilvl="0">
      <w:lvl w:ilvl="0">
        <w:start w:val="1"/>
        <w:numFmt w:val="decimal"/>
        <w:pStyle w:val="Heading1"/>
        <w:suff w:val="nothing"/>
        <w:lvlText w:val="Section %1"/>
        <w:lvlJc w:val="left"/>
        <w:pPr>
          <w:ind w:left="3403"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7">
    <w:abstractNumId w:val="20"/>
    <w:lvlOverride w:ilvl="0">
      <w:lvl w:ilvl="0">
        <w:start w:val="1"/>
        <w:numFmt w:val="decimal"/>
        <w:pStyle w:val="Heading1"/>
        <w:suff w:val="nothing"/>
        <w:lvlText w:val="Section %1"/>
        <w:lvlJc w:val="left"/>
        <w:pPr>
          <w:ind w:left="3119"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8">
    <w:abstractNumId w:val="20"/>
    <w:lvlOverride w:ilvl="1">
      <w:lvl w:ilvl="1">
        <w:start w:val="1"/>
        <w:numFmt w:val="decimal"/>
        <w:pStyle w:val="Heading2"/>
        <w:lvlText w:val="%1.%2"/>
        <w:lvlJc w:val="left"/>
        <w:pPr>
          <w:tabs>
            <w:tab w:val="num" w:pos="851"/>
          </w:tabs>
          <w:ind w:left="0" w:firstLine="0"/>
        </w:pPr>
        <w:rPr>
          <w:rFonts w:hint="default"/>
        </w:rPr>
      </w:lvl>
    </w:lvlOverride>
  </w:num>
  <w:num w:numId="19">
    <w:abstractNumId w:val="24"/>
  </w:num>
  <w:num w:numId="20">
    <w:abstractNumId w:val="33"/>
  </w:num>
  <w:num w:numId="21">
    <w:abstractNumId w:val="3"/>
  </w:num>
  <w:num w:numId="22">
    <w:abstractNumId w:val="49"/>
  </w:num>
  <w:num w:numId="23">
    <w:abstractNumId w:val="31"/>
  </w:num>
  <w:num w:numId="24">
    <w:abstractNumId w:val="43"/>
  </w:num>
  <w:num w:numId="25">
    <w:abstractNumId w:val="7"/>
  </w:num>
  <w:num w:numId="26">
    <w:abstractNumId w:val="46"/>
  </w:num>
  <w:num w:numId="27">
    <w:abstractNumId w:val="36"/>
  </w:num>
  <w:num w:numId="28">
    <w:abstractNumId w:val="14"/>
  </w:num>
  <w:num w:numId="29">
    <w:abstractNumId w:val="47"/>
  </w:num>
  <w:num w:numId="30">
    <w:abstractNumId w:val="56"/>
  </w:num>
  <w:num w:numId="31">
    <w:abstractNumId w:val="34"/>
  </w:num>
  <w:num w:numId="32">
    <w:abstractNumId w:val="27"/>
  </w:num>
  <w:num w:numId="33">
    <w:abstractNumId w:val="48"/>
  </w:num>
  <w:num w:numId="34">
    <w:abstractNumId w:val="29"/>
  </w:num>
  <w:num w:numId="35">
    <w:abstractNumId w:val="42"/>
  </w:num>
  <w:num w:numId="36">
    <w:abstractNumId w:val="1"/>
  </w:num>
  <w:num w:numId="37">
    <w:abstractNumId w:val="41"/>
  </w:num>
  <w:num w:numId="38">
    <w:abstractNumId w:val="52"/>
  </w:num>
  <w:num w:numId="39">
    <w:abstractNumId w:val="61"/>
  </w:num>
  <w:num w:numId="40">
    <w:abstractNumId w:val="50"/>
  </w:num>
  <w:num w:numId="41">
    <w:abstractNumId w:val="5"/>
  </w:num>
  <w:num w:numId="42">
    <w:abstractNumId w:val="11"/>
  </w:num>
  <w:num w:numId="43">
    <w:abstractNumId w:val="10"/>
  </w:num>
  <w:num w:numId="44">
    <w:abstractNumId w:val="28"/>
  </w:num>
  <w:num w:numId="45">
    <w:abstractNumId w:val="54"/>
  </w:num>
  <w:num w:numId="46">
    <w:abstractNumId w:val="57"/>
  </w:num>
  <w:num w:numId="47">
    <w:abstractNumId w:val="23"/>
  </w:num>
  <w:num w:numId="48">
    <w:abstractNumId w:val="45"/>
  </w:num>
  <w:num w:numId="49">
    <w:abstractNumId w:val="60"/>
  </w:num>
  <w:num w:numId="50">
    <w:abstractNumId w:val="55"/>
  </w:num>
  <w:num w:numId="51">
    <w:abstractNumId w:val="21"/>
  </w:num>
  <w:num w:numId="52">
    <w:abstractNumId w:val="8"/>
  </w:num>
  <w:num w:numId="53">
    <w:abstractNumId w:val="66"/>
  </w:num>
  <w:num w:numId="54">
    <w:abstractNumId w:val="37"/>
  </w:num>
  <w:num w:numId="55">
    <w:abstractNumId w:val="53"/>
  </w:num>
  <w:num w:numId="56">
    <w:abstractNumId w:val="39"/>
  </w:num>
  <w:num w:numId="57">
    <w:abstractNumId w:val="64"/>
  </w:num>
  <w:num w:numId="58">
    <w:abstractNumId w:val="6"/>
  </w:num>
  <w:num w:numId="59">
    <w:abstractNumId w:val="17"/>
  </w:num>
  <w:num w:numId="60">
    <w:abstractNumId w:val="44"/>
  </w:num>
  <w:num w:numId="61">
    <w:abstractNumId w:val="59"/>
  </w:num>
  <w:num w:numId="62">
    <w:abstractNumId w:val="12"/>
  </w:num>
  <w:num w:numId="63">
    <w:abstractNumId w:val="2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64">
    <w:abstractNumId w:val="40"/>
  </w:num>
  <w:num w:numId="65">
    <w:abstractNumId w:val="16"/>
  </w:num>
  <w:num w:numId="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13"/>
  </w:num>
  <w:num w:numId="69">
    <w:abstractNumId w:val="32"/>
  </w:num>
  <w:num w:numId="70">
    <w:abstractNumId w:val="51"/>
  </w:num>
  <w:num w:numId="71">
    <w:abstractNumId w:val="0"/>
  </w:num>
  <w:num w:numId="72">
    <w:abstractNumId w:val="20"/>
  </w:num>
  <w:num w:numId="73">
    <w:abstractNumId w:val="25"/>
  </w:num>
  <w:num w:numId="74">
    <w:abstractNumId w:val="6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HC&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pezfr0jezvsle2vz0x5vps2ad90atpppsw&quot;&gt;COPD Review_ToR3_Medline and EMBASE_31Aug2016&lt;record-ids&gt;&lt;item&gt;1011&lt;/item&gt;&lt;/record-ids&gt;&lt;/item&gt;&lt;/Libraries&gt;"/>
  </w:docVars>
  <w:rsids>
    <w:rsidRoot w:val="000B0C8C"/>
    <w:rsid w:val="00000676"/>
    <w:rsid w:val="00001143"/>
    <w:rsid w:val="00002CBE"/>
    <w:rsid w:val="000039E6"/>
    <w:rsid w:val="00004311"/>
    <w:rsid w:val="000058DE"/>
    <w:rsid w:val="0000707E"/>
    <w:rsid w:val="000077CE"/>
    <w:rsid w:val="00012746"/>
    <w:rsid w:val="0001276B"/>
    <w:rsid w:val="00012A89"/>
    <w:rsid w:val="00012C43"/>
    <w:rsid w:val="00012EF0"/>
    <w:rsid w:val="00013DEC"/>
    <w:rsid w:val="00013DF5"/>
    <w:rsid w:val="000145AF"/>
    <w:rsid w:val="00015854"/>
    <w:rsid w:val="00016BF6"/>
    <w:rsid w:val="0001713E"/>
    <w:rsid w:val="00017C1F"/>
    <w:rsid w:val="00017FBF"/>
    <w:rsid w:val="0002051B"/>
    <w:rsid w:val="0002235B"/>
    <w:rsid w:val="00022DA6"/>
    <w:rsid w:val="00022E3F"/>
    <w:rsid w:val="000232A6"/>
    <w:rsid w:val="000245BD"/>
    <w:rsid w:val="0002479A"/>
    <w:rsid w:val="00024991"/>
    <w:rsid w:val="00026080"/>
    <w:rsid w:val="00026B3C"/>
    <w:rsid w:val="00026CB1"/>
    <w:rsid w:val="000273DB"/>
    <w:rsid w:val="00027957"/>
    <w:rsid w:val="00032398"/>
    <w:rsid w:val="00033623"/>
    <w:rsid w:val="00033681"/>
    <w:rsid w:val="0003409D"/>
    <w:rsid w:val="000342DC"/>
    <w:rsid w:val="000347D4"/>
    <w:rsid w:val="00034EAB"/>
    <w:rsid w:val="00035233"/>
    <w:rsid w:val="00035C43"/>
    <w:rsid w:val="00035CAA"/>
    <w:rsid w:val="0003622D"/>
    <w:rsid w:val="0003789A"/>
    <w:rsid w:val="00040BD7"/>
    <w:rsid w:val="00041372"/>
    <w:rsid w:val="000416AB"/>
    <w:rsid w:val="00041984"/>
    <w:rsid w:val="00041A7E"/>
    <w:rsid w:val="00043CB4"/>
    <w:rsid w:val="00045558"/>
    <w:rsid w:val="00045E4A"/>
    <w:rsid w:val="000460DF"/>
    <w:rsid w:val="00047E33"/>
    <w:rsid w:val="00050135"/>
    <w:rsid w:val="000504A4"/>
    <w:rsid w:val="00052353"/>
    <w:rsid w:val="0005309E"/>
    <w:rsid w:val="000546C2"/>
    <w:rsid w:val="0005536D"/>
    <w:rsid w:val="000559E2"/>
    <w:rsid w:val="00055DCD"/>
    <w:rsid w:val="00055F77"/>
    <w:rsid w:val="00056161"/>
    <w:rsid w:val="00056B0F"/>
    <w:rsid w:val="000604DC"/>
    <w:rsid w:val="00062FC9"/>
    <w:rsid w:val="000633E2"/>
    <w:rsid w:val="000637FC"/>
    <w:rsid w:val="00064658"/>
    <w:rsid w:val="00064766"/>
    <w:rsid w:val="00065489"/>
    <w:rsid w:val="00065F42"/>
    <w:rsid w:val="000660F8"/>
    <w:rsid w:val="000662F1"/>
    <w:rsid w:val="00066834"/>
    <w:rsid w:val="00066AB2"/>
    <w:rsid w:val="000675D8"/>
    <w:rsid w:val="000676BE"/>
    <w:rsid w:val="000724B1"/>
    <w:rsid w:val="00072A71"/>
    <w:rsid w:val="00072E12"/>
    <w:rsid w:val="0007323D"/>
    <w:rsid w:val="0007521E"/>
    <w:rsid w:val="00075AE3"/>
    <w:rsid w:val="00075D0E"/>
    <w:rsid w:val="0007681B"/>
    <w:rsid w:val="00076A20"/>
    <w:rsid w:val="00080ED5"/>
    <w:rsid w:val="000824DB"/>
    <w:rsid w:val="000825E8"/>
    <w:rsid w:val="00083208"/>
    <w:rsid w:val="000852FB"/>
    <w:rsid w:val="00087A6A"/>
    <w:rsid w:val="00091491"/>
    <w:rsid w:val="00091E7E"/>
    <w:rsid w:val="00092310"/>
    <w:rsid w:val="000940EB"/>
    <w:rsid w:val="00094EC1"/>
    <w:rsid w:val="000958F2"/>
    <w:rsid w:val="00097C45"/>
    <w:rsid w:val="00097C6E"/>
    <w:rsid w:val="00097E3A"/>
    <w:rsid w:val="000A193C"/>
    <w:rsid w:val="000A1B83"/>
    <w:rsid w:val="000A1EBA"/>
    <w:rsid w:val="000A2DB5"/>
    <w:rsid w:val="000A30C5"/>
    <w:rsid w:val="000A4602"/>
    <w:rsid w:val="000A4677"/>
    <w:rsid w:val="000A5911"/>
    <w:rsid w:val="000A6228"/>
    <w:rsid w:val="000A6697"/>
    <w:rsid w:val="000A6E36"/>
    <w:rsid w:val="000A7292"/>
    <w:rsid w:val="000A72FD"/>
    <w:rsid w:val="000B0485"/>
    <w:rsid w:val="000B0C8C"/>
    <w:rsid w:val="000B1B9E"/>
    <w:rsid w:val="000B23AB"/>
    <w:rsid w:val="000B254C"/>
    <w:rsid w:val="000B5265"/>
    <w:rsid w:val="000B6B79"/>
    <w:rsid w:val="000C06A9"/>
    <w:rsid w:val="000C0A78"/>
    <w:rsid w:val="000C0D98"/>
    <w:rsid w:val="000C3AA8"/>
    <w:rsid w:val="000C4305"/>
    <w:rsid w:val="000C46DF"/>
    <w:rsid w:val="000C49E2"/>
    <w:rsid w:val="000C585D"/>
    <w:rsid w:val="000C60B4"/>
    <w:rsid w:val="000C61FF"/>
    <w:rsid w:val="000C66AF"/>
    <w:rsid w:val="000C66B3"/>
    <w:rsid w:val="000C70E2"/>
    <w:rsid w:val="000C745C"/>
    <w:rsid w:val="000C74B1"/>
    <w:rsid w:val="000D0670"/>
    <w:rsid w:val="000D06EF"/>
    <w:rsid w:val="000D1D1E"/>
    <w:rsid w:val="000D2511"/>
    <w:rsid w:val="000D27CF"/>
    <w:rsid w:val="000D2FC8"/>
    <w:rsid w:val="000D3BCC"/>
    <w:rsid w:val="000D40BF"/>
    <w:rsid w:val="000D4B07"/>
    <w:rsid w:val="000D564C"/>
    <w:rsid w:val="000D5DD0"/>
    <w:rsid w:val="000D6FC6"/>
    <w:rsid w:val="000D7D43"/>
    <w:rsid w:val="000E153B"/>
    <w:rsid w:val="000E1BDD"/>
    <w:rsid w:val="000E1F27"/>
    <w:rsid w:val="000E294F"/>
    <w:rsid w:val="000E3539"/>
    <w:rsid w:val="000E36F8"/>
    <w:rsid w:val="000E512C"/>
    <w:rsid w:val="000E79FE"/>
    <w:rsid w:val="000E7F06"/>
    <w:rsid w:val="000F0119"/>
    <w:rsid w:val="000F044F"/>
    <w:rsid w:val="000F0E1B"/>
    <w:rsid w:val="000F2E0E"/>
    <w:rsid w:val="000F3079"/>
    <w:rsid w:val="000F3AFC"/>
    <w:rsid w:val="000F3EBE"/>
    <w:rsid w:val="000F4182"/>
    <w:rsid w:val="000F4BA3"/>
    <w:rsid w:val="000F5807"/>
    <w:rsid w:val="000F62A9"/>
    <w:rsid w:val="000F68D2"/>
    <w:rsid w:val="000F7E14"/>
    <w:rsid w:val="00100017"/>
    <w:rsid w:val="00100197"/>
    <w:rsid w:val="00101225"/>
    <w:rsid w:val="00101A77"/>
    <w:rsid w:val="001024C8"/>
    <w:rsid w:val="001046AF"/>
    <w:rsid w:val="001051F9"/>
    <w:rsid w:val="001055C5"/>
    <w:rsid w:val="00105AA9"/>
    <w:rsid w:val="00105B66"/>
    <w:rsid w:val="001066D2"/>
    <w:rsid w:val="001071DA"/>
    <w:rsid w:val="001103FF"/>
    <w:rsid w:val="00110455"/>
    <w:rsid w:val="00110ABA"/>
    <w:rsid w:val="00111D1E"/>
    <w:rsid w:val="00111E4E"/>
    <w:rsid w:val="00111FA3"/>
    <w:rsid w:val="001121F8"/>
    <w:rsid w:val="00113A4A"/>
    <w:rsid w:val="00113F1E"/>
    <w:rsid w:val="00120232"/>
    <w:rsid w:val="00120A7B"/>
    <w:rsid w:val="001211AE"/>
    <w:rsid w:val="00122438"/>
    <w:rsid w:val="00122CE5"/>
    <w:rsid w:val="001234DA"/>
    <w:rsid w:val="00123AD8"/>
    <w:rsid w:val="00123E7D"/>
    <w:rsid w:val="00124027"/>
    <w:rsid w:val="00124F08"/>
    <w:rsid w:val="00125AF7"/>
    <w:rsid w:val="0012643A"/>
    <w:rsid w:val="00126D7C"/>
    <w:rsid w:val="00127CC2"/>
    <w:rsid w:val="00130B4A"/>
    <w:rsid w:val="00131C31"/>
    <w:rsid w:val="00132B2B"/>
    <w:rsid w:val="00132E10"/>
    <w:rsid w:val="0013307D"/>
    <w:rsid w:val="00133D05"/>
    <w:rsid w:val="001356C1"/>
    <w:rsid w:val="001368CE"/>
    <w:rsid w:val="0013782E"/>
    <w:rsid w:val="00140687"/>
    <w:rsid w:val="001406D9"/>
    <w:rsid w:val="00140B62"/>
    <w:rsid w:val="00140C48"/>
    <w:rsid w:val="00141508"/>
    <w:rsid w:val="00141AB4"/>
    <w:rsid w:val="00141E3A"/>
    <w:rsid w:val="001428E7"/>
    <w:rsid w:val="0014300C"/>
    <w:rsid w:val="00144722"/>
    <w:rsid w:val="00145CE3"/>
    <w:rsid w:val="00146692"/>
    <w:rsid w:val="00146A18"/>
    <w:rsid w:val="00146A6B"/>
    <w:rsid w:val="00146A8B"/>
    <w:rsid w:val="0015014E"/>
    <w:rsid w:val="001504AA"/>
    <w:rsid w:val="00150D82"/>
    <w:rsid w:val="00150DBD"/>
    <w:rsid w:val="00150DC0"/>
    <w:rsid w:val="00150EEE"/>
    <w:rsid w:val="00151A01"/>
    <w:rsid w:val="001532AF"/>
    <w:rsid w:val="0015420F"/>
    <w:rsid w:val="00154702"/>
    <w:rsid w:val="00156EB5"/>
    <w:rsid w:val="0016130F"/>
    <w:rsid w:val="001639A2"/>
    <w:rsid w:val="00164021"/>
    <w:rsid w:val="0016423E"/>
    <w:rsid w:val="001647A0"/>
    <w:rsid w:val="00164C1C"/>
    <w:rsid w:val="001660ED"/>
    <w:rsid w:val="00167375"/>
    <w:rsid w:val="00167471"/>
    <w:rsid w:val="0016766E"/>
    <w:rsid w:val="00171297"/>
    <w:rsid w:val="00172729"/>
    <w:rsid w:val="001750D5"/>
    <w:rsid w:val="001761C7"/>
    <w:rsid w:val="00176CE6"/>
    <w:rsid w:val="001776BF"/>
    <w:rsid w:val="001779A4"/>
    <w:rsid w:val="00180812"/>
    <w:rsid w:val="00181151"/>
    <w:rsid w:val="001812BB"/>
    <w:rsid w:val="00182493"/>
    <w:rsid w:val="0018288F"/>
    <w:rsid w:val="001835B6"/>
    <w:rsid w:val="00183A64"/>
    <w:rsid w:val="0018400D"/>
    <w:rsid w:val="00184332"/>
    <w:rsid w:val="00184ED9"/>
    <w:rsid w:val="00185623"/>
    <w:rsid w:val="00186004"/>
    <w:rsid w:val="001863E5"/>
    <w:rsid w:val="00186483"/>
    <w:rsid w:val="00186728"/>
    <w:rsid w:val="00187E28"/>
    <w:rsid w:val="001904AD"/>
    <w:rsid w:val="001909F5"/>
    <w:rsid w:val="00191996"/>
    <w:rsid w:val="0019224F"/>
    <w:rsid w:val="0019235B"/>
    <w:rsid w:val="00193204"/>
    <w:rsid w:val="0019393C"/>
    <w:rsid w:val="00194011"/>
    <w:rsid w:val="00194614"/>
    <w:rsid w:val="00195E30"/>
    <w:rsid w:val="00195FC1"/>
    <w:rsid w:val="00196FAB"/>
    <w:rsid w:val="001976D5"/>
    <w:rsid w:val="001A03AD"/>
    <w:rsid w:val="001A058C"/>
    <w:rsid w:val="001A1585"/>
    <w:rsid w:val="001A1802"/>
    <w:rsid w:val="001A1B19"/>
    <w:rsid w:val="001A20AE"/>
    <w:rsid w:val="001A2E31"/>
    <w:rsid w:val="001A3284"/>
    <w:rsid w:val="001A4566"/>
    <w:rsid w:val="001A49DD"/>
    <w:rsid w:val="001A4CCF"/>
    <w:rsid w:val="001A4EB3"/>
    <w:rsid w:val="001A57C7"/>
    <w:rsid w:val="001A675B"/>
    <w:rsid w:val="001A6A82"/>
    <w:rsid w:val="001A747A"/>
    <w:rsid w:val="001A7F97"/>
    <w:rsid w:val="001B0312"/>
    <w:rsid w:val="001B199D"/>
    <w:rsid w:val="001B1DAA"/>
    <w:rsid w:val="001B2CBA"/>
    <w:rsid w:val="001B38BB"/>
    <w:rsid w:val="001B53BA"/>
    <w:rsid w:val="001B5669"/>
    <w:rsid w:val="001B6836"/>
    <w:rsid w:val="001B6EE5"/>
    <w:rsid w:val="001B7272"/>
    <w:rsid w:val="001B72DE"/>
    <w:rsid w:val="001C09B9"/>
    <w:rsid w:val="001C0AB9"/>
    <w:rsid w:val="001C1006"/>
    <w:rsid w:val="001C1E27"/>
    <w:rsid w:val="001C2742"/>
    <w:rsid w:val="001C349D"/>
    <w:rsid w:val="001C372E"/>
    <w:rsid w:val="001C39AA"/>
    <w:rsid w:val="001C3B62"/>
    <w:rsid w:val="001C41A4"/>
    <w:rsid w:val="001C4302"/>
    <w:rsid w:val="001C49D2"/>
    <w:rsid w:val="001C5235"/>
    <w:rsid w:val="001C54E0"/>
    <w:rsid w:val="001C6234"/>
    <w:rsid w:val="001C79F5"/>
    <w:rsid w:val="001D0185"/>
    <w:rsid w:val="001D0732"/>
    <w:rsid w:val="001D1093"/>
    <w:rsid w:val="001D17E9"/>
    <w:rsid w:val="001D21EC"/>
    <w:rsid w:val="001D2A80"/>
    <w:rsid w:val="001D2F0A"/>
    <w:rsid w:val="001D3236"/>
    <w:rsid w:val="001D3838"/>
    <w:rsid w:val="001D4A97"/>
    <w:rsid w:val="001D54F3"/>
    <w:rsid w:val="001D55A7"/>
    <w:rsid w:val="001D61C0"/>
    <w:rsid w:val="001D6865"/>
    <w:rsid w:val="001D70D4"/>
    <w:rsid w:val="001D769E"/>
    <w:rsid w:val="001E0756"/>
    <w:rsid w:val="001E17A1"/>
    <w:rsid w:val="001E1B87"/>
    <w:rsid w:val="001E4C07"/>
    <w:rsid w:val="001E50F5"/>
    <w:rsid w:val="001E634F"/>
    <w:rsid w:val="001E793F"/>
    <w:rsid w:val="001F044A"/>
    <w:rsid w:val="001F064C"/>
    <w:rsid w:val="001F06A3"/>
    <w:rsid w:val="001F09E7"/>
    <w:rsid w:val="001F149C"/>
    <w:rsid w:val="001F14CB"/>
    <w:rsid w:val="001F1F12"/>
    <w:rsid w:val="001F40B2"/>
    <w:rsid w:val="001F43F7"/>
    <w:rsid w:val="001F46A2"/>
    <w:rsid w:val="001F6496"/>
    <w:rsid w:val="001F65FA"/>
    <w:rsid w:val="001F6A4C"/>
    <w:rsid w:val="001F6AC1"/>
    <w:rsid w:val="001F70C1"/>
    <w:rsid w:val="001F73A8"/>
    <w:rsid w:val="00200F50"/>
    <w:rsid w:val="00201497"/>
    <w:rsid w:val="00202D4D"/>
    <w:rsid w:val="00203356"/>
    <w:rsid w:val="00203E3E"/>
    <w:rsid w:val="002045AE"/>
    <w:rsid w:val="00205A79"/>
    <w:rsid w:val="00205AA5"/>
    <w:rsid w:val="00205B06"/>
    <w:rsid w:val="00205BCE"/>
    <w:rsid w:val="00205F79"/>
    <w:rsid w:val="00206369"/>
    <w:rsid w:val="002109F3"/>
    <w:rsid w:val="0021149E"/>
    <w:rsid w:val="00211F2D"/>
    <w:rsid w:val="00212382"/>
    <w:rsid w:val="00212941"/>
    <w:rsid w:val="002136BC"/>
    <w:rsid w:val="00215768"/>
    <w:rsid w:val="002160CD"/>
    <w:rsid w:val="002167A5"/>
    <w:rsid w:val="00216AD4"/>
    <w:rsid w:val="00216CC6"/>
    <w:rsid w:val="00216DA2"/>
    <w:rsid w:val="002174D7"/>
    <w:rsid w:val="00220C07"/>
    <w:rsid w:val="00221A10"/>
    <w:rsid w:val="0022228D"/>
    <w:rsid w:val="00222782"/>
    <w:rsid w:val="00224431"/>
    <w:rsid w:val="002258FA"/>
    <w:rsid w:val="002274A5"/>
    <w:rsid w:val="002303F7"/>
    <w:rsid w:val="00230C5A"/>
    <w:rsid w:val="002312DA"/>
    <w:rsid w:val="00231338"/>
    <w:rsid w:val="00231B1D"/>
    <w:rsid w:val="0023265F"/>
    <w:rsid w:val="00233948"/>
    <w:rsid w:val="00234634"/>
    <w:rsid w:val="00234F49"/>
    <w:rsid w:val="00234FD7"/>
    <w:rsid w:val="002358E7"/>
    <w:rsid w:val="0023621C"/>
    <w:rsid w:val="002378F3"/>
    <w:rsid w:val="0024003B"/>
    <w:rsid w:val="0024006E"/>
    <w:rsid w:val="00241406"/>
    <w:rsid w:val="00242EA0"/>
    <w:rsid w:val="0024328B"/>
    <w:rsid w:val="00244675"/>
    <w:rsid w:val="0024467B"/>
    <w:rsid w:val="00244728"/>
    <w:rsid w:val="00247929"/>
    <w:rsid w:val="002503CC"/>
    <w:rsid w:val="00250EBD"/>
    <w:rsid w:val="00251919"/>
    <w:rsid w:val="002522E0"/>
    <w:rsid w:val="0025314D"/>
    <w:rsid w:val="002532EC"/>
    <w:rsid w:val="00253B90"/>
    <w:rsid w:val="002541D8"/>
    <w:rsid w:val="00255731"/>
    <w:rsid w:val="00257E1E"/>
    <w:rsid w:val="00262AD2"/>
    <w:rsid w:val="00262C0A"/>
    <w:rsid w:val="0026536F"/>
    <w:rsid w:val="00265391"/>
    <w:rsid w:val="00265798"/>
    <w:rsid w:val="002677E1"/>
    <w:rsid w:val="00267A57"/>
    <w:rsid w:val="00270357"/>
    <w:rsid w:val="00270A37"/>
    <w:rsid w:val="00271086"/>
    <w:rsid w:val="002718B3"/>
    <w:rsid w:val="0028228D"/>
    <w:rsid w:val="002824C8"/>
    <w:rsid w:val="00282865"/>
    <w:rsid w:val="00283614"/>
    <w:rsid w:val="00283E6D"/>
    <w:rsid w:val="00284BD6"/>
    <w:rsid w:val="00284E18"/>
    <w:rsid w:val="00284EBE"/>
    <w:rsid w:val="0028628F"/>
    <w:rsid w:val="0028753E"/>
    <w:rsid w:val="002876CD"/>
    <w:rsid w:val="0028781C"/>
    <w:rsid w:val="0029005A"/>
    <w:rsid w:val="0029058D"/>
    <w:rsid w:val="00290B6A"/>
    <w:rsid w:val="00291747"/>
    <w:rsid w:val="002928D0"/>
    <w:rsid w:val="00294743"/>
    <w:rsid w:val="002963C1"/>
    <w:rsid w:val="002965EB"/>
    <w:rsid w:val="00296A77"/>
    <w:rsid w:val="00296C04"/>
    <w:rsid w:val="0029701D"/>
    <w:rsid w:val="0029749A"/>
    <w:rsid w:val="0029750E"/>
    <w:rsid w:val="00297721"/>
    <w:rsid w:val="002A0DA1"/>
    <w:rsid w:val="002A22EC"/>
    <w:rsid w:val="002A44E0"/>
    <w:rsid w:val="002A5065"/>
    <w:rsid w:val="002A5572"/>
    <w:rsid w:val="002A5739"/>
    <w:rsid w:val="002A59F9"/>
    <w:rsid w:val="002A5CA2"/>
    <w:rsid w:val="002A6729"/>
    <w:rsid w:val="002A73C2"/>
    <w:rsid w:val="002B11AF"/>
    <w:rsid w:val="002B14FA"/>
    <w:rsid w:val="002B15F2"/>
    <w:rsid w:val="002B16D4"/>
    <w:rsid w:val="002B17E6"/>
    <w:rsid w:val="002B3187"/>
    <w:rsid w:val="002B3E8B"/>
    <w:rsid w:val="002B4347"/>
    <w:rsid w:val="002B48B9"/>
    <w:rsid w:val="002B756B"/>
    <w:rsid w:val="002C1E4D"/>
    <w:rsid w:val="002C383E"/>
    <w:rsid w:val="002C7600"/>
    <w:rsid w:val="002C7B12"/>
    <w:rsid w:val="002D1BC0"/>
    <w:rsid w:val="002D1FA4"/>
    <w:rsid w:val="002D228E"/>
    <w:rsid w:val="002D27FE"/>
    <w:rsid w:val="002D2B12"/>
    <w:rsid w:val="002D33AD"/>
    <w:rsid w:val="002D42F3"/>
    <w:rsid w:val="002D4A37"/>
    <w:rsid w:val="002D503C"/>
    <w:rsid w:val="002D583D"/>
    <w:rsid w:val="002D6BFF"/>
    <w:rsid w:val="002D785D"/>
    <w:rsid w:val="002E0693"/>
    <w:rsid w:val="002E12C0"/>
    <w:rsid w:val="002E1B57"/>
    <w:rsid w:val="002E46A6"/>
    <w:rsid w:val="002E4E0B"/>
    <w:rsid w:val="002E5CBD"/>
    <w:rsid w:val="002E5D56"/>
    <w:rsid w:val="002E5F67"/>
    <w:rsid w:val="002E68F1"/>
    <w:rsid w:val="002E7FF1"/>
    <w:rsid w:val="002F0002"/>
    <w:rsid w:val="002F06A0"/>
    <w:rsid w:val="002F18F7"/>
    <w:rsid w:val="002F1FF1"/>
    <w:rsid w:val="002F3008"/>
    <w:rsid w:val="002F3746"/>
    <w:rsid w:val="002F38B0"/>
    <w:rsid w:val="002F60E8"/>
    <w:rsid w:val="002F61C4"/>
    <w:rsid w:val="002F692B"/>
    <w:rsid w:val="002F6D08"/>
    <w:rsid w:val="002F7095"/>
    <w:rsid w:val="002F7338"/>
    <w:rsid w:val="0030053F"/>
    <w:rsid w:val="00300A50"/>
    <w:rsid w:val="00301A67"/>
    <w:rsid w:val="00301DF6"/>
    <w:rsid w:val="00302076"/>
    <w:rsid w:val="0030221C"/>
    <w:rsid w:val="00302C19"/>
    <w:rsid w:val="00303106"/>
    <w:rsid w:val="0030374E"/>
    <w:rsid w:val="003037BB"/>
    <w:rsid w:val="00303FB1"/>
    <w:rsid w:val="003041CB"/>
    <w:rsid w:val="0030435D"/>
    <w:rsid w:val="00306DCF"/>
    <w:rsid w:val="00307AEA"/>
    <w:rsid w:val="00310238"/>
    <w:rsid w:val="003109CA"/>
    <w:rsid w:val="003114C7"/>
    <w:rsid w:val="003118D5"/>
    <w:rsid w:val="00314783"/>
    <w:rsid w:val="00315A30"/>
    <w:rsid w:val="00317610"/>
    <w:rsid w:val="00317DF1"/>
    <w:rsid w:val="00317E57"/>
    <w:rsid w:val="00321179"/>
    <w:rsid w:val="003214BC"/>
    <w:rsid w:val="003229AC"/>
    <w:rsid w:val="00324F88"/>
    <w:rsid w:val="00325A2E"/>
    <w:rsid w:val="0032778B"/>
    <w:rsid w:val="00327B56"/>
    <w:rsid w:val="003315C7"/>
    <w:rsid w:val="003316D9"/>
    <w:rsid w:val="00331D1A"/>
    <w:rsid w:val="00331FE5"/>
    <w:rsid w:val="00332C0A"/>
    <w:rsid w:val="003330DE"/>
    <w:rsid w:val="00333BD7"/>
    <w:rsid w:val="00333E1B"/>
    <w:rsid w:val="0033442A"/>
    <w:rsid w:val="003350B7"/>
    <w:rsid w:val="003357E6"/>
    <w:rsid w:val="0033633B"/>
    <w:rsid w:val="0033676F"/>
    <w:rsid w:val="00341FEC"/>
    <w:rsid w:val="0034246B"/>
    <w:rsid w:val="00342BE4"/>
    <w:rsid w:val="00342CF9"/>
    <w:rsid w:val="00342D87"/>
    <w:rsid w:val="0034378E"/>
    <w:rsid w:val="00343EB1"/>
    <w:rsid w:val="003461B9"/>
    <w:rsid w:val="0034780D"/>
    <w:rsid w:val="00350357"/>
    <w:rsid w:val="00350E5D"/>
    <w:rsid w:val="00351635"/>
    <w:rsid w:val="003520C2"/>
    <w:rsid w:val="0035316B"/>
    <w:rsid w:val="00353CA5"/>
    <w:rsid w:val="00355FC2"/>
    <w:rsid w:val="00355FEF"/>
    <w:rsid w:val="00356377"/>
    <w:rsid w:val="00357C25"/>
    <w:rsid w:val="00357C74"/>
    <w:rsid w:val="0036146E"/>
    <w:rsid w:val="00363DC4"/>
    <w:rsid w:val="00364C35"/>
    <w:rsid w:val="00364DA8"/>
    <w:rsid w:val="00364E7C"/>
    <w:rsid w:val="00365863"/>
    <w:rsid w:val="0036687A"/>
    <w:rsid w:val="00366ED2"/>
    <w:rsid w:val="003679E1"/>
    <w:rsid w:val="0037014F"/>
    <w:rsid w:val="00371DA1"/>
    <w:rsid w:val="00372290"/>
    <w:rsid w:val="00373E92"/>
    <w:rsid w:val="003748E9"/>
    <w:rsid w:val="00374974"/>
    <w:rsid w:val="00375777"/>
    <w:rsid w:val="00376226"/>
    <w:rsid w:val="00377D07"/>
    <w:rsid w:val="003803FD"/>
    <w:rsid w:val="00380525"/>
    <w:rsid w:val="00381AA8"/>
    <w:rsid w:val="00383046"/>
    <w:rsid w:val="003853A4"/>
    <w:rsid w:val="00385515"/>
    <w:rsid w:val="00386B3D"/>
    <w:rsid w:val="00386CFD"/>
    <w:rsid w:val="003871E0"/>
    <w:rsid w:val="00387FC7"/>
    <w:rsid w:val="003900AD"/>
    <w:rsid w:val="003903BC"/>
    <w:rsid w:val="00390EF7"/>
    <w:rsid w:val="00391F0B"/>
    <w:rsid w:val="00392AF7"/>
    <w:rsid w:val="003932E0"/>
    <w:rsid w:val="00394BD2"/>
    <w:rsid w:val="003958E3"/>
    <w:rsid w:val="00395AEC"/>
    <w:rsid w:val="00396A99"/>
    <w:rsid w:val="003A0136"/>
    <w:rsid w:val="003A1267"/>
    <w:rsid w:val="003A1886"/>
    <w:rsid w:val="003A2545"/>
    <w:rsid w:val="003A2E59"/>
    <w:rsid w:val="003A4614"/>
    <w:rsid w:val="003A4C1A"/>
    <w:rsid w:val="003A5590"/>
    <w:rsid w:val="003A5FE7"/>
    <w:rsid w:val="003A6C5F"/>
    <w:rsid w:val="003A7256"/>
    <w:rsid w:val="003A78B3"/>
    <w:rsid w:val="003B0BB6"/>
    <w:rsid w:val="003B22BC"/>
    <w:rsid w:val="003B23BC"/>
    <w:rsid w:val="003B3F80"/>
    <w:rsid w:val="003B401C"/>
    <w:rsid w:val="003B612D"/>
    <w:rsid w:val="003B61E8"/>
    <w:rsid w:val="003B75A8"/>
    <w:rsid w:val="003B7777"/>
    <w:rsid w:val="003B79F7"/>
    <w:rsid w:val="003B7B67"/>
    <w:rsid w:val="003C1705"/>
    <w:rsid w:val="003C19FC"/>
    <w:rsid w:val="003C2B55"/>
    <w:rsid w:val="003C391E"/>
    <w:rsid w:val="003C5308"/>
    <w:rsid w:val="003C5912"/>
    <w:rsid w:val="003C5C6D"/>
    <w:rsid w:val="003C6123"/>
    <w:rsid w:val="003C6347"/>
    <w:rsid w:val="003C67FE"/>
    <w:rsid w:val="003C78F2"/>
    <w:rsid w:val="003D0211"/>
    <w:rsid w:val="003D028D"/>
    <w:rsid w:val="003D0736"/>
    <w:rsid w:val="003D1878"/>
    <w:rsid w:val="003D22D0"/>
    <w:rsid w:val="003D34A6"/>
    <w:rsid w:val="003D49DB"/>
    <w:rsid w:val="003D6003"/>
    <w:rsid w:val="003D66A6"/>
    <w:rsid w:val="003D695A"/>
    <w:rsid w:val="003D77FF"/>
    <w:rsid w:val="003E0741"/>
    <w:rsid w:val="003E0985"/>
    <w:rsid w:val="003E19C5"/>
    <w:rsid w:val="003E2952"/>
    <w:rsid w:val="003E2B15"/>
    <w:rsid w:val="003E3104"/>
    <w:rsid w:val="003E40C5"/>
    <w:rsid w:val="003E46E7"/>
    <w:rsid w:val="003E59A2"/>
    <w:rsid w:val="003E65E9"/>
    <w:rsid w:val="003E6949"/>
    <w:rsid w:val="003E6962"/>
    <w:rsid w:val="003E6BCB"/>
    <w:rsid w:val="003E7620"/>
    <w:rsid w:val="003F03FF"/>
    <w:rsid w:val="003F0B35"/>
    <w:rsid w:val="003F0E27"/>
    <w:rsid w:val="003F1021"/>
    <w:rsid w:val="003F1ABF"/>
    <w:rsid w:val="003F200F"/>
    <w:rsid w:val="003F28E0"/>
    <w:rsid w:val="003F29F5"/>
    <w:rsid w:val="003F2B7F"/>
    <w:rsid w:val="003F3323"/>
    <w:rsid w:val="003F3C2D"/>
    <w:rsid w:val="003F6B25"/>
    <w:rsid w:val="003F7E3D"/>
    <w:rsid w:val="003F7EA5"/>
    <w:rsid w:val="003F7FC2"/>
    <w:rsid w:val="00400396"/>
    <w:rsid w:val="00401C78"/>
    <w:rsid w:val="004024C2"/>
    <w:rsid w:val="004033C7"/>
    <w:rsid w:val="00404EC4"/>
    <w:rsid w:val="004059B1"/>
    <w:rsid w:val="00405B82"/>
    <w:rsid w:val="00405F3C"/>
    <w:rsid w:val="0040603C"/>
    <w:rsid w:val="00407050"/>
    <w:rsid w:val="004072A5"/>
    <w:rsid w:val="004078DC"/>
    <w:rsid w:val="00407B30"/>
    <w:rsid w:val="00407C06"/>
    <w:rsid w:val="00410011"/>
    <w:rsid w:val="00410A95"/>
    <w:rsid w:val="00411B59"/>
    <w:rsid w:val="00411BF3"/>
    <w:rsid w:val="00412154"/>
    <w:rsid w:val="0041311A"/>
    <w:rsid w:val="00413A4B"/>
    <w:rsid w:val="00413EE3"/>
    <w:rsid w:val="00414614"/>
    <w:rsid w:val="00414F21"/>
    <w:rsid w:val="00415EC6"/>
    <w:rsid w:val="00416FE8"/>
    <w:rsid w:val="00417354"/>
    <w:rsid w:val="004178B2"/>
    <w:rsid w:val="00417A76"/>
    <w:rsid w:val="00420735"/>
    <w:rsid w:val="00421B3C"/>
    <w:rsid w:val="00423053"/>
    <w:rsid w:val="00424339"/>
    <w:rsid w:val="00424342"/>
    <w:rsid w:val="004246AD"/>
    <w:rsid w:val="00425085"/>
    <w:rsid w:val="004253F0"/>
    <w:rsid w:val="00425D10"/>
    <w:rsid w:val="0042686E"/>
    <w:rsid w:val="00431068"/>
    <w:rsid w:val="00431B1B"/>
    <w:rsid w:val="00432352"/>
    <w:rsid w:val="00432C93"/>
    <w:rsid w:val="004334B2"/>
    <w:rsid w:val="00433A16"/>
    <w:rsid w:val="004341C5"/>
    <w:rsid w:val="004341D3"/>
    <w:rsid w:val="00434ED4"/>
    <w:rsid w:val="00437012"/>
    <w:rsid w:val="00437AEA"/>
    <w:rsid w:val="00440ED1"/>
    <w:rsid w:val="00445EBA"/>
    <w:rsid w:val="00446D86"/>
    <w:rsid w:val="00447A4C"/>
    <w:rsid w:val="00447E76"/>
    <w:rsid w:val="004504BE"/>
    <w:rsid w:val="004522F0"/>
    <w:rsid w:val="00452BFD"/>
    <w:rsid w:val="00453911"/>
    <w:rsid w:val="0045396D"/>
    <w:rsid w:val="00454B4A"/>
    <w:rsid w:val="00454BB8"/>
    <w:rsid w:val="00454D71"/>
    <w:rsid w:val="004553BB"/>
    <w:rsid w:val="00455DBE"/>
    <w:rsid w:val="00455F8B"/>
    <w:rsid w:val="004569B8"/>
    <w:rsid w:val="00456B7D"/>
    <w:rsid w:val="004571D9"/>
    <w:rsid w:val="00460D54"/>
    <w:rsid w:val="00460E94"/>
    <w:rsid w:val="004610DD"/>
    <w:rsid w:val="004624D8"/>
    <w:rsid w:val="00463AEE"/>
    <w:rsid w:val="00464133"/>
    <w:rsid w:val="00464256"/>
    <w:rsid w:val="0046438C"/>
    <w:rsid w:val="00464AD2"/>
    <w:rsid w:val="0046562B"/>
    <w:rsid w:val="00465ACD"/>
    <w:rsid w:val="00470678"/>
    <w:rsid w:val="00470E59"/>
    <w:rsid w:val="00471188"/>
    <w:rsid w:val="00471451"/>
    <w:rsid w:val="0047255E"/>
    <w:rsid w:val="004730D1"/>
    <w:rsid w:val="004745FF"/>
    <w:rsid w:val="00475727"/>
    <w:rsid w:val="00475F6C"/>
    <w:rsid w:val="0047767E"/>
    <w:rsid w:val="00480351"/>
    <w:rsid w:val="00480633"/>
    <w:rsid w:val="0048170A"/>
    <w:rsid w:val="00482360"/>
    <w:rsid w:val="004823AB"/>
    <w:rsid w:val="004831F9"/>
    <w:rsid w:val="00483846"/>
    <w:rsid w:val="00483EC5"/>
    <w:rsid w:val="00484A97"/>
    <w:rsid w:val="00485127"/>
    <w:rsid w:val="0048547C"/>
    <w:rsid w:val="004864BF"/>
    <w:rsid w:val="00486EDA"/>
    <w:rsid w:val="00487016"/>
    <w:rsid w:val="004878F1"/>
    <w:rsid w:val="00487E9D"/>
    <w:rsid w:val="004902F5"/>
    <w:rsid w:val="004906AD"/>
    <w:rsid w:val="004909FE"/>
    <w:rsid w:val="00491126"/>
    <w:rsid w:val="004915B2"/>
    <w:rsid w:val="00492ECC"/>
    <w:rsid w:val="004932AA"/>
    <w:rsid w:val="004933B8"/>
    <w:rsid w:val="0049386A"/>
    <w:rsid w:val="00494974"/>
    <w:rsid w:val="00494989"/>
    <w:rsid w:val="00494E79"/>
    <w:rsid w:val="004955C1"/>
    <w:rsid w:val="00497729"/>
    <w:rsid w:val="004977A9"/>
    <w:rsid w:val="004A1247"/>
    <w:rsid w:val="004A1DB5"/>
    <w:rsid w:val="004A22FB"/>
    <w:rsid w:val="004A281B"/>
    <w:rsid w:val="004A2DAC"/>
    <w:rsid w:val="004A32FE"/>
    <w:rsid w:val="004A440D"/>
    <w:rsid w:val="004A571D"/>
    <w:rsid w:val="004A5E3D"/>
    <w:rsid w:val="004A67A6"/>
    <w:rsid w:val="004B09CC"/>
    <w:rsid w:val="004B15BA"/>
    <w:rsid w:val="004B1AC2"/>
    <w:rsid w:val="004B1AD2"/>
    <w:rsid w:val="004B2444"/>
    <w:rsid w:val="004B2947"/>
    <w:rsid w:val="004B3085"/>
    <w:rsid w:val="004B35EA"/>
    <w:rsid w:val="004B3ACD"/>
    <w:rsid w:val="004B3CA1"/>
    <w:rsid w:val="004B4168"/>
    <w:rsid w:val="004B5582"/>
    <w:rsid w:val="004B5C24"/>
    <w:rsid w:val="004B6002"/>
    <w:rsid w:val="004B6AD1"/>
    <w:rsid w:val="004C01A3"/>
    <w:rsid w:val="004C24B0"/>
    <w:rsid w:val="004C31C4"/>
    <w:rsid w:val="004C3CB8"/>
    <w:rsid w:val="004C6601"/>
    <w:rsid w:val="004C6982"/>
    <w:rsid w:val="004C7053"/>
    <w:rsid w:val="004D002A"/>
    <w:rsid w:val="004D004A"/>
    <w:rsid w:val="004D0B97"/>
    <w:rsid w:val="004D3838"/>
    <w:rsid w:val="004D3E68"/>
    <w:rsid w:val="004D6835"/>
    <w:rsid w:val="004D6BA7"/>
    <w:rsid w:val="004D77F9"/>
    <w:rsid w:val="004D7C94"/>
    <w:rsid w:val="004E0A8C"/>
    <w:rsid w:val="004E1863"/>
    <w:rsid w:val="004E1B5A"/>
    <w:rsid w:val="004E1E8D"/>
    <w:rsid w:val="004E2622"/>
    <w:rsid w:val="004E2BCA"/>
    <w:rsid w:val="004E2E2A"/>
    <w:rsid w:val="004E3008"/>
    <w:rsid w:val="004E35BF"/>
    <w:rsid w:val="004E3B9D"/>
    <w:rsid w:val="004E3DE7"/>
    <w:rsid w:val="004E3FBA"/>
    <w:rsid w:val="004E4602"/>
    <w:rsid w:val="004E5209"/>
    <w:rsid w:val="004E5399"/>
    <w:rsid w:val="004E6220"/>
    <w:rsid w:val="004E6CF0"/>
    <w:rsid w:val="004F0FBF"/>
    <w:rsid w:val="004F1506"/>
    <w:rsid w:val="004F1557"/>
    <w:rsid w:val="004F1882"/>
    <w:rsid w:val="004F2441"/>
    <w:rsid w:val="004F2DC1"/>
    <w:rsid w:val="004F3579"/>
    <w:rsid w:val="004F3821"/>
    <w:rsid w:val="004F3C29"/>
    <w:rsid w:val="004F3EA6"/>
    <w:rsid w:val="004F48F6"/>
    <w:rsid w:val="004F6D9A"/>
    <w:rsid w:val="00500769"/>
    <w:rsid w:val="00500B3C"/>
    <w:rsid w:val="00501401"/>
    <w:rsid w:val="0050164C"/>
    <w:rsid w:val="00501D63"/>
    <w:rsid w:val="00503ED6"/>
    <w:rsid w:val="00504D62"/>
    <w:rsid w:val="005059B2"/>
    <w:rsid w:val="00506B62"/>
    <w:rsid w:val="00510722"/>
    <w:rsid w:val="00510D5F"/>
    <w:rsid w:val="00510DC8"/>
    <w:rsid w:val="00511DD8"/>
    <w:rsid w:val="00511F7C"/>
    <w:rsid w:val="00512442"/>
    <w:rsid w:val="00513C8D"/>
    <w:rsid w:val="00514154"/>
    <w:rsid w:val="00515169"/>
    <w:rsid w:val="00515348"/>
    <w:rsid w:val="00515ED8"/>
    <w:rsid w:val="00517155"/>
    <w:rsid w:val="00517818"/>
    <w:rsid w:val="00520066"/>
    <w:rsid w:val="00520971"/>
    <w:rsid w:val="00520E9E"/>
    <w:rsid w:val="00522F3E"/>
    <w:rsid w:val="00523242"/>
    <w:rsid w:val="00524F40"/>
    <w:rsid w:val="0052547F"/>
    <w:rsid w:val="005269D4"/>
    <w:rsid w:val="005270DD"/>
    <w:rsid w:val="00530493"/>
    <w:rsid w:val="005313AD"/>
    <w:rsid w:val="0053171D"/>
    <w:rsid w:val="00532271"/>
    <w:rsid w:val="00533936"/>
    <w:rsid w:val="00534393"/>
    <w:rsid w:val="00536001"/>
    <w:rsid w:val="00536105"/>
    <w:rsid w:val="00536864"/>
    <w:rsid w:val="00537B65"/>
    <w:rsid w:val="00540527"/>
    <w:rsid w:val="00540959"/>
    <w:rsid w:val="00541584"/>
    <w:rsid w:val="00541AE5"/>
    <w:rsid w:val="00541F61"/>
    <w:rsid w:val="0054248E"/>
    <w:rsid w:val="0054272D"/>
    <w:rsid w:val="00544588"/>
    <w:rsid w:val="00544B4E"/>
    <w:rsid w:val="00545328"/>
    <w:rsid w:val="0054680E"/>
    <w:rsid w:val="00546890"/>
    <w:rsid w:val="00546B6E"/>
    <w:rsid w:val="00547651"/>
    <w:rsid w:val="00547BA5"/>
    <w:rsid w:val="00547CB0"/>
    <w:rsid w:val="005510C8"/>
    <w:rsid w:val="00553F4B"/>
    <w:rsid w:val="00555E5D"/>
    <w:rsid w:val="00556562"/>
    <w:rsid w:val="00556EB6"/>
    <w:rsid w:val="005577A2"/>
    <w:rsid w:val="00557AAF"/>
    <w:rsid w:val="00561DEA"/>
    <w:rsid w:val="005628A1"/>
    <w:rsid w:val="00562B76"/>
    <w:rsid w:val="00562F0C"/>
    <w:rsid w:val="00564BCE"/>
    <w:rsid w:val="00564BF5"/>
    <w:rsid w:val="00564DDB"/>
    <w:rsid w:val="005653F2"/>
    <w:rsid w:val="00565B06"/>
    <w:rsid w:val="00567AFC"/>
    <w:rsid w:val="00570223"/>
    <w:rsid w:val="00571626"/>
    <w:rsid w:val="00572F5C"/>
    <w:rsid w:val="0057316F"/>
    <w:rsid w:val="005756F4"/>
    <w:rsid w:val="00575C09"/>
    <w:rsid w:val="005769C5"/>
    <w:rsid w:val="005771C2"/>
    <w:rsid w:val="00577EEF"/>
    <w:rsid w:val="0058075E"/>
    <w:rsid w:val="0058099A"/>
    <w:rsid w:val="00583C7B"/>
    <w:rsid w:val="00583D01"/>
    <w:rsid w:val="00584A21"/>
    <w:rsid w:val="00585268"/>
    <w:rsid w:val="0058528C"/>
    <w:rsid w:val="00585C90"/>
    <w:rsid w:val="0058657B"/>
    <w:rsid w:val="00586BD2"/>
    <w:rsid w:val="00586DAB"/>
    <w:rsid w:val="005920CA"/>
    <w:rsid w:val="005935CF"/>
    <w:rsid w:val="005940CE"/>
    <w:rsid w:val="00595172"/>
    <w:rsid w:val="005952D3"/>
    <w:rsid w:val="00595AAA"/>
    <w:rsid w:val="00596C5A"/>
    <w:rsid w:val="005A0693"/>
    <w:rsid w:val="005A0C4F"/>
    <w:rsid w:val="005A1876"/>
    <w:rsid w:val="005A3267"/>
    <w:rsid w:val="005A38D6"/>
    <w:rsid w:val="005A65D4"/>
    <w:rsid w:val="005A690B"/>
    <w:rsid w:val="005B041A"/>
    <w:rsid w:val="005B0EAE"/>
    <w:rsid w:val="005B1314"/>
    <w:rsid w:val="005B1EA0"/>
    <w:rsid w:val="005B35AB"/>
    <w:rsid w:val="005B45F8"/>
    <w:rsid w:val="005B5D2A"/>
    <w:rsid w:val="005B5D32"/>
    <w:rsid w:val="005B5D33"/>
    <w:rsid w:val="005B6BCC"/>
    <w:rsid w:val="005B6E37"/>
    <w:rsid w:val="005C0D11"/>
    <w:rsid w:val="005C12D4"/>
    <w:rsid w:val="005C17E3"/>
    <w:rsid w:val="005C19BC"/>
    <w:rsid w:val="005C2D4B"/>
    <w:rsid w:val="005C3000"/>
    <w:rsid w:val="005C371E"/>
    <w:rsid w:val="005C489C"/>
    <w:rsid w:val="005C4DCD"/>
    <w:rsid w:val="005C4EFD"/>
    <w:rsid w:val="005C7344"/>
    <w:rsid w:val="005C76DD"/>
    <w:rsid w:val="005C77B1"/>
    <w:rsid w:val="005D22DF"/>
    <w:rsid w:val="005D377E"/>
    <w:rsid w:val="005D4A7A"/>
    <w:rsid w:val="005D4F0A"/>
    <w:rsid w:val="005D5814"/>
    <w:rsid w:val="005D68B2"/>
    <w:rsid w:val="005E048F"/>
    <w:rsid w:val="005E0F89"/>
    <w:rsid w:val="005E1BF0"/>
    <w:rsid w:val="005E5A64"/>
    <w:rsid w:val="005E5CF5"/>
    <w:rsid w:val="005E6576"/>
    <w:rsid w:val="005E6B72"/>
    <w:rsid w:val="005E7127"/>
    <w:rsid w:val="005F18FE"/>
    <w:rsid w:val="005F3D9C"/>
    <w:rsid w:val="005F3FE3"/>
    <w:rsid w:val="005F46F0"/>
    <w:rsid w:val="005F4A50"/>
    <w:rsid w:val="005F6CED"/>
    <w:rsid w:val="005F6E76"/>
    <w:rsid w:val="005F738E"/>
    <w:rsid w:val="005F7965"/>
    <w:rsid w:val="005F7C24"/>
    <w:rsid w:val="00600108"/>
    <w:rsid w:val="00600372"/>
    <w:rsid w:val="00600C83"/>
    <w:rsid w:val="006055B4"/>
    <w:rsid w:val="00605CC0"/>
    <w:rsid w:val="006060C4"/>
    <w:rsid w:val="006068D9"/>
    <w:rsid w:val="006069DE"/>
    <w:rsid w:val="006074DB"/>
    <w:rsid w:val="00607DAA"/>
    <w:rsid w:val="0061001D"/>
    <w:rsid w:val="006101F6"/>
    <w:rsid w:val="0061251F"/>
    <w:rsid w:val="006135AB"/>
    <w:rsid w:val="00613E37"/>
    <w:rsid w:val="00614500"/>
    <w:rsid w:val="006152C4"/>
    <w:rsid w:val="00616140"/>
    <w:rsid w:val="00616319"/>
    <w:rsid w:val="00616993"/>
    <w:rsid w:val="006170BA"/>
    <w:rsid w:val="00617B53"/>
    <w:rsid w:val="006204E2"/>
    <w:rsid w:val="0062061D"/>
    <w:rsid w:val="00621726"/>
    <w:rsid w:val="00621DD4"/>
    <w:rsid w:val="00622316"/>
    <w:rsid w:val="00623B9C"/>
    <w:rsid w:val="00625781"/>
    <w:rsid w:val="00626C56"/>
    <w:rsid w:val="006325A4"/>
    <w:rsid w:val="00632F7C"/>
    <w:rsid w:val="006333E9"/>
    <w:rsid w:val="0063355B"/>
    <w:rsid w:val="006336CD"/>
    <w:rsid w:val="00633861"/>
    <w:rsid w:val="006346DB"/>
    <w:rsid w:val="0063506B"/>
    <w:rsid w:val="00635B21"/>
    <w:rsid w:val="006406A6"/>
    <w:rsid w:val="00640806"/>
    <w:rsid w:val="006416AE"/>
    <w:rsid w:val="006433EF"/>
    <w:rsid w:val="00643CDE"/>
    <w:rsid w:val="00646E0A"/>
    <w:rsid w:val="00646FBF"/>
    <w:rsid w:val="006477B4"/>
    <w:rsid w:val="00650B25"/>
    <w:rsid w:val="006512DF"/>
    <w:rsid w:val="00651A08"/>
    <w:rsid w:val="006522D4"/>
    <w:rsid w:val="0065262D"/>
    <w:rsid w:val="00652C91"/>
    <w:rsid w:val="00653A91"/>
    <w:rsid w:val="006556A8"/>
    <w:rsid w:val="006604E2"/>
    <w:rsid w:val="00660E47"/>
    <w:rsid w:val="00661581"/>
    <w:rsid w:val="00662DCF"/>
    <w:rsid w:val="0066300C"/>
    <w:rsid w:val="00663CBC"/>
    <w:rsid w:val="006641C2"/>
    <w:rsid w:val="006645F2"/>
    <w:rsid w:val="00664F2E"/>
    <w:rsid w:val="00665167"/>
    <w:rsid w:val="00667BDC"/>
    <w:rsid w:val="006701F2"/>
    <w:rsid w:val="006728A4"/>
    <w:rsid w:val="00672B68"/>
    <w:rsid w:val="00673790"/>
    <w:rsid w:val="00673CB2"/>
    <w:rsid w:val="00674E0D"/>
    <w:rsid w:val="006756B5"/>
    <w:rsid w:val="00675C84"/>
    <w:rsid w:val="00675E77"/>
    <w:rsid w:val="006760D4"/>
    <w:rsid w:val="006769EC"/>
    <w:rsid w:val="00676B78"/>
    <w:rsid w:val="00680250"/>
    <w:rsid w:val="00680468"/>
    <w:rsid w:val="00680476"/>
    <w:rsid w:val="0068098A"/>
    <w:rsid w:val="006818C0"/>
    <w:rsid w:val="0068271B"/>
    <w:rsid w:val="00682F21"/>
    <w:rsid w:val="00682F9C"/>
    <w:rsid w:val="00683965"/>
    <w:rsid w:val="00683D01"/>
    <w:rsid w:val="00684BAB"/>
    <w:rsid w:val="00685B08"/>
    <w:rsid w:val="00686EDC"/>
    <w:rsid w:val="006875EE"/>
    <w:rsid w:val="00687948"/>
    <w:rsid w:val="00690DD5"/>
    <w:rsid w:val="006917D9"/>
    <w:rsid w:val="00693F55"/>
    <w:rsid w:val="00693F70"/>
    <w:rsid w:val="00693FEC"/>
    <w:rsid w:val="006962A1"/>
    <w:rsid w:val="00696AC8"/>
    <w:rsid w:val="00696BA6"/>
    <w:rsid w:val="00697BEE"/>
    <w:rsid w:val="006A004D"/>
    <w:rsid w:val="006A0B6E"/>
    <w:rsid w:val="006A0BF0"/>
    <w:rsid w:val="006A0F9A"/>
    <w:rsid w:val="006A35BA"/>
    <w:rsid w:val="006A397E"/>
    <w:rsid w:val="006A4F43"/>
    <w:rsid w:val="006A593B"/>
    <w:rsid w:val="006A5D37"/>
    <w:rsid w:val="006A5D40"/>
    <w:rsid w:val="006A66FA"/>
    <w:rsid w:val="006A6969"/>
    <w:rsid w:val="006A7882"/>
    <w:rsid w:val="006A7E57"/>
    <w:rsid w:val="006B07F0"/>
    <w:rsid w:val="006B2908"/>
    <w:rsid w:val="006B31FE"/>
    <w:rsid w:val="006B3423"/>
    <w:rsid w:val="006B366D"/>
    <w:rsid w:val="006B49D5"/>
    <w:rsid w:val="006B5DF1"/>
    <w:rsid w:val="006B6A54"/>
    <w:rsid w:val="006B6D9C"/>
    <w:rsid w:val="006C1DFA"/>
    <w:rsid w:val="006C561D"/>
    <w:rsid w:val="006C5C55"/>
    <w:rsid w:val="006C6C08"/>
    <w:rsid w:val="006C6FAE"/>
    <w:rsid w:val="006C71C1"/>
    <w:rsid w:val="006C74E7"/>
    <w:rsid w:val="006C787C"/>
    <w:rsid w:val="006D0E77"/>
    <w:rsid w:val="006D10A7"/>
    <w:rsid w:val="006D15EB"/>
    <w:rsid w:val="006D27FC"/>
    <w:rsid w:val="006D2969"/>
    <w:rsid w:val="006D5CA4"/>
    <w:rsid w:val="006D6315"/>
    <w:rsid w:val="006D6ED3"/>
    <w:rsid w:val="006D7258"/>
    <w:rsid w:val="006E0197"/>
    <w:rsid w:val="006E03EA"/>
    <w:rsid w:val="006E0764"/>
    <w:rsid w:val="006E0D10"/>
    <w:rsid w:val="006E1435"/>
    <w:rsid w:val="006E45EB"/>
    <w:rsid w:val="006E5396"/>
    <w:rsid w:val="006E5548"/>
    <w:rsid w:val="006E7433"/>
    <w:rsid w:val="006F1826"/>
    <w:rsid w:val="006F2460"/>
    <w:rsid w:val="006F28D3"/>
    <w:rsid w:val="006F6725"/>
    <w:rsid w:val="006F6DCC"/>
    <w:rsid w:val="007011D5"/>
    <w:rsid w:val="0070192A"/>
    <w:rsid w:val="00702B5C"/>
    <w:rsid w:val="007039D9"/>
    <w:rsid w:val="007048DD"/>
    <w:rsid w:val="00705E3A"/>
    <w:rsid w:val="00706951"/>
    <w:rsid w:val="007070EB"/>
    <w:rsid w:val="0070795F"/>
    <w:rsid w:val="00707E7A"/>
    <w:rsid w:val="00710ABC"/>
    <w:rsid w:val="007121F2"/>
    <w:rsid w:val="00712B14"/>
    <w:rsid w:val="00712D29"/>
    <w:rsid w:val="00713859"/>
    <w:rsid w:val="00713B3B"/>
    <w:rsid w:val="00713F9D"/>
    <w:rsid w:val="00715FE0"/>
    <w:rsid w:val="00716C73"/>
    <w:rsid w:val="00717262"/>
    <w:rsid w:val="00720284"/>
    <w:rsid w:val="00720ECF"/>
    <w:rsid w:val="00722609"/>
    <w:rsid w:val="00722FE3"/>
    <w:rsid w:val="007249B1"/>
    <w:rsid w:val="00724A37"/>
    <w:rsid w:val="00724B96"/>
    <w:rsid w:val="007256DA"/>
    <w:rsid w:val="007263A4"/>
    <w:rsid w:val="007265BC"/>
    <w:rsid w:val="0073004B"/>
    <w:rsid w:val="0073018C"/>
    <w:rsid w:val="00730CF8"/>
    <w:rsid w:val="007349AB"/>
    <w:rsid w:val="0073511B"/>
    <w:rsid w:val="007360B8"/>
    <w:rsid w:val="00736852"/>
    <w:rsid w:val="00736A72"/>
    <w:rsid w:val="00737AD3"/>
    <w:rsid w:val="00737C40"/>
    <w:rsid w:val="00740E93"/>
    <w:rsid w:val="00741C38"/>
    <w:rsid w:val="00741ED0"/>
    <w:rsid w:val="00741F5F"/>
    <w:rsid w:val="007420FA"/>
    <w:rsid w:val="0074243E"/>
    <w:rsid w:val="0074269E"/>
    <w:rsid w:val="00743483"/>
    <w:rsid w:val="00743606"/>
    <w:rsid w:val="00744350"/>
    <w:rsid w:val="0074456F"/>
    <w:rsid w:val="007445A0"/>
    <w:rsid w:val="007448CC"/>
    <w:rsid w:val="00745BC6"/>
    <w:rsid w:val="00746A02"/>
    <w:rsid w:val="00747A32"/>
    <w:rsid w:val="00750448"/>
    <w:rsid w:val="0075063A"/>
    <w:rsid w:val="0075283B"/>
    <w:rsid w:val="00753761"/>
    <w:rsid w:val="00753D1F"/>
    <w:rsid w:val="00754189"/>
    <w:rsid w:val="00754A76"/>
    <w:rsid w:val="00754C65"/>
    <w:rsid w:val="00754E3C"/>
    <w:rsid w:val="00756449"/>
    <w:rsid w:val="00756DDD"/>
    <w:rsid w:val="00757493"/>
    <w:rsid w:val="00757EE4"/>
    <w:rsid w:val="00760E24"/>
    <w:rsid w:val="007619CD"/>
    <w:rsid w:val="0076241E"/>
    <w:rsid w:val="007641DD"/>
    <w:rsid w:val="00764F4B"/>
    <w:rsid w:val="0076503B"/>
    <w:rsid w:val="00765491"/>
    <w:rsid w:val="00765FF0"/>
    <w:rsid w:val="007660BB"/>
    <w:rsid w:val="0076735F"/>
    <w:rsid w:val="00767832"/>
    <w:rsid w:val="00767896"/>
    <w:rsid w:val="0077137C"/>
    <w:rsid w:val="00771A08"/>
    <w:rsid w:val="00771CD0"/>
    <w:rsid w:val="00772546"/>
    <w:rsid w:val="00773726"/>
    <w:rsid w:val="00774F83"/>
    <w:rsid w:val="00776E8A"/>
    <w:rsid w:val="00777978"/>
    <w:rsid w:val="007808A6"/>
    <w:rsid w:val="00781174"/>
    <w:rsid w:val="007815A9"/>
    <w:rsid w:val="007819EE"/>
    <w:rsid w:val="00784B31"/>
    <w:rsid w:val="0078562C"/>
    <w:rsid w:val="007868A9"/>
    <w:rsid w:val="00787215"/>
    <w:rsid w:val="007872E5"/>
    <w:rsid w:val="0079008B"/>
    <w:rsid w:val="007903D1"/>
    <w:rsid w:val="0079066B"/>
    <w:rsid w:val="00791134"/>
    <w:rsid w:val="0079162F"/>
    <w:rsid w:val="00794C6E"/>
    <w:rsid w:val="007957A0"/>
    <w:rsid w:val="00795AD0"/>
    <w:rsid w:val="00796817"/>
    <w:rsid w:val="00797895"/>
    <w:rsid w:val="007A0654"/>
    <w:rsid w:val="007A0DBF"/>
    <w:rsid w:val="007A1315"/>
    <w:rsid w:val="007A1D58"/>
    <w:rsid w:val="007A264E"/>
    <w:rsid w:val="007A30E8"/>
    <w:rsid w:val="007A338E"/>
    <w:rsid w:val="007A3C7A"/>
    <w:rsid w:val="007A3CC9"/>
    <w:rsid w:val="007A437F"/>
    <w:rsid w:val="007A51FC"/>
    <w:rsid w:val="007A57F0"/>
    <w:rsid w:val="007A6899"/>
    <w:rsid w:val="007A7D76"/>
    <w:rsid w:val="007B0368"/>
    <w:rsid w:val="007B05D3"/>
    <w:rsid w:val="007B087A"/>
    <w:rsid w:val="007B0F52"/>
    <w:rsid w:val="007B3C09"/>
    <w:rsid w:val="007B3E45"/>
    <w:rsid w:val="007B4820"/>
    <w:rsid w:val="007B4D42"/>
    <w:rsid w:val="007B51D7"/>
    <w:rsid w:val="007B53CF"/>
    <w:rsid w:val="007B581A"/>
    <w:rsid w:val="007B6A32"/>
    <w:rsid w:val="007B6EF7"/>
    <w:rsid w:val="007B6F4C"/>
    <w:rsid w:val="007C028C"/>
    <w:rsid w:val="007C1311"/>
    <w:rsid w:val="007C16D6"/>
    <w:rsid w:val="007C1CC6"/>
    <w:rsid w:val="007C2310"/>
    <w:rsid w:val="007C2CD3"/>
    <w:rsid w:val="007C2D07"/>
    <w:rsid w:val="007C3461"/>
    <w:rsid w:val="007C3647"/>
    <w:rsid w:val="007C4609"/>
    <w:rsid w:val="007C5D3D"/>
    <w:rsid w:val="007C6024"/>
    <w:rsid w:val="007C6357"/>
    <w:rsid w:val="007D14C2"/>
    <w:rsid w:val="007D1985"/>
    <w:rsid w:val="007D2180"/>
    <w:rsid w:val="007D218C"/>
    <w:rsid w:val="007D34F5"/>
    <w:rsid w:val="007D3EAF"/>
    <w:rsid w:val="007D5559"/>
    <w:rsid w:val="007D55AF"/>
    <w:rsid w:val="007D61C1"/>
    <w:rsid w:val="007D7183"/>
    <w:rsid w:val="007E038D"/>
    <w:rsid w:val="007E0651"/>
    <w:rsid w:val="007E0829"/>
    <w:rsid w:val="007E29B9"/>
    <w:rsid w:val="007E3E1D"/>
    <w:rsid w:val="007E4208"/>
    <w:rsid w:val="007E4909"/>
    <w:rsid w:val="007E5786"/>
    <w:rsid w:val="007E7714"/>
    <w:rsid w:val="007E7C95"/>
    <w:rsid w:val="007F0049"/>
    <w:rsid w:val="007F0556"/>
    <w:rsid w:val="007F0705"/>
    <w:rsid w:val="007F0849"/>
    <w:rsid w:val="007F0CF0"/>
    <w:rsid w:val="007F0E94"/>
    <w:rsid w:val="007F3320"/>
    <w:rsid w:val="007F339F"/>
    <w:rsid w:val="007F380D"/>
    <w:rsid w:val="007F389B"/>
    <w:rsid w:val="007F3DFE"/>
    <w:rsid w:val="007F498D"/>
    <w:rsid w:val="007F54EF"/>
    <w:rsid w:val="007F6775"/>
    <w:rsid w:val="007F67A6"/>
    <w:rsid w:val="008019B2"/>
    <w:rsid w:val="00801C89"/>
    <w:rsid w:val="008021AA"/>
    <w:rsid w:val="00802365"/>
    <w:rsid w:val="00803406"/>
    <w:rsid w:val="008050A3"/>
    <w:rsid w:val="00805480"/>
    <w:rsid w:val="0080549E"/>
    <w:rsid w:val="00805B6F"/>
    <w:rsid w:val="00805F1D"/>
    <w:rsid w:val="00805FFC"/>
    <w:rsid w:val="0080777B"/>
    <w:rsid w:val="00810797"/>
    <w:rsid w:val="00810A43"/>
    <w:rsid w:val="00810C3D"/>
    <w:rsid w:val="0081171D"/>
    <w:rsid w:val="008126B4"/>
    <w:rsid w:val="00812ACA"/>
    <w:rsid w:val="008130AF"/>
    <w:rsid w:val="008155C6"/>
    <w:rsid w:val="0081581A"/>
    <w:rsid w:val="00815A04"/>
    <w:rsid w:val="00815A33"/>
    <w:rsid w:val="0081710F"/>
    <w:rsid w:val="0081764C"/>
    <w:rsid w:val="008179EC"/>
    <w:rsid w:val="00817FE2"/>
    <w:rsid w:val="0082039D"/>
    <w:rsid w:val="0082108D"/>
    <w:rsid w:val="00822CE5"/>
    <w:rsid w:val="00823BBD"/>
    <w:rsid w:val="00823E67"/>
    <w:rsid w:val="008254D0"/>
    <w:rsid w:val="008257A8"/>
    <w:rsid w:val="008261B8"/>
    <w:rsid w:val="008264DD"/>
    <w:rsid w:val="008269E8"/>
    <w:rsid w:val="00826A82"/>
    <w:rsid w:val="00826A8F"/>
    <w:rsid w:val="00826B5E"/>
    <w:rsid w:val="008272CF"/>
    <w:rsid w:val="00827AAF"/>
    <w:rsid w:val="00827D83"/>
    <w:rsid w:val="00830534"/>
    <w:rsid w:val="008316FE"/>
    <w:rsid w:val="008323BB"/>
    <w:rsid w:val="00834197"/>
    <w:rsid w:val="00834DC2"/>
    <w:rsid w:val="008351C6"/>
    <w:rsid w:val="008352BF"/>
    <w:rsid w:val="008362F8"/>
    <w:rsid w:val="00836AAD"/>
    <w:rsid w:val="00840122"/>
    <w:rsid w:val="00840B7D"/>
    <w:rsid w:val="00841049"/>
    <w:rsid w:val="00842075"/>
    <w:rsid w:val="0084232B"/>
    <w:rsid w:val="008458C0"/>
    <w:rsid w:val="008468FA"/>
    <w:rsid w:val="00846BE0"/>
    <w:rsid w:val="00847462"/>
    <w:rsid w:val="00851139"/>
    <w:rsid w:val="008511F4"/>
    <w:rsid w:val="0085272C"/>
    <w:rsid w:val="00854483"/>
    <w:rsid w:val="00855E8E"/>
    <w:rsid w:val="0085664C"/>
    <w:rsid w:val="00857D2B"/>
    <w:rsid w:val="008617E4"/>
    <w:rsid w:val="0086399C"/>
    <w:rsid w:val="00864148"/>
    <w:rsid w:val="00864C88"/>
    <w:rsid w:val="00864E0D"/>
    <w:rsid w:val="00865B4E"/>
    <w:rsid w:val="008676F1"/>
    <w:rsid w:val="00870EBB"/>
    <w:rsid w:val="008739E4"/>
    <w:rsid w:val="008739F8"/>
    <w:rsid w:val="00874CC1"/>
    <w:rsid w:val="00875EE4"/>
    <w:rsid w:val="00876124"/>
    <w:rsid w:val="0087714C"/>
    <w:rsid w:val="00877CA0"/>
    <w:rsid w:val="008802C1"/>
    <w:rsid w:val="0088097A"/>
    <w:rsid w:val="00881096"/>
    <w:rsid w:val="0088224C"/>
    <w:rsid w:val="008822C7"/>
    <w:rsid w:val="0088264B"/>
    <w:rsid w:val="00882A2F"/>
    <w:rsid w:val="00883A8A"/>
    <w:rsid w:val="00883B82"/>
    <w:rsid w:val="00883EE0"/>
    <w:rsid w:val="00883F0C"/>
    <w:rsid w:val="008861B5"/>
    <w:rsid w:val="00887686"/>
    <w:rsid w:val="008877E5"/>
    <w:rsid w:val="0088796B"/>
    <w:rsid w:val="00891AEF"/>
    <w:rsid w:val="0089221E"/>
    <w:rsid w:val="00893445"/>
    <w:rsid w:val="00893B38"/>
    <w:rsid w:val="008940E7"/>
    <w:rsid w:val="00894600"/>
    <w:rsid w:val="00894B40"/>
    <w:rsid w:val="00895270"/>
    <w:rsid w:val="00896006"/>
    <w:rsid w:val="0089664D"/>
    <w:rsid w:val="00896B0E"/>
    <w:rsid w:val="00896B6A"/>
    <w:rsid w:val="00896DC0"/>
    <w:rsid w:val="00897DB1"/>
    <w:rsid w:val="008A1E92"/>
    <w:rsid w:val="008A2985"/>
    <w:rsid w:val="008A4355"/>
    <w:rsid w:val="008A721C"/>
    <w:rsid w:val="008B030A"/>
    <w:rsid w:val="008B0C25"/>
    <w:rsid w:val="008B150C"/>
    <w:rsid w:val="008B2319"/>
    <w:rsid w:val="008B268D"/>
    <w:rsid w:val="008B4E49"/>
    <w:rsid w:val="008B6973"/>
    <w:rsid w:val="008B7B51"/>
    <w:rsid w:val="008C0289"/>
    <w:rsid w:val="008C0DBC"/>
    <w:rsid w:val="008C1F49"/>
    <w:rsid w:val="008C3EAF"/>
    <w:rsid w:val="008C3F43"/>
    <w:rsid w:val="008C4687"/>
    <w:rsid w:val="008C4D8F"/>
    <w:rsid w:val="008C52AB"/>
    <w:rsid w:val="008C5303"/>
    <w:rsid w:val="008C66FD"/>
    <w:rsid w:val="008C679F"/>
    <w:rsid w:val="008C6E42"/>
    <w:rsid w:val="008C7FDE"/>
    <w:rsid w:val="008D05D4"/>
    <w:rsid w:val="008D092A"/>
    <w:rsid w:val="008D13CD"/>
    <w:rsid w:val="008D2AE4"/>
    <w:rsid w:val="008D2C2D"/>
    <w:rsid w:val="008D440A"/>
    <w:rsid w:val="008D455A"/>
    <w:rsid w:val="008D4567"/>
    <w:rsid w:val="008D4D09"/>
    <w:rsid w:val="008D58AF"/>
    <w:rsid w:val="008D7AD5"/>
    <w:rsid w:val="008D7C61"/>
    <w:rsid w:val="008E0D4A"/>
    <w:rsid w:val="008E14CF"/>
    <w:rsid w:val="008E1D91"/>
    <w:rsid w:val="008E29BE"/>
    <w:rsid w:val="008E413F"/>
    <w:rsid w:val="008E48C3"/>
    <w:rsid w:val="008E4DB6"/>
    <w:rsid w:val="008E4E6A"/>
    <w:rsid w:val="008E5B3E"/>
    <w:rsid w:val="008E5BB7"/>
    <w:rsid w:val="008E5E1A"/>
    <w:rsid w:val="008F0365"/>
    <w:rsid w:val="008F14F1"/>
    <w:rsid w:val="008F15C2"/>
    <w:rsid w:val="008F1F6B"/>
    <w:rsid w:val="008F2254"/>
    <w:rsid w:val="008F3005"/>
    <w:rsid w:val="008F40F8"/>
    <w:rsid w:val="008F4176"/>
    <w:rsid w:val="009006D0"/>
    <w:rsid w:val="0090167D"/>
    <w:rsid w:val="00902475"/>
    <w:rsid w:val="00903C7A"/>
    <w:rsid w:val="009047C6"/>
    <w:rsid w:val="00904869"/>
    <w:rsid w:val="00904A5B"/>
    <w:rsid w:val="00907130"/>
    <w:rsid w:val="00907F3E"/>
    <w:rsid w:val="00907F4C"/>
    <w:rsid w:val="00910536"/>
    <w:rsid w:val="009113EF"/>
    <w:rsid w:val="009124E5"/>
    <w:rsid w:val="00913697"/>
    <w:rsid w:val="0091401F"/>
    <w:rsid w:val="00915DE8"/>
    <w:rsid w:val="00916C10"/>
    <w:rsid w:val="00916E6D"/>
    <w:rsid w:val="00917790"/>
    <w:rsid w:val="00921F25"/>
    <w:rsid w:val="00922154"/>
    <w:rsid w:val="00923E87"/>
    <w:rsid w:val="009248FB"/>
    <w:rsid w:val="00925541"/>
    <w:rsid w:val="00925A9C"/>
    <w:rsid w:val="0092600E"/>
    <w:rsid w:val="0092736A"/>
    <w:rsid w:val="00931109"/>
    <w:rsid w:val="00931139"/>
    <w:rsid w:val="00931223"/>
    <w:rsid w:val="00932555"/>
    <w:rsid w:val="0093268E"/>
    <w:rsid w:val="00932EAE"/>
    <w:rsid w:val="009332C9"/>
    <w:rsid w:val="00933892"/>
    <w:rsid w:val="00933A3E"/>
    <w:rsid w:val="00934338"/>
    <w:rsid w:val="009349AC"/>
    <w:rsid w:val="00934E09"/>
    <w:rsid w:val="0093675F"/>
    <w:rsid w:val="00940468"/>
    <w:rsid w:val="009421CC"/>
    <w:rsid w:val="009450E2"/>
    <w:rsid w:val="009453BA"/>
    <w:rsid w:val="00945F8D"/>
    <w:rsid w:val="009462B7"/>
    <w:rsid w:val="009463F4"/>
    <w:rsid w:val="0094744D"/>
    <w:rsid w:val="009474A6"/>
    <w:rsid w:val="00947C6F"/>
    <w:rsid w:val="00947DC2"/>
    <w:rsid w:val="009503BD"/>
    <w:rsid w:val="00950573"/>
    <w:rsid w:val="00950825"/>
    <w:rsid w:val="00950856"/>
    <w:rsid w:val="009514C4"/>
    <w:rsid w:val="0095153E"/>
    <w:rsid w:val="0095257E"/>
    <w:rsid w:val="00952A83"/>
    <w:rsid w:val="00953DCB"/>
    <w:rsid w:val="009542C4"/>
    <w:rsid w:val="00954ED8"/>
    <w:rsid w:val="0096052D"/>
    <w:rsid w:val="0096056C"/>
    <w:rsid w:val="00962049"/>
    <w:rsid w:val="0096243F"/>
    <w:rsid w:val="0096271D"/>
    <w:rsid w:val="00962FBF"/>
    <w:rsid w:val="00964831"/>
    <w:rsid w:val="00964D9E"/>
    <w:rsid w:val="0096531D"/>
    <w:rsid w:val="00965831"/>
    <w:rsid w:val="00966618"/>
    <w:rsid w:val="00967C30"/>
    <w:rsid w:val="009700A2"/>
    <w:rsid w:val="0097190D"/>
    <w:rsid w:val="00972686"/>
    <w:rsid w:val="009736CB"/>
    <w:rsid w:val="00975155"/>
    <w:rsid w:val="00975557"/>
    <w:rsid w:val="009757AD"/>
    <w:rsid w:val="00976974"/>
    <w:rsid w:val="0097780F"/>
    <w:rsid w:val="009800DE"/>
    <w:rsid w:val="009806FB"/>
    <w:rsid w:val="0098271C"/>
    <w:rsid w:val="009828FD"/>
    <w:rsid w:val="0098300E"/>
    <w:rsid w:val="00987F82"/>
    <w:rsid w:val="009901D6"/>
    <w:rsid w:val="0099024A"/>
    <w:rsid w:val="00990D59"/>
    <w:rsid w:val="00991AA5"/>
    <w:rsid w:val="009922BE"/>
    <w:rsid w:val="009924A5"/>
    <w:rsid w:val="00992E4B"/>
    <w:rsid w:val="00993B8B"/>
    <w:rsid w:val="0099401A"/>
    <w:rsid w:val="009945D2"/>
    <w:rsid w:val="00995976"/>
    <w:rsid w:val="009969BD"/>
    <w:rsid w:val="00996D81"/>
    <w:rsid w:val="009970DD"/>
    <w:rsid w:val="00997232"/>
    <w:rsid w:val="00997241"/>
    <w:rsid w:val="00997AB2"/>
    <w:rsid w:val="009A0320"/>
    <w:rsid w:val="009A10CC"/>
    <w:rsid w:val="009A153B"/>
    <w:rsid w:val="009A18E3"/>
    <w:rsid w:val="009A3000"/>
    <w:rsid w:val="009A3B2F"/>
    <w:rsid w:val="009A46A0"/>
    <w:rsid w:val="009A5231"/>
    <w:rsid w:val="009A6AEA"/>
    <w:rsid w:val="009A7EF8"/>
    <w:rsid w:val="009B0A06"/>
    <w:rsid w:val="009B2620"/>
    <w:rsid w:val="009B3FE7"/>
    <w:rsid w:val="009B4D20"/>
    <w:rsid w:val="009B6314"/>
    <w:rsid w:val="009B6770"/>
    <w:rsid w:val="009B6C11"/>
    <w:rsid w:val="009B75A5"/>
    <w:rsid w:val="009B7CF3"/>
    <w:rsid w:val="009C0DB1"/>
    <w:rsid w:val="009C1181"/>
    <w:rsid w:val="009C1310"/>
    <w:rsid w:val="009C27C8"/>
    <w:rsid w:val="009C31EB"/>
    <w:rsid w:val="009C3786"/>
    <w:rsid w:val="009C58E8"/>
    <w:rsid w:val="009C60A7"/>
    <w:rsid w:val="009C6872"/>
    <w:rsid w:val="009C7D61"/>
    <w:rsid w:val="009D3242"/>
    <w:rsid w:val="009D367C"/>
    <w:rsid w:val="009D373F"/>
    <w:rsid w:val="009D3832"/>
    <w:rsid w:val="009D58D5"/>
    <w:rsid w:val="009D617B"/>
    <w:rsid w:val="009D6433"/>
    <w:rsid w:val="009D6A8A"/>
    <w:rsid w:val="009D6DDC"/>
    <w:rsid w:val="009D7142"/>
    <w:rsid w:val="009E020E"/>
    <w:rsid w:val="009E04E9"/>
    <w:rsid w:val="009E1259"/>
    <w:rsid w:val="009E1614"/>
    <w:rsid w:val="009E17E1"/>
    <w:rsid w:val="009E24C1"/>
    <w:rsid w:val="009E45CB"/>
    <w:rsid w:val="009E54E2"/>
    <w:rsid w:val="009E709C"/>
    <w:rsid w:val="009E73EB"/>
    <w:rsid w:val="009E7AF4"/>
    <w:rsid w:val="009E7BBE"/>
    <w:rsid w:val="009F126C"/>
    <w:rsid w:val="009F139D"/>
    <w:rsid w:val="009F4F18"/>
    <w:rsid w:val="009F5A65"/>
    <w:rsid w:val="00A01DE8"/>
    <w:rsid w:val="00A02135"/>
    <w:rsid w:val="00A023EC"/>
    <w:rsid w:val="00A02892"/>
    <w:rsid w:val="00A0321C"/>
    <w:rsid w:val="00A03F9D"/>
    <w:rsid w:val="00A046AA"/>
    <w:rsid w:val="00A0593A"/>
    <w:rsid w:val="00A063C5"/>
    <w:rsid w:val="00A06E67"/>
    <w:rsid w:val="00A108DF"/>
    <w:rsid w:val="00A12F67"/>
    <w:rsid w:val="00A134B0"/>
    <w:rsid w:val="00A13CEF"/>
    <w:rsid w:val="00A14B50"/>
    <w:rsid w:val="00A14CA8"/>
    <w:rsid w:val="00A156F0"/>
    <w:rsid w:val="00A15A1A"/>
    <w:rsid w:val="00A160C6"/>
    <w:rsid w:val="00A16371"/>
    <w:rsid w:val="00A175E2"/>
    <w:rsid w:val="00A1774E"/>
    <w:rsid w:val="00A2043B"/>
    <w:rsid w:val="00A21884"/>
    <w:rsid w:val="00A21CC3"/>
    <w:rsid w:val="00A225BE"/>
    <w:rsid w:val="00A2320B"/>
    <w:rsid w:val="00A2354C"/>
    <w:rsid w:val="00A247D9"/>
    <w:rsid w:val="00A2500C"/>
    <w:rsid w:val="00A2513B"/>
    <w:rsid w:val="00A27A1B"/>
    <w:rsid w:val="00A27B71"/>
    <w:rsid w:val="00A27C4C"/>
    <w:rsid w:val="00A30938"/>
    <w:rsid w:val="00A332E5"/>
    <w:rsid w:val="00A332EB"/>
    <w:rsid w:val="00A35BA5"/>
    <w:rsid w:val="00A3778B"/>
    <w:rsid w:val="00A377ED"/>
    <w:rsid w:val="00A37FC3"/>
    <w:rsid w:val="00A40E26"/>
    <w:rsid w:val="00A4103C"/>
    <w:rsid w:val="00A42875"/>
    <w:rsid w:val="00A42BF3"/>
    <w:rsid w:val="00A42D61"/>
    <w:rsid w:val="00A43C0C"/>
    <w:rsid w:val="00A44BFF"/>
    <w:rsid w:val="00A45DDC"/>
    <w:rsid w:val="00A4660F"/>
    <w:rsid w:val="00A50ACF"/>
    <w:rsid w:val="00A51279"/>
    <w:rsid w:val="00A51C05"/>
    <w:rsid w:val="00A5249C"/>
    <w:rsid w:val="00A5311B"/>
    <w:rsid w:val="00A54385"/>
    <w:rsid w:val="00A54B74"/>
    <w:rsid w:val="00A55480"/>
    <w:rsid w:val="00A56E19"/>
    <w:rsid w:val="00A578C5"/>
    <w:rsid w:val="00A609BA"/>
    <w:rsid w:val="00A60FB4"/>
    <w:rsid w:val="00A611FD"/>
    <w:rsid w:val="00A61F6B"/>
    <w:rsid w:val="00A634D7"/>
    <w:rsid w:val="00A64AAD"/>
    <w:rsid w:val="00A64F2A"/>
    <w:rsid w:val="00A671BD"/>
    <w:rsid w:val="00A67F43"/>
    <w:rsid w:val="00A700F7"/>
    <w:rsid w:val="00A7277F"/>
    <w:rsid w:val="00A738EB"/>
    <w:rsid w:val="00A73BA6"/>
    <w:rsid w:val="00A73E34"/>
    <w:rsid w:val="00A740DC"/>
    <w:rsid w:val="00A74122"/>
    <w:rsid w:val="00A742A3"/>
    <w:rsid w:val="00A744F4"/>
    <w:rsid w:val="00A74F27"/>
    <w:rsid w:val="00A750B2"/>
    <w:rsid w:val="00A75F19"/>
    <w:rsid w:val="00A7635E"/>
    <w:rsid w:val="00A76D0A"/>
    <w:rsid w:val="00A77AD5"/>
    <w:rsid w:val="00A81CE3"/>
    <w:rsid w:val="00A83C72"/>
    <w:rsid w:val="00A83F3F"/>
    <w:rsid w:val="00A85AB7"/>
    <w:rsid w:val="00A862BF"/>
    <w:rsid w:val="00A8643B"/>
    <w:rsid w:val="00A865FF"/>
    <w:rsid w:val="00A86753"/>
    <w:rsid w:val="00A878FD"/>
    <w:rsid w:val="00A87BEF"/>
    <w:rsid w:val="00A90890"/>
    <w:rsid w:val="00A92818"/>
    <w:rsid w:val="00A94102"/>
    <w:rsid w:val="00A946A0"/>
    <w:rsid w:val="00A95695"/>
    <w:rsid w:val="00A95C32"/>
    <w:rsid w:val="00AA238A"/>
    <w:rsid w:val="00AA3C1A"/>
    <w:rsid w:val="00AA4B72"/>
    <w:rsid w:val="00AA5A76"/>
    <w:rsid w:val="00AA5DF4"/>
    <w:rsid w:val="00AA6113"/>
    <w:rsid w:val="00AA61A9"/>
    <w:rsid w:val="00AA718A"/>
    <w:rsid w:val="00AA7927"/>
    <w:rsid w:val="00AA7C86"/>
    <w:rsid w:val="00AA7D14"/>
    <w:rsid w:val="00AB1B2B"/>
    <w:rsid w:val="00AB1D40"/>
    <w:rsid w:val="00AB1EFE"/>
    <w:rsid w:val="00AB35A5"/>
    <w:rsid w:val="00AB4587"/>
    <w:rsid w:val="00AB4AA2"/>
    <w:rsid w:val="00AB4F49"/>
    <w:rsid w:val="00AB7926"/>
    <w:rsid w:val="00AB7AE7"/>
    <w:rsid w:val="00AC0686"/>
    <w:rsid w:val="00AC105C"/>
    <w:rsid w:val="00AC17EE"/>
    <w:rsid w:val="00AC3855"/>
    <w:rsid w:val="00AC5BE9"/>
    <w:rsid w:val="00AC6B0E"/>
    <w:rsid w:val="00AC7BC4"/>
    <w:rsid w:val="00AD0911"/>
    <w:rsid w:val="00AD0E3F"/>
    <w:rsid w:val="00AD1C9F"/>
    <w:rsid w:val="00AD22F5"/>
    <w:rsid w:val="00AD2827"/>
    <w:rsid w:val="00AD297C"/>
    <w:rsid w:val="00AD2B4C"/>
    <w:rsid w:val="00AD2EF6"/>
    <w:rsid w:val="00AD2F26"/>
    <w:rsid w:val="00AD3A80"/>
    <w:rsid w:val="00AD3C2B"/>
    <w:rsid w:val="00AD52AC"/>
    <w:rsid w:val="00AD60AB"/>
    <w:rsid w:val="00AD65E4"/>
    <w:rsid w:val="00AD7383"/>
    <w:rsid w:val="00AD76AC"/>
    <w:rsid w:val="00AD7BD9"/>
    <w:rsid w:val="00AE06FC"/>
    <w:rsid w:val="00AE1061"/>
    <w:rsid w:val="00AE19E8"/>
    <w:rsid w:val="00AE1C00"/>
    <w:rsid w:val="00AE21B6"/>
    <w:rsid w:val="00AE5251"/>
    <w:rsid w:val="00AE6653"/>
    <w:rsid w:val="00AE6800"/>
    <w:rsid w:val="00AE7377"/>
    <w:rsid w:val="00AF1D3A"/>
    <w:rsid w:val="00AF1EA3"/>
    <w:rsid w:val="00AF240A"/>
    <w:rsid w:val="00AF439E"/>
    <w:rsid w:val="00AF5421"/>
    <w:rsid w:val="00AF5A10"/>
    <w:rsid w:val="00AF6570"/>
    <w:rsid w:val="00AF74B9"/>
    <w:rsid w:val="00AF7B62"/>
    <w:rsid w:val="00AF7C09"/>
    <w:rsid w:val="00B006C1"/>
    <w:rsid w:val="00B009E4"/>
    <w:rsid w:val="00B00F64"/>
    <w:rsid w:val="00B01F73"/>
    <w:rsid w:val="00B02745"/>
    <w:rsid w:val="00B02801"/>
    <w:rsid w:val="00B02A7F"/>
    <w:rsid w:val="00B03355"/>
    <w:rsid w:val="00B03431"/>
    <w:rsid w:val="00B03B07"/>
    <w:rsid w:val="00B04125"/>
    <w:rsid w:val="00B04567"/>
    <w:rsid w:val="00B046F8"/>
    <w:rsid w:val="00B04BFF"/>
    <w:rsid w:val="00B057CB"/>
    <w:rsid w:val="00B06704"/>
    <w:rsid w:val="00B069DC"/>
    <w:rsid w:val="00B07275"/>
    <w:rsid w:val="00B0730C"/>
    <w:rsid w:val="00B11439"/>
    <w:rsid w:val="00B12AD8"/>
    <w:rsid w:val="00B144AC"/>
    <w:rsid w:val="00B17704"/>
    <w:rsid w:val="00B21E79"/>
    <w:rsid w:val="00B225A3"/>
    <w:rsid w:val="00B225A4"/>
    <w:rsid w:val="00B2264E"/>
    <w:rsid w:val="00B22734"/>
    <w:rsid w:val="00B22CAD"/>
    <w:rsid w:val="00B23368"/>
    <w:rsid w:val="00B23442"/>
    <w:rsid w:val="00B23726"/>
    <w:rsid w:val="00B23975"/>
    <w:rsid w:val="00B245C5"/>
    <w:rsid w:val="00B24C9F"/>
    <w:rsid w:val="00B24CB7"/>
    <w:rsid w:val="00B24E6D"/>
    <w:rsid w:val="00B256B5"/>
    <w:rsid w:val="00B264C5"/>
    <w:rsid w:val="00B27105"/>
    <w:rsid w:val="00B27A3F"/>
    <w:rsid w:val="00B32A7C"/>
    <w:rsid w:val="00B33526"/>
    <w:rsid w:val="00B35164"/>
    <w:rsid w:val="00B358F2"/>
    <w:rsid w:val="00B360D9"/>
    <w:rsid w:val="00B3667E"/>
    <w:rsid w:val="00B36965"/>
    <w:rsid w:val="00B37053"/>
    <w:rsid w:val="00B403AD"/>
    <w:rsid w:val="00B406CB"/>
    <w:rsid w:val="00B4079B"/>
    <w:rsid w:val="00B419BF"/>
    <w:rsid w:val="00B420AB"/>
    <w:rsid w:val="00B438B0"/>
    <w:rsid w:val="00B43B3C"/>
    <w:rsid w:val="00B43D19"/>
    <w:rsid w:val="00B451DA"/>
    <w:rsid w:val="00B4581D"/>
    <w:rsid w:val="00B4639E"/>
    <w:rsid w:val="00B46EE5"/>
    <w:rsid w:val="00B502DA"/>
    <w:rsid w:val="00B50337"/>
    <w:rsid w:val="00B518C9"/>
    <w:rsid w:val="00B51C8E"/>
    <w:rsid w:val="00B525BC"/>
    <w:rsid w:val="00B538B4"/>
    <w:rsid w:val="00B53BB6"/>
    <w:rsid w:val="00B545D0"/>
    <w:rsid w:val="00B5470F"/>
    <w:rsid w:val="00B55CCE"/>
    <w:rsid w:val="00B565D9"/>
    <w:rsid w:val="00B56C8D"/>
    <w:rsid w:val="00B5745D"/>
    <w:rsid w:val="00B575EB"/>
    <w:rsid w:val="00B57A4F"/>
    <w:rsid w:val="00B60ABD"/>
    <w:rsid w:val="00B61FF9"/>
    <w:rsid w:val="00B623C7"/>
    <w:rsid w:val="00B62F6D"/>
    <w:rsid w:val="00B634DC"/>
    <w:rsid w:val="00B63A3F"/>
    <w:rsid w:val="00B63EC9"/>
    <w:rsid w:val="00B64A81"/>
    <w:rsid w:val="00B656E7"/>
    <w:rsid w:val="00B66560"/>
    <w:rsid w:val="00B66CC1"/>
    <w:rsid w:val="00B67150"/>
    <w:rsid w:val="00B67603"/>
    <w:rsid w:val="00B67938"/>
    <w:rsid w:val="00B67C3B"/>
    <w:rsid w:val="00B7018E"/>
    <w:rsid w:val="00B71F03"/>
    <w:rsid w:val="00B72D30"/>
    <w:rsid w:val="00B741FF"/>
    <w:rsid w:val="00B744A8"/>
    <w:rsid w:val="00B7534E"/>
    <w:rsid w:val="00B758DC"/>
    <w:rsid w:val="00B75E93"/>
    <w:rsid w:val="00B76E11"/>
    <w:rsid w:val="00B76E2D"/>
    <w:rsid w:val="00B771FE"/>
    <w:rsid w:val="00B77439"/>
    <w:rsid w:val="00B77C4C"/>
    <w:rsid w:val="00B806EA"/>
    <w:rsid w:val="00B82864"/>
    <w:rsid w:val="00B82A26"/>
    <w:rsid w:val="00B83B1E"/>
    <w:rsid w:val="00B83CE7"/>
    <w:rsid w:val="00B84666"/>
    <w:rsid w:val="00B860D2"/>
    <w:rsid w:val="00B867E7"/>
    <w:rsid w:val="00B8682C"/>
    <w:rsid w:val="00B917BF"/>
    <w:rsid w:val="00B91F3F"/>
    <w:rsid w:val="00B924EC"/>
    <w:rsid w:val="00B92CC9"/>
    <w:rsid w:val="00B92E5F"/>
    <w:rsid w:val="00B933A9"/>
    <w:rsid w:val="00B95A58"/>
    <w:rsid w:val="00B95CD5"/>
    <w:rsid w:val="00BA0380"/>
    <w:rsid w:val="00BA25A7"/>
    <w:rsid w:val="00BA274C"/>
    <w:rsid w:val="00BA2E75"/>
    <w:rsid w:val="00BA52D1"/>
    <w:rsid w:val="00BA5322"/>
    <w:rsid w:val="00BA58EF"/>
    <w:rsid w:val="00BA5CE0"/>
    <w:rsid w:val="00BB0414"/>
    <w:rsid w:val="00BB04C9"/>
    <w:rsid w:val="00BB0746"/>
    <w:rsid w:val="00BB1098"/>
    <w:rsid w:val="00BB1273"/>
    <w:rsid w:val="00BB14CF"/>
    <w:rsid w:val="00BB2EC2"/>
    <w:rsid w:val="00BB3466"/>
    <w:rsid w:val="00BB3609"/>
    <w:rsid w:val="00BB390F"/>
    <w:rsid w:val="00BB3B4D"/>
    <w:rsid w:val="00BB3D10"/>
    <w:rsid w:val="00BB5950"/>
    <w:rsid w:val="00BB7124"/>
    <w:rsid w:val="00BB78B9"/>
    <w:rsid w:val="00BC0629"/>
    <w:rsid w:val="00BC0E60"/>
    <w:rsid w:val="00BC22F4"/>
    <w:rsid w:val="00BC24BB"/>
    <w:rsid w:val="00BC2735"/>
    <w:rsid w:val="00BC2B2C"/>
    <w:rsid w:val="00BC43A8"/>
    <w:rsid w:val="00BC4E6E"/>
    <w:rsid w:val="00BD003C"/>
    <w:rsid w:val="00BD065F"/>
    <w:rsid w:val="00BD0E70"/>
    <w:rsid w:val="00BD0F57"/>
    <w:rsid w:val="00BD4F6E"/>
    <w:rsid w:val="00BD517A"/>
    <w:rsid w:val="00BD53A5"/>
    <w:rsid w:val="00BD5577"/>
    <w:rsid w:val="00BD6CAC"/>
    <w:rsid w:val="00BE1D4C"/>
    <w:rsid w:val="00BE2B33"/>
    <w:rsid w:val="00BE2F81"/>
    <w:rsid w:val="00BE4CB5"/>
    <w:rsid w:val="00BE4F56"/>
    <w:rsid w:val="00BE5266"/>
    <w:rsid w:val="00BE5BCE"/>
    <w:rsid w:val="00BE6E74"/>
    <w:rsid w:val="00BE7D82"/>
    <w:rsid w:val="00BE7EE0"/>
    <w:rsid w:val="00BF0C06"/>
    <w:rsid w:val="00BF2C11"/>
    <w:rsid w:val="00BF4C85"/>
    <w:rsid w:val="00BF4F3C"/>
    <w:rsid w:val="00BF652C"/>
    <w:rsid w:val="00BF66E6"/>
    <w:rsid w:val="00BF6AA5"/>
    <w:rsid w:val="00C01E26"/>
    <w:rsid w:val="00C02217"/>
    <w:rsid w:val="00C0293A"/>
    <w:rsid w:val="00C03175"/>
    <w:rsid w:val="00C04871"/>
    <w:rsid w:val="00C069EA"/>
    <w:rsid w:val="00C06D37"/>
    <w:rsid w:val="00C06D9B"/>
    <w:rsid w:val="00C076F5"/>
    <w:rsid w:val="00C102DA"/>
    <w:rsid w:val="00C107D8"/>
    <w:rsid w:val="00C10FF6"/>
    <w:rsid w:val="00C1211E"/>
    <w:rsid w:val="00C12457"/>
    <w:rsid w:val="00C1317F"/>
    <w:rsid w:val="00C13FA8"/>
    <w:rsid w:val="00C14922"/>
    <w:rsid w:val="00C15A5C"/>
    <w:rsid w:val="00C163E9"/>
    <w:rsid w:val="00C21A19"/>
    <w:rsid w:val="00C23087"/>
    <w:rsid w:val="00C23E86"/>
    <w:rsid w:val="00C24ED8"/>
    <w:rsid w:val="00C26F4F"/>
    <w:rsid w:val="00C274DC"/>
    <w:rsid w:val="00C301CA"/>
    <w:rsid w:val="00C306D1"/>
    <w:rsid w:val="00C30B32"/>
    <w:rsid w:val="00C3118A"/>
    <w:rsid w:val="00C31B32"/>
    <w:rsid w:val="00C3387A"/>
    <w:rsid w:val="00C3503C"/>
    <w:rsid w:val="00C35148"/>
    <w:rsid w:val="00C35BF4"/>
    <w:rsid w:val="00C36202"/>
    <w:rsid w:val="00C37735"/>
    <w:rsid w:val="00C410A3"/>
    <w:rsid w:val="00C413D3"/>
    <w:rsid w:val="00C43DE4"/>
    <w:rsid w:val="00C44E9D"/>
    <w:rsid w:val="00C45F60"/>
    <w:rsid w:val="00C47430"/>
    <w:rsid w:val="00C47782"/>
    <w:rsid w:val="00C47C21"/>
    <w:rsid w:val="00C5098E"/>
    <w:rsid w:val="00C50AF1"/>
    <w:rsid w:val="00C50EE6"/>
    <w:rsid w:val="00C52153"/>
    <w:rsid w:val="00C52478"/>
    <w:rsid w:val="00C53490"/>
    <w:rsid w:val="00C549B0"/>
    <w:rsid w:val="00C5538B"/>
    <w:rsid w:val="00C56020"/>
    <w:rsid w:val="00C56892"/>
    <w:rsid w:val="00C56A89"/>
    <w:rsid w:val="00C57123"/>
    <w:rsid w:val="00C57319"/>
    <w:rsid w:val="00C57644"/>
    <w:rsid w:val="00C605CE"/>
    <w:rsid w:val="00C60824"/>
    <w:rsid w:val="00C60DCE"/>
    <w:rsid w:val="00C61C97"/>
    <w:rsid w:val="00C61D9F"/>
    <w:rsid w:val="00C62770"/>
    <w:rsid w:val="00C62BBB"/>
    <w:rsid w:val="00C62CA7"/>
    <w:rsid w:val="00C63477"/>
    <w:rsid w:val="00C64466"/>
    <w:rsid w:val="00C64B08"/>
    <w:rsid w:val="00C66162"/>
    <w:rsid w:val="00C6654C"/>
    <w:rsid w:val="00C67236"/>
    <w:rsid w:val="00C70DFB"/>
    <w:rsid w:val="00C7222E"/>
    <w:rsid w:val="00C7351C"/>
    <w:rsid w:val="00C73ACA"/>
    <w:rsid w:val="00C747BF"/>
    <w:rsid w:val="00C74B65"/>
    <w:rsid w:val="00C7581F"/>
    <w:rsid w:val="00C767CF"/>
    <w:rsid w:val="00C7734B"/>
    <w:rsid w:val="00C77CFA"/>
    <w:rsid w:val="00C80790"/>
    <w:rsid w:val="00C80A83"/>
    <w:rsid w:val="00C80DC9"/>
    <w:rsid w:val="00C81229"/>
    <w:rsid w:val="00C81799"/>
    <w:rsid w:val="00C8193F"/>
    <w:rsid w:val="00C81AE8"/>
    <w:rsid w:val="00C81E4A"/>
    <w:rsid w:val="00C821EB"/>
    <w:rsid w:val="00C82290"/>
    <w:rsid w:val="00C82592"/>
    <w:rsid w:val="00C832C1"/>
    <w:rsid w:val="00C8363D"/>
    <w:rsid w:val="00C8402D"/>
    <w:rsid w:val="00C8554B"/>
    <w:rsid w:val="00C85735"/>
    <w:rsid w:val="00C8599B"/>
    <w:rsid w:val="00C8746F"/>
    <w:rsid w:val="00C87545"/>
    <w:rsid w:val="00C9284A"/>
    <w:rsid w:val="00C92AE3"/>
    <w:rsid w:val="00C93363"/>
    <w:rsid w:val="00C93BAA"/>
    <w:rsid w:val="00C94B75"/>
    <w:rsid w:val="00C95257"/>
    <w:rsid w:val="00C95A2F"/>
    <w:rsid w:val="00C96ACA"/>
    <w:rsid w:val="00CA01D8"/>
    <w:rsid w:val="00CA0346"/>
    <w:rsid w:val="00CA043B"/>
    <w:rsid w:val="00CA3E84"/>
    <w:rsid w:val="00CA3E8E"/>
    <w:rsid w:val="00CA456B"/>
    <w:rsid w:val="00CA5F9A"/>
    <w:rsid w:val="00CA66BF"/>
    <w:rsid w:val="00CA7BCC"/>
    <w:rsid w:val="00CA7EE3"/>
    <w:rsid w:val="00CB03FE"/>
    <w:rsid w:val="00CB0DA8"/>
    <w:rsid w:val="00CB145A"/>
    <w:rsid w:val="00CB2EED"/>
    <w:rsid w:val="00CB3D44"/>
    <w:rsid w:val="00CB4308"/>
    <w:rsid w:val="00CB4D24"/>
    <w:rsid w:val="00CB565A"/>
    <w:rsid w:val="00CB590C"/>
    <w:rsid w:val="00CB707A"/>
    <w:rsid w:val="00CC0111"/>
    <w:rsid w:val="00CC1772"/>
    <w:rsid w:val="00CC18D4"/>
    <w:rsid w:val="00CC1BDA"/>
    <w:rsid w:val="00CC24F3"/>
    <w:rsid w:val="00CC2C77"/>
    <w:rsid w:val="00CC2F12"/>
    <w:rsid w:val="00CC3216"/>
    <w:rsid w:val="00CC3303"/>
    <w:rsid w:val="00CC4573"/>
    <w:rsid w:val="00CC523A"/>
    <w:rsid w:val="00CC5A88"/>
    <w:rsid w:val="00CC5C21"/>
    <w:rsid w:val="00CC5F92"/>
    <w:rsid w:val="00CC62DB"/>
    <w:rsid w:val="00CC69D0"/>
    <w:rsid w:val="00CC6F31"/>
    <w:rsid w:val="00CC763A"/>
    <w:rsid w:val="00CD0CC2"/>
    <w:rsid w:val="00CD0EDA"/>
    <w:rsid w:val="00CD1175"/>
    <w:rsid w:val="00CD1C5E"/>
    <w:rsid w:val="00CD25B9"/>
    <w:rsid w:val="00CD2BB2"/>
    <w:rsid w:val="00CD3897"/>
    <w:rsid w:val="00CD3DB8"/>
    <w:rsid w:val="00CD51EE"/>
    <w:rsid w:val="00CD5286"/>
    <w:rsid w:val="00CD5478"/>
    <w:rsid w:val="00CD5935"/>
    <w:rsid w:val="00CD5BFC"/>
    <w:rsid w:val="00CD72DA"/>
    <w:rsid w:val="00CD7A6F"/>
    <w:rsid w:val="00CD7B8E"/>
    <w:rsid w:val="00CE0CDB"/>
    <w:rsid w:val="00CE1579"/>
    <w:rsid w:val="00CE246F"/>
    <w:rsid w:val="00CE43F2"/>
    <w:rsid w:val="00CE5390"/>
    <w:rsid w:val="00CE56D8"/>
    <w:rsid w:val="00CF07CB"/>
    <w:rsid w:val="00CF1F6B"/>
    <w:rsid w:val="00CF234D"/>
    <w:rsid w:val="00CF3711"/>
    <w:rsid w:val="00CF3840"/>
    <w:rsid w:val="00CF3C5F"/>
    <w:rsid w:val="00CF43B7"/>
    <w:rsid w:val="00CF4702"/>
    <w:rsid w:val="00CF5DCB"/>
    <w:rsid w:val="00D00F67"/>
    <w:rsid w:val="00D0151F"/>
    <w:rsid w:val="00D02164"/>
    <w:rsid w:val="00D02689"/>
    <w:rsid w:val="00D0283D"/>
    <w:rsid w:val="00D03617"/>
    <w:rsid w:val="00D0435A"/>
    <w:rsid w:val="00D04D70"/>
    <w:rsid w:val="00D05462"/>
    <w:rsid w:val="00D05874"/>
    <w:rsid w:val="00D067B2"/>
    <w:rsid w:val="00D073E1"/>
    <w:rsid w:val="00D07DF9"/>
    <w:rsid w:val="00D07FDD"/>
    <w:rsid w:val="00D10AAC"/>
    <w:rsid w:val="00D10DBA"/>
    <w:rsid w:val="00D120B0"/>
    <w:rsid w:val="00D1265E"/>
    <w:rsid w:val="00D13A5D"/>
    <w:rsid w:val="00D13FF8"/>
    <w:rsid w:val="00D14116"/>
    <w:rsid w:val="00D153D2"/>
    <w:rsid w:val="00D15A05"/>
    <w:rsid w:val="00D1612C"/>
    <w:rsid w:val="00D17F30"/>
    <w:rsid w:val="00D2108F"/>
    <w:rsid w:val="00D21214"/>
    <w:rsid w:val="00D21E9C"/>
    <w:rsid w:val="00D227B3"/>
    <w:rsid w:val="00D23289"/>
    <w:rsid w:val="00D236E7"/>
    <w:rsid w:val="00D2587B"/>
    <w:rsid w:val="00D26220"/>
    <w:rsid w:val="00D26869"/>
    <w:rsid w:val="00D30D5E"/>
    <w:rsid w:val="00D30E4B"/>
    <w:rsid w:val="00D311E1"/>
    <w:rsid w:val="00D32790"/>
    <w:rsid w:val="00D34435"/>
    <w:rsid w:val="00D353E3"/>
    <w:rsid w:val="00D36C3C"/>
    <w:rsid w:val="00D37241"/>
    <w:rsid w:val="00D40BF6"/>
    <w:rsid w:val="00D412C6"/>
    <w:rsid w:val="00D4141C"/>
    <w:rsid w:val="00D42352"/>
    <w:rsid w:val="00D42384"/>
    <w:rsid w:val="00D42450"/>
    <w:rsid w:val="00D4275C"/>
    <w:rsid w:val="00D4411F"/>
    <w:rsid w:val="00D4474B"/>
    <w:rsid w:val="00D45823"/>
    <w:rsid w:val="00D46B6A"/>
    <w:rsid w:val="00D471E5"/>
    <w:rsid w:val="00D478B6"/>
    <w:rsid w:val="00D510C8"/>
    <w:rsid w:val="00D52262"/>
    <w:rsid w:val="00D52C9E"/>
    <w:rsid w:val="00D5388A"/>
    <w:rsid w:val="00D54BF2"/>
    <w:rsid w:val="00D55902"/>
    <w:rsid w:val="00D559E8"/>
    <w:rsid w:val="00D562FC"/>
    <w:rsid w:val="00D5639B"/>
    <w:rsid w:val="00D56C84"/>
    <w:rsid w:val="00D56F16"/>
    <w:rsid w:val="00D605E1"/>
    <w:rsid w:val="00D611C7"/>
    <w:rsid w:val="00D63589"/>
    <w:rsid w:val="00D63BEB"/>
    <w:rsid w:val="00D63C81"/>
    <w:rsid w:val="00D649A7"/>
    <w:rsid w:val="00D66143"/>
    <w:rsid w:val="00D66696"/>
    <w:rsid w:val="00D66A62"/>
    <w:rsid w:val="00D70F81"/>
    <w:rsid w:val="00D726A1"/>
    <w:rsid w:val="00D72786"/>
    <w:rsid w:val="00D7278D"/>
    <w:rsid w:val="00D73EC8"/>
    <w:rsid w:val="00D758A1"/>
    <w:rsid w:val="00D80E5F"/>
    <w:rsid w:val="00D81BC8"/>
    <w:rsid w:val="00D8289F"/>
    <w:rsid w:val="00D82DEE"/>
    <w:rsid w:val="00D8503C"/>
    <w:rsid w:val="00D85FEE"/>
    <w:rsid w:val="00D866EC"/>
    <w:rsid w:val="00D86D3A"/>
    <w:rsid w:val="00D86D62"/>
    <w:rsid w:val="00D87CEC"/>
    <w:rsid w:val="00D903B5"/>
    <w:rsid w:val="00D904E5"/>
    <w:rsid w:val="00D90CEC"/>
    <w:rsid w:val="00D90FDB"/>
    <w:rsid w:val="00D92D51"/>
    <w:rsid w:val="00D92F94"/>
    <w:rsid w:val="00D93391"/>
    <w:rsid w:val="00D951CB"/>
    <w:rsid w:val="00D9546B"/>
    <w:rsid w:val="00D96BD1"/>
    <w:rsid w:val="00D96CCC"/>
    <w:rsid w:val="00DA0A3E"/>
    <w:rsid w:val="00DA0C23"/>
    <w:rsid w:val="00DA0FB3"/>
    <w:rsid w:val="00DA2AB3"/>
    <w:rsid w:val="00DA3D12"/>
    <w:rsid w:val="00DA494B"/>
    <w:rsid w:val="00DA4B38"/>
    <w:rsid w:val="00DA4F6D"/>
    <w:rsid w:val="00DA6636"/>
    <w:rsid w:val="00DA71AF"/>
    <w:rsid w:val="00DB128F"/>
    <w:rsid w:val="00DB1648"/>
    <w:rsid w:val="00DB1CDB"/>
    <w:rsid w:val="00DB21C9"/>
    <w:rsid w:val="00DB4269"/>
    <w:rsid w:val="00DB48CD"/>
    <w:rsid w:val="00DB52B7"/>
    <w:rsid w:val="00DB5C2C"/>
    <w:rsid w:val="00DB5E7C"/>
    <w:rsid w:val="00DC1CD9"/>
    <w:rsid w:val="00DC1EE8"/>
    <w:rsid w:val="00DC5080"/>
    <w:rsid w:val="00DC56F1"/>
    <w:rsid w:val="00DC576A"/>
    <w:rsid w:val="00DC60A9"/>
    <w:rsid w:val="00DC6D5A"/>
    <w:rsid w:val="00DC78CC"/>
    <w:rsid w:val="00DD03D3"/>
    <w:rsid w:val="00DD078A"/>
    <w:rsid w:val="00DD082F"/>
    <w:rsid w:val="00DD0C8D"/>
    <w:rsid w:val="00DD1215"/>
    <w:rsid w:val="00DD2073"/>
    <w:rsid w:val="00DD21F2"/>
    <w:rsid w:val="00DD2D7E"/>
    <w:rsid w:val="00DD37D3"/>
    <w:rsid w:val="00DD383E"/>
    <w:rsid w:val="00DD50F0"/>
    <w:rsid w:val="00DD5668"/>
    <w:rsid w:val="00DD6FBA"/>
    <w:rsid w:val="00DD796F"/>
    <w:rsid w:val="00DD79EF"/>
    <w:rsid w:val="00DE24A2"/>
    <w:rsid w:val="00DE2C42"/>
    <w:rsid w:val="00DE4CDA"/>
    <w:rsid w:val="00DE5700"/>
    <w:rsid w:val="00DE5B84"/>
    <w:rsid w:val="00DE60B1"/>
    <w:rsid w:val="00DF039B"/>
    <w:rsid w:val="00DF0ED0"/>
    <w:rsid w:val="00DF2090"/>
    <w:rsid w:val="00DF293F"/>
    <w:rsid w:val="00DF4082"/>
    <w:rsid w:val="00DF6179"/>
    <w:rsid w:val="00DF62C0"/>
    <w:rsid w:val="00DF7477"/>
    <w:rsid w:val="00E007C4"/>
    <w:rsid w:val="00E00C88"/>
    <w:rsid w:val="00E01A78"/>
    <w:rsid w:val="00E01B01"/>
    <w:rsid w:val="00E02BEB"/>
    <w:rsid w:val="00E02C5B"/>
    <w:rsid w:val="00E02E59"/>
    <w:rsid w:val="00E0306C"/>
    <w:rsid w:val="00E0339F"/>
    <w:rsid w:val="00E03A9B"/>
    <w:rsid w:val="00E05486"/>
    <w:rsid w:val="00E055DF"/>
    <w:rsid w:val="00E05863"/>
    <w:rsid w:val="00E102A4"/>
    <w:rsid w:val="00E102DA"/>
    <w:rsid w:val="00E10697"/>
    <w:rsid w:val="00E10E0C"/>
    <w:rsid w:val="00E110CE"/>
    <w:rsid w:val="00E12085"/>
    <w:rsid w:val="00E12340"/>
    <w:rsid w:val="00E13021"/>
    <w:rsid w:val="00E13B60"/>
    <w:rsid w:val="00E14685"/>
    <w:rsid w:val="00E14E19"/>
    <w:rsid w:val="00E153A4"/>
    <w:rsid w:val="00E161ED"/>
    <w:rsid w:val="00E16366"/>
    <w:rsid w:val="00E16CE1"/>
    <w:rsid w:val="00E20538"/>
    <w:rsid w:val="00E20FAF"/>
    <w:rsid w:val="00E22FA6"/>
    <w:rsid w:val="00E23107"/>
    <w:rsid w:val="00E23B0C"/>
    <w:rsid w:val="00E240AB"/>
    <w:rsid w:val="00E240AC"/>
    <w:rsid w:val="00E269D0"/>
    <w:rsid w:val="00E273E8"/>
    <w:rsid w:val="00E27457"/>
    <w:rsid w:val="00E27A7D"/>
    <w:rsid w:val="00E3070E"/>
    <w:rsid w:val="00E31988"/>
    <w:rsid w:val="00E32C9F"/>
    <w:rsid w:val="00E34048"/>
    <w:rsid w:val="00E3485B"/>
    <w:rsid w:val="00E40ACA"/>
    <w:rsid w:val="00E41ABF"/>
    <w:rsid w:val="00E4266D"/>
    <w:rsid w:val="00E42737"/>
    <w:rsid w:val="00E44586"/>
    <w:rsid w:val="00E44B8A"/>
    <w:rsid w:val="00E44FDD"/>
    <w:rsid w:val="00E45296"/>
    <w:rsid w:val="00E45401"/>
    <w:rsid w:val="00E45501"/>
    <w:rsid w:val="00E46D63"/>
    <w:rsid w:val="00E50379"/>
    <w:rsid w:val="00E50793"/>
    <w:rsid w:val="00E5237E"/>
    <w:rsid w:val="00E52EB0"/>
    <w:rsid w:val="00E54F41"/>
    <w:rsid w:val="00E56C35"/>
    <w:rsid w:val="00E56EDD"/>
    <w:rsid w:val="00E6010F"/>
    <w:rsid w:val="00E61095"/>
    <w:rsid w:val="00E61162"/>
    <w:rsid w:val="00E61884"/>
    <w:rsid w:val="00E62FF0"/>
    <w:rsid w:val="00E632C4"/>
    <w:rsid w:val="00E638F2"/>
    <w:rsid w:val="00E65581"/>
    <w:rsid w:val="00E65C83"/>
    <w:rsid w:val="00E664A5"/>
    <w:rsid w:val="00E668F5"/>
    <w:rsid w:val="00E67A95"/>
    <w:rsid w:val="00E70CF1"/>
    <w:rsid w:val="00E72DC8"/>
    <w:rsid w:val="00E72F62"/>
    <w:rsid w:val="00E73F26"/>
    <w:rsid w:val="00E74857"/>
    <w:rsid w:val="00E760DA"/>
    <w:rsid w:val="00E76317"/>
    <w:rsid w:val="00E77D7C"/>
    <w:rsid w:val="00E80CDC"/>
    <w:rsid w:val="00E80F4E"/>
    <w:rsid w:val="00E81A71"/>
    <w:rsid w:val="00E829FD"/>
    <w:rsid w:val="00E82D9C"/>
    <w:rsid w:val="00E8383F"/>
    <w:rsid w:val="00E83BBD"/>
    <w:rsid w:val="00E86344"/>
    <w:rsid w:val="00E87BEB"/>
    <w:rsid w:val="00E90C6A"/>
    <w:rsid w:val="00E90C8F"/>
    <w:rsid w:val="00E91AF2"/>
    <w:rsid w:val="00E922C8"/>
    <w:rsid w:val="00E9295C"/>
    <w:rsid w:val="00E94E82"/>
    <w:rsid w:val="00E9635D"/>
    <w:rsid w:val="00E963C8"/>
    <w:rsid w:val="00E96591"/>
    <w:rsid w:val="00E97083"/>
    <w:rsid w:val="00EA0FF5"/>
    <w:rsid w:val="00EA17C2"/>
    <w:rsid w:val="00EA3ABD"/>
    <w:rsid w:val="00EA3F2C"/>
    <w:rsid w:val="00EA5424"/>
    <w:rsid w:val="00EA54AB"/>
    <w:rsid w:val="00EA54E5"/>
    <w:rsid w:val="00EA5DEE"/>
    <w:rsid w:val="00EB11AA"/>
    <w:rsid w:val="00EB3480"/>
    <w:rsid w:val="00EB3902"/>
    <w:rsid w:val="00EB4F04"/>
    <w:rsid w:val="00EB5595"/>
    <w:rsid w:val="00EB6547"/>
    <w:rsid w:val="00EB7149"/>
    <w:rsid w:val="00EB779C"/>
    <w:rsid w:val="00EB7B32"/>
    <w:rsid w:val="00EB7E11"/>
    <w:rsid w:val="00EC1E44"/>
    <w:rsid w:val="00EC260C"/>
    <w:rsid w:val="00EC4819"/>
    <w:rsid w:val="00EC5396"/>
    <w:rsid w:val="00EC5E7B"/>
    <w:rsid w:val="00EC6093"/>
    <w:rsid w:val="00EC6604"/>
    <w:rsid w:val="00EC6BFD"/>
    <w:rsid w:val="00EC7252"/>
    <w:rsid w:val="00ED1904"/>
    <w:rsid w:val="00ED3D82"/>
    <w:rsid w:val="00ED410B"/>
    <w:rsid w:val="00ED6106"/>
    <w:rsid w:val="00ED61E9"/>
    <w:rsid w:val="00ED7065"/>
    <w:rsid w:val="00ED72D7"/>
    <w:rsid w:val="00ED79D8"/>
    <w:rsid w:val="00EE03F7"/>
    <w:rsid w:val="00EE0F22"/>
    <w:rsid w:val="00EE17FC"/>
    <w:rsid w:val="00EE18F8"/>
    <w:rsid w:val="00EE2098"/>
    <w:rsid w:val="00EE326E"/>
    <w:rsid w:val="00EE3CAD"/>
    <w:rsid w:val="00EE570B"/>
    <w:rsid w:val="00EE601E"/>
    <w:rsid w:val="00EE6D6D"/>
    <w:rsid w:val="00EE6EE1"/>
    <w:rsid w:val="00EE729E"/>
    <w:rsid w:val="00EE73E9"/>
    <w:rsid w:val="00EF19F1"/>
    <w:rsid w:val="00EF23BC"/>
    <w:rsid w:val="00EF31DA"/>
    <w:rsid w:val="00EF33F8"/>
    <w:rsid w:val="00EF485F"/>
    <w:rsid w:val="00EF64B0"/>
    <w:rsid w:val="00EF74A5"/>
    <w:rsid w:val="00EF7C25"/>
    <w:rsid w:val="00F00CB9"/>
    <w:rsid w:val="00F01736"/>
    <w:rsid w:val="00F01C4C"/>
    <w:rsid w:val="00F01FE3"/>
    <w:rsid w:val="00F020D1"/>
    <w:rsid w:val="00F02D11"/>
    <w:rsid w:val="00F03019"/>
    <w:rsid w:val="00F0306D"/>
    <w:rsid w:val="00F037BA"/>
    <w:rsid w:val="00F0415C"/>
    <w:rsid w:val="00F04C7B"/>
    <w:rsid w:val="00F051C7"/>
    <w:rsid w:val="00F05B92"/>
    <w:rsid w:val="00F05DD4"/>
    <w:rsid w:val="00F119F1"/>
    <w:rsid w:val="00F1256D"/>
    <w:rsid w:val="00F12C6D"/>
    <w:rsid w:val="00F12CE7"/>
    <w:rsid w:val="00F13458"/>
    <w:rsid w:val="00F13BD6"/>
    <w:rsid w:val="00F13C4A"/>
    <w:rsid w:val="00F143EE"/>
    <w:rsid w:val="00F148D1"/>
    <w:rsid w:val="00F14FB9"/>
    <w:rsid w:val="00F1531B"/>
    <w:rsid w:val="00F1643A"/>
    <w:rsid w:val="00F17E21"/>
    <w:rsid w:val="00F17E74"/>
    <w:rsid w:val="00F207B9"/>
    <w:rsid w:val="00F21B7D"/>
    <w:rsid w:val="00F22077"/>
    <w:rsid w:val="00F221C6"/>
    <w:rsid w:val="00F2294E"/>
    <w:rsid w:val="00F238AE"/>
    <w:rsid w:val="00F24116"/>
    <w:rsid w:val="00F2510C"/>
    <w:rsid w:val="00F325E6"/>
    <w:rsid w:val="00F32FD6"/>
    <w:rsid w:val="00F337AD"/>
    <w:rsid w:val="00F351D5"/>
    <w:rsid w:val="00F35579"/>
    <w:rsid w:val="00F35F38"/>
    <w:rsid w:val="00F40645"/>
    <w:rsid w:val="00F40C3D"/>
    <w:rsid w:val="00F416D8"/>
    <w:rsid w:val="00F421C9"/>
    <w:rsid w:val="00F423D3"/>
    <w:rsid w:val="00F424B3"/>
    <w:rsid w:val="00F439AF"/>
    <w:rsid w:val="00F4539A"/>
    <w:rsid w:val="00F4676A"/>
    <w:rsid w:val="00F505BD"/>
    <w:rsid w:val="00F514B1"/>
    <w:rsid w:val="00F51BE8"/>
    <w:rsid w:val="00F52801"/>
    <w:rsid w:val="00F5284C"/>
    <w:rsid w:val="00F53ACA"/>
    <w:rsid w:val="00F5414B"/>
    <w:rsid w:val="00F543B0"/>
    <w:rsid w:val="00F5507A"/>
    <w:rsid w:val="00F55EEB"/>
    <w:rsid w:val="00F56027"/>
    <w:rsid w:val="00F566CD"/>
    <w:rsid w:val="00F56D69"/>
    <w:rsid w:val="00F60D13"/>
    <w:rsid w:val="00F60D27"/>
    <w:rsid w:val="00F61D20"/>
    <w:rsid w:val="00F62524"/>
    <w:rsid w:val="00F62E63"/>
    <w:rsid w:val="00F62EB6"/>
    <w:rsid w:val="00F64453"/>
    <w:rsid w:val="00F6463A"/>
    <w:rsid w:val="00F648B5"/>
    <w:rsid w:val="00F7015C"/>
    <w:rsid w:val="00F70A1F"/>
    <w:rsid w:val="00F71264"/>
    <w:rsid w:val="00F71327"/>
    <w:rsid w:val="00F719E1"/>
    <w:rsid w:val="00F71D4F"/>
    <w:rsid w:val="00F742FA"/>
    <w:rsid w:val="00F7472A"/>
    <w:rsid w:val="00F751CC"/>
    <w:rsid w:val="00F753E8"/>
    <w:rsid w:val="00F766CD"/>
    <w:rsid w:val="00F76CED"/>
    <w:rsid w:val="00F77209"/>
    <w:rsid w:val="00F807D1"/>
    <w:rsid w:val="00F8097B"/>
    <w:rsid w:val="00F80E98"/>
    <w:rsid w:val="00F81148"/>
    <w:rsid w:val="00F82904"/>
    <w:rsid w:val="00F83B5B"/>
    <w:rsid w:val="00F84A67"/>
    <w:rsid w:val="00F85C88"/>
    <w:rsid w:val="00F87050"/>
    <w:rsid w:val="00F87A5B"/>
    <w:rsid w:val="00F9106F"/>
    <w:rsid w:val="00F9353A"/>
    <w:rsid w:val="00F94B6F"/>
    <w:rsid w:val="00F95BAD"/>
    <w:rsid w:val="00F96063"/>
    <w:rsid w:val="00FA02B5"/>
    <w:rsid w:val="00FA05A9"/>
    <w:rsid w:val="00FA20C1"/>
    <w:rsid w:val="00FA20E7"/>
    <w:rsid w:val="00FA22D4"/>
    <w:rsid w:val="00FA2508"/>
    <w:rsid w:val="00FA38FB"/>
    <w:rsid w:val="00FA44AA"/>
    <w:rsid w:val="00FA54E6"/>
    <w:rsid w:val="00FA60D5"/>
    <w:rsid w:val="00FA63FD"/>
    <w:rsid w:val="00FA7484"/>
    <w:rsid w:val="00FA7680"/>
    <w:rsid w:val="00FB0828"/>
    <w:rsid w:val="00FB15AA"/>
    <w:rsid w:val="00FB2ED3"/>
    <w:rsid w:val="00FB3405"/>
    <w:rsid w:val="00FB46ED"/>
    <w:rsid w:val="00FB48BB"/>
    <w:rsid w:val="00FB4D60"/>
    <w:rsid w:val="00FB4DFC"/>
    <w:rsid w:val="00FB4E9A"/>
    <w:rsid w:val="00FB5B27"/>
    <w:rsid w:val="00FB642B"/>
    <w:rsid w:val="00FB675E"/>
    <w:rsid w:val="00FB6CC6"/>
    <w:rsid w:val="00FC11FC"/>
    <w:rsid w:val="00FC1353"/>
    <w:rsid w:val="00FC2752"/>
    <w:rsid w:val="00FC2B73"/>
    <w:rsid w:val="00FC3EBB"/>
    <w:rsid w:val="00FC47EE"/>
    <w:rsid w:val="00FC5174"/>
    <w:rsid w:val="00FC52FB"/>
    <w:rsid w:val="00FC5C9F"/>
    <w:rsid w:val="00FC5E75"/>
    <w:rsid w:val="00FC649C"/>
    <w:rsid w:val="00FC6A1A"/>
    <w:rsid w:val="00FC70B7"/>
    <w:rsid w:val="00FC7441"/>
    <w:rsid w:val="00FD0519"/>
    <w:rsid w:val="00FD09F7"/>
    <w:rsid w:val="00FD2254"/>
    <w:rsid w:val="00FD235A"/>
    <w:rsid w:val="00FD2422"/>
    <w:rsid w:val="00FD508C"/>
    <w:rsid w:val="00FD53EB"/>
    <w:rsid w:val="00FD6CDB"/>
    <w:rsid w:val="00FE0019"/>
    <w:rsid w:val="00FE021C"/>
    <w:rsid w:val="00FE06A1"/>
    <w:rsid w:val="00FE092D"/>
    <w:rsid w:val="00FE0951"/>
    <w:rsid w:val="00FE09FD"/>
    <w:rsid w:val="00FE0A96"/>
    <w:rsid w:val="00FE1506"/>
    <w:rsid w:val="00FE269E"/>
    <w:rsid w:val="00FE2728"/>
    <w:rsid w:val="00FE4796"/>
    <w:rsid w:val="00FE48AF"/>
    <w:rsid w:val="00FE50AF"/>
    <w:rsid w:val="00FE5144"/>
    <w:rsid w:val="00FE610F"/>
    <w:rsid w:val="00FE66FB"/>
    <w:rsid w:val="00FE67B5"/>
    <w:rsid w:val="00FE73CD"/>
    <w:rsid w:val="00FE7D9F"/>
    <w:rsid w:val="00FF0534"/>
    <w:rsid w:val="00FF0B4F"/>
    <w:rsid w:val="00FF0E1F"/>
    <w:rsid w:val="00FF1B22"/>
    <w:rsid w:val="00FF1D5A"/>
    <w:rsid w:val="00FF20DE"/>
    <w:rsid w:val="00FF34B5"/>
    <w:rsid w:val="00FF53E7"/>
    <w:rsid w:val="00FF5B8F"/>
    <w:rsid w:val="00FF67CA"/>
    <w:rsid w:val="00FF6CC5"/>
    <w:rsid w:val="00FF6EB7"/>
    <w:rsid w:val="00FF70FB"/>
    <w:rsid w:val="00FF7A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7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 w:type="paragraph" w:customStyle="1" w:styleId="HeaderTable">
    <w:name w:val="Header Table"/>
    <w:basedOn w:val="Caption"/>
    <w:link w:val="HeaderTableChar"/>
    <w:qFormat/>
    <w:rsid w:val="00B860D2"/>
  </w:style>
  <w:style w:type="paragraph" w:customStyle="1" w:styleId="HeaderFigure">
    <w:name w:val="Header Figure"/>
    <w:basedOn w:val="Caption"/>
    <w:link w:val="HeaderFigureChar"/>
    <w:qFormat/>
    <w:rsid w:val="002C7600"/>
  </w:style>
  <w:style w:type="character" w:customStyle="1" w:styleId="CaptionChar">
    <w:name w:val="Caption Char"/>
    <w:basedOn w:val="DefaultParagraphFont"/>
    <w:link w:val="Caption"/>
    <w:uiPriority w:val="35"/>
    <w:rsid w:val="00B860D2"/>
    <w:rPr>
      <w:rFonts w:ascii="Arial" w:hAnsi="Arial"/>
      <w:b/>
      <w:iCs/>
      <w:szCs w:val="18"/>
      <w:lang w:eastAsia="en-US"/>
    </w:rPr>
  </w:style>
  <w:style w:type="character" w:customStyle="1" w:styleId="HeaderTableChar">
    <w:name w:val="Header Table Char"/>
    <w:basedOn w:val="CaptionChar"/>
    <w:link w:val="HeaderTable"/>
    <w:rsid w:val="00B860D2"/>
    <w:rPr>
      <w:rFonts w:ascii="Arial" w:hAnsi="Arial"/>
      <w:b/>
      <w:iCs/>
      <w:szCs w:val="18"/>
      <w:lang w:eastAsia="en-US"/>
    </w:rPr>
  </w:style>
  <w:style w:type="character" w:customStyle="1" w:styleId="HeaderFigureChar">
    <w:name w:val="Header Figure Char"/>
    <w:basedOn w:val="CaptionChar"/>
    <w:link w:val="HeaderFigure"/>
    <w:rsid w:val="002C7600"/>
    <w:rPr>
      <w:rFonts w:ascii="Arial" w:hAnsi="Arial"/>
      <w:b/>
      <w:iCs/>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7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 w:type="paragraph" w:customStyle="1" w:styleId="HeaderTable">
    <w:name w:val="Header Table"/>
    <w:basedOn w:val="Caption"/>
    <w:link w:val="HeaderTableChar"/>
    <w:qFormat/>
    <w:rsid w:val="00B860D2"/>
  </w:style>
  <w:style w:type="paragraph" w:customStyle="1" w:styleId="HeaderFigure">
    <w:name w:val="Header Figure"/>
    <w:basedOn w:val="Caption"/>
    <w:link w:val="HeaderFigureChar"/>
    <w:qFormat/>
    <w:rsid w:val="002C7600"/>
  </w:style>
  <w:style w:type="character" w:customStyle="1" w:styleId="CaptionChar">
    <w:name w:val="Caption Char"/>
    <w:basedOn w:val="DefaultParagraphFont"/>
    <w:link w:val="Caption"/>
    <w:uiPriority w:val="35"/>
    <w:rsid w:val="00B860D2"/>
    <w:rPr>
      <w:rFonts w:ascii="Arial" w:hAnsi="Arial"/>
      <w:b/>
      <w:iCs/>
      <w:szCs w:val="18"/>
      <w:lang w:eastAsia="en-US"/>
    </w:rPr>
  </w:style>
  <w:style w:type="character" w:customStyle="1" w:styleId="HeaderTableChar">
    <w:name w:val="Header Table Char"/>
    <w:basedOn w:val="CaptionChar"/>
    <w:link w:val="HeaderTable"/>
    <w:rsid w:val="00B860D2"/>
    <w:rPr>
      <w:rFonts w:ascii="Arial" w:hAnsi="Arial"/>
      <w:b/>
      <w:iCs/>
      <w:szCs w:val="18"/>
      <w:lang w:eastAsia="en-US"/>
    </w:rPr>
  </w:style>
  <w:style w:type="character" w:customStyle="1" w:styleId="HeaderFigureChar">
    <w:name w:val="Header Figure Char"/>
    <w:basedOn w:val="CaptionChar"/>
    <w:link w:val="HeaderFigure"/>
    <w:rsid w:val="002C7600"/>
    <w:rPr>
      <w:rFonts w:ascii="Arial" w:hAnsi="Arial"/>
      <w:b/>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352268851">
      <w:bodyDiv w:val="1"/>
      <w:marLeft w:val="0"/>
      <w:marRight w:val="0"/>
      <w:marTop w:val="0"/>
      <w:marBottom w:val="0"/>
      <w:divBdr>
        <w:top w:val="none" w:sz="0" w:space="0" w:color="auto"/>
        <w:left w:val="none" w:sz="0" w:space="0" w:color="auto"/>
        <w:bottom w:val="none" w:sz="0" w:space="0" w:color="auto"/>
        <w:right w:val="none" w:sz="0" w:space="0" w:color="auto"/>
      </w:divBdr>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1.tmp"/><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drug-safety-update/long-acting-agonists-use-in-chronic-obstructive-pulmonary-disease"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20236</Words>
  <Characters>115347</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2017-07-26T05:43:00Z</dcterms:created>
  <dcterms:modified xsi:type="dcterms:W3CDTF">2018-01-23T03:15:00Z</dcterms:modified>
</cp:coreProperties>
</file>