
<file path=[Content_Types].xml><?xml version="1.0" encoding="utf-8"?>
<Types xmlns="http://schemas.openxmlformats.org/package/2006/content-types">
  <Default Extension="tmp" ContentType="image/png"/>
  <Default Extension="png" ContentType="image/png"/>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5F56" w:rsidRDefault="005D5F56" w:rsidP="005D5F56">
      <w:pPr>
        <w:jc w:val="center"/>
        <w:rPr>
          <w:rFonts w:asciiTheme="majorHAnsi" w:hAnsiTheme="majorHAnsi"/>
          <w:b/>
          <w:sz w:val="32"/>
          <w:szCs w:val="32"/>
        </w:rPr>
      </w:pPr>
      <w:bookmarkStart w:id="0" w:name="_GoBack"/>
      <w:bookmarkEnd w:id="0"/>
    </w:p>
    <w:p w:rsidR="005D5F56" w:rsidRDefault="005D5F56" w:rsidP="005D5F56">
      <w:pPr>
        <w:jc w:val="center"/>
        <w:rPr>
          <w:rFonts w:asciiTheme="majorHAnsi" w:hAnsiTheme="majorHAnsi"/>
          <w:b/>
          <w:sz w:val="32"/>
          <w:szCs w:val="32"/>
        </w:rPr>
      </w:pPr>
    </w:p>
    <w:p w:rsidR="005D5F56" w:rsidRPr="00904FDA" w:rsidRDefault="005D5F56" w:rsidP="005D5F56">
      <w:pPr>
        <w:jc w:val="center"/>
        <w:rPr>
          <w:rFonts w:asciiTheme="majorHAnsi" w:hAnsiTheme="majorHAnsi"/>
          <w:b/>
          <w:sz w:val="32"/>
          <w:szCs w:val="32"/>
        </w:rPr>
      </w:pPr>
    </w:p>
    <w:p w:rsidR="00572959" w:rsidRPr="00572959" w:rsidRDefault="00572959" w:rsidP="00572959">
      <w:pPr>
        <w:spacing w:before="4000" w:after="240"/>
        <w:jc w:val="center"/>
        <w:rPr>
          <w:b/>
          <w:sz w:val="52"/>
          <w:szCs w:val="52"/>
        </w:rPr>
      </w:pPr>
      <w:r w:rsidRPr="00572959">
        <w:rPr>
          <w:b/>
          <w:sz w:val="52"/>
          <w:szCs w:val="52"/>
        </w:rPr>
        <w:t>Pharmaceutical Benefits Scheme</w:t>
      </w:r>
    </w:p>
    <w:p w:rsidR="005D5F56" w:rsidRPr="001869BF" w:rsidRDefault="005D5F56" w:rsidP="005D5F56">
      <w:pPr>
        <w:spacing w:before="480" w:after="240"/>
        <w:jc w:val="center"/>
        <w:rPr>
          <w:b/>
          <w:sz w:val="40"/>
          <w:szCs w:val="40"/>
        </w:rPr>
      </w:pPr>
      <w:r w:rsidRPr="001869BF">
        <w:rPr>
          <w:b/>
          <w:sz w:val="40"/>
          <w:szCs w:val="40"/>
        </w:rPr>
        <w:t>Post-market Review</w:t>
      </w:r>
    </w:p>
    <w:p w:rsidR="005D5F56" w:rsidRPr="001869BF" w:rsidRDefault="005D5F56" w:rsidP="005D5F56">
      <w:pPr>
        <w:spacing w:before="240"/>
        <w:jc w:val="center"/>
        <w:rPr>
          <w:b/>
          <w:color w:val="365F91" w:themeColor="accent1" w:themeShade="BF"/>
          <w:sz w:val="32"/>
          <w:szCs w:val="32"/>
        </w:rPr>
      </w:pPr>
      <w:r>
        <w:rPr>
          <w:b/>
          <w:color w:val="365F91" w:themeColor="accent1" w:themeShade="BF"/>
          <w:sz w:val="32"/>
          <w:szCs w:val="32"/>
        </w:rPr>
        <w:t xml:space="preserve">The use of biologics in the treatment of severe </w:t>
      </w:r>
      <w:r w:rsidR="00891E82">
        <w:rPr>
          <w:b/>
          <w:color w:val="365F91" w:themeColor="accent1" w:themeShade="BF"/>
          <w:sz w:val="32"/>
          <w:szCs w:val="32"/>
        </w:rPr>
        <w:t>CPP</w:t>
      </w:r>
    </w:p>
    <w:p w:rsidR="005D5F56" w:rsidRDefault="005D5F56" w:rsidP="005D5F56">
      <w:pPr>
        <w:spacing w:before="240"/>
        <w:jc w:val="center"/>
        <w:rPr>
          <w:b/>
          <w:i/>
          <w:color w:val="365F91" w:themeColor="accent1" w:themeShade="BF"/>
          <w:sz w:val="28"/>
          <w:szCs w:val="28"/>
        </w:rPr>
      </w:pPr>
      <w:bookmarkStart w:id="1" w:name="_Toc341175223"/>
      <w:bookmarkStart w:id="2" w:name="_Toc341180114"/>
      <w:bookmarkStart w:id="3" w:name="_Toc341718010"/>
      <w:bookmarkStart w:id="4" w:name="_Toc341946998"/>
      <w:bookmarkStart w:id="5" w:name="_Toc341964940"/>
      <w:bookmarkStart w:id="6" w:name="_Toc342478568"/>
      <w:bookmarkStart w:id="7" w:name="_Toc342558104"/>
      <w:bookmarkStart w:id="8" w:name="_Toc351967067"/>
      <w:bookmarkStart w:id="9" w:name="_Toc359831559"/>
      <w:bookmarkStart w:id="10" w:name="_Toc359914389"/>
      <w:bookmarkStart w:id="11" w:name="_Toc360710900"/>
      <w:bookmarkStart w:id="12" w:name="_Toc368383244"/>
      <w:bookmarkStart w:id="13" w:name="_Toc371521186"/>
      <w:r w:rsidRPr="001869BF">
        <w:rPr>
          <w:b/>
          <w:i/>
          <w:color w:val="365F91" w:themeColor="accent1" w:themeShade="BF"/>
          <w:sz w:val="28"/>
          <w:szCs w:val="28"/>
        </w:rPr>
        <w:t xml:space="preserve">Report to </w:t>
      </w:r>
      <w:bookmarkEnd w:id="1"/>
      <w:bookmarkEnd w:id="2"/>
      <w:bookmarkEnd w:id="3"/>
      <w:bookmarkEnd w:id="4"/>
      <w:bookmarkEnd w:id="5"/>
      <w:bookmarkEnd w:id="6"/>
      <w:bookmarkEnd w:id="7"/>
      <w:bookmarkEnd w:id="8"/>
      <w:bookmarkEnd w:id="9"/>
      <w:bookmarkEnd w:id="10"/>
      <w:bookmarkEnd w:id="11"/>
      <w:bookmarkEnd w:id="12"/>
      <w:bookmarkEnd w:id="13"/>
      <w:r w:rsidRPr="001869BF">
        <w:rPr>
          <w:b/>
          <w:i/>
          <w:color w:val="365F91" w:themeColor="accent1" w:themeShade="BF"/>
          <w:sz w:val="28"/>
          <w:szCs w:val="28"/>
        </w:rPr>
        <w:t>PBAC</w:t>
      </w:r>
    </w:p>
    <w:p w:rsidR="005D5F56" w:rsidRPr="00572959" w:rsidRDefault="00572959" w:rsidP="005614F5">
      <w:pPr>
        <w:spacing w:before="240"/>
        <w:jc w:val="center"/>
        <w:rPr>
          <w:b/>
          <w:i/>
          <w:color w:val="365F91" w:themeColor="accent1" w:themeShade="BF"/>
          <w:sz w:val="28"/>
          <w:szCs w:val="28"/>
        </w:rPr>
      </w:pPr>
      <w:r w:rsidRPr="00572959">
        <w:rPr>
          <w:b/>
          <w:i/>
          <w:color w:val="365F91" w:themeColor="accent1" w:themeShade="BF"/>
          <w:sz w:val="28"/>
          <w:szCs w:val="28"/>
        </w:rPr>
        <w:t xml:space="preserve">Term of Reference </w:t>
      </w:r>
      <w:r>
        <w:rPr>
          <w:b/>
          <w:i/>
          <w:color w:val="365F91" w:themeColor="accent1" w:themeShade="BF"/>
          <w:sz w:val="28"/>
          <w:szCs w:val="28"/>
        </w:rPr>
        <w:t>3</w:t>
      </w:r>
    </w:p>
    <w:p w:rsidR="005D5F56" w:rsidRDefault="0033461D" w:rsidP="005D5F56">
      <w:pPr>
        <w:spacing w:before="240"/>
        <w:jc w:val="center"/>
        <w:rPr>
          <w:b/>
          <w:i/>
          <w:color w:val="365F91" w:themeColor="accent1" w:themeShade="BF"/>
          <w:sz w:val="28"/>
          <w:szCs w:val="28"/>
        </w:rPr>
      </w:pPr>
      <w:r>
        <w:rPr>
          <w:b/>
          <w:i/>
          <w:color w:val="365F91" w:themeColor="accent1" w:themeShade="BF"/>
          <w:sz w:val="28"/>
          <w:szCs w:val="28"/>
        </w:rPr>
        <w:t xml:space="preserve">DRAFT </w:t>
      </w:r>
      <w:r w:rsidR="005D5F56" w:rsidRPr="001869BF">
        <w:rPr>
          <w:b/>
          <w:i/>
          <w:color w:val="365F91" w:themeColor="accent1" w:themeShade="BF"/>
          <w:sz w:val="28"/>
          <w:szCs w:val="28"/>
        </w:rPr>
        <w:t>REPORT</w:t>
      </w:r>
      <w:r>
        <w:rPr>
          <w:b/>
          <w:i/>
          <w:color w:val="365F91" w:themeColor="accent1" w:themeShade="BF"/>
          <w:sz w:val="28"/>
          <w:szCs w:val="28"/>
        </w:rPr>
        <w:t xml:space="preserve"> </w:t>
      </w:r>
    </w:p>
    <w:p w:rsidR="00FA302C" w:rsidRDefault="00FA302C" w:rsidP="005D5F56">
      <w:pPr>
        <w:spacing w:before="240"/>
        <w:jc w:val="center"/>
        <w:rPr>
          <w:b/>
          <w:i/>
          <w:color w:val="365F91" w:themeColor="accent1" w:themeShade="BF"/>
          <w:sz w:val="28"/>
          <w:szCs w:val="28"/>
        </w:rPr>
      </w:pPr>
    </w:p>
    <w:p w:rsidR="005D5F56" w:rsidRPr="004B11B2" w:rsidRDefault="005D5F56" w:rsidP="005D5F56">
      <w:pPr>
        <w:rPr>
          <w:rFonts w:asciiTheme="majorHAnsi" w:hAnsiTheme="majorHAnsi"/>
          <w:b/>
          <w:bCs/>
        </w:rPr>
      </w:pPr>
      <w:r w:rsidRPr="004B11B2">
        <w:rPr>
          <w:rFonts w:asciiTheme="majorHAnsi" w:hAnsiTheme="majorHAnsi"/>
        </w:rPr>
        <w:br w:type="page"/>
      </w:r>
    </w:p>
    <w:sdt>
      <w:sdtPr>
        <w:rPr>
          <w:rFonts w:eastAsiaTheme="minorHAnsi" w:cstheme="minorHAnsi"/>
          <w:b w:val="0"/>
          <w:bCs w:val="0"/>
          <w:vanish/>
          <w:color w:val="auto"/>
          <w:sz w:val="24"/>
          <w:szCs w:val="22"/>
          <w:highlight w:val="yellow"/>
          <w:lang w:val="en-GB" w:eastAsia="en-AU"/>
        </w:rPr>
        <w:id w:val="-1464719215"/>
        <w:docPartObj>
          <w:docPartGallery w:val="Table of Contents"/>
          <w:docPartUnique/>
        </w:docPartObj>
      </w:sdtPr>
      <w:sdtEndPr>
        <w:rPr>
          <w:noProof/>
        </w:rPr>
      </w:sdtEndPr>
      <w:sdtContent>
        <w:p w:rsidR="00C513A0" w:rsidRDefault="00C513A0">
          <w:pPr>
            <w:pStyle w:val="TOCHeading"/>
          </w:pPr>
          <w:r>
            <w:t>Contents</w:t>
          </w:r>
        </w:p>
        <w:p w:rsidR="001E159A" w:rsidRDefault="001E159A">
          <w:pPr>
            <w:pStyle w:val="TOC1"/>
            <w:tabs>
              <w:tab w:val="right" w:leader="dot" w:pos="9016"/>
            </w:tabs>
            <w:rPr>
              <w:rFonts w:eastAsiaTheme="minorEastAsia" w:cstheme="minorBidi"/>
              <w:noProof/>
              <w:sz w:val="22"/>
              <w:lang w:val="en-AU"/>
            </w:rPr>
          </w:pPr>
          <w:r w:rsidRPr="00E6177E">
            <w:rPr>
              <w:noProof/>
              <w:lang w:val="en-AU"/>
            </w:rPr>
            <w:t>List of Tables</w:t>
          </w:r>
          <w:r>
            <w:rPr>
              <w:noProof/>
              <w:webHidden/>
            </w:rPr>
            <w:tab/>
            <w:t>3</w:t>
          </w:r>
        </w:p>
        <w:p w:rsidR="001E159A" w:rsidRDefault="001E159A">
          <w:pPr>
            <w:pStyle w:val="TOC1"/>
            <w:tabs>
              <w:tab w:val="right" w:leader="dot" w:pos="9016"/>
            </w:tabs>
            <w:rPr>
              <w:rFonts w:eastAsiaTheme="minorEastAsia" w:cstheme="minorBidi"/>
              <w:noProof/>
              <w:sz w:val="22"/>
              <w:lang w:val="en-AU"/>
            </w:rPr>
          </w:pPr>
          <w:r w:rsidRPr="00E6177E">
            <w:rPr>
              <w:noProof/>
              <w:lang w:val="en-AU"/>
            </w:rPr>
            <w:t>List of Figures</w:t>
          </w:r>
          <w:r>
            <w:rPr>
              <w:noProof/>
              <w:webHidden/>
            </w:rPr>
            <w:tab/>
            <w:t>4</w:t>
          </w:r>
        </w:p>
        <w:p w:rsidR="001E159A" w:rsidRDefault="001E159A">
          <w:pPr>
            <w:pStyle w:val="TOC1"/>
            <w:tabs>
              <w:tab w:val="right" w:leader="dot" w:pos="9016"/>
            </w:tabs>
            <w:rPr>
              <w:rFonts w:eastAsiaTheme="minorEastAsia" w:cstheme="minorBidi"/>
              <w:noProof/>
              <w:sz w:val="22"/>
              <w:lang w:val="en-AU"/>
            </w:rPr>
          </w:pPr>
          <w:r w:rsidRPr="00E6177E">
            <w:rPr>
              <w:noProof/>
              <w:lang w:val="en-AU"/>
            </w:rPr>
            <w:t>Abbreviations</w:t>
          </w:r>
          <w:r>
            <w:rPr>
              <w:noProof/>
              <w:webHidden/>
            </w:rPr>
            <w:tab/>
            <w:t>5</w:t>
          </w:r>
        </w:p>
        <w:p w:rsidR="001E159A" w:rsidRDefault="001E159A">
          <w:pPr>
            <w:pStyle w:val="TOC1"/>
            <w:tabs>
              <w:tab w:val="right" w:leader="dot" w:pos="9016"/>
            </w:tabs>
            <w:rPr>
              <w:rFonts w:eastAsiaTheme="minorEastAsia" w:cstheme="minorBidi"/>
              <w:noProof/>
              <w:sz w:val="22"/>
              <w:lang w:val="en-AU"/>
            </w:rPr>
          </w:pPr>
          <w:r w:rsidRPr="00E6177E">
            <w:rPr>
              <w:noProof/>
            </w:rPr>
            <w:t>Section 3: Term of Reference (ToR) 3 Prevalence and utilisation of PBS listed biologics for chronic plaque psoriasis (CPP)</w:t>
          </w:r>
          <w:r>
            <w:rPr>
              <w:noProof/>
              <w:webHidden/>
            </w:rPr>
            <w:tab/>
            <w:t>7</w:t>
          </w:r>
        </w:p>
        <w:p w:rsidR="001E159A" w:rsidRDefault="001E159A">
          <w:pPr>
            <w:pStyle w:val="TOC2"/>
            <w:tabs>
              <w:tab w:val="left" w:pos="880"/>
              <w:tab w:val="right" w:leader="dot" w:pos="9016"/>
            </w:tabs>
            <w:rPr>
              <w:rFonts w:eastAsiaTheme="minorEastAsia" w:cstheme="minorBidi"/>
              <w:noProof/>
              <w:sz w:val="22"/>
              <w:lang w:val="en-AU"/>
            </w:rPr>
          </w:pPr>
          <w:r w:rsidRPr="00E6177E">
            <w:rPr>
              <w:noProof/>
            </w:rPr>
            <w:t>3.1</w:t>
          </w:r>
          <w:r>
            <w:rPr>
              <w:rFonts w:eastAsiaTheme="minorEastAsia" w:cstheme="minorBidi"/>
              <w:noProof/>
              <w:sz w:val="22"/>
              <w:lang w:val="en-AU"/>
            </w:rPr>
            <w:tab/>
          </w:r>
          <w:r w:rsidRPr="00E6177E">
            <w:rPr>
              <w:noProof/>
            </w:rPr>
            <w:t>Key findings for ToR 3</w:t>
          </w:r>
          <w:r>
            <w:rPr>
              <w:noProof/>
              <w:webHidden/>
            </w:rPr>
            <w:tab/>
            <w:t>7</w:t>
          </w:r>
        </w:p>
        <w:p w:rsidR="001E159A" w:rsidRDefault="001E159A">
          <w:pPr>
            <w:pStyle w:val="TOC2"/>
            <w:tabs>
              <w:tab w:val="left" w:pos="880"/>
              <w:tab w:val="right" w:leader="dot" w:pos="9016"/>
            </w:tabs>
            <w:rPr>
              <w:rFonts w:eastAsiaTheme="minorEastAsia" w:cstheme="minorBidi"/>
              <w:noProof/>
              <w:sz w:val="22"/>
              <w:lang w:val="en-AU"/>
            </w:rPr>
          </w:pPr>
          <w:r w:rsidRPr="00E6177E">
            <w:rPr>
              <w:noProof/>
            </w:rPr>
            <w:t>3.2</w:t>
          </w:r>
          <w:r>
            <w:rPr>
              <w:rFonts w:eastAsiaTheme="minorEastAsia" w:cstheme="minorBidi"/>
              <w:noProof/>
              <w:sz w:val="22"/>
              <w:lang w:val="en-AU"/>
            </w:rPr>
            <w:tab/>
          </w:r>
          <w:r w:rsidRPr="00E6177E">
            <w:rPr>
              <w:noProof/>
            </w:rPr>
            <w:t>Review of epidemiological estimates of psoriasis</w:t>
          </w:r>
          <w:r>
            <w:rPr>
              <w:noProof/>
              <w:webHidden/>
            </w:rPr>
            <w:tab/>
            <w:t>10</w:t>
          </w:r>
        </w:p>
        <w:p w:rsidR="001E159A" w:rsidRDefault="001E159A">
          <w:pPr>
            <w:pStyle w:val="TOC3"/>
            <w:tabs>
              <w:tab w:val="left" w:pos="1320"/>
              <w:tab w:val="right" w:leader="dot" w:pos="9016"/>
            </w:tabs>
            <w:rPr>
              <w:rFonts w:eastAsiaTheme="minorEastAsia" w:cstheme="minorBidi"/>
              <w:noProof/>
              <w:sz w:val="22"/>
              <w:lang w:val="en-AU"/>
            </w:rPr>
          </w:pPr>
          <w:r w:rsidRPr="00E6177E">
            <w:rPr>
              <w:noProof/>
              <w:lang w:eastAsia="en-GB"/>
            </w:rPr>
            <w:t>3.2.1</w:t>
          </w:r>
          <w:r>
            <w:rPr>
              <w:rFonts w:eastAsiaTheme="minorEastAsia" w:cstheme="minorBidi"/>
              <w:noProof/>
              <w:sz w:val="22"/>
              <w:lang w:val="en-AU"/>
            </w:rPr>
            <w:tab/>
          </w:r>
          <w:r w:rsidRPr="00E6177E">
            <w:rPr>
              <w:noProof/>
              <w:lang w:eastAsia="en-GB"/>
            </w:rPr>
            <w:t>Prevalence of psoriasis in Australia</w:t>
          </w:r>
          <w:r>
            <w:rPr>
              <w:noProof/>
              <w:webHidden/>
            </w:rPr>
            <w:tab/>
            <w:t>10</w:t>
          </w:r>
        </w:p>
        <w:p w:rsidR="001E159A" w:rsidRDefault="001E159A">
          <w:pPr>
            <w:pStyle w:val="TOC3"/>
            <w:tabs>
              <w:tab w:val="left" w:pos="1320"/>
              <w:tab w:val="right" w:leader="dot" w:pos="9016"/>
            </w:tabs>
            <w:rPr>
              <w:rFonts w:eastAsiaTheme="minorEastAsia" w:cstheme="minorBidi"/>
              <w:noProof/>
              <w:sz w:val="22"/>
              <w:lang w:val="en-AU"/>
            </w:rPr>
          </w:pPr>
          <w:r w:rsidRPr="00E6177E">
            <w:rPr>
              <w:noProof/>
              <w:lang w:eastAsia="en-GB"/>
            </w:rPr>
            <w:t>3.2.2</w:t>
          </w:r>
          <w:r>
            <w:rPr>
              <w:rFonts w:eastAsiaTheme="minorEastAsia" w:cstheme="minorBidi"/>
              <w:noProof/>
              <w:sz w:val="22"/>
              <w:lang w:val="en-AU"/>
            </w:rPr>
            <w:tab/>
          </w:r>
          <w:r w:rsidRPr="00E6177E">
            <w:rPr>
              <w:noProof/>
              <w:lang w:eastAsia="en-GB"/>
            </w:rPr>
            <w:t>Incidence of psoriasis</w:t>
          </w:r>
          <w:r>
            <w:rPr>
              <w:noProof/>
              <w:webHidden/>
            </w:rPr>
            <w:tab/>
            <w:t>13</w:t>
          </w:r>
        </w:p>
        <w:p w:rsidR="001E159A" w:rsidRDefault="001E159A">
          <w:pPr>
            <w:pStyle w:val="TOC3"/>
            <w:tabs>
              <w:tab w:val="left" w:pos="1320"/>
              <w:tab w:val="right" w:leader="dot" w:pos="9016"/>
            </w:tabs>
            <w:rPr>
              <w:rFonts w:eastAsiaTheme="minorEastAsia" w:cstheme="minorBidi"/>
              <w:noProof/>
              <w:sz w:val="22"/>
              <w:lang w:val="en-AU"/>
            </w:rPr>
          </w:pPr>
          <w:r w:rsidRPr="00E6177E">
            <w:rPr>
              <w:noProof/>
              <w:lang w:eastAsia="en-GB"/>
            </w:rPr>
            <w:t>3.2.3</w:t>
          </w:r>
          <w:r>
            <w:rPr>
              <w:rFonts w:eastAsiaTheme="minorEastAsia" w:cstheme="minorBidi"/>
              <w:noProof/>
              <w:sz w:val="22"/>
              <w:lang w:val="en-AU"/>
            </w:rPr>
            <w:tab/>
          </w:r>
          <w:r w:rsidRPr="00E6177E">
            <w:rPr>
              <w:noProof/>
              <w:lang w:eastAsia="en-GB"/>
            </w:rPr>
            <w:t>Prevalence of CPP</w:t>
          </w:r>
          <w:r>
            <w:rPr>
              <w:noProof/>
              <w:webHidden/>
            </w:rPr>
            <w:tab/>
            <w:t>14</w:t>
          </w:r>
        </w:p>
        <w:p w:rsidR="001E159A" w:rsidRDefault="001E159A">
          <w:pPr>
            <w:pStyle w:val="TOC3"/>
            <w:tabs>
              <w:tab w:val="left" w:pos="1320"/>
              <w:tab w:val="right" w:leader="dot" w:pos="9016"/>
            </w:tabs>
            <w:rPr>
              <w:rFonts w:eastAsiaTheme="minorEastAsia" w:cstheme="minorBidi"/>
              <w:noProof/>
              <w:sz w:val="22"/>
              <w:lang w:val="en-AU"/>
            </w:rPr>
          </w:pPr>
          <w:r w:rsidRPr="00E6177E">
            <w:rPr>
              <w:noProof/>
              <w:lang w:eastAsia="en-GB"/>
            </w:rPr>
            <w:t>3.2.4</w:t>
          </w:r>
          <w:r>
            <w:rPr>
              <w:rFonts w:eastAsiaTheme="minorEastAsia" w:cstheme="minorBidi"/>
              <w:noProof/>
              <w:sz w:val="22"/>
              <w:lang w:val="en-AU"/>
            </w:rPr>
            <w:tab/>
          </w:r>
          <w:r w:rsidRPr="00E6177E">
            <w:rPr>
              <w:noProof/>
              <w:lang w:eastAsia="en-GB"/>
            </w:rPr>
            <w:t>Prevalence of psoriasis by site</w:t>
          </w:r>
          <w:r>
            <w:rPr>
              <w:noProof/>
              <w:webHidden/>
            </w:rPr>
            <w:tab/>
            <w:t>15</w:t>
          </w:r>
        </w:p>
        <w:p w:rsidR="001E159A" w:rsidRDefault="001E159A">
          <w:pPr>
            <w:pStyle w:val="TOC3"/>
            <w:tabs>
              <w:tab w:val="left" w:pos="1320"/>
              <w:tab w:val="right" w:leader="dot" w:pos="9016"/>
            </w:tabs>
            <w:rPr>
              <w:rFonts w:eastAsiaTheme="minorEastAsia" w:cstheme="minorBidi"/>
              <w:noProof/>
              <w:sz w:val="22"/>
              <w:lang w:val="en-AU"/>
            </w:rPr>
          </w:pPr>
          <w:r w:rsidRPr="00E6177E">
            <w:rPr>
              <w:noProof/>
              <w:lang w:eastAsia="en-GB"/>
            </w:rPr>
            <w:t>3.2.5</w:t>
          </w:r>
          <w:r>
            <w:rPr>
              <w:rFonts w:eastAsiaTheme="minorEastAsia" w:cstheme="minorBidi"/>
              <w:noProof/>
              <w:sz w:val="22"/>
              <w:lang w:val="en-AU"/>
            </w:rPr>
            <w:tab/>
          </w:r>
          <w:r w:rsidRPr="00E6177E">
            <w:rPr>
              <w:noProof/>
              <w:lang w:eastAsia="en-GB"/>
            </w:rPr>
            <w:t>Severity of psoriasis</w:t>
          </w:r>
          <w:r>
            <w:rPr>
              <w:noProof/>
              <w:webHidden/>
            </w:rPr>
            <w:tab/>
            <w:t>17</w:t>
          </w:r>
        </w:p>
        <w:p w:rsidR="001E159A" w:rsidRDefault="001E159A">
          <w:pPr>
            <w:pStyle w:val="TOC3"/>
            <w:tabs>
              <w:tab w:val="left" w:pos="1320"/>
              <w:tab w:val="right" w:leader="dot" w:pos="9016"/>
            </w:tabs>
            <w:rPr>
              <w:rFonts w:eastAsiaTheme="minorEastAsia" w:cstheme="minorBidi"/>
              <w:noProof/>
              <w:sz w:val="22"/>
              <w:lang w:val="en-AU"/>
            </w:rPr>
          </w:pPr>
          <w:r w:rsidRPr="00E6177E">
            <w:rPr>
              <w:noProof/>
              <w:lang w:eastAsia="en-GB"/>
            </w:rPr>
            <w:t>3.2.6</w:t>
          </w:r>
          <w:r>
            <w:rPr>
              <w:rFonts w:eastAsiaTheme="minorEastAsia" w:cstheme="minorBidi"/>
              <w:noProof/>
              <w:sz w:val="22"/>
              <w:lang w:val="en-AU"/>
            </w:rPr>
            <w:tab/>
          </w:r>
          <w:r w:rsidRPr="00E6177E">
            <w:rPr>
              <w:noProof/>
              <w:lang w:eastAsia="en-GB"/>
            </w:rPr>
            <w:t>Estimated prevalence of severe CPP in Australia psoriasis</w:t>
          </w:r>
          <w:r>
            <w:rPr>
              <w:noProof/>
              <w:webHidden/>
            </w:rPr>
            <w:tab/>
            <w:t>19</w:t>
          </w:r>
        </w:p>
        <w:p w:rsidR="001E159A" w:rsidRDefault="001E159A">
          <w:pPr>
            <w:pStyle w:val="TOC3"/>
            <w:tabs>
              <w:tab w:val="left" w:pos="1320"/>
              <w:tab w:val="right" w:leader="dot" w:pos="9016"/>
            </w:tabs>
            <w:rPr>
              <w:rFonts w:eastAsiaTheme="minorEastAsia" w:cstheme="minorBidi"/>
              <w:noProof/>
              <w:sz w:val="22"/>
              <w:lang w:val="en-AU"/>
            </w:rPr>
          </w:pPr>
          <w:r w:rsidRPr="00E6177E">
            <w:rPr>
              <w:noProof/>
              <w:lang w:eastAsia="en-GB"/>
            </w:rPr>
            <w:t>3.2.7</w:t>
          </w:r>
          <w:r>
            <w:rPr>
              <w:rFonts w:eastAsiaTheme="minorEastAsia" w:cstheme="minorBidi"/>
              <w:noProof/>
              <w:sz w:val="22"/>
              <w:lang w:val="en-AU"/>
            </w:rPr>
            <w:tab/>
          </w:r>
          <w:r w:rsidRPr="00E6177E">
            <w:rPr>
              <w:noProof/>
              <w:lang w:eastAsia="en-GB"/>
            </w:rPr>
            <w:t>Estimated prevalence of moderate-to-severe CPP in Australia psoriasis</w:t>
          </w:r>
          <w:r>
            <w:rPr>
              <w:noProof/>
              <w:webHidden/>
            </w:rPr>
            <w:tab/>
            <w:t>20</w:t>
          </w:r>
        </w:p>
        <w:p w:rsidR="001E159A" w:rsidRDefault="001E159A">
          <w:pPr>
            <w:pStyle w:val="TOC3"/>
            <w:tabs>
              <w:tab w:val="left" w:pos="1320"/>
              <w:tab w:val="right" w:leader="dot" w:pos="9016"/>
            </w:tabs>
            <w:rPr>
              <w:rFonts w:eastAsiaTheme="minorEastAsia" w:cstheme="minorBidi"/>
              <w:noProof/>
              <w:sz w:val="22"/>
              <w:lang w:val="en-AU"/>
            </w:rPr>
          </w:pPr>
          <w:r w:rsidRPr="00E6177E">
            <w:rPr>
              <w:noProof/>
              <w:lang w:eastAsia="en-GB"/>
            </w:rPr>
            <w:t>3.2.8</w:t>
          </w:r>
          <w:r>
            <w:rPr>
              <w:rFonts w:eastAsiaTheme="minorEastAsia" w:cstheme="minorBidi"/>
              <w:noProof/>
              <w:sz w:val="22"/>
              <w:lang w:val="en-AU"/>
            </w:rPr>
            <w:tab/>
          </w:r>
          <w:r w:rsidRPr="00E6177E">
            <w:rPr>
              <w:noProof/>
              <w:lang w:eastAsia="en-GB"/>
            </w:rPr>
            <w:t>Prevalence of psoriatic arthritis in patients with CPP</w:t>
          </w:r>
          <w:r>
            <w:rPr>
              <w:noProof/>
              <w:webHidden/>
            </w:rPr>
            <w:tab/>
            <w:t>20</w:t>
          </w:r>
        </w:p>
        <w:p w:rsidR="001E159A" w:rsidRDefault="001E159A">
          <w:pPr>
            <w:pStyle w:val="TOC2"/>
            <w:tabs>
              <w:tab w:val="left" w:pos="880"/>
              <w:tab w:val="right" w:leader="dot" w:pos="9016"/>
            </w:tabs>
            <w:rPr>
              <w:rFonts w:eastAsiaTheme="minorEastAsia" w:cstheme="minorBidi"/>
              <w:noProof/>
              <w:sz w:val="22"/>
              <w:lang w:val="en-AU"/>
            </w:rPr>
          </w:pPr>
          <w:r w:rsidRPr="00E6177E">
            <w:rPr>
              <w:noProof/>
            </w:rPr>
            <w:t>3.3</w:t>
          </w:r>
          <w:r>
            <w:rPr>
              <w:rFonts w:eastAsiaTheme="minorEastAsia" w:cstheme="minorBidi"/>
              <w:noProof/>
              <w:sz w:val="22"/>
              <w:lang w:val="en-AU"/>
            </w:rPr>
            <w:tab/>
          </w:r>
          <w:r w:rsidRPr="00E6177E">
            <w:rPr>
              <w:noProof/>
            </w:rPr>
            <w:t>PBS utilisation of biologics for the treatment of severe CPP</w:t>
          </w:r>
          <w:r>
            <w:rPr>
              <w:noProof/>
              <w:webHidden/>
            </w:rPr>
            <w:tab/>
            <w:t>22</w:t>
          </w:r>
        </w:p>
        <w:p w:rsidR="001E159A" w:rsidRDefault="001E159A">
          <w:pPr>
            <w:pStyle w:val="TOC3"/>
            <w:tabs>
              <w:tab w:val="right" w:leader="dot" w:pos="9016"/>
            </w:tabs>
            <w:rPr>
              <w:rFonts w:eastAsiaTheme="minorEastAsia" w:cstheme="minorBidi"/>
              <w:noProof/>
              <w:sz w:val="22"/>
              <w:lang w:val="en-AU"/>
            </w:rPr>
          </w:pPr>
          <w:r w:rsidRPr="00E6177E">
            <w:rPr>
              <w:noProof/>
              <w:lang w:eastAsia="en-GB"/>
            </w:rPr>
            <w:t>3.3.1 Method</w:t>
          </w:r>
          <w:r>
            <w:rPr>
              <w:noProof/>
              <w:webHidden/>
            </w:rPr>
            <w:tab/>
            <w:t>22</w:t>
          </w:r>
        </w:p>
        <w:p w:rsidR="001E159A" w:rsidRDefault="001E159A">
          <w:pPr>
            <w:pStyle w:val="TOC3"/>
            <w:tabs>
              <w:tab w:val="right" w:leader="dot" w:pos="9016"/>
            </w:tabs>
            <w:rPr>
              <w:rFonts w:eastAsiaTheme="minorEastAsia" w:cstheme="minorBidi"/>
              <w:noProof/>
              <w:sz w:val="22"/>
              <w:lang w:val="en-AU"/>
            </w:rPr>
          </w:pPr>
          <w:r w:rsidRPr="00E6177E">
            <w:rPr>
              <w:noProof/>
              <w:lang w:eastAsia="en-GB"/>
            </w:rPr>
            <w:t>3.3.2 Results</w:t>
          </w:r>
          <w:r>
            <w:rPr>
              <w:noProof/>
              <w:webHidden/>
            </w:rPr>
            <w:tab/>
            <w:t>26</w:t>
          </w:r>
        </w:p>
        <w:p w:rsidR="001E159A" w:rsidRDefault="001E159A">
          <w:pPr>
            <w:pStyle w:val="TOC2"/>
            <w:tabs>
              <w:tab w:val="left" w:pos="880"/>
              <w:tab w:val="right" w:leader="dot" w:pos="9016"/>
            </w:tabs>
            <w:rPr>
              <w:rFonts w:eastAsiaTheme="minorEastAsia" w:cstheme="minorBidi"/>
              <w:noProof/>
              <w:sz w:val="22"/>
              <w:lang w:val="en-AU"/>
            </w:rPr>
          </w:pPr>
          <w:r w:rsidRPr="00E6177E">
            <w:rPr>
              <w:noProof/>
            </w:rPr>
            <w:t>3.4</w:t>
          </w:r>
          <w:r>
            <w:rPr>
              <w:rFonts w:eastAsiaTheme="minorEastAsia" w:cstheme="minorBidi"/>
              <w:noProof/>
              <w:sz w:val="22"/>
              <w:lang w:val="en-AU"/>
            </w:rPr>
            <w:tab/>
          </w:r>
          <w:r w:rsidRPr="00E6177E">
            <w:rPr>
              <w:noProof/>
            </w:rPr>
            <w:t>Prior use of non-biologic treatments</w:t>
          </w:r>
          <w:r>
            <w:rPr>
              <w:noProof/>
              <w:webHidden/>
            </w:rPr>
            <w:tab/>
            <w:t>40</w:t>
          </w:r>
        </w:p>
        <w:p w:rsidR="001E159A" w:rsidRDefault="001E159A">
          <w:pPr>
            <w:pStyle w:val="TOC2"/>
            <w:tabs>
              <w:tab w:val="left" w:pos="880"/>
              <w:tab w:val="right" w:leader="dot" w:pos="9016"/>
            </w:tabs>
            <w:rPr>
              <w:rFonts w:eastAsiaTheme="minorEastAsia" w:cstheme="minorBidi"/>
              <w:noProof/>
              <w:sz w:val="22"/>
              <w:lang w:val="en-AU"/>
            </w:rPr>
          </w:pPr>
          <w:r w:rsidRPr="00E6177E">
            <w:rPr>
              <w:noProof/>
            </w:rPr>
            <w:t>3.5</w:t>
          </w:r>
          <w:r>
            <w:rPr>
              <w:rFonts w:eastAsiaTheme="minorEastAsia" w:cstheme="minorBidi"/>
              <w:noProof/>
              <w:sz w:val="22"/>
              <w:lang w:val="en-AU"/>
            </w:rPr>
            <w:tab/>
          </w:r>
          <w:r w:rsidRPr="00E6177E">
            <w:rPr>
              <w:noProof/>
            </w:rPr>
            <w:t>Comparison of PBS utilisation of biologics with PBS restrictions, guidelines, and clinical evidence</w:t>
          </w:r>
          <w:r>
            <w:rPr>
              <w:noProof/>
              <w:webHidden/>
            </w:rPr>
            <w:tab/>
            <w:t>41</w:t>
          </w:r>
        </w:p>
        <w:p w:rsidR="001E159A" w:rsidRDefault="001E159A">
          <w:pPr>
            <w:pStyle w:val="TOC3"/>
            <w:tabs>
              <w:tab w:val="right" w:leader="dot" w:pos="9016"/>
            </w:tabs>
            <w:rPr>
              <w:rFonts w:eastAsiaTheme="minorEastAsia" w:cstheme="minorBidi"/>
              <w:noProof/>
              <w:sz w:val="22"/>
              <w:lang w:val="en-AU"/>
            </w:rPr>
          </w:pPr>
          <w:r w:rsidRPr="00E6177E">
            <w:rPr>
              <w:noProof/>
              <w:lang w:eastAsia="en-GB"/>
            </w:rPr>
            <w:t>3.5.1 Comparison of PBS utilisation with PBS restrictions</w:t>
          </w:r>
          <w:r>
            <w:rPr>
              <w:noProof/>
              <w:webHidden/>
            </w:rPr>
            <w:tab/>
            <w:t>41</w:t>
          </w:r>
        </w:p>
        <w:p w:rsidR="001E159A" w:rsidRDefault="001E159A">
          <w:pPr>
            <w:pStyle w:val="TOC3"/>
            <w:tabs>
              <w:tab w:val="right" w:leader="dot" w:pos="9016"/>
            </w:tabs>
            <w:rPr>
              <w:rFonts w:eastAsiaTheme="minorEastAsia" w:cstheme="minorBidi"/>
              <w:noProof/>
              <w:sz w:val="22"/>
              <w:lang w:val="en-AU"/>
            </w:rPr>
          </w:pPr>
          <w:r w:rsidRPr="00E6177E">
            <w:rPr>
              <w:noProof/>
              <w:lang w:eastAsia="en-GB"/>
            </w:rPr>
            <w:t>3.5.2 Comparison of PBS utilisation with clinical guidelines</w:t>
          </w:r>
          <w:r>
            <w:rPr>
              <w:noProof/>
              <w:webHidden/>
            </w:rPr>
            <w:tab/>
            <w:t>41</w:t>
          </w:r>
        </w:p>
        <w:p w:rsidR="001E159A" w:rsidRDefault="001E159A">
          <w:pPr>
            <w:pStyle w:val="TOC3"/>
            <w:tabs>
              <w:tab w:val="right" w:leader="dot" w:pos="9016"/>
            </w:tabs>
            <w:rPr>
              <w:rFonts w:eastAsiaTheme="minorEastAsia" w:cstheme="minorBidi"/>
              <w:noProof/>
              <w:sz w:val="22"/>
              <w:lang w:val="en-AU"/>
            </w:rPr>
          </w:pPr>
          <w:r w:rsidRPr="00E6177E">
            <w:rPr>
              <w:noProof/>
              <w:lang w:eastAsia="en-GB"/>
            </w:rPr>
            <w:t>3.5.3 Comparison of PBS utilisation with clinical evidence</w:t>
          </w:r>
          <w:r>
            <w:rPr>
              <w:noProof/>
              <w:webHidden/>
            </w:rPr>
            <w:tab/>
            <w:t>41</w:t>
          </w:r>
        </w:p>
        <w:p w:rsidR="001E159A" w:rsidRDefault="001E159A">
          <w:pPr>
            <w:pStyle w:val="TOC1"/>
            <w:tabs>
              <w:tab w:val="right" w:leader="dot" w:pos="9016"/>
            </w:tabs>
            <w:rPr>
              <w:rFonts w:eastAsiaTheme="minorEastAsia" w:cstheme="minorBidi"/>
              <w:noProof/>
              <w:sz w:val="22"/>
              <w:lang w:val="en-AU"/>
            </w:rPr>
          </w:pPr>
          <w:r w:rsidRPr="00E6177E">
            <w:rPr>
              <w:noProof/>
            </w:rPr>
            <w:t>References</w:t>
          </w:r>
          <w:r>
            <w:rPr>
              <w:noProof/>
              <w:webHidden/>
            </w:rPr>
            <w:tab/>
            <w:t>44</w:t>
          </w:r>
        </w:p>
        <w:p w:rsidR="001E159A" w:rsidRDefault="001E159A">
          <w:pPr>
            <w:pStyle w:val="TOC1"/>
            <w:tabs>
              <w:tab w:val="right" w:leader="dot" w:pos="9016"/>
            </w:tabs>
            <w:rPr>
              <w:rFonts w:eastAsiaTheme="minorEastAsia" w:cstheme="minorBidi"/>
              <w:noProof/>
              <w:sz w:val="22"/>
              <w:lang w:val="en-AU"/>
            </w:rPr>
          </w:pPr>
          <w:r w:rsidRPr="00E6177E">
            <w:rPr>
              <w:noProof/>
            </w:rPr>
            <w:t>Appendix A – ToR 3: Methods</w:t>
          </w:r>
          <w:r>
            <w:rPr>
              <w:noProof/>
              <w:webHidden/>
            </w:rPr>
            <w:tab/>
            <w:t>48</w:t>
          </w:r>
        </w:p>
        <w:p w:rsidR="001E159A" w:rsidRDefault="001E159A">
          <w:pPr>
            <w:pStyle w:val="TOC2"/>
            <w:tabs>
              <w:tab w:val="right" w:leader="dot" w:pos="9016"/>
            </w:tabs>
            <w:rPr>
              <w:rFonts w:eastAsiaTheme="minorEastAsia" w:cstheme="minorBidi"/>
              <w:noProof/>
              <w:sz w:val="22"/>
              <w:lang w:val="en-AU"/>
            </w:rPr>
          </w:pPr>
          <w:r w:rsidRPr="00E6177E">
            <w:rPr>
              <w:noProof/>
            </w:rPr>
            <w:t>Search strategy</w:t>
          </w:r>
          <w:r>
            <w:rPr>
              <w:noProof/>
              <w:webHidden/>
            </w:rPr>
            <w:tab/>
            <w:t>48</w:t>
          </w:r>
        </w:p>
        <w:p w:rsidR="001E159A" w:rsidRDefault="001E159A">
          <w:pPr>
            <w:pStyle w:val="TOC2"/>
            <w:tabs>
              <w:tab w:val="right" w:leader="dot" w:pos="9016"/>
            </w:tabs>
            <w:rPr>
              <w:rFonts w:eastAsiaTheme="minorEastAsia" w:cstheme="minorBidi"/>
              <w:noProof/>
              <w:sz w:val="22"/>
              <w:lang w:val="en-AU"/>
            </w:rPr>
          </w:pPr>
          <w:r w:rsidRPr="00E6177E">
            <w:rPr>
              <w:noProof/>
            </w:rPr>
            <w:t>Selection of studies</w:t>
          </w:r>
          <w:r>
            <w:rPr>
              <w:noProof/>
              <w:webHidden/>
            </w:rPr>
            <w:tab/>
            <w:t>49</w:t>
          </w:r>
        </w:p>
        <w:p w:rsidR="001E159A" w:rsidRDefault="001E159A">
          <w:pPr>
            <w:pStyle w:val="TOC1"/>
            <w:tabs>
              <w:tab w:val="right" w:leader="dot" w:pos="9016"/>
            </w:tabs>
            <w:rPr>
              <w:rFonts w:eastAsiaTheme="minorEastAsia" w:cstheme="minorBidi"/>
              <w:noProof/>
              <w:sz w:val="22"/>
              <w:lang w:val="en-AU"/>
            </w:rPr>
          </w:pPr>
          <w:r w:rsidRPr="00E6177E">
            <w:rPr>
              <w:noProof/>
            </w:rPr>
            <w:t>Appendix B – ToR 3: Epidemiology results</w:t>
          </w:r>
          <w:r>
            <w:rPr>
              <w:noProof/>
              <w:webHidden/>
            </w:rPr>
            <w:tab/>
            <w:t>51</w:t>
          </w:r>
        </w:p>
        <w:p w:rsidR="001E159A" w:rsidRDefault="001E159A">
          <w:pPr>
            <w:pStyle w:val="TOC2"/>
            <w:tabs>
              <w:tab w:val="right" w:leader="dot" w:pos="9016"/>
            </w:tabs>
            <w:rPr>
              <w:rFonts w:eastAsiaTheme="minorEastAsia" w:cstheme="minorBidi"/>
              <w:noProof/>
              <w:sz w:val="22"/>
              <w:lang w:val="en-AU"/>
            </w:rPr>
          </w:pPr>
          <w:r w:rsidRPr="00E6177E">
            <w:rPr>
              <w:noProof/>
            </w:rPr>
            <w:t>Risk of Bias</w:t>
          </w:r>
          <w:r>
            <w:rPr>
              <w:noProof/>
              <w:webHidden/>
            </w:rPr>
            <w:tab/>
            <w:t>51</w:t>
          </w:r>
        </w:p>
        <w:p w:rsidR="001E159A" w:rsidRDefault="001E159A">
          <w:pPr>
            <w:pStyle w:val="TOC2"/>
            <w:tabs>
              <w:tab w:val="right" w:leader="dot" w:pos="9016"/>
            </w:tabs>
            <w:rPr>
              <w:rFonts w:eastAsiaTheme="minorEastAsia" w:cstheme="minorBidi"/>
              <w:noProof/>
              <w:sz w:val="22"/>
              <w:lang w:val="en-AU"/>
            </w:rPr>
          </w:pPr>
          <w:r w:rsidRPr="00E6177E">
            <w:rPr>
              <w:noProof/>
            </w:rPr>
            <w:t>Study characteristics</w:t>
          </w:r>
          <w:r>
            <w:rPr>
              <w:noProof/>
              <w:webHidden/>
            </w:rPr>
            <w:tab/>
            <w:t>54</w:t>
          </w:r>
        </w:p>
        <w:p w:rsidR="001E159A" w:rsidRDefault="001E159A">
          <w:pPr>
            <w:pStyle w:val="TOC2"/>
            <w:tabs>
              <w:tab w:val="right" w:leader="dot" w:pos="9016"/>
            </w:tabs>
            <w:rPr>
              <w:rFonts w:eastAsiaTheme="minorEastAsia" w:cstheme="minorBidi"/>
              <w:noProof/>
              <w:sz w:val="22"/>
              <w:lang w:val="en-AU"/>
            </w:rPr>
          </w:pPr>
          <w:r w:rsidRPr="00E6177E">
            <w:rPr>
              <w:noProof/>
            </w:rPr>
            <w:t>Results</w:t>
          </w:r>
          <w:r>
            <w:rPr>
              <w:noProof/>
              <w:webHidden/>
            </w:rPr>
            <w:tab/>
            <w:t>58</w:t>
          </w:r>
        </w:p>
        <w:p w:rsidR="001E159A" w:rsidRDefault="001E159A">
          <w:pPr>
            <w:pStyle w:val="TOC1"/>
            <w:tabs>
              <w:tab w:val="right" w:leader="dot" w:pos="9016"/>
            </w:tabs>
            <w:rPr>
              <w:rFonts w:eastAsiaTheme="minorEastAsia" w:cstheme="minorBidi"/>
              <w:noProof/>
              <w:sz w:val="22"/>
              <w:lang w:val="en-AU"/>
            </w:rPr>
          </w:pPr>
          <w:r w:rsidRPr="00E6177E">
            <w:rPr>
              <w:noProof/>
            </w:rPr>
            <w:t>Appendix C – ToR 3: PBS utilisation analysis</w:t>
          </w:r>
          <w:r>
            <w:rPr>
              <w:noProof/>
              <w:webHidden/>
            </w:rPr>
            <w:tab/>
            <w:t>59</w:t>
          </w:r>
        </w:p>
        <w:p w:rsidR="001E159A" w:rsidRDefault="001E159A">
          <w:pPr>
            <w:pStyle w:val="TOC2"/>
            <w:tabs>
              <w:tab w:val="right" w:leader="dot" w:pos="9016"/>
            </w:tabs>
            <w:rPr>
              <w:rFonts w:eastAsiaTheme="minorEastAsia" w:cstheme="minorBidi"/>
              <w:noProof/>
              <w:sz w:val="22"/>
              <w:lang w:val="en-AU"/>
            </w:rPr>
          </w:pPr>
          <w:r w:rsidRPr="00E6177E">
            <w:rPr>
              <w:noProof/>
            </w:rPr>
            <w:t>Methods</w:t>
          </w:r>
          <w:r>
            <w:rPr>
              <w:noProof/>
              <w:webHidden/>
            </w:rPr>
            <w:tab/>
            <w:t>59</w:t>
          </w:r>
        </w:p>
        <w:p w:rsidR="001E159A" w:rsidRDefault="001E159A">
          <w:pPr>
            <w:pStyle w:val="TOC2"/>
            <w:tabs>
              <w:tab w:val="right" w:leader="dot" w:pos="9016"/>
            </w:tabs>
            <w:rPr>
              <w:rFonts w:eastAsiaTheme="minorEastAsia" w:cstheme="minorBidi"/>
              <w:noProof/>
              <w:sz w:val="22"/>
              <w:lang w:val="en-AU"/>
            </w:rPr>
          </w:pPr>
          <w:r w:rsidRPr="00E6177E">
            <w:rPr>
              <w:noProof/>
            </w:rPr>
            <w:lastRenderedPageBreak/>
            <w:t>Results</w:t>
          </w:r>
          <w:r>
            <w:rPr>
              <w:noProof/>
              <w:webHidden/>
            </w:rPr>
            <w:tab/>
            <w:t>59</w:t>
          </w:r>
        </w:p>
        <w:p w:rsidR="001E159A" w:rsidRDefault="001E159A">
          <w:pPr>
            <w:pStyle w:val="TOC3"/>
            <w:tabs>
              <w:tab w:val="right" w:leader="dot" w:pos="9016"/>
            </w:tabs>
            <w:rPr>
              <w:rFonts w:eastAsiaTheme="minorEastAsia" w:cstheme="minorBidi"/>
              <w:noProof/>
              <w:sz w:val="22"/>
              <w:lang w:val="en-AU"/>
            </w:rPr>
          </w:pPr>
          <w:r w:rsidRPr="00E6177E">
            <w:rPr>
              <w:noProof/>
            </w:rPr>
            <w:t>Persistence with first biologic for severe CPP on the PBS</w:t>
          </w:r>
          <w:r>
            <w:rPr>
              <w:noProof/>
              <w:webHidden/>
            </w:rPr>
            <w:tab/>
            <w:t>59</w:t>
          </w:r>
        </w:p>
        <w:p w:rsidR="001E159A" w:rsidRDefault="001E159A">
          <w:pPr>
            <w:pStyle w:val="TOC3"/>
            <w:tabs>
              <w:tab w:val="right" w:leader="dot" w:pos="9016"/>
            </w:tabs>
            <w:rPr>
              <w:rFonts w:eastAsiaTheme="minorEastAsia" w:cstheme="minorBidi"/>
              <w:noProof/>
              <w:sz w:val="22"/>
              <w:lang w:val="en-AU"/>
            </w:rPr>
          </w:pPr>
          <w:r w:rsidRPr="00E6177E">
            <w:rPr>
              <w:noProof/>
            </w:rPr>
            <w:t>Overall persistence on treatment with biologics</w:t>
          </w:r>
          <w:r>
            <w:rPr>
              <w:noProof/>
              <w:webHidden/>
            </w:rPr>
            <w:tab/>
            <w:t>61</w:t>
          </w:r>
        </w:p>
        <w:p w:rsidR="001E159A" w:rsidRDefault="001E159A">
          <w:pPr>
            <w:pStyle w:val="TOC3"/>
            <w:tabs>
              <w:tab w:val="right" w:leader="dot" w:pos="9016"/>
            </w:tabs>
            <w:rPr>
              <w:rFonts w:eastAsiaTheme="minorEastAsia" w:cstheme="minorBidi"/>
              <w:noProof/>
              <w:sz w:val="22"/>
              <w:lang w:val="en-AU"/>
            </w:rPr>
          </w:pPr>
          <w:r w:rsidRPr="00E6177E">
            <w:rPr>
              <w:noProof/>
            </w:rPr>
            <w:t>Treatment holidays from biologic treatment on the PBS</w:t>
          </w:r>
          <w:r>
            <w:rPr>
              <w:noProof/>
              <w:webHidden/>
            </w:rPr>
            <w:tab/>
            <w:t>62</w:t>
          </w:r>
        </w:p>
        <w:p w:rsidR="001E159A" w:rsidRDefault="001E159A">
          <w:pPr>
            <w:pStyle w:val="TOC3"/>
            <w:tabs>
              <w:tab w:val="right" w:leader="dot" w:pos="9016"/>
            </w:tabs>
            <w:rPr>
              <w:rFonts w:eastAsiaTheme="minorEastAsia" w:cstheme="minorBidi"/>
              <w:noProof/>
              <w:sz w:val="22"/>
              <w:lang w:val="en-AU"/>
            </w:rPr>
          </w:pPr>
          <w:r w:rsidRPr="00E6177E">
            <w:rPr>
              <w:noProof/>
            </w:rPr>
            <w:t>Switching between biologic medicines on the PBS</w:t>
          </w:r>
          <w:r>
            <w:rPr>
              <w:noProof/>
              <w:webHidden/>
            </w:rPr>
            <w:tab/>
            <w:t>64</w:t>
          </w:r>
        </w:p>
        <w:p w:rsidR="00C513A0" w:rsidRDefault="007B3063"/>
      </w:sdtContent>
    </w:sdt>
    <w:p w:rsidR="000F704D" w:rsidRDefault="000F704D" w:rsidP="00021660">
      <w:pPr>
        <w:pStyle w:val="Heading1"/>
        <w:rPr>
          <w:bCs w:val="0"/>
          <w:lang w:val="en-AU"/>
        </w:rPr>
      </w:pPr>
      <w:bookmarkStart w:id="14" w:name="_Toc501632358"/>
      <w:bookmarkStart w:id="15" w:name="_Toc493757052"/>
      <w:bookmarkStart w:id="16" w:name="_Toc481076737"/>
      <w:r>
        <w:rPr>
          <w:bCs w:val="0"/>
          <w:lang w:val="en-AU"/>
        </w:rPr>
        <w:t>List of Tables</w:t>
      </w:r>
      <w:bookmarkEnd w:id="14"/>
    </w:p>
    <w:p w:rsidR="001E159A" w:rsidRDefault="001E159A">
      <w:pPr>
        <w:pStyle w:val="TableofFigures"/>
        <w:tabs>
          <w:tab w:val="right" w:leader="dot" w:pos="9016"/>
        </w:tabs>
        <w:rPr>
          <w:rFonts w:eastAsiaTheme="minorEastAsia" w:cstheme="minorBidi"/>
          <w:noProof/>
          <w:sz w:val="22"/>
          <w:lang w:val="en-AU"/>
        </w:rPr>
      </w:pPr>
      <w:r w:rsidRPr="00E6177E">
        <w:rPr>
          <w:noProof/>
        </w:rPr>
        <w:t>Table 1: Estimates of the prevalence of psoriasis in Australia</w:t>
      </w:r>
      <w:r>
        <w:rPr>
          <w:noProof/>
          <w:webHidden/>
        </w:rPr>
        <w:tab/>
        <w:t>11</w:t>
      </w:r>
    </w:p>
    <w:p w:rsidR="001E159A" w:rsidRDefault="001E159A">
      <w:pPr>
        <w:pStyle w:val="TableofFigures"/>
        <w:tabs>
          <w:tab w:val="right" w:leader="dot" w:pos="9016"/>
        </w:tabs>
        <w:rPr>
          <w:rFonts w:eastAsiaTheme="minorEastAsia" w:cstheme="minorBidi"/>
          <w:noProof/>
          <w:sz w:val="22"/>
          <w:lang w:val="en-AU"/>
        </w:rPr>
      </w:pPr>
      <w:r w:rsidRPr="00E6177E">
        <w:rPr>
          <w:noProof/>
        </w:rPr>
        <w:t>Table 2: Incidence of psoriasis per 100,000 patient-years</w:t>
      </w:r>
      <w:r>
        <w:rPr>
          <w:noProof/>
          <w:webHidden/>
        </w:rPr>
        <w:tab/>
        <w:t>13</w:t>
      </w:r>
    </w:p>
    <w:p w:rsidR="001E159A" w:rsidRDefault="001E159A">
      <w:pPr>
        <w:pStyle w:val="TableofFigures"/>
        <w:tabs>
          <w:tab w:val="right" w:leader="dot" w:pos="9016"/>
        </w:tabs>
        <w:rPr>
          <w:rFonts w:eastAsiaTheme="minorEastAsia" w:cstheme="minorBidi"/>
          <w:noProof/>
          <w:sz w:val="22"/>
          <w:lang w:val="en-AU"/>
        </w:rPr>
      </w:pPr>
      <w:r w:rsidRPr="00E6177E">
        <w:rPr>
          <w:noProof/>
        </w:rPr>
        <w:t>Table 3: Prevalence of CPP in psoriasis patients</w:t>
      </w:r>
      <w:r>
        <w:rPr>
          <w:noProof/>
          <w:webHidden/>
        </w:rPr>
        <w:tab/>
        <w:t>14</w:t>
      </w:r>
    </w:p>
    <w:p w:rsidR="001E159A" w:rsidRDefault="001E159A">
      <w:pPr>
        <w:pStyle w:val="TableofFigures"/>
        <w:tabs>
          <w:tab w:val="right" w:leader="dot" w:pos="9016"/>
        </w:tabs>
        <w:rPr>
          <w:rFonts w:eastAsiaTheme="minorEastAsia" w:cstheme="minorBidi"/>
          <w:noProof/>
          <w:sz w:val="22"/>
          <w:lang w:val="en-AU"/>
        </w:rPr>
      </w:pPr>
      <w:r w:rsidRPr="00E6177E">
        <w:rPr>
          <w:noProof/>
        </w:rPr>
        <w:t>Table 4: Incidence and prevalence of psoriasis by site in adults</w:t>
      </w:r>
      <w:r>
        <w:rPr>
          <w:noProof/>
          <w:webHidden/>
        </w:rPr>
        <w:tab/>
        <w:t>16</w:t>
      </w:r>
    </w:p>
    <w:p w:rsidR="001E159A" w:rsidRDefault="001E159A">
      <w:pPr>
        <w:pStyle w:val="TableofFigures"/>
        <w:tabs>
          <w:tab w:val="right" w:leader="dot" w:pos="9016"/>
        </w:tabs>
        <w:rPr>
          <w:rFonts w:eastAsiaTheme="minorEastAsia" w:cstheme="minorBidi"/>
          <w:noProof/>
          <w:sz w:val="22"/>
          <w:lang w:val="en-AU"/>
        </w:rPr>
      </w:pPr>
      <w:r w:rsidRPr="00E6177E">
        <w:rPr>
          <w:noProof/>
        </w:rPr>
        <w:t>Table 5: Severity of psoriasis in adults based on PASI or DLQI scores</w:t>
      </w:r>
      <w:r>
        <w:rPr>
          <w:noProof/>
          <w:webHidden/>
        </w:rPr>
        <w:tab/>
        <w:t>18</w:t>
      </w:r>
    </w:p>
    <w:p w:rsidR="001E159A" w:rsidRDefault="001E159A">
      <w:pPr>
        <w:pStyle w:val="TableofFigures"/>
        <w:tabs>
          <w:tab w:val="right" w:leader="dot" w:pos="9016"/>
        </w:tabs>
        <w:rPr>
          <w:rFonts w:eastAsiaTheme="minorEastAsia" w:cstheme="minorBidi"/>
          <w:noProof/>
          <w:sz w:val="22"/>
          <w:lang w:val="en-AU"/>
        </w:rPr>
      </w:pPr>
      <w:r w:rsidRPr="00E6177E">
        <w:rPr>
          <w:noProof/>
        </w:rPr>
        <w:t>Table 6: Prevalence of severe CPP in Australia</w:t>
      </w:r>
      <w:r>
        <w:rPr>
          <w:noProof/>
          <w:webHidden/>
        </w:rPr>
        <w:tab/>
        <w:t>19</w:t>
      </w:r>
    </w:p>
    <w:p w:rsidR="001E159A" w:rsidRDefault="001E159A">
      <w:pPr>
        <w:pStyle w:val="TableofFigures"/>
        <w:tabs>
          <w:tab w:val="right" w:leader="dot" w:pos="9016"/>
        </w:tabs>
        <w:rPr>
          <w:rFonts w:eastAsiaTheme="minorEastAsia" w:cstheme="minorBidi"/>
          <w:noProof/>
          <w:sz w:val="22"/>
          <w:lang w:val="en-AU"/>
        </w:rPr>
      </w:pPr>
      <w:r w:rsidRPr="00E6177E">
        <w:rPr>
          <w:noProof/>
        </w:rPr>
        <w:t>Table 7: Prevalence of psoriatic arthritis (key studies)</w:t>
      </w:r>
      <w:r>
        <w:rPr>
          <w:noProof/>
          <w:webHidden/>
        </w:rPr>
        <w:tab/>
        <w:t>21</w:t>
      </w:r>
    </w:p>
    <w:p w:rsidR="001E159A" w:rsidRDefault="001E159A">
      <w:pPr>
        <w:pStyle w:val="TableofFigures"/>
        <w:tabs>
          <w:tab w:val="right" w:leader="dot" w:pos="9016"/>
        </w:tabs>
        <w:rPr>
          <w:rFonts w:eastAsiaTheme="minorEastAsia" w:cstheme="minorBidi"/>
          <w:noProof/>
          <w:sz w:val="22"/>
          <w:lang w:val="en-AU"/>
        </w:rPr>
      </w:pPr>
      <w:r w:rsidRPr="00E6177E">
        <w:rPr>
          <w:noProof/>
        </w:rPr>
        <w:t>Table 8: Biologics and item codes used for the extraction of PBS/RPBS prescription data</w:t>
      </w:r>
      <w:r>
        <w:rPr>
          <w:noProof/>
          <w:webHidden/>
        </w:rPr>
        <w:tab/>
        <w:t>23</w:t>
      </w:r>
    </w:p>
    <w:p w:rsidR="001E159A" w:rsidRDefault="001E159A">
      <w:pPr>
        <w:pStyle w:val="TableofFigures"/>
        <w:tabs>
          <w:tab w:val="right" w:leader="dot" w:pos="9016"/>
        </w:tabs>
        <w:rPr>
          <w:rFonts w:eastAsiaTheme="minorEastAsia" w:cstheme="minorBidi"/>
          <w:noProof/>
          <w:sz w:val="22"/>
          <w:lang w:val="en-AU"/>
        </w:rPr>
      </w:pPr>
      <w:r w:rsidRPr="00E6177E">
        <w:rPr>
          <w:noProof/>
        </w:rPr>
        <w:t>Table 9: Standard prescription coverage days calculated from the prescription data</w:t>
      </w:r>
      <w:r>
        <w:rPr>
          <w:noProof/>
          <w:webHidden/>
        </w:rPr>
        <w:tab/>
        <w:t>24</w:t>
      </w:r>
    </w:p>
    <w:p w:rsidR="001E159A" w:rsidRDefault="001E159A">
      <w:pPr>
        <w:pStyle w:val="TableofFigures"/>
        <w:tabs>
          <w:tab w:val="right" w:leader="dot" w:pos="9016"/>
        </w:tabs>
        <w:rPr>
          <w:rFonts w:eastAsiaTheme="minorEastAsia" w:cstheme="minorBidi"/>
          <w:noProof/>
          <w:sz w:val="22"/>
          <w:lang w:val="en-AU"/>
        </w:rPr>
      </w:pPr>
      <w:r w:rsidRPr="00E6177E">
        <w:rPr>
          <w:noProof/>
        </w:rPr>
        <w:t>Table 10: Biologic expenditure for severe CPP</w:t>
      </w:r>
      <w:r>
        <w:rPr>
          <w:noProof/>
          <w:webHidden/>
        </w:rPr>
        <w:tab/>
        <w:t>30</w:t>
      </w:r>
    </w:p>
    <w:p w:rsidR="001E159A" w:rsidRDefault="001E159A">
      <w:pPr>
        <w:pStyle w:val="TableofFigures"/>
        <w:tabs>
          <w:tab w:val="right" w:leader="dot" w:pos="9016"/>
        </w:tabs>
        <w:rPr>
          <w:rFonts w:eastAsiaTheme="minorEastAsia" w:cstheme="minorBidi"/>
          <w:noProof/>
          <w:sz w:val="22"/>
          <w:lang w:val="en-AU"/>
        </w:rPr>
      </w:pPr>
      <w:r w:rsidRPr="00E6177E">
        <w:rPr>
          <w:noProof/>
        </w:rPr>
        <w:t>Table 11: Persistence with first biologic at 6, 12 and 18 months; n (%) of patients persisting with first biologic for severe CPP</w:t>
      </w:r>
      <w:r>
        <w:rPr>
          <w:noProof/>
          <w:webHidden/>
        </w:rPr>
        <w:tab/>
        <w:t>31</w:t>
      </w:r>
    </w:p>
    <w:p w:rsidR="001E159A" w:rsidRDefault="001E159A">
      <w:pPr>
        <w:pStyle w:val="TableofFigures"/>
        <w:tabs>
          <w:tab w:val="right" w:leader="dot" w:pos="9016"/>
        </w:tabs>
        <w:rPr>
          <w:rFonts w:eastAsiaTheme="minorEastAsia" w:cstheme="minorBidi"/>
          <w:noProof/>
          <w:sz w:val="22"/>
          <w:lang w:val="en-AU"/>
        </w:rPr>
      </w:pPr>
      <w:r w:rsidRPr="00E6177E">
        <w:rPr>
          <w:noProof/>
        </w:rPr>
        <w:t>Table 12: Treatment persistence with first biologic at 6, 12, and 18 months by biologic</w:t>
      </w:r>
      <w:r>
        <w:rPr>
          <w:noProof/>
          <w:webHidden/>
        </w:rPr>
        <w:tab/>
        <w:t>32</w:t>
      </w:r>
    </w:p>
    <w:p w:rsidR="001E159A" w:rsidRDefault="001E159A">
      <w:pPr>
        <w:pStyle w:val="TableofFigures"/>
        <w:tabs>
          <w:tab w:val="right" w:leader="dot" w:pos="9016"/>
        </w:tabs>
        <w:rPr>
          <w:rFonts w:eastAsiaTheme="minorEastAsia" w:cstheme="minorBidi"/>
          <w:noProof/>
          <w:sz w:val="22"/>
          <w:lang w:val="en-AU"/>
        </w:rPr>
      </w:pPr>
      <w:r w:rsidRPr="00E6177E">
        <w:rPr>
          <w:rFonts w:eastAsia="Times New Roman"/>
          <w:noProof/>
        </w:rPr>
        <w:t xml:space="preserve">Table 13: Treatment </w:t>
      </w:r>
      <w:r w:rsidRPr="00E6177E">
        <w:rPr>
          <w:noProof/>
        </w:rPr>
        <w:t>persistence</w:t>
      </w:r>
      <w:r w:rsidRPr="00E6177E">
        <w:rPr>
          <w:rFonts w:eastAsia="Times New Roman"/>
          <w:noProof/>
        </w:rPr>
        <w:t xml:space="preserve"> with etanercept as a first biologic (adults vs. children)</w:t>
      </w:r>
      <w:r>
        <w:rPr>
          <w:noProof/>
          <w:webHidden/>
        </w:rPr>
        <w:tab/>
        <w:t>34</w:t>
      </w:r>
    </w:p>
    <w:p w:rsidR="001E159A" w:rsidRDefault="001E159A">
      <w:pPr>
        <w:pStyle w:val="TableofFigures"/>
        <w:tabs>
          <w:tab w:val="right" w:leader="dot" w:pos="9016"/>
        </w:tabs>
        <w:rPr>
          <w:rFonts w:eastAsiaTheme="minorEastAsia" w:cstheme="minorBidi"/>
          <w:noProof/>
          <w:sz w:val="22"/>
          <w:lang w:val="en-AU"/>
        </w:rPr>
      </w:pPr>
      <w:r w:rsidRPr="00E6177E">
        <w:rPr>
          <w:noProof/>
        </w:rPr>
        <w:t>Table 14: Persistence with biologics for severe CPP</w:t>
      </w:r>
      <w:r>
        <w:rPr>
          <w:noProof/>
          <w:webHidden/>
        </w:rPr>
        <w:tab/>
        <w:t>35</w:t>
      </w:r>
    </w:p>
    <w:p w:rsidR="001E159A" w:rsidRDefault="001E159A">
      <w:pPr>
        <w:pStyle w:val="TableofFigures"/>
        <w:tabs>
          <w:tab w:val="right" w:leader="dot" w:pos="9016"/>
        </w:tabs>
        <w:rPr>
          <w:rFonts w:eastAsiaTheme="minorEastAsia" w:cstheme="minorBidi"/>
          <w:noProof/>
          <w:sz w:val="22"/>
          <w:lang w:val="en-AU"/>
        </w:rPr>
      </w:pPr>
      <w:r w:rsidRPr="00E6177E">
        <w:rPr>
          <w:noProof/>
        </w:rPr>
        <w:t>Table 15: Patients with a continuing authority approval</w:t>
      </w:r>
      <w:r>
        <w:rPr>
          <w:noProof/>
          <w:webHidden/>
        </w:rPr>
        <w:tab/>
        <w:t>35</w:t>
      </w:r>
    </w:p>
    <w:p w:rsidR="001E159A" w:rsidRDefault="001E159A">
      <w:pPr>
        <w:pStyle w:val="TableofFigures"/>
        <w:tabs>
          <w:tab w:val="right" w:leader="dot" w:pos="9016"/>
        </w:tabs>
        <w:rPr>
          <w:rFonts w:eastAsiaTheme="minorEastAsia" w:cstheme="minorBidi"/>
          <w:noProof/>
          <w:sz w:val="22"/>
          <w:lang w:val="en-AU"/>
        </w:rPr>
      </w:pPr>
      <w:r w:rsidRPr="00E6177E">
        <w:rPr>
          <w:noProof/>
        </w:rPr>
        <w:t>Table 16: Median time spent on biologics prior to the treatment holiday and the median duration of the treatment holiday (sub-analysis: patients who had treatment holidays)</w:t>
      </w:r>
      <w:r>
        <w:rPr>
          <w:noProof/>
          <w:webHidden/>
        </w:rPr>
        <w:tab/>
        <w:t>36</w:t>
      </w:r>
    </w:p>
    <w:p w:rsidR="001E159A" w:rsidRDefault="001E159A">
      <w:pPr>
        <w:pStyle w:val="TableofFigures"/>
        <w:tabs>
          <w:tab w:val="right" w:leader="dot" w:pos="9016"/>
        </w:tabs>
        <w:rPr>
          <w:rFonts w:eastAsiaTheme="minorEastAsia" w:cstheme="minorBidi"/>
          <w:noProof/>
          <w:sz w:val="22"/>
          <w:lang w:val="en-AU"/>
        </w:rPr>
      </w:pPr>
      <w:r w:rsidRPr="00E6177E">
        <w:rPr>
          <w:rFonts w:eastAsia="Times New Roman"/>
          <w:noProof/>
        </w:rPr>
        <w:t>Table 17: Number of patients who had a treatment holiday from biologics</w:t>
      </w:r>
      <w:r>
        <w:rPr>
          <w:noProof/>
          <w:webHidden/>
        </w:rPr>
        <w:tab/>
        <w:t>36</w:t>
      </w:r>
    </w:p>
    <w:p w:rsidR="001E159A" w:rsidRDefault="001E159A">
      <w:pPr>
        <w:pStyle w:val="TableofFigures"/>
        <w:tabs>
          <w:tab w:val="right" w:leader="dot" w:pos="9016"/>
        </w:tabs>
        <w:rPr>
          <w:rFonts w:eastAsiaTheme="minorEastAsia" w:cstheme="minorBidi"/>
          <w:noProof/>
          <w:sz w:val="22"/>
          <w:lang w:val="en-AU"/>
        </w:rPr>
      </w:pPr>
      <w:r w:rsidRPr="00E6177E">
        <w:rPr>
          <w:noProof/>
        </w:rPr>
        <w:t>Table 18: Number (%) of patients who had a treatment holiday by biologic</w:t>
      </w:r>
      <w:r>
        <w:rPr>
          <w:noProof/>
          <w:webHidden/>
        </w:rPr>
        <w:tab/>
        <w:t>37</w:t>
      </w:r>
    </w:p>
    <w:p w:rsidR="001E159A" w:rsidRDefault="001E159A">
      <w:pPr>
        <w:pStyle w:val="TableofFigures"/>
        <w:tabs>
          <w:tab w:val="right" w:leader="dot" w:pos="9016"/>
        </w:tabs>
        <w:rPr>
          <w:rFonts w:eastAsiaTheme="minorEastAsia" w:cstheme="minorBidi"/>
          <w:noProof/>
          <w:sz w:val="22"/>
          <w:lang w:val="en-AU"/>
        </w:rPr>
      </w:pPr>
      <w:r w:rsidRPr="00E6177E">
        <w:rPr>
          <w:noProof/>
        </w:rPr>
        <w:t>Table 19: Number (%) of patients who switched between biologics for severe CPP</w:t>
      </w:r>
      <w:r>
        <w:rPr>
          <w:noProof/>
          <w:webHidden/>
        </w:rPr>
        <w:tab/>
        <w:t>37</w:t>
      </w:r>
    </w:p>
    <w:p w:rsidR="001E159A" w:rsidRDefault="001E159A">
      <w:pPr>
        <w:pStyle w:val="TableofFigures"/>
        <w:tabs>
          <w:tab w:val="right" w:leader="dot" w:pos="9016"/>
        </w:tabs>
        <w:rPr>
          <w:rFonts w:eastAsiaTheme="minorEastAsia" w:cstheme="minorBidi"/>
          <w:noProof/>
          <w:sz w:val="22"/>
          <w:lang w:val="en-AU"/>
        </w:rPr>
      </w:pPr>
      <w:r w:rsidRPr="00E6177E">
        <w:rPr>
          <w:noProof/>
        </w:rPr>
        <w:t>Table 20: Number of patients who switched between biologics for severe CPP; n (%) patients who switched between biologics for severe CPP</w:t>
      </w:r>
      <w:r>
        <w:rPr>
          <w:noProof/>
          <w:webHidden/>
        </w:rPr>
        <w:tab/>
        <w:t>38</w:t>
      </w:r>
    </w:p>
    <w:p w:rsidR="001E159A" w:rsidRDefault="001E159A">
      <w:pPr>
        <w:pStyle w:val="TableofFigures"/>
        <w:tabs>
          <w:tab w:val="right" w:leader="dot" w:pos="9016"/>
        </w:tabs>
        <w:rPr>
          <w:rFonts w:eastAsiaTheme="minorEastAsia" w:cstheme="minorBidi"/>
          <w:noProof/>
          <w:sz w:val="22"/>
          <w:lang w:val="en-AU"/>
        </w:rPr>
      </w:pPr>
      <w:r w:rsidRPr="00E6177E">
        <w:rPr>
          <w:noProof/>
        </w:rPr>
        <w:t>Table 21: Most common biologic sequences for CPP</w:t>
      </w:r>
      <w:r>
        <w:rPr>
          <w:noProof/>
          <w:webHidden/>
        </w:rPr>
        <w:tab/>
        <w:t>40</w:t>
      </w:r>
    </w:p>
    <w:p w:rsidR="001E159A" w:rsidRDefault="001E159A">
      <w:pPr>
        <w:pStyle w:val="TableofFigures"/>
        <w:tabs>
          <w:tab w:val="right" w:leader="dot" w:pos="9016"/>
        </w:tabs>
        <w:rPr>
          <w:rFonts w:eastAsiaTheme="minorEastAsia" w:cstheme="minorBidi"/>
          <w:noProof/>
          <w:sz w:val="22"/>
          <w:lang w:val="en-AU"/>
        </w:rPr>
      </w:pPr>
      <w:r w:rsidRPr="00E6177E">
        <w:rPr>
          <w:noProof/>
        </w:rPr>
        <w:t>Table 22: Continuation of first biologics compared with trial PASI 75 outcomes</w:t>
      </w:r>
      <w:r>
        <w:rPr>
          <w:noProof/>
          <w:webHidden/>
        </w:rPr>
        <w:tab/>
        <w:t>42</w:t>
      </w:r>
    </w:p>
    <w:p w:rsidR="001E159A" w:rsidRDefault="001E159A">
      <w:pPr>
        <w:pStyle w:val="TableofFigures"/>
        <w:tabs>
          <w:tab w:val="right" w:leader="dot" w:pos="9016"/>
        </w:tabs>
        <w:rPr>
          <w:rFonts w:eastAsiaTheme="minorEastAsia" w:cstheme="minorBidi"/>
          <w:noProof/>
          <w:sz w:val="22"/>
          <w:lang w:val="en-AU"/>
        </w:rPr>
      </w:pPr>
      <w:r w:rsidRPr="00E6177E">
        <w:rPr>
          <w:noProof/>
        </w:rPr>
        <w:t>Table 23: Risk of bias of included studies</w:t>
      </w:r>
      <w:r>
        <w:rPr>
          <w:noProof/>
          <w:webHidden/>
        </w:rPr>
        <w:tab/>
        <w:t>51</w:t>
      </w:r>
    </w:p>
    <w:p w:rsidR="001E159A" w:rsidRDefault="001E159A">
      <w:pPr>
        <w:pStyle w:val="TableofFigures"/>
        <w:tabs>
          <w:tab w:val="right" w:leader="dot" w:pos="9016"/>
        </w:tabs>
        <w:rPr>
          <w:rFonts w:eastAsiaTheme="minorEastAsia" w:cstheme="minorBidi"/>
          <w:noProof/>
          <w:sz w:val="22"/>
          <w:lang w:val="en-AU"/>
        </w:rPr>
      </w:pPr>
      <w:r w:rsidRPr="00E6177E">
        <w:rPr>
          <w:noProof/>
        </w:rPr>
        <w:t>Table 24: Study characteristics</w:t>
      </w:r>
      <w:r>
        <w:rPr>
          <w:noProof/>
          <w:webHidden/>
        </w:rPr>
        <w:tab/>
        <w:t>54</w:t>
      </w:r>
    </w:p>
    <w:p w:rsidR="001E159A" w:rsidRDefault="001E159A">
      <w:pPr>
        <w:pStyle w:val="TableofFigures"/>
        <w:tabs>
          <w:tab w:val="right" w:leader="dot" w:pos="9016"/>
        </w:tabs>
        <w:rPr>
          <w:rFonts w:eastAsiaTheme="minorEastAsia" w:cstheme="minorBidi"/>
          <w:noProof/>
          <w:sz w:val="22"/>
          <w:lang w:val="en-AU"/>
        </w:rPr>
      </w:pPr>
      <w:r w:rsidRPr="00E6177E">
        <w:rPr>
          <w:noProof/>
        </w:rPr>
        <w:t>Table 25: Prevalence of psoriatic arthritis (additional studies)</w:t>
      </w:r>
      <w:r>
        <w:rPr>
          <w:noProof/>
          <w:webHidden/>
        </w:rPr>
        <w:tab/>
        <w:t>58</w:t>
      </w:r>
    </w:p>
    <w:p w:rsidR="007552D4" w:rsidRDefault="007552D4" w:rsidP="00675ED6">
      <w:pPr>
        <w:rPr>
          <w:b/>
          <w:lang w:val="en-AU"/>
        </w:rPr>
      </w:pPr>
      <w:r>
        <w:rPr>
          <w:lang w:val="en-AU"/>
        </w:rPr>
        <w:br w:type="page"/>
      </w:r>
    </w:p>
    <w:p w:rsidR="000F704D" w:rsidRDefault="000F704D" w:rsidP="00021660">
      <w:pPr>
        <w:pStyle w:val="Heading1"/>
        <w:rPr>
          <w:bCs w:val="0"/>
          <w:lang w:val="en-AU"/>
        </w:rPr>
      </w:pPr>
      <w:bookmarkStart w:id="17" w:name="_Toc501632359"/>
      <w:r>
        <w:rPr>
          <w:bCs w:val="0"/>
          <w:lang w:val="en-AU"/>
        </w:rPr>
        <w:t>List of Figures</w:t>
      </w:r>
      <w:bookmarkEnd w:id="17"/>
    </w:p>
    <w:p w:rsidR="001E159A" w:rsidRDefault="001E159A">
      <w:pPr>
        <w:pStyle w:val="TableofFigures"/>
        <w:tabs>
          <w:tab w:val="right" w:leader="dot" w:pos="9016"/>
        </w:tabs>
        <w:rPr>
          <w:rFonts w:eastAsiaTheme="minorEastAsia" w:cstheme="minorBidi"/>
          <w:noProof/>
          <w:sz w:val="22"/>
          <w:lang w:val="en-AU"/>
        </w:rPr>
      </w:pPr>
      <w:r w:rsidRPr="00E6177E">
        <w:rPr>
          <w:noProof/>
        </w:rPr>
        <w:t>Figure 1: Cumulative incidence of psoriatic arthritis</w:t>
      </w:r>
      <w:r>
        <w:rPr>
          <w:noProof/>
          <w:webHidden/>
        </w:rPr>
        <w:tab/>
        <w:t>22</w:t>
      </w:r>
    </w:p>
    <w:p w:rsidR="001E159A" w:rsidRDefault="001E159A">
      <w:pPr>
        <w:pStyle w:val="TableofFigures"/>
        <w:tabs>
          <w:tab w:val="right" w:leader="dot" w:pos="9016"/>
        </w:tabs>
        <w:rPr>
          <w:rFonts w:eastAsiaTheme="minorEastAsia" w:cstheme="minorBidi"/>
          <w:noProof/>
          <w:sz w:val="22"/>
          <w:lang w:val="en-AU"/>
        </w:rPr>
      </w:pPr>
      <w:r w:rsidRPr="00E6177E">
        <w:rPr>
          <w:noProof/>
        </w:rPr>
        <w:t>Figure 2: Patient cohort flow diagram</w:t>
      </w:r>
      <w:r>
        <w:rPr>
          <w:noProof/>
          <w:webHidden/>
        </w:rPr>
        <w:tab/>
        <w:t>24</w:t>
      </w:r>
    </w:p>
    <w:p w:rsidR="001E159A" w:rsidRDefault="001E159A">
      <w:pPr>
        <w:pStyle w:val="TableofFigures"/>
        <w:tabs>
          <w:tab w:val="right" w:leader="dot" w:pos="9016"/>
        </w:tabs>
        <w:rPr>
          <w:rFonts w:eastAsiaTheme="minorEastAsia" w:cstheme="minorBidi"/>
          <w:noProof/>
          <w:sz w:val="22"/>
          <w:lang w:val="en-AU"/>
        </w:rPr>
      </w:pPr>
      <w:r w:rsidRPr="00E6177E">
        <w:rPr>
          <w:noProof/>
        </w:rPr>
        <w:t>Figure 3: New and prevalent patients receiving biologics for severe CPP 2013-2016</w:t>
      </w:r>
      <w:r>
        <w:rPr>
          <w:noProof/>
          <w:webHidden/>
        </w:rPr>
        <w:tab/>
        <w:t>26</w:t>
      </w:r>
    </w:p>
    <w:p w:rsidR="001E159A" w:rsidRDefault="001E159A">
      <w:pPr>
        <w:pStyle w:val="TableofFigures"/>
        <w:tabs>
          <w:tab w:val="right" w:leader="dot" w:pos="9016"/>
        </w:tabs>
        <w:rPr>
          <w:rFonts w:eastAsiaTheme="minorEastAsia" w:cstheme="minorBidi"/>
          <w:noProof/>
          <w:sz w:val="22"/>
          <w:lang w:val="en-AU"/>
        </w:rPr>
      </w:pPr>
      <w:r w:rsidRPr="00E6177E">
        <w:rPr>
          <w:noProof/>
        </w:rPr>
        <w:t>Figure 4: Patients receiving biologics for severe CPP by drug</w:t>
      </w:r>
      <w:r>
        <w:rPr>
          <w:noProof/>
          <w:webHidden/>
        </w:rPr>
        <w:tab/>
        <w:t>27</w:t>
      </w:r>
    </w:p>
    <w:p w:rsidR="001E159A" w:rsidRDefault="001E159A">
      <w:pPr>
        <w:pStyle w:val="TableofFigures"/>
        <w:tabs>
          <w:tab w:val="right" w:leader="dot" w:pos="9016"/>
        </w:tabs>
        <w:rPr>
          <w:rFonts w:eastAsiaTheme="minorEastAsia" w:cstheme="minorBidi"/>
          <w:noProof/>
          <w:sz w:val="22"/>
          <w:lang w:val="en-AU"/>
        </w:rPr>
      </w:pPr>
      <w:r w:rsidRPr="00E6177E">
        <w:rPr>
          <w:noProof/>
        </w:rPr>
        <w:t>Figure 5: Biologic prescriptions for severe CPP, 2013-2016</w:t>
      </w:r>
      <w:r>
        <w:rPr>
          <w:noProof/>
          <w:webHidden/>
        </w:rPr>
        <w:tab/>
        <w:t>28</w:t>
      </w:r>
    </w:p>
    <w:p w:rsidR="001E159A" w:rsidRDefault="001E159A">
      <w:pPr>
        <w:pStyle w:val="TableofFigures"/>
        <w:tabs>
          <w:tab w:val="right" w:leader="dot" w:pos="9016"/>
        </w:tabs>
        <w:rPr>
          <w:rFonts w:eastAsiaTheme="minorEastAsia" w:cstheme="minorBidi"/>
          <w:noProof/>
          <w:sz w:val="22"/>
          <w:lang w:val="en-AU"/>
        </w:rPr>
      </w:pPr>
      <w:r w:rsidRPr="00E6177E">
        <w:rPr>
          <w:noProof/>
        </w:rPr>
        <w:t>Figure 6: Utilisation by latitude for capital cities (age-adjusted)</w:t>
      </w:r>
      <w:r>
        <w:rPr>
          <w:noProof/>
          <w:webHidden/>
        </w:rPr>
        <w:tab/>
        <w:t>29</w:t>
      </w:r>
    </w:p>
    <w:p w:rsidR="001E159A" w:rsidRDefault="001E159A">
      <w:pPr>
        <w:pStyle w:val="TableofFigures"/>
        <w:tabs>
          <w:tab w:val="right" w:leader="dot" w:pos="9016"/>
        </w:tabs>
        <w:rPr>
          <w:rFonts w:eastAsiaTheme="minorEastAsia" w:cstheme="minorBidi"/>
          <w:noProof/>
          <w:sz w:val="22"/>
          <w:lang w:val="en-AU"/>
        </w:rPr>
      </w:pPr>
      <w:r w:rsidRPr="00E6177E">
        <w:rPr>
          <w:noProof/>
        </w:rPr>
        <w:t>Figure 7: Utilisation by major latitude for major centres (age-adjusted)</w:t>
      </w:r>
      <w:r>
        <w:rPr>
          <w:noProof/>
          <w:webHidden/>
        </w:rPr>
        <w:tab/>
        <w:t>29</w:t>
      </w:r>
    </w:p>
    <w:p w:rsidR="001E159A" w:rsidRDefault="001E159A">
      <w:pPr>
        <w:pStyle w:val="TableofFigures"/>
        <w:tabs>
          <w:tab w:val="right" w:leader="dot" w:pos="9016"/>
        </w:tabs>
        <w:rPr>
          <w:rFonts w:eastAsiaTheme="minorEastAsia" w:cstheme="minorBidi"/>
          <w:noProof/>
          <w:sz w:val="22"/>
          <w:lang w:val="en-AU"/>
        </w:rPr>
      </w:pPr>
      <w:r w:rsidRPr="00E6177E">
        <w:rPr>
          <w:noProof/>
        </w:rPr>
        <w:t>Figure 8: Market share of biologics by year (stacked)</w:t>
      </w:r>
      <w:r>
        <w:rPr>
          <w:noProof/>
          <w:webHidden/>
        </w:rPr>
        <w:tab/>
        <w:t>31</w:t>
      </w:r>
    </w:p>
    <w:p w:rsidR="001E159A" w:rsidRDefault="001E159A">
      <w:pPr>
        <w:pStyle w:val="TableofFigures"/>
        <w:tabs>
          <w:tab w:val="right" w:leader="dot" w:pos="9016"/>
        </w:tabs>
        <w:rPr>
          <w:rFonts w:eastAsiaTheme="minorEastAsia" w:cstheme="minorBidi"/>
          <w:noProof/>
          <w:sz w:val="22"/>
          <w:lang w:val="en-AU"/>
        </w:rPr>
      </w:pPr>
      <w:r w:rsidRPr="00E6177E">
        <w:rPr>
          <w:noProof/>
        </w:rPr>
        <w:t>Figure 9: Persistence with first biologic for severe CPP</w:t>
      </w:r>
      <w:r>
        <w:rPr>
          <w:noProof/>
          <w:webHidden/>
        </w:rPr>
        <w:tab/>
        <w:t>32</w:t>
      </w:r>
    </w:p>
    <w:p w:rsidR="001E159A" w:rsidRDefault="001E159A">
      <w:pPr>
        <w:pStyle w:val="TableofFigures"/>
        <w:tabs>
          <w:tab w:val="right" w:leader="dot" w:pos="9016"/>
        </w:tabs>
        <w:rPr>
          <w:rFonts w:eastAsiaTheme="minorEastAsia" w:cstheme="minorBidi"/>
          <w:noProof/>
          <w:sz w:val="22"/>
          <w:lang w:val="en-AU"/>
        </w:rPr>
      </w:pPr>
      <w:r w:rsidRPr="00E6177E">
        <w:rPr>
          <w:noProof/>
        </w:rPr>
        <w:t>Figure 10: Persistence with first biologic for severe CPP by biologic</w:t>
      </w:r>
      <w:r>
        <w:rPr>
          <w:noProof/>
          <w:webHidden/>
        </w:rPr>
        <w:tab/>
        <w:t>33</w:t>
      </w:r>
    </w:p>
    <w:p w:rsidR="001E159A" w:rsidRDefault="001E159A">
      <w:pPr>
        <w:pStyle w:val="TableofFigures"/>
        <w:tabs>
          <w:tab w:val="right" w:leader="dot" w:pos="9016"/>
        </w:tabs>
        <w:rPr>
          <w:rFonts w:eastAsiaTheme="minorEastAsia" w:cstheme="minorBidi"/>
          <w:noProof/>
          <w:sz w:val="22"/>
          <w:lang w:val="en-AU"/>
        </w:rPr>
      </w:pPr>
      <w:r w:rsidRPr="00E6177E">
        <w:rPr>
          <w:noProof/>
        </w:rPr>
        <w:t>Figure 11: Persistence with etanercept as a first biologic (adults vs. children)</w:t>
      </w:r>
      <w:r>
        <w:rPr>
          <w:noProof/>
          <w:webHidden/>
        </w:rPr>
        <w:tab/>
        <w:t>34</w:t>
      </w:r>
    </w:p>
    <w:p w:rsidR="001E159A" w:rsidRDefault="001E159A">
      <w:pPr>
        <w:pStyle w:val="TableofFigures"/>
        <w:tabs>
          <w:tab w:val="right" w:leader="dot" w:pos="9016"/>
        </w:tabs>
        <w:rPr>
          <w:rFonts w:eastAsiaTheme="minorEastAsia" w:cstheme="minorBidi"/>
          <w:noProof/>
          <w:sz w:val="22"/>
          <w:lang w:val="en-AU"/>
        </w:rPr>
      </w:pPr>
      <w:r w:rsidRPr="00E6177E">
        <w:rPr>
          <w:noProof/>
        </w:rPr>
        <w:t>Figure 12: Length of time spent on treatment with first biologic prior to switching to a different biologic</w:t>
      </w:r>
      <w:r>
        <w:rPr>
          <w:noProof/>
          <w:webHidden/>
        </w:rPr>
        <w:tab/>
        <w:t>38</w:t>
      </w:r>
    </w:p>
    <w:p w:rsidR="001E159A" w:rsidRDefault="001E159A">
      <w:pPr>
        <w:pStyle w:val="TableofFigures"/>
        <w:tabs>
          <w:tab w:val="right" w:leader="dot" w:pos="9016"/>
        </w:tabs>
        <w:rPr>
          <w:rFonts w:eastAsiaTheme="minorEastAsia" w:cstheme="minorBidi"/>
          <w:noProof/>
          <w:sz w:val="22"/>
          <w:lang w:val="en-AU"/>
        </w:rPr>
      </w:pPr>
      <w:r w:rsidRPr="00E6177E">
        <w:rPr>
          <w:noProof/>
        </w:rPr>
        <w:t>F</w:t>
      </w:r>
      <w:r w:rsidRPr="00E6177E">
        <w:rPr>
          <w:rFonts w:ascii="Calibri" w:hAnsi="Calibri" w:cs="Times New Roman"/>
          <w:noProof/>
        </w:rPr>
        <w:t>igure 13</w:t>
      </w:r>
      <w:r w:rsidRPr="00E6177E">
        <w:rPr>
          <w:noProof/>
        </w:rPr>
        <w:t>: Length of time spent on treatment with first biologic prior to switching</w:t>
      </w:r>
      <w:r>
        <w:rPr>
          <w:noProof/>
          <w:webHidden/>
        </w:rPr>
        <w:tab/>
        <w:t>39</w:t>
      </w:r>
    </w:p>
    <w:p w:rsidR="001E159A" w:rsidRDefault="001E159A">
      <w:pPr>
        <w:pStyle w:val="TableofFigures"/>
        <w:tabs>
          <w:tab w:val="right" w:leader="dot" w:pos="9016"/>
        </w:tabs>
        <w:rPr>
          <w:rFonts w:eastAsiaTheme="minorEastAsia" w:cstheme="minorBidi"/>
          <w:noProof/>
          <w:sz w:val="22"/>
          <w:lang w:val="en-AU"/>
        </w:rPr>
      </w:pPr>
      <w:r w:rsidRPr="00E6177E">
        <w:rPr>
          <w:noProof/>
        </w:rPr>
        <w:t>Figure 14: Persistence with first biologic for severe CPP</w:t>
      </w:r>
      <w:r>
        <w:rPr>
          <w:noProof/>
          <w:webHidden/>
        </w:rPr>
        <w:tab/>
        <w:t>59</w:t>
      </w:r>
    </w:p>
    <w:p w:rsidR="001E159A" w:rsidRDefault="001E159A">
      <w:pPr>
        <w:pStyle w:val="TableofFigures"/>
        <w:tabs>
          <w:tab w:val="right" w:leader="dot" w:pos="9016"/>
        </w:tabs>
        <w:rPr>
          <w:rFonts w:eastAsiaTheme="minorEastAsia" w:cstheme="minorBidi"/>
          <w:noProof/>
          <w:sz w:val="22"/>
          <w:lang w:val="en-AU"/>
        </w:rPr>
      </w:pPr>
      <w:r w:rsidRPr="00E6177E">
        <w:rPr>
          <w:noProof/>
        </w:rPr>
        <w:t>Figure 15: Persistence with first biologic for severe CPP</w:t>
      </w:r>
      <w:r>
        <w:rPr>
          <w:noProof/>
          <w:webHidden/>
        </w:rPr>
        <w:tab/>
        <w:t>60</w:t>
      </w:r>
    </w:p>
    <w:p w:rsidR="001E159A" w:rsidRDefault="001E159A">
      <w:pPr>
        <w:pStyle w:val="TableofFigures"/>
        <w:tabs>
          <w:tab w:val="right" w:leader="dot" w:pos="9016"/>
        </w:tabs>
        <w:rPr>
          <w:rFonts w:eastAsiaTheme="minorEastAsia" w:cstheme="minorBidi"/>
          <w:noProof/>
          <w:sz w:val="22"/>
          <w:lang w:val="en-AU"/>
        </w:rPr>
      </w:pPr>
      <w:r w:rsidRPr="00E6177E">
        <w:rPr>
          <w:noProof/>
        </w:rPr>
        <w:t>Figure 16: Overall persistence with biologics for severe CPP</w:t>
      </w:r>
      <w:r>
        <w:rPr>
          <w:noProof/>
          <w:webHidden/>
        </w:rPr>
        <w:tab/>
        <w:t>61</w:t>
      </w:r>
    </w:p>
    <w:p w:rsidR="001E159A" w:rsidRDefault="001E159A">
      <w:pPr>
        <w:pStyle w:val="TableofFigures"/>
        <w:tabs>
          <w:tab w:val="right" w:leader="dot" w:pos="9016"/>
        </w:tabs>
        <w:rPr>
          <w:rFonts w:eastAsiaTheme="minorEastAsia" w:cstheme="minorBidi"/>
          <w:noProof/>
          <w:sz w:val="22"/>
          <w:lang w:val="en-AU"/>
        </w:rPr>
      </w:pPr>
      <w:r w:rsidRPr="00E6177E">
        <w:rPr>
          <w:noProof/>
        </w:rPr>
        <w:t>Figure 17: Time spent on treatment with biologics prior to treatment holiday</w:t>
      </w:r>
      <w:r>
        <w:rPr>
          <w:noProof/>
          <w:webHidden/>
        </w:rPr>
        <w:tab/>
        <w:t>62</w:t>
      </w:r>
    </w:p>
    <w:p w:rsidR="001E159A" w:rsidRDefault="001E159A">
      <w:pPr>
        <w:pStyle w:val="TableofFigures"/>
        <w:tabs>
          <w:tab w:val="right" w:leader="dot" w:pos="9016"/>
        </w:tabs>
        <w:rPr>
          <w:rFonts w:eastAsiaTheme="minorEastAsia" w:cstheme="minorBidi"/>
          <w:noProof/>
          <w:sz w:val="22"/>
          <w:lang w:val="en-AU"/>
        </w:rPr>
      </w:pPr>
      <w:r w:rsidRPr="00E6177E">
        <w:rPr>
          <w:noProof/>
        </w:rPr>
        <w:t>Figure 18: Time spent on treatment with biologics prior to treatment holiday by biologic</w:t>
      </w:r>
      <w:r>
        <w:rPr>
          <w:noProof/>
          <w:webHidden/>
        </w:rPr>
        <w:tab/>
        <w:t>63</w:t>
      </w:r>
    </w:p>
    <w:p w:rsidR="001E159A" w:rsidRDefault="001E159A">
      <w:pPr>
        <w:pStyle w:val="TableofFigures"/>
        <w:tabs>
          <w:tab w:val="right" w:leader="dot" w:pos="9016"/>
        </w:tabs>
        <w:rPr>
          <w:rFonts w:eastAsiaTheme="minorEastAsia" w:cstheme="minorBidi"/>
          <w:noProof/>
          <w:sz w:val="22"/>
          <w:lang w:val="en-AU"/>
        </w:rPr>
      </w:pPr>
      <w:r w:rsidRPr="00E6177E">
        <w:rPr>
          <w:noProof/>
        </w:rPr>
        <w:t>Figure 19: Length of time spent on treatment with first biologic prior to switching to a different biologic</w:t>
      </w:r>
      <w:r>
        <w:rPr>
          <w:noProof/>
          <w:webHidden/>
        </w:rPr>
        <w:tab/>
        <w:t>64</w:t>
      </w:r>
    </w:p>
    <w:p w:rsidR="001E159A" w:rsidRDefault="001E159A">
      <w:pPr>
        <w:pStyle w:val="TableofFigures"/>
        <w:tabs>
          <w:tab w:val="right" w:leader="dot" w:pos="9016"/>
        </w:tabs>
        <w:rPr>
          <w:rFonts w:eastAsiaTheme="minorEastAsia" w:cstheme="minorBidi"/>
          <w:noProof/>
          <w:sz w:val="22"/>
          <w:lang w:val="en-AU"/>
        </w:rPr>
      </w:pPr>
      <w:r w:rsidRPr="00E6177E">
        <w:rPr>
          <w:noProof/>
        </w:rPr>
        <w:t>Figure 20: Length of time spent on treatment with first biologic prior to switching to a different biologic by biologic</w:t>
      </w:r>
      <w:r>
        <w:rPr>
          <w:noProof/>
          <w:webHidden/>
        </w:rPr>
        <w:tab/>
        <w:t>65</w:t>
      </w:r>
    </w:p>
    <w:p w:rsidR="000F704D" w:rsidRDefault="000F704D" w:rsidP="00675ED6">
      <w:pPr>
        <w:rPr>
          <w:lang w:val="en-AU"/>
        </w:rPr>
      </w:pPr>
    </w:p>
    <w:p w:rsidR="007552D4" w:rsidRDefault="007552D4">
      <w:pPr>
        <w:spacing w:line="276" w:lineRule="auto"/>
        <w:rPr>
          <w:rFonts w:eastAsiaTheme="majorEastAsia" w:cstheme="majorBidi"/>
          <w:b/>
          <w:color w:val="548DD4" w:themeColor="text2" w:themeTint="99"/>
          <w:sz w:val="40"/>
          <w:szCs w:val="40"/>
          <w:lang w:val="en-AU"/>
        </w:rPr>
      </w:pPr>
      <w:r>
        <w:rPr>
          <w:bCs/>
          <w:lang w:val="en-AU"/>
        </w:rPr>
        <w:br w:type="page"/>
      </w:r>
    </w:p>
    <w:p w:rsidR="00021660" w:rsidRPr="000F704D" w:rsidRDefault="00021660" w:rsidP="00021660">
      <w:pPr>
        <w:pStyle w:val="Heading1"/>
        <w:rPr>
          <w:lang w:val="en-AU"/>
        </w:rPr>
      </w:pPr>
      <w:bookmarkStart w:id="18" w:name="_Toc501632360"/>
      <w:r w:rsidRPr="000F704D">
        <w:rPr>
          <w:bCs w:val="0"/>
          <w:lang w:val="en-AU"/>
        </w:rPr>
        <w:t>Abbreviations</w:t>
      </w:r>
      <w:bookmarkEnd w:id="15"/>
      <w:bookmarkEnd w:id="16"/>
      <w:bookmarkEnd w:id="18"/>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6660"/>
      </w:tblGrid>
      <w:tr w:rsidR="00021660" w:rsidTr="00534237">
        <w:trPr>
          <w:trHeight w:val="411"/>
          <w:tblHeader/>
        </w:trPr>
        <w:tc>
          <w:tcPr>
            <w:tcW w:w="1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21660" w:rsidRPr="003E2D36" w:rsidRDefault="00021660" w:rsidP="00021660">
            <w:pPr>
              <w:pStyle w:val="TableTextDusc"/>
              <w:rPr>
                <w:b/>
              </w:rPr>
            </w:pPr>
            <w:r w:rsidRPr="003E2D36">
              <w:rPr>
                <w:b/>
              </w:rPr>
              <w:t>Abbreviation</w:t>
            </w:r>
          </w:p>
        </w:tc>
        <w:tc>
          <w:tcPr>
            <w:tcW w:w="66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21660" w:rsidRPr="003E2D36" w:rsidRDefault="00021660" w:rsidP="00021660">
            <w:pPr>
              <w:pStyle w:val="TableTextDusc"/>
              <w:rPr>
                <w:b/>
              </w:rPr>
            </w:pPr>
            <w:r w:rsidRPr="003E2D36">
              <w:rPr>
                <w:b/>
              </w:rPr>
              <w:t xml:space="preserve">Full Name / Wording </w:t>
            </w:r>
          </w:p>
        </w:tc>
      </w:tr>
      <w:tr w:rsidR="00AD2424" w:rsidRPr="00AD2424" w:rsidTr="00AD2424">
        <w:trPr>
          <w:trHeight w:val="17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AD2424" w:rsidRPr="00AD2424" w:rsidRDefault="00AD2424" w:rsidP="008355BB">
            <w:pPr>
              <w:pStyle w:val="TableTextDusc"/>
            </w:pPr>
            <w:r w:rsidRPr="00AD2424">
              <w:t xml:space="preserve">ABS </w:t>
            </w:r>
          </w:p>
        </w:tc>
        <w:tc>
          <w:tcPr>
            <w:tcW w:w="6660" w:type="dxa"/>
            <w:tcBorders>
              <w:top w:val="single" w:sz="4" w:space="0" w:color="auto"/>
              <w:left w:val="single" w:sz="4" w:space="0" w:color="auto"/>
              <w:bottom w:val="single" w:sz="4" w:space="0" w:color="auto"/>
              <w:right w:val="single" w:sz="4" w:space="0" w:color="auto"/>
            </w:tcBorders>
            <w:shd w:val="clear" w:color="auto" w:fill="auto"/>
            <w:vAlign w:val="bottom"/>
          </w:tcPr>
          <w:p w:rsidR="00AD2424" w:rsidRPr="00AD2424" w:rsidRDefault="00AD2424" w:rsidP="008355BB">
            <w:pPr>
              <w:pStyle w:val="TableTextDusc"/>
            </w:pPr>
            <w:r w:rsidRPr="00AD2424">
              <w:t xml:space="preserve">Australian Bureau of Statistics </w:t>
            </w:r>
          </w:p>
        </w:tc>
      </w:tr>
      <w:tr w:rsidR="002F3896" w:rsidRPr="00AD2424" w:rsidTr="00AD2424">
        <w:trPr>
          <w:trHeight w:val="17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2F3896" w:rsidRPr="00AD2424" w:rsidRDefault="002F3896" w:rsidP="008355BB">
            <w:pPr>
              <w:pStyle w:val="TableTextDusc"/>
            </w:pPr>
            <w:r>
              <w:t>ACT</w:t>
            </w:r>
          </w:p>
        </w:tc>
        <w:tc>
          <w:tcPr>
            <w:tcW w:w="6660" w:type="dxa"/>
            <w:tcBorders>
              <w:top w:val="single" w:sz="4" w:space="0" w:color="auto"/>
              <w:left w:val="single" w:sz="4" w:space="0" w:color="auto"/>
              <w:bottom w:val="single" w:sz="4" w:space="0" w:color="auto"/>
              <w:right w:val="single" w:sz="4" w:space="0" w:color="auto"/>
            </w:tcBorders>
            <w:shd w:val="clear" w:color="auto" w:fill="auto"/>
            <w:vAlign w:val="bottom"/>
          </w:tcPr>
          <w:p w:rsidR="002F3896" w:rsidRPr="00AD2424" w:rsidRDefault="002F3896" w:rsidP="008355BB">
            <w:pPr>
              <w:pStyle w:val="TableTextDusc"/>
            </w:pPr>
            <w:r>
              <w:t>Australian Capital Territory</w:t>
            </w:r>
          </w:p>
        </w:tc>
      </w:tr>
      <w:tr w:rsidR="00AD2424" w:rsidRPr="00AD2424" w:rsidTr="00AD2424">
        <w:trPr>
          <w:trHeight w:val="17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AD2424" w:rsidRPr="00AD2424" w:rsidRDefault="00AD2424" w:rsidP="00AD2424">
            <w:pPr>
              <w:pStyle w:val="TableTextDusc"/>
            </w:pPr>
            <w:r w:rsidRPr="00AD2424">
              <w:t xml:space="preserve">AS </w:t>
            </w:r>
          </w:p>
        </w:tc>
        <w:tc>
          <w:tcPr>
            <w:tcW w:w="6660" w:type="dxa"/>
            <w:tcBorders>
              <w:top w:val="single" w:sz="4" w:space="0" w:color="auto"/>
              <w:left w:val="single" w:sz="4" w:space="0" w:color="auto"/>
              <w:bottom w:val="single" w:sz="4" w:space="0" w:color="auto"/>
              <w:right w:val="single" w:sz="4" w:space="0" w:color="auto"/>
            </w:tcBorders>
            <w:shd w:val="clear" w:color="auto" w:fill="auto"/>
            <w:vAlign w:val="bottom"/>
          </w:tcPr>
          <w:p w:rsidR="00AD2424" w:rsidRPr="00AD2424" w:rsidRDefault="00DC3065" w:rsidP="00AD2424">
            <w:pPr>
              <w:pStyle w:val="TableTextDusc"/>
            </w:pPr>
            <w:r>
              <w:t>A</w:t>
            </w:r>
            <w:r w:rsidR="00AD2424" w:rsidRPr="00AD2424">
              <w:t>nkylosing spondylitis</w:t>
            </w:r>
          </w:p>
        </w:tc>
      </w:tr>
      <w:tr w:rsidR="00AD2424" w:rsidRPr="00AD2424" w:rsidTr="00AD2424">
        <w:trPr>
          <w:trHeight w:val="17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AD2424" w:rsidRPr="00AD2424" w:rsidRDefault="00AD2424" w:rsidP="00AD2424">
            <w:pPr>
              <w:pStyle w:val="TableTextDusc"/>
            </w:pPr>
            <w:r w:rsidRPr="00AD2424">
              <w:t xml:space="preserve">BSA </w:t>
            </w:r>
          </w:p>
        </w:tc>
        <w:tc>
          <w:tcPr>
            <w:tcW w:w="6660" w:type="dxa"/>
            <w:tcBorders>
              <w:top w:val="single" w:sz="4" w:space="0" w:color="auto"/>
              <w:left w:val="single" w:sz="4" w:space="0" w:color="auto"/>
              <w:bottom w:val="single" w:sz="4" w:space="0" w:color="auto"/>
              <w:right w:val="single" w:sz="4" w:space="0" w:color="auto"/>
            </w:tcBorders>
            <w:shd w:val="clear" w:color="auto" w:fill="auto"/>
            <w:vAlign w:val="bottom"/>
          </w:tcPr>
          <w:p w:rsidR="00AD2424" w:rsidRPr="00AD2424" w:rsidRDefault="00DC3065" w:rsidP="00AD2424">
            <w:pPr>
              <w:pStyle w:val="TableTextDusc"/>
            </w:pPr>
            <w:r>
              <w:t>B</w:t>
            </w:r>
            <w:r w:rsidR="00AD2424" w:rsidRPr="00AD2424">
              <w:t>ody surface area</w:t>
            </w:r>
          </w:p>
        </w:tc>
      </w:tr>
      <w:tr w:rsidR="00AD2424" w:rsidRPr="00AD2424" w:rsidTr="00AD2424">
        <w:trPr>
          <w:trHeight w:val="17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AD2424" w:rsidRPr="00AD2424" w:rsidRDefault="00AD2424" w:rsidP="00AD2424">
            <w:pPr>
              <w:pStyle w:val="TableTextDusc"/>
            </w:pPr>
            <w:r w:rsidRPr="00AD2424">
              <w:t xml:space="preserve">CASPAR </w:t>
            </w:r>
          </w:p>
        </w:tc>
        <w:tc>
          <w:tcPr>
            <w:tcW w:w="6660" w:type="dxa"/>
            <w:tcBorders>
              <w:top w:val="single" w:sz="4" w:space="0" w:color="auto"/>
              <w:left w:val="single" w:sz="4" w:space="0" w:color="auto"/>
              <w:bottom w:val="single" w:sz="4" w:space="0" w:color="auto"/>
              <w:right w:val="single" w:sz="4" w:space="0" w:color="auto"/>
            </w:tcBorders>
            <w:shd w:val="clear" w:color="auto" w:fill="auto"/>
            <w:vAlign w:val="bottom"/>
          </w:tcPr>
          <w:p w:rsidR="00AD2424" w:rsidRPr="00AD2424" w:rsidRDefault="00AD2424" w:rsidP="00AD2424">
            <w:pPr>
              <w:pStyle w:val="TableTextDusc"/>
            </w:pPr>
            <w:r w:rsidRPr="00AD2424">
              <w:t>The Classification Criteria for Psoriatic Arthritis</w:t>
            </w:r>
          </w:p>
        </w:tc>
      </w:tr>
      <w:tr w:rsidR="00DC3065" w:rsidRPr="00AD2424" w:rsidTr="00AD2424">
        <w:trPr>
          <w:trHeight w:val="17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DC3065" w:rsidRPr="00AD2424" w:rsidRDefault="00DC3065" w:rsidP="00AD2424">
            <w:pPr>
              <w:pStyle w:val="TableTextDusc"/>
            </w:pPr>
            <w:r>
              <w:t>CI</w:t>
            </w:r>
          </w:p>
        </w:tc>
        <w:tc>
          <w:tcPr>
            <w:tcW w:w="6660" w:type="dxa"/>
            <w:tcBorders>
              <w:top w:val="single" w:sz="4" w:space="0" w:color="auto"/>
              <w:left w:val="single" w:sz="4" w:space="0" w:color="auto"/>
              <w:bottom w:val="single" w:sz="4" w:space="0" w:color="auto"/>
              <w:right w:val="single" w:sz="4" w:space="0" w:color="auto"/>
            </w:tcBorders>
            <w:shd w:val="clear" w:color="auto" w:fill="auto"/>
            <w:vAlign w:val="bottom"/>
          </w:tcPr>
          <w:p w:rsidR="00DC3065" w:rsidRPr="00AD2424" w:rsidRDefault="00DC3065" w:rsidP="00AD2424">
            <w:pPr>
              <w:pStyle w:val="TableTextDusc"/>
            </w:pPr>
            <w:r>
              <w:t>Confidence interval</w:t>
            </w:r>
          </w:p>
        </w:tc>
      </w:tr>
      <w:tr w:rsidR="00AD2424" w:rsidRPr="00AD2424" w:rsidTr="00AD2424">
        <w:trPr>
          <w:trHeight w:val="17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AD2424" w:rsidRPr="00AD2424" w:rsidRDefault="00AD2424" w:rsidP="00AD2424">
            <w:pPr>
              <w:pStyle w:val="TableTextDusc"/>
            </w:pPr>
            <w:r w:rsidRPr="00AD2424">
              <w:t xml:space="preserve">CPP </w:t>
            </w:r>
          </w:p>
        </w:tc>
        <w:tc>
          <w:tcPr>
            <w:tcW w:w="6660" w:type="dxa"/>
            <w:tcBorders>
              <w:top w:val="single" w:sz="4" w:space="0" w:color="auto"/>
              <w:left w:val="single" w:sz="4" w:space="0" w:color="auto"/>
              <w:bottom w:val="single" w:sz="4" w:space="0" w:color="auto"/>
              <w:right w:val="single" w:sz="4" w:space="0" w:color="auto"/>
            </w:tcBorders>
            <w:shd w:val="clear" w:color="auto" w:fill="auto"/>
            <w:vAlign w:val="bottom"/>
          </w:tcPr>
          <w:p w:rsidR="00AD2424" w:rsidRPr="00AD2424" w:rsidRDefault="005C4326" w:rsidP="00AD2424">
            <w:pPr>
              <w:pStyle w:val="TableTextDusc"/>
            </w:pPr>
            <w:r>
              <w:t>C</w:t>
            </w:r>
            <w:r w:rsidR="00AD2424" w:rsidRPr="00AD2424">
              <w:t>hronic plaque psoriasis</w:t>
            </w:r>
          </w:p>
        </w:tc>
      </w:tr>
      <w:tr w:rsidR="00AD2424" w:rsidRPr="00AD2424" w:rsidTr="00AD2424">
        <w:trPr>
          <w:trHeight w:val="17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AD2424" w:rsidRPr="00AD2424" w:rsidRDefault="00AD2424" w:rsidP="00AD2424">
            <w:pPr>
              <w:pStyle w:val="TableTextDusc"/>
            </w:pPr>
            <w:r w:rsidRPr="00AD2424">
              <w:t xml:space="preserve">DHS </w:t>
            </w:r>
          </w:p>
        </w:tc>
        <w:tc>
          <w:tcPr>
            <w:tcW w:w="6660" w:type="dxa"/>
            <w:tcBorders>
              <w:top w:val="single" w:sz="4" w:space="0" w:color="auto"/>
              <w:left w:val="single" w:sz="4" w:space="0" w:color="auto"/>
              <w:bottom w:val="single" w:sz="4" w:space="0" w:color="auto"/>
              <w:right w:val="single" w:sz="4" w:space="0" w:color="auto"/>
            </w:tcBorders>
            <w:shd w:val="clear" w:color="auto" w:fill="auto"/>
            <w:vAlign w:val="bottom"/>
          </w:tcPr>
          <w:p w:rsidR="00AD2424" w:rsidRPr="00AD2424" w:rsidRDefault="00AD2424" w:rsidP="00AD2424">
            <w:pPr>
              <w:pStyle w:val="TableTextDusc"/>
            </w:pPr>
            <w:r w:rsidRPr="00AD2424">
              <w:t>Department of Human Services</w:t>
            </w:r>
          </w:p>
        </w:tc>
      </w:tr>
      <w:tr w:rsidR="00AD2424" w:rsidRPr="00AD2424" w:rsidTr="00AD2424">
        <w:trPr>
          <w:trHeight w:val="17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AD2424" w:rsidRPr="00AD2424" w:rsidRDefault="00AD2424" w:rsidP="00AD2424">
            <w:pPr>
              <w:pStyle w:val="TableTextDusc"/>
            </w:pPr>
            <w:r w:rsidRPr="00AD2424">
              <w:t xml:space="preserve">DLQI </w:t>
            </w:r>
          </w:p>
        </w:tc>
        <w:tc>
          <w:tcPr>
            <w:tcW w:w="6660" w:type="dxa"/>
            <w:tcBorders>
              <w:top w:val="single" w:sz="4" w:space="0" w:color="auto"/>
              <w:left w:val="single" w:sz="4" w:space="0" w:color="auto"/>
              <w:bottom w:val="single" w:sz="4" w:space="0" w:color="auto"/>
              <w:right w:val="single" w:sz="4" w:space="0" w:color="auto"/>
            </w:tcBorders>
            <w:shd w:val="clear" w:color="auto" w:fill="auto"/>
            <w:vAlign w:val="bottom"/>
          </w:tcPr>
          <w:p w:rsidR="00AD2424" w:rsidRPr="00AD2424" w:rsidRDefault="00AD2424" w:rsidP="00AD2424">
            <w:pPr>
              <w:pStyle w:val="TableTextDusc"/>
            </w:pPr>
            <w:r w:rsidRPr="00AD2424">
              <w:t>Dermatology Life Quality Index</w:t>
            </w:r>
          </w:p>
        </w:tc>
      </w:tr>
      <w:tr w:rsidR="00AD2424" w:rsidRPr="00AD2424" w:rsidTr="00AD2424">
        <w:trPr>
          <w:trHeight w:val="17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AD2424" w:rsidRPr="00AD2424" w:rsidRDefault="00AD2424" w:rsidP="00AD2424">
            <w:pPr>
              <w:pStyle w:val="TableTextDusc"/>
            </w:pPr>
            <w:r w:rsidRPr="00AD2424">
              <w:t xml:space="preserve">DoH </w:t>
            </w:r>
          </w:p>
        </w:tc>
        <w:tc>
          <w:tcPr>
            <w:tcW w:w="6660" w:type="dxa"/>
            <w:tcBorders>
              <w:top w:val="single" w:sz="4" w:space="0" w:color="auto"/>
              <w:left w:val="single" w:sz="4" w:space="0" w:color="auto"/>
              <w:bottom w:val="single" w:sz="4" w:space="0" w:color="auto"/>
              <w:right w:val="single" w:sz="4" w:space="0" w:color="auto"/>
            </w:tcBorders>
            <w:shd w:val="clear" w:color="auto" w:fill="auto"/>
            <w:vAlign w:val="bottom"/>
          </w:tcPr>
          <w:p w:rsidR="00AD2424" w:rsidRPr="00AD2424" w:rsidRDefault="00AD2424" w:rsidP="00AD2424">
            <w:pPr>
              <w:pStyle w:val="TableTextDusc"/>
            </w:pPr>
            <w:r w:rsidRPr="00AD2424">
              <w:t>Department of Health</w:t>
            </w:r>
          </w:p>
        </w:tc>
      </w:tr>
      <w:tr w:rsidR="00AD2424" w:rsidRPr="00AD2424" w:rsidTr="00AD2424">
        <w:trPr>
          <w:trHeight w:val="17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AD2424" w:rsidRPr="00AD2424" w:rsidRDefault="00AD2424" w:rsidP="00AD2424">
            <w:pPr>
              <w:pStyle w:val="TableTextDusc"/>
            </w:pPr>
            <w:r w:rsidRPr="00AD2424">
              <w:t xml:space="preserve">EU </w:t>
            </w:r>
          </w:p>
        </w:tc>
        <w:tc>
          <w:tcPr>
            <w:tcW w:w="6660" w:type="dxa"/>
            <w:tcBorders>
              <w:top w:val="single" w:sz="4" w:space="0" w:color="auto"/>
              <w:left w:val="single" w:sz="4" w:space="0" w:color="auto"/>
              <w:bottom w:val="single" w:sz="4" w:space="0" w:color="auto"/>
              <w:right w:val="single" w:sz="4" w:space="0" w:color="auto"/>
            </w:tcBorders>
            <w:shd w:val="clear" w:color="auto" w:fill="auto"/>
            <w:vAlign w:val="bottom"/>
          </w:tcPr>
          <w:p w:rsidR="00AD2424" w:rsidRPr="00AD2424" w:rsidRDefault="00AD2424" w:rsidP="00AD2424">
            <w:pPr>
              <w:pStyle w:val="TableTextDusc"/>
            </w:pPr>
            <w:r w:rsidRPr="00AD2424">
              <w:t>European Union</w:t>
            </w:r>
          </w:p>
        </w:tc>
      </w:tr>
      <w:tr w:rsidR="005D184E" w:rsidRPr="00AD2424" w:rsidTr="00AD2424">
        <w:trPr>
          <w:trHeight w:val="17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5D184E" w:rsidRPr="00AD2424" w:rsidRDefault="005D184E" w:rsidP="00AD2424">
            <w:pPr>
              <w:pStyle w:val="TableTextDusc"/>
            </w:pPr>
            <w:r>
              <w:t>Excl</w:t>
            </w:r>
          </w:p>
        </w:tc>
        <w:tc>
          <w:tcPr>
            <w:tcW w:w="6660" w:type="dxa"/>
            <w:tcBorders>
              <w:top w:val="single" w:sz="4" w:space="0" w:color="auto"/>
              <w:left w:val="single" w:sz="4" w:space="0" w:color="auto"/>
              <w:bottom w:val="single" w:sz="4" w:space="0" w:color="auto"/>
              <w:right w:val="single" w:sz="4" w:space="0" w:color="auto"/>
            </w:tcBorders>
            <w:shd w:val="clear" w:color="auto" w:fill="auto"/>
            <w:vAlign w:val="bottom"/>
          </w:tcPr>
          <w:p w:rsidR="005D184E" w:rsidRPr="00AD2424" w:rsidRDefault="005D184E" w:rsidP="00AD2424">
            <w:pPr>
              <w:pStyle w:val="TableTextDusc"/>
            </w:pPr>
            <w:r>
              <w:t>Excluding</w:t>
            </w:r>
          </w:p>
        </w:tc>
      </w:tr>
      <w:tr w:rsidR="00D530E3" w:rsidRPr="00AD2424" w:rsidTr="00AD2424">
        <w:trPr>
          <w:trHeight w:val="17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D530E3" w:rsidRPr="00AD2424" w:rsidRDefault="00D530E3" w:rsidP="00AD2424">
            <w:pPr>
              <w:pStyle w:val="TableTextDusc"/>
            </w:pPr>
            <w:r>
              <w:t>LP</w:t>
            </w:r>
          </w:p>
        </w:tc>
        <w:tc>
          <w:tcPr>
            <w:tcW w:w="6660" w:type="dxa"/>
            <w:tcBorders>
              <w:top w:val="single" w:sz="4" w:space="0" w:color="auto"/>
              <w:left w:val="single" w:sz="4" w:space="0" w:color="auto"/>
              <w:bottom w:val="single" w:sz="4" w:space="0" w:color="auto"/>
              <w:right w:val="single" w:sz="4" w:space="0" w:color="auto"/>
            </w:tcBorders>
            <w:shd w:val="clear" w:color="auto" w:fill="auto"/>
            <w:vAlign w:val="bottom"/>
          </w:tcPr>
          <w:p w:rsidR="00D530E3" w:rsidRPr="00AD2424" w:rsidRDefault="00D530E3" w:rsidP="00AD2424">
            <w:pPr>
              <w:pStyle w:val="TableTextDusc"/>
            </w:pPr>
            <w:r>
              <w:t>Lifetime prevalence</w:t>
            </w:r>
          </w:p>
        </w:tc>
      </w:tr>
      <w:tr w:rsidR="002F3896" w:rsidRPr="00AD2424" w:rsidTr="00AD2424">
        <w:trPr>
          <w:trHeight w:val="17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2F3896" w:rsidRPr="00AD2424" w:rsidRDefault="00D530E3" w:rsidP="00AD2424">
            <w:pPr>
              <w:pStyle w:val="TableTextDusc"/>
            </w:pPr>
            <w:r>
              <w:t>N/A</w:t>
            </w:r>
          </w:p>
        </w:tc>
        <w:tc>
          <w:tcPr>
            <w:tcW w:w="6660" w:type="dxa"/>
            <w:tcBorders>
              <w:top w:val="single" w:sz="4" w:space="0" w:color="auto"/>
              <w:left w:val="single" w:sz="4" w:space="0" w:color="auto"/>
              <w:bottom w:val="single" w:sz="4" w:space="0" w:color="auto"/>
              <w:right w:val="single" w:sz="4" w:space="0" w:color="auto"/>
            </w:tcBorders>
            <w:shd w:val="clear" w:color="auto" w:fill="auto"/>
            <w:vAlign w:val="bottom"/>
          </w:tcPr>
          <w:p w:rsidR="002F3896" w:rsidRPr="00AD2424" w:rsidRDefault="00D530E3" w:rsidP="00AD2424">
            <w:pPr>
              <w:pStyle w:val="TableTextDusc"/>
            </w:pPr>
            <w:r>
              <w:t>Not applicable</w:t>
            </w:r>
          </w:p>
        </w:tc>
      </w:tr>
      <w:tr w:rsidR="008355BB" w:rsidRPr="00AD2424" w:rsidTr="00AD2424">
        <w:trPr>
          <w:trHeight w:val="17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8355BB" w:rsidRPr="00AD2424" w:rsidRDefault="008355BB" w:rsidP="00AD2424">
            <w:pPr>
              <w:pStyle w:val="TableTextDusc"/>
            </w:pPr>
            <w:r w:rsidRPr="00AD2424">
              <w:t>NHS</w:t>
            </w:r>
          </w:p>
        </w:tc>
        <w:tc>
          <w:tcPr>
            <w:tcW w:w="6660" w:type="dxa"/>
            <w:tcBorders>
              <w:top w:val="single" w:sz="4" w:space="0" w:color="auto"/>
              <w:left w:val="single" w:sz="4" w:space="0" w:color="auto"/>
              <w:bottom w:val="single" w:sz="4" w:space="0" w:color="auto"/>
              <w:right w:val="single" w:sz="4" w:space="0" w:color="auto"/>
            </w:tcBorders>
            <w:shd w:val="clear" w:color="auto" w:fill="auto"/>
            <w:vAlign w:val="bottom"/>
          </w:tcPr>
          <w:p w:rsidR="008355BB" w:rsidRPr="00AD2424" w:rsidRDefault="008355BB" w:rsidP="00AD2424">
            <w:pPr>
              <w:pStyle w:val="TableTextDusc"/>
            </w:pPr>
            <w:r w:rsidRPr="00AD2424">
              <w:t>National Health Survey</w:t>
            </w:r>
          </w:p>
        </w:tc>
      </w:tr>
      <w:tr w:rsidR="00DC3065" w:rsidRPr="00AD2424" w:rsidTr="00AD2424">
        <w:trPr>
          <w:trHeight w:val="17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DC3065" w:rsidRPr="00AD2424" w:rsidRDefault="00DC3065" w:rsidP="00AD2424">
            <w:pPr>
              <w:pStyle w:val="TableTextDusc"/>
            </w:pPr>
            <w:r>
              <w:t>NR</w:t>
            </w:r>
          </w:p>
        </w:tc>
        <w:tc>
          <w:tcPr>
            <w:tcW w:w="6660" w:type="dxa"/>
            <w:tcBorders>
              <w:top w:val="single" w:sz="4" w:space="0" w:color="auto"/>
              <w:left w:val="single" w:sz="4" w:space="0" w:color="auto"/>
              <w:bottom w:val="single" w:sz="4" w:space="0" w:color="auto"/>
              <w:right w:val="single" w:sz="4" w:space="0" w:color="auto"/>
            </w:tcBorders>
            <w:shd w:val="clear" w:color="auto" w:fill="auto"/>
            <w:vAlign w:val="bottom"/>
          </w:tcPr>
          <w:p w:rsidR="00DC3065" w:rsidRPr="00AD2424" w:rsidRDefault="00DC3065" w:rsidP="00AD2424">
            <w:pPr>
              <w:pStyle w:val="TableTextDusc"/>
            </w:pPr>
            <w:r>
              <w:t>Not reported</w:t>
            </w:r>
          </w:p>
        </w:tc>
      </w:tr>
      <w:tr w:rsidR="00D530E3" w:rsidRPr="00AD2424" w:rsidTr="00AD2424">
        <w:trPr>
          <w:trHeight w:val="17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D530E3" w:rsidRDefault="00D530E3" w:rsidP="00D530E3">
            <w:pPr>
              <w:pStyle w:val="TableTextDusc"/>
            </w:pPr>
            <w:r>
              <w:t>NSW</w:t>
            </w:r>
          </w:p>
        </w:tc>
        <w:tc>
          <w:tcPr>
            <w:tcW w:w="6660" w:type="dxa"/>
            <w:tcBorders>
              <w:top w:val="single" w:sz="4" w:space="0" w:color="auto"/>
              <w:left w:val="single" w:sz="4" w:space="0" w:color="auto"/>
              <w:bottom w:val="single" w:sz="4" w:space="0" w:color="auto"/>
              <w:right w:val="single" w:sz="4" w:space="0" w:color="auto"/>
            </w:tcBorders>
            <w:shd w:val="clear" w:color="auto" w:fill="auto"/>
            <w:vAlign w:val="bottom"/>
          </w:tcPr>
          <w:p w:rsidR="00D530E3" w:rsidRDefault="00D530E3" w:rsidP="00D530E3">
            <w:pPr>
              <w:pStyle w:val="TableTextDusc"/>
            </w:pPr>
            <w:r>
              <w:t>New South Wales</w:t>
            </w:r>
          </w:p>
        </w:tc>
      </w:tr>
      <w:tr w:rsidR="00D530E3" w:rsidRPr="00AD2424" w:rsidTr="00AD2424">
        <w:trPr>
          <w:trHeight w:val="17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D530E3" w:rsidRDefault="00D530E3" w:rsidP="00D530E3">
            <w:pPr>
              <w:pStyle w:val="TableTextDusc"/>
            </w:pPr>
            <w:r>
              <w:t>NT</w:t>
            </w:r>
          </w:p>
        </w:tc>
        <w:tc>
          <w:tcPr>
            <w:tcW w:w="6660" w:type="dxa"/>
            <w:tcBorders>
              <w:top w:val="single" w:sz="4" w:space="0" w:color="auto"/>
              <w:left w:val="single" w:sz="4" w:space="0" w:color="auto"/>
              <w:bottom w:val="single" w:sz="4" w:space="0" w:color="auto"/>
              <w:right w:val="single" w:sz="4" w:space="0" w:color="auto"/>
            </w:tcBorders>
            <w:shd w:val="clear" w:color="auto" w:fill="auto"/>
            <w:vAlign w:val="bottom"/>
          </w:tcPr>
          <w:p w:rsidR="00D530E3" w:rsidRDefault="00D530E3" w:rsidP="00D530E3">
            <w:pPr>
              <w:pStyle w:val="TableTextDusc"/>
            </w:pPr>
            <w:r>
              <w:t>Northern Territory</w:t>
            </w:r>
          </w:p>
        </w:tc>
      </w:tr>
      <w:tr w:rsidR="00D530E3" w:rsidRPr="00AD2424" w:rsidTr="00AD2424">
        <w:trPr>
          <w:trHeight w:val="17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D530E3" w:rsidRPr="00AD2424" w:rsidRDefault="00D530E3" w:rsidP="00D530E3">
            <w:pPr>
              <w:pStyle w:val="TableTextDusc"/>
            </w:pPr>
            <w:r w:rsidRPr="00AD2424">
              <w:t xml:space="preserve">PASI </w:t>
            </w:r>
          </w:p>
        </w:tc>
        <w:tc>
          <w:tcPr>
            <w:tcW w:w="6660" w:type="dxa"/>
            <w:tcBorders>
              <w:top w:val="single" w:sz="4" w:space="0" w:color="auto"/>
              <w:left w:val="single" w:sz="4" w:space="0" w:color="auto"/>
              <w:bottom w:val="single" w:sz="4" w:space="0" w:color="auto"/>
              <w:right w:val="single" w:sz="4" w:space="0" w:color="auto"/>
            </w:tcBorders>
            <w:shd w:val="clear" w:color="auto" w:fill="auto"/>
            <w:vAlign w:val="bottom"/>
          </w:tcPr>
          <w:p w:rsidR="00D530E3" w:rsidRPr="00AD2424" w:rsidRDefault="00D530E3" w:rsidP="00D530E3">
            <w:pPr>
              <w:pStyle w:val="TableTextDusc"/>
            </w:pPr>
            <w:r w:rsidRPr="00AD2424">
              <w:t>Psoriasis Area and Severity Index</w:t>
            </w:r>
          </w:p>
        </w:tc>
      </w:tr>
      <w:tr w:rsidR="003540F6" w:rsidRPr="00AD2424" w:rsidTr="00AD2424">
        <w:trPr>
          <w:trHeight w:val="17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3540F6" w:rsidRPr="00AD2424" w:rsidRDefault="003540F6" w:rsidP="00D530E3">
            <w:pPr>
              <w:pStyle w:val="TableTextDusc"/>
            </w:pPr>
            <w:r>
              <w:t>PASI 75</w:t>
            </w:r>
          </w:p>
        </w:tc>
        <w:tc>
          <w:tcPr>
            <w:tcW w:w="6660" w:type="dxa"/>
            <w:tcBorders>
              <w:top w:val="single" w:sz="4" w:space="0" w:color="auto"/>
              <w:left w:val="single" w:sz="4" w:space="0" w:color="auto"/>
              <w:bottom w:val="single" w:sz="4" w:space="0" w:color="auto"/>
              <w:right w:val="single" w:sz="4" w:space="0" w:color="auto"/>
            </w:tcBorders>
            <w:shd w:val="clear" w:color="auto" w:fill="auto"/>
            <w:vAlign w:val="bottom"/>
          </w:tcPr>
          <w:p w:rsidR="003540F6" w:rsidRPr="00AD2424" w:rsidRDefault="003540F6" w:rsidP="00D530E3">
            <w:pPr>
              <w:pStyle w:val="TableTextDusc"/>
            </w:pPr>
            <w:r>
              <w:t xml:space="preserve">75% reduction in the </w:t>
            </w:r>
            <w:r w:rsidRPr="003540F6">
              <w:t>Psoriasis Area and Severity Index</w:t>
            </w:r>
          </w:p>
        </w:tc>
      </w:tr>
      <w:tr w:rsidR="00D530E3" w:rsidRPr="00AD2424" w:rsidTr="00AD2424">
        <w:trPr>
          <w:trHeight w:val="17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D530E3" w:rsidRPr="00AD2424" w:rsidRDefault="00D530E3" w:rsidP="00D530E3">
            <w:pPr>
              <w:pStyle w:val="TableTextDusc"/>
            </w:pPr>
            <w:r w:rsidRPr="00AD2424">
              <w:t xml:space="preserve">PBAC </w:t>
            </w:r>
          </w:p>
        </w:tc>
        <w:tc>
          <w:tcPr>
            <w:tcW w:w="6660" w:type="dxa"/>
            <w:tcBorders>
              <w:top w:val="single" w:sz="4" w:space="0" w:color="auto"/>
              <w:left w:val="single" w:sz="4" w:space="0" w:color="auto"/>
              <w:bottom w:val="single" w:sz="4" w:space="0" w:color="auto"/>
              <w:right w:val="single" w:sz="4" w:space="0" w:color="auto"/>
            </w:tcBorders>
            <w:shd w:val="clear" w:color="auto" w:fill="auto"/>
            <w:vAlign w:val="bottom"/>
          </w:tcPr>
          <w:p w:rsidR="00D530E3" w:rsidRPr="00AD2424" w:rsidRDefault="00D530E3" w:rsidP="00D530E3">
            <w:pPr>
              <w:pStyle w:val="TableTextDusc"/>
            </w:pPr>
            <w:r w:rsidRPr="00AD2424">
              <w:t>Pharmaceutical Benefits Advisory Committee</w:t>
            </w:r>
          </w:p>
        </w:tc>
      </w:tr>
      <w:tr w:rsidR="00D530E3" w:rsidRPr="00AD2424" w:rsidTr="00AD2424">
        <w:trPr>
          <w:trHeight w:val="17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D530E3" w:rsidRPr="00AD2424" w:rsidRDefault="00D530E3" w:rsidP="00D530E3">
            <w:pPr>
              <w:pStyle w:val="TableTextDusc"/>
            </w:pPr>
            <w:r w:rsidRPr="00AD2424">
              <w:t>PBS</w:t>
            </w:r>
          </w:p>
        </w:tc>
        <w:tc>
          <w:tcPr>
            <w:tcW w:w="6660" w:type="dxa"/>
            <w:tcBorders>
              <w:top w:val="single" w:sz="4" w:space="0" w:color="auto"/>
              <w:left w:val="single" w:sz="4" w:space="0" w:color="auto"/>
              <w:bottom w:val="single" w:sz="4" w:space="0" w:color="auto"/>
              <w:right w:val="single" w:sz="4" w:space="0" w:color="auto"/>
            </w:tcBorders>
            <w:shd w:val="clear" w:color="auto" w:fill="auto"/>
            <w:vAlign w:val="bottom"/>
          </w:tcPr>
          <w:p w:rsidR="00D530E3" w:rsidRPr="00AD2424" w:rsidRDefault="00D530E3" w:rsidP="00D530E3">
            <w:pPr>
              <w:pStyle w:val="TableTextDusc"/>
            </w:pPr>
            <w:r w:rsidRPr="00AD2424">
              <w:t>Pharmaceuticals benefits scheme</w:t>
            </w:r>
          </w:p>
        </w:tc>
      </w:tr>
      <w:tr w:rsidR="00D530E3" w:rsidRPr="00AD2424" w:rsidTr="00AD2424">
        <w:trPr>
          <w:trHeight w:val="17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D530E3" w:rsidRPr="00AD2424" w:rsidRDefault="00D530E3" w:rsidP="00D530E3">
            <w:pPr>
              <w:pStyle w:val="TableTextDusc"/>
            </w:pPr>
            <w:r>
              <w:t>PP</w:t>
            </w:r>
          </w:p>
        </w:tc>
        <w:tc>
          <w:tcPr>
            <w:tcW w:w="6660" w:type="dxa"/>
            <w:tcBorders>
              <w:top w:val="single" w:sz="4" w:space="0" w:color="auto"/>
              <w:left w:val="single" w:sz="4" w:space="0" w:color="auto"/>
              <w:bottom w:val="single" w:sz="4" w:space="0" w:color="auto"/>
              <w:right w:val="single" w:sz="4" w:space="0" w:color="auto"/>
            </w:tcBorders>
            <w:shd w:val="clear" w:color="auto" w:fill="auto"/>
            <w:vAlign w:val="bottom"/>
          </w:tcPr>
          <w:p w:rsidR="00D530E3" w:rsidRPr="00AD2424" w:rsidRDefault="00D530E3" w:rsidP="00D530E3">
            <w:pPr>
              <w:pStyle w:val="TableTextDusc"/>
            </w:pPr>
            <w:r>
              <w:t xml:space="preserve">Point prevalence </w:t>
            </w:r>
          </w:p>
        </w:tc>
      </w:tr>
      <w:tr w:rsidR="00D530E3" w:rsidRPr="00AD2424" w:rsidTr="00AD2424">
        <w:trPr>
          <w:trHeight w:val="17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D530E3" w:rsidRPr="00AD2424" w:rsidRDefault="00D530E3" w:rsidP="00D530E3">
            <w:pPr>
              <w:pStyle w:val="TableTextDusc"/>
            </w:pPr>
            <w:r w:rsidRPr="00AD2424">
              <w:t xml:space="preserve">PsA </w:t>
            </w:r>
          </w:p>
        </w:tc>
        <w:tc>
          <w:tcPr>
            <w:tcW w:w="6660" w:type="dxa"/>
            <w:tcBorders>
              <w:top w:val="single" w:sz="4" w:space="0" w:color="auto"/>
              <w:left w:val="single" w:sz="4" w:space="0" w:color="auto"/>
              <w:bottom w:val="single" w:sz="4" w:space="0" w:color="auto"/>
              <w:right w:val="single" w:sz="4" w:space="0" w:color="auto"/>
            </w:tcBorders>
            <w:shd w:val="clear" w:color="auto" w:fill="auto"/>
            <w:vAlign w:val="bottom"/>
          </w:tcPr>
          <w:p w:rsidR="00D530E3" w:rsidRPr="00AD2424" w:rsidRDefault="00D530E3" w:rsidP="00D530E3">
            <w:pPr>
              <w:pStyle w:val="TableTextDusc"/>
            </w:pPr>
            <w:r>
              <w:t>P</w:t>
            </w:r>
            <w:r w:rsidRPr="00AD2424">
              <w:t>soriatic arthritis</w:t>
            </w:r>
          </w:p>
        </w:tc>
      </w:tr>
      <w:tr w:rsidR="00D530E3" w:rsidRPr="00AD2424" w:rsidTr="00AD2424">
        <w:trPr>
          <w:trHeight w:val="17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D530E3" w:rsidRPr="00AD2424" w:rsidRDefault="00D530E3" w:rsidP="00D530E3">
            <w:pPr>
              <w:pStyle w:val="TableTextDusc"/>
            </w:pPr>
            <w:r>
              <w:t>PsO</w:t>
            </w:r>
          </w:p>
        </w:tc>
        <w:tc>
          <w:tcPr>
            <w:tcW w:w="6660" w:type="dxa"/>
            <w:tcBorders>
              <w:top w:val="single" w:sz="4" w:space="0" w:color="auto"/>
              <w:left w:val="single" w:sz="4" w:space="0" w:color="auto"/>
              <w:bottom w:val="single" w:sz="4" w:space="0" w:color="auto"/>
              <w:right w:val="single" w:sz="4" w:space="0" w:color="auto"/>
            </w:tcBorders>
            <w:shd w:val="clear" w:color="auto" w:fill="auto"/>
            <w:vAlign w:val="bottom"/>
          </w:tcPr>
          <w:p w:rsidR="00D530E3" w:rsidRDefault="00D530E3" w:rsidP="00D530E3">
            <w:pPr>
              <w:pStyle w:val="TableTextDusc"/>
            </w:pPr>
            <w:r>
              <w:t>Psoriasis</w:t>
            </w:r>
          </w:p>
        </w:tc>
      </w:tr>
      <w:tr w:rsidR="005D184E" w:rsidRPr="00AD2424" w:rsidTr="00AD2424">
        <w:trPr>
          <w:trHeight w:val="17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5D184E" w:rsidRDefault="005D184E" w:rsidP="00D530E3">
            <w:pPr>
              <w:pStyle w:val="TableTextDusc"/>
            </w:pPr>
            <w:r>
              <w:t>Q</w:t>
            </w:r>
          </w:p>
        </w:tc>
        <w:tc>
          <w:tcPr>
            <w:tcW w:w="6660" w:type="dxa"/>
            <w:tcBorders>
              <w:top w:val="single" w:sz="4" w:space="0" w:color="auto"/>
              <w:left w:val="single" w:sz="4" w:space="0" w:color="auto"/>
              <w:bottom w:val="single" w:sz="4" w:space="0" w:color="auto"/>
              <w:right w:val="single" w:sz="4" w:space="0" w:color="auto"/>
            </w:tcBorders>
            <w:shd w:val="clear" w:color="auto" w:fill="auto"/>
            <w:vAlign w:val="bottom"/>
          </w:tcPr>
          <w:p w:rsidR="005D184E" w:rsidRDefault="005D184E" w:rsidP="00D530E3">
            <w:pPr>
              <w:pStyle w:val="TableTextDusc"/>
            </w:pPr>
            <w:r>
              <w:t>Quarter</w:t>
            </w:r>
          </w:p>
        </w:tc>
      </w:tr>
      <w:tr w:rsidR="00D530E3" w:rsidRPr="00AD2424" w:rsidTr="00AD2424">
        <w:trPr>
          <w:trHeight w:val="17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D530E3" w:rsidRPr="00AD2424" w:rsidRDefault="00D530E3" w:rsidP="00D530E3">
            <w:pPr>
              <w:pStyle w:val="TableTextDusc"/>
            </w:pPr>
            <w:r>
              <w:t>QLD</w:t>
            </w:r>
          </w:p>
        </w:tc>
        <w:tc>
          <w:tcPr>
            <w:tcW w:w="6660" w:type="dxa"/>
            <w:tcBorders>
              <w:top w:val="single" w:sz="4" w:space="0" w:color="auto"/>
              <w:left w:val="single" w:sz="4" w:space="0" w:color="auto"/>
              <w:bottom w:val="single" w:sz="4" w:space="0" w:color="auto"/>
              <w:right w:val="single" w:sz="4" w:space="0" w:color="auto"/>
            </w:tcBorders>
            <w:shd w:val="clear" w:color="auto" w:fill="auto"/>
            <w:vAlign w:val="bottom"/>
          </w:tcPr>
          <w:p w:rsidR="00D530E3" w:rsidRDefault="00D530E3" w:rsidP="00D530E3">
            <w:pPr>
              <w:pStyle w:val="TableTextDusc"/>
            </w:pPr>
            <w:r>
              <w:t>Queensland</w:t>
            </w:r>
          </w:p>
        </w:tc>
      </w:tr>
      <w:tr w:rsidR="00D530E3" w:rsidRPr="00AD2424" w:rsidTr="00AD2424">
        <w:trPr>
          <w:trHeight w:val="17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D530E3" w:rsidRPr="00AD2424" w:rsidRDefault="00D530E3" w:rsidP="00D530E3">
            <w:pPr>
              <w:pStyle w:val="TableTextDusc"/>
            </w:pPr>
            <w:r w:rsidRPr="00AD2424">
              <w:t xml:space="preserve">RA </w:t>
            </w:r>
          </w:p>
        </w:tc>
        <w:tc>
          <w:tcPr>
            <w:tcW w:w="6660" w:type="dxa"/>
            <w:tcBorders>
              <w:top w:val="single" w:sz="4" w:space="0" w:color="auto"/>
              <w:left w:val="single" w:sz="4" w:space="0" w:color="auto"/>
              <w:bottom w:val="single" w:sz="4" w:space="0" w:color="auto"/>
              <w:right w:val="single" w:sz="4" w:space="0" w:color="auto"/>
            </w:tcBorders>
            <w:shd w:val="clear" w:color="auto" w:fill="auto"/>
            <w:vAlign w:val="bottom"/>
          </w:tcPr>
          <w:p w:rsidR="00D530E3" w:rsidRPr="00AD2424" w:rsidRDefault="00D530E3" w:rsidP="00D530E3">
            <w:pPr>
              <w:pStyle w:val="TableTextDusc"/>
            </w:pPr>
            <w:r>
              <w:t>R</w:t>
            </w:r>
            <w:r w:rsidRPr="00AD2424">
              <w:t>heumatoid arthritis</w:t>
            </w:r>
          </w:p>
        </w:tc>
      </w:tr>
      <w:tr w:rsidR="00D530E3" w:rsidRPr="00AD2424" w:rsidTr="00AD2424">
        <w:trPr>
          <w:trHeight w:val="17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D530E3" w:rsidRPr="00AD2424" w:rsidRDefault="00D530E3" w:rsidP="00D530E3">
            <w:pPr>
              <w:pStyle w:val="TableTextDusc"/>
            </w:pPr>
            <w:r>
              <w:t>SA</w:t>
            </w:r>
          </w:p>
        </w:tc>
        <w:tc>
          <w:tcPr>
            <w:tcW w:w="6660" w:type="dxa"/>
            <w:tcBorders>
              <w:top w:val="single" w:sz="4" w:space="0" w:color="auto"/>
              <w:left w:val="single" w:sz="4" w:space="0" w:color="auto"/>
              <w:bottom w:val="single" w:sz="4" w:space="0" w:color="auto"/>
              <w:right w:val="single" w:sz="4" w:space="0" w:color="auto"/>
            </w:tcBorders>
            <w:shd w:val="clear" w:color="auto" w:fill="auto"/>
            <w:vAlign w:val="bottom"/>
          </w:tcPr>
          <w:p w:rsidR="00D530E3" w:rsidRDefault="00D530E3" w:rsidP="00D530E3">
            <w:pPr>
              <w:pStyle w:val="TableTextDusc"/>
            </w:pPr>
            <w:r>
              <w:t>South Australia</w:t>
            </w:r>
          </w:p>
        </w:tc>
      </w:tr>
      <w:tr w:rsidR="00D530E3" w:rsidRPr="00AD2424" w:rsidTr="00AD2424">
        <w:trPr>
          <w:trHeight w:val="17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D530E3" w:rsidRPr="00AD2424" w:rsidRDefault="00D530E3" w:rsidP="00D530E3">
            <w:pPr>
              <w:pStyle w:val="TableTextDusc"/>
            </w:pPr>
            <w:r w:rsidRPr="00AD2424">
              <w:t xml:space="preserve">SCD </w:t>
            </w:r>
          </w:p>
        </w:tc>
        <w:tc>
          <w:tcPr>
            <w:tcW w:w="6660" w:type="dxa"/>
            <w:tcBorders>
              <w:top w:val="single" w:sz="4" w:space="0" w:color="auto"/>
              <w:left w:val="single" w:sz="4" w:space="0" w:color="auto"/>
              <w:bottom w:val="single" w:sz="4" w:space="0" w:color="auto"/>
              <w:right w:val="single" w:sz="4" w:space="0" w:color="auto"/>
            </w:tcBorders>
            <w:shd w:val="clear" w:color="auto" w:fill="auto"/>
            <w:vAlign w:val="bottom"/>
          </w:tcPr>
          <w:p w:rsidR="00D530E3" w:rsidRPr="00AD2424" w:rsidRDefault="00D530E3" w:rsidP="00D530E3">
            <w:pPr>
              <w:pStyle w:val="TableTextDusc"/>
            </w:pPr>
            <w:r>
              <w:t>S</w:t>
            </w:r>
            <w:r w:rsidRPr="00AD2424">
              <w:t>tandard coverage days</w:t>
            </w:r>
          </w:p>
        </w:tc>
      </w:tr>
      <w:tr w:rsidR="00D530E3" w:rsidRPr="00AD2424" w:rsidTr="00AD2424">
        <w:trPr>
          <w:trHeight w:val="17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D530E3" w:rsidRPr="00AD2424" w:rsidRDefault="00D530E3" w:rsidP="00D530E3">
            <w:pPr>
              <w:pStyle w:val="TableTextDusc"/>
            </w:pPr>
            <w:r>
              <w:t>TAS</w:t>
            </w:r>
          </w:p>
        </w:tc>
        <w:tc>
          <w:tcPr>
            <w:tcW w:w="6660" w:type="dxa"/>
            <w:tcBorders>
              <w:top w:val="single" w:sz="4" w:space="0" w:color="auto"/>
              <w:left w:val="single" w:sz="4" w:space="0" w:color="auto"/>
              <w:bottom w:val="single" w:sz="4" w:space="0" w:color="auto"/>
              <w:right w:val="single" w:sz="4" w:space="0" w:color="auto"/>
            </w:tcBorders>
            <w:shd w:val="clear" w:color="auto" w:fill="auto"/>
            <w:vAlign w:val="bottom"/>
          </w:tcPr>
          <w:p w:rsidR="00D530E3" w:rsidRDefault="00D530E3" w:rsidP="00D530E3">
            <w:pPr>
              <w:pStyle w:val="TableTextDusc"/>
            </w:pPr>
            <w:r>
              <w:t>Tasmania</w:t>
            </w:r>
          </w:p>
        </w:tc>
      </w:tr>
      <w:tr w:rsidR="00D530E3" w:rsidRPr="00AD2424" w:rsidTr="00AD2424">
        <w:trPr>
          <w:trHeight w:val="17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D530E3" w:rsidRPr="00AD2424" w:rsidRDefault="00D530E3" w:rsidP="00D530E3">
            <w:pPr>
              <w:pStyle w:val="TableTextDusc"/>
            </w:pPr>
            <w:r w:rsidRPr="00AD2424">
              <w:t xml:space="preserve">TOR </w:t>
            </w:r>
          </w:p>
        </w:tc>
        <w:tc>
          <w:tcPr>
            <w:tcW w:w="6660" w:type="dxa"/>
            <w:tcBorders>
              <w:top w:val="single" w:sz="4" w:space="0" w:color="auto"/>
              <w:left w:val="single" w:sz="4" w:space="0" w:color="auto"/>
              <w:bottom w:val="single" w:sz="4" w:space="0" w:color="auto"/>
              <w:right w:val="single" w:sz="4" w:space="0" w:color="auto"/>
            </w:tcBorders>
            <w:shd w:val="clear" w:color="auto" w:fill="auto"/>
            <w:vAlign w:val="bottom"/>
          </w:tcPr>
          <w:p w:rsidR="00D530E3" w:rsidRPr="00AD2424" w:rsidRDefault="00D530E3" w:rsidP="00D530E3">
            <w:pPr>
              <w:pStyle w:val="TableTextDusc"/>
            </w:pPr>
            <w:r>
              <w:t>T</w:t>
            </w:r>
            <w:r w:rsidRPr="00AD2424">
              <w:t>erm of reference</w:t>
            </w:r>
          </w:p>
        </w:tc>
      </w:tr>
      <w:tr w:rsidR="00D530E3" w:rsidRPr="00AD2424" w:rsidTr="00AD2424">
        <w:trPr>
          <w:trHeight w:val="17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D530E3" w:rsidRPr="00AD2424" w:rsidRDefault="00D530E3" w:rsidP="00D530E3">
            <w:pPr>
              <w:pStyle w:val="TableTextDusc"/>
            </w:pPr>
            <w:r w:rsidRPr="00AD2424">
              <w:t xml:space="preserve">UK </w:t>
            </w:r>
          </w:p>
        </w:tc>
        <w:tc>
          <w:tcPr>
            <w:tcW w:w="6660" w:type="dxa"/>
            <w:tcBorders>
              <w:top w:val="single" w:sz="4" w:space="0" w:color="auto"/>
              <w:left w:val="single" w:sz="4" w:space="0" w:color="auto"/>
              <w:bottom w:val="single" w:sz="4" w:space="0" w:color="auto"/>
              <w:right w:val="single" w:sz="4" w:space="0" w:color="auto"/>
            </w:tcBorders>
            <w:shd w:val="clear" w:color="auto" w:fill="auto"/>
            <w:vAlign w:val="bottom"/>
          </w:tcPr>
          <w:p w:rsidR="00D530E3" w:rsidRPr="00AD2424" w:rsidRDefault="00D530E3" w:rsidP="00D530E3">
            <w:pPr>
              <w:pStyle w:val="TableTextDusc"/>
            </w:pPr>
            <w:r w:rsidRPr="00AD2424">
              <w:t>United Kingdom</w:t>
            </w:r>
          </w:p>
        </w:tc>
      </w:tr>
      <w:tr w:rsidR="00D530E3" w:rsidRPr="00AD2424" w:rsidTr="00AD2424">
        <w:trPr>
          <w:trHeight w:val="17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D530E3" w:rsidRPr="00AD2424" w:rsidRDefault="00D530E3" w:rsidP="00D530E3">
            <w:pPr>
              <w:pStyle w:val="TableTextDusc"/>
            </w:pPr>
            <w:r w:rsidRPr="00AD2424">
              <w:t xml:space="preserve">USA </w:t>
            </w:r>
          </w:p>
        </w:tc>
        <w:tc>
          <w:tcPr>
            <w:tcW w:w="6660" w:type="dxa"/>
            <w:tcBorders>
              <w:top w:val="single" w:sz="4" w:space="0" w:color="auto"/>
              <w:left w:val="single" w:sz="4" w:space="0" w:color="auto"/>
              <w:bottom w:val="single" w:sz="4" w:space="0" w:color="auto"/>
              <w:right w:val="single" w:sz="4" w:space="0" w:color="auto"/>
            </w:tcBorders>
            <w:shd w:val="clear" w:color="auto" w:fill="auto"/>
            <w:vAlign w:val="bottom"/>
          </w:tcPr>
          <w:p w:rsidR="00D530E3" w:rsidRPr="00AD2424" w:rsidRDefault="00D530E3" w:rsidP="00D530E3">
            <w:pPr>
              <w:pStyle w:val="TableTextDusc"/>
            </w:pPr>
            <w:r w:rsidRPr="00AD2424">
              <w:t>United States of America</w:t>
            </w:r>
          </w:p>
        </w:tc>
      </w:tr>
      <w:tr w:rsidR="00D530E3" w:rsidRPr="00AD2424" w:rsidTr="00AD2424">
        <w:trPr>
          <w:trHeight w:val="17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D530E3" w:rsidRPr="00AD2424" w:rsidRDefault="00D530E3" w:rsidP="00D530E3">
            <w:pPr>
              <w:pStyle w:val="TableTextDusc"/>
            </w:pPr>
            <w:r>
              <w:t>WA</w:t>
            </w:r>
          </w:p>
        </w:tc>
        <w:tc>
          <w:tcPr>
            <w:tcW w:w="6660" w:type="dxa"/>
            <w:tcBorders>
              <w:top w:val="single" w:sz="4" w:space="0" w:color="auto"/>
              <w:left w:val="single" w:sz="4" w:space="0" w:color="auto"/>
              <w:bottom w:val="single" w:sz="4" w:space="0" w:color="auto"/>
              <w:right w:val="single" w:sz="4" w:space="0" w:color="auto"/>
            </w:tcBorders>
            <w:shd w:val="clear" w:color="auto" w:fill="auto"/>
            <w:vAlign w:val="bottom"/>
          </w:tcPr>
          <w:p w:rsidR="00D530E3" w:rsidRPr="00AD2424" w:rsidRDefault="00D530E3" w:rsidP="00D530E3">
            <w:pPr>
              <w:pStyle w:val="TableTextDusc"/>
            </w:pPr>
            <w:r>
              <w:t>Western Australia</w:t>
            </w:r>
          </w:p>
        </w:tc>
      </w:tr>
      <w:tr w:rsidR="00D530E3" w:rsidRPr="00AD2424" w:rsidTr="00AD2424">
        <w:trPr>
          <w:trHeight w:val="17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D530E3" w:rsidRPr="00AD2424" w:rsidRDefault="00D530E3" w:rsidP="00D530E3">
            <w:pPr>
              <w:pStyle w:val="TableTextDusc"/>
            </w:pPr>
            <w:r w:rsidRPr="00AD2424">
              <w:t>WHO</w:t>
            </w:r>
          </w:p>
        </w:tc>
        <w:tc>
          <w:tcPr>
            <w:tcW w:w="6660" w:type="dxa"/>
            <w:tcBorders>
              <w:top w:val="single" w:sz="4" w:space="0" w:color="auto"/>
              <w:left w:val="single" w:sz="4" w:space="0" w:color="auto"/>
              <w:bottom w:val="single" w:sz="4" w:space="0" w:color="auto"/>
              <w:right w:val="single" w:sz="4" w:space="0" w:color="auto"/>
            </w:tcBorders>
            <w:shd w:val="clear" w:color="auto" w:fill="auto"/>
            <w:vAlign w:val="bottom"/>
          </w:tcPr>
          <w:p w:rsidR="00D530E3" w:rsidRPr="00AD2424" w:rsidRDefault="00D530E3" w:rsidP="00D530E3">
            <w:pPr>
              <w:pStyle w:val="TableTextDusc"/>
            </w:pPr>
            <w:r w:rsidRPr="00AD2424">
              <w:t>World Health Organisation</w:t>
            </w:r>
          </w:p>
        </w:tc>
      </w:tr>
      <w:tr w:rsidR="00D530E3" w:rsidRPr="00AD2424" w:rsidTr="00AD2424">
        <w:trPr>
          <w:trHeight w:val="17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D530E3" w:rsidRPr="00AD2424" w:rsidRDefault="00D530E3" w:rsidP="00D530E3">
            <w:pPr>
              <w:pStyle w:val="TableTextDusc"/>
            </w:pPr>
            <w:r>
              <w:t>Yrs</w:t>
            </w:r>
          </w:p>
        </w:tc>
        <w:tc>
          <w:tcPr>
            <w:tcW w:w="6660" w:type="dxa"/>
            <w:tcBorders>
              <w:top w:val="single" w:sz="4" w:space="0" w:color="auto"/>
              <w:left w:val="single" w:sz="4" w:space="0" w:color="auto"/>
              <w:bottom w:val="single" w:sz="4" w:space="0" w:color="auto"/>
              <w:right w:val="single" w:sz="4" w:space="0" w:color="auto"/>
            </w:tcBorders>
            <w:shd w:val="clear" w:color="auto" w:fill="auto"/>
            <w:vAlign w:val="bottom"/>
          </w:tcPr>
          <w:p w:rsidR="00D530E3" w:rsidRPr="00AD2424" w:rsidRDefault="00D530E3" w:rsidP="00D530E3">
            <w:pPr>
              <w:pStyle w:val="TableTextDusc"/>
            </w:pPr>
            <w:r>
              <w:t>Years</w:t>
            </w:r>
          </w:p>
        </w:tc>
      </w:tr>
    </w:tbl>
    <w:p w:rsidR="00021660" w:rsidRDefault="00021660" w:rsidP="00021660">
      <w:pPr>
        <w:rPr>
          <w:lang w:val="en-AU"/>
        </w:rPr>
      </w:pPr>
    </w:p>
    <w:p w:rsidR="00071F2B" w:rsidRDefault="00236763" w:rsidP="001F6A8D">
      <w:pPr>
        <w:rPr>
          <w:rFonts w:eastAsia="Calibri"/>
        </w:rPr>
      </w:pPr>
      <w:r w:rsidRPr="004B11B2">
        <w:br w:type="page"/>
      </w:r>
      <w:bookmarkStart w:id="19" w:name="_Toc388453112"/>
    </w:p>
    <w:p w:rsidR="00071F2B" w:rsidRDefault="00071F2B" w:rsidP="00071F2B">
      <w:pPr>
        <w:pStyle w:val="BodyText"/>
        <w:rPr>
          <w:rFonts w:eastAsia="Calibri"/>
        </w:rPr>
        <w:sectPr w:rsidR="00071F2B" w:rsidSect="006356D2">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titlePg/>
          <w:docGrid w:linePitch="360"/>
        </w:sectPr>
      </w:pPr>
    </w:p>
    <w:p w:rsidR="00C05CFA" w:rsidRPr="00C05CFA" w:rsidRDefault="00071F2B" w:rsidP="004808A3">
      <w:pPr>
        <w:pStyle w:val="Heading1"/>
      </w:pPr>
      <w:bookmarkStart w:id="20" w:name="_Toc493156387"/>
      <w:bookmarkStart w:id="21" w:name="_Toc501632361"/>
      <w:r w:rsidRPr="005E626F">
        <w:t xml:space="preserve">Section 3: </w:t>
      </w:r>
      <w:r w:rsidR="000F704D">
        <w:t>Term of Reference (</w:t>
      </w:r>
      <w:r w:rsidR="00181480">
        <w:t>ToR</w:t>
      </w:r>
      <w:r w:rsidR="000F704D">
        <w:t>)</w:t>
      </w:r>
      <w:r w:rsidR="001F6A8D">
        <w:t xml:space="preserve"> </w:t>
      </w:r>
      <w:r w:rsidRPr="005E626F">
        <w:t>3</w:t>
      </w:r>
      <w:r w:rsidRPr="005E626F">
        <w:br/>
      </w:r>
      <w:r w:rsidR="00C05CFA">
        <w:t xml:space="preserve">Prevalence and </w:t>
      </w:r>
      <w:r w:rsidR="00C05CFA" w:rsidRPr="005E626F">
        <w:t xml:space="preserve">utilisation of PBS listed biologics for </w:t>
      </w:r>
      <w:r w:rsidR="00C05CFA">
        <w:t>chronic plaque psoriasis</w:t>
      </w:r>
      <w:r w:rsidR="00C05CFA" w:rsidRPr="005E626F" w:rsidDel="00C05CFA">
        <w:t xml:space="preserve"> </w:t>
      </w:r>
      <w:r w:rsidR="00C46508">
        <w:t>(CPP)</w:t>
      </w:r>
      <w:bookmarkEnd w:id="20"/>
      <w:bookmarkEnd w:id="21"/>
    </w:p>
    <w:p w:rsidR="00071F2B" w:rsidRDefault="00C46508" w:rsidP="005E626F">
      <w:pPr>
        <w:pStyle w:val="ToRText"/>
      </w:pPr>
      <w:r>
        <w:t xml:space="preserve">ToR 3: </w:t>
      </w:r>
      <w:r w:rsidR="00071F2B" w:rsidRPr="00030EEE">
        <w:t>Review the utilisation of PBS biologics for the treatment of CPP and compare the patient response in practice to those observed in the clinical trial evidence considered by the PBAC. Compare the efficacy in practice among the listed biologics in terms of time on treatment and discontinuations from treatment.</w:t>
      </w:r>
    </w:p>
    <w:p w:rsidR="00071F2B" w:rsidRDefault="00071F2B" w:rsidP="005E626F">
      <w:pPr>
        <w:pStyle w:val="MDSubheading"/>
      </w:pPr>
      <w:bookmarkStart w:id="22" w:name="_Toc493156388"/>
      <w:bookmarkStart w:id="23" w:name="_Toc501632362"/>
      <w:r>
        <w:t>3</w:t>
      </w:r>
      <w:r w:rsidRPr="00F73F7C">
        <w:t>.1</w:t>
      </w:r>
      <w:r w:rsidRPr="00F73F7C">
        <w:tab/>
        <w:t>Key findings for ToR 3</w:t>
      </w:r>
      <w:bookmarkEnd w:id="22"/>
      <w:bookmarkEnd w:id="23"/>
    </w:p>
    <w:p w:rsidR="00071F2B" w:rsidRPr="00030EEE" w:rsidRDefault="00071F2B" w:rsidP="00872CBB">
      <w:pPr>
        <w:pStyle w:val="MDsubHead3"/>
        <w:rPr>
          <w:rFonts w:eastAsiaTheme="minorEastAsia"/>
        </w:rPr>
      </w:pPr>
      <w:r w:rsidRPr="00030EEE">
        <w:rPr>
          <w:rFonts w:eastAsiaTheme="minorEastAsia"/>
        </w:rPr>
        <w:t xml:space="preserve">Estimating the prevalence of </w:t>
      </w:r>
      <w:r w:rsidR="00891E82">
        <w:rPr>
          <w:rFonts w:eastAsiaTheme="minorEastAsia"/>
        </w:rPr>
        <w:t>CPP</w:t>
      </w:r>
      <w:r w:rsidRPr="00030EEE">
        <w:rPr>
          <w:rFonts w:eastAsiaTheme="minorEastAsia"/>
        </w:rPr>
        <w:t xml:space="preserve"> </w:t>
      </w:r>
    </w:p>
    <w:p w:rsidR="000B1D6C" w:rsidRPr="000B1D6C" w:rsidRDefault="000B1D6C" w:rsidP="00872CBB">
      <w:pPr>
        <w:rPr>
          <w:rFonts w:eastAsiaTheme="minorEastAsia"/>
          <w:szCs w:val="24"/>
        </w:rPr>
      </w:pPr>
      <w:r>
        <w:rPr>
          <w:rFonts w:eastAsiaTheme="minorEastAsia"/>
          <w:szCs w:val="24"/>
        </w:rPr>
        <w:t xml:space="preserve">A review of Australian and international studies was conducted to estimate the prevalence of </w:t>
      </w:r>
      <w:r w:rsidRPr="000B1D6C">
        <w:rPr>
          <w:rFonts w:eastAsiaTheme="minorEastAsia"/>
          <w:szCs w:val="24"/>
        </w:rPr>
        <w:t>severe</w:t>
      </w:r>
      <w:r>
        <w:rPr>
          <w:rFonts w:eastAsiaTheme="minorEastAsia"/>
          <w:szCs w:val="24"/>
        </w:rPr>
        <w:t xml:space="preserve"> CPP and the proportions of CPP patients with psoriatic arthritis (PsA</w:t>
      </w:r>
      <w:r w:rsidRPr="000B1D6C">
        <w:rPr>
          <w:rFonts w:eastAsiaTheme="minorEastAsia"/>
          <w:szCs w:val="24"/>
        </w:rPr>
        <w:t>)</w:t>
      </w:r>
    </w:p>
    <w:p w:rsidR="00071F2B" w:rsidRPr="000B1D6C" w:rsidRDefault="000B1D6C" w:rsidP="000B1D6C">
      <w:pPr>
        <w:spacing w:before="240"/>
        <w:rPr>
          <w:rFonts w:eastAsiaTheme="minorEastAsia"/>
          <w:szCs w:val="24"/>
        </w:rPr>
      </w:pPr>
      <w:r w:rsidRPr="000B1D6C">
        <w:rPr>
          <w:rFonts w:eastAsiaTheme="minorEastAsia"/>
          <w:szCs w:val="24"/>
        </w:rPr>
        <w:t xml:space="preserve">There was considerable uncertainty around the prevalence of severe CPP. </w:t>
      </w:r>
      <w:r w:rsidR="00071F2B" w:rsidRPr="000B1D6C">
        <w:rPr>
          <w:rFonts w:eastAsiaTheme="minorEastAsia"/>
          <w:szCs w:val="24"/>
        </w:rPr>
        <w:t xml:space="preserve">The best estimate of the prevalence of </w:t>
      </w:r>
      <w:r w:rsidR="00957BD9">
        <w:rPr>
          <w:rFonts w:eastAsiaTheme="minorEastAsia"/>
          <w:szCs w:val="24"/>
        </w:rPr>
        <w:t xml:space="preserve">psoriasis with a PASI greater than 15 </w:t>
      </w:r>
      <w:r w:rsidR="00071F2B" w:rsidRPr="000B1D6C">
        <w:rPr>
          <w:rFonts w:eastAsiaTheme="minorEastAsia"/>
          <w:szCs w:val="24"/>
        </w:rPr>
        <w:t>in Australia was 19,223</w:t>
      </w:r>
      <w:r w:rsidR="000D064A" w:rsidRPr="000B1D6C">
        <w:rPr>
          <w:rFonts w:eastAsiaTheme="minorEastAsia"/>
          <w:szCs w:val="24"/>
        </w:rPr>
        <w:t xml:space="preserve"> people</w:t>
      </w:r>
      <w:r w:rsidR="00071F2B" w:rsidRPr="000B1D6C">
        <w:rPr>
          <w:rFonts w:eastAsiaTheme="minorEastAsia"/>
          <w:szCs w:val="24"/>
        </w:rPr>
        <w:t xml:space="preserve">. However, the </w:t>
      </w:r>
      <w:r w:rsidR="00071F2B" w:rsidRPr="000B1D6C">
        <w:rPr>
          <w:rFonts w:eastAsiaTheme="minorEastAsia"/>
          <w:noProof/>
          <w:szCs w:val="24"/>
        </w:rPr>
        <w:t>prevalence</w:t>
      </w:r>
      <w:r w:rsidR="00071F2B" w:rsidRPr="000B1D6C">
        <w:rPr>
          <w:rFonts w:eastAsiaTheme="minorEastAsia"/>
          <w:szCs w:val="24"/>
        </w:rPr>
        <w:t xml:space="preserve"> of </w:t>
      </w:r>
      <w:r w:rsidR="00071F2B" w:rsidRPr="000B1D6C">
        <w:rPr>
          <w:rFonts w:eastAsiaTheme="minorEastAsia"/>
          <w:noProof/>
          <w:szCs w:val="24"/>
        </w:rPr>
        <w:t>severe</w:t>
      </w:r>
      <w:r w:rsidR="00071F2B" w:rsidRPr="000B1D6C">
        <w:rPr>
          <w:rFonts w:eastAsiaTheme="minorEastAsia"/>
          <w:szCs w:val="24"/>
        </w:rPr>
        <w:t xml:space="preserve"> CPP could range from 7,787 to 359,984 people. This was mostly due to the </w:t>
      </w:r>
      <w:r w:rsidR="00071F2B" w:rsidRPr="000B1D6C">
        <w:rPr>
          <w:rFonts w:eastAsiaTheme="minorEastAsia"/>
          <w:noProof/>
          <w:szCs w:val="24"/>
        </w:rPr>
        <w:t>wide</w:t>
      </w:r>
      <w:r w:rsidR="00071F2B" w:rsidRPr="000B1D6C">
        <w:rPr>
          <w:rFonts w:eastAsiaTheme="minorEastAsia"/>
          <w:szCs w:val="24"/>
        </w:rPr>
        <w:t xml:space="preserve"> range of estimates for the proportion of psoriasis that is severe. There may be latitude-based differences in the prevalence of psoriasis in the Australian</w:t>
      </w:r>
      <w:r w:rsidR="002C2813" w:rsidRPr="000B1D6C">
        <w:rPr>
          <w:rFonts w:eastAsiaTheme="minorEastAsia"/>
          <w:szCs w:val="24"/>
        </w:rPr>
        <w:t xml:space="preserve"> (and international)</w:t>
      </w:r>
      <w:r w:rsidR="00071F2B" w:rsidRPr="000B1D6C">
        <w:rPr>
          <w:rFonts w:eastAsiaTheme="minorEastAsia"/>
          <w:szCs w:val="24"/>
        </w:rPr>
        <w:t xml:space="preserve"> population; </w:t>
      </w:r>
    </w:p>
    <w:p w:rsidR="00071F2B" w:rsidRPr="009228F9" w:rsidRDefault="002C2813" w:rsidP="000B1D6C">
      <w:pPr>
        <w:spacing w:before="240"/>
      </w:pPr>
      <w:r>
        <w:t>There was also some variability in the estimates of</w:t>
      </w:r>
      <w:r w:rsidR="000B1D6C">
        <w:t xml:space="preserve"> the proportion of patients with</w:t>
      </w:r>
      <w:r>
        <w:t xml:space="preserve"> </w:t>
      </w:r>
      <w:r w:rsidR="000B1D6C">
        <w:t>PsA</w:t>
      </w:r>
      <w:r>
        <w:t xml:space="preserve"> in patients with CPP. </w:t>
      </w:r>
      <w:r w:rsidR="00071F2B" w:rsidRPr="009228F9">
        <w:t xml:space="preserve">The best </w:t>
      </w:r>
      <w:r w:rsidR="00071F2B" w:rsidRPr="003A20F9">
        <w:rPr>
          <w:noProof/>
        </w:rPr>
        <w:t>estimate</w:t>
      </w:r>
      <w:r w:rsidR="00071F2B">
        <w:t xml:space="preserve"> of the prevalence of </w:t>
      </w:r>
      <w:r w:rsidR="001803C6">
        <w:t>PsA</w:t>
      </w:r>
      <w:r w:rsidR="00071F2B">
        <w:t xml:space="preserve"> </w:t>
      </w:r>
      <w:r w:rsidR="001C280A">
        <w:t xml:space="preserve">using </w:t>
      </w:r>
      <w:r w:rsidR="00C46508">
        <w:t xml:space="preserve">the </w:t>
      </w:r>
      <w:r w:rsidR="00C46508" w:rsidRPr="00AD2424">
        <w:t>Classification Criteria for Psoriatic Arthritis</w:t>
      </w:r>
      <w:r w:rsidR="00C46508">
        <w:t xml:space="preserve"> (</w:t>
      </w:r>
      <w:r w:rsidR="001C280A">
        <w:t>CASPAR</w:t>
      </w:r>
      <w:r w:rsidR="00C46508">
        <w:t>)</w:t>
      </w:r>
      <w:r w:rsidR="001C280A">
        <w:t xml:space="preserve"> criteria </w:t>
      </w:r>
      <w:r w:rsidR="00071F2B" w:rsidRPr="009228F9">
        <w:t xml:space="preserve">in patients with CPP was approximately 30%. </w:t>
      </w:r>
      <w:r>
        <w:t>However, t</w:t>
      </w:r>
      <w:r w:rsidR="00071F2B" w:rsidRPr="009228F9">
        <w:t xml:space="preserve">he prevalence may be </w:t>
      </w:r>
      <w:r w:rsidR="00071F2B" w:rsidRPr="003A20F9">
        <w:rPr>
          <w:noProof/>
        </w:rPr>
        <w:t>lower,</w:t>
      </w:r>
      <w:r w:rsidR="00071F2B" w:rsidRPr="009228F9">
        <w:t xml:space="preserve"> because some population-based and general practice-based studies report</w:t>
      </w:r>
      <w:r w:rsidR="00071F2B">
        <w:t>ed</w:t>
      </w:r>
      <w:r w:rsidR="00071F2B" w:rsidRPr="009228F9">
        <w:t xml:space="preserve"> lower </w:t>
      </w:r>
      <w:r w:rsidR="000B1D6C" w:rsidRPr="009228F9">
        <w:t xml:space="preserve">prevalence </w:t>
      </w:r>
      <w:r>
        <w:t>(</w:t>
      </w:r>
      <w:r w:rsidR="00071F2B" w:rsidRPr="009228F9">
        <w:t>around 11% to 15%</w:t>
      </w:r>
      <w:r>
        <w:t>)</w:t>
      </w:r>
      <w:r w:rsidR="00071F2B" w:rsidRPr="009228F9">
        <w:t xml:space="preserve">. </w:t>
      </w:r>
    </w:p>
    <w:p w:rsidR="00071F2B" w:rsidRPr="00872CBB" w:rsidRDefault="00BE1633" w:rsidP="00872CBB">
      <w:pPr>
        <w:pStyle w:val="MDsubHead3"/>
        <w:rPr>
          <w:rFonts w:eastAsiaTheme="minorEastAsia"/>
        </w:rPr>
      </w:pPr>
      <w:r>
        <w:rPr>
          <w:rFonts w:eastAsiaTheme="minorEastAsia"/>
        </w:rPr>
        <w:t>Overall u</w:t>
      </w:r>
      <w:r w:rsidR="00071F2B" w:rsidRPr="005B749B">
        <w:rPr>
          <w:rFonts w:eastAsiaTheme="minorEastAsia"/>
        </w:rPr>
        <w:t xml:space="preserve">tilisation of PBS listed biologics for </w:t>
      </w:r>
      <w:r w:rsidR="00891E82">
        <w:rPr>
          <w:rFonts w:eastAsiaTheme="minorEastAsia"/>
        </w:rPr>
        <w:t>CPP</w:t>
      </w:r>
      <w:r w:rsidR="00071F2B" w:rsidRPr="00872CBB">
        <w:rPr>
          <w:rFonts w:eastAsiaTheme="minorEastAsia"/>
        </w:rPr>
        <w:t xml:space="preserve"> </w:t>
      </w:r>
    </w:p>
    <w:p w:rsidR="009530C6" w:rsidRDefault="001C280A" w:rsidP="000B1D6C">
      <w:r>
        <w:t>The</w:t>
      </w:r>
      <w:r w:rsidR="009530C6" w:rsidRPr="00A17BBF">
        <w:t xml:space="preserve"> </w:t>
      </w:r>
      <w:r w:rsidR="009530C6" w:rsidRPr="003A20F9">
        <w:rPr>
          <w:noProof/>
        </w:rPr>
        <w:t>utilisation</w:t>
      </w:r>
      <w:r w:rsidR="009530C6" w:rsidRPr="00A17BBF">
        <w:t xml:space="preserve"> of biologics for severe CPP was </w:t>
      </w:r>
      <w:r>
        <w:t>analysed</w:t>
      </w:r>
      <w:r w:rsidR="009530C6" w:rsidRPr="00A17BBF">
        <w:t xml:space="preserve"> using prescription data from the Department of Human Services Supplied Prescriptions Database</w:t>
      </w:r>
      <w:r w:rsidR="009530C6">
        <w:t xml:space="preserve"> for the period</w:t>
      </w:r>
      <w:r w:rsidR="000550EE">
        <w:t xml:space="preserve"> 1 </w:t>
      </w:r>
      <w:r w:rsidR="009530C6" w:rsidRPr="00A17BBF">
        <w:t xml:space="preserve">July 2013 </w:t>
      </w:r>
      <w:r w:rsidR="009530C6">
        <w:t xml:space="preserve">to </w:t>
      </w:r>
      <w:r w:rsidR="009530C6" w:rsidRPr="00A17BBF">
        <w:t>31 December 2016</w:t>
      </w:r>
      <w:r w:rsidR="000550EE">
        <w:t xml:space="preserve"> based on the date of supply</w:t>
      </w:r>
      <w:r>
        <w:t>;</w:t>
      </w:r>
    </w:p>
    <w:p w:rsidR="00071F2B" w:rsidRPr="00447B08" w:rsidRDefault="00071F2B" w:rsidP="00820673">
      <w:pPr>
        <w:pStyle w:val="ListParagraph"/>
        <w:numPr>
          <w:ilvl w:val="0"/>
          <w:numId w:val="33"/>
        </w:numPr>
      </w:pPr>
      <w:r w:rsidRPr="00447B08">
        <w:t xml:space="preserve">The </w:t>
      </w:r>
      <w:r w:rsidR="007E4BF3">
        <w:t xml:space="preserve">total </w:t>
      </w:r>
      <w:r w:rsidRPr="00447B08">
        <w:t xml:space="preserve">number </w:t>
      </w:r>
      <w:r w:rsidR="007E4BF3">
        <w:t xml:space="preserve">(prevalent) </w:t>
      </w:r>
      <w:r w:rsidRPr="00447B08">
        <w:t>of patients being treated with biologics each quarter has nearly doubled</w:t>
      </w:r>
      <w:r w:rsidR="00A147E2">
        <w:t xml:space="preserve"> in recent years</w:t>
      </w:r>
      <w:r w:rsidRPr="00447B08">
        <w:t>, from 3,185 patients in the first quarter of 2014 to 5,144 patients in the last quarter of 2016</w:t>
      </w:r>
      <w:r>
        <w:t>;</w:t>
      </w:r>
      <w:r w:rsidRPr="00447B08">
        <w:t xml:space="preserve">  </w:t>
      </w:r>
    </w:p>
    <w:p w:rsidR="00071F2B" w:rsidRPr="00447B08" w:rsidRDefault="00071F2B" w:rsidP="00820673">
      <w:pPr>
        <w:pStyle w:val="ListParagraph"/>
        <w:numPr>
          <w:ilvl w:val="0"/>
          <w:numId w:val="33"/>
        </w:numPr>
      </w:pPr>
      <w:r w:rsidRPr="00447B08">
        <w:t xml:space="preserve">Across the state and territory capital cities there appeared to be a trend towards higher biologic utilisation in </w:t>
      </w:r>
      <w:r w:rsidRPr="003A20F9">
        <w:rPr>
          <w:noProof/>
        </w:rPr>
        <w:t>cities</w:t>
      </w:r>
      <w:r w:rsidRPr="00447B08">
        <w:t xml:space="preserve"> further south of the equator. For example, the rate of </w:t>
      </w:r>
      <w:r w:rsidRPr="003A20F9">
        <w:rPr>
          <w:noProof/>
        </w:rPr>
        <w:t>utilisation</w:t>
      </w:r>
      <w:r w:rsidRPr="00447B08">
        <w:t xml:space="preserve"> in Hobart was three times greater than Brisbane and twice the </w:t>
      </w:r>
      <w:r w:rsidRPr="003A20F9">
        <w:rPr>
          <w:noProof/>
        </w:rPr>
        <w:t>rate</w:t>
      </w:r>
      <w:r w:rsidRPr="00447B08">
        <w:t xml:space="preserve"> of Sydney.</w:t>
      </w:r>
      <w:r>
        <w:t xml:space="preserve"> This was in line with the findings from the epidemiology estimates;</w:t>
      </w:r>
    </w:p>
    <w:p w:rsidR="00071F2B" w:rsidRPr="00820673" w:rsidRDefault="00071F2B" w:rsidP="00820673">
      <w:pPr>
        <w:pStyle w:val="ListParagraph"/>
        <w:numPr>
          <w:ilvl w:val="0"/>
          <w:numId w:val="33"/>
        </w:numPr>
        <w:rPr>
          <w:bCs/>
        </w:rPr>
      </w:pPr>
      <w:r w:rsidRPr="002A302B">
        <w:t xml:space="preserve">Commonwealth expenditure has nearly doubled, from approximately $79 million in </w:t>
      </w:r>
      <w:r w:rsidRPr="00820673">
        <w:rPr>
          <w:bCs/>
        </w:rPr>
        <w:t xml:space="preserve">2014 to </w:t>
      </w:r>
      <w:r w:rsidRPr="00820673">
        <w:rPr>
          <w:bCs/>
          <w:noProof/>
        </w:rPr>
        <w:t>approximately</w:t>
      </w:r>
      <w:r w:rsidRPr="00820673">
        <w:rPr>
          <w:bCs/>
        </w:rPr>
        <w:t xml:space="preserve"> $121 million in 2016;</w:t>
      </w:r>
      <w:r w:rsidR="00820673">
        <w:rPr>
          <w:bCs/>
        </w:rPr>
        <w:t xml:space="preserve"> and</w:t>
      </w:r>
    </w:p>
    <w:p w:rsidR="00BE1633" w:rsidRPr="00820673" w:rsidRDefault="00071F2B" w:rsidP="00820673">
      <w:pPr>
        <w:pStyle w:val="ListParagraph"/>
        <w:numPr>
          <w:ilvl w:val="0"/>
          <w:numId w:val="33"/>
        </w:numPr>
        <w:rPr>
          <w:bCs/>
        </w:rPr>
      </w:pPr>
      <w:r w:rsidRPr="00820673">
        <w:rPr>
          <w:bCs/>
        </w:rPr>
        <w:t xml:space="preserve">Prescriptions for ustekinumab accounted for over half of total </w:t>
      </w:r>
      <w:r w:rsidRPr="00820673">
        <w:rPr>
          <w:bCs/>
          <w:noProof/>
        </w:rPr>
        <w:t>expenditure</w:t>
      </w:r>
      <w:r w:rsidRPr="00820673">
        <w:rPr>
          <w:bCs/>
        </w:rPr>
        <w:t xml:space="preserve"> and was the most commonly prescribed biologic between 2014 and 2016</w:t>
      </w:r>
      <w:r w:rsidR="00BE1633" w:rsidRPr="00820673">
        <w:rPr>
          <w:bCs/>
        </w:rPr>
        <w:t xml:space="preserve">. </w:t>
      </w:r>
    </w:p>
    <w:p w:rsidR="00071F2B" w:rsidRPr="00872CBB" w:rsidRDefault="00BE1633" w:rsidP="00872CBB">
      <w:pPr>
        <w:pStyle w:val="MDsubHead3"/>
        <w:rPr>
          <w:rFonts w:eastAsiaTheme="minorEastAsia"/>
        </w:rPr>
      </w:pPr>
      <w:r w:rsidRPr="00872CBB">
        <w:rPr>
          <w:rFonts w:eastAsiaTheme="minorEastAsia"/>
        </w:rPr>
        <w:t>Treatment</w:t>
      </w:r>
      <w:r>
        <w:rPr>
          <w:rFonts w:eastAsiaTheme="minorEastAsia"/>
        </w:rPr>
        <w:t xml:space="preserve"> persistence and rates of switching</w:t>
      </w:r>
      <w:r w:rsidR="009530C6">
        <w:rPr>
          <w:rFonts w:eastAsiaTheme="minorEastAsia"/>
        </w:rPr>
        <w:t xml:space="preserve"> amongst </w:t>
      </w:r>
      <w:r w:rsidR="00675ED6">
        <w:rPr>
          <w:rFonts w:eastAsiaTheme="minorEastAsia"/>
        </w:rPr>
        <w:t>new users</w:t>
      </w:r>
    </w:p>
    <w:p w:rsidR="000351A6" w:rsidRPr="000B1D6C" w:rsidRDefault="002D74F6" w:rsidP="008251A6">
      <w:pPr>
        <w:rPr>
          <w:bCs/>
        </w:rPr>
      </w:pPr>
      <w:r w:rsidRPr="00C16E43">
        <w:t>Time-to-event analys</w:t>
      </w:r>
      <w:r w:rsidR="003A20F9">
        <w:t>es</w:t>
      </w:r>
      <w:r w:rsidRPr="00C16E43">
        <w:t xml:space="preserve"> (survival analys</w:t>
      </w:r>
      <w:r w:rsidR="003A20F9">
        <w:t>es</w:t>
      </w:r>
      <w:r w:rsidRPr="00C16E43">
        <w:t xml:space="preserve">) </w:t>
      </w:r>
      <w:r w:rsidRPr="003A20F9">
        <w:rPr>
          <w:noProof/>
        </w:rPr>
        <w:t>w</w:t>
      </w:r>
      <w:r w:rsidR="003A20F9">
        <w:rPr>
          <w:noProof/>
        </w:rPr>
        <w:t>ere</w:t>
      </w:r>
      <w:r w:rsidRPr="00C16E43">
        <w:t xml:space="preserve"> performed to </w:t>
      </w:r>
      <w:r w:rsidR="00BE1633">
        <w:t>understand</w:t>
      </w:r>
      <w:r w:rsidRPr="00C16E43">
        <w:t xml:space="preserve"> the length of time patients spend on continuous treatment </w:t>
      </w:r>
      <w:r>
        <w:t xml:space="preserve">with </w:t>
      </w:r>
      <w:r w:rsidRPr="00C16E43">
        <w:t xml:space="preserve">biologics prior to discontinuing </w:t>
      </w:r>
      <w:r w:rsidRPr="003A20F9">
        <w:rPr>
          <w:noProof/>
        </w:rPr>
        <w:t>treatment</w:t>
      </w:r>
      <w:r w:rsidRPr="00C16E43">
        <w:t xml:space="preserve"> or switching to a different biologic.</w:t>
      </w:r>
      <w:r w:rsidRPr="002D74F6">
        <w:t xml:space="preserve"> </w:t>
      </w:r>
      <w:r w:rsidRPr="00C16E43">
        <w:t xml:space="preserve">These analyses were performed on a cohort of </w:t>
      </w:r>
      <w:r w:rsidR="00675ED6">
        <w:t>new users</w:t>
      </w:r>
      <w:r>
        <w:t xml:space="preserve"> </w:t>
      </w:r>
      <w:r w:rsidRPr="00C16E43">
        <w:t>who had their first biologic dispensing for seve</w:t>
      </w:r>
      <w:r>
        <w:t>re CPP between</w:t>
      </w:r>
      <w:r w:rsidRPr="00C16E43">
        <w:t xml:space="preserve"> 1</w:t>
      </w:r>
      <w:r w:rsidR="00A147E2">
        <w:t> </w:t>
      </w:r>
      <w:r w:rsidRPr="00C16E43">
        <w:t>July</w:t>
      </w:r>
      <w:r w:rsidR="00A147E2">
        <w:t> </w:t>
      </w:r>
      <w:r w:rsidRPr="00C16E43">
        <w:t>2014 and 30 June 2015</w:t>
      </w:r>
      <w:r>
        <w:t xml:space="preserve">; </w:t>
      </w:r>
    </w:p>
    <w:p w:rsidR="004351CA" w:rsidRDefault="00A578CF" w:rsidP="008251A6">
      <w:pPr>
        <w:pStyle w:val="ListParagraph"/>
        <w:numPr>
          <w:ilvl w:val="0"/>
          <w:numId w:val="34"/>
        </w:numPr>
        <w:rPr>
          <w:bCs/>
        </w:rPr>
      </w:pPr>
      <w:r w:rsidRPr="00820673">
        <w:rPr>
          <w:bCs/>
        </w:rPr>
        <w:t>The</w:t>
      </w:r>
      <w:r w:rsidR="00D93664" w:rsidRPr="00820673">
        <w:rPr>
          <w:bCs/>
        </w:rPr>
        <w:t xml:space="preserve"> </w:t>
      </w:r>
      <w:r w:rsidR="005E1700" w:rsidRPr="00820673">
        <w:rPr>
          <w:bCs/>
        </w:rPr>
        <w:t xml:space="preserve">overall </w:t>
      </w:r>
      <w:r w:rsidR="00815F51" w:rsidRPr="00820673">
        <w:rPr>
          <w:bCs/>
        </w:rPr>
        <w:t xml:space="preserve">persistence rates with biologics </w:t>
      </w:r>
      <w:r w:rsidR="007B230B" w:rsidRPr="00820673">
        <w:rPr>
          <w:bCs/>
        </w:rPr>
        <w:t xml:space="preserve">were </w:t>
      </w:r>
      <w:r w:rsidR="00815F51" w:rsidRPr="00820673">
        <w:rPr>
          <w:bCs/>
        </w:rPr>
        <w:t xml:space="preserve">high, with 80% of </w:t>
      </w:r>
      <w:r w:rsidR="00675ED6">
        <w:rPr>
          <w:bCs/>
          <w:noProof/>
        </w:rPr>
        <w:t>new users</w:t>
      </w:r>
      <w:r w:rsidR="00815F51" w:rsidRPr="00820673">
        <w:rPr>
          <w:bCs/>
        </w:rPr>
        <w:t xml:space="preserve"> remaining on continuous treatment with biologics for at least 18 months</w:t>
      </w:r>
      <w:r w:rsidR="00536DB5">
        <w:rPr>
          <w:bCs/>
        </w:rPr>
        <w:t xml:space="preserve">. </w:t>
      </w:r>
    </w:p>
    <w:p w:rsidR="00815F51" w:rsidRPr="00820673" w:rsidRDefault="00536DB5" w:rsidP="008251A6">
      <w:pPr>
        <w:pStyle w:val="ListParagraph"/>
        <w:numPr>
          <w:ilvl w:val="0"/>
          <w:numId w:val="34"/>
        </w:numPr>
        <w:rPr>
          <w:bCs/>
        </w:rPr>
      </w:pPr>
      <w:r>
        <w:rPr>
          <w:bCs/>
        </w:rPr>
        <w:t>Almost all patients (92%) who started biologic treatment received a continuing authority approval to continue biologic therapy with the same or a different biologic;</w:t>
      </w:r>
    </w:p>
    <w:p w:rsidR="002D74F6" w:rsidRPr="00820673" w:rsidRDefault="002D74F6" w:rsidP="008251A6">
      <w:pPr>
        <w:pStyle w:val="ListParagraph"/>
        <w:numPr>
          <w:ilvl w:val="0"/>
          <w:numId w:val="34"/>
        </w:numPr>
        <w:rPr>
          <w:bCs/>
        </w:rPr>
      </w:pPr>
      <w:r w:rsidRPr="00820673">
        <w:rPr>
          <w:bCs/>
        </w:rPr>
        <w:t xml:space="preserve">Patients who initiated biologics with adalimumab and etanercept had higher rates of switching and lower rates of persistence than patients who </w:t>
      </w:r>
      <w:r w:rsidRPr="00820673">
        <w:rPr>
          <w:bCs/>
          <w:noProof/>
        </w:rPr>
        <w:t>initiated</w:t>
      </w:r>
      <w:r w:rsidRPr="00820673">
        <w:rPr>
          <w:bCs/>
        </w:rPr>
        <w:t xml:space="preserve"> biologics with infliximab and ustekinumab; </w:t>
      </w:r>
    </w:p>
    <w:p w:rsidR="003440DB" w:rsidRPr="00820673" w:rsidRDefault="00807741" w:rsidP="008251A6">
      <w:pPr>
        <w:pStyle w:val="ListParagraph"/>
        <w:numPr>
          <w:ilvl w:val="0"/>
          <w:numId w:val="34"/>
        </w:numPr>
        <w:rPr>
          <w:bCs/>
        </w:rPr>
      </w:pPr>
      <w:r w:rsidRPr="00820673">
        <w:rPr>
          <w:bCs/>
        </w:rPr>
        <w:t>The f</w:t>
      </w:r>
      <w:r w:rsidR="00071F2B" w:rsidRPr="00820673">
        <w:rPr>
          <w:bCs/>
        </w:rPr>
        <w:t xml:space="preserve">requency of treatment holidays from biologic medicines </w:t>
      </w:r>
      <w:r w:rsidR="00071F2B" w:rsidRPr="00820673">
        <w:rPr>
          <w:bCs/>
          <w:noProof/>
        </w:rPr>
        <w:t>w</w:t>
      </w:r>
      <w:r w:rsidR="003A20F9" w:rsidRPr="00820673">
        <w:rPr>
          <w:bCs/>
          <w:noProof/>
        </w:rPr>
        <w:t>as</w:t>
      </w:r>
      <w:r w:rsidR="00071F2B" w:rsidRPr="00820673">
        <w:rPr>
          <w:bCs/>
        </w:rPr>
        <w:t xml:space="preserve"> rare, with only 5% of </w:t>
      </w:r>
      <w:r w:rsidR="00675ED6">
        <w:rPr>
          <w:bCs/>
        </w:rPr>
        <w:t>new users</w:t>
      </w:r>
      <w:r w:rsidR="00071F2B" w:rsidRPr="00820673">
        <w:rPr>
          <w:bCs/>
        </w:rPr>
        <w:t xml:space="preserve"> having had treatment holidays during the 18</w:t>
      </w:r>
      <w:r w:rsidR="00F8648C">
        <w:rPr>
          <w:bCs/>
        </w:rPr>
        <w:noBreakHyphen/>
      </w:r>
      <w:r w:rsidR="00071F2B" w:rsidRPr="00820673">
        <w:rPr>
          <w:bCs/>
        </w:rPr>
        <w:t>month follow-up period;</w:t>
      </w:r>
    </w:p>
    <w:p w:rsidR="00071F2B" w:rsidRPr="00820673" w:rsidRDefault="00807741" w:rsidP="008251A6">
      <w:pPr>
        <w:pStyle w:val="ListParagraph"/>
        <w:numPr>
          <w:ilvl w:val="0"/>
          <w:numId w:val="34"/>
        </w:numPr>
        <w:rPr>
          <w:bCs/>
        </w:rPr>
      </w:pPr>
      <w:r w:rsidRPr="00820673">
        <w:rPr>
          <w:bCs/>
        </w:rPr>
        <w:t>The r</w:t>
      </w:r>
      <w:r w:rsidR="00071F2B" w:rsidRPr="00820673">
        <w:rPr>
          <w:bCs/>
        </w:rPr>
        <w:t xml:space="preserve">ates of switching between biologics were high, with 22% of </w:t>
      </w:r>
      <w:r w:rsidR="00675ED6">
        <w:rPr>
          <w:bCs/>
        </w:rPr>
        <w:t>new users</w:t>
      </w:r>
      <w:r w:rsidR="00071F2B" w:rsidRPr="00820673">
        <w:rPr>
          <w:bCs/>
        </w:rPr>
        <w:t xml:space="preserve"> having </w:t>
      </w:r>
      <w:r w:rsidR="00071F2B" w:rsidRPr="00820673">
        <w:rPr>
          <w:bCs/>
          <w:noProof/>
        </w:rPr>
        <w:t>switched</w:t>
      </w:r>
      <w:r w:rsidR="00071F2B" w:rsidRPr="00820673">
        <w:rPr>
          <w:bCs/>
        </w:rPr>
        <w:t xml:space="preserve"> biologics at 18 months follow-up; </w:t>
      </w:r>
      <w:r w:rsidR="008251A6">
        <w:rPr>
          <w:bCs/>
        </w:rPr>
        <w:t xml:space="preserve">and </w:t>
      </w:r>
    </w:p>
    <w:p w:rsidR="008251A6" w:rsidRPr="008251A6" w:rsidRDefault="00071F2B" w:rsidP="008251A6">
      <w:pPr>
        <w:pStyle w:val="ListParagraph"/>
        <w:numPr>
          <w:ilvl w:val="0"/>
          <w:numId w:val="34"/>
        </w:numPr>
        <w:rPr>
          <w:bCs/>
        </w:rPr>
      </w:pPr>
      <w:r w:rsidRPr="00820673">
        <w:rPr>
          <w:bCs/>
        </w:rPr>
        <w:t xml:space="preserve">Of </w:t>
      </w:r>
      <w:r w:rsidR="00807741" w:rsidRPr="00820673">
        <w:rPr>
          <w:bCs/>
        </w:rPr>
        <w:t xml:space="preserve">the </w:t>
      </w:r>
      <w:r w:rsidR="00675ED6">
        <w:rPr>
          <w:bCs/>
          <w:noProof/>
        </w:rPr>
        <w:t>new users</w:t>
      </w:r>
      <w:r w:rsidRPr="00820673">
        <w:rPr>
          <w:bCs/>
        </w:rPr>
        <w:t xml:space="preserve"> who </w:t>
      </w:r>
      <w:r w:rsidRPr="00820673">
        <w:rPr>
          <w:bCs/>
          <w:noProof/>
        </w:rPr>
        <w:t>switch</w:t>
      </w:r>
      <w:r w:rsidRPr="00820673">
        <w:rPr>
          <w:bCs/>
        </w:rPr>
        <w:t xml:space="preserve"> biologics, most switch</w:t>
      </w:r>
      <w:r w:rsidR="003F2828" w:rsidRPr="00820673">
        <w:rPr>
          <w:bCs/>
        </w:rPr>
        <w:t>ed</w:t>
      </w:r>
      <w:r w:rsidRPr="00820673">
        <w:rPr>
          <w:bCs/>
        </w:rPr>
        <w:t xml:space="preserve"> to secukinumab or ustekinumab</w:t>
      </w:r>
      <w:r w:rsidR="008251A6">
        <w:rPr>
          <w:bCs/>
        </w:rPr>
        <w:t>.</w:t>
      </w:r>
      <w:r w:rsidR="008251A6" w:rsidRPr="002824AA">
        <w:t xml:space="preserve"> </w:t>
      </w:r>
    </w:p>
    <w:p w:rsidR="008251A6" w:rsidRPr="008251A6" w:rsidRDefault="008251A6" w:rsidP="008251A6">
      <w:pPr>
        <w:rPr>
          <w:bCs/>
        </w:rPr>
      </w:pPr>
      <w:r w:rsidRPr="002824AA">
        <w:t xml:space="preserve">The PBS </w:t>
      </w:r>
      <w:r>
        <w:t xml:space="preserve">prescription data </w:t>
      </w:r>
      <w:r w:rsidRPr="002824AA">
        <w:t>does not contain clinical information about the reason</w:t>
      </w:r>
      <w:r>
        <w:t xml:space="preserve"> a patient discontinues or recommences treatment. Therefore, it</w:t>
      </w:r>
      <w:r w:rsidRPr="00D93664">
        <w:t xml:space="preserve"> was not possible to determine why </w:t>
      </w:r>
      <w:r>
        <w:t>p</w:t>
      </w:r>
      <w:r w:rsidRPr="00D93664">
        <w:t>atient</w:t>
      </w:r>
      <w:r>
        <w:t>s</w:t>
      </w:r>
      <w:r w:rsidRPr="00D93664">
        <w:t xml:space="preserve"> had taken a treatment holiday</w:t>
      </w:r>
      <w:r>
        <w:t xml:space="preserve"> </w:t>
      </w:r>
      <w:r w:rsidRPr="00D93664">
        <w:t xml:space="preserve">from the data. </w:t>
      </w:r>
      <w:r>
        <w:t xml:space="preserve">Treatment holidays could be due to </w:t>
      </w:r>
      <w:r w:rsidRPr="00D93664">
        <w:t>sustained remission of CPP, drug toxicity or other reasons</w:t>
      </w:r>
      <w:r>
        <w:t>.</w:t>
      </w:r>
    </w:p>
    <w:p w:rsidR="00795D8D" w:rsidRPr="008251A6" w:rsidRDefault="00795D8D" w:rsidP="008251A6">
      <w:pPr>
        <w:rPr>
          <w:bCs/>
        </w:rPr>
      </w:pPr>
      <w:r>
        <w:t xml:space="preserve">The extent to which current utilisation of biologics was consistent with the clinical guidelines and PBS restrictions could not be </w:t>
      </w:r>
      <w:r w:rsidRPr="003A20F9">
        <w:rPr>
          <w:noProof/>
        </w:rPr>
        <w:t>fully</w:t>
      </w:r>
      <w:r>
        <w:t xml:space="preserve"> assessed with the available data. The majority of patients appeared to use biologics chronically. </w:t>
      </w:r>
      <w:r w:rsidRPr="003A20F9">
        <w:rPr>
          <w:noProof/>
        </w:rPr>
        <w:t>A very small</w:t>
      </w:r>
      <w:r>
        <w:t xml:space="preserve"> number of patients used more than three biologics. However, this may not be outside the PBS restriction because patients are able to trial more than three biologics as long as they do not fail treatment with more than three biologics in a treatment cycle. </w:t>
      </w:r>
    </w:p>
    <w:p w:rsidR="00071F2B" w:rsidRPr="00872CBB" w:rsidRDefault="00071F2B" w:rsidP="00872CBB">
      <w:pPr>
        <w:pStyle w:val="MDsubHead3"/>
        <w:rPr>
          <w:rFonts w:eastAsiaTheme="minorEastAsia"/>
        </w:rPr>
      </w:pPr>
      <w:r>
        <w:rPr>
          <w:rFonts w:eastAsiaTheme="minorEastAsia"/>
        </w:rPr>
        <w:t xml:space="preserve">Comparison of utilisation with </w:t>
      </w:r>
      <w:r w:rsidR="001C280A">
        <w:rPr>
          <w:rFonts w:eastAsiaTheme="minorEastAsia"/>
        </w:rPr>
        <w:t xml:space="preserve">PBS restrictions, </w:t>
      </w:r>
      <w:r>
        <w:rPr>
          <w:rFonts w:eastAsiaTheme="minorEastAsia"/>
        </w:rPr>
        <w:t>clinical evidence and practice</w:t>
      </w:r>
      <w:r w:rsidRPr="00872CBB">
        <w:rPr>
          <w:rFonts w:eastAsiaTheme="minorEastAsia"/>
        </w:rPr>
        <w:t xml:space="preserve"> </w:t>
      </w:r>
    </w:p>
    <w:p w:rsidR="00C54F39" w:rsidRDefault="00C54F39" w:rsidP="008251A6">
      <w:r>
        <w:t xml:space="preserve">Continuation with biologics was high (80% at 18 months). This was broadly consistent with treatment guidelines that recommend continued treatment if an adequate response is achieved. The definition of an adequate response differed between the guidelines. </w:t>
      </w:r>
    </w:p>
    <w:p w:rsidR="006911F2" w:rsidRDefault="00C54F39" w:rsidP="00AD5C0F">
      <w:r>
        <w:t xml:space="preserve">Continuation with adalimumab at </w:t>
      </w:r>
      <w:r w:rsidR="007A72CF">
        <w:t xml:space="preserve">6 and </w:t>
      </w:r>
      <w:r>
        <w:t>12 months was similar to PASI 75 response rates achieved in the clinical trial</w:t>
      </w:r>
      <w:r w:rsidR="007A72CF">
        <w:t>s and cohort studies overall</w:t>
      </w:r>
      <w:r>
        <w:t xml:space="preserve">. </w:t>
      </w:r>
      <w:r w:rsidR="007A72CF">
        <w:t>However, c</w:t>
      </w:r>
      <w:r>
        <w:t>ontinuation with ustekinumab and infliximab</w:t>
      </w:r>
      <w:r w:rsidR="007A72CF">
        <w:t xml:space="preserve"> in the PBS data</w:t>
      </w:r>
      <w:r w:rsidR="006B139E">
        <w:t xml:space="preserve"> </w:t>
      </w:r>
      <w:r>
        <w:t xml:space="preserve">was </w:t>
      </w:r>
      <w:r w:rsidR="007A72CF">
        <w:t xml:space="preserve">much </w:t>
      </w:r>
      <w:r>
        <w:t>higher</w:t>
      </w:r>
      <w:r w:rsidR="004A592B">
        <w:t xml:space="preserve"> than</w:t>
      </w:r>
      <w:r>
        <w:t xml:space="preserve"> th</w:t>
      </w:r>
      <w:r w:rsidR="006B139E">
        <w:t xml:space="preserve">e proportion of patients </w:t>
      </w:r>
      <w:r w:rsidR="00144A0C">
        <w:t xml:space="preserve">who achieved </w:t>
      </w:r>
      <w:r w:rsidR="006B139E">
        <w:t>a PASI 75 response in</w:t>
      </w:r>
      <w:r>
        <w:t xml:space="preserve"> </w:t>
      </w:r>
      <w:r w:rsidR="006B139E">
        <w:t>the clinical studies</w:t>
      </w:r>
      <w:r w:rsidR="007A72CF">
        <w:t xml:space="preserve"> at both 6 and 12 months. These results suggest that there could be some inappropriate use of these biologicals that falls outside the </w:t>
      </w:r>
      <w:r w:rsidR="00B31448">
        <w:t>cost-</w:t>
      </w:r>
      <w:r w:rsidR="007A72CF">
        <w:t>effectiveness estimates used by PBAC for the decision on listing of these drugs</w:t>
      </w:r>
      <w:r w:rsidR="006B139E">
        <w:t xml:space="preserve">. Continuation with etanercept was lower than the proportion of patients who achieved a PASI 75 response in the clinical trials. </w:t>
      </w:r>
    </w:p>
    <w:p w:rsidR="00071F2B" w:rsidRPr="00FD32F4" w:rsidRDefault="00071F2B" w:rsidP="00AD5C0F">
      <w:r w:rsidRPr="00F525C8">
        <w:t xml:space="preserve">The PBS restrictions allow patients to fail to achieve a PASI 75 response with three biologicals before they </w:t>
      </w:r>
      <w:r w:rsidR="009D32C4">
        <w:t>are</w:t>
      </w:r>
      <w:r w:rsidRPr="00F525C8">
        <w:t xml:space="preserve"> deemed to have completed the PBS treatment cycle and are not eligible for PBS-subsidised biological treatment.</w:t>
      </w:r>
      <w:r>
        <w:t xml:space="preserve"> However, a small proportion of patients (1%) </w:t>
      </w:r>
      <w:r w:rsidRPr="000B1D6C">
        <w:rPr>
          <w:rFonts w:cs="Times New Roman"/>
          <w:szCs w:val="24"/>
          <w:lang w:eastAsia="en-GB"/>
        </w:rPr>
        <w:t xml:space="preserve">used four or more PBS biologics over 18 months of follow-up. </w:t>
      </w:r>
    </w:p>
    <w:p w:rsidR="006B139E" w:rsidRPr="00394001" w:rsidRDefault="006B139E" w:rsidP="00AD5C0F">
      <w:r>
        <w:t xml:space="preserve">Other aspects of biologic utilisation </w:t>
      </w:r>
      <w:r w:rsidR="00364647">
        <w:t xml:space="preserve">(use of prior therapies, use of co-administered methotrexate, achievement of response criteria) </w:t>
      </w:r>
      <w:r>
        <w:t xml:space="preserve">could not be compared to the PBS restrictions </w:t>
      </w:r>
      <w:r w:rsidR="00364647">
        <w:t xml:space="preserve">due to data limitations. </w:t>
      </w:r>
    </w:p>
    <w:p w:rsidR="00071F2B" w:rsidRDefault="00071F2B" w:rsidP="00AD5C0F">
      <w:r w:rsidRPr="00F525C8">
        <w:t xml:space="preserve">The best estimate of the prevalence of severe </w:t>
      </w:r>
      <w:r w:rsidR="00891E82">
        <w:t>CPP</w:t>
      </w:r>
      <w:r w:rsidRPr="00F525C8">
        <w:t xml:space="preserve"> in Australia was 19,223</w:t>
      </w:r>
      <w:r>
        <w:t xml:space="preserve">; however, only </w:t>
      </w:r>
      <w:r w:rsidRPr="00F525C8">
        <w:t>5,144</w:t>
      </w:r>
      <w:r>
        <w:t xml:space="preserve"> patients were receiving PBS founded biologics.</w:t>
      </w:r>
    </w:p>
    <w:p w:rsidR="00462ADD" w:rsidRPr="00872CBB" w:rsidRDefault="00462ADD" w:rsidP="00872CBB">
      <w:pPr>
        <w:pStyle w:val="MDsubHead3"/>
        <w:rPr>
          <w:rFonts w:eastAsiaTheme="minorEastAsia"/>
        </w:rPr>
      </w:pPr>
      <w:r w:rsidRPr="00872CBB">
        <w:rPr>
          <w:rFonts w:eastAsiaTheme="minorEastAsia"/>
        </w:rPr>
        <w:t>Stakeholder views</w:t>
      </w:r>
    </w:p>
    <w:p w:rsidR="00462ADD" w:rsidRPr="00142703" w:rsidRDefault="00462ADD" w:rsidP="00142703">
      <w:pPr>
        <w:spacing w:after="0"/>
        <w:rPr>
          <w:rFonts w:ascii="Calibri" w:eastAsia="Calibri" w:hAnsi="Calibri" w:cs="Times New Roman"/>
          <w:szCs w:val="24"/>
          <w:u w:val="single"/>
          <w:lang w:val="en-AU" w:eastAsia="en-US"/>
        </w:rPr>
      </w:pPr>
      <w:r w:rsidRPr="00142703">
        <w:rPr>
          <w:rFonts w:ascii="Calibri" w:eastAsia="Calibri" w:hAnsi="Calibri" w:cs="Times New Roman"/>
          <w:szCs w:val="24"/>
          <w:u w:val="single"/>
          <w:lang w:val="en-AU" w:eastAsia="en-US"/>
        </w:rPr>
        <w:t xml:space="preserve">Uptake and initiation of biologics </w:t>
      </w:r>
    </w:p>
    <w:p w:rsidR="00462ADD" w:rsidRPr="00D62530" w:rsidRDefault="00462ADD" w:rsidP="00462ADD">
      <w:r w:rsidRPr="00D62530">
        <w:t xml:space="preserve">The stakeholder generally felt that biologics are not being over-utilised. Instead, there is likely to be a pool of people who have disease severe enough to treat, but who have not accessed biologics yet for a variety of reasons including awareness, access to specialists and issues with prior therapies. Patients using biologics in Australia may have had psoriasis for longer without treatment than those in clinical trial populations, and in effect, have worse psoriasis on commencement. This may influence continuation rates. Time to diagnosis could influence uptake rates, utilisation and outcomes. Patients who are difficult to diagnosis may end up with a late diagnosis and a treatment course dependant on comorbidities. Those with an early diagnosis may have a higher number of treatments over their disease course and improved management of comorbidities. Uptake was slow when biologics were first available </w:t>
      </w:r>
      <w:r w:rsidR="004351CA">
        <w:t xml:space="preserve">as </w:t>
      </w:r>
      <w:r w:rsidRPr="00D62530">
        <w:t xml:space="preserve">there was low uptake with prescribers initially hesitant to use them. Additionally, it takes a long time for patients to become eligible for biologics. They need to have a good relationship with their dermatologist, and it is hard both physically and emotionally. Stigma contributes to difficulties engaging with health care professionals. Uptake may be slowed by issues including access to dermatologists who are willing to prescribe biologics and other issues in the healthcare system. </w:t>
      </w:r>
    </w:p>
    <w:p w:rsidR="00462ADD" w:rsidRPr="00142703" w:rsidRDefault="00462ADD" w:rsidP="00142703">
      <w:pPr>
        <w:spacing w:after="0"/>
        <w:rPr>
          <w:rFonts w:ascii="Calibri" w:eastAsia="Calibri" w:hAnsi="Calibri" w:cs="Times New Roman"/>
          <w:szCs w:val="24"/>
          <w:u w:val="single"/>
          <w:lang w:val="en-AU" w:eastAsia="en-US"/>
        </w:rPr>
      </w:pPr>
      <w:r w:rsidRPr="00142703">
        <w:rPr>
          <w:rFonts w:ascii="Calibri" w:eastAsia="Calibri" w:hAnsi="Calibri" w:cs="Times New Roman"/>
          <w:szCs w:val="24"/>
          <w:u w:val="single"/>
          <w:lang w:val="en-AU" w:eastAsia="en-US"/>
        </w:rPr>
        <w:t xml:space="preserve">Continuation of biologics </w:t>
      </w:r>
    </w:p>
    <w:p w:rsidR="00462ADD" w:rsidRPr="00D62530" w:rsidRDefault="00462ADD" w:rsidP="00462ADD">
      <w:pPr>
        <w:spacing w:after="160" w:line="259" w:lineRule="auto"/>
        <w:rPr>
          <w:rFonts w:ascii="Calibri" w:eastAsia="Calibri" w:hAnsi="Calibri" w:cs="Times New Roman"/>
          <w:sz w:val="22"/>
        </w:rPr>
      </w:pPr>
      <w:r w:rsidRPr="00D755BF">
        <w:t>The retention rate of biologics is higher than predicted in studies. The real-life treatment goal is to maintain treatment</w:t>
      </w:r>
      <w:r w:rsidRPr="00D62530">
        <w:rPr>
          <w:rFonts w:ascii="Calibri" w:eastAsia="Calibri" w:hAnsi="Calibri" w:cs="Times New Roman"/>
          <w:sz w:val="22"/>
        </w:rPr>
        <w:t xml:space="preserve"> effect and clinicians try to optimise patient outcomes.</w:t>
      </w:r>
    </w:p>
    <w:p w:rsidR="00462ADD" w:rsidRPr="00142703" w:rsidRDefault="00462ADD" w:rsidP="00142703">
      <w:pPr>
        <w:spacing w:after="0"/>
        <w:rPr>
          <w:rFonts w:ascii="Calibri" w:eastAsia="Calibri" w:hAnsi="Calibri" w:cs="Times New Roman"/>
          <w:szCs w:val="24"/>
          <w:u w:val="single"/>
          <w:lang w:val="en-AU" w:eastAsia="en-US"/>
        </w:rPr>
      </w:pPr>
      <w:r w:rsidRPr="00142703">
        <w:rPr>
          <w:rFonts w:ascii="Calibri" w:eastAsia="Calibri" w:hAnsi="Calibri" w:cs="Times New Roman"/>
          <w:szCs w:val="24"/>
          <w:u w:val="single"/>
          <w:lang w:val="en-AU" w:eastAsia="en-US"/>
        </w:rPr>
        <w:t xml:space="preserve">Access to dermatologists </w:t>
      </w:r>
    </w:p>
    <w:p w:rsidR="00462ADD" w:rsidRPr="00F525C8" w:rsidRDefault="00462ADD" w:rsidP="00462ADD">
      <w:r w:rsidRPr="00D62530">
        <w:rPr>
          <w:rFonts w:ascii="Calibri" w:eastAsia="Calibri" w:hAnsi="Calibri" w:cs="Times New Roman"/>
          <w:szCs w:val="24"/>
          <w:lang w:val="en-AU" w:eastAsia="en-US"/>
        </w:rPr>
        <w:t xml:space="preserve">General practitioners are not well equipped to treat severe psoriasis, only prescribing topical therapy until referring to a dermatologist when required. Access to dermatologists is a limiting step for many patients. In Canberra and Adelaide, it can take </w:t>
      </w:r>
      <w:r>
        <w:rPr>
          <w:rFonts w:ascii="Calibri" w:eastAsia="Calibri" w:hAnsi="Calibri" w:cs="Times New Roman"/>
          <w:szCs w:val="24"/>
          <w:lang w:val="en-AU" w:eastAsia="en-US"/>
        </w:rPr>
        <w:t>three</w:t>
      </w:r>
      <w:r w:rsidRPr="00D62530">
        <w:rPr>
          <w:rFonts w:ascii="Calibri" w:eastAsia="Calibri" w:hAnsi="Calibri" w:cs="Times New Roman"/>
          <w:szCs w:val="24"/>
          <w:lang w:val="en-AU" w:eastAsia="en-US"/>
        </w:rPr>
        <w:t xml:space="preserve"> to </w:t>
      </w:r>
      <w:r>
        <w:rPr>
          <w:rFonts w:ascii="Calibri" w:eastAsia="Calibri" w:hAnsi="Calibri" w:cs="Times New Roman"/>
          <w:szCs w:val="24"/>
          <w:lang w:val="en-AU" w:eastAsia="en-US"/>
        </w:rPr>
        <w:t>four</w:t>
      </w:r>
      <w:r w:rsidRPr="00D62530">
        <w:rPr>
          <w:rFonts w:ascii="Calibri" w:eastAsia="Calibri" w:hAnsi="Calibri" w:cs="Times New Roman"/>
          <w:szCs w:val="24"/>
          <w:lang w:val="en-AU" w:eastAsia="en-US"/>
        </w:rPr>
        <w:t xml:space="preserve"> months to see a dermatologist and in rural Victoria patients may need to travel up to 6 hours to the nearest dermatology clinic. There are 14 dermatologists in Tasmania and only one or two prescribe biologics. Private dermatologists are expensive and hard to access.</w:t>
      </w:r>
      <w:r w:rsidRPr="00D62530">
        <w:rPr>
          <w:rFonts w:ascii="Calibri" w:eastAsia="Calibri" w:hAnsi="Calibri" w:cs="Times New Roman"/>
          <w:sz w:val="22"/>
          <w:lang w:val="en-AU" w:eastAsia="en-US"/>
        </w:rPr>
        <w:t xml:space="preserve"> </w:t>
      </w:r>
      <w:r w:rsidRPr="00D62530">
        <w:rPr>
          <w:rFonts w:ascii="Calibri" w:eastAsia="Calibri" w:hAnsi="Calibri" w:cs="Times New Roman"/>
          <w:szCs w:val="24"/>
          <w:lang w:val="en-AU" w:eastAsia="en-US"/>
        </w:rPr>
        <w:t>Additionally</w:t>
      </w:r>
      <w:r w:rsidRPr="00D62530">
        <w:rPr>
          <w:rFonts w:ascii="Calibri" w:eastAsia="Calibri" w:hAnsi="Calibri" w:cs="Times New Roman"/>
          <w:sz w:val="22"/>
          <w:lang w:val="en-AU" w:eastAsia="en-US"/>
        </w:rPr>
        <w:t>, n</w:t>
      </w:r>
      <w:r w:rsidRPr="00D62530">
        <w:rPr>
          <w:rFonts w:ascii="Calibri" w:eastAsia="Calibri" w:hAnsi="Calibri" w:cs="Times New Roman"/>
          <w:szCs w:val="24"/>
          <w:lang w:val="en-AU" w:eastAsia="en-US"/>
        </w:rPr>
        <w:t>ot all dermatologists prescribe biologics. Some dermatologists then refer to other dermatologists who will prescribe biologics, increasing the costs and time for patients. Changing specialist demographics may improve this situation over time with younger dermatologists more aware of biologics through their training. It is not known whether the number of prescribers has changed over time and what the distribution of these practitioners is across Australia.</w:t>
      </w:r>
    </w:p>
    <w:p w:rsidR="00071F2B" w:rsidRPr="00F73F7C" w:rsidRDefault="00071F2B" w:rsidP="005E626F">
      <w:pPr>
        <w:pStyle w:val="MDSubheading"/>
      </w:pPr>
      <w:bookmarkStart w:id="24" w:name="_Toc493156389"/>
      <w:bookmarkStart w:id="25" w:name="_Toc501632363"/>
      <w:r>
        <w:t>3</w:t>
      </w:r>
      <w:r w:rsidRPr="00F73F7C">
        <w:t>.2</w:t>
      </w:r>
      <w:r w:rsidRPr="00F73F7C">
        <w:tab/>
      </w:r>
      <w:r>
        <w:t>Review of epidemiological estimates of psoriasis</w:t>
      </w:r>
      <w:bookmarkEnd w:id="24"/>
      <w:bookmarkEnd w:id="25"/>
      <w:r>
        <w:t xml:space="preserve"> </w:t>
      </w:r>
    </w:p>
    <w:p w:rsidR="00023D7E" w:rsidRDefault="00FB1688" w:rsidP="00023D7E">
      <w:r w:rsidRPr="007B1B63">
        <w:t xml:space="preserve">A systematic review </w:t>
      </w:r>
      <w:r>
        <w:t>was</w:t>
      </w:r>
      <w:r w:rsidRPr="007B1B63">
        <w:t xml:space="preserve"> undertaken to identify estimates of the incidence and prevalence of severe CPP in Australia or estimates that may be applicable to the Australian context. The systematic review also aim</w:t>
      </w:r>
      <w:r>
        <w:t>ed</w:t>
      </w:r>
      <w:r w:rsidRPr="007B1B63">
        <w:t xml:space="preserve"> to identify any estimates published on the prevalence of patients with </w:t>
      </w:r>
      <w:r w:rsidR="001803C6">
        <w:t>PsA</w:t>
      </w:r>
      <w:r w:rsidRPr="007B1B63">
        <w:t xml:space="preserve"> within the patient population with CPP</w:t>
      </w:r>
      <w:r>
        <w:t>.</w:t>
      </w:r>
    </w:p>
    <w:p w:rsidR="00BD7F1E" w:rsidRPr="00023D7E" w:rsidRDefault="00071F2B" w:rsidP="00023D7E">
      <w:r w:rsidRPr="00CA7470">
        <w:rPr>
          <w:rFonts w:cs="Times New Roman"/>
          <w:szCs w:val="24"/>
          <w:lang w:eastAsia="en-GB"/>
        </w:rPr>
        <w:t xml:space="preserve">The literature review </w:t>
      </w:r>
      <w:r w:rsidRPr="003A20F9">
        <w:rPr>
          <w:rFonts w:cs="Times New Roman"/>
          <w:noProof/>
          <w:szCs w:val="24"/>
          <w:lang w:eastAsia="en-GB"/>
        </w:rPr>
        <w:t>focussed</w:t>
      </w:r>
      <w:r w:rsidRPr="00CA7470">
        <w:rPr>
          <w:rFonts w:cs="Times New Roman"/>
          <w:szCs w:val="24"/>
          <w:lang w:eastAsia="en-GB"/>
        </w:rPr>
        <w:t xml:space="preserve"> on epidemiological estimates from Australia as well as the following: New Zealand, United Kingdom (UK), United States of Ame</w:t>
      </w:r>
      <w:r w:rsidR="00023D7E">
        <w:rPr>
          <w:rFonts w:cs="Times New Roman"/>
          <w:szCs w:val="24"/>
          <w:lang w:eastAsia="en-GB"/>
        </w:rPr>
        <w:t>rica (USA), Canada, and Europe</w:t>
      </w:r>
      <w:r w:rsidRPr="00CA7470">
        <w:rPr>
          <w:rFonts w:cs="Times New Roman"/>
          <w:szCs w:val="24"/>
          <w:lang w:eastAsia="en-GB"/>
        </w:rPr>
        <w:t>. De</w:t>
      </w:r>
      <w:r>
        <w:rPr>
          <w:rFonts w:cs="Times New Roman"/>
          <w:szCs w:val="24"/>
          <w:lang w:eastAsia="en-GB"/>
        </w:rPr>
        <w:t>tails of the</w:t>
      </w:r>
      <w:r w:rsidR="00154617">
        <w:rPr>
          <w:rFonts w:cs="Times New Roman"/>
          <w:szCs w:val="24"/>
          <w:lang w:eastAsia="en-GB"/>
        </w:rPr>
        <w:t xml:space="preserve"> methods for the</w:t>
      </w:r>
      <w:r>
        <w:rPr>
          <w:rFonts w:cs="Times New Roman"/>
          <w:szCs w:val="24"/>
          <w:lang w:eastAsia="en-GB"/>
        </w:rPr>
        <w:t xml:space="preserve"> systematic review </w:t>
      </w:r>
      <w:r w:rsidR="00154617">
        <w:rPr>
          <w:rFonts w:cs="Times New Roman"/>
          <w:szCs w:val="24"/>
          <w:lang w:eastAsia="en-GB"/>
        </w:rPr>
        <w:t xml:space="preserve">are presented in </w:t>
      </w:r>
      <w:r w:rsidR="0086184A" w:rsidRPr="004A1880">
        <w:t xml:space="preserve">Appendix </w:t>
      </w:r>
      <w:r w:rsidR="0086184A">
        <w:t>A</w:t>
      </w:r>
      <w:r w:rsidR="0086184A" w:rsidRPr="004A1880">
        <w:t xml:space="preserve"> –</w:t>
      </w:r>
      <w:r w:rsidR="0086184A" w:rsidRPr="005F1BE1">
        <w:t xml:space="preserve"> </w:t>
      </w:r>
      <w:r w:rsidR="0086184A" w:rsidRPr="00BD08D3">
        <w:t>ToR 3</w:t>
      </w:r>
      <w:r w:rsidR="0086184A">
        <w:t>:</w:t>
      </w:r>
      <w:r w:rsidR="0086184A" w:rsidRPr="00BD08D3">
        <w:t xml:space="preserve"> Methods</w:t>
      </w:r>
      <w:r w:rsidR="00154617">
        <w:rPr>
          <w:rFonts w:cs="Times New Roman"/>
          <w:szCs w:val="24"/>
          <w:lang w:eastAsia="en-GB"/>
        </w:rPr>
        <w:t xml:space="preserve"> </w:t>
      </w:r>
      <w:r w:rsidRPr="00CA7470">
        <w:rPr>
          <w:rFonts w:cs="Times New Roman"/>
          <w:szCs w:val="24"/>
          <w:lang w:eastAsia="en-GB"/>
        </w:rPr>
        <w:t>and</w:t>
      </w:r>
      <w:r w:rsidR="00154617">
        <w:rPr>
          <w:rFonts w:cs="Times New Roman"/>
          <w:szCs w:val="24"/>
          <w:lang w:eastAsia="en-GB"/>
        </w:rPr>
        <w:t xml:space="preserve"> the</w:t>
      </w:r>
      <w:r w:rsidRPr="00CA7470">
        <w:rPr>
          <w:rFonts w:cs="Times New Roman"/>
          <w:szCs w:val="24"/>
          <w:lang w:eastAsia="en-GB"/>
        </w:rPr>
        <w:t xml:space="preserve"> risk of bias of the included studies are presented in </w:t>
      </w:r>
      <w:r w:rsidR="0086184A" w:rsidRPr="004A1880">
        <w:t xml:space="preserve">Appendix </w:t>
      </w:r>
      <w:r w:rsidR="0086184A">
        <w:t>B</w:t>
      </w:r>
      <w:r w:rsidR="0086184A" w:rsidRPr="004A1880">
        <w:t xml:space="preserve"> – </w:t>
      </w:r>
      <w:r w:rsidR="0086184A">
        <w:t xml:space="preserve">ToR 3: </w:t>
      </w:r>
      <w:r w:rsidR="0086184A" w:rsidRPr="004A1880">
        <w:t>Epidemiology results</w:t>
      </w:r>
      <w:r w:rsidRPr="003A20F9">
        <w:rPr>
          <w:rFonts w:cs="Times New Roman"/>
          <w:noProof/>
          <w:szCs w:val="24"/>
          <w:lang w:eastAsia="en-GB"/>
        </w:rPr>
        <w:t>.</w:t>
      </w:r>
    </w:p>
    <w:p w:rsidR="008A6473" w:rsidRPr="00CA7470" w:rsidRDefault="008A6473" w:rsidP="00AD5C0F">
      <w:pPr>
        <w:spacing w:after="0"/>
        <w:rPr>
          <w:rFonts w:cs="Times New Roman"/>
          <w:szCs w:val="24"/>
          <w:lang w:eastAsia="en-GB"/>
        </w:rPr>
      </w:pPr>
      <w:r>
        <w:rPr>
          <w:rFonts w:cs="Times New Roman"/>
          <w:szCs w:val="24"/>
          <w:lang w:eastAsia="en-GB"/>
        </w:rPr>
        <w:t xml:space="preserve">The literature review did not identify estimates for the prevalence of severe CPP in Australia or overseas. Therefore, the prevalence of severe CPP </w:t>
      </w:r>
      <w:r w:rsidR="004E4FC0">
        <w:rPr>
          <w:rFonts w:cs="Times New Roman"/>
          <w:szCs w:val="24"/>
          <w:lang w:eastAsia="en-GB"/>
        </w:rPr>
        <w:t>had to be calculated using a number of estimates from different disease categories. The</w:t>
      </w:r>
      <w:r w:rsidR="004E4FC0" w:rsidRPr="004E4FC0">
        <w:rPr>
          <w:rFonts w:cs="Times New Roman"/>
          <w:szCs w:val="24"/>
          <w:lang w:eastAsia="en-GB"/>
        </w:rPr>
        <w:t xml:space="preserve"> </w:t>
      </w:r>
      <w:r w:rsidR="004E4FC0">
        <w:rPr>
          <w:rFonts w:cs="Times New Roman"/>
          <w:szCs w:val="24"/>
          <w:lang w:eastAsia="en-GB"/>
        </w:rPr>
        <w:t xml:space="preserve">prevalence of severe CPP </w:t>
      </w:r>
      <w:r>
        <w:rPr>
          <w:rFonts w:cs="Times New Roman"/>
          <w:szCs w:val="24"/>
          <w:lang w:eastAsia="en-GB"/>
        </w:rPr>
        <w:t xml:space="preserve">was </w:t>
      </w:r>
      <w:r w:rsidR="00A33DC4">
        <w:rPr>
          <w:rFonts w:cs="Times New Roman"/>
          <w:szCs w:val="24"/>
          <w:lang w:eastAsia="en-GB"/>
        </w:rPr>
        <w:t xml:space="preserve">calculated using i) the prevalence of psoriasis in Australia, ii) the </w:t>
      </w:r>
      <w:r w:rsidR="004756E6">
        <w:rPr>
          <w:rFonts w:cs="Times New Roman"/>
          <w:szCs w:val="24"/>
          <w:lang w:eastAsia="en-GB"/>
        </w:rPr>
        <w:t>prevalence of CPP</w:t>
      </w:r>
      <w:r w:rsidR="00023D7E">
        <w:rPr>
          <w:rFonts w:cs="Times New Roman"/>
          <w:szCs w:val="24"/>
          <w:lang w:eastAsia="en-GB"/>
        </w:rPr>
        <w:t xml:space="preserve"> in patients with psoriasis</w:t>
      </w:r>
      <w:r w:rsidR="004756E6">
        <w:rPr>
          <w:rFonts w:cs="Times New Roman"/>
          <w:szCs w:val="24"/>
          <w:lang w:eastAsia="en-GB"/>
        </w:rPr>
        <w:t>, and iii) the prevalence of severe psoriasis</w:t>
      </w:r>
      <w:r w:rsidR="00023D7E">
        <w:rPr>
          <w:rFonts w:cs="Times New Roman"/>
          <w:szCs w:val="24"/>
          <w:lang w:eastAsia="en-GB"/>
        </w:rPr>
        <w:t xml:space="preserve"> within the CPP population</w:t>
      </w:r>
      <w:r w:rsidR="004756E6">
        <w:rPr>
          <w:rFonts w:cs="Times New Roman"/>
          <w:szCs w:val="24"/>
          <w:lang w:eastAsia="en-GB"/>
        </w:rPr>
        <w:t xml:space="preserve">. </w:t>
      </w:r>
      <w:r>
        <w:rPr>
          <w:rFonts w:cs="Times New Roman"/>
          <w:szCs w:val="24"/>
          <w:lang w:eastAsia="en-GB"/>
        </w:rPr>
        <w:t xml:space="preserve"> </w:t>
      </w:r>
    </w:p>
    <w:p w:rsidR="00071F2B" w:rsidRPr="00304385" w:rsidRDefault="00B61BDB" w:rsidP="00DF0266">
      <w:pPr>
        <w:pStyle w:val="Heading3"/>
        <w:spacing w:before="240" w:after="200"/>
        <w:rPr>
          <w:lang w:eastAsia="en-GB"/>
        </w:rPr>
      </w:pPr>
      <w:bookmarkStart w:id="26" w:name="_Toc493156390"/>
      <w:bookmarkStart w:id="27" w:name="_Ref499731268"/>
      <w:bookmarkStart w:id="28" w:name="_Toc501632364"/>
      <w:r>
        <w:rPr>
          <w:lang w:eastAsia="en-GB"/>
        </w:rPr>
        <w:t>3.2.1</w:t>
      </w:r>
      <w:r>
        <w:rPr>
          <w:lang w:eastAsia="en-GB"/>
        </w:rPr>
        <w:tab/>
      </w:r>
      <w:r w:rsidR="00071F2B" w:rsidRPr="00304385">
        <w:rPr>
          <w:lang w:eastAsia="en-GB"/>
        </w:rPr>
        <w:t>Prevalence of psoriasis in Australia</w:t>
      </w:r>
      <w:bookmarkEnd w:id="26"/>
      <w:bookmarkEnd w:id="27"/>
      <w:bookmarkEnd w:id="28"/>
    </w:p>
    <w:p w:rsidR="005D184E" w:rsidRPr="00777EB9" w:rsidRDefault="00071F2B" w:rsidP="00777EB9">
      <w:pPr>
        <w:spacing w:line="276" w:lineRule="auto"/>
        <w:rPr>
          <w:rFonts w:eastAsiaTheme="minorEastAsia" w:cs="Calibri"/>
          <w:b/>
          <w:color w:val="000000" w:themeColor="text1"/>
          <w:sz w:val="20"/>
          <w:szCs w:val="24"/>
          <w:lang w:val="en-AU"/>
        </w:rPr>
      </w:pPr>
      <w:r w:rsidRPr="00304385">
        <w:rPr>
          <w:rFonts w:cs="Times New Roman"/>
          <w:szCs w:val="24"/>
          <w:lang w:eastAsia="en-GB"/>
        </w:rPr>
        <w:t xml:space="preserve">Three </w:t>
      </w:r>
      <w:r>
        <w:rPr>
          <w:rFonts w:cs="Times New Roman"/>
          <w:szCs w:val="24"/>
          <w:lang w:eastAsia="en-GB"/>
        </w:rPr>
        <w:t>peer-reviewed p</w:t>
      </w:r>
      <w:r w:rsidRPr="00F17DAB">
        <w:rPr>
          <w:rFonts w:cs="Times New Roman"/>
          <w:szCs w:val="24"/>
          <w:lang w:eastAsia="en-GB"/>
        </w:rPr>
        <w:t>ublications</w:t>
      </w:r>
      <w:r w:rsidRPr="00F17DAB" w:rsidDel="00F17DAB">
        <w:rPr>
          <w:rFonts w:cs="Times New Roman"/>
          <w:szCs w:val="24"/>
          <w:lang w:eastAsia="en-GB"/>
        </w:rPr>
        <w:t xml:space="preserve"> </w:t>
      </w:r>
      <w:r w:rsidRPr="00304385">
        <w:rPr>
          <w:rFonts w:cs="Times New Roman"/>
          <w:szCs w:val="24"/>
          <w:lang w:eastAsia="en-GB"/>
        </w:rPr>
        <w:t xml:space="preserve">were identified that </w:t>
      </w:r>
      <w:r w:rsidR="00023D7E" w:rsidRPr="00304385">
        <w:rPr>
          <w:rFonts w:cs="Times New Roman"/>
          <w:szCs w:val="24"/>
          <w:lang w:eastAsia="en-GB"/>
        </w:rPr>
        <w:t xml:space="preserve">reported estimates </w:t>
      </w:r>
      <w:r w:rsidR="00023D7E">
        <w:rPr>
          <w:rFonts w:cs="Times New Roman"/>
          <w:szCs w:val="24"/>
          <w:lang w:eastAsia="en-GB"/>
        </w:rPr>
        <w:t xml:space="preserve">of </w:t>
      </w:r>
      <w:r w:rsidRPr="00304385">
        <w:rPr>
          <w:rFonts w:cs="Times New Roman"/>
          <w:szCs w:val="24"/>
          <w:lang w:eastAsia="en-GB"/>
        </w:rPr>
        <w:t xml:space="preserve">the </w:t>
      </w:r>
      <w:r w:rsidRPr="003A20F9">
        <w:rPr>
          <w:rFonts w:cs="Times New Roman"/>
          <w:noProof/>
          <w:szCs w:val="24"/>
          <w:lang w:eastAsia="en-GB"/>
        </w:rPr>
        <w:t>prevalence</w:t>
      </w:r>
      <w:r w:rsidRPr="00304385">
        <w:rPr>
          <w:rFonts w:cs="Times New Roman"/>
          <w:szCs w:val="24"/>
          <w:lang w:eastAsia="en-GB"/>
        </w:rPr>
        <w:t xml:space="preserve"> of psoriasis in Australia</w:t>
      </w:r>
      <w:r>
        <w:rPr>
          <w:rFonts w:cs="Times New Roman"/>
          <w:szCs w:val="24"/>
          <w:lang w:eastAsia="en-GB"/>
        </w:rPr>
        <w:t xml:space="preserve">. </w:t>
      </w:r>
      <w:r w:rsidR="00FB1688">
        <w:rPr>
          <w:rFonts w:cs="Times New Roman"/>
          <w:noProof/>
          <w:szCs w:val="24"/>
          <w:lang w:eastAsia="en-GB"/>
        </w:rPr>
        <w:t>(</w:t>
      </w:r>
      <w:r w:rsidR="001B4738">
        <w:rPr>
          <w:rFonts w:cs="Times New Roman"/>
          <w:noProof/>
          <w:szCs w:val="24"/>
          <w:lang w:eastAsia="en-GB"/>
        </w:rPr>
        <w:t>1-3</w:t>
      </w:r>
      <w:r w:rsidR="00FB1688">
        <w:rPr>
          <w:rFonts w:cs="Times New Roman"/>
          <w:noProof/>
          <w:szCs w:val="24"/>
          <w:lang w:eastAsia="en-GB"/>
        </w:rPr>
        <w:t>)</w:t>
      </w:r>
      <w:r>
        <w:rPr>
          <w:rFonts w:cs="Times New Roman"/>
          <w:szCs w:val="24"/>
          <w:lang w:eastAsia="en-GB"/>
        </w:rPr>
        <w:t xml:space="preserve"> </w:t>
      </w:r>
      <w:r w:rsidR="00023D7E">
        <w:rPr>
          <w:rFonts w:cs="Times New Roman"/>
          <w:szCs w:val="24"/>
          <w:lang w:eastAsia="en-GB"/>
        </w:rPr>
        <w:t xml:space="preserve">Grey literature searches identified </w:t>
      </w:r>
      <w:r>
        <w:rPr>
          <w:rFonts w:cs="Times New Roman"/>
          <w:szCs w:val="24"/>
          <w:lang w:eastAsia="en-GB"/>
        </w:rPr>
        <w:t>The</w:t>
      </w:r>
      <w:r w:rsidRPr="00304385">
        <w:rPr>
          <w:rFonts w:cs="Times New Roman"/>
          <w:szCs w:val="24"/>
          <w:lang w:eastAsia="en-GB"/>
        </w:rPr>
        <w:t xml:space="preserve"> Australian Bureau of Statistics (ABS) National Health Surveys (NHS) </w:t>
      </w:r>
      <w:r w:rsidR="00023D7E">
        <w:rPr>
          <w:rFonts w:cs="Times New Roman"/>
          <w:szCs w:val="24"/>
          <w:lang w:eastAsia="en-GB"/>
        </w:rPr>
        <w:t xml:space="preserve">as a source that </w:t>
      </w:r>
      <w:r>
        <w:rPr>
          <w:rFonts w:cs="Times New Roman"/>
          <w:szCs w:val="24"/>
          <w:lang w:eastAsia="en-GB"/>
        </w:rPr>
        <w:t xml:space="preserve">also </w:t>
      </w:r>
      <w:r w:rsidR="005C3216">
        <w:rPr>
          <w:rFonts w:cs="Times New Roman"/>
          <w:szCs w:val="24"/>
          <w:lang w:eastAsia="en-GB"/>
        </w:rPr>
        <w:t xml:space="preserve">reported </w:t>
      </w:r>
      <w:r w:rsidRPr="00304385">
        <w:rPr>
          <w:rFonts w:cs="Times New Roman"/>
          <w:szCs w:val="24"/>
          <w:lang w:eastAsia="en-GB"/>
        </w:rPr>
        <w:t>estimates of the prevalence of psoriasis</w:t>
      </w:r>
      <w:r w:rsidR="00C85201">
        <w:rPr>
          <w:rFonts w:cs="Times New Roman"/>
          <w:szCs w:val="24"/>
          <w:lang w:eastAsia="en-GB"/>
        </w:rPr>
        <w:t>.</w:t>
      </w:r>
      <w:r>
        <w:rPr>
          <w:rFonts w:cs="Times New Roman"/>
          <w:szCs w:val="24"/>
          <w:lang w:eastAsia="en-GB"/>
        </w:rPr>
        <w:t xml:space="preserve"> </w:t>
      </w:r>
      <w:r w:rsidR="00FB1688">
        <w:rPr>
          <w:rFonts w:cs="Times New Roman"/>
          <w:noProof/>
          <w:szCs w:val="24"/>
          <w:lang w:eastAsia="en-GB"/>
        </w:rPr>
        <w:t>(</w:t>
      </w:r>
      <w:r w:rsidR="001B4738">
        <w:rPr>
          <w:rFonts w:cs="Times New Roman"/>
          <w:noProof/>
          <w:szCs w:val="24"/>
          <w:lang w:eastAsia="en-GB"/>
        </w:rPr>
        <w:t>4-6</w:t>
      </w:r>
      <w:r w:rsidR="00FB1688">
        <w:rPr>
          <w:rFonts w:cs="Times New Roman"/>
          <w:noProof/>
          <w:szCs w:val="24"/>
          <w:lang w:eastAsia="en-GB"/>
        </w:rPr>
        <w:t>)</w:t>
      </w:r>
      <w:r>
        <w:rPr>
          <w:rFonts w:cs="Times New Roman"/>
          <w:szCs w:val="24"/>
          <w:lang w:eastAsia="en-GB"/>
        </w:rPr>
        <w:t xml:space="preserve"> </w:t>
      </w:r>
      <w:r w:rsidRPr="00304385">
        <w:rPr>
          <w:rFonts w:cs="Times New Roman"/>
          <w:szCs w:val="24"/>
          <w:lang w:eastAsia="en-GB"/>
        </w:rPr>
        <w:t xml:space="preserve">Due to the availability of several </w:t>
      </w:r>
      <w:r>
        <w:rPr>
          <w:rFonts w:cs="Times New Roman"/>
          <w:szCs w:val="24"/>
          <w:lang w:eastAsia="en-GB"/>
        </w:rPr>
        <w:t xml:space="preserve">Australian </w:t>
      </w:r>
      <w:r w:rsidRPr="00304385">
        <w:rPr>
          <w:rFonts w:cs="Times New Roman"/>
          <w:szCs w:val="24"/>
          <w:lang w:eastAsia="en-GB"/>
        </w:rPr>
        <w:t xml:space="preserve">estimates of </w:t>
      </w:r>
      <w:r w:rsidRPr="003A20F9">
        <w:rPr>
          <w:rFonts w:cs="Times New Roman"/>
          <w:noProof/>
          <w:szCs w:val="24"/>
          <w:lang w:eastAsia="en-GB"/>
        </w:rPr>
        <w:t>prevalence</w:t>
      </w:r>
      <w:r w:rsidRPr="00304385">
        <w:rPr>
          <w:rFonts w:cs="Times New Roman"/>
          <w:szCs w:val="24"/>
          <w:lang w:eastAsia="en-GB"/>
        </w:rPr>
        <w:t xml:space="preserve"> </w:t>
      </w:r>
      <w:r>
        <w:rPr>
          <w:rFonts w:cs="Times New Roman"/>
          <w:szCs w:val="24"/>
          <w:lang w:eastAsia="en-GB"/>
        </w:rPr>
        <w:t>of psoriasis</w:t>
      </w:r>
      <w:r w:rsidRPr="00304385">
        <w:rPr>
          <w:rFonts w:cs="Times New Roman"/>
          <w:szCs w:val="24"/>
          <w:lang w:eastAsia="en-GB"/>
        </w:rPr>
        <w:t xml:space="preserve">, estimates of prevalence from other countries were not presented in detail.  The results from the three studies and the two most recent National Health Surveys are </w:t>
      </w:r>
      <w:r w:rsidRPr="003A20F9">
        <w:rPr>
          <w:rFonts w:cs="Times New Roman"/>
          <w:noProof/>
          <w:szCs w:val="24"/>
          <w:lang w:eastAsia="en-GB"/>
        </w:rPr>
        <w:t>presented</w:t>
      </w:r>
      <w:r w:rsidRPr="00304385">
        <w:rPr>
          <w:rFonts w:cs="Times New Roman"/>
          <w:szCs w:val="24"/>
          <w:lang w:eastAsia="en-GB"/>
        </w:rPr>
        <w:t xml:space="preserve"> in</w:t>
      </w:r>
      <w:r w:rsidR="00777EB9">
        <w:t xml:space="preserve"> </w:t>
      </w:r>
      <w:r w:rsidR="0086184A">
        <w:t xml:space="preserve">Table </w:t>
      </w:r>
      <w:r w:rsidR="0086184A">
        <w:rPr>
          <w:noProof/>
        </w:rPr>
        <w:t>1</w:t>
      </w:r>
      <w:r w:rsidRPr="00304385">
        <w:rPr>
          <w:rFonts w:cs="Times New Roman"/>
          <w:szCs w:val="24"/>
          <w:lang w:eastAsia="en-GB"/>
        </w:rPr>
        <w:t xml:space="preserve">. </w:t>
      </w:r>
    </w:p>
    <w:p w:rsidR="005D184E" w:rsidRDefault="005D184E">
      <w:pPr>
        <w:spacing w:line="276" w:lineRule="auto"/>
        <w:rPr>
          <w:rFonts w:eastAsiaTheme="minorEastAsia" w:cs="Calibri"/>
          <w:b/>
          <w:color w:val="000000" w:themeColor="text1"/>
          <w:sz w:val="20"/>
          <w:szCs w:val="24"/>
          <w:lang w:val="en-AU"/>
        </w:rPr>
      </w:pPr>
      <w:bookmarkStart w:id="29" w:name="_Ref492992919"/>
      <w:r>
        <w:br w:type="page"/>
      </w:r>
    </w:p>
    <w:p w:rsidR="00071F2B" w:rsidRDefault="00071F2B" w:rsidP="005D184E">
      <w:pPr>
        <w:pStyle w:val="MDTabCaption"/>
      </w:pPr>
      <w:bookmarkStart w:id="30" w:name="_Toc501632395"/>
      <w:r>
        <w:t xml:space="preserve">Table </w:t>
      </w:r>
      <w:r w:rsidR="0086184A">
        <w:rPr>
          <w:noProof/>
        </w:rPr>
        <w:t>1</w:t>
      </w:r>
      <w:bookmarkEnd w:id="29"/>
      <w:r>
        <w:t>:</w:t>
      </w:r>
      <w:r w:rsidRPr="0047647E">
        <w:t xml:space="preserve"> Estimates of the prevalence of psoriasis in Australia</w:t>
      </w:r>
      <w:bookmarkEnd w:id="30"/>
      <w:r w:rsidRPr="0047647E">
        <w:t xml:space="preserve">  </w:t>
      </w:r>
    </w:p>
    <w:tbl>
      <w:tblPr>
        <w:tblStyle w:val="TableGrid7"/>
        <w:tblpPr w:leftFromText="180" w:rightFromText="180" w:vertAnchor="text" w:horzAnchor="margin" w:tblpY="43"/>
        <w:tblW w:w="9776" w:type="dxa"/>
        <w:tblLayout w:type="fixed"/>
        <w:tblLook w:val="04A0" w:firstRow="1" w:lastRow="0" w:firstColumn="1" w:lastColumn="0" w:noHBand="0" w:noVBand="1"/>
        <w:tblCaption w:val="Estimates of the prevalence of psoriasis in Australia  "/>
      </w:tblPr>
      <w:tblGrid>
        <w:gridCol w:w="959"/>
        <w:gridCol w:w="1417"/>
        <w:gridCol w:w="851"/>
        <w:gridCol w:w="992"/>
        <w:gridCol w:w="1276"/>
        <w:gridCol w:w="1134"/>
        <w:gridCol w:w="2013"/>
        <w:gridCol w:w="1134"/>
      </w:tblGrid>
      <w:tr w:rsidR="00071F2B" w:rsidRPr="00023D7E" w:rsidTr="005D184E">
        <w:trPr>
          <w:cantSplit/>
          <w:trHeight w:val="699"/>
          <w:tblHeader/>
        </w:trPr>
        <w:tc>
          <w:tcPr>
            <w:tcW w:w="959" w:type="dxa"/>
            <w:shd w:val="clear" w:color="auto" w:fill="BFBFBF" w:themeFill="background1" w:themeFillShade="BF"/>
          </w:tcPr>
          <w:p w:rsidR="00071F2B" w:rsidRPr="00023D7E" w:rsidRDefault="00071F2B" w:rsidP="00023D7E">
            <w:pPr>
              <w:pStyle w:val="TableTextDusc"/>
              <w:rPr>
                <w:b/>
                <w:lang w:eastAsia="en-GB"/>
              </w:rPr>
            </w:pPr>
            <w:r w:rsidRPr="00023D7E">
              <w:rPr>
                <w:b/>
                <w:lang w:eastAsia="en-GB"/>
              </w:rPr>
              <w:t>Source</w:t>
            </w:r>
          </w:p>
        </w:tc>
        <w:tc>
          <w:tcPr>
            <w:tcW w:w="1417" w:type="dxa"/>
            <w:shd w:val="clear" w:color="auto" w:fill="BFBFBF" w:themeFill="background1" w:themeFillShade="BF"/>
          </w:tcPr>
          <w:p w:rsidR="00071F2B" w:rsidRPr="00023D7E" w:rsidRDefault="00071F2B" w:rsidP="00023D7E">
            <w:pPr>
              <w:pStyle w:val="TableTextDusc"/>
              <w:rPr>
                <w:b/>
                <w:lang w:eastAsia="en-GB"/>
              </w:rPr>
            </w:pPr>
            <w:r w:rsidRPr="00023D7E">
              <w:rPr>
                <w:b/>
                <w:lang w:eastAsia="en-GB"/>
              </w:rPr>
              <w:t>Study location and year</w:t>
            </w:r>
          </w:p>
        </w:tc>
        <w:tc>
          <w:tcPr>
            <w:tcW w:w="851" w:type="dxa"/>
            <w:shd w:val="clear" w:color="auto" w:fill="BFBFBF" w:themeFill="background1" w:themeFillShade="BF"/>
          </w:tcPr>
          <w:p w:rsidR="00071F2B" w:rsidRPr="00023D7E" w:rsidRDefault="00071F2B" w:rsidP="00023D7E">
            <w:pPr>
              <w:pStyle w:val="TableTextDusc"/>
              <w:rPr>
                <w:b/>
                <w:lang w:eastAsia="en-GB"/>
              </w:rPr>
            </w:pPr>
            <w:r w:rsidRPr="00023D7E">
              <w:rPr>
                <w:b/>
                <w:lang w:eastAsia="en-GB"/>
              </w:rPr>
              <w:t>Sample size</w:t>
            </w:r>
          </w:p>
        </w:tc>
        <w:tc>
          <w:tcPr>
            <w:tcW w:w="992" w:type="dxa"/>
            <w:shd w:val="clear" w:color="auto" w:fill="BFBFBF" w:themeFill="background1" w:themeFillShade="BF"/>
          </w:tcPr>
          <w:p w:rsidR="00071F2B" w:rsidRPr="00023D7E" w:rsidRDefault="00071F2B" w:rsidP="00023D7E">
            <w:pPr>
              <w:pStyle w:val="TableTextDusc"/>
              <w:rPr>
                <w:b/>
                <w:lang w:eastAsia="en-GB"/>
              </w:rPr>
            </w:pPr>
            <w:r w:rsidRPr="00023D7E">
              <w:rPr>
                <w:b/>
                <w:lang w:eastAsia="en-GB"/>
              </w:rPr>
              <w:t>Age</w:t>
            </w:r>
          </w:p>
        </w:tc>
        <w:tc>
          <w:tcPr>
            <w:tcW w:w="1276" w:type="dxa"/>
            <w:shd w:val="clear" w:color="auto" w:fill="BFBFBF" w:themeFill="background1" w:themeFillShade="BF"/>
          </w:tcPr>
          <w:p w:rsidR="00071F2B" w:rsidRPr="00023D7E" w:rsidRDefault="00071F2B" w:rsidP="00023D7E">
            <w:pPr>
              <w:pStyle w:val="TableTextDusc"/>
              <w:rPr>
                <w:b/>
                <w:lang w:eastAsia="en-GB"/>
              </w:rPr>
            </w:pPr>
            <w:r w:rsidRPr="00023D7E">
              <w:rPr>
                <w:b/>
                <w:lang w:eastAsia="en-GB"/>
              </w:rPr>
              <w:t>Diagnosis method</w:t>
            </w:r>
          </w:p>
        </w:tc>
        <w:tc>
          <w:tcPr>
            <w:tcW w:w="1134" w:type="dxa"/>
            <w:shd w:val="clear" w:color="auto" w:fill="BFBFBF" w:themeFill="background1" w:themeFillShade="BF"/>
          </w:tcPr>
          <w:p w:rsidR="00071F2B" w:rsidRPr="00023D7E" w:rsidRDefault="00071F2B" w:rsidP="00023D7E">
            <w:pPr>
              <w:pStyle w:val="TableTextDusc"/>
              <w:rPr>
                <w:b/>
                <w:lang w:eastAsia="en-GB"/>
              </w:rPr>
            </w:pPr>
            <w:r w:rsidRPr="00023D7E">
              <w:rPr>
                <w:b/>
                <w:lang w:eastAsia="en-GB"/>
              </w:rPr>
              <w:t>Response rate</w:t>
            </w:r>
          </w:p>
        </w:tc>
        <w:tc>
          <w:tcPr>
            <w:tcW w:w="2013" w:type="dxa"/>
            <w:shd w:val="clear" w:color="auto" w:fill="BFBFBF" w:themeFill="background1" w:themeFillShade="BF"/>
          </w:tcPr>
          <w:p w:rsidR="00071F2B" w:rsidRPr="00023D7E" w:rsidRDefault="00071F2B" w:rsidP="00023D7E">
            <w:pPr>
              <w:pStyle w:val="TableTextDusc"/>
              <w:rPr>
                <w:b/>
                <w:lang w:eastAsia="en-GB"/>
              </w:rPr>
            </w:pPr>
            <w:r w:rsidRPr="00023D7E">
              <w:rPr>
                <w:b/>
                <w:lang w:eastAsia="en-GB"/>
              </w:rPr>
              <w:t>Prevalence estimates</w:t>
            </w:r>
            <w:r w:rsidRPr="00023D7E">
              <w:rPr>
                <w:b/>
                <w:lang w:eastAsia="en-GB"/>
              </w:rPr>
              <w:br/>
              <w:t>(95% CI)</w:t>
            </w:r>
          </w:p>
        </w:tc>
        <w:tc>
          <w:tcPr>
            <w:tcW w:w="1134" w:type="dxa"/>
            <w:shd w:val="clear" w:color="auto" w:fill="BFBFBF" w:themeFill="background1" w:themeFillShade="BF"/>
          </w:tcPr>
          <w:p w:rsidR="00071F2B" w:rsidRPr="00023D7E" w:rsidRDefault="00071F2B" w:rsidP="00023D7E">
            <w:pPr>
              <w:pStyle w:val="TableTextDusc"/>
              <w:rPr>
                <w:b/>
                <w:lang w:eastAsia="en-GB"/>
              </w:rPr>
            </w:pPr>
            <w:r w:rsidRPr="00023D7E">
              <w:rPr>
                <w:b/>
                <w:lang w:eastAsia="en-GB"/>
              </w:rPr>
              <w:t>Prevalence period</w:t>
            </w:r>
          </w:p>
        </w:tc>
      </w:tr>
      <w:tr w:rsidR="00071F2B" w:rsidRPr="00304385" w:rsidTr="00023D7E">
        <w:trPr>
          <w:cantSplit/>
          <w:trHeight w:val="408"/>
          <w:tblHeader/>
        </w:trPr>
        <w:tc>
          <w:tcPr>
            <w:tcW w:w="959" w:type="dxa"/>
          </w:tcPr>
          <w:p w:rsidR="00071F2B" w:rsidRPr="00304385" w:rsidRDefault="00071F2B" w:rsidP="00023D7E">
            <w:pPr>
              <w:pStyle w:val="TableTextDusc"/>
              <w:rPr>
                <w:rFonts w:cs="Times New Roman"/>
                <w:lang w:eastAsia="en-GB"/>
              </w:rPr>
            </w:pPr>
            <w:r>
              <w:rPr>
                <w:rFonts w:cs="Times New Roman"/>
                <w:noProof/>
                <w:lang w:eastAsia="en-GB"/>
              </w:rPr>
              <w:t>Quirk (1979)</w:t>
            </w:r>
          </w:p>
        </w:tc>
        <w:tc>
          <w:tcPr>
            <w:tcW w:w="1417" w:type="dxa"/>
          </w:tcPr>
          <w:p w:rsidR="00071F2B" w:rsidRPr="00304385" w:rsidRDefault="00071F2B" w:rsidP="00023D7E">
            <w:pPr>
              <w:pStyle w:val="TableTextDusc"/>
              <w:rPr>
                <w:lang w:eastAsia="en-GB"/>
              </w:rPr>
            </w:pPr>
            <w:r w:rsidRPr="00304385">
              <w:rPr>
                <w:lang w:eastAsia="en-GB"/>
              </w:rPr>
              <w:t>Busselton, WA</w:t>
            </w:r>
          </w:p>
        </w:tc>
        <w:tc>
          <w:tcPr>
            <w:tcW w:w="851" w:type="dxa"/>
          </w:tcPr>
          <w:p w:rsidR="00071F2B" w:rsidRPr="00304385" w:rsidRDefault="00071F2B" w:rsidP="00023D7E">
            <w:pPr>
              <w:pStyle w:val="TableTextDusc"/>
              <w:rPr>
                <w:lang w:eastAsia="en-GB"/>
              </w:rPr>
            </w:pPr>
            <w:r w:rsidRPr="00304385">
              <w:rPr>
                <w:lang w:eastAsia="en-GB"/>
              </w:rPr>
              <w:t>1,037</w:t>
            </w:r>
          </w:p>
        </w:tc>
        <w:tc>
          <w:tcPr>
            <w:tcW w:w="992" w:type="dxa"/>
          </w:tcPr>
          <w:p w:rsidR="00071F2B" w:rsidRPr="00304385" w:rsidRDefault="00071F2B" w:rsidP="00023D7E">
            <w:pPr>
              <w:pStyle w:val="TableTextDusc"/>
              <w:rPr>
                <w:lang w:eastAsia="en-GB"/>
              </w:rPr>
            </w:pPr>
            <w:r w:rsidRPr="00304385">
              <w:rPr>
                <w:lang w:eastAsia="en-GB"/>
              </w:rPr>
              <w:t>Adults</w:t>
            </w:r>
          </w:p>
        </w:tc>
        <w:tc>
          <w:tcPr>
            <w:tcW w:w="1276" w:type="dxa"/>
          </w:tcPr>
          <w:p w:rsidR="00071F2B" w:rsidRPr="00304385" w:rsidRDefault="00071F2B" w:rsidP="00023D7E">
            <w:pPr>
              <w:pStyle w:val="TableTextDusc"/>
              <w:rPr>
                <w:lang w:eastAsia="en-GB"/>
              </w:rPr>
            </w:pPr>
            <w:r w:rsidRPr="00304385">
              <w:rPr>
                <w:lang w:eastAsia="en-GB"/>
              </w:rPr>
              <w:t>Physician diagnosed</w:t>
            </w:r>
          </w:p>
        </w:tc>
        <w:tc>
          <w:tcPr>
            <w:tcW w:w="1134" w:type="dxa"/>
          </w:tcPr>
          <w:p w:rsidR="00071F2B" w:rsidRPr="00304385" w:rsidRDefault="00071F2B" w:rsidP="00023D7E">
            <w:pPr>
              <w:pStyle w:val="TableTextDusc"/>
              <w:rPr>
                <w:lang w:eastAsia="en-GB"/>
              </w:rPr>
            </w:pPr>
            <w:r w:rsidRPr="00304385">
              <w:rPr>
                <w:lang w:eastAsia="en-GB"/>
              </w:rPr>
              <w:t>NR</w:t>
            </w:r>
          </w:p>
        </w:tc>
        <w:tc>
          <w:tcPr>
            <w:tcW w:w="2013" w:type="dxa"/>
          </w:tcPr>
          <w:p w:rsidR="00071F2B" w:rsidRPr="00304385" w:rsidRDefault="00071F2B" w:rsidP="00023D7E">
            <w:pPr>
              <w:pStyle w:val="TableTextDusc"/>
              <w:rPr>
                <w:lang w:eastAsia="en-GB"/>
              </w:rPr>
            </w:pPr>
            <w:r w:rsidRPr="00304385">
              <w:rPr>
                <w:lang w:eastAsia="en-GB"/>
              </w:rPr>
              <w:t>2.30%</w:t>
            </w:r>
          </w:p>
        </w:tc>
        <w:tc>
          <w:tcPr>
            <w:tcW w:w="1134" w:type="dxa"/>
          </w:tcPr>
          <w:p w:rsidR="00071F2B" w:rsidRPr="00304385" w:rsidRDefault="00071F2B" w:rsidP="00023D7E">
            <w:pPr>
              <w:pStyle w:val="TableTextDusc"/>
              <w:rPr>
                <w:lang w:eastAsia="en-GB"/>
              </w:rPr>
            </w:pPr>
            <w:r w:rsidRPr="00304385">
              <w:rPr>
                <w:lang w:eastAsia="en-GB"/>
              </w:rPr>
              <w:t>PP</w:t>
            </w:r>
          </w:p>
        </w:tc>
      </w:tr>
      <w:tr w:rsidR="00381633" w:rsidRPr="00304385" w:rsidTr="00381633">
        <w:trPr>
          <w:cantSplit/>
          <w:trHeight w:val="634"/>
          <w:tblHeader/>
        </w:trPr>
        <w:tc>
          <w:tcPr>
            <w:tcW w:w="959" w:type="dxa"/>
            <w:tcBorders>
              <w:bottom w:val="nil"/>
            </w:tcBorders>
          </w:tcPr>
          <w:p w:rsidR="00381633" w:rsidRPr="00304385" w:rsidRDefault="00381633" w:rsidP="00023D7E">
            <w:pPr>
              <w:pStyle w:val="TableTextDusc"/>
              <w:rPr>
                <w:rFonts w:cs="Times New Roman"/>
                <w:lang w:eastAsia="en-GB"/>
              </w:rPr>
            </w:pPr>
            <w:r w:rsidRPr="00304385">
              <w:rPr>
                <w:rFonts w:cs="Times New Roman"/>
                <w:lang w:eastAsia="en-GB"/>
              </w:rPr>
              <w:t xml:space="preserve">Kilkenny </w:t>
            </w:r>
            <w:r>
              <w:rPr>
                <w:rFonts w:cs="Times New Roman"/>
                <w:lang w:eastAsia="en-GB"/>
              </w:rPr>
              <w:t>(</w:t>
            </w:r>
            <w:r w:rsidRPr="00304385">
              <w:rPr>
                <w:rFonts w:cs="Times New Roman"/>
                <w:lang w:eastAsia="en-GB"/>
              </w:rPr>
              <w:t>1998</w:t>
            </w:r>
            <w:r>
              <w:rPr>
                <w:rFonts w:cs="Times New Roman"/>
                <w:lang w:eastAsia="en-GB"/>
              </w:rPr>
              <w:t>)</w:t>
            </w:r>
          </w:p>
        </w:tc>
        <w:tc>
          <w:tcPr>
            <w:tcW w:w="1417" w:type="dxa"/>
            <w:tcBorders>
              <w:bottom w:val="nil"/>
            </w:tcBorders>
          </w:tcPr>
          <w:p w:rsidR="00381633" w:rsidRPr="00304385" w:rsidRDefault="00381633" w:rsidP="00023D7E">
            <w:pPr>
              <w:pStyle w:val="TableTextDusc"/>
              <w:rPr>
                <w:lang w:eastAsia="en-GB"/>
              </w:rPr>
            </w:pPr>
            <w:r w:rsidRPr="00304385">
              <w:rPr>
                <w:lang w:eastAsia="en-GB"/>
              </w:rPr>
              <w:t>Maryborough VIC 1996</w:t>
            </w:r>
          </w:p>
        </w:tc>
        <w:tc>
          <w:tcPr>
            <w:tcW w:w="851" w:type="dxa"/>
            <w:tcBorders>
              <w:bottom w:val="nil"/>
            </w:tcBorders>
          </w:tcPr>
          <w:p w:rsidR="00381633" w:rsidRPr="00304385" w:rsidRDefault="00381633" w:rsidP="00023D7E">
            <w:pPr>
              <w:pStyle w:val="TableTextDusc"/>
              <w:rPr>
                <w:lang w:eastAsia="en-GB"/>
              </w:rPr>
            </w:pPr>
            <w:r w:rsidRPr="00304385">
              <w:rPr>
                <w:lang w:eastAsia="en-GB"/>
              </w:rPr>
              <w:t>416</w:t>
            </w:r>
          </w:p>
        </w:tc>
        <w:tc>
          <w:tcPr>
            <w:tcW w:w="992" w:type="dxa"/>
            <w:tcBorders>
              <w:bottom w:val="nil"/>
            </w:tcBorders>
          </w:tcPr>
          <w:p w:rsidR="00381633" w:rsidRPr="00304385" w:rsidRDefault="00381633" w:rsidP="00023D7E">
            <w:pPr>
              <w:pStyle w:val="TableTextDusc"/>
              <w:rPr>
                <w:lang w:eastAsia="en-GB"/>
              </w:rPr>
            </w:pPr>
            <w:r w:rsidRPr="00304385">
              <w:rPr>
                <w:lang w:eastAsia="en-GB"/>
              </w:rPr>
              <w:t xml:space="preserve">Adults </w:t>
            </w:r>
            <w:r w:rsidRPr="00304385">
              <w:rPr>
                <w:lang w:eastAsia="en-GB"/>
              </w:rPr>
              <w:br/>
              <w:t>(18 yrs+)</w:t>
            </w:r>
          </w:p>
        </w:tc>
        <w:tc>
          <w:tcPr>
            <w:tcW w:w="1276" w:type="dxa"/>
            <w:tcBorders>
              <w:bottom w:val="nil"/>
            </w:tcBorders>
          </w:tcPr>
          <w:p w:rsidR="00381633" w:rsidRPr="00304385" w:rsidRDefault="00381633" w:rsidP="00023D7E">
            <w:pPr>
              <w:pStyle w:val="TableTextDusc"/>
              <w:rPr>
                <w:lang w:eastAsia="en-GB"/>
              </w:rPr>
            </w:pPr>
            <w:r w:rsidRPr="00304385">
              <w:rPr>
                <w:lang w:eastAsia="en-GB"/>
              </w:rPr>
              <w:t>Self-report</w:t>
            </w:r>
          </w:p>
        </w:tc>
        <w:tc>
          <w:tcPr>
            <w:tcW w:w="1134" w:type="dxa"/>
            <w:tcBorders>
              <w:bottom w:val="nil"/>
            </w:tcBorders>
          </w:tcPr>
          <w:p w:rsidR="00381633" w:rsidRPr="00304385" w:rsidRDefault="00381633" w:rsidP="00023D7E">
            <w:pPr>
              <w:pStyle w:val="TableTextDusc"/>
              <w:rPr>
                <w:vertAlign w:val="superscript"/>
                <w:lang w:eastAsia="en-GB"/>
              </w:rPr>
            </w:pPr>
            <w:r w:rsidRPr="00304385">
              <w:rPr>
                <w:lang w:eastAsia="en-GB"/>
              </w:rPr>
              <w:t>94%</w:t>
            </w:r>
            <w:r w:rsidRPr="00304385">
              <w:rPr>
                <w:vertAlign w:val="superscript"/>
                <w:lang w:eastAsia="en-GB"/>
              </w:rPr>
              <w:t>a</w:t>
            </w:r>
          </w:p>
        </w:tc>
        <w:tc>
          <w:tcPr>
            <w:tcW w:w="2013" w:type="dxa"/>
            <w:tcBorders>
              <w:bottom w:val="nil"/>
            </w:tcBorders>
          </w:tcPr>
          <w:p w:rsidR="00381633" w:rsidRPr="00304385" w:rsidRDefault="00381633" w:rsidP="00023D7E">
            <w:pPr>
              <w:pStyle w:val="TableTextDusc"/>
              <w:rPr>
                <w:lang w:eastAsia="en-GB"/>
              </w:rPr>
            </w:pPr>
            <w:r w:rsidRPr="00304385">
              <w:rPr>
                <w:lang w:eastAsia="en-GB"/>
              </w:rPr>
              <w:t>4.5%</w:t>
            </w:r>
            <w:r>
              <w:rPr>
                <w:lang w:eastAsia="en-GB"/>
              </w:rPr>
              <w:t xml:space="preserve"> (</w:t>
            </w:r>
            <w:r w:rsidRPr="00304385">
              <w:rPr>
                <w:lang w:eastAsia="en-GB"/>
              </w:rPr>
              <w:t>1.0, 7.9)</w:t>
            </w:r>
          </w:p>
        </w:tc>
        <w:tc>
          <w:tcPr>
            <w:tcW w:w="1134" w:type="dxa"/>
            <w:tcBorders>
              <w:bottom w:val="nil"/>
            </w:tcBorders>
          </w:tcPr>
          <w:p w:rsidR="00381633" w:rsidRPr="00304385" w:rsidRDefault="00381633" w:rsidP="00023D7E">
            <w:pPr>
              <w:pStyle w:val="TableTextDusc"/>
              <w:rPr>
                <w:lang w:eastAsia="en-GB"/>
              </w:rPr>
            </w:pPr>
            <w:r w:rsidRPr="00304385">
              <w:rPr>
                <w:lang w:eastAsia="en-GB"/>
              </w:rPr>
              <w:t>2 weeks</w:t>
            </w:r>
          </w:p>
        </w:tc>
      </w:tr>
      <w:tr w:rsidR="00381633" w:rsidRPr="00304385" w:rsidTr="00381633">
        <w:trPr>
          <w:cantSplit/>
          <w:trHeight w:val="312"/>
          <w:tblHeader/>
        </w:trPr>
        <w:tc>
          <w:tcPr>
            <w:tcW w:w="959" w:type="dxa"/>
            <w:tcBorders>
              <w:top w:val="nil"/>
            </w:tcBorders>
          </w:tcPr>
          <w:p w:rsidR="00381633" w:rsidRPr="00304385" w:rsidRDefault="00381633" w:rsidP="00023D7E">
            <w:pPr>
              <w:pStyle w:val="TableTextDusc"/>
              <w:rPr>
                <w:rFonts w:cs="Times New Roman"/>
                <w:lang w:eastAsia="en-GB"/>
              </w:rPr>
            </w:pPr>
          </w:p>
        </w:tc>
        <w:tc>
          <w:tcPr>
            <w:tcW w:w="1417" w:type="dxa"/>
            <w:tcBorders>
              <w:top w:val="nil"/>
            </w:tcBorders>
          </w:tcPr>
          <w:p w:rsidR="00381633" w:rsidRPr="00304385" w:rsidRDefault="00381633" w:rsidP="00023D7E">
            <w:pPr>
              <w:pStyle w:val="TableTextDusc"/>
              <w:rPr>
                <w:lang w:eastAsia="en-GB"/>
              </w:rPr>
            </w:pPr>
          </w:p>
        </w:tc>
        <w:tc>
          <w:tcPr>
            <w:tcW w:w="851" w:type="dxa"/>
            <w:tcBorders>
              <w:top w:val="nil"/>
            </w:tcBorders>
          </w:tcPr>
          <w:p w:rsidR="00381633" w:rsidRPr="00304385" w:rsidRDefault="00381633" w:rsidP="00023D7E">
            <w:pPr>
              <w:pStyle w:val="TableTextDusc"/>
              <w:rPr>
                <w:lang w:eastAsia="en-GB"/>
              </w:rPr>
            </w:pPr>
          </w:p>
        </w:tc>
        <w:tc>
          <w:tcPr>
            <w:tcW w:w="992" w:type="dxa"/>
            <w:tcBorders>
              <w:top w:val="nil"/>
            </w:tcBorders>
          </w:tcPr>
          <w:p w:rsidR="00381633" w:rsidRPr="00304385" w:rsidRDefault="00381633" w:rsidP="00023D7E">
            <w:pPr>
              <w:pStyle w:val="TableTextDusc"/>
              <w:rPr>
                <w:lang w:eastAsia="en-GB"/>
              </w:rPr>
            </w:pPr>
          </w:p>
        </w:tc>
        <w:tc>
          <w:tcPr>
            <w:tcW w:w="1276" w:type="dxa"/>
            <w:tcBorders>
              <w:top w:val="nil"/>
            </w:tcBorders>
          </w:tcPr>
          <w:p w:rsidR="00381633" w:rsidRPr="00304385" w:rsidRDefault="00381633" w:rsidP="00023D7E">
            <w:pPr>
              <w:pStyle w:val="TableTextDusc"/>
              <w:rPr>
                <w:lang w:eastAsia="en-GB"/>
              </w:rPr>
            </w:pPr>
          </w:p>
        </w:tc>
        <w:tc>
          <w:tcPr>
            <w:tcW w:w="1134" w:type="dxa"/>
            <w:tcBorders>
              <w:top w:val="nil"/>
            </w:tcBorders>
          </w:tcPr>
          <w:p w:rsidR="00381633" w:rsidRPr="00304385" w:rsidRDefault="00381633" w:rsidP="00023D7E">
            <w:pPr>
              <w:pStyle w:val="TableTextDusc"/>
              <w:rPr>
                <w:lang w:eastAsia="en-GB"/>
              </w:rPr>
            </w:pPr>
          </w:p>
        </w:tc>
        <w:tc>
          <w:tcPr>
            <w:tcW w:w="2013" w:type="dxa"/>
            <w:tcBorders>
              <w:top w:val="nil"/>
            </w:tcBorders>
          </w:tcPr>
          <w:p w:rsidR="00381633" w:rsidRPr="00304385" w:rsidRDefault="00381633" w:rsidP="00023D7E">
            <w:pPr>
              <w:pStyle w:val="TableTextDusc"/>
              <w:rPr>
                <w:lang w:eastAsia="en-GB"/>
              </w:rPr>
            </w:pPr>
            <w:r w:rsidRPr="00304385">
              <w:rPr>
                <w:lang w:eastAsia="en-GB"/>
              </w:rPr>
              <w:t>3.5%</w:t>
            </w:r>
            <w:r>
              <w:rPr>
                <w:lang w:eastAsia="en-GB"/>
              </w:rPr>
              <w:t xml:space="preserve"> (</w:t>
            </w:r>
            <w:r w:rsidRPr="00304385">
              <w:rPr>
                <w:lang w:eastAsia="en-GB"/>
              </w:rPr>
              <w:t>0.9, 5.1)</w:t>
            </w:r>
          </w:p>
        </w:tc>
        <w:tc>
          <w:tcPr>
            <w:tcW w:w="1134" w:type="dxa"/>
            <w:tcBorders>
              <w:top w:val="nil"/>
            </w:tcBorders>
          </w:tcPr>
          <w:p w:rsidR="00381633" w:rsidRPr="00304385" w:rsidRDefault="00381633" w:rsidP="00023D7E">
            <w:pPr>
              <w:pStyle w:val="TableTextDusc"/>
              <w:rPr>
                <w:lang w:eastAsia="en-GB"/>
              </w:rPr>
            </w:pPr>
            <w:r w:rsidRPr="00304385">
              <w:rPr>
                <w:lang w:eastAsia="en-GB"/>
              </w:rPr>
              <w:t>6 months</w:t>
            </w:r>
            <w:r w:rsidRPr="00304385">
              <w:rPr>
                <w:vertAlign w:val="superscript"/>
                <w:lang w:eastAsia="en-GB"/>
              </w:rPr>
              <w:t>b</w:t>
            </w:r>
          </w:p>
        </w:tc>
      </w:tr>
      <w:tr w:rsidR="00071F2B" w:rsidRPr="00304385" w:rsidTr="00377494">
        <w:trPr>
          <w:cantSplit/>
          <w:trHeight w:val="861"/>
          <w:tblHeader/>
        </w:trPr>
        <w:tc>
          <w:tcPr>
            <w:tcW w:w="959" w:type="dxa"/>
          </w:tcPr>
          <w:p w:rsidR="00071F2B" w:rsidRPr="00304385" w:rsidRDefault="00071F2B" w:rsidP="00023D7E">
            <w:pPr>
              <w:pStyle w:val="TableTextDusc"/>
              <w:rPr>
                <w:rFonts w:cs="Times New Roman"/>
                <w:lang w:eastAsia="en-GB"/>
              </w:rPr>
            </w:pPr>
            <w:r w:rsidRPr="00304385">
              <w:rPr>
                <w:rFonts w:cs="Times New Roman"/>
                <w:lang w:eastAsia="en-GB"/>
              </w:rPr>
              <w:t>Plunkett</w:t>
            </w:r>
            <w:r>
              <w:rPr>
                <w:rFonts w:cs="Times New Roman"/>
                <w:lang w:eastAsia="en-GB"/>
              </w:rPr>
              <w:t xml:space="preserve"> (</w:t>
            </w:r>
            <w:r w:rsidRPr="00304385">
              <w:rPr>
                <w:rFonts w:cs="Times New Roman"/>
                <w:lang w:eastAsia="en-GB"/>
              </w:rPr>
              <w:t>1999</w:t>
            </w:r>
            <w:r>
              <w:rPr>
                <w:rFonts w:cs="Times New Roman"/>
                <w:lang w:eastAsia="en-GB"/>
              </w:rPr>
              <w:t>)</w:t>
            </w:r>
          </w:p>
        </w:tc>
        <w:tc>
          <w:tcPr>
            <w:tcW w:w="1417" w:type="dxa"/>
          </w:tcPr>
          <w:p w:rsidR="00071F2B" w:rsidRPr="00304385" w:rsidRDefault="00071F2B" w:rsidP="00023D7E">
            <w:pPr>
              <w:pStyle w:val="TableTextDusc"/>
              <w:rPr>
                <w:lang w:eastAsia="en-GB"/>
              </w:rPr>
            </w:pPr>
            <w:r w:rsidRPr="00304385">
              <w:rPr>
                <w:lang w:eastAsia="en-GB"/>
              </w:rPr>
              <w:t>Maryborough VIC 1997-8</w:t>
            </w:r>
          </w:p>
        </w:tc>
        <w:tc>
          <w:tcPr>
            <w:tcW w:w="851" w:type="dxa"/>
          </w:tcPr>
          <w:p w:rsidR="00071F2B" w:rsidRPr="00304385" w:rsidRDefault="00071F2B" w:rsidP="00023D7E">
            <w:pPr>
              <w:pStyle w:val="TableTextDusc"/>
              <w:rPr>
                <w:lang w:eastAsia="en-GB"/>
              </w:rPr>
            </w:pPr>
            <w:r w:rsidRPr="00304385">
              <w:rPr>
                <w:lang w:eastAsia="en-GB"/>
              </w:rPr>
              <w:t>1,457</w:t>
            </w:r>
          </w:p>
        </w:tc>
        <w:tc>
          <w:tcPr>
            <w:tcW w:w="992" w:type="dxa"/>
          </w:tcPr>
          <w:p w:rsidR="00071F2B" w:rsidRPr="00304385" w:rsidRDefault="00071F2B" w:rsidP="00023D7E">
            <w:pPr>
              <w:pStyle w:val="TableTextDusc"/>
              <w:rPr>
                <w:lang w:eastAsia="en-GB"/>
              </w:rPr>
            </w:pPr>
            <w:r w:rsidRPr="00304385">
              <w:rPr>
                <w:lang w:eastAsia="en-GB"/>
              </w:rPr>
              <w:t>20 yrs+</w:t>
            </w:r>
          </w:p>
        </w:tc>
        <w:tc>
          <w:tcPr>
            <w:tcW w:w="1276" w:type="dxa"/>
          </w:tcPr>
          <w:p w:rsidR="00071F2B" w:rsidRPr="00304385" w:rsidRDefault="00071F2B" w:rsidP="00023D7E">
            <w:pPr>
              <w:pStyle w:val="TableTextDusc"/>
              <w:rPr>
                <w:lang w:eastAsia="en-GB"/>
              </w:rPr>
            </w:pPr>
            <w:r w:rsidRPr="00304385">
              <w:rPr>
                <w:lang w:eastAsia="en-GB"/>
              </w:rPr>
              <w:t>Dermatology registrar</w:t>
            </w:r>
          </w:p>
        </w:tc>
        <w:tc>
          <w:tcPr>
            <w:tcW w:w="1134" w:type="dxa"/>
          </w:tcPr>
          <w:p w:rsidR="00071F2B" w:rsidRPr="00304385" w:rsidRDefault="00071F2B" w:rsidP="00023D7E">
            <w:pPr>
              <w:pStyle w:val="TableTextDusc"/>
              <w:rPr>
                <w:lang w:eastAsia="en-GB"/>
              </w:rPr>
            </w:pPr>
            <w:r w:rsidRPr="00304385">
              <w:rPr>
                <w:lang w:eastAsia="en-GB"/>
              </w:rPr>
              <w:t>72.2%</w:t>
            </w:r>
            <w:r w:rsidRPr="00304385">
              <w:rPr>
                <w:vertAlign w:val="superscript"/>
                <w:lang w:eastAsia="en-GB"/>
              </w:rPr>
              <w:t xml:space="preserve"> a</w:t>
            </w:r>
          </w:p>
        </w:tc>
        <w:tc>
          <w:tcPr>
            <w:tcW w:w="2013" w:type="dxa"/>
          </w:tcPr>
          <w:p w:rsidR="00071F2B" w:rsidRPr="00304385" w:rsidRDefault="00071F2B" w:rsidP="00023D7E">
            <w:pPr>
              <w:pStyle w:val="TableTextDusc"/>
              <w:rPr>
                <w:lang w:eastAsia="en-GB"/>
              </w:rPr>
            </w:pPr>
            <w:r w:rsidRPr="00304385">
              <w:rPr>
                <w:lang w:eastAsia="en-GB"/>
              </w:rPr>
              <w:t>All: 6.6% (5.4, 7.9)</w:t>
            </w:r>
          </w:p>
          <w:p w:rsidR="00071F2B" w:rsidRPr="00304385" w:rsidRDefault="00071F2B" w:rsidP="00023D7E">
            <w:pPr>
              <w:pStyle w:val="TableTextDusc"/>
              <w:rPr>
                <w:lang w:eastAsia="en-GB"/>
              </w:rPr>
            </w:pPr>
            <w:r w:rsidRPr="00304385">
              <w:rPr>
                <w:lang w:eastAsia="en-GB"/>
              </w:rPr>
              <w:t>Male: 8.9% (6.8, 11.0)</w:t>
            </w:r>
          </w:p>
          <w:p w:rsidR="00071F2B" w:rsidRPr="00304385" w:rsidRDefault="00071F2B" w:rsidP="00023D7E">
            <w:pPr>
              <w:pStyle w:val="TableTextDusc"/>
              <w:rPr>
                <w:lang w:eastAsia="en-GB"/>
              </w:rPr>
            </w:pPr>
            <w:r w:rsidRPr="00304385">
              <w:rPr>
                <w:lang w:eastAsia="en-GB"/>
              </w:rPr>
              <w:t>Female: 4.5%</w:t>
            </w:r>
            <w:r>
              <w:rPr>
                <w:lang w:eastAsia="en-GB"/>
              </w:rPr>
              <w:t xml:space="preserve"> (</w:t>
            </w:r>
            <w:r w:rsidRPr="00304385">
              <w:rPr>
                <w:lang w:eastAsia="en-GB"/>
              </w:rPr>
              <w:t>3.2, 6.3)</w:t>
            </w:r>
          </w:p>
        </w:tc>
        <w:tc>
          <w:tcPr>
            <w:tcW w:w="1134" w:type="dxa"/>
          </w:tcPr>
          <w:p w:rsidR="00071F2B" w:rsidRPr="00304385" w:rsidRDefault="00071F2B" w:rsidP="00023D7E">
            <w:pPr>
              <w:pStyle w:val="TableTextDusc"/>
              <w:rPr>
                <w:lang w:eastAsia="en-GB"/>
              </w:rPr>
            </w:pPr>
            <w:r w:rsidRPr="00304385">
              <w:rPr>
                <w:lang w:eastAsia="en-GB"/>
              </w:rPr>
              <w:t>PP</w:t>
            </w:r>
          </w:p>
        </w:tc>
      </w:tr>
      <w:tr w:rsidR="00071F2B" w:rsidRPr="00304385" w:rsidTr="00377494">
        <w:trPr>
          <w:cantSplit/>
          <w:trHeight w:val="2041"/>
          <w:tblHeader/>
        </w:trPr>
        <w:tc>
          <w:tcPr>
            <w:tcW w:w="959" w:type="dxa"/>
          </w:tcPr>
          <w:p w:rsidR="00071F2B" w:rsidRPr="00304385" w:rsidRDefault="00071F2B" w:rsidP="00023D7E">
            <w:pPr>
              <w:pStyle w:val="TableTextDusc"/>
              <w:rPr>
                <w:rFonts w:cs="Times New Roman"/>
                <w:lang w:eastAsia="en-GB"/>
              </w:rPr>
            </w:pPr>
            <w:r w:rsidRPr="00304385">
              <w:rPr>
                <w:rFonts w:cs="Times New Roman"/>
                <w:lang w:eastAsia="en-GB"/>
              </w:rPr>
              <w:t>ABS NHS</w:t>
            </w:r>
          </w:p>
          <w:p w:rsidR="00071F2B" w:rsidRPr="00304385" w:rsidRDefault="00071F2B" w:rsidP="00023D7E">
            <w:pPr>
              <w:pStyle w:val="TableTextDusc"/>
              <w:rPr>
                <w:rFonts w:cs="Times New Roman"/>
                <w:lang w:eastAsia="en-GB"/>
              </w:rPr>
            </w:pPr>
            <w:r>
              <w:rPr>
                <w:rFonts w:cs="Times New Roman"/>
                <w:lang w:eastAsia="en-GB"/>
              </w:rPr>
              <w:t>(</w:t>
            </w:r>
            <w:r w:rsidRPr="00304385">
              <w:rPr>
                <w:rFonts w:cs="Times New Roman"/>
                <w:lang w:eastAsia="en-GB"/>
              </w:rPr>
              <w:t>2011-12</w:t>
            </w:r>
            <w:r>
              <w:rPr>
                <w:rFonts w:cs="Times New Roman"/>
                <w:lang w:eastAsia="en-GB"/>
              </w:rPr>
              <w:t>)</w:t>
            </w:r>
          </w:p>
        </w:tc>
        <w:tc>
          <w:tcPr>
            <w:tcW w:w="1417" w:type="dxa"/>
          </w:tcPr>
          <w:p w:rsidR="00071F2B" w:rsidRPr="00304385" w:rsidRDefault="00071F2B" w:rsidP="00023D7E">
            <w:pPr>
              <w:pStyle w:val="TableTextDusc"/>
              <w:rPr>
                <w:lang w:eastAsia="en-GB"/>
              </w:rPr>
            </w:pPr>
            <w:r w:rsidRPr="00304385">
              <w:rPr>
                <w:lang w:eastAsia="en-GB"/>
              </w:rPr>
              <w:t>National</w:t>
            </w:r>
          </w:p>
        </w:tc>
        <w:tc>
          <w:tcPr>
            <w:tcW w:w="851" w:type="dxa"/>
          </w:tcPr>
          <w:p w:rsidR="00071F2B" w:rsidRPr="00304385" w:rsidRDefault="00071F2B" w:rsidP="00023D7E">
            <w:pPr>
              <w:pStyle w:val="TableTextDusc"/>
              <w:rPr>
                <w:lang w:eastAsia="en-GB"/>
              </w:rPr>
            </w:pPr>
            <w:r w:rsidRPr="00304385">
              <w:rPr>
                <w:lang w:eastAsia="en-GB"/>
              </w:rPr>
              <w:t>20,426</w:t>
            </w:r>
          </w:p>
        </w:tc>
        <w:tc>
          <w:tcPr>
            <w:tcW w:w="992" w:type="dxa"/>
          </w:tcPr>
          <w:p w:rsidR="00071F2B" w:rsidRPr="00304385" w:rsidRDefault="00071F2B" w:rsidP="00023D7E">
            <w:pPr>
              <w:pStyle w:val="TableTextDusc"/>
              <w:rPr>
                <w:lang w:eastAsia="en-GB"/>
              </w:rPr>
            </w:pPr>
          </w:p>
        </w:tc>
        <w:tc>
          <w:tcPr>
            <w:tcW w:w="1276" w:type="dxa"/>
          </w:tcPr>
          <w:p w:rsidR="00071F2B" w:rsidRPr="00304385" w:rsidRDefault="00071F2B" w:rsidP="00023D7E">
            <w:pPr>
              <w:pStyle w:val="TableTextDusc"/>
              <w:rPr>
                <w:lang w:eastAsia="en-GB"/>
              </w:rPr>
            </w:pPr>
            <w:r w:rsidRPr="00304385">
              <w:rPr>
                <w:lang w:eastAsia="en-GB"/>
              </w:rPr>
              <w:t>Self-report</w:t>
            </w:r>
          </w:p>
        </w:tc>
        <w:tc>
          <w:tcPr>
            <w:tcW w:w="1134" w:type="dxa"/>
          </w:tcPr>
          <w:p w:rsidR="00071F2B" w:rsidRPr="00304385" w:rsidRDefault="00071F2B" w:rsidP="00023D7E">
            <w:pPr>
              <w:pStyle w:val="TableTextDusc"/>
              <w:rPr>
                <w:vertAlign w:val="superscript"/>
                <w:lang w:eastAsia="en-GB"/>
              </w:rPr>
            </w:pPr>
            <w:r w:rsidRPr="00304385">
              <w:rPr>
                <w:lang w:eastAsia="en-GB"/>
              </w:rPr>
              <w:t>84.8%</w:t>
            </w:r>
            <w:r w:rsidRPr="00304385">
              <w:rPr>
                <w:vertAlign w:val="superscript"/>
                <w:lang w:eastAsia="en-GB"/>
              </w:rPr>
              <w:t>c</w:t>
            </w:r>
          </w:p>
        </w:tc>
        <w:tc>
          <w:tcPr>
            <w:tcW w:w="2013" w:type="dxa"/>
          </w:tcPr>
          <w:p w:rsidR="00071F2B" w:rsidRPr="00304385" w:rsidRDefault="00071F2B" w:rsidP="00023D7E">
            <w:pPr>
              <w:pStyle w:val="TableTextDusc"/>
              <w:rPr>
                <w:vertAlign w:val="superscript"/>
                <w:lang w:eastAsia="en-GB"/>
              </w:rPr>
            </w:pPr>
            <w:r w:rsidRPr="00304385">
              <w:rPr>
                <w:lang w:eastAsia="en-GB"/>
              </w:rPr>
              <w:t xml:space="preserve">National: 2.4% </w:t>
            </w:r>
            <w:r w:rsidRPr="00304385">
              <w:rPr>
                <w:vertAlign w:val="superscript"/>
                <w:lang w:eastAsia="en-GB"/>
              </w:rPr>
              <w:t>d</w:t>
            </w:r>
          </w:p>
          <w:p w:rsidR="00071F2B" w:rsidRPr="00304385" w:rsidRDefault="00071F2B" w:rsidP="00023D7E">
            <w:pPr>
              <w:pStyle w:val="TableTextDusc"/>
              <w:rPr>
                <w:lang w:eastAsia="en-GB"/>
              </w:rPr>
            </w:pPr>
            <w:r w:rsidRPr="00304385">
              <w:rPr>
                <w:lang w:eastAsia="en-GB"/>
              </w:rPr>
              <w:t>NSW: 2.2%</w:t>
            </w:r>
          </w:p>
          <w:p w:rsidR="00071F2B" w:rsidRPr="00304385" w:rsidRDefault="00071F2B" w:rsidP="00023D7E">
            <w:pPr>
              <w:pStyle w:val="TableTextDusc"/>
              <w:rPr>
                <w:lang w:eastAsia="en-GB"/>
              </w:rPr>
            </w:pPr>
            <w:r w:rsidRPr="00304385">
              <w:rPr>
                <w:lang w:eastAsia="en-GB"/>
              </w:rPr>
              <w:t>VIC: 2.9%</w:t>
            </w:r>
          </w:p>
          <w:p w:rsidR="00071F2B" w:rsidRPr="00304385" w:rsidRDefault="00071F2B" w:rsidP="00023D7E">
            <w:pPr>
              <w:pStyle w:val="TableTextDusc"/>
              <w:rPr>
                <w:lang w:eastAsia="en-GB"/>
              </w:rPr>
            </w:pPr>
            <w:r w:rsidRPr="00304385">
              <w:rPr>
                <w:lang w:eastAsia="en-GB"/>
              </w:rPr>
              <w:t>QLD: 2.2%</w:t>
            </w:r>
          </w:p>
          <w:p w:rsidR="00071F2B" w:rsidRPr="00304385" w:rsidRDefault="00071F2B" w:rsidP="00023D7E">
            <w:pPr>
              <w:pStyle w:val="TableTextDusc"/>
              <w:rPr>
                <w:lang w:eastAsia="en-GB"/>
              </w:rPr>
            </w:pPr>
            <w:r w:rsidRPr="00304385">
              <w:rPr>
                <w:lang w:eastAsia="en-GB"/>
              </w:rPr>
              <w:t>WA: 2.6%</w:t>
            </w:r>
          </w:p>
          <w:p w:rsidR="00071F2B" w:rsidRPr="00304385" w:rsidRDefault="00071F2B" w:rsidP="00023D7E">
            <w:pPr>
              <w:pStyle w:val="TableTextDusc"/>
              <w:rPr>
                <w:lang w:eastAsia="en-GB"/>
              </w:rPr>
            </w:pPr>
            <w:r w:rsidRPr="00304385">
              <w:rPr>
                <w:lang w:eastAsia="en-GB"/>
              </w:rPr>
              <w:t>SA: 2.5%</w:t>
            </w:r>
          </w:p>
          <w:p w:rsidR="00071F2B" w:rsidRPr="00304385" w:rsidRDefault="00071F2B" w:rsidP="00023D7E">
            <w:pPr>
              <w:pStyle w:val="TableTextDusc"/>
              <w:rPr>
                <w:lang w:eastAsia="en-GB"/>
              </w:rPr>
            </w:pPr>
            <w:r w:rsidRPr="00304385">
              <w:rPr>
                <w:lang w:eastAsia="en-GB"/>
              </w:rPr>
              <w:t>TAS: 3.0%</w:t>
            </w:r>
          </w:p>
          <w:p w:rsidR="00071F2B" w:rsidRPr="00304385" w:rsidRDefault="00071F2B" w:rsidP="00023D7E">
            <w:pPr>
              <w:pStyle w:val="TableTextDusc"/>
              <w:rPr>
                <w:lang w:eastAsia="en-GB"/>
              </w:rPr>
            </w:pPr>
            <w:r w:rsidRPr="00304385">
              <w:rPr>
                <w:lang w:eastAsia="en-GB"/>
              </w:rPr>
              <w:t>ACT: 2.4%</w:t>
            </w:r>
          </w:p>
          <w:p w:rsidR="00071F2B" w:rsidRPr="00304385" w:rsidRDefault="00071F2B" w:rsidP="00023D7E">
            <w:pPr>
              <w:pStyle w:val="TableTextDusc"/>
              <w:rPr>
                <w:lang w:eastAsia="en-GB"/>
              </w:rPr>
            </w:pPr>
            <w:r w:rsidRPr="00304385">
              <w:rPr>
                <w:lang w:eastAsia="en-GB"/>
              </w:rPr>
              <w:t>NT: 0.9%</w:t>
            </w:r>
          </w:p>
        </w:tc>
        <w:tc>
          <w:tcPr>
            <w:tcW w:w="1134" w:type="dxa"/>
          </w:tcPr>
          <w:p w:rsidR="00071F2B" w:rsidRPr="00304385" w:rsidRDefault="00071F2B" w:rsidP="00023D7E">
            <w:pPr>
              <w:pStyle w:val="TableTextDusc"/>
              <w:rPr>
                <w:lang w:eastAsia="en-GB"/>
              </w:rPr>
            </w:pPr>
            <w:r w:rsidRPr="00304385">
              <w:rPr>
                <w:lang w:eastAsia="en-GB"/>
              </w:rPr>
              <w:t>LP</w:t>
            </w:r>
          </w:p>
        </w:tc>
      </w:tr>
      <w:tr w:rsidR="00071F2B" w:rsidRPr="00304385" w:rsidTr="00377494">
        <w:trPr>
          <w:cantSplit/>
          <w:trHeight w:val="2041"/>
          <w:tblHeader/>
        </w:trPr>
        <w:tc>
          <w:tcPr>
            <w:tcW w:w="959" w:type="dxa"/>
          </w:tcPr>
          <w:p w:rsidR="00071F2B" w:rsidRPr="00304385" w:rsidRDefault="00071F2B" w:rsidP="00023D7E">
            <w:pPr>
              <w:pStyle w:val="TableTextDusc"/>
              <w:rPr>
                <w:rFonts w:cs="Times New Roman"/>
                <w:lang w:eastAsia="en-GB"/>
              </w:rPr>
            </w:pPr>
            <w:r w:rsidRPr="00304385">
              <w:rPr>
                <w:rFonts w:cs="Times New Roman"/>
                <w:lang w:eastAsia="en-GB"/>
              </w:rPr>
              <w:t>ABS NHS</w:t>
            </w:r>
          </w:p>
          <w:p w:rsidR="00071F2B" w:rsidRPr="00304385" w:rsidRDefault="00071F2B" w:rsidP="00023D7E">
            <w:pPr>
              <w:pStyle w:val="TableTextDusc"/>
              <w:rPr>
                <w:rFonts w:cs="Times New Roman"/>
                <w:lang w:eastAsia="en-GB"/>
              </w:rPr>
            </w:pPr>
            <w:r>
              <w:rPr>
                <w:rFonts w:cs="Times New Roman"/>
                <w:lang w:eastAsia="en-GB"/>
              </w:rPr>
              <w:t>(</w:t>
            </w:r>
            <w:r w:rsidRPr="00304385">
              <w:rPr>
                <w:rFonts w:cs="Times New Roman"/>
                <w:lang w:eastAsia="en-GB"/>
              </w:rPr>
              <w:t>2014-15</w:t>
            </w:r>
            <w:r>
              <w:rPr>
                <w:rFonts w:cs="Times New Roman"/>
                <w:lang w:eastAsia="en-GB"/>
              </w:rPr>
              <w:t>)</w:t>
            </w:r>
          </w:p>
        </w:tc>
        <w:tc>
          <w:tcPr>
            <w:tcW w:w="1417" w:type="dxa"/>
          </w:tcPr>
          <w:p w:rsidR="00071F2B" w:rsidRPr="00304385" w:rsidRDefault="00071F2B" w:rsidP="00023D7E">
            <w:pPr>
              <w:pStyle w:val="TableTextDusc"/>
              <w:rPr>
                <w:lang w:eastAsia="en-GB"/>
              </w:rPr>
            </w:pPr>
            <w:r w:rsidRPr="00304385">
              <w:rPr>
                <w:lang w:eastAsia="en-GB"/>
              </w:rPr>
              <w:t>National</w:t>
            </w:r>
          </w:p>
        </w:tc>
        <w:tc>
          <w:tcPr>
            <w:tcW w:w="851" w:type="dxa"/>
          </w:tcPr>
          <w:p w:rsidR="00071F2B" w:rsidRPr="00304385" w:rsidRDefault="00071F2B" w:rsidP="00023D7E">
            <w:pPr>
              <w:pStyle w:val="TableTextDusc"/>
              <w:rPr>
                <w:lang w:eastAsia="en-GB"/>
              </w:rPr>
            </w:pPr>
            <w:r w:rsidRPr="00304385">
              <w:rPr>
                <w:lang w:eastAsia="en-GB"/>
              </w:rPr>
              <w:t>19,259</w:t>
            </w:r>
          </w:p>
        </w:tc>
        <w:tc>
          <w:tcPr>
            <w:tcW w:w="992" w:type="dxa"/>
          </w:tcPr>
          <w:p w:rsidR="00071F2B" w:rsidRPr="00304385" w:rsidRDefault="00071F2B" w:rsidP="00023D7E">
            <w:pPr>
              <w:pStyle w:val="TableTextDusc"/>
              <w:rPr>
                <w:lang w:eastAsia="en-GB"/>
              </w:rPr>
            </w:pPr>
          </w:p>
        </w:tc>
        <w:tc>
          <w:tcPr>
            <w:tcW w:w="1276" w:type="dxa"/>
          </w:tcPr>
          <w:p w:rsidR="00071F2B" w:rsidRPr="00304385" w:rsidRDefault="00071F2B" w:rsidP="00023D7E">
            <w:pPr>
              <w:pStyle w:val="TableTextDusc"/>
              <w:rPr>
                <w:lang w:eastAsia="en-GB"/>
              </w:rPr>
            </w:pPr>
            <w:r w:rsidRPr="00304385">
              <w:rPr>
                <w:lang w:eastAsia="en-GB"/>
              </w:rPr>
              <w:t>Self-report</w:t>
            </w:r>
          </w:p>
        </w:tc>
        <w:tc>
          <w:tcPr>
            <w:tcW w:w="1134" w:type="dxa"/>
          </w:tcPr>
          <w:p w:rsidR="00071F2B" w:rsidRPr="00304385" w:rsidRDefault="00071F2B" w:rsidP="00023D7E">
            <w:pPr>
              <w:pStyle w:val="TableTextDusc"/>
              <w:rPr>
                <w:lang w:eastAsia="en-GB"/>
              </w:rPr>
            </w:pPr>
            <w:r w:rsidRPr="00304385">
              <w:rPr>
                <w:lang w:eastAsia="en-GB"/>
              </w:rPr>
              <w:t>82.0%</w:t>
            </w:r>
            <w:r w:rsidRPr="00304385">
              <w:rPr>
                <w:vertAlign w:val="superscript"/>
                <w:lang w:eastAsia="en-GB"/>
              </w:rPr>
              <w:t xml:space="preserve"> c</w:t>
            </w:r>
          </w:p>
        </w:tc>
        <w:tc>
          <w:tcPr>
            <w:tcW w:w="2013" w:type="dxa"/>
          </w:tcPr>
          <w:p w:rsidR="00071F2B" w:rsidRPr="00304385" w:rsidRDefault="00071F2B" w:rsidP="00023D7E">
            <w:pPr>
              <w:pStyle w:val="TableTextDusc"/>
              <w:rPr>
                <w:vertAlign w:val="superscript"/>
                <w:lang w:eastAsia="en-GB"/>
              </w:rPr>
            </w:pPr>
            <w:r w:rsidRPr="00304385">
              <w:rPr>
                <w:lang w:eastAsia="en-GB"/>
              </w:rPr>
              <w:t xml:space="preserve">National: 2.6% </w:t>
            </w:r>
            <w:r w:rsidRPr="00304385">
              <w:rPr>
                <w:vertAlign w:val="superscript"/>
                <w:lang w:eastAsia="en-GB"/>
              </w:rPr>
              <w:t>d</w:t>
            </w:r>
          </w:p>
          <w:p w:rsidR="00071F2B" w:rsidRPr="00304385" w:rsidRDefault="00071F2B" w:rsidP="00023D7E">
            <w:pPr>
              <w:pStyle w:val="TableTextDusc"/>
              <w:rPr>
                <w:lang w:eastAsia="en-GB"/>
              </w:rPr>
            </w:pPr>
            <w:r w:rsidRPr="00304385">
              <w:rPr>
                <w:lang w:eastAsia="en-GB"/>
              </w:rPr>
              <w:t>NSW: 2.6%</w:t>
            </w:r>
          </w:p>
          <w:p w:rsidR="00071F2B" w:rsidRPr="00304385" w:rsidRDefault="00071F2B" w:rsidP="00023D7E">
            <w:pPr>
              <w:pStyle w:val="TableTextDusc"/>
              <w:rPr>
                <w:lang w:eastAsia="en-GB"/>
              </w:rPr>
            </w:pPr>
            <w:r w:rsidRPr="00304385">
              <w:rPr>
                <w:lang w:eastAsia="en-GB"/>
              </w:rPr>
              <w:t>VIC: 3.1%</w:t>
            </w:r>
          </w:p>
          <w:p w:rsidR="00071F2B" w:rsidRPr="00304385" w:rsidRDefault="00071F2B" w:rsidP="00023D7E">
            <w:pPr>
              <w:pStyle w:val="TableTextDusc"/>
              <w:rPr>
                <w:lang w:eastAsia="en-GB"/>
              </w:rPr>
            </w:pPr>
            <w:r w:rsidRPr="00304385">
              <w:rPr>
                <w:lang w:eastAsia="en-GB"/>
              </w:rPr>
              <w:t>QLD: 2.3%</w:t>
            </w:r>
          </w:p>
          <w:p w:rsidR="00071F2B" w:rsidRPr="00304385" w:rsidRDefault="00071F2B" w:rsidP="00023D7E">
            <w:pPr>
              <w:pStyle w:val="TableTextDusc"/>
              <w:rPr>
                <w:lang w:eastAsia="en-GB"/>
              </w:rPr>
            </w:pPr>
            <w:r w:rsidRPr="00304385">
              <w:rPr>
                <w:lang w:eastAsia="en-GB"/>
              </w:rPr>
              <w:t>WA: 1.9%</w:t>
            </w:r>
          </w:p>
          <w:p w:rsidR="00071F2B" w:rsidRPr="00304385" w:rsidRDefault="00071F2B" w:rsidP="00023D7E">
            <w:pPr>
              <w:pStyle w:val="TableTextDusc"/>
              <w:rPr>
                <w:lang w:eastAsia="en-GB"/>
              </w:rPr>
            </w:pPr>
            <w:r w:rsidRPr="00304385">
              <w:rPr>
                <w:lang w:eastAsia="en-GB"/>
              </w:rPr>
              <w:t>SA: 3.4%</w:t>
            </w:r>
          </w:p>
          <w:p w:rsidR="00071F2B" w:rsidRPr="00304385" w:rsidRDefault="00071F2B" w:rsidP="00023D7E">
            <w:pPr>
              <w:pStyle w:val="TableTextDusc"/>
              <w:rPr>
                <w:lang w:eastAsia="en-GB"/>
              </w:rPr>
            </w:pPr>
            <w:r w:rsidRPr="00304385">
              <w:rPr>
                <w:lang w:eastAsia="en-GB"/>
              </w:rPr>
              <w:t>TAS: 3.9%</w:t>
            </w:r>
          </w:p>
          <w:p w:rsidR="00071F2B" w:rsidRPr="00304385" w:rsidRDefault="00071F2B" w:rsidP="00023D7E">
            <w:pPr>
              <w:pStyle w:val="TableTextDusc"/>
              <w:rPr>
                <w:lang w:eastAsia="en-GB"/>
              </w:rPr>
            </w:pPr>
            <w:r w:rsidRPr="00304385">
              <w:rPr>
                <w:lang w:eastAsia="en-GB"/>
              </w:rPr>
              <w:t>ACT: 2.4%</w:t>
            </w:r>
          </w:p>
          <w:p w:rsidR="00071F2B" w:rsidRPr="00304385" w:rsidRDefault="00071F2B" w:rsidP="00023D7E">
            <w:pPr>
              <w:pStyle w:val="TableTextDusc"/>
              <w:rPr>
                <w:vertAlign w:val="superscript"/>
                <w:lang w:eastAsia="en-GB"/>
              </w:rPr>
            </w:pPr>
            <w:r w:rsidRPr="00304385">
              <w:rPr>
                <w:lang w:eastAsia="en-GB"/>
              </w:rPr>
              <w:t>NT: 1.1%</w:t>
            </w:r>
            <w:r w:rsidRPr="00304385">
              <w:rPr>
                <w:vertAlign w:val="superscript"/>
                <w:lang w:eastAsia="en-GB"/>
              </w:rPr>
              <w:t>e</w:t>
            </w:r>
          </w:p>
        </w:tc>
        <w:tc>
          <w:tcPr>
            <w:tcW w:w="1134" w:type="dxa"/>
          </w:tcPr>
          <w:p w:rsidR="00071F2B" w:rsidRPr="00304385" w:rsidRDefault="00071F2B" w:rsidP="00023D7E">
            <w:pPr>
              <w:pStyle w:val="TableTextDusc"/>
              <w:rPr>
                <w:lang w:eastAsia="en-GB"/>
              </w:rPr>
            </w:pPr>
            <w:r w:rsidRPr="00304385">
              <w:rPr>
                <w:lang w:eastAsia="en-GB"/>
              </w:rPr>
              <w:t>LP</w:t>
            </w:r>
          </w:p>
        </w:tc>
      </w:tr>
    </w:tbl>
    <w:p w:rsidR="00071F2B" w:rsidRDefault="00071F2B" w:rsidP="00E75F6C">
      <w:pPr>
        <w:spacing w:after="0"/>
        <w:rPr>
          <w:rFonts w:eastAsiaTheme="minorEastAsia" w:cs="Baskerville"/>
          <w:sz w:val="20"/>
          <w:szCs w:val="20"/>
          <w:lang w:eastAsia="en-GB"/>
        </w:rPr>
      </w:pPr>
      <w:r w:rsidRPr="00304385">
        <w:rPr>
          <w:rFonts w:eastAsiaTheme="minorEastAsia" w:cs="Baskerville"/>
          <w:sz w:val="20"/>
          <w:szCs w:val="20"/>
          <w:lang w:eastAsia="en-GB"/>
        </w:rPr>
        <w:t>ABS = Australian Bureau of Statistics; CI = confidence interval;  LP = lifetime prevalence NHS = National Health Survey; NR = not reported; PP = point prevalence; VIC = Victoria; WA = Western Australia; yrs = years</w:t>
      </w:r>
      <w:r w:rsidRPr="00304385">
        <w:rPr>
          <w:rFonts w:eastAsiaTheme="minorEastAsia" w:cs="Baskerville"/>
          <w:sz w:val="20"/>
          <w:szCs w:val="20"/>
          <w:lang w:eastAsia="en-GB"/>
        </w:rPr>
        <w:br/>
      </w:r>
      <w:r w:rsidRPr="00304385">
        <w:rPr>
          <w:rFonts w:eastAsiaTheme="minorEastAsia" w:cs="Baskerville"/>
          <w:sz w:val="20"/>
          <w:szCs w:val="20"/>
          <w:vertAlign w:val="superscript"/>
          <w:lang w:eastAsia="en-GB"/>
        </w:rPr>
        <w:t xml:space="preserve">a </w:t>
      </w:r>
      <w:r w:rsidRPr="00304385">
        <w:rPr>
          <w:rFonts w:eastAsiaTheme="minorEastAsia" w:cs="Baskerville"/>
          <w:sz w:val="20"/>
          <w:szCs w:val="20"/>
          <w:lang w:eastAsia="en-GB"/>
        </w:rPr>
        <w:t xml:space="preserve">Based on contacted participants </w:t>
      </w:r>
      <w:r w:rsidRPr="00304385">
        <w:rPr>
          <w:rFonts w:eastAsiaTheme="minorEastAsia" w:cs="Baskerville"/>
          <w:sz w:val="20"/>
          <w:szCs w:val="20"/>
          <w:lang w:eastAsia="en-GB"/>
        </w:rPr>
        <w:br/>
      </w:r>
      <w:r w:rsidRPr="00304385">
        <w:rPr>
          <w:rFonts w:eastAsiaTheme="minorEastAsia" w:cs="Baskerville"/>
          <w:sz w:val="20"/>
          <w:szCs w:val="20"/>
          <w:vertAlign w:val="superscript"/>
          <w:lang w:eastAsia="en-GB"/>
        </w:rPr>
        <w:t xml:space="preserve">b  </w:t>
      </w:r>
      <w:r w:rsidRPr="00304385">
        <w:rPr>
          <w:rFonts w:eastAsiaTheme="minorEastAsia" w:cs="Baskerville"/>
          <w:sz w:val="20"/>
          <w:szCs w:val="20"/>
          <w:lang w:eastAsia="en-GB"/>
        </w:rPr>
        <w:t>Excluding previous 2 weeks</w:t>
      </w:r>
      <w:r w:rsidRPr="00304385">
        <w:rPr>
          <w:rFonts w:eastAsiaTheme="minorEastAsia" w:cs="Baskerville"/>
          <w:sz w:val="20"/>
          <w:szCs w:val="20"/>
          <w:lang w:eastAsia="en-GB"/>
        </w:rPr>
        <w:br/>
      </w:r>
      <w:r w:rsidRPr="00304385">
        <w:rPr>
          <w:rFonts w:eastAsiaTheme="minorEastAsia" w:cs="Baskerville"/>
          <w:sz w:val="20"/>
          <w:szCs w:val="20"/>
          <w:vertAlign w:val="superscript"/>
          <w:lang w:eastAsia="en-GB"/>
        </w:rPr>
        <w:t xml:space="preserve">c  </w:t>
      </w:r>
      <w:r w:rsidRPr="00304385">
        <w:rPr>
          <w:rFonts w:eastAsiaTheme="minorEastAsia" w:cs="Baskerville"/>
          <w:sz w:val="20"/>
          <w:szCs w:val="20"/>
          <w:lang w:eastAsia="en-GB"/>
        </w:rPr>
        <w:t>Households</w:t>
      </w:r>
      <w:r w:rsidRPr="00304385">
        <w:rPr>
          <w:rFonts w:eastAsiaTheme="minorEastAsia" w:cs="Baskerville"/>
          <w:sz w:val="20"/>
          <w:szCs w:val="20"/>
          <w:lang w:eastAsia="en-GB"/>
        </w:rPr>
        <w:br/>
      </w:r>
      <w:r w:rsidRPr="00304385">
        <w:rPr>
          <w:rFonts w:eastAsiaTheme="minorEastAsia" w:cs="Baskerville"/>
          <w:sz w:val="20"/>
          <w:szCs w:val="20"/>
          <w:vertAlign w:val="superscript"/>
          <w:lang w:eastAsia="en-GB"/>
        </w:rPr>
        <w:t xml:space="preserve">d </w:t>
      </w:r>
      <w:r w:rsidRPr="00304385">
        <w:rPr>
          <w:rFonts w:eastAsiaTheme="minorEastAsia" w:cs="Baskerville"/>
          <w:sz w:val="20"/>
          <w:szCs w:val="20"/>
          <w:lang w:eastAsia="en-GB"/>
        </w:rPr>
        <w:t>Percentages calculated using ABS population estimates during the review</w:t>
      </w:r>
      <w:r w:rsidRPr="00304385">
        <w:rPr>
          <w:rFonts w:eastAsiaTheme="minorEastAsia" w:cs="Baskerville"/>
          <w:sz w:val="20"/>
          <w:szCs w:val="20"/>
          <w:vertAlign w:val="superscript"/>
          <w:lang w:eastAsia="en-GB"/>
        </w:rPr>
        <w:br/>
        <w:t xml:space="preserve">e </w:t>
      </w:r>
      <w:r w:rsidRPr="00304385">
        <w:rPr>
          <w:rFonts w:eastAsiaTheme="minorEastAsia" w:cs="Baskerville"/>
          <w:sz w:val="20"/>
          <w:szCs w:val="20"/>
          <w:lang w:eastAsia="en-GB"/>
        </w:rPr>
        <w:t>Standard error of the estimate was 25-50%</w:t>
      </w:r>
    </w:p>
    <w:p w:rsidR="00071F2B" w:rsidRPr="00304385" w:rsidRDefault="00071F2B" w:rsidP="00071F2B">
      <w:pPr>
        <w:spacing w:after="0"/>
        <w:rPr>
          <w:rFonts w:eastAsiaTheme="minorEastAsia" w:cs="Baskerville"/>
          <w:sz w:val="20"/>
          <w:szCs w:val="20"/>
          <w:vertAlign w:val="superscript"/>
          <w:lang w:eastAsia="en-GB"/>
        </w:rPr>
      </w:pPr>
    </w:p>
    <w:p w:rsidR="00071F2B" w:rsidRDefault="00071F2B" w:rsidP="00023D7E">
      <w:pPr>
        <w:rPr>
          <w:rFonts w:eastAsiaTheme="minorEastAsia" w:cs="Baskerville"/>
          <w:szCs w:val="24"/>
          <w:lang w:eastAsia="en-GB"/>
        </w:rPr>
      </w:pPr>
      <w:r>
        <w:rPr>
          <w:rFonts w:eastAsiaTheme="minorEastAsia" w:cs="Baskerville"/>
          <w:szCs w:val="24"/>
          <w:lang w:eastAsia="en-GB"/>
        </w:rPr>
        <w:t xml:space="preserve">The most recent estimates were from </w:t>
      </w:r>
      <w:r w:rsidR="00C85201">
        <w:rPr>
          <w:rFonts w:eastAsiaTheme="minorEastAsia" w:cs="Baskerville"/>
          <w:szCs w:val="24"/>
          <w:lang w:eastAsia="en-GB"/>
        </w:rPr>
        <w:t>t</w:t>
      </w:r>
      <w:r w:rsidRPr="0016732C">
        <w:rPr>
          <w:rFonts w:eastAsiaTheme="minorEastAsia" w:cs="Baskerville"/>
          <w:szCs w:val="24"/>
          <w:lang w:eastAsia="en-GB"/>
        </w:rPr>
        <w:t xml:space="preserve">he ABS </w:t>
      </w:r>
      <w:r w:rsidR="006D4F56">
        <w:rPr>
          <w:rFonts w:eastAsiaTheme="minorEastAsia" w:cs="Baskerville"/>
          <w:szCs w:val="24"/>
          <w:lang w:eastAsia="en-GB"/>
        </w:rPr>
        <w:t>NHS</w:t>
      </w:r>
      <w:r w:rsidRPr="0016732C">
        <w:rPr>
          <w:rFonts w:eastAsiaTheme="minorEastAsia" w:cs="Baskerville"/>
          <w:szCs w:val="24"/>
          <w:lang w:eastAsia="en-GB"/>
        </w:rPr>
        <w:t xml:space="preserve"> in 201</w:t>
      </w:r>
      <w:r>
        <w:rPr>
          <w:rFonts w:eastAsiaTheme="minorEastAsia" w:cs="Baskerville"/>
          <w:szCs w:val="24"/>
          <w:lang w:eastAsia="en-GB"/>
        </w:rPr>
        <w:t>4</w:t>
      </w:r>
      <w:r w:rsidRPr="0016732C">
        <w:rPr>
          <w:rFonts w:eastAsiaTheme="minorEastAsia" w:cs="Baskerville"/>
          <w:szCs w:val="24"/>
          <w:lang w:eastAsia="en-GB"/>
        </w:rPr>
        <w:t>-1</w:t>
      </w:r>
      <w:r>
        <w:rPr>
          <w:rFonts w:eastAsiaTheme="minorEastAsia" w:cs="Baskerville"/>
          <w:szCs w:val="24"/>
          <w:lang w:eastAsia="en-GB"/>
        </w:rPr>
        <w:t xml:space="preserve">5. </w:t>
      </w:r>
      <w:r w:rsidRPr="0016732C">
        <w:rPr>
          <w:rFonts w:eastAsiaTheme="minorEastAsia" w:cs="Baskerville"/>
          <w:szCs w:val="24"/>
          <w:lang w:eastAsia="en-GB"/>
        </w:rPr>
        <w:t xml:space="preserve">The ABS </w:t>
      </w:r>
      <w:r w:rsidR="006D4F56">
        <w:rPr>
          <w:rFonts w:eastAsiaTheme="minorEastAsia" w:cs="Baskerville"/>
          <w:szCs w:val="24"/>
          <w:lang w:eastAsia="en-GB"/>
        </w:rPr>
        <w:t>NHSs</w:t>
      </w:r>
      <w:r w:rsidRPr="0016732C">
        <w:rPr>
          <w:rFonts w:eastAsiaTheme="minorEastAsia" w:cs="Baskerville"/>
          <w:szCs w:val="24"/>
          <w:lang w:eastAsia="en-GB"/>
        </w:rPr>
        <w:t xml:space="preserve"> in 2011-12 and 2014-15 found </w:t>
      </w:r>
      <w:r w:rsidRPr="003A20F9">
        <w:rPr>
          <w:rFonts w:eastAsiaTheme="minorEastAsia" w:cs="Baskerville"/>
          <w:noProof/>
          <w:szCs w:val="24"/>
          <w:lang w:eastAsia="en-GB"/>
        </w:rPr>
        <w:t>self-reported</w:t>
      </w:r>
      <w:r w:rsidRPr="0016732C">
        <w:rPr>
          <w:rFonts w:eastAsiaTheme="minorEastAsia" w:cs="Baskerville"/>
          <w:szCs w:val="24"/>
          <w:lang w:eastAsia="en-GB"/>
        </w:rPr>
        <w:t xml:space="preserve"> prevalence of psoriasis to be 2.4% and 2.6%, respectively</w:t>
      </w:r>
      <w:r>
        <w:rPr>
          <w:rFonts w:eastAsiaTheme="minorEastAsia" w:cs="Baskerville"/>
          <w:szCs w:val="24"/>
          <w:lang w:eastAsia="en-GB"/>
        </w:rPr>
        <w:t xml:space="preserve">. </w:t>
      </w:r>
      <w:r w:rsidR="00FB1688">
        <w:rPr>
          <w:rFonts w:eastAsiaTheme="minorEastAsia" w:cs="Baskerville"/>
          <w:noProof/>
          <w:szCs w:val="24"/>
          <w:lang w:eastAsia="en-GB"/>
        </w:rPr>
        <w:t>(</w:t>
      </w:r>
      <w:r w:rsidR="001B4738">
        <w:rPr>
          <w:rFonts w:eastAsiaTheme="minorEastAsia" w:cs="Baskerville"/>
          <w:noProof/>
          <w:szCs w:val="24"/>
          <w:lang w:eastAsia="en-GB"/>
        </w:rPr>
        <w:t>4</w:t>
      </w:r>
      <w:r w:rsidR="00FB1688">
        <w:rPr>
          <w:rFonts w:eastAsiaTheme="minorEastAsia" w:cs="Baskerville"/>
          <w:noProof/>
          <w:szCs w:val="24"/>
          <w:lang w:eastAsia="en-GB"/>
        </w:rPr>
        <w:t xml:space="preserve">, </w:t>
      </w:r>
      <w:r w:rsidR="001B4738">
        <w:rPr>
          <w:rFonts w:eastAsiaTheme="minorEastAsia" w:cs="Baskerville"/>
          <w:noProof/>
          <w:szCs w:val="24"/>
          <w:lang w:eastAsia="en-GB"/>
        </w:rPr>
        <w:t>5</w:t>
      </w:r>
      <w:r w:rsidR="00FB1688">
        <w:rPr>
          <w:rFonts w:eastAsiaTheme="minorEastAsia" w:cs="Baskerville"/>
          <w:noProof/>
          <w:szCs w:val="24"/>
          <w:lang w:eastAsia="en-GB"/>
        </w:rPr>
        <w:t>)</w:t>
      </w:r>
      <w:r w:rsidRPr="0016732C">
        <w:rPr>
          <w:rFonts w:eastAsiaTheme="minorEastAsia" w:cs="Baskerville"/>
          <w:szCs w:val="24"/>
          <w:lang w:eastAsia="en-GB"/>
        </w:rPr>
        <w:t xml:space="preserve"> Between the two surveys, prevalence also increased across almost all states and territories. The Australian Aboriginal and Torres Strait Islander Health Survey 2012-13 estimated that 9,200 Aboriginal or Torres Strait Islander people had psoriasis</w:t>
      </w:r>
      <w:r>
        <w:rPr>
          <w:rFonts w:eastAsiaTheme="minorEastAsia" w:cs="Baskerville"/>
          <w:szCs w:val="24"/>
          <w:lang w:eastAsia="en-GB"/>
        </w:rPr>
        <w:t xml:space="preserve"> </w:t>
      </w:r>
      <w:r w:rsidR="00FB1688">
        <w:rPr>
          <w:rFonts w:eastAsiaTheme="minorEastAsia" w:cs="Baskerville"/>
          <w:noProof/>
          <w:szCs w:val="24"/>
          <w:lang w:eastAsia="en-GB"/>
        </w:rPr>
        <w:t>(</w:t>
      </w:r>
      <w:r w:rsidR="001B4738">
        <w:rPr>
          <w:rFonts w:eastAsiaTheme="minorEastAsia" w:cs="Baskerville"/>
          <w:noProof/>
          <w:szCs w:val="24"/>
          <w:lang w:eastAsia="en-GB"/>
        </w:rPr>
        <w:t>6</w:t>
      </w:r>
      <w:r w:rsidR="00FB1688">
        <w:rPr>
          <w:rFonts w:eastAsiaTheme="minorEastAsia" w:cs="Baskerville"/>
          <w:noProof/>
          <w:szCs w:val="24"/>
          <w:lang w:eastAsia="en-GB"/>
        </w:rPr>
        <w:t>)</w:t>
      </w:r>
      <w:r>
        <w:rPr>
          <w:rFonts w:eastAsiaTheme="minorEastAsia" w:cs="Baskerville"/>
          <w:szCs w:val="24"/>
          <w:lang w:eastAsia="en-GB"/>
        </w:rPr>
        <w:t>,</w:t>
      </w:r>
      <w:r w:rsidRPr="0016732C">
        <w:rPr>
          <w:rFonts w:eastAsiaTheme="minorEastAsia" w:cs="Baskerville"/>
          <w:szCs w:val="24"/>
          <w:lang w:eastAsia="en-GB"/>
        </w:rPr>
        <w:t xml:space="preserve"> equating to </w:t>
      </w:r>
      <w:r>
        <w:rPr>
          <w:rFonts w:eastAsiaTheme="minorEastAsia" w:cs="Baskerville"/>
          <w:szCs w:val="24"/>
          <w:lang w:eastAsia="en-GB"/>
        </w:rPr>
        <w:t xml:space="preserve">a prevalence of </w:t>
      </w:r>
      <w:r w:rsidRPr="0016732C">
        <w:rPr>
          <w:rFonts w:eastAsiaTheme="minorEastAsia" w:cs="Baskerville"/>
          <w:szCs w:val="24"/>
          <w:lang w:eastAsia="en-GB"/>
        </w:rPr>
        <w:t>approximately 1.3%</w:t>
      </w:r>
      <w:r>
        <w:rPr>
          <w:rFonts w:eastAsiaTheme="minorEastAsia" w:cs="Baskerville"/>
          <w:szCs w:val="24"/>
          <w:lang w:eastAsia="en-GB"/>
        </w:rPr>
        <w:t xml:space="preserve">. </w:t>
      </w:r>
      <w:r w:rsidR="00FB1688">
        <w:rPr>
          <w:rFonts w:eastAsiaTheme="minorEastAsia" w:cs="Baskerville"/>
          <w:noProof/>
          <w:szCs w:val="24"/>
          <w:lang w:eastAsia="en-GB"/>
        </w:rPr>
        <w:t>(</w:t>
      </w:r>
      <w:r w:rsidR="001B4738">
        <w:rPr>
          <w:rFonts w:eastAsiaTheme="minorEastAsia" w:cs="Baskerville"/>
          <w:noProof/>
          <w:szCs w:val="24"/>
          <w:lang w:eastAsia="en-GB"/>
        </w:rPr>
        <w:t>7</w:t>
      </w:r>
      <w:r w:rsidR="00FB1688">
        <w:rPr>
          <w:rFonts w:eastAsiaTheme="minorEastAsia" w:cs="Baskerville"/>
          <w:noProof/>
          <w:szCs w:val="24"/>
          <w:lang w:eastAsia="en-GB"/>
        </w:rPr>
        <w:t>)</w:t>
      </w:r>
      <w:r w:rsidRPr="0016732C">
        <w:rPr>
          <w:rFonts w:eastAsiaTheme="minorEastAsia" w:cs="Baskerville"/>
          <w:szCs w:val="24"/>
          <w:lang w:eastAsia="en-GB"/>
        </w:rPr>
        <w:t xml:space="preserve"> </w:t>
      </w:r>
    </w:p>
    <w:p w:rsidR="00071F2B" w:rsidRPr="00C40F9E" w:rsidRDefault="00071F2B" w:rsidP="00023D7E">
      <w:pPr>
        <w:rPr>
          <w:rFonts w:eastAsiaTheme="minorEastAsia" w:cs="Baskerville"/>
          <w:szCs w:val="24"/>
          <w:lang w:eastAsia="en-GB"/>
        </w:rPr>
      </w:pPr>
      <w:r w:rsidRPr="00C40F9E">
        <w:rPr>
          <w:rFonts w:eastAsiaTheme="minorEastAsia" w:cs="Baskerville"/>
          <w:szCs w:val="24"/>
          <w:lang w:eastAsia="en-GB"/>
        </w:rPr>
        <w:t xml:space="preserve">The ABS </w:t>
      </w:r>
      <w:r w:rsidR="006D4F56">
        <w:rPr>
          <w:rFonts w:eastAsiaTheme="minorEastAsia" w:cs="Baskerville"/>
          <w:szCs w:val="24"/>
          <w:lang w:eastAsia="en-GB"/>
        </w:rPr>
        <w:t>NHSs</w:t>
      </w:r>
      <w:r w:rsidRPr="00C40F9E">
        <w:rPr>
          <w:rFonts w:eastAsiaTheme="minorEastAsia" w:cs="Baskerville"/>
          <w:szCs w:val="24"/>
          <w:lang w:eastAsia="en-GB"/>
        </w:rPr>
        <w:t xml:space="preserve"> consistently reported higher rates of psoriasis prevalence in the more southern states of Victoria and Tasmania</w:t>
      </w:r>
      <w:r>
        <w:rPr>
          <w:rFonts w:eastAsiaTheme="minorEastAsia" w:cs="Baskerville"/>
          <w:szCs w:val="24"/>
          <w:lang w:eastAsia="en-GB"/>
        </w:rPr>
        <w:t xml:space="preserve">. </w:t>
      </w:r>
      <w:r w:rsidR="00FB1688">
        <w:rPr>
          <w:rFonts w:eastAsiaTheme="minorEastAsia" w:cs="Baskerville"/>
          <w:noProof/>
          <w:szCs w:val="24"/>
          <w:lang w:eastAsia="en-GB"/>
        </w:rPr>
        <w:t>(</w:t>
      </w:r>
      <w:r w:rsidR="001B4738">
        <w:rPr>
          <w:rFonts w:eastAsiaTheme="minorEastAsia" w:cs="Baskerville"/>
          <w:noProof/>
          <w:szCs w:val="24"/>
          <w:lang w:eastAsia="en-GB"/>
        </w:rPr>
        <w:t>4</w:t>
      </w:r>
      <w:r w:rsidR="00FB1688">
        <w:rPr>
          <w:rFonts w:eastAsiaTheme="minorEastAsia" w:cs="Baskerville"/>
          <w:noProof/>
          <w:szCs w:val="24"/>
          <w:lang w:eastAsia="en-GB"/>
        </w:rPr>
        <w:t xml:space="preserve">, </w:t>
      </w:r>
      <w:r w:rsidR="001B4738">
        <w:rPr>
          <w:rFonts w:eastAsiaTheme="minorEastAsia" w:cs="Baskerville"/>
          <w:noProof/>
          <w:szCs w:val="24"/>
          <w:lang w:eastAsia="en-GB"/>
        </w:rPr>
        <w:t>5</w:t>
      </w:r>
      <w:r w:rsidR="00FB1688">
        <w:rPr>
          <w:rFonts w:eastAsiaTheme="minorEastAsia" w:cs="Baskerville"/>
          <w:noProof/>
          <w:szCs w:val="24"/>
          <w:lang w:eastAsia="en-GB"/>
        </w:rPr>
        <w:t>)</w:t>
      </w:r>
      <w:r w:rsidRPr="00C40F9E">
        <w:rPr>
          <w:rFonts w:eastAsiaTheme="minorEastAsia" w:cs="Baskerville"/>
          <w:szCs w:val="24"/>
          <w:lang w:eastAsia="en-GB"/>
        </w:rPr>
        <w:t xml:space="preserve"> The analysis of biologic utilisation by capital cities and regional centres showed higher rates of biologic </w:t>
      </w:r>
      <w:r w:rsidRPr="003A20F9">
        <w:rPr>
          <w:rFonts w:eastAsiaTheme="minorEastAsia" w:cs="Baskerville"/>
          <w:noProof/>
          <w:szCs w:val="24"/>
          <w:lang w:eastAsia="en-GB"/>
        </w:rPr>
        <w:t>utilisation</w:t>
      </w:r>
      <w:r w:rsidRPr="00C40F9E">
        <w:rPr>
          <w:rFonts w:eastAsiaTheme="minorEastAsia" w:cs="Baskerville"/>
          <w:szCs w:val="24"/>
          <w:lang w:eastAsia="en-GB"/>
        </w:rPr>
        <w:t xml:space="preserve"> in more southern areas of Australia. This suggests there may be geographical variation in the prevalence of psoriasis </w:t>
      </w:r>
      <w:r w:rsidR="006D4F56">
        <w:rPr>
          <w:rFonts w:eastAsiaTheme="minorEastAsia" w:cs="Baskerville"/>
          <w:szCs w:val="24"/>
          <w:lang w:eastAsia="en-GB"/>
        </w:rPr>
        <w:t xml:space="preserve">or severe psoriasis </w:t>
      </w:r>
      <w:r w:rsidRPr="00C40F9E">
        <w:rPr>
          <w:rFonts w:eastAsiaTheme="minorEastAsia" w:cs="Baskerville"/>
          <w:szCs w:val="24"/>
          <w:lang w:eastAsia="en-GB"/>
        </w:rPr>
        <w:t xml:space="preserve">in Australia. The </w:t>
      </w:r>
      <w:r w:rsidR="006D4F56">
        <w:rPr>
          <w:rFonts w:eastAsiaTheme="minorEastAsia" w:cs="Baskerville"/>
          <w:szCs w:val="24"/>
          <w:lang w:eastAsia="en-GB"/>
        </w:rPr>
        <w:t xml:space="preserve">three </w:t>
      </w:r>
      <w:r w:rsidRPr="00C40F9E">
        <w:rPr>
          <w:rFonts w:eastAsiaTheme="minorEastAsia" w:cs="Baskerville"/>
          <w:szCs w:val="24"/>
          <w:lang w:eastAsia="en-GB"/>
        </w:rPr>
        <w:t xml:space="preserve">peer-reviewed studies of psoriasis prevalence were performed in lower latitudes of Australia and therefore may overestimate national </w:t>
      </w:r>
      <w:r w:rsidRPr="003A20F9">
        <w:rPr>
          <w:rFonts w:eastAsiaTheme="minorEastAsia" w:cs="Baskerville"/>
          <w:noProof/>
          <w:szCs w:val="24"/>
          <w:lang w:eastAsia="en-GB"/>
        </w:rPr>
        <w:t>prevalence</w:t>
      </w:r>
      <w:r w:rsidRPr="00C40F9E">
        <w:rPr>
          <w:rFonts w:eastAsiaTheme="minorEastAsia" w:cs="Baskerville"/>
          <w:szCs w:val="24"/>
          <w:lang w:eastAsia="en-GB"/>
        </w:rPr>
        <w:t xml:space="preserve">. </w:t>
      </w:r>
    </w:p>
    <w:p w:rsidR="00071F2B" w:rsidRPr="002D7E3B" w:rsidRDefault="00071F2B" w:rsidP="00023D7E">
      <w:pPr>
        <w:rPr>
          <w:rFonts w:eastAsiaTheme="minorEastAsia" w:cs="Baskerville"/>
          <w:szCs w:val="24"/>
          <w:lang w:eastAsia="en-GB"/>
        </w:rPr>
      </w:pPr>
      <w:r w:rsidRPr="002D7E3B">
        <w:rPr>
          <w:rFonts w:eastAsiaTheme="minorEastAsia" w:cs="Baskerville"/>
          <w:szCs w:val="24"/>
          <w:lang w:eastAsia="en-GB"/>
        </w:rPr>
        <w:t xml:space="preserve">The most recent </w:t>
      </w:r>
      <w:r w:rsidR="00B24FFD">
        <w:rPr>
          <w:rFonts w:eastAsiaTheme="minorEastAsia" w:cs="Baskerville"/>
          <w:szCs w:val="24"/>
          <w:lang w:eastAsia="en-GB"/>
        </w:rPr>
        <w:t>peer-reviewed publication</w:t>
      </w:r>
      <w:r w:rsidRPr="002D7E3B">
        <w:rPr>
          <w:rFonts w:eastAsiaTheme="minorEastAsia" w:cs="Baskerville"/>
          <w:szCs w:val="24"/>
          <w:lang w:eastAsia="en-GB"/>
        </w:rPr>
        <w:t xml:space="preserve"> (</w:t>
      </w:r>
      <w:r>
        <w:rPr>
          <w:rFonts w:eastAsiaTheme="minorEastAsia" w:cs="Baskerville"/>
          <w:noProof/>
          <w:szCs w:val="24"/>
          <w:lang w:eastAsia="en-GB"/>
        </w:rPr>
        <w:t>Plunkett (1999)</w:t>
      </w:r>
      <w:r w:rsidRPr="002D7E3B">
        <w:rPr>
          <w:rFonts w:eastAsiaTheme="minorEastAsia" w:cs="Baskerville"/>
          <w:szCs w:val="24"/>
          <w:lang w:eastAsia="en-GB"/>
        </w:rPr>
        <w:t xml:space="preserve"> estimated the age and sex</w:t>
      </w:r>
      <w:r w:rsidR="00B24FFD">
        <w:rPr>
          <w:rFonts w:eastAsiaTheme="minorEastAsia" w:cs="Baskerville"/>
          <w:szCs w:val="24"/>
          <w:lang w:eastAsia="en-GB"/>
        </w:rPr>
        <w:noBreakHyphen/>
      </w:r>
      <w:r w:rsidRPr="002D7E3B">
        <w:rPr>
          <w:rFonts w:eastAsiaTheme="minorEastAsia" w:cs="Baskerville"/>
          <w:szCs w:val="24"/>
          <w:lang w:eastAsia="en-GB"/>
        </w:rPr>
        <w:t>adjusted prevalence of psoriasis to be 6.6%</w:t>
      </w:r>
      <w:r>
        <w:rPr>
          <w:rFonts w:eastAsiaTheme="minorEastAsia" w:cs="Baskerville"/>
          <w:szCs w:val="24"/>
          <w:lang w:eastAsia="en-GB"/>
        </w:rPr>
        <w:t>.</w:t>
      </w:r>
      <w:r w:rsidR="00FB1688">
        <w:rPr>
          <w:rFonts w:eastAsiaTheme="minorEastAsia" w:cs="Baskerville"/>
          <w:noProof/>
          <w:szCs w:val="24"/>
          <w:lang w:eastAsia="en-GB"/>
        </w:rPr>
        <w:t>(</w:t>
      </w:r>
      <w:r w:rsidR="001B4738">
        <w:rPr>
          <w:rFonts w:eastAsiaTheme="minorEastAsia" w:cs="Baskerville"/>
          <w:noProof/>
          <w:szCs w:val="24"/>
          <w:lang w:eastAsia="en-GB"/>
        </w:rPr>
        <w:t>2</w:t>
      </w:r>
      <w:r w:rsidR="00FB1688">
        <w:rPr>
          <w:rFonts w:eastAsiaTheme="minorEastAsia" w:cs="Baskerville"/>
          <w:noProof/>
          <w:szCs w:val="24"/>
          <w:lang w:eastAsia="en-GB"/>
        </w:rPr>
        <w:t>)</w:t>
      </w:r>
      <w:r w:rsidRPr="002D7E3B">
        <w:rPr>
          <w:rFonts w:eastAsiaTheme="minorEastAsia" w:cs="Baskerville"/>
          <w:szCs w:val="24"/>
          <w:lang w:eastAsia="en-GB"/>
        </w:rPr>
        <w:t xml:space="preserve"> This was higher than the figures presented in earlier studies, as well as more recent estimates from the ABS </w:t>
      </w:r>
      <w:r w:rsidRPr="003A20F9">
        <w:rPr>
          <w:rFonts w:eastAsiaTheme="minorEastAsia" w:cs="Baskerville"/>
          <w:noProof/>
          <w:szCs w:val="24"/>
          <w:lang w:eastAsia="en-GB"/>
        </w:rPr>
        <w:t>NHSs</w:t>
      </w:r>
      <w:r w:rsidRPr="002D7E3B">
        <w:rPr>
          <w:rFonts w:eastAsiaTheme="minorEastAsia" w:cs="Baskerville"/>
          <w:szCs w:val="24"/>
          <w:lang w:eastAsia="en-GB"/>
        </w:rPr>
        <w:t>.</w:t>
      </w:r>
      <w:r w:rsidR="00FB1688">
        <w:rPr>
          <w:rFonts w:eastAsiaTheme="minorEastAsia" w:cs="Baskerville"/>
          <w:noProof/>
          <w:szCs w:val="24"/>
          <w:lang w:eastAsia="en-GB"/>
        </w:rPr>
        <w:t>(</w:t>
      </w:r>
      <w:r w:rsidR="001B4738">
        <w:rPr>
          <w:rFonts w:eastAsiaTheme="minorEastAsia" w:cs="Baskerville"/>
          <w:noProof/>
          <w:szCs w:val="24"/>
          <w:lang w:eastAsia="en-GB"/>
        </w:rPr>
        <w:t>1-5</w:t>
      </w:r>
      <w:r w:rsidR="00FB1688">
        <w:rPr>
          <w:rFonts w:eastAsiaTheme="minorEastAsia" w:cs="Baskerville"/>
          <w:noProof/>
          <w:szCs w:val="24"/>
          <w:lang w:eastAsia="en-GB"/>
        </w:rPr>
        <w:t>)</w:t>
      </w:r>
      <w:r w:rsidRPr="002D7E3B">
        <w:rPr>
          <w:rFonts w:eastAsiaTheme="minorEastAsia" w:cs="Baskerville"/>
          <w:szCs w:val="24"/>
          <w:lang w:eastAsia="en-GB"/>
        </w:rPr>
        <w:t xml:space="preserve"> The </w:t>
      </w:r>
      <w:r>
        <w:rPr>
          <w:rFonts w:eastAsiaTheme="minorEastAsia" w:cs="Baskerville"/>
          <w:noProof/>
          <w:szCs w:val="24"/>
          <w:lang w:eastAsia="en-GB"/>
        </w:rPr>
        <w:t>Plunkett (1999)</w:t>
      </w:r>
      <w:r w:rsidRPr="002D7E3B">
        <w:rPr>
          <w:rFonts w:eastAsiaTheme="minorEastAsia" w:cs="Baskerville"/>
          <w:szCs w:val="24"/>
          <w:lang w:eastAsia="en-GB"/>
        </w:rPr>
        <w:t xml:space="preserve"> study consisted of randomly selected participants who completed a questionnaire on whether they had or were treating a skin condition followed by an examination by dermatology registrars for skin conditions, including psoriasis. </w:t>
      </w:r>
      <w:r w:rsidR="00B24FFD">
        <w:rPr>
          <w:rFonts w:eastAsiaTheme="minorEastAsia" w:cs="Baskerville"/>
          <w:noProof/>
          <w:szCs w:val="24"/>
          <w:lang w:eastAsia="en-GB"/>
        </w:rPr>
        <w:t>The study found 99</w:t>
      </w:r>
      <w:r w:rsidRPr="003A20F9">
        <w:rPr>
          <w:rFonts w:eastAsiaTheme="minorEastAsia" w:cs="Baskerville"/>
          <w:noProof/>
          <w:szCs w:val="24"/>
          <w:lang w:eastAsia="en-GB"/>
        </w:rPr>
        <w:t xml:space="preserve"> participants had psoriasis on clinical examination, </w:t>
      </w:r>
      <w:r w:rsidR="00B24FFD">
        <w:rPr>
          <w:rFonts w:eastAsiaTheme="minorEastAsia" w:cs="Baskerville"/>
          <w:noProof/>
          <w:szCs w:val="24"/>
          <w:lang w:eastAsia="en-GB"/>
        </w:rPr>
        <w:t xml:space="preserve">although </w:t>
      </w:r>
      <w:r w:rsidRPr="003A20F9">
        <w:rPr>
          <w:rFonts w:eastAsiaTheme="minorEastAsia" w:cs="Baskerville"/>
          <w:noProof/>
          <w:szCs w:val="24"/>
          <w:lang w:eastAsia="en-GB"/>
        </w:rPr>
        <w:t>only 41 reported having psoriasis.</w:t>
      </w:r>
      <w:r w:rsidRPr="002D7E3B">
        <w:rPr>
          <w:rFonts w:eastAsiaTheme="minorEastAsia" w:cs="Baskerville"/>
          <w:szCs w:val="24"/>
          <w:lang w:eastAsia="en-GB"/>
        </w:rPr>
        <w:t xml:space="preserve"> </w:t>
      </w:r>
      <w:r w:rsidR="00B24FFD">
        <w:rPr>
          <w:rFonts w:eastAsiaTheme="minorEastAsia" w:cs="Baskerville"/>
          <w:szCs w:val="24"/>
          <w:lang w:eastAsia="en-GB"/>
        </w:rPr>
        <w:t>Of a total</w:t>
      </w:r>
      <w:r w:rsidRPr="002D7E3B">
        <w:rPr>
          <w:rFonts w:eastAsiaTheme="minorEastAsia" w:cs="Baskerville"/>
          <w:szCs w:val="24"/>
          <w:lang w:eastAsia="en-GB"/>
        </w:rPr>
        <w:t xml:space="preserve"> 77 participants that reported having psoriasis</w:t>
      </w:r>
      <w:r w:rsidR="00B24FFD">
        <w:rPr>
          <w:rFonts w:eastAsiaTheme="minorEastAsia" w:cs="Baskerville"/>
          <w:szCs w:val="24"/>
          <w:lang w:eastAsia="en-GB"/>
        </w:rPr>
        <w:t>,</w:t>
      </w:r>
      <w:r w:rsidRPr="002D7E3B">
        <w:rPr>
          <w:rFonts w:eastAsiaTheme="minorEastAsia" w:cs="Baskerville"/>
          <w:szCs w:val="24"/>
          <w:lang w:eastAsia="en-GB"/>
        </w:rPr>
        <w:t xml:space="preserve"> 36</w:t>
      </w:r>
      <w:r>
        <w:rPr>
          <w:rFonts w:eastAsiaTheme="minorEastAsia" w:cs="Baskerville"/>
          <w:szCs w:val="24"/>
          <w:lang w:eastAsia="en-GB"/>
        </w:rPr>
        <w:t xml:space="preserve"> (47%)</w:t>
      </w:r>
      <w:r w:rsidRPr="002D7E3B">
        <w:rPr>
          <w:rFonts w:eastAsiaTheme="minorEastAsia" w:cs="Baskerville"/>
          <w:szCs w:val="24"/>
          <w:lang w:eastAsia="en-GB"/>
        </w:rPr>
        <w:t xml:space="preserve"> did not have psoriasis on clinical examination</w:t>
      </w:r>
      <w:r w:rsidR="00B24FFD">
        <w:rPr>
          <w:rFonts w:eastAsiaTheme="minorEastAsia" w:cs="Baskerville"/>
          <w:szCs w:val="24"/>
          <w:lang w:eastAsia="en-GB"/>
        </w:rPr>
        <w:t xml:space="preserve">. </w:t>
      </w:r>
      <w:r w:rsidR="00FB1688">
        <w:rPr>
          <w:rFonts w:eastAsiaTheme="minorEastAsia" w:cs="Baskerville"/>
          <w:noProof/>
          <w:szCs w:val="24"/>
          <w:lang w:eastAsia="en-GB"/>
        </w:rPr>
        <w:t>(</w:t>
      </w:r>
      <w:r w:rsidR="001B4738">
        <w:rPr>
          <w:rFonts w:eastAsiaTheme="minorEastAsia" w:cs="Baskerville"/>
          <w:noProof/>
          <w:szCs w:val="24"/>
          <w:lang w:eastAsia="en-GB"/>
        </w:rPr>
        <w:t>2</w:t>
      </w:r>
      <w:r w:rsidR="00FB1688">
        <w:rPr>
          <w:rFonts w:eastAsiaTheme="minorEastAsia" w:cs="Baskerville"/>
          <w:noProof/>
          <w:szCs w:val="24"/>
          <w:lang w:eastAsia="en-GB"/>
        </w:rPr>
        <w:t>)</w:t>
      </w:r>
    </w:p>
    <w:p w:rsidR="00071F2B" w:rsidRDefault="00071F2B" w:rsidP="00023D7E">
      <w:pPr>
        <w:rPr>
          <w:rFonts w:eastAsiaTheme="minorEastAsia" w:cs="Baskerville"/>
          <w:szCs w:val="24"/>
          <w:lang w:eastAsia="en-GB"/>
        </w:rPr>
      </w:pPr>
      <w:r w:rsidRPr="002D7E3B">
        <w:rPr>
          <w:rFonts w:eastAsiaTheme="minorEastAsia" w:cs="Baskerville"/>
          <w:szCs w:val="24"/>
          <w:lang w:eastAsia="en-GB"/>
        </w:rPr>
        <w:t xml:space="preserve">The measures of prevalence used </w:t>
      </w:r>
      <w:r w:rsidRPr="003A20F9">
        <w:rPr>
          <w:rFonts w:eastAsiaTheme="minorEastAsia" w:cs="Baskerville"/>
          <w:noProof/>
          <w:szCs w:val="24"/>
          <w:lang w:eastAsia="en-GB"/>
        </w:rPr>
        <w:t>in in</w:t>
      </w:r>
      <w:r w:rsidRPr="002D7E3B">
        <w:rPr>
          <w:rFonts w:eastAsiaTheme="minorEastAsia" w:cs="Baskerville"/>
          <w:szCs w:val="24"/>
          <w:lang w:eastAsia="en-GB"/>
        </w:rPr>
        <w:t xml:space="preserve"> </w:t>
      </w:r>
      <w:r>
        <w:rPr>
          <w:rFonts w:eastAsiaTheme="minorEastAsia" w:cs="Baskerville"/>
          <w:noProof/>
          <w:szCs w:val="24"/>
          <w:lang w:eastAsia="en-GB"/>
        </w:rPr>
        <w:t>Plunkett (1999)</w:t>
      </w:r>
      <w:r w:rsidRPr="002D7E3B">
        <w:rPr>
          <w:rFonts w:eastAsiaTheme="minorEastAsia" w:cs="Baskerville"/>
          <w:szCs w:val="24"/>
          <w:lang w:eastAsia="en-GB"/>
        </w:rPr>
        <w:t xml:space="preserve"> </w:t>
      </w:r>
      <w:r>
        <w:rPr>
          <w:rFonts w:eastAsiaTheme="minorEastAsia" w:cs="Baskerville"/>
          <w:szCs w:val="24"/>
          <w:lang w:eastAsia="en-GB"/>
        </w:rPr>
        <w:t xml:space="preserve">and </w:t>
      </w:r>
      <w:r w:rsidRPr="00BC3835">
        <w:rPr>
          <w:rFonts w:eastAsiaTheme="minorEastAsia" w:cs="Baskerville"/>
          <w:szCs w:val="24"/>
          <w:lang w:eastAsia="en-GB"/>
        </w:rPr>
        <w:t xml:space="preserve">Quirk </w:t>
      </w:r>
      <w:r>
        <w:rPr>
          <w:rFonts w:eastAsiaTheme="minorEastAsia" w:cs="Baskerville"/>
          <w:szCs w:val="24"/>
          <w:lang w:eastAsia="en-GB"/>
        </w:rPr>
        <w:t>(</w:t>
      </w:r>
      <w:r w:rsidRPr="00BC3835">
        <w:rPr>
          <w:rFonts w:eastAsiaTheme="minorEastAsia" w:cs="Baskerville"/>
          <w:szCs w:val="24"/>
          <w:lang w:eastAsia="en-GB"/>
        </w:rPr>
        <w:t>1979</w:t>
      </w:r>
      <w:r>
        <w:rPr>
          <w:rFonts w:eastAsiaTheme="minorEastAsia" w:cs="Baskerville"/>
          <w:szCs w:val="24"/>
          <w:lang w:eastAsia="en-GB"/>
        </w:rPr>
        <w:t xml:space="preserve">) </w:t>
      </w:r>
      <w:r w:rsidRPr="002D7E3B">
        <w:rPr>
          <w:rFonts w:eastAsiaTheme="minorEastAsia" w:cs="Baskerville"/>
          <w:szCs w:val="24"/>
          <w:lang w:eastAsia="en-GB"/>
        </w:rPr>
        <w:t xml:space="preserve">differed from the measure used in </w:t>
      </w:r>
      <w:r>
        <w:rPr>
          <w:rFonts w:eastAsiaTheme="minorEastAsia" w:cs="Baskerville"/>
          <w:noProof/>
          <w:szCs w:val="24"/>
          <w:lang w:eastAsia="en-GB"/>
        </w:rPr>
        <w:t>Kilkenny, Stathakis, Jolley, and Marks (1998)</w:t>
      </w:r>
      <w:r>
        <w:rPr>
          <w:rFonts w:eastAsiaTheme="minorEastAsia" w:cs="Baskerville"/>
          <w:szCs w:val="24"/>
          <w:lang w:eastAsia="en-GB"/>
        </w:rPr>
        <w:t xml:space="preserve"> and the ABS studies</w:t>
      </w:r>
      <w:r w:rsidRPr="002D7E3B">
        <w:rPr>
          <w:rFonts w:eastAsiaTheme="minorEastAsia" w:cs="Baskerville"/>
          <w:szCs w:val="24"/>
          <w:lang w:eastAsia="en-GB"/>
        </w:rPr>
        <w:t xml:space="preserve">.  </w:t>
      </w:r>
      <w:r>
        <w:rPr>
          <w:rFonts w:eastAsiaTheme="minorEastAsia" w:cs="Baskerville"/>
          <w:noProof/>
          <w:szCs w:val="24"/>
          <w:lang w:eastAsia="en-GB"/>
        </w:rPr>
        <w:t>Plunkett (1999)</w:t>
      </w:r>
      <w:r w:rsidRPr="002D7E3B">
        <w:rPr>
          <w:rFonts w:eastAsiaTheme="minorEastAsia" w:cs="Baskerville"/>
          <w:szCs w:val="24"/>
          <w:lang w:eastAsia="en-GB"/>
        </w:rPr>
        <w:t xml:space="preserve"> </w:t>
      </w:r>
      <w:r>
        <w:rPr>
          <w:rFonts w:eastAsiaTheme="minorEastAsia" w:cs="Baskerville"/>
          <w:szCs w:val="24"/>
          <w:lang w:eastAsia="en-GB"/>
        </w:rPr>
        <w:t xml:space="preserve">and </w:t>
      </w:r>
      <w:r w:rsidRPr="00BC3835">
        <w:rPr>
          <w:rFonts w:eastAsiaTheme="minorEastAsia" w:cs="Baskerville"/>
          <w:szCs w:val="24"/>
          <w:lang w:eastAsia="en-GB"/>
        </w:rPr>
        <w:t xml:space="preserve">Quirk </w:t>
      </w:r>
      <w:r>
        <w:rPr>
          <w:rFonts w:eastAsiaTheme="minorEastAsia" w:cs="Baskerville"/>
          <w:szCs w:val="24"/>
          <w:lang w:eastAsia="en-GB"/>
        </w:rPr>
        <w:t>(</w:t>
      </w:r>
      <w:r w:rsidRPr="00BC3835">
        <w:rPr>
          <w:rFonts w:eastAsiaTheme="minorEastAsia" w:cs="Baskerville"/>
          <w:szCs w:val="24"/>
          <w:lang w:eastAsia="en-GB"/>
        </w:rPr>
        <w:t>1979</w:t>
      </w:r>
      <w:r>
        <w:rPr>
          <w:rFonts w:eastAsiaTheme="minorEastAsia" w:cs="Baskerville"/>
          <w:szCs w:val="24"/>
          <w:lang w:eastAsia="en-GB"/>
        </w:rPr>
        <w:t xml:space="preserve">) </w:t>
      </w:r>
      <w:r w:rsidRPr="002D7E3B">
        <w:rPr>
          <w:rFonts w:eastAsiaTheme="minorEastAsia" w:cs="Baskerville"/>
          <w:szCs w:val="24"/>
          <w:lang w:eastAsia="en-GB"/>
        </w:rPr>
        <w:t xml:space="preserve">measured point prevalence of medically diagnosed psoriasis at the time of the examination whereas </w:t>
      </w:r>
      <w:r>
        <w:rPr>
          <w:rFonts w:eastAsiaTheme="minorEastAsia" w:cs="Baskerville"/>
          <w:noProof/>
          <w:szCs w:val="24"/>
          <w:lang w:eastAsia="en-GB"/>
        </w:rPr>
        <w:t>Kilkenny (1998)</w:t>
      </w:r>
      <w:r w:rsidRPr="002D7E3B">
        <w:rPr>
          <w:rFonts w:eastAsiaTheme="minorEastAsia" w:cs="Baskerville"/>
          <w:szCs w:val="24"/>
          <w:lang w:eastAsia="en-GB"/>
        </w:rPr>
        <w:t xml:space="preserve"> </w:t>
      </w:r>
      <w:r>
        <w:rPr>
          <w:rFonts w:eastAsiaTheme="minorEastAsia" w:cs="Baskerville"/>
          <w:szCs w:val="24"/>
          <w:lang w:eastAsia="en-GB"/>
        </w:rPr>
        <w:t xml:space="preserve">and the ABS studies </w:t>
      </w:r>
      <w:r w:rsidRPr="002D7E3B">
        <w:rPr>
          <w:rFonts w:eastAsiaTheme="minorEastAsia" w:cs="Baskerville"/>
          <w:szCs w:val="24"/>
          <w:lang w:eastAsia="en-GB"/>
        </w:rPr>
        <w:t>measured patient</w:t>
      </w:r>
      <w:r w:rsidR="00202635">
        <w:rPr>
          <w:rFonts w:eastAsiaTheme="minorEastAsia" w:cs="Baskerville"/>
          <w:szCs w:val="24"/>
          <w:lang w:eastAsia="en-GB"/>
        </w:rPr>
        <w:noBreakHyphen/>
      </w:r>
      <w:r w:rsidRPr="002D7E3B">
        <w:rPr>
          <w:rFonts w:eastAsiaTheme="minorEastAsia" w:cs="Baskerville"/>
          <w:szCs w:val="24"/>
          <w:lang w:eastAsia="en-GB"/>
        </w:rPr>
        <w:t>reported psoriasis</w:t>
      </w:r>
      <w:r>
        <w:rPr>
          <w:rFonts w:eastAsiaTheme="minorEastAsia" w:cs="Baskerville"/>
          <w:szCs w:val="24"/>
          <w:lang w:eastAsia="en-GB"/>
        </w:rPr>
        <w:t>.</w:t>
      </w:r>
      <w:r w:rsidR="00FB1688">
        <w:rPr>
          <w:rFonts w:eastAsiaTheme="minorEastAsia" w:cs="Baskerville"/>
          <w:noProof/>
          <w:szCs w:val="24"/>
          <w:lang w:eastAsia="en-GB"/>
        </w:rPr>
        <w:t>(</w:t>
      </w:r>
      <w:r w:rsidR="001B4738">
        <w:rPr>
          <w:rFonts w:eastAsiaTheme="minorEastAsia" w:cs="Baskerville"/>
          <w:noProof/>
          <w:szCs w:val="24"/>
          <w:lang w:eastAsia="en-GB"/>
        </w:rPr>
        <w:t>1-6</w:t>
      </w:r>
      <w:r w:rsidR="00FB1688">
        <w:rPr>
          <w:rFonts w:eastAsiaTheme="minorEastAsia" w:cs="Baskerville"/>
          <w:noProof/>
          <w:szCs w:val="24"/>
          <w:lang w:eastAsia="en-GB"/>
        </w:rPr>
        <w:t>)</w:t>
      </w:r>
      <w:r>
        <w:rPr>
          <w:rFonts w:eastAsiaTheme="minorEastAsia" w:cs="Baskerville"/>
          <w:szCs w:val="24"/>
          <w:lang w:eastAsia="en-GB"/>
        </w:rPr>
        <w:t xml:space="preserve"> </w:t>
      </w:r>
      <w:r>
        <w:rPr>
          <w:rFonts w:eastAsiaTheme="minorEastAsia" w:cs="Baskerville"/>
          <w:noProof/>
          <w:szCs w:val="24"/>
          <w:lang w:eastAsia="en-GB"/>
        </w:rPr>
        <w:t>Kilkenny (1998)</w:t>
      </w:r>
      <w:r>
        <w:rPr>
          <w:rFonts w:eastAsiaTheme="minorEastAsia" w:cs="Baskerville"/>
          <w:szCs w:val="24"/>
          <w:lang w:eastAsia="en-GB"/>
        </w:rPr>
        <w:t xml:space="preserve"> </w:t>
      </w:r>
      <w:r w:rsidRPr="00BD3C1B">
        <w:rPr>
          <w:rFonts w:eastAsiaTheme="minorEastAsia" w:cs="Baskerville"/>
          <w:szCs w:val="24"/>
          <w:lang w:eastAsia="en-GB"/>
        </w:rPr>
        <w:t>measured patient-reported psoriasis</w:t>
      </w:r>
      <w:r w:rsidRPr="002D7E3B">
        <w:rPr>
          <w:rFonts w:eastAsiaTheme="minorEastAsia" w:cs="Baskerville"/>
          <w:szCs w:val="24"/>
          <w:lang w:eastAsia="en-GB"/>
        </w:rPr>
        <w:t xml:space="preserve"> in the previous two weeks and patient-reported psoriasis in the previous six months excluding the previous two week</w:t>
      </w:r>
      <w:r>
        <w:rPr>
          <w:rFonts w:eastAsiaTheme="minorEastAsia" w:cs="Baskerville"/>
          <w:szCs w:val="24"/>
          <w:lang w:eastAsia="en-GB"/>
        </w:rPr>
        <w:t>s</w:t>
      </w:r>
      <w:r w:rsidRPr="002D7E3B">
        <w:rPr>
          <w:rFonts w:eastAsiaTheme="minorEastAsia" w:cs="Baskerville"/>
          <w:szCs w:val="24"/>
          <w:lang w:eastAsia="en-GB"/>
        </w:rPr>
        <w:t xml:space="preserve">. </w:t>
      </w:r>
      <w:r>
        <w:rPr>
          <w:rFonts w:eastAsiaTheme="minorEastAsia" w:cs="Baskerville"/>
          <w:szCs w:val="24"/>
          <w:lang w:eastAsia="en-GB"/>
        </w:rPr>
        <w:t xml:space="preserve">This difference of data collection may be important given that 47% of patients in </w:t>
      </w:r>
      <w:r>
        <w:rPr>
          <w:rFonts w:eastAsiaTheme="minorEastAsia" w:cs="Baskerville"/>
          <w:noProof/>
          <w:szCs w:val="24"/>
          <w:lang w:eastAsia="en-GB"/>
        </w:rPr>
        <w:t>Plunkett (1999)</w:t>
      </w:r>
      <w:r>
        <w:rPr>
          <w:rFonts w:eastAsiaTheme="minorEastAsia" w:cs="Baskerville"/>
          <w:szCs w:val="24"/>
          <w:lang w:eastAsia="en-GB"/>
        </w:rPr>
        <w:t xml:space="preserve"> reported having psoriasis when they did not have it on clinical examination.</w:t>
      </w:r>
      <w:r w:rsidR="00FB1688">
        <w:rPr>
          <w:rFonts w:eastAsiaTheme="minorEastAsia" w:cs="Baskerville"/>
          <w:noProof/>
          <w:szCs w:val="24"/>
          <w:lang w:eastAsia="en-GB"/>
        </w:rPr>
        <w:t>(</w:t>
      </w:r>
      <w:r w:rsidR="001B4738">
        <w:rPr>
          <w:rFonts w:eastAsiaTheme="minorEastAsia" w:cs="Baskerville"/>
          <w:noProof/>
          <w:szCs w:val="24"/>
          <w:lang w:eastAsia="en-GB"/>
        </w:rPr>
        <w:t>2</w:t>
      </w:r>
      <w:r w:rsidR="00FB1688">
        <w:rPr>
          <w:rFonts w:eastAsiaTheme="minorEastAsia" w:cs="Baskerville"/>
          <w:noProof/>
          <w:szCs w:val="24"/>
          <w:lang w:eastAsia="en-GB"/>
        </w:rPr>
        <w:t>)</w:t>
      </w:r>
    </w:p>
    <w:p w:rsidR="00071F2B" w:rsidRPr="00304385" w:rsidRDefault="00071F2B" w:rsidP="00023D7E">
      <w:pPr>
        <w:rPr>
          <w:rFonts w:eastAsiaTheme="minorEastAsia" w:cs="Baskerville"/>
          <w:i/>
          <w:szCs w:val="24"/>
          <w:lang w:eastAsia="en-GB"/>
        </w:rPr>
      </w:pPr>
      <w:r w:rsidRPr="00394001">
        <w:rPr>
          <w:rFonts w:eastAsiaTheme="minorEastAsia" w:cs="Baskerville"/>
          <w:szCs w:val="24"/>
          <w:lang w:eastAsia="en-GB"/>
        </w:rPr>
        <w:t xml:space="preserve">There may have been a higher degree of responder bias with </w:t>
      </w:r>
      <w:r>
        <w:rPr>
          <w:rFonts w:eastAsiaTheme="minorEastAsia" w:cs="Baskerville"/>
          <w:noProof/>
          <w:szCs w:val="24"/>
          <w:lang w:eastAsia="en-GB"/>
        </w:rPr>
        <w:t>Plunkett (1999)</w:t>
      </w:r>
      <w:r w:rsidRPr="00394001">
        <w:rPr>
          <w:rFonts w:eastAsiaTheme="minorEastAsia" w:cs="Baskerville"/>
          <w:szCs w:val="24"/>
          <w:lang w:eastAsia="en-GB"/>
        </w:rPr>
        <w:t xml:space="preserve"> than </w:t>
      </w:r>
      <w:r>
        <w:rPr>
          <w:rFonts w:eastAsiaTheme="minorEastAsia" w:cs="Baskerville"/>
          <w:noProof/>
          <w:szCs w:val="24"/>
          <w:lang w:eastAsia="en-GB"/>
        </w:rPr>
        <w:t>Kilkenny (1998)</w:t>
      </w:r>
      <w:r w:rsidRPr="00394001">
        <w:rPr>
          <w:rFonts w:eastAsiaTheme="minorEastAsia" w:cs="Baskerville"/>
          <w:szCs w:val="24"/>
          <w:lang w:eastAsia="en-GB"/>
        </w:rPr>
        <w:t>. While both studies had a relatively high response rate</w:t>
      </w:r>
      <w:r w:rsidRPr="002D7E3B">
        <w:rPr>
          <w:rFonts w:cs="Times New Roman"/>
          <w:szCs w:val="24"/>
          <w:lang w:eastAsia="en-GB"/>
        </w:rPr>
        <w:t xml:space="preserve">, </w:t>
      </w:r>
      <w:r>
        <w:rPr>
          <w:rFonts w:cs="Times New Roman"/>
          <w:noProof/>
          <w:szCs w:val="24"/>
          <w:lang w:eastAsia="en-GB"/>
        </w:rPr>
        <w:t>Kilkenny (1998)</w:t>
      </w:r>
      <w:r w:rsidRPr="002D7E3B">
        <w:rPr>
          <w:rFonts w:cs="Times New Roman"/>
          <w:szCs w:val="24"/>
          <w:lang w:eastAsia="en-GB"/>
        </w:rPr>
        <w:t xml:space="preserve"> had a </w:t>
      </w:r>
      <w:r w:rsidR="00202635">
        <w:rPr>
          <w:rFonts w:cs="Times New Roman"/>
          <w:szCs w:val="24"/>
          <w:lang w:eastAsia="en-GB"/>
        </w:rPr>
        <w:t xml:space="preserve">higher </w:t>
      </w:r>
      <w:r w:rsidRPr="002D7E3B">
        <w:rPr>
          <w:rFonts w:cs="Times New Roman"/>
          <w:szCs w:val="24"/>
          <w:lang w:eastAsia="en-GB"/>
        </w:rPr>
        <w:t xml:space="preserve">response rate than </w:t>
      </w:r>
      <w:r>
        <w:rPr>
          <w:rFonts w:eastAsiaTheme="minorEastAsia" w:cs="Baskerville"/>
          <w:noProof/>
          <w:szCs w:val="24"/>
          <w:lang w:eastAsia="en-GB"/>
        </w:rPr>
        <w:t>Plunkett (1999).</w:t>
      </w:r>
      <w:r w:rsidR="006B3612">
        <w:rPr>
          <w:rFonts w:cs="Times New Roman"/>
          <w:noProof/>
          <w:szCs w:val="24"/>
          <w:lang w:eastAsia="en-GB"/>
        </w:rPr>
        <w:t>(</w:t>
      </w:r>
      <w:r w:rsidR="001B4738">
        <w:rPr>
          <w:rFonts w:cs="Times New Roman"/>
          <w:noProof/>
          <w:szCs w:val="24"/>
          <w:lang w:eastAsia="en-GB"/>
        </w:rPr>
        <w:t>2</w:t>
      </w:r>
      <w:r w:rsidR="006B3612">
        <w:rPr>
          <w:rFonts w:cs="Times New Roman"/>
          <w:noProof/>
          <w:szCs w:val="24"/>
          <w:lang w:eastAsia="en-GB"/>
        </w:rPr>
        <w:t xml:space="preserve">, </w:t>
      </w:r>
      <w:r w:rsidR="001B4738">
        <w:rPr>
          <w:rFonts w:cs="Times New Roman"/>
          <w:noProof/>
          <w:szCs w:val="24"/>
          <w:lang w:eastAsia="en-GB"/>
        </w:rPr>
        <w:t>3</w:t>
      </w:r>
      <w:r w:rsidR="006B3612">
        <w:rPr>
          <w:rFonts w:cs="Times New Roman"/>
          <w:noProof/>
          <w:szCs w:val="24"/>
          <w:lang w:eastAsia="en-GB"/>
        </w:rPr>
        <w:t>)</w:t>
      </w:r>
      <w:r w:rsidRPr="002D7E3B">
        <w:rPr>
          <w:rFonts w:cs="Times New Roman"/>
          <w:szCs w:val="24"/>
          <w:lang w:eastAsia="en-GB"/>
        </w:rPr>
        <w:t xml:space="preserve"> </w:t>
      </w:r>
      <w:r>
        <w:rPr>
          <w:rFonts w:eastAsiaTheme="minorEastAsia" w:cs="Baskerville"/>
          <w:noProof/>
          <w:szCs w:val="24"/>
          <w:lang w:eastAsia="en-GB"/>
        </w:rPr>
        <w:t>Plunkett (1999)</w:t>
      </w:r>
      <w:r w:rsidRPr="00394001">
        <w:rPr>
          <w:rFonts w:eastAsiaTheme="minorEastAsia" w:cs="Baskerville"/>
          <w:szCs w:val="24"/>
          <w:lang w:eastAsia="en-GB"/>
        </w:rPr>
        <w:t xml:space="preserve"> involved </w:t>
      </w:r>
      <w:r w:rsidRPr="003A20F9">
        <w:rPr>
          <w:rFonts w:eastAsiaTheme="minorEastAsia" w:cs="Baskerville"/>
          <w:noProof/>
          <w:szCs w:val="24"/>
          <w:lang w:eastAsia="en-GB"/>
        </w:rPr>
        <w:t>examination</w:t>
      </w:r>
      <w:r w:rsidRPr="00394001">
        <w:rPr>
          <w:rFonts w:eastAsiaTheme="minorEastAsia" w:cs="Baskerville"/>
          <w:szCs w:val="24"/>
          <w:lang w:eastAsia="en-GB"/>
        </w:rPr>
        <w:t xml:space="preserve"> by a dermatology registrar. This may have resulted in </w:t>
      </w:r>
      <w:r w:rsidR="00DC4305">
        <w:rPr>
          <w:rFonts w:eastAsiaTheme="minorEastAsia" w:cs="Baskerville"/>
          <w:szCs w:val="24"/>
          <w:lang w:eastAsia="en-GB"/>
        </w:rPr>
        <w:t>higher participation by people with skin conditions</w:t>
      </w:r>
      <w:r w:rsidRPr="00394001">
        <w:rPr>
          <w:rFonts w:eastAsiaTheme="minorEastAsia" w:cs="Baskerville"/>
          <w:szCs w:val="24"/>
          <w:lang w:eastAsia="en-GB"/>
        </w:rPr>
        <w:t xml:space="preserve">. </w:t>
      </w:r>
      <w:r w:rsidRPr="002D7E3B">
        <w:rPr>
          <w:rFonts w:eastAsiaTheme="minorEastAsia" w:cs="Baskerville"/>
          <w:szCs w:val="24"/>
          <w:lang w:eastAsia="en-GB"/>
        </w:rPr>
        <w:t xml:space="preserve">Additionally, </w:t>
      </w:r>
      <w:r>
        <w:rPr>
          <w:rFonts w:eastAsiaTheme="minorEastAsia" w:cs="Baskerville"/>
          <w:noProof/>
          <w:szCs w:val="24"/>
          <w:lang w:eastAsia="en-GB"/>
        </w:rPr>
        <w:t>Plunkett (1999)</w:t>
      </w:r>
      <w:r w:rsidRPr="002D7E3B">
        <w:rPr>
          <w:rFonts w:eastAsiaTheme="minorEastAsia" w:cs="Baskerville"/>
          <w:szCs w:val="24"/>
          <w:lang w:eastAsia="en-GB"/>
        </w:rPr>
        <w:t xml:space="preserve"> presented age and sex-adjusted prevalence that was adjusted for the population of Maryborough, Victoria. It was noted that age structure of Maryborough was older than that of the Australian population and that there was underrepresentation of younger participants. </w:t>
      </w:r>
      <w:r w:rsidRPr="00394001">
        <w:rPr>
          <w:rFonts w:eastAsiaTheme="minorEastAsia" w:cs="Baskerville"/>
          <w:szCs w:val="24"/>
          <w:lang w:eastAsia="en-GB"/>
        </w:rPr>
        <w:t xml:space="preserve">This may have affected the prevalence figure that was calculated. </w:t>
      </w:r>
      <w:r w:rsidRPr="002D7E3B">
        <w:rPr>
          <w:rFonts w:eastAsiaTheme="minorEastAsia" w:cs="Baskerville"/>
          <w:szCs w:val="24"/>
          <w:lang w:eastAsia="en-GB"/>
        </w:rPr>
        <w:t>However, the authors noted that there was ‘no detectable trend in prevalence with age</w:t>
      </w:r>
      <w:r>
        <w:rPr>
          <w:rFonts w:eastAsiaTheme="minorEastAsia" w:cs="Baskerville"/>
          <w:szCs w:val="24"/>
          <w:lang w:eastAsia="en-GB"/>
        </w:rPr>
        <w:t>.</w:t>
      </w:r>
      <w:r w:rsidRPr="002D7E3B">
        <w:rPr>
          <w:rFonts w:eastAsiaTheme="minorEastAsia" w:cs="Baskerville"/>
          <w:szCs w:val="24"/>
          <w:lang w:eastAsia="en-GB"/>
        </w:rPr>
        <w:t>’</w:t>
      </w:r>
      <w:r w:rsidR="00FB1688">
        <w:rPr>
          <w:rFonts w:eastAsiaTheme="minorEastAsia" w:cs="Baskerville"/>
          <w:noProof/>
          <w:szCs w:val="24"/>
          <w:lang w:eastAsia="en-GB"/>
        </w:rPr>
        <w:t>(</w:t>
      </w:r>
      <w:r w:rsidR="001B4738">
        <w:rPr>
          <w:rFonts w:eastAsiaTheme="minorEastAsia" w:cs="Baskerville"/>
          <w:noProof/>
          <w:szCs w:val="24"/>
          <w:lang w:eastAsia="en-GB"/>
        </w:rPr>
        <w:t>2</w:t>
      </w:r>
      <w:r w:rsidR="00FB1688">
        <w:rPr>
          <w:rFonts w:eastAsiaTheme="minorEastAsia" w:cs="Baskerville"/>
          <w:noProof/>
          <w:szCs w:val="24"/>
          <w:lang w:eastAsia="en-GB"/>
        </w:rPr>
        <w:t>)</w:t>
      </w:r>
    </w:p>
    <w:p w:rsidR="00071F2B" w:rsidRPr="00304385" w:rsidRDefault="00071F2B" w:rsidP="00B61BDB">
      <w:pPr>
        <w:pStyle w:val="MDsubHead3"/>
        <w:rPr>
          <w:lang w:eastAsia="en-GB"/>
        </w:rPr>
      </w:pPr>
      <w:r w:rsidRPr="00304385">
        <w:rPr>
          <w:lang w:eastAsia="en-GB"/>
        </w:rPr>
        <w:t xml:space="preserve">International estimates of the prevalence of psoriasis </w:t>
      </w:r>
    </w:p>
    <w:p w:rsidR="00071F2B" w:rsidRPr="00304385" w:rsidRDefault="00071F2B" w:rsidP="005A1B39">
      <w:pPr>
        <w:rPr>
          <w:rFonts w:eastAsiaTheme="minorEastAsia" w:cs="Baskerville"/>
          <w:szCs w:val="24"/>
          <w:lang w:eastAsia="en-GB"/>
        </w:rPr>
      </w:pPr>
      <w:r w:rsidRPr="00304385">
        <w:rPr>
          <w:rFonts w:eastAsiaTheme="minorEastAsia" w:cs="Baskerville"/>
          <w:szCs w:val="24"/>
          <w:lang w:eastAsia="en-GB"/>
        </w:rPr>
        <w:t xml:space="preserve">Reviews of psoriasis epidemiology, such as </w:t>
      </w:r>
      <w:r>
        <w:rPr>
          <w:rFonts w:eastAsiaTheme="minorEastAsia" w:cs="Baskerville"/>
          <w:noProof/>
          <w:szCs w:val="24"/>
          <w:lang w:eastAsia="en-GB"/>
        </w:rPr>
        <w:t>Parisi (2013)</w:t>
      </w:r>
      <w:r w:rsidRPr="00304385">
        <w:rPr>
          <w:rFonts w:eastAsiaTheme="minorEastAsia" w:cs="Baskerville"/>
          <w:szCs w:val="24"/>
          <w:lang w:eastAsia="en-GB"/>
        </w:rPr>
        <w:t xml:space="preserve">, </w:t>
      </w:r>
      <w:r>
        <w:rPr>
          <w:rFonts w:eastAsiaTheme="minorEastAsia" w:cs="Baskerville"/>
          <w:noProof/>
          <w:szCs w:val="24"/>
          <w:lang w:eastAsia="en-GB"/>
        </w:rPr>
        <w:t>Michalek, Loring, and John (2017)</w:t>
      </w:r>
      <w:r w:rsidRPr="00304385">
        <w:rPr>
          <w:rFonts w:eastAsiaTheme="minorEastAsia" w:cs="Baskerville"/>
          <w:szCs w:val="24"/>
          <w:lang w:eastAsia="en-GB"/>
        </w:rPr>
        <w:t xml:space="preserve"> and the WHO Global Report on Psoriasis (2016) (informed by the systematic review by Michalek </w:t>
      </w:r>
      <w:r w:rsidRPr="00304385">
        <w:rPr>
          <w:rFonts w:eastAsiaTheme="minorEastAsia" w:cs="Baskerville"/>
          <w:noProof/>
          <w:szCs w:val="24"/>
          <w:lang w:eastAsia="en-GB"/>
        </w:rPr>
        <w:t>(2017)</w:t>
      </w:r>
      <w:r>
        <w:rPr>
          <w:rFonts w:eastAsiaTheme="minorEastAsia" w:cs="Baskerville"/>
          <w:noProof/>
          <w:szCs w:val="24"/>
          <w:lang w:eastAsia="en-GB"/>
        </w:rPr>
        <w:t xml:space="preserve">) </w:t>
      </w:r>
      <w:r w:rsidRPr="00304385">
        <w:rPr>
          <w:rFonts w:eastAsiaTheme="minorEastAsia" w:cs="Baskerville"/>
          <w:szCs w:val="24"/>
          <w:lang w:eastAsia="en-GB"/>
        </w:rPr>
        <w:t>report</w:t>
      </w:r>
      <w:r>
        <w:rPr>
          <w:rFonts w:eastAsiaTheme="minorEastAsia" w:cs="Baskerville"/>
          <w:szCs w:val="24"/>
          <w:lang w:eastAsia="en-GB"/>
        </w:rPr>
        <w:t>ed</w:t>
      </w:r>
      <w:r w:rsidRPr="00304385">
        <w:rPr>
          <w:rFonts w:eastAsiaTheme="minorEastAsia" w:cs="Baskerville"/>
          <w:szCs w:val="24"/>
          <w:lang w:eastAsia="en-GB"/>
        </w:rPr>
        <w:t xml:space="preserve"> Australia as having one of the highest prevalence of psoriasis based on the results of </w:t>
      </w:r>
      <w:r>
        <w:rPr>
          <w:rFonts w:eastAsiaTheme="minorEastAsia" w:cs="Baskerville"/>
          <w:noProof/>
          <w:szCs w:val="24"/>
          <w:lang w:eastAsia="en-GB"/>
        </w:rPr>
        <w:t>Plunkett (1999).</w:t>
      </w:r>
      <w:r w:rsidR="00FB1688">
        <w:rPr>
          <w:rFonts w:eastAsiaTheme="minorEastAsia" w:cs="Baskerville"/>
          <w:noProof/>
          <w:szCs w:val="24"/>
          <w:lang w:eastAsia="en-GB"/>
        </w:rPr>
        <w:t>(</w:t>
      </w:r>
      <w:r w:rsidR="001B4738">
        <w:rPr>
          <w:rFonts w:eastAsiaTheme="minorEastAsia" w:cs="Baskerville"/>
          <w:noProof/>
          <w:szCs w:val="24"/>
          <w:lang w:eastAsia="en-GB"/>
        </w:rPr>
        <w:t>8-10</w:t>
      </w:r>
      <w:r w:rsidR="00FB1688">
        <w:rPr>
          <w:rFonts w:eastAsiaTheme="minorEastAsia" w:cs="Baskerville"/>
          <w:noProof/>
          <w:szCs w:val="24"/>
          <w:lang w:eastAsia="en-GB"/>
        </w:rPr>
        <w:t>)</w:t>
      </w:r>
      <w:r w:rsidRPr="00304385">
        <w:rPr>
          <w:rFonts w:eastAsiaTheme="minorEastAsia" w:cs="Baskerville"/>
          <w:szCs w:val="24"/>
          <w:lang w:eastAsia="en-GB"/>
        </w:rPr>
        <w:t xml:space="preserve"> Higher rates of prevalence have been reported in a Norwegian cohort study which reported a prevalence of 11.4% for the population aged 30</w:t>
      </w:r>
      <w:r w:rsidRPr="00304385">
        <w:rPr>
          <w:rFonts w:eastAsiaTheme="minorEastAsia" w:cs="Baskerville"/>
          <w:szCs w:val="24"/>
          <w:lang w:eastAsia="en-GB"/>
        </w:rPr>
        <w:noBreakHyphen/>
        <w:t>79 years</w:t>
      </w:r>
      <w:r>
        <w:rPr>
          <w:rFonts w:eastAsiaTheme="minorEastAsia" w:cs="Baskerville"/>
          <w:szCs w:val="24"/>
          <w:lang w:eastAsia="en-GB"/>
        </w:rPr>
        <w:t xml:space="preserve">. </w:t>
      </w:r>
      <w:r w:rsidR="00FB1688">
        <w:rPr>
          <w:rFonts w:eastAsiaTheme="minorEastAsia" w:cs="Baskerville"/>
          <w:noProof/>
          <w:szCs w:val="24"/>
          <w:lang w:eastAsia="en-GB"/>
        </w:rPr>
        <w:t>(</w:t>
      </w:r>
      <w:r w:rsidR="001B4738">
        <w:rPr>
          <w:rFonts w:eastAsiaTheme="minorEastAsia" w:cs="Baskerville"/>
          <w:noProof/>
          <w:szCs w:val="24"/>
          <w:lang w:eastAsia="en-GB"/>
        </w:rPr>
        <w:t>11</w:t>
      </w:r>
      <w:r w:rsidR="00FB1688">
        <w:rPr>
          <w:rFonts w:eastAsiaTheme="minorEastAsia" w:cs="Baskerville"/>
          <w:noProof/>
          <w:szCs w:val="24"/>
          <w:lang w:eastAsia="en-GB"/>
        </w:rPr>
        <w:t>)</w:t>
      </w:r>
      <w:r w:rsidRPr="00304385">
        <w:rPr>
          <w:rFonts w:eastAsiaTheme="minorEastAsia" w:cs="Baskerville"/>
          <w:szCs w:val="24"/>
          <w:lang w:eastAsia="en-GB"/>
        </w:rPr>
        <w:t xml:space="preserve"> </w:t>
      </w:r>
      <w:r w:rsidRPr="00A37C4E">
        <w:rPr>
          <w:rFonts w:eastAsiaTheme="minorEastAsia" w:cs="Baskerville"/>
          <w:szCs w:val="24"/>
          <w:lang w:eastAsia="en-GB"/>
        </w:rPr>
        <w:t>Danielsen</w:t>
      </w:r>
      <w:r>
        <w:rPr>
          <w:rFonts w:eastAsiaTheme="minorEastAsia" w:cs="Baskerville"/>
          <w:szCs w:val="24"/>
          <w:lang w:eastAsia="en-GB"/>
        </w:rPr>
        <w:t xml:space="preserve"> (2013) </w:t>
      </w:r>
      <w:r w:rsidRPr="00304385">
        <w:rPr>
          <w:rFonts w:eastAsiaTheme="minorEastAsia" w:cs="Baskerville"/>
          <w:szCs w:val="24"/>
          <w:lang w:eastAsia="en-GB"/>
        </w:rPr>
        <w:t xml:space="preserve">found psoriasis was more commonly reported in more recent surveys in all age cohorts and also increased as the cohorts aged. The </w:t>
      </w:r>
      <w:r w:rsidRPr="003A20F9">
        <w:rPr>
          <w:rFonts w:eastAsiaTheme="minorEastAsia" w:cs="Baskerville"/>
          <w:noProof/>
          <w:szCs w:val="24"/>
          <w:lang w:eastAsia="en-GB"/>
        </w:rPr>
        <w:t>study measured</w:t>
      </w:r>
      <w:r w:rsidRPr="00304385">
        <w:rPr>
          <w:rFonts w:eastAsiaTheme="minorEastAsia" w:cs="Baskerville"/>
          <w:szCs w:val="24"/>
          <w:lang w:eastAsia="en-GB"/>
        </w:rPr>
        <w:t xml:space="preserve"> </w:t>
      </w:r>
      <w:r w:rsidRPr="003A20F9">
        <w:rPr>
          <w:rFonts w:eastAsiaTheme="minorEastAsia" w:cs="Baskerville"/>
          <w:noProof/>
          <w:szCs w:val="24"/>
          <w:lang w:eastAsia="en-GB"/>
        </w:rPr>
        <w:t>self</w:t>
      </w:r>
      <w:r w:rsidRPr="003A20F9">
        <w:rPr>
          <w:rFonts w:eastAsiaTheme="minorEastAsia" w:cs="Baskerville"/>
          <w:noProof/>
          <w:szCs w:val="24"/>
          <w:lang w:eastAsia="en-GB"/>
        </w:rPr>
        <w:noBreakHyphen/>
        <w:t>reported</w:t>
      </w:r>
      <w:r w:rsidRPr="00304385">
        <w:rPr>
          <w:rFonts w:eastAsiaTheme="minorEastAsia" w:cs="Baskerville"/>
          <w:szCs w:val="24"/>
          <w:lang w:eastAsia="en-GB"/>
        </w:rPr>
        <w:t xml:space="preserve"> psoriasis prevalence in participants from Tromso, a subarctic area of Norway. The study noted that estimates of prevalence from more southern areas of Norway </w:t>
      </w:r>
      <w:r w:rsidRPr="003A20F9">
        <w:rPr>
          <w:rFonts w:eastAsiaTheme="minorEastAsia" w:cs="Baskerville"/>
          <w:noProof/>
          <w:szCs w:val="24"/>
          <w:lang w:eastAsia="en-GB"/>
        </w:rPr>
        <w:t>have</w:t>
      </w:r>
      <w:r w:rsidRPr="00304385">
        <w:rPr>
          <w:rFonts w:eastAsiaTheme="minorEastAsia" w:cs="Baskerville"/>
          <w:szCs w:val="24"/>
          <w:lang w:eastAsia="en-GB"/>
        </w:rPr>
        <w:t xml:space="preserve"> reported lowe</w:t>
      </w:r>
      <w:r>
        <w:rPr>
          <w:rFonts w:eastAsiaTheme="minorEastAsia" w:cs="Baskerville"/>
          <w:szCs w:val="24"/>
          <w:lang w:eastAsia="en-GB"/>
        </w:rPr>
        <w:t>r prevalence rates of psoriasis.</w:t>
      </w:r>
      <w:r w:rsidR="00FB1688">
        <w:rPr>
          <w:rFonts w:eastAsiaTheme="minorEastAsia" w:cs="Baskerville"/>
          <w:noProof/>
          <w:szCs w:val="24"/>
          <w:lang w:eastAsia="en-GB"/>
        </w:rPr>
        <w:t>(</w:t>
      </w:r>
      <w:r w:rsidR="001B4738">
        <w:rPr>
          <w:rFonts w:eastAsiaTheme="minorEastAsia" w:cs="Baskerville"/>
          <w:noProof/>
          <w:szCs w:val="24"/>
          <w:lang w:eastAsia="en-GB"/>
        </w:rPr>
        <w:t>11</w:t>
      </w:r>
      <w:r w:rsidR="00FB1688">
        <w:rPr>
          <w:rFonts w:eastAsiaTheme="minorEastAsia" w:cs="Baskerville"/>
          <w:noProof/>
          <w:szCs w:val="24"/>
          <w:lang w:eastAsia="en-GB"/>
        </w:rPr>
        <w:t>)</w:t>
      </w:r>
    </w:p>
    <w:p w:rsidR="00071F2B" w:rsidRPr="00304385" w:rsidRDefault="00071F2B" w:rsidP="005A1B39">
      <w:pPr>
        <w:rPr>
          <w:rFonts w:eastAsiaTheme="minorEastAsia" w:cs="Baskerville"/>
          <w:szCs w:val="24"/>
          <w:lang w:eastAsia="en-GB"/>
        </w:rPr>
      </w:pPr>
      <w:r w:rsidRPr="00304385">
        <w:rPr>
          <w:rFonts w:eastAsiaTheme="minorEastAsia" w:cs="Baskerville"/>
          <w:szCs w:val="24"/>
          <w:lang w:eastAsia="en-GB"/>
        </w:rPr>
        <w:t xml:space="preserve">The systematic review on the prevalence of psoriasis by </w:t>
      </w:r>
      <w:r>
        <w:rPr>
          <w:rFonts w:eastAsiaTheme="minorEastAsia" w:cs="Baskerville"/>
          <w:noProof/>
          <w:szCs w:val="24"/>
          <w:lang w:eastAsia="en-GB"/>
        </w:rPr>
        <w:t>Parisi (2013)</w:t>
      </w:r>
      <w:r w:rsidRPr="00304385">
        <w:rPr>
          <w:rFonts w:eastAsiaTheme="minorEastAsia" w:cs="Baskerville"/>
          <w:szCs w:val="24"/>
          <w:lang w:eastAsia="en-GB"/>
        </w:rPr>
        <w:t xml:space="preserve"> noted that populations closer to the equator generally had lower reported </w:t>
      </w:r>
      <w:r w:rsidRPr="003A20F9">
        <w:rPr>
          <w:rFonts w:eastAsiaTheme="minorEastAsia" w:cs="Baskerville"/>
          <w:noProof/>
          <w:szCs w:val="24"/>
          <w:lang w:eastAsia="en-GB"/>
        </w:rPr>
        <w:t>prevalence</w:t>
      </w:r>
      <w:r w:rsidRPr="00304385">
        <w:rPr>
          <w:rFonts w:eastAsiaTheme="minorEastAsia" w:cs="Baskerville"/>
          <w:szCs w:val="24"/>
          <w:lang w:eastAsia="en-GB"/>
        </w:rPr>
        <w:t xml:space="preserve"> of psoriasis. However, this pattern was not consistent. For example, within Europe, some Scandinavian and Southern European countries had higher reported prevalence than the UK</w:t>
      </w:r>
      <w:r>
        <w:rPr>
          <w:rFonts w:eastAsiaTheme="minorEastAsia" w:cs="Baskerville"/>
          <w:szCs w:val="24"/>
          <w:lang w:eastAsia="en-GB"/>
        </w:rPr>
        <w:t xml:space="preserve">. </w:t>
      </w:r>
      <w:r w:rsidR="00FB1688">
        <w:rPr>
          <w:rFonts w:eastAsiaTheme="minorEastAsia" w:cs="Baskerville"/>
          <w:noProof/>
          <w:szCs w:val="24"/>
          <w:lang w:eastAsia="en-GB"/>
        </w:rPr>
        <w:t>(</w:t>
      </w:r>
      <w:r w:rsidR="001B4738">
        <w:rPr>
          <w:rFonts w:eastAsiaTheme="minorEastAsia" w:cs="Baskerville"/>
          <w:noProof/>
          <w:szCs w:val="24"/>
          <w:lang w:eastAsia="en-GB"/>
        </w:rPr>
        <w:t>8</w:t>
      </w:r>
      <w:r w:rsidR="00FB1688">
        <w:rPr>
          <w:rFonts w:eastAsiaTheme="minorEastAsia" w:cs="Baskerville"/>
          <w:noProof/>
          <w:szCs w:val="24"/>
          <w:lang w:eastAsia="en-GB"/>
        </w:rPr>
        <w:t>)</w:t>
      </w:r>
      <w:r w:rsidRPr="00304385">
        <w:rPr>
          <w:rFonts w:eastAsiaTheme="minorEastAsia" w:cs="Baskerville"/>
          <w:szCs w:val="24"/>
          <w:lang w:eastAsia="en-GB"/>
        </w:rPr>
        <w:t xml:space="preserve"> </w:t>
      </w:r>
    </w:p>
    <w:p w:rsidR="00071F2B" w:rsidRDefault="00071F2B" w:rsidP="005A1B39">
      <w:pPr>
        <w:rPr>
          <w:rFonts w:eastAsiaTheme="minorEastAsia" w:cs="Baskerville"/>
          <w:szCs w:val="24"/>
          <w:lang w:eastAsia="en-GB"/>
        </w:rPr>
      </w:pPr>
      <w:r>
        <w:rPr>
          <w:rFonts w:eastAsiaTheme="minorEastAsia" w:cs="Baskerville"/>
          <w:noProof/>
          <w:szCs w:val="24"/>
          <w:lang w:eastAsia="en-GB"/>
        </w:rPr>
        <w:t>Parisi (2013)</w:t>
      </w:r>
      <w:r w:rsidRPr="00304385">
        <w:rPr>
          <w:rFonts w:eastAsiaTheme="minorEastAsia" w:cs="Baskerville"/>
          <w:szCs w:val="24"/>
          <w:lang w:eastAsia="en-GB"/>
        </w:rPr>
        <w:t xml:space="preserve"> noted a number of other factors that affect </w:t>
      </w:r>
      <w:r w:rsidR="00397E52">
        <w:rPr>
          <w:rFonts w:eastAsiaTheme="minorEastAsia" w:cs="Baskerville"/>
          <w:szCs w:val="24"/>
          <w:lang w:eastAsia="en-GB"/>
        </w:rPr>
        <w:t xml:space="preserve">the </w:t>
      </w:r>
      <w:r w:rsidRPr="00304385">
        <w:rPr>
          <w:rFonts w:eastAsiaTheme="minorEastAsia" w:cs="Baskerville"/>
          <w:szCs w:val="24"/>
          <w:lang w:eastAsia="en-GB"/>
        </w:rPr>
        <w:t xml:space="preserve">estimation of psoriasis prevalence. Studies estimating prevalence in adults report higher values than those examining the whole population. </w:t>
      </w:r>
      <w:r w:rsidRPr="00394001">
        <w:rPr>
          <w:rFonts w:eastAsiaTheme="minorEastAsia" w:cs="Baskerville"/>
          <w:szCs w:val="24"/>
          <w:lang w:eastAsia="en-GB"/>
        </w:rPr>
        <w:t xml:space="preserve">This may be relevant in consideration of the high prevalence figures presented in </w:t>
      </w:r>
      <w:r>
        <w:rPr>
          <w:rFonts w:eastAsiaTheme="minorEastAsia" w:cs="Baskerville"/>
          <w:noProof/>
          <w:szCs w:val="24"/>
          <w:lang w:eastAsia="en-GB"/>
        </w:rPr>
        <w:t>Danielsen (2013),</w:t>
      </w:r>
      <w:r w:rsidRPr="00394001">
        <w:rPr>
          <w:rFonts w:eastAsiaTheme="minorEastAsia" w:cs="Baskerville"/>
          <w:szCs w:val="24"/>
          <w:lang w:eastAsia="en-GB"/>
        </w:rPr>
        <w:t xml:space="preserve"> which w</w:t>
      </w:r>
      <w:r>
        <w:rPr>
          <w:rFonts w:eastAsiaTheme="minorEastAsia" w:cs="Baskerville"/>
          <w:szCs w:val="24"/>
          <w:lang w:eastAsia="en-GB"/>
        </w:rPr>
        <w:t>ere</w:t>
      </w:r>
      <w:r w:rsidRPr="00394001">
        <w:rPr>
          <w:rFonts w:eastAsiaTheme="minorEastAsia" w:cs="Baskerville"/>
          <w:szCs w:val="24"/>
          <w:lang w:eastAsia="en-GB"/>
        </w:rPr>
        <w:t xml:space="preserve"> based on people aged 30 years and older. </w:t>
      </w:r>
      <w:r w:rsidRPr="00A37C4E">
        <w:rPr>
          <w:rFonts w:eastAsiaTheme="minorEastAsia" w:cs="Baskerville"/>
          <w:szCs w:val="24"/>
          <w:lang w:eastAsia="en-GB"/>
        </w:rPr>
        <w:t>Self-reported diagnoses typically results in higher rates compared to physici</w:t>
      </w:r>
      <w:r>
        <w:rPr>
          <w:rFonts w:eastAsiaTheme="minorEastAsia" w:cs="Baskerville"/>
          <w:szCs w:val="24"/>
          <w:lang w:eastAsia="en-GB"/>
        </w:rPr>
        <w:t>an and dermatologist diagnosis.</w:t>
      </w:r>
      <w:r w:rsidR="00FB1688">
        <w:rPr>
          <w:rFonts w:eastAsiaTheme="minorEastAsia" w:cs="Baskerville"/>
          <w:noProof/>
          <w:szCs w:val="24"/>
          <w:lang w:eastAsia="en-GB"/>
        </w:rPr>
        <w:t>(</w:t>
      </w:r>
      <w:r w:rsidR="001B4738">
        <w:rPr>
          <w:rFonts w:eastAsiaTheme="minorEastAsia" w:cs="Baskerville"/>
          <w:noProof/>
          <w:szCs w:val="24"/>
          <w:lang w:eastAsia="en-GB"/>
        </w:rPr>
        <w:t>8</w:t>
      </w:r>
      <w:r w:rsidR="00FB1688">
        <w:rPr>
          <w:rFonts w:eastAsiaTheme="minorEastAsia" w:cs="Baskerville"/>
          <w:noProof/>
          <w:szCs w:val="24"/>
          <w:lang w:eastAsia="en-GB"/>
        </w:rPr>
        <w:t>)</w:t>
      </w:r>
    </w:p>
    <w:p w:rsidR="00071F2B" w:rsidRPr="00304385" w:rsidRDefault="00A95D82" w:rsidP="005A1B39">
      <w:pPr>
        <w:rPr>
          <w:rFonts w:eastAsiaTheme="minorEastAsia" w:cs="Baskerville"/>
          <w:szCs w:val="24"/>
          <w:lang w:eastAsia="en-GB"/>
        </w:rPr>
      </w:pPr>
      <w:r>
        <w:rPr>
          <w:rFonts w:eastAsiaTheme="minorEastAsia" w:cs="Baskerville"/>
          <w:szCs w:val="24"/>
          <w:lang w:eastAsia="en-GB"/>
        </w:rPr>
        <w:t>The</w:t>
      </w:r>
      <w:r w:rsidR="00071F2B" w:rsidRPr="00304385">
        <w:rPr>
          <w:rFonts w:eastAsiaTheme="minorEastAsia" w:cs="Baskerville"/>
          <w:szCs w:val="24"/>
          <w:lang w:eastAsia="en-GB"/>
        </w:rPr>
        <w:t xml:space="preserve"> results from the ABS </w:t>
      </w:r>
      <w:r w:rsidR="00071F2B" w:rsidRPr="003A20F9">
        <w:rPr>
          <w:rFonts w:eastAsiaTheme="minorEastAsia" w:cs="Baskerville"/>
          <w:noProof/>
          <w:szCs w:val="24"/>
          <w:lang w:eastAsia="en-GB"/>
        </w:rPr>
        <w:t>NHSs</w:t>
      </w:r>
      <w:r w:rsidR="00071F2B" w:rsidRPr="00304385">
        <w:rPr>
          <w:rFonts w:eastAsiaTheme="minorEastAsia" w:cs="Baskerville"/>
          <w:szCs w:val="24"/>
          <w:lang w:eastAsia="en-GB"/>
        </w:rPr>
        <w:t xml:space="preserve"> </w:t>
      </w:r>
      <w:r w:rsidR="005A1B39">
        <w:rPr>
          <w:rFonts w:eastAsiaTheme="minorEastAsia" w:cs="Baskerville"/>
          <w:szCs w:val="24"/>
          <w:lang w:eastAsia="en-GB"/>
        </w:rPr>
        <w:t>demonstrated</w:t>
      </w:r>
      <w:r w:rsidR="00071F2B" w:rsidRPr="00304385">
        <w:rPr>
          <w:rFonts w:eastAsiaTheme="minorEastAsia" w:cs="Baskerville"/>
          <w:szCs w:val="24"/>
          <w:lang w:eastAsia="en-GB"/>
        </w:rPr>
        <w:t xml:space="preserve"> that Victoria and Tasmania have a higher prevalence of psoriasis than national estimates. If psoriasis is more common in more southern latitudes</w:t>
      </w:r>
      <w:r w:rsidR="00071F2B">
        <w:rPr>
          <w:rFonts w:eastAsiaTheme="minorEastAsia" w:cs="Baskerville"/>
          <w:szCs w:val="24"/>
          <w:lang w:eastAsia="en-GB"/>
        </w:rPr>
        <w:t xml:space="preserve"> of</w:t>
      </w:r>
      <w:r w:rsidR="00071F2B" w:rsidRPr="00304385">
        <w:rPr>
          <w:rFonts w:eastAsiaTheme="minorEastAsia" w:cs="Baskerville"/>
          <w:szCs w:val="24"/>
          <w:lang w:eastAsia="en-GB"/>
        </w:rPr>
        <w:t xml:space="preserve"> Australia,</w:t>
      </w:r>
      <w:r w:rsidR="00071F2B">
        <w:rPr>
          <w:rFonts w:eastAsiaTheme="minorEastAsia" w:cs="Baskerville"/>
          <w:szCs w:val="24"/>
          <w:lang w:eastAsia="en-GB"/>
        </w:rPr>
        <w:t xml:space="preserve"> then</w:t>
      </w:r>
      <w:r w:rsidR="00071F2B" w:rsidRPr="00304385">
        <w:rPr>
          <w:rFonts w:eastAsiaTheme="minorEastAsia" w:cs="Baskerville"/>
          <w:szCs w:val="24"/>
          <w:lang w:eastAsia="en-GB"/>
        </w:rPr>
        <w:t xml:space="preserve"> the estimates of prevalence from </w:t>
      </w:r>
      <w:r w:rsidR="00071F2B">
        <w:rPr>
          <w:rFonts w:eastAsiaTheme="minorEastAsia" w:cs="Baskerville"/>
          <w:noProof/>
          <w:szCs w:val="24"/>
          <w:lang w:eastAsia="en-GB"/>
        </w:rPr>
        <w:t>Kilkenny (1998)</w:t>
      </w:r>
      <w:r w:rsidR="00071F2B" w:rsidRPr="00304385">
        <w:rPr>
          <w:rFonts w:eastAsiaTheme="minorEastAsia" w:cs="Baskerville"/>
          <w:szCs w:val="24"/>
          <w:lang w:eastAsia="en-GB"/>
        </w:rPr>
        <w:t xml:space="preserve"> and </w:t>
      </w:r>
      <w:r w:rsidR="00071F2B">
        <w:rPr>
          <w:rFonts w:eastAsiaTheme="minorEastAsia" w:cs="Baskerville"/>
          <w:noProof/>
          <w:szCs w:val="24"/>
          <w:lang w:eastAsia="en-GB"/>
        </w:rPr>
        <w:t>Plunkett (1999)</w:t>
      </w:r>
      <w:r w:rsidR="00071F2B" w:rsidRPr="00304385">
        <w:rPr>
          <w:rFonts w:eastAsiaTheme="minorEastAsia" w:cs="Baskerville"/>
          <w:szCs w:val="24"/>
          <w:lang w:eastAsia="en-GB"/>
        </w:rPr>
        <w:t xml:space="preserve"> may overestimate national prevalence</w:t>
      </w:r>
      <w:r w:rsidR="00071F2B">
        <w:rPr>
          <w:rFonts w:eastAsiaTheme="minorEastAsia" w:cs="Baskerville"/>
          <w:szCs w:val="24"/>
          <w:lang w:eastAsia="en-GB"/>
        </w:rPr>
        <w:t xml:space="preserve"> and it may be more appropriate to use ABS </w:t>
      </w:r>
      <w:r w:rsidR="00B179D8">
        <w:rPr>
          <w:rFonts w:eastAsiaTheme="minorEastAsia" w:cs="Baskerville"/>
          <w:szCs w:val="24"/>
          <w:lang w:eastAsia="en-GB"/>
        </w:rPr>
        <w:t xml:space="preserve">NHS </w:t>
      </w:r>
      <w:r w:rsidR="00071F2B">
        <w:rPr>
          <w:rFonts w:eastAsiaTheme="minorEastAsia" w:cs="Baskerville"/>
          <w:szCs w:val="24"/>
          <w:lang w:eastAsia="en-GB"/>
        </w:rPr>
        <w:t>estimates.</w:t>
      </w:r>
    </w:p>
    <w:p w:rsidR="00071F2B" w:rsidRPr="00EB6556" w:rsidRDefault="00EB6556" w:rsidP="00DF0266">
      <w:pPr>
        <w:pStyle w:val="Heading3"/>
        <w:spacing w:before="240" w:after="200"/>
        <w:rPr>
          <w:lang w:eastAsia="en-GB"/>
        </w:rPr>
      </w:pPr>
      <w:bookmarkStart w:id="31" w:name="_Toc501632365"/>
      <w:r>
        <w:rPr>
          <w:lang w:eastAsia="en-GB"/>
        </w:rPr>
        <w:t>3.2.2</w:t>
      </w:r>
      <w:r>
        <w:rPr>
          <w:lang w:eastAsia="en-GB"/>
        </w:rPr>
        <w:tab/>
      </w:r>
      <w:r w:rsidR="00071F2B" w:rsidRPr="00EB6556">
        <w:rPr>
          <w:lang w:eastAsia="en-GB"/>
        </w:rPr>
        <w:t>Incidence of psoriasis</w:t>
      </w:r>
      <w:bookmarkEnd w:id="31"/>
    </w:p>
    <w:p w:rsidR="00071F2B" w:rsidRDefault="00071F2B" w:rsidP="005A1B39">
      <w:pPr>
        <w:rPr>
          <w:rFonts w:eastAsiaTheme="minorEastAsia" w:cs="Baskerville"/>
          <w:szCs w:val="24"/>
          <w:lang w:eastAsia="en-GB"/>
        </w:rPr>
      </w:pPr>
      <w:r w:rsidRPr="00304385">
        <w:rPr>
          <w:rFonts w:eastAsiaTheme="minorEastAsia" w:cs="Baskerville"/>
          <w:szCs w:val="24"/>
          <w:lang w:eastAsia="en-GB"/>
        </w:rPr>
        <w:t xml:space="preserve">Studies on the incidence of psoriasis </w:t>
      </w:r>
      <w:r w:rsidR="00B4133E">
        <w:rPr>
          <w:rFonts w:eastAsiaTheme="minorEastAsia" w:cs="Baskerville"/>
          <w:szCs w:val="24"/>
          <w:lang w:eastAsia="en-GB"/>
        </w:rPr>
        <w:t>are</w:t>
      </w:r>
      <w:r w:rsidR="00B4133E" w:rsidRPr="00304385">
        <w:rPr>
          <w:rFonts w:eastAsiaTheme="minorEastAsia" w:cs="Baskerville"/>
          <w:szCs w:val="24"/>
          <w:lang w:eastAsia="en-GB"/>
        </w:rPr>
        <w:t xml:space="preserve"> </w:t>
      </w:r>
      <w:r w:rsidRPr="00304385">
        <w:rPr>
          <w:rFonts w:eastAsiaTheme="minorEastAsia" w:cs="Baskerville"/>
          <w:szCs w:val="24"/>
          <w:lang w:eastAsia="en-GB"/>
        </w:rPr>
        <w:t xml:space="preserve">limited. </w:t>
      </w:r>
      <w:r w:rsidR="00B4133E">
        <w:rPr>
          <w:rFonts w:eastAsiaTheme="minorEastAsia" w:cs="Baskerville"/>
          <w:szCs w:val="24"/>
          <w:lang w:eastAsia="en-GB"/>
        </w:rPr>
        <w:t xml:space="preserve">The systematic review did not identify any </w:t>
      </w:r>
      <w:r w:rsidRPr="00304385">
        <w:rPr>
          <w:rFonts w:eastAsiaTheme="minorEastAsia" w:cs="Baskerville"/>
          <w:szCs w:val="24"/>
          <w:lang w:eastAsia="en-GB"/>
        </w:rPr>
        <w:t xml:space="preserve">Australian studies on the incidence of psoriasis. </w:t>
      </w:r>
      <w:r w:rsidR="0086184A">
        <w:t xml:space="preserve">Table </w:t>
      </w:r>
      <w:r w:rsidR="0086184A">
        <w:rPr>
          <w:noProof/>
        </w:rPr>
        <w:t>2</w:t>
      </w:r>
      <w:r>
        <w:rPr>
          <w:rFonts w:eastAsiaTheme="minorEastAsia" w:cs="Baskerville"/>
          <w:szCs w:val="24"/>
          <w:lang w:eastAsia="en-GB"/>
        </w:rPr>
        <w:t xml:space="preserve"> </w:t>
      </w:r>
      <w:r w:rsidRPr="00304385">
        <w:rPr>
          <w:rFonts w:eastAsiaTheme="minorEastAsia" w:cs="Baskerville"/>
          <w:szCs w:val="24"/>
          <w:lang w:eastAsia="en-GB"/>
        </w:rPr>
        <w:t>presents the results of four studies on the age-specific incidence of psoriasis in adults and children from the United States of America (USA) and United Kingdom (UK)</w:t>
      </w:r>
      <w:r>
        <w:rPr>
          <w:rFonts w:eastAsiaTheme="minorEastAsia" w:cs="Baskerville"/>
          <w:szCs w:val="24"/>
          <w:lang w:eastAsia="en-GB"/>
        </w:rPr>
        <w:t>.</w:t>
      </w:r>
      <w:r w:rsidR="00FB1688">
        <w:rPr>
          <w:rFonts w:eastAsiaTheme="minorEastAsia" w:cs="Baskerville"/>
          <w:noProof/>
          <w:szCs w:val="24"/>
          <w:lang w:eastAsia="en-GB"/>
        </w:rPr>
        <w:t>(</w:t>
      </w:r>
      <w:r w:rsidR="001B4738">
        <w:rPr>
          <w:rFonts w:eastAsiaTheme="minorEastAsia" w:cs="Baskerville"/>
          <w:noProof/>
          <w:szCs w:val="24"/>
          <w:lang w:eastAsia="en-GB"/>
        </w:rPr>
        <w:t>12-15</w:t>
      </w:r>
      <w:r w:rsidR="00FB1688">
        <w:rPr>
          <w:rFonts w:eastAsiaTheme="minorEastAsia" w:cs="Baskerville"/>
          <w:noProof/>
          <w:szCs w:val="24"/>
          <w:lang w:eastAsia="en-GB"/>
        </w:rPr>
        <w:t>)</w:t>
      </w:r>
      <w:r w:rsidR="005A1B39" w:rsidRPr="005A1B39">
        <w:rPr>
          <w:rFonts w:eastAsiaTheme="minorEastAsia" w:cs="Baskerville"/>
          <w:szCs w:val="24"/>
          <w:lang w:eastAsia="en-GB"/>
        </w:rPr>
        <w:t xml:space="preserve"> </w:t>
      </w:r>
      <w:r w:rsidR="005A1B39" w:rsidRPr="00304385">
        <w:rPr>
          <w:rFonts w:eastAsiaTheme="minorEastAsia" w:cs="Baskerville"/>
          <w:szCs w:val="24"/>
          <w:lang w:eastAsia="en-GB"/>
        </w:rPr>
        <w:t>Studies from the UK reported higher rates of incidence than the US studies.</w:t>
      </w:r>
      <w:r w:rsidR="005A1B39">
        <w:rPr>
          <w:rFonts w:eastAsiaTheme="minorEastAsia" w:cs="Baskerville"/>
          <w:noProof/>
          <w:szCs w:val="24"/>
          <w:lang w:eastAsia="en-GB"/>
        </w:rPr>
        <w:t>(</w:t>
      </w:r>
      <w:r w:rsidR="001B4738">
        <w:rPr>
          <w:rFonts w:eastAsiaTheme="minorEastAsia" w:cs="Baskerville"/>
          <w:noProof/>
          <w:szCs w:val="24"/>
          <w:lang w:eastAsia="en-GB"/>
        </w:rPr>
        <w:t>8</w:t>
      </w:r>
      <w:r w:rsidR="005A1B39">
        <w:rPr>
          <w:rFonts w:eastAsiaTheme="minorEastAsia" w:cs="Baskerville"/>
          <w:noProof/>
          <w:szCs w:val="24"/>
          <w:lang w:eastAsia="en-GB"/>
        </w:rPr>
        <w:t>)</w:t>
      </w:r>
    </w:p>
    <w:p w:rsidR="00071F2B" w:rsidRDefault="00071F2B" w:rsidP="00743FD3">
      <w:pPr>
        <w:pStyle w:val="MDTabCaption"/>
      </w:pPr>
      <w:bookmarkStart w:id="32" w:name="_Ref492992992"/>
      <w:bookmarkStart w:id="33" w:name="_Toc501632396"/>
      <w:r>
        <w:t xml:space="preserve">Table </w:t>
      </w:r>
      <w:r w:rsidR="0086184A">
        <w:rPr>
          <w:noProof/>
        </w:rPr>
        <w:t>2</w:t>
      </w:r>
      <w:bookmarkEnd w:id="32"/>
      <w:r>
        <w:t xml:space="preserve">: </w:t>
      </w:r>
      <w:r w:rsidRPr="002F6F6F">
        <w:t>Incidence of psoriasis per 100,000 patient-years</w:t>
      </w:r>
      <w:bookmarkEnd w:id="33"/>
    </w:p>
    <w:tbl>
      <w:tblPr>
        <w:tblStyle w:val="TableGrid7"/>
        <w:tblpPr w:leftFromText="180" w:rightFromText="180" w:vertAnchor="text" w:horzAnchor="margin" w:tblpY="43"/>
        <w:tblW w:w="5000" w:type="pct"/>
        <w:tblLook w:val="04A0" w:firstRow="1" w:lastRow="0" w:firstColumn="1" w:lastColumn="0" w:noHBand="0" w:noVBand="1"/>
        <w:tblCaption w:val="Incidence of psoriasis per 100,000 patient-years"/>
      </w:tblPr>
      <w:tblGrid>
        <w:gridCol w:w="2915"/>
        <w:gridCol w:w="2919"/>
        <w:gridCol w:w="3408"/>
      </w:tblGrid>
      <w:tr w:rsidR="00071F2B" w:rsidRPr="00304385" w:rsidTr="00071F2B">
        <w:trPr>
          <w:cantSplit/>
          <w:trHeight w:val="416"/>
          <w:tblHeader/>
        </w:trPr>
        <w:tc>
          <w:tcPr>
            <w:tcW w:w="1577" w:type="pct"/>
            <w:shd w:val="clear" w:color="auto" w:fill="BFBFBF" w:themeFill="background1" w:themeFillShade="BF"/>
          </w:tcPr>
          <w:p w:rsidR="00071F2B" w:rsidRPr="00304385" w:rsidRDefault="00071F2B" w:rsidP="00071F2B">
            <w:pPr>
              <w:autoSpaceDE w:val="0"/>
              <w:autoSpaceDN w:val="0"/>
              <w:adjustRightInd w:val="0"/>
              <w:spacing w:before="60" w:after="60"/>
              <w:rPr>
                <w:rFonts w:cs="Calibri"/>
                <w:b/>
                <w:sz w:val="20"/>
                <w:szCs w:val="20"/>
                <w:lang w:eastAsia="en-GB"/>
              </w:rPr>
            </w:pPr>
            <w:r w:rsidRPr="00304385">
              <w:rPr>
                <w:rFonts w:cs="Calibri"/>
                <w:b/>
                <w:sz w:val="20"/>
                <w:szCs w:val="20"/>
                <w:lang w:eastAsia="en-GB"/>
              </w:rPr>
              <w:t>Age group (years)</w:t>
            </w:r>
          </w:p>
        </w:tc>
        <w:tc>
          <w:tcPr>
            <w:tcW w:w="1579" w:type="pct"/>
            <w:shd w:val="clear" w:color="auto" w:fill="BFBFBF" w:themeFill="background1" w:themeFillShade="BF"/>
          </w:tcPr>
          <w:p w:rsidR="00071F2B" w:rsidRPr="00304385" w:rsidRDefault="00071F2B" w:rsidP="00071F2B">
            <w:pPr>
              <w:autoSpaceDE w:val="0"/>
              <w:autoSpaceDN w:val="0"/>
              <w:adjustRightInd w:val="0"/>
              <w:spacing w:before="60" w:after="60"/>
              <w:jc w:val="center"/>
              <w:rPr>
                <w:rFonts w:cs="Calibri"/>
                <w:b/>
                <w:sz w:val="20"/>
                <w:szCs w:val="20"/>
                <w:lang w:eastAsia="en-GB"/>
              </w:rPr>
            </w:pPr>
            <w:r w:rsidRPr="00304385">
              <w:rPr>
                <w:rFonts w:cs="Calibri"/>
                <w:b/>
                <w:sz w:val="20"/>
                <w:szCs w:val="20"/>
                <w:lang w:eastAsia="en-GB"/>
              </w:rPr>
              <w:t>USA</w:t>
            </w:r>
          </w:p>
          <w:p w:rsidR="00071F2B" w:rsidRPr="00304385" w:rsidRDefault="00071F2B" w:rsidP="00071F2B">
            <w:pPr>
              <w:autoSpaceDE w:val="0"/>
              <w:autoSpaceDN w:val="0"/>
              <w:adjustRightInd w:val="0"/>
              <w:spacing w:before="60" w:after="60"/>
              <w:jc w:val="center"/>
              <w:rPr>
                <w:rFonts w:cs="Calibri"/>
                <w:b/>
                <w:sz w:val="20"/>
                <w:szCs w:val="20"/>
                <w:lang w:eastAsia="en-GB"/>
              </w:rPr>
            </w:pPr>
            <w:r w:rsidRPr="00304385">
              <w:rPr>
                <w:rFonts w:cs="Calibri"/>
                <w:b/>
                <w:sz w:val="20"/>
                <w:szCs w:val="20"/>
                <w:lang w:eastAsia="en-GB"/>
              </w:rPr>
              <w:t xml:space="preserve">1970-1999 </w:t>
            </w:r>
            <w:r w:rsidRPr="00304385">
              <w:rPr>
                <w:rFonts w:cs="Calibri"/>
                <w:b/>
                <w:sz w:val="20"/>
                <w:szCs w:val="20"/>
                <w:vertAlign w:val="superscript"/>
                <w:lang w:eastAsia="en-GB"/>
              </w:rPr>
              <w:t>a</w:t>
            </w:r>
          </w:p>
        </w:tc>
        <w:tc>
          <w:tcPr>
            <w:tcW w:w="1844" w:type="pct"/>
            <w:shd w:val="clear" w:color="auto" w:fill="BFBFBF" w:themeFill="background1" w:themeFillShade="BF"/>
            <w:vAlign w:val="center"/>
          </w:tcPr>
          <w:p w:rsidR="00071F2B" w:rsidRPr="00304385" w:rsidRDefault="00071F2B" w:rsidP="00071F2B">
            <w:pPr>
              <w:autoSpaceDE w:val="0"/>
              <w:autoSpaceDN w:val="0"/>
              <w:adjustRightInd w:val="0"/>
              <w:spacing w:before="60" w:after="60"/>
              <w:jc w:val="center"/>
              <w:rPr>
                <w:rFonts w:cs="Calibri"/>
                <w:b/>
                <w:sz w:val="20"/>
                <w:szCs w:val="20"/>
                <w:lang w:eastAsia="en-GB"/>
              </w:rPr>
            </w:pPr>
            <w:r w:rsidRPr="00304385">
              <w:rPr>
                <w:rFonts w:cs="Calibri"/>
                <w:b/>
                <w:sz w:val="20"/>
                <w:szCs w:val="20"/>
                <w:lang w:eastAsia="en-GB"/>
              </w:rPr>
              <w:t>UK</w:t>
            </w:r>
          </w:p>
          <w:p w:rsidR="00071F2B" w:rsidRPr="00304385" w:rsidRDefault="00071F2B" w:rsidP="00071F2B">
            <w:pPr>
              <w:autoSpaceDE w:val="0"/>
              <w:autoSpaceDN w:val="0"/>
              <w:adjustRightInd w:val="0"/>
              <w:spacing w:before="60" w:after="60"/>
              <w:jc w:val="center"/>
              <w:rPr>
                <w:rFonts w:cs="Calibri"/>
                <w:b/>
                <w:sz w:val="20"/>
                <w:szCs w:val="20"/>
                <w:lang w:eastAsia="en-GB"/>
              </w:rPr>
            </w:pPr>
            <w:r w:rsidRPr="00304385">
              <w:rPr>
                <w:rFonts w:cs="Calibri"/>
                <w:b/>
                <w:sz w:val="20"/>
                <w:szCs w:val="20"/>
                <w:lang w:eastAsia="en-GB"/>
              </w:rPr>
              <w:t xml:space="preserve">1996-7 </w:t>
            </w:r>
          </w:p>
        </w:tc>
      </w:tr>
      <w:tr w:rsidR="00071F2B" w:rsidRPr="00304385" w:rsidTr="00071F2B">
        <w:trPr>
          <w:cantSplit/>
          <w:trHeight w:val="353"/>
          <w:tblHeader/>
        </w:trPr>
        <w:tc>
          <w:tcPr>
            <w:tcW w:w="1577" w:type="pct"/>
            <w:vAlign w:val="center"/>
          </w:tcPr>
          <w:p w:rsidR="00071F2B" w:rsidRPr="00304385" w:rsidRDefault="00071F2B" w:rsidP="00071F2B">
            <w:pPr>
              <w:spacing w:beforeLines="60" w:before="144" w:afterLines="60" w:after="144"/>
              <w:contextualSpacing/>
              <w:rPr>
                <w:rFonts w:cs="Times New Roman"/>
                <w:sz w:val="20"/>
                <w:szCs w:val="20"/>
                <w:lang w:eastAsia="en-GB"/>
              </w:rPr>
            </w:pPr>
            <w:r w:rsidRPr="00304385">
              <w:rPr>
                <w:rFonts w:cs="Times New Roman"/>
                <w:sz w:val="20"/>
                <w:szCs w:val="20"/>
                <w:lang w:eastAsia="en-GB"/>
              </w:rPr>
              <w:t>0-17</w:t>
            </w:r>
          </w:p>
        </w:tc>
        <w:tc>
          <w:tcPr>
            <w:tcW w:w="1579" w:type="pct"/>
          </w:tcPr>
          <w:p w:rsidR="00071F2B" w:rsidRPr="00304385" w:rsidRDefault="00071F2B" w:rsidP="00071F2B">
            <w:pPr>
              <w:autoSpaceDE w:val="0"/>
              <w:autoSpaceDN w:val="0"/>
              <w:adjustRightInd w:val="0"/>
              <w:spacing w:beforeLines="60" w:before="144" w:afterLines="60" w:after="144"/>
              <w:contextualSpacing/>
              <w:jc w:val="center"/>
              <w:rPr>
                <w:rFonts w:cs="Calibri"/>
                <w:sz w:val="20"/>
                <w:szCs w:val="20"/>
                <w:lang w:eastAsia="en-GB"/>
              </w:rPr>
            </w:pPr>
            <w:r w:rsidRPr="00304385">
              <w:rPr>
                <w:rFonts w:cs="Calibri"/>
                <w:sz w:val="20"/>
                <w:szCs w:val="20"/>
                <w:lang w:eastAsia="en-GB"/>
              </w:rPr>
              <w:t>40.8</w:t>
            </w:r>
          </w:p>
        </w:tc>
        <w:tc>
          <w:tcPr>
            <w:tcW w:w="1844" w:type="pct"/>
            <w:vAlign w:val="bottom"/>
          </w:tcPr>
          <w:p w:rsidR="00071F2B" w:rsidRPr="00304385" w:rsidRDefault="00071F2B" w:rsidP="00071F2B">
            <w:pPr>
              <w:autoSpaceDE w:val="0"/>
              <w:autoSpaceDN w:val="0"/>
              <w:adjustRightInd w:val="0"/>
              <w:spacing w:beforeLines="60" w:before="144" w:afterLines="60" w:after="144"/>
              <w:contextualSpacing/>
              <w:jc w:val="center"/>
              <w:rPr>
                <w:rFonts w:cs="Calibri"/>
                <w:sz w:val="20"/>
                <w:szCs w:val="20"/>
                <w:lang w:eastAsia="en-GB"/>
              </w:rPr>
            </w:pPr>
            <w:r w:rsidRPr="00304385">
              <w:rPr>
                <w:rFonts w:cs="Calibri"/>
                <w:sz w:val="20"/>
                <w:szCs w:val="20"/>
                <w:lang w:eastAsia="en-GB"/>
              </w:rPr>
              <w:t>-</w:t>
            </w:r>
          </w:p>
        </w:tc>
      </w:tr>
      <w:tr w:rsidR="00071F2B" w:rsidRPr="00304385" w:rsidTr="00071F2B">
        <w:trPr>
          <w:cantSplit/>
          <w:trHeight w:val="353"/>
          <w:tblHeader/>
        </w:trPr>
        <w:tc>
          <w:tcPr>
            <w:tcW w:w="1577" w:type="pct"/>
            <w:vAlign w:val="center"/>
          </w:tcPr>
          <w:p w:rsidR="00071F2B" w:rsidRPr="00304385" w:rsidRDefault="00071F2B" w:rsidP="00071F2B">
            <w:pPr>
              <w:spacing w:beforeLines="60" w:before="144" w:afterLines="60" w:after="144"/>
              <w:contextualSpacing/>
              <w:rPr>
                <w:rFonts w:cs="Times New Roman"/>
                <w:sz w:val="20"/>
                <w:szCs w:val="20"/>
                <w:lang w:eastAsia="en-GB"/>
              </w:rPr>
            </w:pPr>
            <w:r w:rsidRPr="00304385">
              <w:rPr>
                <w:rFonts w:cs="Times New Roman"/>
                <w:sz w:val="20"/>
                <w:szCs w:val="20"/>
                <w:lang w:eastAsia="en-GB"/>
              </w:rPr>
              <w:t>0-19</w:t>
            </w:r>
          </w:p>
        </w:tc>
        <w:tc>
          <w:tcPr>
            <w:tcW w:w="1579" w:type="pct"/>
          </w:tcPr>
          <w:p w:rsidR="00071F2B" w:rsidRPr="00304385" w:rsidRDefault="00071F2B" w:rsidP="00071F2B">
            <w:pPr>
              <w:autoSpaceDE w:val="0"/>
              <w:autoSpaceDN w:val="0"/>
              <w:adjustRightInd w:val="0"/>
              <w:spacing w:beforeLines="60" w:before="144" w:afterLines="60" w:after="144"/>
              <w:contextualSpacing/>
              <w:jc w:val="center"/>
              <w:rPr>
                <w:rFonts w:cs="Calibri"/>
                <w:sz w:val="20"/>
                <w:szCs w:val="20"/>
                <w:lang w:eastAsia="en-GB"/>
              </w:rPr>
            </w:pPr>
            <w:r w:rsidRPr="00304385">
              <w:rPr>
                <w:rFonts w:cs="Calibri"/>
                <w:sz w:val="20"/>
                <w:szCs w:val="20"/>
                <w:lang w:eastAsia="en-GB"/>
              </w:rPr>
              <w:t>-</w:t>
            </w:r>
          </w:p>
        </w:tc>
        <w:tc>
          <w:tcPr>
            <w:tcW w:w="1844" w:type="pct"/>
            <w:vAlign w:val="bottom"/>
          </w:tcPr>
          <w:p w:rsidR="00071F2B" w:rsidRPr="00304385" w:rsidRDefault="00071F2B" w:rsidP="00071F2B">
            <w:pPr>
              <w:autoSpaceDE w:val="0"/>
              <w:autoSpaceDN w:val="0"/>
              <w:adjustRightInd w:val="0"/>
              <w:spacing w:beforeLines="60" w:before="144" w:afterLines="60" w:after="144"/>
              <w:contextualSpacing/>
              <w:jc w:val="center"/>
              <w:rPr>
                <w:rFonts w:cs="Calibri"/>
                <w:sz w:val="20"/>
                <w:szCs w:val="20"/>
                <w:lang w:eastAsia="en-GB"/>
              </w:rPr>
            </w:pPr>
            <w:r w:rsidRPr="00304385">
              <w:rPr>
                <w:rFonts w:cs="Calibri"/>
                <w:sz w:val="20"/>
                <w:szCs w:val="20"/>
                <w:lang w:eastAsia="en-GB"/>
              </w:rPr>
              <w:t>116</w:t>
            </w:r>
          </w:p>
        </w:tc>
      </w:tr>
      <w:tr w:rsidR="00071F2B" w:rsidRPr="00304385" w:rsidTr="00071F2B">
        <w:trPr>
          <w:cantSplit/>
          <w:trHeight w:val="353"/>
          <w:tblHeader/>
        </w:trPr>
        <w:tc>
          <w:tcPr>
            <w:tcW w:w="1577" w:type="pct"/>
            <w:vAlign w:val="center"/>
          </w:tcPr>
          <w:p w:rsidR="00071F2B" w:rsidRPr="00304385" w:rsidRDefault="00071F2B" w:rsidP="00071F2B">
            <w:pPr>
              <w:spacing w:beforeLines="60" w:before="144" w:afterLines="60" w:after="144"/>
              <w:contextualSpacing/>
              <w:rPr>
                <w:rFonts w:cs="Times New Roman"/>
                <w:sz w:val="20"/>
                <w:szCs w:val="20"/>
                <w:lang w:eastAsia="en-GB"/>
              </w:rPr>
            </w:pPr>
            <w:r w:rsidRPr="00304385">
              <w:rPr>
                <w:rFonts w:cs="Times New Roman"/>
                <w:sz w:val="20"/>
                <w:szCs w:val="20"/>
                <w:lang w:eastAsia="en-GB"/>
              </w:rPr>
              <w:t>18-29</w:t>
            </w:r>
          </w:p>
        </w:tc>
        <w:tc>
          <w:tcPr>
            <w:tcW w:w="1579" w:type="pct"/>
            <w:vAlign w:val="center"/>
          </w:tcPr>
          <w:p w:rsidR="00071F2B" w:rsidRPr="00304385" w:rsidRDefault="00071F2B" w:rsidP="00071F2B">
            <w:pPr>
              <w:autoSpaceDE w:val="0"/>
              <w:autoSpaceDN w:val="0"/>
              <w:adjustRightInd w:val="0"/>
              <w:spacing w:beforeLines="60" w:before="144" w:afterLines="60" w:after="144"/>
              <w:contextualSpacing/>
              <w:jc w:val="center"/>
              <w:rPr>
                <w:rFonts w:cs="Calibri"/>
                <w:sz w:val="20"/>
                <w:szCs w:val="20"/>
                <w:lang w:eastAsia="en-GB"/>
              </w:rPr>
            </w:pPr>
            <w:r w:rsidRPr="00304385">
              <w:rPr>
                <w:rFonts w:cs="Calibri"/>
                <w:sz w:val="20"/>
                <w:szCs w:val="20"/>
                <w:lang w:eastAsia="en-GB"/>
              </w:rPr>
              <w:t>77.4</w:t>
            </w:r>
          </w:p>
        </w:tc>
        <w:tc>
          <w:tcPr>
            <w:tcW w:w="1844" w:type="pct"/>
            <w:vAlign w:val="center"/>
          </w:tcPr>
          <w:p w:rsidR="00071F2B" w:rsidRPr="00304385" w:rsidRDefault="00071F2B" w:rsidP="00071F2B">
            <w:pPr>
              <w:autoSpaceDE w:val="0"/>
              <w:autoSpaceDN w:val="0"/>
              <w:adjustRightInd w:val="0"/>
              <w:spacing w:beforeLines="60" w:before="144" w:afterLines="60" w:after="144"/>
              <w:contextualSpacing/>
              <w:jc w:val="center"/>
              <w:rPr>
                <w:rFonts w:cs="Calibri"/>
                <w:sz w:val="20"/>
                <w:szCs w:val="20"/>
                <w:lang w:eastAsia="en-GB"/>
              </w:rPr>
            </w:pPr>
            <w:r w:rsidRPr="00304385">
              <w:rPr>
                <w:rFonts w:cs="Calibri"/>
                <w:sz w:val="20"/>
                <w:szCs w:val="20"/>
                <w:lang w:eastAsia="en-GB"/>
              </w:rPr>
              <w:t>134</w:t>
            </w:r>
          </w:p>
        </w:tc>
      </w:tr>
      <w:tr w:rsidR="00071F2B" w:rsidRPr="00304385" w:rsidTr="00071F2B">
        <w:trPr>
          <w:cantSplit/>
          <w:trHeight w:val="353"/>
          <w:tblHeader/>
        </w:trPr>
        <w:tc>
          <w:tcPr>
            <w:tcW w:w="1577" w:type="pct"/>
            <w:vAlign w:val="center"/>
          </w:tcPr>
          <w:p w:rsidR="00071F2B" w:rsidRPr="00304385" w:rsidRDefault="00071F2B" w:rsidP="00071F2B">
            <w:pPr>
              <w:spacing w:beforeLines="60" w:before="144" w:afterLines="60" w:after="144"/>
              <w:contextualSpacing/>
              <w:rPr>
                <w:rFonts w:cs="Times New Roman"/>
                <w:sz w:val="20"/>
                <w:szCs w:val="20"/>
                <w:lang w:eastAsia="en-GB"/>
              </w:rPr>
            </w:pPr>
            <w:r w:rsidRPr="00304385">
              <w:rPr>
                <w:rFonts w:cs="Times New Roman"/>
                <w:sz w:val="20"/>
                <w:szCs w:val="20"/>
                <w:lang w:eastAsia="en-GB"/>
              </w:rPr>
              <w:t>30-39</w:t>
            </w:r>
          </w:p>
        </w:tc>
        <w:tc>
          <w:tcPr>
            <w:tcW w:w="1579" w:type="pct"/>
            <w:vAlign w:val="center"/>
          </w:tcPr>
          <w:p w:rsidR="00071F2B" w:rsidRPr="00304385" w:rsidRDefault="00071F2B" w:rsidP="00071F2B">
            <w:pPr>
              <w:autoSpaceDE w:val="0"/>
              <w:autoSpaceDN w:val="0"/>
              <w:adjustRightInd w:val="0"/>
              <w:spacing w:beforeLines="60" w:before="144" w:afterLines="60" w:after="144"/>
              <w:contextualSpacing/>
              <w:jc w:val="center"/>
              <w:rPr>
                <w:rFonts w:cs="Calibri"/>
                <w:sz w:val="20"/>
                <w:szCs w:val="20"/>
                <w:lang w:eastAsia="en-GB"/>
              </w:rPr>
            </w:pPr>
            <w:r w:rsidRPr="00304385">
              <w:rPr>
                <w:rFonts w:cs="Calibri"/>
                <w:sz w:val="20"/>
                <w:szCs w:val="20"/>
                <w:lang w:eastAsia="en-GB"/>
              </w:rPr>
              <w:t>81.1</w:t>
            </w:r>
          </w:p>
        </w:tc>
        <w:tc>
          <w:tcPr>
            <w:tcW w:w="1844" w:type="pct"/>
            <w:vAlign w:val="center"/>
          </w:tcPr>
          <w:p w:rsidR="00071F2B" w:rsidRPr="00304385" w:rsidRDefault="00071F2B" w:rsidP="00071F2B">
            <w:pPr>
              <w:autoSpaceDE w:val="0"/>
              <w:autoSpaceDN w:val="0"/>
              <w:adjustRightInd w:val="0"/>
              <w:spacing w:beforeLines="60" w:before="144" w:afterLines="60" w:after="144"/>
              <w:contextualSpacing/>
              <w:jc w:val="center"/>
              <w:rPr>
                <w:rFonts w:cs="Calibri"/>
                <w:sz w:val="20"/>
                <w:szCs w:val="20"/>
                <w:lang w:eastAsia="en-GB"/>
              </w:rPr>
            </w:pPr>
            <w:r w:rsidRPr="00304385">
              <w:rPr>
                <w:rFonts w:cs="Calibri"/>
                <w:sz w:val="20"/>
                <w:szCs w:val="20"/>
                <w:lang w:eastAsia="en-GB"/>
              </w:rPr>
              <w:t>155</w:t>
            </w:r>
          </w:p>
        </w:tc>
      </w:tr>
      <w:tr w:rsidR="00071F2B" w:rsidRPr="00304385" w:rsidTr="00071F2B">
        <w:trPr>
          <w:cantSplit/>
          <w:trHeight w:val="353"/>
          <w:tblHeader/>
        </w:trPr>
        <w:tc>
          <w:tcPr>
            <w:tcW w:w="1577" w:type="pct"/>
            <w:vAlign w:val="center"/>
          </w:tcPr>
          <w:p w:rsidR="00071F2B" w:rsidRPr="00304385" w:rsidRDefault="00071F2B" w:rsidP="00071F2B">
            <w:pPr>
              <w:spacing w:beforeLines="60" w:before="144" w:afterLines="60" w:after="144"/>
              <w:contextualSpacing/>
              <w:rPr>
                <w:rFonts w:cs="Times New Roman"/>
                <w:sz w:val="20"/>
                <w:szCs w:val="20"/>
                <w:lang w:eastAsia="en-GB"/>
              </w:rPr>
            </w:pPr>
            <w:r w:rsidRPr="00304385">
              <w:rPr>
                <w:rFonts w:cs="Times New Roman"/>
                <w:sz w:val="20"/>
                <w:szCs w:val="20"/>
                <w:lang w:eastAsia="en-GB"/>
              </w:rPr>
              <w:t>40-49</w:t>
            </w:r>
          </w:p>
        </w:tc>
        <w:tc>
          <w:tcPr>
            <w:tcW w:w="1579" w:type="pct"/>
            <w:vAlign w:val="center"/>
          </w:tcPr>
          <w:p w:rsidR="00071F2B" w:rsidRPr="00304385" w:rsidRDefault="00071F2B" w:rsidP="00071F2B">
            <w:pPr>
              <w:autoSpaceDE w:val="0"/>
              <w:autoSpaceDN w:val="0"/>
              <w:adjustRightInd w:val="0"/>
              <w:spacing w:beforeLines="60" w:before="144" w:afterLines="60" w:after="144"/>
              <w:contextualSpacing/>
              <w:jc w:val="center"/>
              <w:rPr>
                <w:rFonts w:cs="Calibri"/>
                <w:sz w:val="20"/>
                <w:szCs w:val="20"/>
                <w:lang w:eastAsia="en-GB"/>
              </w:rPr>
            </w:pPr>
            <w:r w:rsidRPr="00304385">
              <w:rPr>
                <w:rFonts w:cs="Calibri"/>
                <w:sz w:val="20"/>
                <w:szCs w:val="20"/>
                <w:lang w:eastAsia="en-GB"/>
              </w:rPr>
              <w:t>71.3</w:t>
            </w:r>
          </w:p>
        </w:tc>
        <w:tc>
          <w:tcPr>
            <w:tcW w:w="1844" w:type="pct"/>
            <w:vAlign w:val="center"/>
          </w:tcPr>
          <w:p w:rsidR="00071F2B" w:rsidRPr="00304385" w:rsidRDefault="00071F2B" w:rsidP="00071F2B">
            <w:pPr>
              <w:autoSpaceDE w:val="0"/>
              <w:autoSpaceDN w:val="0"/>
              <w:adjustRightInd w:val="0"/>
              <w:spacing w:beforeLines="60" w:before="144" w:afterLines="60" w:after="144"/>
              <w:contextualSpacing/>
              <w:jc w:val="center"/>
              <w:rPr>
                <w:rFonts w:cs="Calibri"/>
                <w:sz w:val="20"/>
                <w:szCs w:val="20"/>
                <w:lang w:eastAsia="en-GB"/>
              </w:rPr>
            </w:pPr>
            <w:r w:rsidRPr="00304385">
              <w:rPr>
                <w:rFonts w:cs="Calibri"/>
                <w:sz w:val="20"/>
                <w:szCs w:val="20"/>
                <w:lang w:eastAsia="en-GB"/>
              </w:rPr>
              <w:t>116</w:t>
            </w:r>
          </w:p>
        </w:tc>
      </w:tr>
      <w:tr w:rsidR="00071F2B" w:rsidRPr="00304385" w:rsidTr="00071F2B">
        <w:trPr>
          <w:cantSplit/>
          <w:trHeight w:val="353"/>
          <w:tblHeader/>
        </w:trPr>
        <w:tc>
          <w:tcPr>
            <w:tcW w:w="1577" w:type="pct"/>
            <w:vAlign w:val="center"/>
          </w:tcPr>
          <w:p w:rsidR="00071F2B" w:rsidRPr="00304385" w:rsidRDefault="00071F2B" w:rsidP="00071F2B">
            <w:pPr>
              <w:spacing w:beforeLines="60" w:before="144" w:afterLines="60" w:after="144"/>
              <w:contextualSpacing/>
              <w:rPr>
                <w:rFonts w:cs="Times New Roman"/>
                <w:sz w:val="20"/>
                <w:szCs w:val="20"/>
                <w:lang w:eastAsia="en-GB"/>
              </w:rPr>
            </w:pPr>
            <w:r w:rsidRPr="00304385">
              <w:rPr>
                <w:rFonts w:cs="Times New Roman"/>
                <w:sz w:val="20"/>
                <w:szCs w:val="20"/>
                <w:lang w:eastAsia="en-GB"/>
              </w:rPr>
              <w:t>50-59</w:t>
            </w:r>
          </w:p>
        </w:tc>
        <w:tc>
          <w:tcPr>
            <w:tcW w:w="1579" w:type="pct"/>
            <w:vAlign w:val="center"/>
          </w:tcPr>
          <w:p w:rsidR="00071F2B" w:rsidRPr="00304385" w:rsidRDefault="00071F2B" w:rsidP="00071F2B">
            <w:pPr>
              <w:autoSpaceDE w:val="0"/>
              <w:autoSpaceDN w:val="0"/>
              <w:adjustRightInd w:val="0"/>
              <w:spacing w:beforeLines="60" w:before="144" w:afterLines="60" w:after="144"/>
              <w:contextualSpacing/>
              <w:jc w:val="center"/>
              <w:rPr>
                <w:rFonts w:cs="Calibri"/>
                <w:sz w:val="20"/>
                <w:szCs w:val="20"/>
                <w:lang w:eastAsia="en-GB"/>
              </w:rPr>
            </w:pPr>
            <w:r w:rsidRPr="00304385">
              <w:rPr>
                <w:rFonts w:cs="Calibri"/>
                <w:sz w:val="20"/>
                <w:szCs w:val="20"/>
                <w:lang w:eastAsia="en-GB"/>
              </w:rPr>
              <w:t>88.0</w:t>
            </w:r>
          </w:p>
        </w:tc>
        <w:tc>
          <w:tcPr>
            <w:tcW w:w="1844" w:type="pct"/>
            <w:vAlign w:val="center"/>
          </w:tcPr>
          <w:p w:rsidR="00071F2B" w:rsidRPr="00304385" w:rsidRDefault="00071F2B" w:rsidP="00071F2B">
            <w:pPr>
              <w:autoSpaceDE w:val="0"/>
              <w:autoSpaceDN w:val="0"/>
              <w:adjustRightInd w:val="0"/>
              <w:spacing w:beforeLines="60" w:before="144" w:afterLines="60" w:after="144"/>
              <w:contextualSpacing/>
              <w:jc w:val="center"/>
              <w:rPr>
                <w:rFonts w:cs="Calibri"/>
                <w:sz w:val="20"/>
                <w:szCs w:val="20"/>
                <w:lang w:eastAsia="en-GB"/>
              </w:rPr>
            </w:pPr>
            <w:r w:rsidRPr="00304385">
              <w:rPr>
                <w:rFonts w:cs="Calibri"/>
                <w:sz w:val="20"/>
                <w:szCs w:val="20"/>
                <w:lang w:eastAsia="en-GB"/>
              </w:rPr>
              <w:t>167</w:t>
            </w:r>
          </w:p>
        </w:tc>
      </w:tr>
      <w:tr w:rsidR="00071F2B" w:rsidRPr="00304385" w:rsidTr="00071F2B">
        <w:trPr>
          <w:cantSplit/>
          <w:trHeight w:val="353"/>
          <w:tblHeader/>
        </w:trPr>
        <w:tc>
          <w:tcPr>
            <w:tcW w:w="1577" w:type="pct"/>
            <w:vAlign w:val="center"/>
          </w:tcPr>
          <w:p w:rsidR="00071F2B" w:rsidRPr="00304385" w:rsidRDefault="00071F2B" w:rsidP="00071F2B">
            <w:pPr>
              <w:spacing w:beforeLines="60" w:before="144" w:afterLines="60" w:after="144"/>
              <w:contextualSpacing/>
              <w:rPr>
                <w:rFonts w:cs="Times New Roman"/>
                <w:sz w:val="20"/>
                <w:szCs w:val="20"/>
                <w:lang w:eastAsia="en-GB"/>
              </w:rPr>
            </w:pPr>
            <w:r w:rsidRPr="00304385">
              <w:rPr>
                <w:rFonts w:cs="Times New Roman"/>
                <w:sz w:val="20"/>
                <w:szCs w:val="20"/>
                <w:lang w:eastAsia="en-GB"/>
              </w:rPr>
              <w:t>60-59</w:t>
            </w:r>
          </w:p>
        </w:tc>
        <w:tc>
          <w:tcPr>
            <w:tcW w:w="1579" w:type="pct"/>
            <w:vAlign w:val="center"/>
          </w:tcPr>
          <w:p w:rsidR="00071F2B" w:rsidRPr="00304385" w:rsidRDefault="00071F2B" w:rsidP="00071F2B">
            <w:pPr>
              <w:autoSpaceDE w:val="0"/>
              <w:autoSpaceDN w:val="0"/>
              <w:adjustRightInd w:val="0"/>
              <w:spacing w:beforeLines="60" w:before="144" w:afterLines="60" w:after="144"/>
              <w:contextualSpacing/>
              <w:jc w:val="center"/>
              <w:rPr>
                <w:rFonts w:cs="Calibri"/>
                <w:sz w:val="20"/>
                <w:szCs w:val="20"/>
                <w:lang w:eastAsia="en-GB"/>
              </w:rPr>
            </w:pPr>
            <w:r w:rsidRPr="00304385">
              <w:rPr>
                <w:rFonts w:cs="Calibri"/>
                <w:sz w:val="20"/>
                <w:szCs w:val="20"/>
                <w:lang w:eastAsia="en-GB"/>
              </w:rPr>
              <w:t>94.2</w:t>
            </w:r>
          </w:p>
        </w:tc>
        <w:tc>
          <w:tcPr>
            <w:tcW w:w="1844" w:type="pct"/>
            <w:vAlign w:val="center"/>
          </w:tcPr>
          <w:p w:rsidR="00071F2B" w:rsidRPr="00304385" w:rsidRDefault="00071F2B" w:rsidP="00071F2B">
            <w:pPr>
              <w:autoSpaceDE w:val="0"/>
              <w:autoSpaceDN w:val="0"/>
              <w:adjustRightInd w:val="0"/>
              <w:spacing w:beforeLines="60" w:before="144" w:afterLines="60" w:after="144"/>
              <w:contextualSpacing/>
              <w:jc w:val="center"/>
              <w:rPr>
                <w:rFonts w:cs="Calibri"/>
                <w:sz w:val="20"/>
                <w:szCs w:val="20"/>
                <w:lang w:eastAsia="en-GB"/>
              </w:rPr>
            </w:pPr>
            <w:r w:rsidRPr="00304385">
              <w:rPr>
                <w:rFonts w:cs="Calibri"/>
                <w:sz w:val="20"/>
                <w:szCs w:val="20"/>
                <w:lang w:eastAsia="en-GB"/>
              </w:rPr>
              <w:t>164</w:t>
            </w:r>
          </w:p>
        </w:tc>
      </w:tr>
      <w:tr w:rsidR="00071F2B" w:rsidRPr="00304385" w:rsidTr="00071F2B">
        <w:trPr>
          <w:cantSplit/>
          <w:trHeight w:val="353"/>
          <w:tblHeader/>
        </w:trPr>
        <w:tc>
          <w:tcPr>
            <w:tcW w:w="1577" w:type="pct"/>
            <w:vAlign w:val="center"/>
          </w:tcPr>
          <w:p w:rsidR="00071F2B" w:rsidRPr="00304385" w:rsidRDefault="00071F2B" w:rsidP="00071F2B">
            <w:pPr>
              <w:spacing w:beforeLines="60" w:before="144" w:afterLines="60" w:after="144"/>
              <w:contextualSpacing/>
              <w:rPr>
                <w:rFonts w:cs="Times New Roman"/>
                <w:sz w:val="20"/>
                <w:szCs w:val="20"/>
                <w:lang w:eastAsia="en-GB"/>
              </w:rPr>
            </w:pPr>
            <w:r w:rsidRPr="00304385">
              <w:rPr>
                <w:rFonts w:cs="Times New Roman"/>
                <w:sz w:val="20"/>
                <w:szCs w:val="20"/>
                <w:lang w:eastAsia="en-GB"/>
              </w:rPr>
              <w:t>70-79</w:t>
            </w:r>
          </w:p>
        </w:tc>
        <w:tc>
          <w:tcPr>
            <w:tcW w:w="1579" w:type="pct"/>
            <w:vAlign w:val="center"/>
          </w:tcPr>
          <w:p w:rsidR="00071F2B" w:rsidRPr="00304385" w:rsidRDefault="00071F2B" w:rsidP="00071F2B">
            <w:pPr>
              <w:autoSpaceDE w:val="0"/>
              <w:autoSpaceDN w:val="0"/>
              <w:adjustRightInd w:val="0"/>
              <w:spacing w:beforeLines="60" w:before="144" w:afterLines="60" w:after="144"/>
              <w:contextualSpacing/>
              <w:jc w:val="center"/>
              <w:rPr>
                <w:rFonts w:cs="Calibri"/>
                <w:sz w:val="20"/>
                <w:szCs w:val="20"/>
                <w:lang w:eastAsia="en-GB"/>
              </w:rPr>
            </w:pPr>
            <w:r w:rsidRPr="00304385">
              <w:rPr>
                <w:rFonts w:cs="Calibri"/>
                <w:sz w:val="20"/>
                <w:szCs w:val="20"/>
                <w:lang w:eastAsia="en-GB"/>
              </w:rPr>
              <w:t>73.8</w:t>
            </w:r>
          </w:p>
        </w:tc>
        <w:tc>
          <w:tcPr>
            <w:tcW w:w="1844" w:type="pct"/>
            <w:vAlign w:val="center"/>
          </w:tcPr>
          <w:p w:rsidR="00071F2B" w:rsidRPr="00304385" w:rsidRDefault="00071F2B" w:rsidP="00071F2B">
            <w:pPr>
              <w:autoSpaceDE w:val="0"/>
              <w:autoSpaceDN w:val="0"/>
              <w:adjustRightInd w:val="0"/>
              <w:spacing w:beforeLines="60" w:before="144" w:afterLines="60" w:after="144"/>
              <w:contextualSpacing/>
              <w:jc w:val="center"/>
              <w:rPr>
                <w:rFonts w:cs="Calibri"/>
                <w:sz w:val="20"/>
                <w:szCs w:val="20"/>
                <w:lang w:eastAsia="en-GB"/>
              </w:rPr>
            </w:pPr>
            <w:r w:rsidRPr="00304385">
              <w:rPr>
                <w:rFonts w:cs="Calibri"/>
                <w:sz w:val="20"/>
                <w:szCs w:val="20"/>
                <w:lang w:eastAsia="en-GB"/>
              </w:rPr>
              <w:t>163</w:t>
            </w:r>
          </w:p>
        </w:tc>
      </w:tr>
      <w:tr w:rsidR="00071F2B" w:rsidRPr="00304385" w:rsidTr="00071F2B">
        <w:trPr>
          <w:cantSplit/>
          <w:trHeight w:val="353"/>
          <w:tblHeader/>
        </w:trPr>
        <w:tc>
          <w:tcPr>
            <w:tcW w:w="1577" w:type="pct"/>
            <w:vAlign w:val="center"/>
          </w:tcPr>
          <w:p w:rsidR="00071F2B" w:rsidRPr="00304385" w:rsidRDefault="00071F2B" w:rsidP="00071F2B">
            <w:pPr>
              <w:spacing w:beforeLines="60" w:before="144" w:afterLines="60" w:after="144"/>
              <w:contextualSpacing/>
              <w:rPr>
                <w:rFonts w:cs="Times New Roman"/>
                <w:sz w:val="20"/>
                <w:szCs w:val="20"/>
                <w:lang w:eastAsia="en-GB"/>
              </w:rPr>
            </w:pPr>
            <w:r w:rsidRPr="00304385">
              <w:rPr>
                <w:rFonts w:cs="Times New Roman"/>
                <w:sz w:val="20"/>
                <w:szCs w:val="20"/>
                <w:lang w:eastAsia="en-GB"/>
              </w:rPr>
              <w:t>80+</w:t>
            </w:r>
          </w:p>
        </w:tc>
        <w:tc>
          <w:tcPr>
            <w:tcW w:w="1579" w:type="pct"/>
            <w:vAlign w:val="center"/>
          </w:tcPr>
          <w:p w:rsidR="00071F2B" w:rsidRPr="00304385" w:rsidRDefault="00071F2B" w:rsidP="00071F2B">
            <w:pPr>
              <w:autoSpaceDE w:val="0"/>
              <w:autoSpaceDN w:val="0"/>
              <w:adjustRightInd w:val="0"/>
              <w:spacing w:beforeLines="60" w:before="144" w:afterLines="60" w:after="144"/>
              <w:contextualSpacing/>
              <w:jc w:val="center"/>
              <w:rPr>
                <w:rFonts w:cs="Calibri"/>
                <w:sz w:val="20"/>
                <w:szCs w:val="20"/>
                <w:lang w:eastAsia="en-GB"/>
              </w:rPr>
            </w:pPr>
            <w:r w:rsidRPr="00304385">
              <w:rPr>
                <w:rFonts w:cs="Calibri"/>
                <w:sz w:val="20"/>
                <w:szCs w:val="20"/>
                <w:lang w:eastAsia="en-GB"/>
              </w:rPr>
              <w:t>51.4</w:t>
            </w:r>
          </w:p>
        </w:tc>
        <w:tc>
          <w:tcPr>
            <w:tcW w:w="1844" w:type="pct"/>
            <w:vAlign w:val="center"/>
          </w:tcPr>
          <w:p w:rsidR="00071F2B" w:rsidRPr="00304385" w:rsidRDefault="00071F2B" w:rsidP="00071F2B">
            <w:pPr>
              <w:autoSpaceDE w:val="0"/>
              <w:autoSpaceDN w:val="0"/>
              <w:adjustRightInd w:val="0"/>
              <w:spacing w:beforeLines="60" w:before="144" w:afterLines="60" w:after="144"/>
              <w:contextualSpacing/>
              <w:jc w:val="center"/>
              <w:rPr>
                <w:rFonts w:cs="Calibri"/>
                <w:sz w:val="20"/>
                <w:szCs w:val="20"/>
                <w:lang w:eastAsia="en-GB"/>
              </w:rPr>
            </w:pPr>
            <w:r w:rsidRPr="00304385">
              <w:rPr>
                <w:rFonts w:cs="Calibri"/>
                <w:sz w:val="20"/>
                <w:szCs w:val="20"/>
                <w:lang w:eastAsia="en-GB"/>
              </w:rPr>
              <w:t>100</w:t>
            </w:r>
          </w:p>
        </w:tc>
      </w:tr>
      <w:tr w:rsidR="00071F2B" w:rsidRPr="00304385" w:rsidTr="00071F2B">
        <w:trPr>
          <w:cantSplit/>
          <w:trHeight w:val="353"/>
          <w:tblHeader/>
        </w:trPr>
        <w:tc>
          <w:tcPr>
            <w:tcW w:w="1577" w:type="pct"/>
            <w:vAlign w:val="center"/>
          </w:tcPr>
          <w:p w:rsidR="00071F2B" w:rsidRPr="00304385" w:rsidRDefault="00071F2B" w:rsidP="00071F2B">
            <w:pPr>
              <w:spacing w:beforeLines="60" w:before="144" w:afterLines="60" w:after="144"/>
              <w:contextualSpacing/>
              <w:rPr>
                <w:rFonts w:cs="Times New Roman"/>
                <w:sz w:val="20"/>
                <w:szCs w:val="20"/>
                <w:lang w:eastAsia="en-GB"/>
              </w:rPr>
            </w:pPr>
            <w:r w:rsidRPr="00304385">
              <w:rPr>
                <w:rFonts w:cs="Times New Roman"/>
                <w:sz w:val="20"/>
                <w:szCs w:val="20"/>
                <w:lang w:eastAsia="en-GB"/>
              </w:rPr>
              <w:t>All adults</w:t>
            </w:r>
          </w:p>
        </w:tc>
        <w:tc>
          <w:tcPr>
            <w:tcW w:w="1579" w:type="pct"/>
            <w:vAlign w:val="center"/>
          </w:tcPr>
          <w:p w:rsidR="00071F2B" w:rsidRPr="00304385" w:rsidRDefault="00071F2B" w:rsidP="00071F2B">
            <w:pPr>
              <w:autoSpaceDE w:val="0"/>
              <w:autoSpaceDN w:val="0"/>
              <w:adjustRightInd w:val="0"/>
              <w:spacing w:beforeLines="60" w:before="144" w:afterLines="60" w:after="144"/>
              <w:contextualSpacing/>
              <w:jc w:val="center"/>
              <w:rPr>
                <w:rFonts w:cs="Calibri"/>
                <w:sz w:val="20"/>
                <w:szCs w:val="20"/>
                <w:lang w:eastAsia="en-GB"/>
              </w:rPr>
            </w:pPr>
            <w:r w:rsidRPr="00304385">
              <w:rPr>
                <w:rFonts w:cs="Calibri"/>
                <w:sz w:val="20"/>
                <w:szCs w:val="20"/>
                <w:lang w:eastAsia="en-GB"/>
              </w:rPr>
              <w:t>78.9 (75.0, 82.9)</w:t>
            </w:r>
          </w:p>
        </w:tc>
        <w:tc>
          <w:tcPr>
            <w:tcW w:w="1844" w:type="pct"/>
            <w:vAlign w:val="center"/>
          </w:tcPr>
          <w:p w:rsidR="00071F2B" w:rsidRPr="00304385" w:rsidRDefault="00071F2B" w:rsidP="00071F2B">
            <w:pPr>
              <w:autoSpaceDE w:val="0"/>
              <w:autoSpaceDN w:val="0"/>
              <w:adjustRightInd w:val="0"/>
              <w:spacing w:beforeLines="60" w:before="144" w:afterLines="60" w:after="144"/>
              <w:contextualSpacing/>
              <w:jc w:val="center"/>
              <w:rPr>
                <w:rFonts w:cs="Calibri"/>
                <w:sz w:val="20"/>
                <w:szCs w:val="20"/>
                <w:lang w:eastAsia="en-GB"/>
              </w:rPr>
            </w:pPr>
            <w:r w:rsidRPr="00304385">
              <w:rPr>
                <w:rFonts w:cs="Calibri"/>
                <w:sz w:val="20"/>
                <w:szCs w:val="20"/>
                <w:lang w:eastAsia="en-GB"/>
              </w:rPr>
              <w:t>-</w:t>
            </w:r>
          </w:p>
        </w:tc>
      </w:tr>
      <w:tr w:rsidR="00071F2B" w:rsidRPr="00304385" w:rsidTr="00071F2B">
        <w:trPr>
          <w:cantSplit/>
          <w:trHeight w:val="353"/>
          <w:tblHeader/>
        </w:trPr>
        <w:tc>
          <w:tcPr>
            <w:tcW w:w="1577" w:type="pct"/>
            <w:vAlign w:val="center"/>
          </w:tcPr>
          <w:p w:rsidR="00071F2B" w:rsidRPr="00304385" w:rsidRDefault="00071F2B" w:rsidP="00071F2B">
            <w:pPr>
              <w:spacing w:beforeLines="60" w:before="144" w:afterLines="60" w:after="144"/>
              <w:contextualSpacing/>
              <w:rPr>
                <w:rFonts w:cs="Times New Roman"/>
                <w:sz w:val="20"/>
                <w:szCs w:val="20"/>
                <w:lang w:eastAsia="en-GB"/>
              </w:rPr>
            </w:pPr>
            <w:r w:rsidRPr="00304385">
              <w:rPr>
                <w:rFonts w:cs="Times New Roman"/>
                <w:sz w:val="20"/>
                <w:szCs w:val="20"/>
                <w:lang w:eastAsia="en-GB"/>
              </w:rPr>
              <w:t>Population prevalence</w:t>
            </w:r>
          </w:p>
        </w:tc>
        <w:tc>
          <w:tcPr>
            <w:tcW w:w="1579" w:type="pct"/>
            <w:vAlign w:val="center"/>
          </w:tcPr>
          <w:p w:rsidR="00071F2B" w:rsidRPr="00304385" w:rsidRDefault="00071F2B" w:rsidP="00071F2B">
            <w:pPr>
              <w:autoSpaceDE w:val="0"/>
              <w:autoSpaceDN w:val="0"/>
              <w:adjustRightInd w:val="0"/>
              <w:spacing w:beforeLines="60" w:before="144" w:afterLines="60" w:after="144"/>
              <w:contextualSpacing/>
              <w:jc w:val="center"/>
              <w:rPr>
                <w:rFonts w:cs="Calibri"/>
                <w:sz w:val="20"/>
                <w:szCs w:val="20"/>
                <w:lang w:eastAsia="en-GB"/>
              </w:rPr>
            </w:pPr>
            <w:r w:rsidRPr="00304385">
              <w:rPr>
                <w:rFonts w:cs="Calibri"/>
                <w:sz w:val="20"/>
                <w:szCs w:val="20"/>
                <w:lang w:eastAsia="en-GB"/>
              </w:rPr>
              <w:t>-</w:t>
            </w:r>
          </w:p>
        </w:tc>
        <w:tc>
          <w:tcPr>
            <w:tcW w:w="1844" w:type="pct"/>
            <w:vAlign w:val="center"/>
          </w:tcPr>
          <w:p w:rsidR="00071F2B" w:rsidRPr="00304385" w:rsidRDefault="00071F2B" w:rsidP="00071F2B">
            <w:pPr>
              <w:autoSpaceDE w:val="0"/>
              <w:autoSpaceDN w:val="0"/>
              <w:adjustRightInd w:val="0"/>
              <w:spacing w:beforeLines="60" w:before="144" w:afterLines="60" w:after="144"/>
              <w:contextualSpacing/>
              <w:jc w:val="center"/>
              <w:rPr>
                <w:rFonts w:cs="Calibri"/>
                <w:sz w:val="20"/>
                <w:szCs w:val="20"/>
                <w:lang w:eastAsia="en-GB"/>
              </w:rPr>
            </w:pPr>
            <w:r w:rsidRPr="00304385">
              <w:rPr>
                <w:rFonts w:cs="Calibri"/>
                <w:sz w:val="20"/>
                <w:szCs w:val="20"/>
                <w:lang w:eastAsia="en-GB"/>
              </w:rPr>
              <w:t>1996-7: 140</w:t>
            </w:r>
          </w:p>
          <w:p w:rsidR="00071F2B" w:rsidRPr="00304385" w:rsidRDefault="00071F2B" w:rsidP="00071F2B">
            <w:pPr>
              <w:autoSpaceDE w:val="0"/>
              <w:autoSpaceDN w:val="0"/>
              <w:adjustRightInd w:val="0"/>
              <w:spacing w:beforeLines="60" w:before="144" w:afterLines="60" w:after="144"/>
              <w:contextualSpacing/>
              <w:jc w:val="center"/>
              <w:rPr>
                <w:rFonts w:cs="Calibri"/>
                <w:sz w:val="20"/>
                <w:szCs w:val="20"/>
                <w:lang w:eastAsia="en-GB"/>
              </w:rPr>
            </w:pPr>
            <w:r w:rsidRPr="00304385">
              <w:rPr>
                <w:rFonts w:cs="Calibri"/>
                <w:sz w:val="20"/>
                <w:szCs w:val="20"/>
                <w:lang w:eastAsia="en-GB"/>
              </w:rPr>
              <w:t>2013: 129 (126, 133)</w:t>
            </w:r>
          </w:p>
        </w:tc>
      </w:tr>
    </w:tbl>
    <w:p w:rsidR="00071F2B" w:rsidRDefault="00071F2B" w:rsidP="00071F2B">
      <w:pPr>
        <w:spacing w:after="0"/>
        <w:rPr>
          <w:rFonts w:eastAsiaTheme="minorEastAsia" w:cs="Baskerville"/>
          <w:sz w:val="20"/>
          <w:szCs w:val="20"/>
          <w:vertAlign w:val="superscript"/>
          <w:lang w:eastAsia="en-GB"/>
        </w:rPr>
      </w:pPr>
      <w:r w:rsidRPr="00304385">
        <w:rPr>
          <w:rFonts w:eastAsiaTheme="minorEastAsia" w:cs="Baskerville"/>
          <w:sz w:val="20"/>
          <w:szCs w:val="20"/>
          <w:lang w:eastAsia="en-GB"/>
        </w:rPr>
        <w:t xml:space="preserve">Source: </w:t>
      </w:r>
      <w:r>
        <w:rPr>
          <w:rFonts w:eastAsiaTheme="minorEastAsia" w:cs="Baskerville"/>
          <w:noProof/>
          <w:sz w:val="20"/>
          <w:szCs w:val="20"/>
          <w:lang w:eastAsia="en-GB"/>
        </w:rPr>
        <w:t>Tollefson (2010)</w:t>
      </w:r>
      <w:r w:rsidRPr="00304385">
        <w:rPr>
          <w:rFonts w:eastAsiaTheme="minorEastAsia" w:cs="Baskerville"/>
          <w:sz w:val="20"/>
          <w:szCs w:val="20"/>
          <w:lang w:eastAsia="en-GB"/>
        </w:rPr>
        <w:t xml:space="preserve">; </w:t>
      </w:r>
      <w:r>
        <w:rPr>
          <w:rFonts w:eastAsiaTheme="minorEastAsia" w:cs="Baskerville"/>
          <w:noProof/>
          <w:sz w:val="20"/>
          <w:szCs w:val="20"/>
          <w:lang w:eastAsia="en-GB"/>
        </w:rPr>
        <w:t>Icen (2009)</w:t>
      </w:r>
      <w:r w:rsidRPr="00304385">
        <w:rPr>
          <w:rFonts w:eastAsiaTheme="minorEastAsia" w:cs="Baskerville"/>
          <w:sz w:val="20"/>
          <w:szCs w:val="20"/>
          <w:lang w:eastAsia="en-GB"/>
        </w:rPr>
        <w:t xml:space="preserve">; </w:t>
      </w:r>
      <w:r>
        <w:rPr>
          <w:rFonts w:eastAsiaTheme="minorEastAsia" w:cs="Baskerville"/>
          <w:noProof/>
          <w:sz w:val="20"/>
          <w:szCs w:val="20"/>
          <w:lang w:eastAsia="en-GB"/>
        </w:rPr>
        <w:t>Huerta  (2007)</w:t>
      </w:r>
      <w:r w:rsidRPr="00304385">
        <w:rPr>
          <w:rFonts w:eastAsiaTheme="minorEastAsia" w:cs="Baskerville"/>
          <w:sz w:val="20"/>
          <w:szCs w:val="20"/>
          <w:lang w:eastAsia="en-GB"/>
        </w:rPr>
        <w:t>; Springate (2017)</w:t>
      </w:r>
    </w:p>
    <w:p w:rsidR="00071F2B" w:rsidRPr="00304385" w:rsidRDefault="00071F2B" w:rsidP="00071F2B">
      <w:pPr>
        <w:spacing w:after="0"/>
        <w:rPr>
          <w:rFonts w:eastAsiaTheme="minorEastAsia" w:cs="Baskerville"/>
          <w:sz w:val="20"/>
          <w:szCs w:val="20"/>
          <w:lang w:eastAsia="en-GB"/>
        </w:rPr>
      </w:pPr>
      <w:r w:rsidRPr="003A20F9">
        <w:rPr>
          <w:rFonts w:eastAsiaTheme="minorEastAsia" w:cs="Baskerville"/>
          <w:noProof/>
          <w:sz w:val="20"/>
          <w:szCs w:val="20"/>
          <w:vertAlign w:val="superscript"/>
          <w:lang w:eastAsia="en-GB"/>
        </w:rPr>
        <w:t xml:space="preserve">a </w:t>
      </w:r>
      <w:r w:rsidRPr="003A20F9">
        <w:rPr>
          <w:rFonts w:eastAsiaTheme="minorEastAsia" w:cs="Baskerville"/>
          <w:noProof/>
          <w:sz w:val="20"/>
          <w:szCs w:val="20"/>
          <w:lang w:eastAsia="en-GB"/>
        </w:rPr>
        <w:t>Adjusted</w:t>
      </w:r>
      <w:r w:rsidRPr="00304385">
        <w:rPr>
          <w:rFonts w:eastAsiaTheme="minorEastAsia" w:cs="Baskerville"/>
          <w:sz w:val="20"/>
          <w:szCs w:val="20"/>
          <w:lang w:eastAsia="en-GB"/>
        </w:rPr>
        <w:t xml:space="preserve"> to US white 2000 population </w:t>
      </w:r>
    </w:p>
    <w:p w:rsidR="005A1B39" w:rsidRDefault="00071F2B" w:rsidP="005A1B39">
      <w:pPr>
        <w:rPr>
          <w:lang w:eastAsia="en-GB"/>
        </w:rPr>
      </w:pPr>
      <w:r w:rsidRPr="00304385">
        <w:rPr>
          <w:lang w:eastAsia="en-GB"/>
        </w:rPr>
        <w:t xml:space="preserve">Across all the </w:t>
      </w:r>
      <w:r w:rsidR="005A1B39">
        <w:rPr>
          <w:lang w:eastAsia="en-GB"/>
        </w:rPr>
        <w:t>four</w:t>
      </w:r>
      <w:r w:rsidRPr="00304385">
        <w:rPr>
          <w:lang w:eastAsia="en-GB"/>
        </w:rPr>
        <w:t xml:space="preserve"> studies, children appear to have a lower incidence of psoriasis than adults.</w:t>
      </w:r>
      <w:r w:rsidR="00FB1688">
        <w:rPr>
          <w:noProof/>
          <w:lang w:eastAsia="en-GB"/>
        </w:rPr>
        <w:t>(</w:t>
      </w:r>
      <w:r w:rsidR="001B4738">
        <w:rPr>
          <w:noProof/>
          <w:lang w:eastAsia="en-GB"/>
        </w:rPr>
        <w:t>12-15</w:t>
      </w:r>
      <w:r w:rsidR="00FB1688">
        <w:rPr>
          <w:noProof/>
          <w:lang w:eastAsia="en-GB"/>
        </w:rPr>
        <w:t>)</w:t>
      </w:r>
      <w:r w:rsidRPr="00304385">
        <w:rPr>
          <w:lang w:eastAsia="en-GB"/>
        </w:rPr>
        <w:t xml:space="preserve"> In adults, there appear to be bimodal peaks in incidence around 30-39 year</w:t>
      </w:r>
      <w:r>
        <w:rPr>
          <w:lang w:eastAsia="en-GB"/>
        </w:rPr>
        <w:t>s and again between 50-69 years.</w:t>
      </w:r>
      <w:r w:rsidR="00FB1688">
        <w:rPr>
          <w:noProof/>
          <w:lang w:eastAsia="en-GB"/>
        </w:rPr>
        <w:t>(</w:t>
      </w:r>
      <w:r w:rsidR="001B4738">
        <w:rPr>
          <w:noProof/>
          <w:lang w:eastAsia="en-GB"/>
        </w:rPr>
        <w:t>8</w:t>
      </w:r>
      <w:r w:rsidR="00FB1688">
        <w:rPr>
          <w:noProof/>
          <w:lang w:eastAsia="en-GB"/>
        </w:rPr>
        <w:t>)</w:t>
      </w:r>
      <w:r>
        <w:rPr>
          <w:lang w:eastAsia="en-GB"/>
        </w:rPr>
        <w:t xml:space="preserve"> </w:t>
      </w:r>
      <w:r w:rsidRPr="00304385">
        <w:rPr>
          <w:lang w:eastAsia="en-GB"/>
        </w:rPr>
        <w:t xml:space="preserve">It is believed this reflects two types of psoriasis: type I with early-onset disease and type II with </w:t>
      </w:r>
      <w:r w:rsidRPr="003A20F9">
        <w:rPr>
          <w:noProof/>
          <w:lang w:eastAsia="en-GB"/>
        </w:rPr>
        <w:t>late</w:t>
      </w:r>
      <w:r w:rsidRPr="003A20F9">
        <w:rPr>
          <w:noProof/>
          <w:lang w:eastAsia="en-GB"/>
        </w:rPr>
        <w:noBreakHyphen/>
        <w:t>onset</w:t>
      </w:r>
      <w:r w:rsidRPr="00304385">
        <w:rPr>
          <w:lang w:eastAsia="en-GB"/>
        </w:rPr>
        <w:t xml:space="preserve"> disease. There was no </w:t>
      </w:r>
      <w:r w:rsidRPr="003A20F9">
        <w:rPr>
          <w:noProof/>
          <w:lang w:eastAsia="en-GB"/>
        </w:rPr>
        <w:t>clear</w:t>
      </w:r>
      <w:r w:rsidRPr="00304385">
        <w:rPr>
          <w:lang w:eastAsia="en-GB"/>
        </w:rPr>
        <w:t xml:space="preserve"> trend for incidence by sex in adults. </w:t>
      </w:r>
    </w:p>
    <w:p w:rsidR="00071F2B" w:rsidRPr="00304385" w:rsidRDefault="00071F2B" w:rsidP="005A1B39">
      <w:pPr>
        <w:rPr>
          <w:i/>
          <w:lang w:eastAsia="en-GB"/>
        </w:rPr>
      </w:pPr>
      <w:r w:rsidRPr="00304385">
        <w:rPr>
          <w:lang w:eastAsia="en-GB"/>
        </w:rPr>
        <w:t xml:space="preserve">Springate (2017) reported decreasing age-adjusted </w:t>
      </w:r>
      <w:r w:rsidRPr="003A20F9">
        <w:rPr>
          <w:noProof/>
          <w:lang w:eastAsia="en-GB"/>
        </w:rPr>
        <w:t>incidence</w:t>
      </w:r>
      <w:r w:rsidRPr="00304385">
        <w:rPr>
          <w:lang w:eastAsia="en-GB"/>
        </w:rPr>
        <w:t xml:space="preserve"> from 1999 to 2013 in the UK.</w:t>
      </w:r>
      <w:r w:rsidR="00FB1688">
        <w:rPr>
          <w:noProof/>
          <w:lang w:eastAsia="en-GB"/>
        </w:rPr>
        <w:t>(</w:t>
      </w:r>
      <w:r w:rsidR="001B4738">
        <w:rPr>
          <w:noProof/>
          <w:lang w:eastAsia="en-GB"/>
        </w:rPr>
        <w:t>15</w:t>
      </w:r>
      <w:r w:rsidR="00FB1688">
        <w:rPr>
          <w:noProof/>
          <w:lang w:eastAsia="en-GB"/>
        </w:rPr>
        <w:t>)</w:t>
      </w:r>
      <w:r w:rsidRPr="00304385">
        <w:rPr>
          <w:lang w:eastAsia="en-GB"/>
        </w:rPr>
        <w:t xml:space="preserve"> </w:t>
      </w:r>
      <w:r w:rsidR="005A1B39">
        <w:rPr>
          <w:lang w:eastAsia="en-GB"/>
        </w:rPr>
        <w:t>However, th</w:t>
      </w:r>
      <w:r w:rsidR="005A1B39" w:rsidRPr="00304385">
        <w:rPr>
          <w:lang w:eastAsia="en-GB"/>
        </w:rPr>
        <w:t xml:space="preserve">e two US studies reported </w:t>
      </w:r>
      <w:r w:rsidR="005A1B39" w:rsidRPr="003A20F9">
        <w:rPr>
          <w:noProof/>
          <w:lang w:eastAsia="en-GB"/>
        </w:rPr>
        <w:t>increasing</w:t>
      </w:r>
      <w:r w:rsidR="005A1B39" w:rsidRPr="00304385">
        <w:rPr>
          <w:lang w:eastAsia="en-GB"/>
        </w:rPr>
        <w:t xml:space="preserve"> incidence of psoriasis in adults and children </w:t>
      </w:r>
      <w:r w:rsidR="005A1B39">
        <w:rPr>
          <w:noProof/>
          <w:lang w:eastAsia="en-GB"/>
        </w:rPr>
        <w:t xml:space="preserve">(Icen, 2009; Tollefson, 2010) despite this trend in decreaseing age adjusted incedence. </w:t>
      </w:r>
      <w:r>
        <w:rPr>
          <w:lang w:eastAsia="en-GB"/>
        </w:rPr>
        <w:t>Given the international evidence, t</w:t>
      </w:r>
      <w:r w:rsidRPr="00394001">
        <w:rPr>
          <w:lang w:eastAsia="en-GB"/>
        </w:rPr>
        <w:t>he incidence of psoriasis may also be increasing in Australia.</w:t>
      </w:r>
      <w:r w:rsidRPr="00304385">
        <w:rPr>
          <w:i/>
          <w:lang w:eastAsia="en-GB"/>
        </w:rPr>
        <w:t xml:space="preserve"> </w:t>
      </w:r>
    </w:p>
    <w:p w:rsidR="00071F2B" w:rsidRPr="00DF0266" w:rsidRDefault="00EB6556" w:rsidP="00DF0266">
      <w:pPr>
        <w:pStyle w:val="Heading3"/>
        <w:spacing w:before="240" w:after="200"/>
        <w:rPr>
          <w:lang w:eastAsia="en-GB"/>
        </w:rPr>
      </w:pPr>
      <w:bookmarkStart w:id="34" w:name="_Toc501632366"/>
      <w:bookmarkStart w:id="35" w:name="_Toc493156391"/>
      <w:r>
        <w:rPr>
          <w:lang w:eastAsia="en-GB"/>
        </w:rPr>
        <w:t>3.2.3</w:t>
      </w:r>
      <w:r>
        <w:rPr>
          <w:lang w:eastAsia="en-GB"/>
        </w:rPr>
        <w:tab/>
      </w:r>
      <w:r w:rsidR="00071F2B" w:rsidRPr="00821369">
        <w:rPr>
          <w:lang w:eastAsia="en-GB"/>
        </w:rPr>
        <w:t xml:space="preserve">Prevalence of </w:t>
      </w:r>
      <w:r w:rsidR="004949E8">
        <w:rPr>
          <w:lang w:eastAsia="en-GB"/>
        </w:rPr>
        <w:t>CPP</w:t>
      </w:r>
      <w:bookmarkEnd w:id="34"/>
      <w:r w:rsidR="00071F2B" w:rsidRPr="00821369">
        <w:rPr>
          <w:lang w:eastAsia="en-GB"/>
        </w:rPr>
        <w:t xml:space="preserve"> </w:t>
      </w:r>
      <w:bookmarkEnd w:id="35"/>
    </w:p>
    <w:p w:rsidR="004530DF" w:rsidRPr="00304385" w:rsidRDefault="00071F2B" w:rsidP="00071F2B">
      <w:pPr>
        <w:spacing w:after="0"/>
        <w:rPr>
          <w:rFonts w:cs="Times New Roman"/>
          <w:szCs w:val="24"/>
          <w:lang w:eastAsia="en-GB"/>
        </w:rPr>
      </w:pPr>
      <w:r w:rsidRPr="00304385">
        <w:rPr>
          <w:rFonts w:cs="Times New Roman"/>
          <w:szCs w:val="24"/>
          <w:lang w:eastAsia="en-GB"/>
        </w:rPr>
        <w:t xml:space="preserve">Data on the prevalence of </w:t>
      </w:r>
      <w:r w:rsidR="004949E8">
        <w:rPr>
          <w:rFonts w:cs="Times New Roman"/>
          <w:szCs w:val="24"/>
          <w:lang w:eastAsia="en-GB"/>
        </w:rPr>
        <w:t>the CPP subtype of psoriasis</w:t>
      </w:r>
      <w:r w:rsidRPr="00304385">
        <w:rPr>
          <w:rFonts w:cs="Times New Roman"/>
          <w:szCs w:val="24"/>
          <w:lang w:eastAsia="en-GB"/>
        </w:rPr>
        <w:t xml:space="preserve"> </w:t>
      </w:r>
      <w:r w:rsidR="004949E8">
        <w:rPr>
          <w:rFonts w:cs="Times New Roman"/>
          <w:szCs w:val="24"/>
          <w:lang w:eastAsia="en-GB"/>
        </w:rPr>
        <w:t xml:space="preserve">in the broader population with psoriasis </w:t>
      </w:r>
      <w:r w:rsidRPr="00304385">
        <w:rPr>
          <w:rFonts w:cs="Times New Roman"/>
          <w:szCs w:val="24"/>
          <w:lang w:eastAsia="en-GB"/>
        </w:rPr>
        <w:t>were obtain from a number of sources</w:t>
      </w:r>
      <w:r>
        <w:rPr>
          <w:rFonts w:cs="Times New Roman"/>
          <w:szCs w:val="24"/>
          <w:lang w:eastAsia="en-GB"/>
        </w:rPr>
        <w:t xml:space="preserve"> and are presented in </w:t>
      </w:r>
      <w:r w:rsidR="0086184A">
        <w:t xml:space="preserve">Table </w:t>
      </w:r>
      <w:r w:rsidR="0086184A">
        <w:rPr>
          <w:noProof/>
        </w:rPr>
        <w:t>3</w:t>
      </w:r>
      <w:r w:rsidRPr="00304385">
        <w:rPr>
          <w:rFonts w:cs="Times New Roman"/>
          <w:szCs w:val="24"/>
          <w:lang w:eastAsia="en-GB"/>
        </w:rPr>
        <w:t xml:space="preserve">. </w:t>
      </w:r>
    </w:p>
    <w:p w:rsidR="00071F2B" w:rsidRDefault="00071F2B" w:rsidP="00743FD3">
      <w:pPr>
        <w:pStyle w:val="MDTabCaption"/>
      </w:pPr>
      <w:bookmarkStart w:id="36" w:name="_Ref492993735"/>
      <w:bookmarkStart w:id="37" w:name="_Toc501632397"/>
      <w:r>
        <w:t xml:space="preserve">Table </w:t>
      </w:r>
      <w:r w:rsidR="0086184A">
        <w:rPr>
          <w:noProof/>
        </w:rPr>
        <w:t>3</w:t>
      </w:r>
      <w:bookmarkEnd w:id="36"/>
      <w:r>
        <w:t>:</w:t>
      </w:r>
      <w:r w:rsidRPr="00461B24">
        <w:t xml:space="preserve"> </w:t>
      </w:r>
      <w:r>
        <w:t xml:space="preserve">Prevalence of </w:t>
      </w:r>
      <w:r w:rsidR="004949E8">
        <w:t>CPP</w:t>
      </w:r>
      <w:r>
        <w:t xml:space="preserve"> in psoriasis patients</w:t>
      </w:r>
      <w:bookmarkEnd w:id="37"/>
    </w:p>
    <w:tbl>
      <w:tblPr>
        <w:tblStyle w:val="TableGrid7"/>
        <w:tblpPr w:leftFromText="180" w:rightFromText="180" w:vertAnchor="text" w:horzAnchor="margin" w:tblpY="43"/>
        <w:tblW w:w="0" w:type="auto"/>
        <w:tblLook w:val="04A0" w:firstRow="1" w:lastRow="0" w:firstColumn="1" w:lastColumn="0" w:noHBand="0" w:noVBand="1"/>
        <w:tblCaption w:val="Prevalence of CPP in psoriasis patients"/>
      </w:tblPr>
      <w:tblGrid>
        <w:gridCol w:w="2251"/>
        <w:gridCol w:w="2395"/>
        <w:gridCol w:w="1030"/>
        <w:gridCol w:w="992"/>
        <w:gridCol w:w="2348"/>
      </w:tblGrid>
      <w:tr w:rsidR="00071F2B" w:rsidRPr="00304385" w:rsidTr="00071F2B">
        <w:trPr>
          <w:cantSplit/>
          <w:trHeight w:val="416"/>
          <w:tblHeader/>
        </w:trPr>
        <w:tc>
          <w:tcPr>
            <w:tcW w:w="2251" w:type="dxa"/>
            <w:tcBorders>
              <w:bottom w:val="single" w:sz="4" w:space="0" w:color="auto"/>
            </w:tcBorders>
            <w:shd w:val="clear" w:color="auto" w:fill="BFBFBF" w:themeFill="background1" w:themeFillShade="BF"/>
            <w:vAlign w:val="center"/>
          </w:tcPr>
          <w:p w:rsidR="00071F2B" w:rsidRPr="00304385" w:rsidRDefault="00071F2B" w:rsidP="00071F2B">
            <w:pPr>
              <w:autoSpaceDE w:val="0"/>
              <w:autoSpaceDN w:val="0"/>
              <w:adjustRightInd w:val="0"/>
              <w:spacing w:before="60" w:after="60"/>
              <w:rPr>
                <w:rFonts w:cs="Calibri"/>
                <w:b/>
                <w:sz w:val="20"/>
                <w:szCs w:val="20"/>
                <w:lang w:eastAsia="en-GB"/>
              </w:rPr>
            </w:pPr>
            <w:r w:rsidRPr="00304385">
              <w:rPr>
                <w:rFonts w:cs="Calibri"/>
                <w:b/>
                <w:sz w:val="20"/>
                <w:szCs w:val="20"/>
                <w:lang w:eastAsia="en-GB"/>
              </w:rPr>
              <w:t>Study</w:t>
            </w:r>
          </w:p>
        </w:tc>
        <w:tc>
          <w:tcPr>
            <w:tcW w:w="2395" w:type="dxa"/>
            <w:tcBorders>
              <w:bottom w:val="single" w:sz="4" w:space="0" w:color="auto"/>
            </w:tcBorders>
            <w:shd w:val="clear" w:color="auto" w:fill="BFBFBF" w:themeFill="background1" w:themeFillShade="BF"/>
            <w:vAlign w:val="center"/>
          </w:tcPr>
          <w:p w:rsidR="00071F2B" w:rsidRPr="00304385" w:rsidRDefault="00071F2B" w:rsidP="00071F2B">
            <w:pPr>
              <w:autoSpaceDE w:val="0"/>
              <w:autoSpaceDN w:val="0"/>
              <w:adjustRightInd w:val="0"/>
              <w:spacing w:before="60" w:after="60"/>
              <w:jc w:val="center"/>
              <w:rPr>
                <w:rFonts w:cs="Calibri"/>
                <w:b/>
                <w:sz w:val="20"/>
                <w:szCs w:val="20"/>
                <w:lang w:eastAsia="en-GB"/>
              </w:rPr>
            </w:pPr>
            <w:r w:rsidRPr="00304385">
              <w:rPr>
                <w:rFonts w:cs="Calibri"/>
                <w:b/>
                <w:sz w:val="20"/>
                <w:szCs w:val="20"/>
                <w:lang w:eastAsia="en-GB"/>
              </w:rPr>
              <w:t>Study location (date)</w:t>
            </w:r>
          </w:p>
        </w:tc>
        <w:tc>
          <w:tcPr>
            <w:tcW w:w="1030" w:type="dxa"/>
            <w:tcBorders>
              <w:bottom w:val="single" w:sz="4" w:space="0" w:color="auto"/>
            </w:tcBorders>
            <w:shd w:val="clear" w:color="auto" w:fill="BFBFBF" w:themeFill="background1" w:themeFillShade="BF"/>
          </w:tcPr>
          <w:p w:rsidR="00071F2B" w:rsidRPr="00304385" w:rsidRDefault="00071F2B" w:rsidP="00071F2B">
            <w:pPr>
              <w:autoSpaceDE w:val="0"/>
              <w:autoSpaceDN w:val="0"/>
              <w:adjustRightInd w:val="0"/>
              <w:spacing w:before="60" w:after="60"/>
              <w:jc w:val="center"/>
              <w:rPr>
                <w:rFonts w:cs="Calibri"/>
                <w:b/>
                <w:sz w:val="20"/>
                <w:szCs w:val="20"/>
                <w:lang w:eastAsia="en-GB"/>
              </w:rPr>
            </w:pPr>
            <w:r w:rsidRPr="00304385">
              <w:rPr>
                <w:rFonts w:cs="Calibri"/>
                <w:b/>
                <w:sz w:val="20"/>
                <w:szCs w:val="20"/>
                <w:lang w:eastAsia="en-GB"/>
              </w:rPr>
              <w:t>Risk of bias</w:t>
            </w:r>
          </w:p>
        </w:tc>
        <w:tc>
          <w:tcPr>
            <w:tcW w:w="992" w:type="dxa"/>
            <w:tcBorders>
              <w:bottom w:val="single" w:sz="4" w:space="0" w:color="auto"/>
            </w:tcBorders>
            <w:shd w:val="clear" w:color="auto" w:fill="BFBFBF" w:themeFill="background1" w:themeFillShade="BF"/>
            <w:vAlign w:val="center"/>
          </w:tcPr>
          <w:p w:rsidR="00071F2B" w:rsidRPr="00304385" w:rsidRDefault="00071F2B" w:rsidP="00071F2B">
            <w:pPr>
              <w:autoSpaceDE w:val="0"/>
              <w:autoSpaceDN w:val="0"/>
              <w:adjustRightInd w:val="0"/>
              <w:spacing w:before="60" w:after="60"/>
              <w:jc w:val="center"/>
              <w:rPr>
                <w:rFonts w:cs="Calibri"/>
                <w:b/>
                <w:sz w:val="20"/>
                <w:szCs w:val="20"/>
                <w:lang w:eastAsia="en-GB"/>
              </w:rPr>
            </w:pPr>
            <w:r w:rsidRPr="00304385">
              <w:rPr>
                <w:rFonts w:cs="Calibri"/>
                <w:b/>
                <w:sz w:val="20"/>
                <w:szCs w:val="20"/>
                <w:lang w:eastAsia="en-GB"/>
              </w:rPr>
              <w:t>N</w:t>
            </w:r>
          </w:p>
        </w:tc>
        <w:tc>
          <w:tcPr>
            <w:tcW w:w="2348" w:type="dxa"/>
            <w:tcBorders>
              <w:bottom w:val="single" w:sz="4" w:space="0" w:color="auto"/>
            </w:tcBorders>
            <w:shd w:val="clear" w:color="auto" w:fill="BFBFBF" w:themeFill="background1" w:themeFillShade="BF"/>
            <w:vAlign w:val="center"/>
          </w:tcPr>
          <w:p w:rsidR="00071F2B" w:rsidRPr="00304385" w:rsidRDefault="00071F2B" w:rsidP="00071F2B">
            <w:pPr>
              <w:autoSpaceDE w:val="0"/>
              <w:autoSpaceDN w:val="0"/>
              <w:adjustRightInd w:val="0"/>
              <w:spacing w:before="60" w:after="60"/>
              <w:jc w:val="center"/>
              <w:rPr>
                <w:rFonts w:cs="Calibri"/>
                <w:b/>
                <w:sz w:val="20"/>
                <w:szCs w:val="20"/>
                <w:lang w:eastAsia="en-GB"/>
              </w:rPr>
            </w:pPr>
            <w:r w:rsidRPr="00304385">
              <w:rPr>
                <w:rFonts w:cs="Calibri"/>
                <w:b/>
                <w:sz w:val="20"/>
                <w:szCs w:val="20"/>
                <w:lang w:eastAsia="en-GB"/>
              </w:rPr>
              <w:t xml:space="preserve">Proportion </w:t>
            </w:r>
            <w:r w:rsidR="00891E82">
              <w:rPr>
                <w:rFonts w:cs="Calibri"/>
                <w:b/>
                <w:sz w:val="20"/>
                <w:szCs w:val="20"/>
                <w:lang w:eastAsia="en-GB"/>
              </w:rPr>
              <w:t>CPP</w:t>
            </w:r>
            <w:r w:rsidRPr="00304385">
              <w:rPr>
                <w:rFonts w:cs="Calibri"/>
                <w:b/>
                <w:sz w:val="20"/>
                <w:szCs w:val="20"/>
                <w:lang w:eastAsia="en-GB"/>
              </w:rPr>
              <w:t xml:space="preserve"> </w:t>
            </w:r>
          </w:p>
        </w:tc>
      </w:tr>
      <w:tr w:rsidR="00071F2B" w:rsidRPr="00304385" w:rsidTr="00071F2B">
        <w:trPr>
          <w:cantSplit/>
          <w:trHeight w:val="353"/>
          <w:tblHeader/>
        </w:trPr>
        <w:tc>
          <w:tcPr>
            <w:tcW w:w="2251" w:type="dxa"/>
            <w:tcBorders>
              <w:right w:val="nil"/>
            </w:tcBorders>
            <w:vAlign w:val="center"/>
          </w:tcPr>
          <w:p w:rsidR="00071F2B" w:rsidRPr="00304385" w:rsidRDefault="00071F2B" w:rsidP="00071F2B">
            <w:pPr>
              <w:spacing w:beforeLines="60" w:before="144" w:afterLines="60" w:after="144"/>
              <w:contextualSpacing/>
              <w:rPr>
                <w:rFonts w:cs="Times New Roman"/>
                <w:b/>
                <w:sz w:val="20"/>
                <w:szCs w:val="20"/>
                <w:lang w:eastAsia="en-GB"/>
              </w:rPr>
            </w:pPr>
            <w:r w:rsidRPr="00304385">
              <w:rPr>
                <w:rFonts w:cs="Times New Roman"/>
                <w:b/>
                <w:sz w:val="20"/>
                <w:szCs w:val="20"/>
                <w:lang w:eastAsia="en-GB"/>
              </w:rPr>
              <w:t>Adults</w:t>
            </w:r>
          </w:p>
        </w:tc>
        <w:tc>
          <w:tcPr>
            <w:tcW w:w="2395" w:type="dxa"/>
            <w:tcBorders>
              <w:left w:val="nil"/>
              <w:right w:val="nil"/>
            </w:tcBorders>
            <w:vAlign w:val="center"/>
          </w:tcPr>
          <w:p w:rsidR="00071F2B" w:rsidRPr="00304385" w:rsidRDefault="00071F2B" w:rsidP="00071F2B">
            <w:pPr>
              <w:autoSpaceDE w:val="0"/>
              <w:autoSpaceDN w:val="0"/>
              <w:adjustRightInd w:val="0"/>
              <w:spacing w:beforeLines="60" w:before="144" w:afterLines="60" w:after="144"/>
              <w:contextualSpacing/>
              <w:jc w:val="center"/>
              <w:rPr>
                <w:rFonts w:cs="Calibri"/>
                <w:sz w:val="20"/>
                <w:szCs w:val="20"/>
                <w:lang w:eastAsia="en-GB"/>
              </w:rPr>
            </w:pPr>
          </w:p>
        </w:tc>
        <w:tc>
          <w:tcPr>
            <w:tcW w:w="1030" w:type="dxa"/>
            <w:tcBorders>
              <w:left w:val="nil"/>
              <w:right w:val="nil"/>
            </w:tcBorders>
            <w:vAlign w:val="center"/>
          </w:tcPr>
          <w:p w:rsidR="00071F2B" w:rsidRPr="00304385" w:rsidRDefault="00071F2B" w:rsidP="00071F2B">
            <w:pPr>
              <w:autoSpaceDE w:val="0"/>
              <w:autoSpaceDN w:val="0"/>
              <w:adjustRightInd w:val="0"/>
              <w:spacing w:beforeLines="60" w:before="144" w:afterLines="60" w:after="144"/>
              <w:contextualSpacing/>
              <w:jc w:val="center"/>
              <w:rPr>
                <w:rFonts w:cs="Calibri"/>
                <w:sz w:val="20"/>
                <w:szCs w:val="20"/>
                <w:lang w:eastAsia="en-GB"/>
              </w:rPr>
            </w:pPr>
          </w:p>
        </w:tc>
        <w:tc>
          <w:tcPr>
            <w:tcW w:w="992" w:type="dxa"/>
            <w:tcBorders>
              <w:left w:val="nil"/>
              <w:right w:val="nil"/>
            </w:tcBorders>
            <w:vAlign w:val="center"/>
          </w:tcPr>
          <w:p w:rsidR="00071F2B" w:rsidRPr="00304385" w:rsidRDefault="00071F2B" w:rsidP="00071F2B">
            <w:pPr>
              <w:autoSpaceDE w:val="0"/>
              <w:autoSpaceDN w:val="0"/>
              <w:adjustRightInd w:val="0"/>
              <w:spacing w:beforeLines="60" w:before="144" w:afterLines="60" w:after="144"/>
              <w:contextualSpacing/>
              <w:jc w:val="center"/>
              <w:rPr>
                <w:rFonts w:cs="Calibri"/>
                <w:sz w:val="20"/>
                <w:szCs w:val="20"/>
                <w:lang w:eastAsia="en-GB"/>
              </w:rPr>
            </w:pPr>
          </w:p>
        </w:tc>
        <w:tc>
          <w:tcPr>
            <w:tcW w:w="2348" w:type="dxa"/>
            <w:tcBorders>
              <w:left w:val="nil"/>
            </w:tcBorders>
            <w:vAlign w:val="center"/>
          </w:tcPr>
          <w:p w:rsidR="00071F2B" w:rsidRPr="00304385" w:rsidRDefault="00071F2B" w:rsidP="00071F2B">
            <w:pPr>
              <w:autoSpaceDE w:val="0"/>
              <w:autoSpaceDN w:val="0"/>
              <w:adjustRightInd w:val="0"/>
              <w:spacing w:beforeLines="60" w:before="144" w:afterLines="60" w:after="144"/>
              <w:contextualSpacing/>
              <w:jc w:val="center"/>
              <w:rPr>
                <w:rFonts w:cs="Calibri"/>
                <w:sz w:val="20"/>
                <w:szCs w:val="20"/>
                <w:lang w:eastAsia="en-GB"/>
              </w:rPr>
            </w:pPr>
          </w:p>
        </w:tc>
      </w:tr>
      <w:tr w:rsidR="00071F2B" w:rsidRPr="00304385" w:rsidTr="00071F2B">
        <w:trPr>
          <w:cantSplit/>
          <w:trHeight w:val="353"/>
          <w:tblHeader/>
        </w:trPr>
        <w:tc>
          <w:tcPr>
            <w:tcW w:w="2251" w:type="dxa"/>
            <w:vAlign w:val="center"/>
          </w:tcPr>
          <w:p w:rsidR="00071F2B" w:rsidRPr="00304385" w:rsidRDefault="00071F2B" w:rsidP="001B4738">
            <w:pPr>
              <w:spacing w:beforeLines="60" w:before="144" w:afterLines="60" w:after="144"/>
              <w:contextualSpacing/>
              <w:rPr>
                <w:rFonts w:cs="Times New Roman"/>
                <w:sz w:val="20"/>
                <w:szCs w:val="20"/>
                <w:lang w:eastAsia="en-GB"/>
              </w:rPr>
            </w:pPr>
            <w:r>
              <w:rPr>
                <w:rFonts w:cs="Times New Roman"/>
                <w:noProof/>
                <w:sz w:val="20"/>
                <w:szCs w:val="20"/>
                <w:lang w:eastAsia="en-GB"/>
              </w:rPr>
              <w:t xml:space="preserve">Icen (2009) </w:t>
            </w:r>
            <w:r w:rsidR="00FB1688">
              <w:rPr>
                <w:rFonts w:cs="Times New Roman"/>
                <w:noProof/>
                <w:sz w:val="20"/>
                <w:szCs w:val="20"/>
                <w:lang w:eastAsia="en-GB"/>
              </w:rPr>
              <w:t>(</w:t>
            </w:r>
            <w:r w:rsidR="001B4738">
              <w:rPr>
                <w:rFonts w:cs="Times New Roman"/>
                <w:noProof/>
                <w:sz w:val="20"/>
                <w:szCs w:val="20"/>
                <w:lang w:eastAsia="en-GB"/>
              </w:rPr>
              <w:t>13</w:t>
            </w:r>
            <w:r w:rsidR="00FB1688">
              <w:rPr>
                <w:rFonts w:cs="Times New Roman"/>
                <w:noProof/>
                <w:sz w:val="20"/>
                <w:szCs w:val="20"/>
                <w:lang w:eastAsia="en-GB"/>
              </w:rPr>
              <w:t>)</w:t>
            </w:r>
          </w:p>
        </w:tc>
        <w:tc>
          <w:tcPr>
            <w:tcW w:w="2395" w:type="dxa"/>
            <w:vAlign w:val="center"/>
          </w:tcPr>
          <w:p w:rsidR="00071F2B" w:rsidRPr="00304385" w:rsidRDefault="00071F2B" w:rsidP="00071F2B">
            <w:pPr>
              <w:autoSpaceDE w:val="0"/>
              <w:autoSpaceDN w:val="0"/>
              <w:adjustRightInd w:val="0"/>
              <w:spacing w:beforeLines="60" w:before="144" w:afterLines="60" w:after="144"/>
              <w:contextualSpacing/>
              <w:jc w:val="center"/>
              <w:rPr>
                <w:rFonts w:cs="Calibri"/>
                <w:sz w:val="20"/>
                <w:szCs w:val="20"/>
                <w:lang w:eastAsia="en-GB"/>
              </w:rPr>
            </w:pPr>
            <w:r w:rsidRPr="00304385">
              <w:rPr>
                <w:rFonts w:cs="Calibri"/>
                <w:sz w:val="20"/>
                <w:szCs w:val="20"/>
                <w:lang w:eastAsia="en-GB"/>
              </w:rPr>
              <w:t xml:space="preserve">USA </w:t>
            </w:r>
            <w:r w:rsidRPr="00304385">
              <w:rPr>
                <w:rFonts w:cs="Calibri"/>
                <w:sz w:val="20"/>
                <w:szCs w:val="20"/>
                <w:lang w:eastAsia="en-GB"/>
              </w:rPr>
              <w:br/>
              <w:t>(1970-1999)</w:t>
            </w:r>
          </w:p>
        </w:tc>
        <w:tc>
          <w:tcPr>
            <w:tcW w:w="1030" w:type="dxa"/>
            <w:vAlign w:val="center"/>
          </w:tcPr>
          <w:p w:rsidR="00071F2B" w:rsidRPr="00304385" w:rsidRDefault="00071F2B" w:rsidP="00071F2B">
            <w:pPr>
              <w:autoSpaceDE w:val="0"/>
              <w:autoSpaceDN w:val="0"/>
              <w:adjustRightInd w:val="0"/>
              <w:spacing w:beforeLines="60" w:before="144" w:afterLines="60" w:after="144"/>
              <w:contextualSpacing/>
              <w:jc w:val="center"/>
              <w:rPr>
                <w:rFonts w:cs="Calibri"/>
                <w:sz w:val="20"/>
                <w:szCs w:val="20"/>
                <w:lang w:eastAsia="en-GB"/>
              </w:rPr>
            </w:pPr>
            <w:r w:rsidRPr="00304385">
              <w:rPr>
                <w:rFonts w:cs="Calibri"/>
                <w:sz w:val="20"/>
                <w:szCs w:val="20"/>
                <w:lang w:eastAsia="en-GB"/>
              </w:rPr>
              <w:t>Low</w:t>
            </w:r>
          </w:p>
        </w:tc>
        <w:tc>
          <w:tcPr>
            <w:tcW w:w="992" w:type="dxa"/>
            <w:vAlign w:val="center"/>
          </w:tcPr>
          <w:p w:rsidR="00071F2B" w:rsidRPr="00304385" w:rsidRDefault="00071F2B" w:rsidP="00071F2B">
            <w:pPr>
              <w:autoSpaceDE w:val="0"/>
              <w:autoSpaceDN w:val="0"/>
              <w:adjustRightInd w:val="0"/>
              <w:spacing w:beforeLines="60" w:before="144" w:afterLines="60" w:after="144"/>
              <w:contextualSpacing/>
              <w:jc w:val="center"/>
              <w:rPr>
                <w:rFonts w:cs="Calibri"/>
                <w:sz w:val="20"/>
                <w:szCs w:val="20"/>
                <w:lang w:eastAsia="en-GB"/>
              </w:rPr>
            </w:pPr>
            <w:r w:rsidRPr="00304385">
              <w:rPr>
                <w:rFonts w:cs="Calibri"/>
                <w:sz w:val="20"/>
                <w:szCs w:val="20"/>
                <w:lang w:eastAsia="en-GB"/>
              </w:rPr>
              <w:t>1,633</w:t>
            </w:r>
          </w:p>
        </w:tc>
        <w:tc>
          <w:tcPr>
            <w:tcW w:w="2348" w:type="dxa"/>
            <w:vAlign w:val="center"/>
          </w:tcPr>
          <w:p w:rsidR="00071F2B" w:rsidRPr="00304385" w:rsidRDefault="00071F2B" w:rsidP="00071F2B">
            <w:pPr>
              <w:autoSpaceDE w:val="0"/>
              <w:autoSpaceDN w:val="0"/>
              <w:adjustRightInd w:val="0"/>
              <w:spacing w:beforeLines="60" w:before="144" w:afterLines="60" w:after="144"/>
              <w:contextualSpacing/>
              <w:jc w:val="center"/>
              <w:rPr>
                <w:rFonts w:cs="Calibri"/>
                <w:sz w:val="20"/>
                <w:szCs w:val="20"/>
                <w:lang w:eastAsia="en-GB"/>
              </w:rPr>
            </w:pPr>
            <w:r w:rsidRPr="00304385">
              <w:rPr>
                <w:rFonts w:cs="Calibri"/>
                <w:sz w:val="20"/>
                <w:szCs w:val="20"/>
                <w:lang w:eastAsia="en-GB"/>
              </w:rPr>
              <w:t xml:space="preserve">79% </w:t>
            </w:r>
          </w:p>
        </w:tc>
      </w:tr>
      <w:tr w:rsidR="00071F2B" w:rsidRPr="00304385" w:rsidTr="00071F2B">
        <w:trPr>
          <w:cantSplit/>
          <w:trHeight w:val="353"/>
          <w:tblHeader/>
        </w:trPr>
        <w:tc>
          <w:tcPr>
            <w:tcW w:w="2251" w:type="dxa"/>
            <w:vAlign w:val="center"/>
          </w:tcPr>
          <w:p w:rsidR="00071F2B" w:rsidRPr="00304385" w:rsidRDefault="00071F2B" w:rsidP="001B4738">
            <w:pPr>
              <w:spacing w:beforeLines="60" w:before="144" w:afterLines="60" w:after="144"/>
              <w:contextualSpacing/>
              <w:rPr>
                <w:rFonts w:cs="Times New Roman"/>
                <w:sz w:val="20"/>
                <w:szCs w:val="20"/>
                <w:lang w:eastAsia="en-GB"/>
              </w:rPr>
            </w:pPr>
            <w:r>
              <w:rPr>
                <w:rFonts w:cs="Times New Roman"/>
                <w:noProof/>
                <w:sz w:val="20"/>
                <w:szCs w:val="20"/>
                <w:lang w:eastAsia="en-GB"/>
              </w:rPr>
              <w:t xml:space="preserve">Schafer (2011) </w:t>
            </w:r>
            <w:r w:rsidR="00FB1688">
              <w:rPr>
                <w:rFonts w:cs="Times New Roman"/>
                <w:noProof/>
                <w:sz w:val="20"/>
                <w:szCs w:val="20"/>
                <w:lang w:eastAsia="en-GB"/>
              </w:rPr>
              <w:t>(</w:t>
            </w:r>
            <w:r w:rsidR="001B4738">
              <w:rPr>
                <w:rFonts w:cs="Times New Roman"/>
                <w:noProof/>
                <w:sz w:val="20"/>
                <w:szCs w:val="20"/>
                <w:lang w:eastAsia="en-GB"/>
              </w:rPr>
              <w:t>16</w:t>
            </w:r>
            <w:r w:rsidR="00FB1688">
              <w:rPr>
                <w:rFonts w:cs="Times New Roman"/>
                <w:noProof/>
                <w:sz w:val="20"/>
                <w:szCs w:val="20"/>
                <w:lang w:eastAsia="en-GB"/>
              </w:rPr>
              <w:t>)</w:t>
            </w:r>
          </w:p>
        </w:tc>
        <w:tc>
          <w:tcPr>
            <w:tcW w:w="2395" w:type="dxa"/>
            <w:vAlign w:val="center"/>
          </w:tcPr>
          <w:p w:rsidR="00071F2B" w:rsidRPr="00304385" w:rsidRDefault="00071F2B" w:rsidP="00071F2B">
            <w:pPr>
              <w:autoSpaceDE w:val="0"/>
              <w:autoSpaceDN w:val="0"/>
              <w:adjustRightInd w:val="0"/>
              <w:spacing w:beforeLines="60" w:before="144" w:afterLines="60" w:after="144"/>
              <w:contextualSpacing/>
              <w:jc w:val="center"/>
              <w:rPr>
                <w:rFonts w:cs="Calibri"/>
                <w:sz w:val="20"/>
                <w:szCs w:val="20"/>
                <w:lang w:eastAsia="en-GB"/>
              </w:rPr>
            </w:pPr>
            <w:r w:rsidRPr="00304385">
              <w:rPr>
                <w:rFonts w:cs="Calibri"/>
                <w:sz w:val="20"/>
                <w:szCs w:val="20"/>
                <w:lang w:eastAsia="en-GB"/>
              </w:rPr>
              <w:t>Germany (2005)</w:t>
            </w:r>
          </w:p>
        </w:tc>
        <w:tc>
          <w:tcPr>
            <w:tcW w:w="1030" w:type="dxa"/>
            <w:vAlign w:val="center"/>
          </w:tcPr>
          <w:p w:rsidR="00071F2B" w:rsidRPr="00304385" w:rsidRDefault="00071F2B" w:rsidP="00071F2B">
            <w:pPr>
              <w:autoSpaceDE w:val="0"/>
              <w:autoSpaceDN w:val="0"/>
              <w:adjustRightInd w:val="0"/>
              <w:spacing w:beforeLines="60" w:before="144" w:afterLines="60" w:after="144"/>
              <w:contextualSpacing/>
              <w:jc w:val="center"/>
              <w:rPr>
                <w:rFonts w:cs="Calibri"/>
                <w:sz w:val="20"/>
                <w:szCs w:val="20"/>
                <w:lang w:eastAsia="en-GB"/>
              </w:rPr>
            </w:pPr>
            <w:r w:rsidRPr="00304385">
              <w:rPr>
                <w:rFonts w:cs="Calibri"/>
                <w:sz w:val="20"/>
                <w:szCs w:val="20"/>
                <w:lang w:eastAsia="en-GB"/>
              </w:rPr>
              <w:t>Low</w:t>
            </w:r>
          </w:p>
        </w:tc>
        <w:tc>
          <w:tcPr>
            <w:tcW w:w="992" w:type="dxa"/>
            <w:vAlign w:val="center"/>
          </w:tcPr>
          <w:p w:rsidR="00071F2B" w:rsidRPr="00304385" w:rsidRDefault="00071F2B" w:rsidP="00071F2B">
            <w:pPr>
              <w:autoSpaceDE w:val="0"/>
              <w:autoSpaceDN w:val="0"/>
              <w:adjustRightInd w:val="0"/>
              <w:spacing w:beforeLines="60" w:before="144" w:afterLines="60" w:after="144"/>
              <w:contextualSpacing/>
              <w:jc w:val="center"/>
              <w:rPr>
                <w:rFonts w:cs="Calibri"/>
                <w:sz w:val="20"/>
                <w:szCs w:val="20"/>
                <w:lang w:eastAsia="en-GB"/>
              </w:rPr>
            </w:pPr>
            <w:r w:rsidRPr="00304385">
              <w:rPr>
                <w:rFonts w:cs="Calibri"/>
                <w:sz w:val="20"/>
                <w:szCs w:val="20"/>
                <w:lang w:eastAsia="en-GB"/>
              </w:rPr>
              <w:t>24,509</w:t>
            </w:r>
          </w:p>
        </w:tc>
        <w:tc>
          <w:tcPr>
            <w:tcW w:w="2348" w:type="dxa"/>
            <w:vAlign w:val="center"/>
          </w:tcPr>
          <w:p w:rsidR="00071F2B" w:rsidRPr="00304385" w:rsidRDefault="00071F2B" w:rsidP="00071F2B">
            <w:pPr>
              <w:autoSpaceDE w:val="0"/>
              <w:autoSpaceDN w:val="0"/>
              <w:adjustRightInd w:val="0"/>
              <w:spacing w:beforeLines="60" w:before="144" w:afterLines="60" w:after="144"/>
              <w:contextualSpacing/>
              <w:jc w:val="center"/>
              <w:rPr>
                <w:rFonts w:cs="Calibri"/>
                <w:sz w:val="20"/>
                <w:szCs w:val="20"/>
                <w:lang w:eastAsia="en-GB"/>
              </w:rPr>
            </w:pPr>
            <w:r w:rsidRPr="00304385">
              <w:rPr>
                <w:rFonts w:cs="Calibri"/>
                <w:sz w:val="20"/>
                <w:szCs w:val="20"/>
                <w:lang w:eastAsia="en-GB"/>
              </w:rPr>
              <w:t>58%</w:t>
            </w:r>
          </w:p>
        </w:tc>
      </w:tr>
      <w:tr w:rsidR="00071F2B" w:rsidRPr="00304385" w:rsidTr="00071F2B">
        <w:trPr>
          <w:cantSplit/>
          <w:trHeight w:val="353"/>
          <w:tblHeader/>
        </w:trPr>
        <w:tc>
          <w:tcPr>
            <w:tcW w:w="2251" w:type="dxa"/>
            <w:vAlign w:val="center"/>
          </w:tcPr>
          <w:p w:rsidR="00071F2B" w:rsidRPr="00304385" w:rsidRDefault="00071F2B" w:rsidP="001B4738">
            <w:pPr>
              <w:spacing w:beforeLines="60" w:before="144" w:afterLines="60" w:after="144"/>
              <w:contextualSpacing/>
              <w:rPr>
                <w:rFonts w:cs="Times New Roman"/>
                <w:sz w:val="20"/>
                <w:szCs w:val="20"/>
                <w:lang w:eastAsia="en-GB"/>
              </w:rPr>
            </w:pPr>
            <w:r>
              <w:rPr>
                <w:rFonts w:cs="Times New Roman"/>
                <w:noProof/>
                <w:sz w:val="20"/>
                <w:szCs w:val="20"/>
                <w:lang w:eastAsia="en-GB"/>
              </w:rPr>
              <w:t xml:space="preserve">Merola (2016) </w:t>
            </w:r>
            <w:r w:rsidR="00FB1688">
              <w:rPr>
                <w:rFonts w:cs="Times New Roman"/>
                <w:noProof/>
                <w:sz w:val="20"/>
                <w:szCs w:val="20"/>
                <w:lang w:eastAsia="en-GB"/>
              </w:rPr>
              <w:t>(</w:t>
            </w:r>
            <w:r w:rsidR="001B4738">
              <w:rPr>
                <w:rFonts w:cs="Times New Roman"/>
                <w:noProof/>
                <w:sz w:val="20"/>
                <w:szCs w:val="20"/>
                <w:lang w:eastAsia="en-GB"/>
              </w:rPr>
              <w:t>17</w:t>
            </w:r>
            <w:r w:rsidR="00FB1688">
              <w:rPr>
                <w:rFonts w:cs="Times New Roman"/>
                <w:noProof/>
                <w:sz w:val="20"/>
                <w:szCs w:val="20"/>
                <w:lang w:eastAsia="en-GB"/>
              </w:rPr>
              <w:t>)</w:t>
            </w:r>
          </w:p>
        </w:tc>
        <w:tc>
          <w:tcPr>
            <w:tcW w:w="2395" w:type="dxa"/>
            <w:vAlign w:val="center"/>
          </w:tcPr>
          <w:p w:rsidR="00071F2B" w:rsidRPr="00304385" w:rsidRDefault="00071F2B" w:rsidP="00071F2B">
            <w:pPr>
              <w:autoSpaceDE w:val="0"/>
              <w:autoSpaceDN w:val="0"/>
              <w:adjustRightInd w:val="0"/>
              <w:spacing w:beforeLines="60" w:before="144" w:afterLines="60" w:after="144"/>
              <w:contextualSpacing/>
              <w:jc w:val="center"/>
              <w:rPr>
                <w:rFonts w:cs="Calibri"/>
                <w:sz w:val="20"/>
                <w:szCs w:val="20"/>
                <w:lang w:eastAsia="en-GB"/>
              </w:rPr>
            </w:pPr>
            <w:r w:rsidRPr="00304385">
              <w:rPr>
                <w:rFonts w:cs="Calibri"/>
                <w:sz w:val="20"/>
                <w:szCs w:val="20"/>
                <w:lang w:eastAsia="en-GB"/>
              </w:rPr>
              <w:t>USA (2005,2008)</w:t>
            </w:r>
          </w:p>
        </w:tc>
        <w:tc>
          <w:tcPr>
            <w:tcW w:w="1030" w:type="dxa"/>
            <w:vAlign w:val="center"/>
          </w:tcPr>
          <w:p w:rsidR="00071F2B" w:rsidRPr="00304385" w:rsidRDefault="00071F2B" w:rsidP="00071F2B">
            <w:pPr>
              <w:autoSpaceDE w:val="0"/>
              <w:autoSpaceDN w:val="0"/>
              <w:adjustRightInd w:val="0"/>
              <w:spacing w:beforeLines="60" w:before="144" w:afterLines="60" w:after="144"/>
              <w:contextualSpacing/>
              <w:jc w:val="center"/>
              <w:rPr>
                <w:rFonts w:cs="Calibri"/>
                <w:sz w:val="20"/>
                <w:szCs w:val="20"/>
                <w:lang w:eastAsia="en-GB"/>
              </w:rPr>
            </w:pPr>
            <w:r w:rsidRPr="00304385">
              <w:rPr>
                <w:rFonts w:cs="Calibri"/>
                <w:sz w:val="20"/>
                <w:szCs w:val="20"/>
                <w:lang w:eastAsia="en-GB"/>
              </w:rPr>
              <w:t>Moderate</w:t>
            </w:r>
          </w:p>
        </w:tc>
        <w:tc>
          <w:tcPr>
            <w:tcW w:w="992" w:type="dxa"/>
            <w:vAlign w:val="center"/>
          </w:tcPr>
          <w:p w:rsidR="00071F2B" w:rsidRPr="00304385" w:rsidRDefault="00071F2B" w:rsidP="00071F2B">
            <w:pPr>
              <w:autoSpaceDE w:val="0"/>
              <w:autoSpaceDN w:val="0"/>
              <w:adjustRightInd w:val="0"/>
              <w:spacing w:beforeLines="60" w:before="144" w:afterLines="60" w:after="144"/>
              <w:contextualSpacing/>
              <w:jc w:val="center"/>
              <w:rPr>
                <w:rFonts w:cs="Calibri"/>
                <w:sz w:val="20"/>
                <w:szCs w:val="20"/>
                <w:lang w:eastAsia="en-GB"/>
              </w:rPr>
            </w:pPr>
            <w:r w:rsidRPr="00304385">
              <w:rPr>
                <w:rFonts w:cs="Calibri"/>
                <w:sz w:val="20"/>
                <w:szCs w:val="20"/>
                <w:lang w:eastAsia="en-GB"/>
              </w:rPr>
              <w:t>3,825</w:t>
            </w:r>
          </w:p>
        </w:tc>
        <w:tc>
          <w:tcPr>
            <w:tcW w:w="2348" w:type="dxa"/>
            <w:vAlign w:val="center"/>
          </w:tcPr>
          <w:p w:rsidR="00071F2B" w:rsidRPr="00304385" w:rsidRDefault="00071F2B" w:rsidP="00071F2B">
            <w:pPr>
              <w:autoSpaceDE w:val="0"/>
              <w:autoSpaceDN w:val="0"/>
              <w:adjustRightInd w:val="0"/>
              <w:spacing w:beforeLines="60" w:before="144" w:afterLines="60" w:after="144"/>
              <w:contextualSpacing/>
              <w:jc w:val="center"/>
              <w:rPr>
                <w:rFonts w:cs="Calibri"/>
                <w:sz w:val="20"/>
                <w:szCs w:val="20"/>
                <w:lang w:eastAsia="en-GB"/>
              </w:rPr>
            </w:pPr>
            <w:r w:rsidRPr="00304385">
              <w:rPr>
                <w:rFonts w:cs="Calibri"/>
                <w:sz w:val="20"/>
                <w:szCs w:val="20"/>
                <w:lang w:eastAsia="en-GB"/>
              </w:rPr>
              <w:t>57%</w:t>
            </w:r>
          </w:p>
        </w:tc>
      </w:tr>
      <w:tr w:rsidR="00071F2B" w:rsidRPr="007948D9" w:rsidTr="00071F2B">
        <w:trPr>
          <w:cantSplit/>
          <w:trHeight w:val="353"/>
          <w:tblHeader/>
        </w:trPr>
        <w:tc>
          <w:tcPr>
            <w:tcW w:w="2251" w:type="dxa"/>
            <w:vAlign w:val="center"/>
          </w:tcPr>
          <w:p w:rsidR="00071F2B" w:rsidRPr="008355BB" w:rsidRDefault="00071F2B" w:rsidP="001B4738">
            <w:pPr>
              <w:spacing w:beforeLines="60" w:before="144" w:afterLines="60" w:after="144"/>
              <w:contextualSpacing/>
              <w:rPr>
                <w:rFonts w:cs="Times New Roman"/>
                <w:sz w:val="20"/>
                <w:szCs w:val="20"/>
                <w:lang w:eastAsia="en-GB"/>
              </w:rPr>
            </w:pPr>
            <w:r w:rsidRPr="008355BB">
              <w:rPr>
                <w:rFonts w:cs="Times New Roman"/>
                <w:noProof/>
                <w:sz w:val="20"/>
                <w:szCs w:val="20"/>
                <w:lang w:eastAsia="en-GB"/>
              </w:rPr>
              <w:t xml:space="preserve">Baker (2013) </w:t>
            </w:r>
            <w:r w:rsidR="00FB1688" w:rsidRPr="008355BB">
              <w:rPr>
                <w:rFonts w:cs="Times New Roman"/>
                <w:noProof/>
                <w:sz w:val="20"/>
                <w:szCs w:val="20"/>
                <w:lang w:eastAsia="en-GB"/>
              </w:rPr>
              <w:t>(</w:t>
            </w:r>
            <w:r w:rsidR="001B4738" w:rsidRPr="008355BB">
              <w:rPr>
                <w:rFonts w:cs="Times New Roman"/>
                <w:noProof/>
                <w:sz w:val="20"/>
                <w:szCs w:val="20"/>
                <w:lang w:eastAsia="en-GB"/>
              </w:rPr>
              <w:t>18</w:t>
            </w:r>
            <w:r w:rsidR="00FB1688" w:rsidRPr="008355BB">
              <w:rPr>
                <w:rFonts w:cs="Times New Roman"/>
                <w:noProof/>
                <w:sz w:val="20"/>
                <w:szCs w:val="20"/>
                <w:lang w:eastAsia="en-GB"/>
              </w:rPr>
              <w:t>)</w:t>
            </w:r>
          </w:p>
        </w:tc>
        <w:tc>
          <w:tcPr>
            <w:tcW w:w="2395" w:type="dxa"/>
            <w:vAlign w:val="center"/>
          </w:tcPr>
          <w:p w:rsidR="00071F2B" w:rsidRPr="008355BB" w:rsidRDefault="00071F2B" w:rsidP="00071F2B">
            <w:pPr>
              <w:autoSpaceDE w:val="0"/>
              <w:autoSpaceDN w:val="0"/>
              <w:adjustRightInd w:val="0"/>
              <w:spacing w:beforeLines="60" w:before="144" w:afterLines="60" w:after="144"/>
              <w:contextualSpacing/>
              <w:jc w:val="center"/>
              <w:rPr>
                <w:rFonts w:cs="Calibri"/>
                <w:sz w:val="20"/>
                <w:szCs w:val="20"/>
                <w:lang w:eastAsia="en-GB"/>
              </w:rPr>
            </w:pPr>
            <w:r w:rsidRPr="008355BB">
              <w:rPr>
                <w:rFonts w:cs="Calibri"/>
                <w:sz w:val="20"/>
                <w:szCs w:val="20"/>
                <w:lang w:eastAsia="en-GB"/>
              </w:rPr>
              <w:t>Australia (2011)</w:t>
            </w:r>
          </w:p>
        </w:tc>
        <w:tc>
          <w:tcPr>
            <w:tcW w:w="1030" w:type="dxa"/>
            <w:vAlign w:val="center"/>
          </w:tcPr>
          <w:p w:rsidR="00071F2B" w:rsidRPr="008355BB" w:rsidRDefault="00071F2B" w:rsidP="00071F2B">
            <w:pPr>
              <w:autoSpaceDE w:val="0"/>
              <w:autoSpaceDN w:val="0"/>
              <w:adjustRightInd w:val="0"/>
              <w:spacing w:beforeLines="60" w:before="144" w:afterLines="60" w:after="144"/>
              <w:contextualSpacing/>
              <w:jc w:val="center"/>
              <w:rPr>
                <w:rFonts w:cs="Calibri"/>
                <w:sz w:val="20"/>
                <w:szCs w:val="20"/>
                <w:lang w:eastAsia="en-GB"/>
              </w:rPr>
            </w:pPr>
            <w:r w:rsidRPr="008355BB">
              <w:rPr>
                <w:rFonts w:cs="Calibri"/>
                <w:sz w:val="20"/>
                <w:szCs w:val="20"/>
                <w:lang w:eastAsia="en-GB"/>
              </w:rPr>
              <w:t>Unclear</w:t>
            </w:r>
          </w:p>
        </w:tc>
        <w:tc>
          <w:tcPr>
            <w:tcW w:w="992" w:type="dxa"/>
            <w:vAlign w:val="center"/>
          </w:tcPr>
          <w:p w:rsidR="00071F2B" w:rsidRPr="008355BB" w:rsidRDefault="00071F2B" w:rsidP="00071F2B">
            <w:pPr>
              <w:autoSpaceDE w:val="0"/>
              <w:autoSpaceDN w:val="0"/>
              <w:adjustRightInd w:val="0"/>
              <w:spacing w:beforeLines="60" w:before="144" w:afterLines="60" w:after="144"/>
              <w:contextualSpacing/>
              <w:jc w:val="center"/>
              <w:rPr>
                <w:rFonts w:cs="Calibri"/>
                <w:sz w:val="20"/>
                <w:szCs w:val="20"/>
                <w:vertAlign w:val="superscript"/>
                <w:lang w:eastAsia="en-GB"/>
              </w:rPr>
            </w:pPr>
            <w:r w:rsidRPr="008355BB">
              <w:rPr>
                <w:rFonts w:cs="Calibri"/>
                <w:sz w:val="20"/>
                <w:szCs w:val="20"/>
                <w:lang w:eastAsia="en-GB"/>
              </w:rPr>
              <w:t xml:space="preserve">228 </w:t>
            </w:r>
            <w:r w:rsidRPr="008355BB">
              <w:rPr>
                <w:rFonts w:cs="Calibri"/>
                <w:sz w:val="20"/>
                <w:szCs w:val="20"/>
                <w:vertAlign w:val="superscript"/>
                <w:lang w:eastAsia="en-GB"/>
              </w:rPr>
              <w:t>a</w:t>
            </w:r>
          </w:p>
        </w:tc>
        <w:tc>
          <w:tcPr>
            <w:tcW w:w="2348" w:type="dxa"/>
            <w:vAlign w:val="center"/>
          </w:tcPr>
          <w:p w:rsidR="00071F2B" w:rsidRPr="008355BB" w:rsidRDefault="00071F2B" w:rsidP="00071F2B">
            <w:pPr>
              <w:autoSpaceDE w:val="0"/>
              <w:autoSpaceDN w:val="0"/>
              <w:adjustRightInd w:val="0"/>
              <w:spacing w:beforeLines="60" w:before="144" w:afterLines="60" w:after="144"/>
              <w:contextualSpacing/>
              <w:jc w:val="center"/>
              <w:rPr>
                <w:rFonts w:cs="Calibri"/>
                <w:sz w:val="20"/>
                <w:szCs w:val="20"/>
                <w:lang w:eastAsia="en-GB"/>
              </w:rPr>
            </w:pPr>
            <w:r w:rsidRPr="008355BB">
              <w:rPr>
                <w:rFonts w:cs="Calibri"/>
                <w:sz w:val="20"/>
                <w:szCs w:val="20"/>
                <w:lang w:eastAsia="en-GB"/>
              </w:rPr>
              <w:t>77%</w:t>
            </w:r>
          </w:p>
        </w:tc>
      </w:tr>
      <w:tr w:rsidR="00071F2B" w:rsidRPr="00304385" w:rsidTr="00071F2B">
        <w:trPr>
          <w:cantSplit/>
          <w:trHeight w:val="353"/>
          <w:tblHeader/>
        </w:trPr>
        <w:tc>
          <w:tcPr>
            <w:tcW w:w="2251" w:type="dxa"/>
            <w:vAlign w:val="center"/>
          </w:tcPr>
          <w:p w:rsidR="00071F2B" w:rsidRPr="00304385" w:rsidRDefault="00071F2B" w:rsidP="001B4738">
            <w:pPr>
              <w:spacing w:beforeLines="60" w:before="144" w:afterLines="60" w:after="144"/>
              <w:contextualSpacing/>
              <w:rPr>
                <w:rFonts w:cs="Times New Roman"/>
                <w:sz w:val="20"/>
                <w:szCs w:val="20"/>
                <w:lang w:eastAsia="en-GB"/>
              </w:rPr>
            </w:pPr>
            <w:r>
              <w:rPr>
                <w:rFonts w:cs="Times New Roman"/>
                <w:noProof/>
                <w:sz w:val="20"/>
                <w:szCs w:val="20"/>
                <w:lang w:eastAsia="en-GB"/>
              </w:rPr>
              <w:t xml:space="preserve">Mallbris (2005) </w:t>
            </w:r>
            <w:r w:rsidR="00FB1688">
              <w:rPr>
                <w:rFonts w:cs="Times New Roman"/>
                <w:noProof/>
                <w:sz w:val="20"/>
                <w:szCs w:val="20"/>
                <w:lang w:eastAsia="en-GB"/>
              </w:rPr>
              <w:t>(</w:t>
            </w:r>
            <w:r w:rsidR="001B4738">
              <w:rPr>
                <w:rFonts w:cs="Times New Roman"/>
                <w:noProof/>
                <w:sz w:val="20"/>
                <w:szCs w:val="20"/>
                <w:lang w:eastAsia="en-GB"/>
              </w:rPr>
              <w:t>19</w:t>
            </w:r>
            <w:r w:rsidR="00FB1688">
              <w:rPr>
                <w:rFonts w:cs="Times New Roman"/>
                <w:noProof/>
                <w:sz w:val="20"/>
                <w:szCs w:val="20"/>
                <w:lang w:eastAsia="en-GB"/>
              </w:rPr>
              <w:t>)</w:t>
            </w:r>
          </w:p>
        </w:tc>
        <w:tc>
          <w:tcPr>
            <w:tcW w:w="2395" w:type="dxa"/>
            <w:vAlign w:val="center"/>
          </w:tcPr>
          <w:p w:rsidR="00071F2B" w:rsidRPr="00304385" w:rsidRDefault="00071F2B" w:rsidP="00071F2B">
            <w:pPr>
              <w:autoSpaceDE w:val="0"/>
              <w:autoSpaceDN w:val="0"/>
              <w:adjustRightInd w:val="0"/>
              <w:spacing w:beforeLines="60" w:before="144" w:afterLines="60" w:after="144"/>
              <w:contextualSpacing/>
              <w:jc w:val="center"/>
              <w:rPr>
                <w:rFonts w:cs="Calibri"/>
                <w:sz w:val="20"/>
                <w:szCs w:val="20"/>
                <w:lang w:eastAsia="en-GB"/>
              </w:rPr>
            </w:pPr>
            <w:r w:rsidRPr="00304385">
              <w:rPr>
                <w:rFonts w:cs="Calibri"/>
                <w:sz w:val="20"/>
                <w:szCs w:val="20"/>
                <w:lang w:eastAsia="en-GB"/>
              </w:rPr>
              <w:t>Sweden (2001-3)</w:t>
            </w:r>
          </w:p>
        </w:tc>
        <w:tc>
          <w:tcPr>
            <w:tcW w:w="1030" w:type="dxa"/>
            <w:vAlign w:val="center"/>
          </w:tcPr>
          <w:p w:rsidR="00071F2B" w:rsidRPr="00304385" w:rsidRDefault="00071F2B" w:rsidP="00071F2B">
            <w:pPr>
              <w:autoSpaceDE w:val="0"/>
              <w:autoSpaceDN w:val="0"/>
              <w:adjustRightInd w:val="0"/>
              <w:spacing w:beforeLines="60" w:before="144" w:afterLines="60" w:after="144"/>
              <w:contextualSpacing/>
              <w:jc w:val="center"/>
              <w:rPr>
                <w:rFonts w:cs="Calibri"/>
                <w:sz w:val="20"/>
                <w:szCs w:val="20"/>
                <w:lang w:eastAsia="en-GB"/>
              </w:rPr>
            </w:pPr>
            <w:r w:rsidRPr="00304385">
              <w:rPr>
                <w:rFonts w:cs="Calibri"/>
                <w:sz w:val="20"/>
                <w:szCs w:val="20"/>
                <w:lang w:eastAsia="en-GB"/>
              </w:rPr>
              <w:t>Unclear</w:t>
            </w:r>
          </w:p>
        </w:tc>
        <w:tc>
          <w:tcPr>
            <w:tcW w:w="992" w:type="dxa"/>
            <w:vAlign w:val="center"/>
          </w:tcPr>
          <w:p w:rsidR="00071F2B" w:rsidRPr="00304385" w:rsidRDefault="00071F2B" w:rsidP="00071F2B">
            <w:pPr>
              <w:autoSpaceDE w:val="0"/>
              <w:autoSpaceDN w:val="0"/>
              <w:adjustRightInd w:val="0"/>
              <w:spacing w:beforeLines="60" w:before="144" w:afterLines="60" w:after="144"/>
              <w:contextualSpacing/>
              <w:jc w:val="center"/>
              <w:rPr>
                <w:rFonts w:cs="Calibri"/>
                <w:sz w:val="20"/>
                <w:szCs w:val="20"/>
                <w:lang w:eastAsia="en-GB"/>
              </w:rPr>
            </w:pPr>
            <w:r w:rsidRPr="00304385">
              <w:rPr>
                <w:rFonts w:cs="Calibri"/>
                <w:sz w:val="20"/>
                <w:szCs w:val="20"/>
                <w:lang w:eastAsia="en-GB"/>
              </w:rPr>
              <w:t>400</w:t>
            </w:r>
          </w:p>
        </w:tc>
        <w:tc>
          <w:tcPr>
            <w:tcW w:w="2348" w:type="dxa"/>
            <w:vAlign w:val="center"/>
          </w:tcPr>
          <w:p w:rsidR="00071F2B" w:rsidRPr="00304385" w:rsidRDefault="00071F2B" w:rsidP="00071F2B">
            <w:pPr>
              <w:autoSpaceDE w:val="0"/>
              <w:autoSpaceDN w:val="0"/>
              <w:adjustRightInd w:val="0"/>
              <w:spacing w:beforeLines="60" w:before="144" w:afterLines="60" w:after="144"/>
              <w:contextualSpacing/>
              <w:jc w:val="center"/>
              <w:rPr>
                <w:rFonts w:cs="Calibri"/>
                <w:sz w:val="20"/>
                <w:szCs w:val="20"/>
                <w:lang w:eastAsia="en-GB"/>
              </w:rPr>
            </w:pPr>
            <w:r w:rsidRPr="00304385">
              <w:rPr>
                <w:rFonts w:cs="Calibri"/>
                <w:sz w:val="20"/>
                <w:szCs w:val="20"/>
                <w:lang w:eastAsia="en-GB"/>
              </w:rPr>
              <w:t>78%</w:t>
            </w:r>
          </w:p>
        </w:tc>
      </w:tr>
      <w:tr w:rsidR="00071F2B" w:rsidRPr="00304385" w:rsidTr="00071F2B">
        <w:trPr>
          <w:cantSplit/>
          <w:trHeight w:val="353"/>
          <w:tblHeader/>
        </w:trPr>
        <w:tc>
          <w:tcPr>
            <w:tcW w:w="2251" w:type="dxa"/>
            <w:vAlign w:val="bottom"/>
          </w:tcPr>
          <w:p w:rsidR="00071F2B" w:rsidRPr="00304385" w:rsidRDefault="00071F2B" w:rsidP="001B4738">
            <w:pPr>
              <w:spacing w:beforeLines="60" w:before="144" w:afterLines="60" w:after="144"/>
              <w:contextualSpacing/>
              <w:rPr>
                <w:rFonts w:cs="Times New Roman"/>
                <w:sz w:val="20"/>
                <w:szCs w:val="20"/>
                <w:lang w:eastAsia="en-GB"/>
              </w:rPr>
            </w:pPr>
            <w:r w:rsidRPr="00304385">
              <w:rPr>
                <w:rFonts w:eastAsia="Times New Roman" w:cs="Times New Roman"/>
                <w:color w:val="000000"/>
                <w:sz w:val="20"/>
                <w:szCs w:val="20"/>
                <w:lang w:eastAsia="en-GB"/>
              </w:rPr>
              <w:t xml:space="preserve">Phan </w:t>
            </w:r>
            <w:r>
              <w:rPr>
                <w:rFonts w:eastAsia="Times New Roman" w:cs="Times New Roman"/>
                <w:color w:val="000000"/>
                <w:sz w:val="20"/>
                <w:szCs w:val="20"/>
                <w:lang w:eastAsia="en-GB"/>
              </w:rPr>
              <w:t>(</w:t>
            </w:r>
            <w:r w:rsidRPr="00304385">
              <w:rPr>
                <w:rFonts w:eastAsia="Times New Roman" w:cs="Times New Roman"/>
                <w:color w:val="000000"/>
                <w:sz w:val="20"/>
                <w:szCs w:val="20"/>
                <w:lang w:eastAsia="en-GB"/>
              </w:rPr>
              <w:t>2016</w:t>
            </w:r>
            <w:r>
              <w:rPr>
                <w:rFonts w:eastAsia="Times New Roman" w:cs="Times New Roman"/>
                <w:color w:val="000000"/>
                <w:sz w:val="20"/>
                <w:szCs w:val="20"/>
                <w:lang w:eastAsia="en-GB"/>
              </w:rPr>
              <w:t xml:space="preserve">) </w:t>
            </w:r>
            <w:r w:rsidR="00FB1688">
              <w:rPr>
                <w:rFonts w:eastAsia="Times New Roman" w:cs="Times New Roman"/>
                <w:noProof/>
                <w:color w:val="000000"/>
                <w:sz w:val="20"/>
                <w:szCs w:val="20"/>
                <w:lang w:eastAsia="en-GB"/>
              </w:rPr>
              <w:t>(</w:t>
            </w:r>
            <w:r w:rsidR="001B4738">
              <w:rPr>
                <w:rFonts w:eastAsia="Times New Roman" w:cs="Times New Roman"/>
                <w:noProof/>
                <w:color w:val="000000"/>
                <w:sz w:val="20"/>
                <w:szCs w:val="20"/>
                <w:lang w:eastAsia="en-GB"/>
              </w:rPr>
              <w:t>20</w:t>
            </w:r>
            <w:r w:rsidR="00FB1688">
              <w:rPr>
                <w:rFonts w:eastAsia="Times New Roman" w:cs="Times New Roman"/>
                <w:noProof/>
                <w:color w:val="000000"/>
                <w:sz w:val="20"/>
                <w:szCs w:val="20"/>
                <w:lang w:eastAsia="en-GB"/>
              </w:rPr>
              <w:t>)</w:t>
            </w:r>
          </w:p>
        </w:tc>
        <w:tc>
          <w:tcPr>
            <w:tcW w:w="2395" w:type="dxa"/>
            <w:vAlign w:val="bottom"/>
          </w:tcPr>
          <w:p w:rsidR="00071F2B" w:rsidRPr="00304385" w:rsidRDefault="00071F2B" w:rsidP="00071F2B">
            <w:pPr>
              <w:autoSpaceDE w:val="0"/>
              <w:autoSpaceDN w:val="0"/>
              <w:adjustRightInd w:val="0"/>
              <w:spacing w:beforeLines="60" w:before="144" w:afterLines="60" w:after="144"/>
              <w:contextualSpacing/>
              <w:jc w:val="center"/>
              <w:rPr>
                <w:rFonts w:cs="Calibri"/>
                <w:sz w:val="20"/>
                <w:szCs w:val="20"/>
                <w:lang w:eastAsia="en-GB"/>
              </w:rPr>
            </w:pPr>
            <w:r w:rsidRPr="00304385">
              <w:rPr>
                <w:rFonts w:eastAsia="Times New Roman" w:cs="Times New Roman"/>
                <w:color w:val="000000"/>
                <w:sz w:val="20"/>
                <w:szCs w:val="20"/>
                <w:lang w:eastAsia="en-GB"/>
              </w:rPr>
              <w:t>France (NR)</w:t>
            </w:r>
          </w:p>
        </w:tc>
        <w:tc>
          <w:tcPr>
            <w:tcW w:w="1030" w:type="dxa"/>
            <w:vAlign w:val="bottom"/>
          </w:tcPr>
          <w:p w:rsidR="00071F2B" w:rsidRPr="00304385" w:rsidRDefault="00071F2B" w:rsidP="00071F2B">
            <w:pPr>
              <w:autoSpaceDE w:val="0"/>
              <w:autoSpaceDN w:val="0"/>
              <w:adjustRightInd w:val="0"/>
              <w:spacing w:beforeLines="60" w:before="144" w:afterLines="60" w:after="144"/>
              <w:contextualSpacing/>
              <w:jc w:val="center"/>
              <w:rPr>
                <w:rFonts w:cs="Calibri"/>
                <w:sz w:val="20"/>
                <w:szCs w:val="20"/>
                <w:lang w:eastAsia="en-GB"/>
              </w:rPr>
            </w:pPr>
            <w:r w:rsidRPr="00304385">
              <w:rPr>
                <w:rFonts w:eastAsia="Times New Roman" w:cs="Times New Roman"/>
                <w:color w:val="000000"/>
                <w:sz w:val="20"/>
                <w:szCs w:val="20"/>
                <w:lang w:eastAsia="en-GB"/>
              </w:rPr>
              <w:t xml:space="preserve">Low </w:t>
            </w:r>
          </w:p>
        </w:tc>
        <w:tc>
          <w:tcPr>
            <w:tcW w:w="992" w:type="dxa"/>
            <w:vAlign w:val="bottom"/>
          </w:tcPr>
          <w:p w:rsidR="00071F2B" w:rsidRPr="00304385" w:rsidRDefault="00071F2B" w:rsidP="00071F2B">
            <w:pPr>
              <w:autoSpaceDE w:val="0"/>
              <w:autoSpaceDN w:val="0"/>
              <w:adjustRightInd w:val="0"/>
              <w:spacing w:beforeLines="60" w:before="144" w:afterLines="60" w:after="144"/>
              <w:contextualSpacing/>
              <w:jc w:val="center"/>
              <w:rPr>
                <w:rFonts w:cs="Calibri"/>
                <w:sz w:val="20"/>
                <w:szCs w:val="20"/>
                <w:lang w:eastAsia="en-GB"/>
              </w:rPr>
            </w:pPr>
            <w:r w:rsidRPr="00304385">
              <w:rPr>
                <w:rFonts w:eastAsia="Times New Roman" w:cs="Times New Roman"/>
                <w:color w:val="000000"/>
                <w:sz w:val="20"/>
                <w:szCs w:val="20"/>
                <w:lang w:eastAsia="en-GB"/>
              </w:rPr>
              <w:t>2,210</w:t>
            </w:r>
          </w:p>
        </w:tc>
        <w:tc>
          <w:tcPr>
            <w:tcW w:w="2348" w:type="dxa"/>
            <w:vAlign w:val="bottom"/>
          </w:tcPr>
          <w:p w:rsidR="00071F2B" w:rsidRPr="00304385" w:rsidRDefault="00071F2B" w:rsidP="00071F2B">
            <w:pPr>
              <w:autoSpaceDE w:val="0"/>
              <w:autoSpaceDN w:val="0"/>
              <w:adjustRightInd w:val="0"/>
              <w:spacing w:beforeLines="60" w:before="144" w:afterLines="60" w:after="144"/>
              <w:contextualSpacing/>
              <w:jc w:val="center"/>
              <w:rPr>
                <w:rFonts w:cs="Calibri"/>
                <w:sz w:val="20"/>
                <w:szCs w:val="20"/>
                <w:lang w:eastAsia="en-GB"/>
              </w:rPr>
            </w:pPr>
            <w:r w:rsidRPr="00304385">
              <w:rPr>
                <w:rFonts w:eastAsia="Times New Roman" w:cs="Times New Roman"/>
                <w:color w:val="000000"/>
                <w:sz w:val="20"/>
                <w:szCs w:val="20"/>
                <w:lang w:eastAsia="en-GB"/>
              </w:rPr>
              <w:t>74%</w:t>
            </w:r>
          </w:p>
        </w:tc>
      </w:tr>
      <w:tr w:rsidR="00071F2B" w:rsidRPr="00304385" w:rsidTr="00071F2B">
        <w:trPr>
          <w:cantSplit/>
          <w:trHeight w:val="353"/>
          <w:tblHeader/>
        </w:trPr>
        <w:tc>
          <w:tcPr>
            <w:tcW w:w="2251" w:type="dxa"/>
            <w:vAlign w:val="bottom"/>
          </w:tcPr>
          <w:p w:rsidR="00071F2B" w:rsidRPr="00304385" w:rsidRDefault="00071F2B" w:rsidP="001B4738">
            <w:pPr>
              <w:spacing w:beforeLines="60" w:before="144" w:afterLines="60" w:after="144"/>
              <w:contextualSpacing/>
              <w:rPr>
                <w:rFonts w:cs="Times New Roman"/>
                <w:sz w:val="20"/>
                <w:szCs w:val="20"/>
                <w:lang w:eastAsia="en-GB"/>
              </w:rPr>
            </w:pPr>
            <w:r w:rsidRPr="00304385">
              <w:rPr>
                <w:rFonts w:eastAsia="Times New Roman" w:cs="Times New Roman"/>
                <w:color w:val="000000"/>
                <w:sz w:val="20"/>
                <w:szCs w:val="20"/>
                <w:lang w:eastAsia="en-GB"/>
              </w:rPr>
              <w:t xml:space="preserve">Lopez </w:t>
            </w:r>
            <w:r>
              <w:rPr>
                <w:rFonts w:eastAsia="Times New Roman" w:cs="Times New Roman"/>
                <w:color w:val="000000"/>
                <w:sz w:val="20"/>
                <w:szCs w:val="20"/>
                <w:lang w:eastAsia="en-GB"/>
              </w:rPr>
              <w:t>(</w:t>
            </w:r>
            <w:r w:rsidRPr="00304385">
              <w:rPr>
                <w:rFonts w:eastAsia="Times New Roman" w:cs="Times New Roman"/>
                <w:color w:val="000000"/>
                <w:sz w:val="20"/>
                <w:szCs w:val="20"/>
                <w:lang w:eastAsia="en-GB"/>
              </w:rPr>
              <w:t>2015</w:t>
            </w:r>
            <w:r>
              <w:rPr>
                <w:rFonts w:eastAsia="Times New Roman" w:cs="Times New Roman"/>
                <w:color w:val="000000"/>
                <w:sz w:val="20"/>
                <w:szCs w:val="20"/>
                <w:lang w:eastAsia="en-GB"/>
              </w:rPr>
              <w:t xml:space="preserve">) </w:t>
            </w:r>
            <w:r w:rsidR="00FB1688">
              <w:rPr>
                <w:rFonts w:eastAsia="Times New Roman" w:cs="Times New Roman"/>
                <w:noProof/>
                <w:color w:val="000000"/>
                <w:sz w:val="20"/>
                <w:szCs w:val="20"/>
                <w:lang w:eastAsia="en-GB"/>
              </w:rPr>
              <w:t>(</w:t>
            </w:r>
            <w:r w:rsidR="001B4738">
              <w:rPr>
                <w:rFonts w:eastAsia="Times New Roman" w:cs="Times New Roman"/>
                <w:noProof/>
                <w:color w:val="000000"/>
                <w:sz w:val="20"/>
                <w:szCs w:val="20"/>
                <w:lang w:eastAsia="en-GB"/>
              </w:rPr>
              <w:t>21</w:t>
            </w:r>
            <w:r w:rsidR="00FB1688">
              <w:rPr>
                <w:rFonts w:eastAsia="Times New Roman" w:cs="Times New Roman"/>
                <w:noProof/>
                <w:color w:val="000000"/>
                <w:sz w:val="20"/>
                <w:szCs w:val="20"/>
                <w:lang w:eastAsia="en-GB"/>
              </w:rPr>
              <w:t>)</w:t>
            </w:r>
          </w:p>
        </w:tc>
        <w:tc>
          <w:tcPr>
            <w:tcW w:w="2395" w:type="dxa"/>
            <w:vAlign w:val="bottom"/>
          </w:tcPr>
          <w:p w:rsidR="00071F2B" w:rsidRPr="00304385" w:rsidRDefault="00071F2B" w:rsidP="00071F2B">
            <w:pPr>
              <w:autoSpaceDE w:val="0"/>
              <w:autoSpaceDN w:val="0"/>
              <w:adjustRightInd w:val="0"/>
              <w:spacing w:beforeLines="60" w:before="144" w:afterLines="60" w:after="144"/>
              <w:contextualSpacing/>
              <w:jc w:val="center"/>
              <w:rPr>
                <w:rFonts w:cs="Calibri"/>
                <w:sz w:val="20"/>
                <w:szCs w:val="20"/>
                <w:lang w:eastAsia="en-GB"/>
              </w:rPr>
            </w:pPr>
            <w:r w:rsidRPr="00304385">
              <w:rPr>
                <w:rFonts w:eastAsia="Times New Roman" w:cs="Times New Roman"/>
                <w:color w:val="000000"/>
                <w:sz w:val="20"/>
                <w:szCs w:val="20"/>
                <w:lang w:eastAsia="en-GB"/>
              </w:rPr>
              <w:t>Spain (2010-2011)</w:t>
            </w:r>
          </w:p>
        </w:tc>
        <w:tc>
          <w:tcPr>
            <w:tcW w:w="1030" w:type="dxa"/>
            <w:vAlign w:val="bottom"/>
          </w:tcPr>
          <w:p w:rsidR="00071F2B" w:rsidRPr="00304385" w:rsidRDefault="00071F2B" w:rsidP="00071F2B">
            <w:pPr>
              <w:autoSpaceDE w:val="0"/>
              <w:autoSpaceDN w:val="0"/>
              <w:adjustRightInd w:val="0"/>
              <w:spacing w:beforeLines="60" w:before="144" w:afterLines="60" w:after="144"/>
              <w:contextualSpacing/>
              <w:jc w:val="center"/>
              <w:rPr>
                <w:rFonts w:cs="Calibri"/>
                <w:sz w:val="20"/>
                <w:szCs w:val="20"/>
                <w:lang w:eastAsia="en-GB"/>
              </w:rPr>
            </w:pPr>
            <w:r w:rsidRPr="00304385">
              <w:rPr>
                <w:rFonts w:eastAsia="Times New Roman" w:cs="Times New Roman"/>
                <w:color w:val="000000"/>
                <w:sz w:val="20"/>
                <w:szCs w:val="20"/>
                <w:lang w:eastAsia="en-GB"/>
              </w:rPr>
              <w:t xml:space="preserve">Low </w:t>
            </w:r>
          </w:p>
        </w:tc>
        <w:tc>
          <w:tcPr>
            <w:tcW w:w="992" w:type="dxa"/>
            <w:vAlign w:val="bottom"/>
          </w:tcPr>
          <w:p w:rsidR="00071F2B" w:rsidRPr="00304385" w:rsidRDefault="00071F2B" w:rsidP="00071F2B">
            <w:pPr>
              <w:autoSpaceDE w:val="0"/>
              <w:autoSpaceDN w:val="0"/>
              <w:adjustRightInd w:val="0"/>
              <w:spacing w:beforeLines="60" w:before="144" w:afterLines="60" w:after="144"/>
              <w:contextualSpacing/>
              <w:jc w:val="center"/>
              <w:rPr>
                <w:rFonts w:cs="Calibri"/>
                <w:sz w:val="20"/>
                <w:szCs w:val="20"/>
                <w:lang w:eastAsia="en-GB"/>
              </w:rPr>
            </w:pPr>
            <w:r w:rsidRPr="00304385">
              <w:rPr>
                <w:rFonts w:eastAsia="Times New Roman" w:cs="Times New Roman"/>
                <w:color w:val="000000"/>
                <w:sz w:val="20"/>
                <w:szCs w:val="20"/>
                <w:lang w:eastAsia="en-GB"/>
              </w:rPr>
              <w:t>375</w:t>
            </w:r>
          </w:p>
        </w:tc>
        <w:tc>
          <w:tcPr>
            <w:tcW w:w="2348" w:type="dxa"/>
            <w:vAlign w:val="bottom"/>
          </w:tcPr>
          <w:p w:rsidR="00071F2B" w:rsidRPr="00304385" w:rsidRDefault="00071F2B" w:rsidP="00071F2B">
            <w:pPr>
              <w:autoSpaceDE w:val="0"/>
              <w:autoSpaceDN w:val="0"/>
              <w:adjustRightInd w:val="0"/>
              <w:spacing w:beforeLines="60" w:before="144" w:afterLines="60" w:after="144"/>
              <w:contextualSpacing/>
              <w:jc w:val="center"/>
              <w:rPr>
                <w:rFonts w:cs="Calibri"/>
                <w:sz w:val="20"/>
                <w:szCs w:val="20"/>
                <w:lang w:eastAsia="en-GB"/>
              </w:rPr>
            </w:pPr>
            <w:r w:rsidRPr="00304385">
              <w:rPr>
                <w:rFonts w:eastAsia="Times New Roman" w:cs="Times New Roman"/>
                <w:color w:val="000000"/>
                <w:sz w:val="20"/>
                <w:szCs w:val="20"/>
                <w:lang w:eastAsia="en-GB"/>
              </w:rPr>
              <w:t>85%</w:t>
            </w:r>
          </w:p>
        </w:tc>
      </w:tr>
      <w:tr w:rsidR="00071F2B" w:rsidRPr="007948D9" w:rsidTr="00071F2B">
        <w:trPr>
          <w:cantSplit/>
          <w:trHeight w:val="353"/>
          <w:tblHeader/>
        </w:trPr>
        <w:tc>
          <w:tcPr>
            <w:tcW w:w="2251" w:type="dxa"/>
            <w:vAlign w:val="bottom"/>
          </w:tcPr>
          <w:p w:rsidR="00071F2B" w:rsidRPr="008355BB" w:rsidRDefault="00071F2B" w:rsidP="001B4738">
            <w:pPr>
              <w:spacing w:beforeLines="60" w:before="144" w:afterLines="60" w:after="144"/>
              <w:contextualSpacing/>
              <w:rPr>
                <w:rFonts w:cs="Times New Roman"/>
                <w:sz w:val="20"/>
                <w:szCs w:val="20"/>
                <w:lang w:eastAsia="en-GB"/>
              </w:rPr>
            </w:pPr>
            <w:r w:rsidRPr="008355BB">
              <w:rPr>
                <w:rFonts w:eastAsia="Times New Roman" w:cs="Times New Roman"/>
                <w:color w:val="000000"/>
                <w:sz w:val="20"/>
                <w:szCs w:val="20"/>
                <w:lang w:eastAsia="en-GB"/>
              </w:rPr>
              <w:t xml:space="preserve">Norris (2017) </w:t>
            </w:r>
            <w:r w:rsidR="00FB1688" w:rsidRPr="008355BB">
              <w:rPr>
                <w:rFonts w:eastAsia="Times New Roman" w:cs="Times New Roman"/>
                <w:noProof/>
                <w:color w:val="000000"/>
                <w:sz w:val="20"/>
                <w:szCs w:val="20"/>
                <w:lang w:eastAsia="en-GB"/>
              </w:rPr>
              <w:t>(</w:t>
            </w:r>
            <w:r w:rsidR="001B4738" w:rsidRPr="008355BB">
              <w:rPr>
                <w:rFonts w:eastAsia="Times New Roman" w:cs="Times New Roman"/>
                <w:noProof/>
                <w:color w:val="000000"/>
                <w:sz w:val="20"/>
                <w:szCs w:val="20"/>
                <w:lang w:eastAsia="en-GB"/>
              </w:rPr>
              <w:t>22</w:t>
            </w:r>
            <w:r w:rsidR="00FB1688" w:rsidRPr="008355BB">
              <w:rPr>
                <w:rFonts w:eastAsia="Times New Roman" w:cs="Times New Roman"/>
                <w:noProof/>
                <w:color w:val="000000"/>
                <w:sz w:val="20"/>
                <w:szCs w:val="20"/>
                <w:lang w:eastAsia="en-GB"/>
              </w:rPr>
              <w:t>)</w:t>
            </w:r>
          </w:p>
        </w:tc>
        <w:tc>
          <w:tcPr>
            <w:tcW w:w="2395" w:type="dxa"/>
            <w:vAlign w:val="bottom"/>
          </w:tcPr>
          <w:p w:rsidR="00071F2B" w:rsidRPr="008355BB" w:rsidRDefault="00071F2B" w:rsidP="00071F2B">
            <w:pPr>
              <w:autoSpaceDE w:val="0"/>
              <w:autoSpaceDN w:val="0"/>
              <w:adjustRightInd w:val="0"/>
              <w:spacing w:beforeLines="60" w:before="144" w:afterLines="60" w:after="144"/>
              <w:contextualSpacing/>
              <w:jc w:val="center"/>
              <w:rPr>
                <w:rFonts w:cs="Calibri"/>
                <w:sz w:val="20"/>
                <w:szCs w:val="20"/>
                <w:lang w:eastAsia="en-GB"/>
              </w:rPr>
            </w:pPr>
            <w:r w:rsidRPr="008355BB">
              <w:rPr>
                <w:rFonts w:eastAsia="Times New Roman" w:cs="Times New Roman"/>
                <w:color w:val="000000"/>
                <w:sz w:val="20"/>
                <w:szCs w:val="20"/>
                <w:lang w:eastAsia="en-GB"/>
              </w:rPr>
              <w:t>Australia (2008-2016)</w:t>
            </w:r>
          </w:p>
        </w:tc>
        <w:tc>
          <w:tcPr>
            <w:tcW w:w="1030" w:type="dxa"/>
            <w:vAlign w:val="bottom"/>
          </w:tcPr>
          <w:p w:rsidR="00071F2B" w:rsidRPr="008355BB" w:rsidRDefault="00071F2B" w:rsidP="00071F2B">
            <w:pPr>
              <w:autoSpaceDE w:val="0"/>
              <w:autoSpaceDN w:val="0"/>
              <w:adjustRightInd w:val="0"/>
              <w:spacing w:beforeLines="60" w:before="144" w:afterLines="60" w:after="144"/>
              <w:contextualSpacing/>
              <w:jc w:val="center"/>
              <w:rPr>
                <w:rFonts w:cs="Calibri"/>
                <w:sz w:val="20"/>
                <w:szCs w:val="20"/>
                <w:lang w:eastAsia="en-GB"/>
              </w:rPr>
            </w:pPr>
            <w:r w:rsidRPr="008355BB">
              <w:rPr>
                <w:rFonts w:eastAsia="Times New Roman" w:cs="Times New Roman"/>
                <w:color w:val="000000"/>
                <w:sz w:val="20"/>
                <w:szCs w:val="20"/>
                <w:lang w:eastAsia="en-GB"/>
              </w:rPr>
              <w:t xml:space="preserve">High </w:t>
            </w:r>
          </w:p>
        </w:tc>
        <w:tc>
          <w:tcPr>
            <w:tcW w:w="992" w:type="dxa"/>
            <w:vAlign w:val="bottom"/>
          </w:tcPr>
          <w:p w:rsidR="00071F2B" w:rsidRPr="008355BB" w:rsidRDefault="00071F2B" w:rsidP="00071F2B">
            <w:pPr>
              <w:autoSpaceDE w:val="0"/>
              <w:autoSpaceDN w:val="0"/>
              <w:adjustRightInd w:val="0"/>
              <w:spacing w:beforeLines="60" w:before="144" w:afterLines="60" w:after="144"/>
              <w:contextualSpacing/>
              <w:jc w:val="center"/>
              <w:rPr>
                <w:rFonts w:cs="Calibri"/>
                <w:sz w:val="20"/>
                <w:szCs w:val="20"/>
                <w:lang w:eastAsia="en-GB"/>
              </w:rPr>
            </w:pPr>
            <w:r w:rsidRPr="008355BB">
              <w:rPr>
                <w:rFonts w:eastAsia="Times New Roman" w:cs="Times New Roman"/>
                <w:color w:val="000000"/>
                <w:sz w:val="20"/>
                <w:szCs w:val="20"/>
                <w:lang w:eastAsia="en-GB"/>
              </w:rPr>
              <w:t>341</w:t>
            </w:r>
          </w:p>
        </w:tc>
        <w:tc>
          <w:tcPr>
            <w:tcW w:w="2348" w:type="dxa"/>
            <w:vAlign w:val="bottom"/>
          </w:tcPr>
          <w:p w:rsidR="00071F2B" w:rsidRPr="008355BB" w:rsidRDefault="00071F2B" w:rsidP="00071F2B">
            <w:pPr>
              <w:autoSpaceDE w:val="0"/>
              <w:autoSpaceDN w:val="0"/>
              <w:adjustRightInd w:val="0"/>
              <w:spacing w:beforeLines="60" w:before="144" w:afterLines="60" w:after="144"/>
              <w:contextualSpacing/>
              <w:jc w:val="center"/>
              <w:rPr>
                <w:rFonts w:cs="Calibri"/>
                <w:sz w:val="20"/>
                <w:szCs w:val="20"/>
                <w:lang w:eastAsia="en-GB"/>
              </w:rPr>
            </w:pPr>
            <w:r w:rsidRPr="008355BB">
              <w:rPr>
                <w:rFonts w:eastAsia="Times New Roman" w:cs="Times New Roman"/>
                <w:color w:val="000000"/>
                <w:sz w:val="20"/>
                <w:szCs w:val="20"/>
                <w:lang w:eastAsia="en-GB"/>
              </w:rPr>
              <w:t>96%</w:t>
            </w:r>
          </w:p>
        </w:tc>
      </w:tr>
      <w:tr w:rsidR="00071F2B" w:rsidRPr="00304385" w:rsidTr="00071F2B">
        <w:trPr>
          <w:cantSplit/>
          <w:trHeight w:val="353"/>
          <w:tblHeader/>
        </w:trPr>
        <w:tc>
          <w:tcPr>
            <w:tcW w:w="2251" w:type="dxa"/>
            <w:vAlign w:val="bottom"/>
          </w:tcPr>
          <w:p w:rsidR="00071F2B" w:rsidRPr="00304385" w:rsidRDefault="00071F2B" w:rsidP="001B4738">
            <w:pPr>
              <w:spacing w:beforeLines="60" w:before="144" w:afterLines="60" w:after="144"/>
              <w:contextualSpacing/>
              <w:rPr>
                <w:rFonts w:cs="Times New Roman"/>
                <w:sz w:val="20"/>
                <w:szCs w:val="20"/>
                <w:lang w:eastAsia="en-GB"/>
              </w:rPr>
            </w:pPr>
            <w:r w:rsidRPr="00304385">
              <w:rPr>
                <w:rFonts w:eastAsia="Times New Roman" w:cs="Times New Roman"/>
                <w:color w:val="000000"/>
                <w:sz w:val="20"/>
                <w:szCs w:val="20"/>
                <w:lang w:eastAsia="en-GB"/>
              </w:rPr>
              <w:t xml:space="preserve">Theodorakopoulou </w:t>
            </w:r>
            <w:r>
              <w:rPr>
                <w:rFonts w:eastAsia="Times New Roman" w:cs="Times New Roman"/>
                <w:color w:val="000000"/>
                <w:sz w:val="20"/>
                <w:szCs w:val="20"/>
                <w:lang w:eastAsia="en-GB"/>
              </w:rPr>
              <w:t>(</w:t>
            </w:r>
            <w:r w:rsidRPr="00304385">
              <w:rPr>
                <w:rFonts w:eastAsia="Times New Roman" w:cs="Times New Roman"/>
                <w:color w:val="000000"/>
                <w:sz w:val="20"/>
                <w:szCs w:val="20"/>
                <w:lang w:eastAsia="en-GB"/>
              </w:rPr>
              <w:t>2016</w:t>
            </w:r>
            <w:r>
              <w:rPr>
                <w:rFonts w:eastAsia="Times New Roman" w:cs="Times New Roman"/>
                <w:color w:val="000000"/>
                <w:sz w:val="20"/>
                <w:szCs w:val="20"/>
                <w:lang w:eastAsia="en-GB"/>
              </w:rPr>
              <w:t xml:space="preserve">) </w:t>
            </w:r>
            <w:r w:rsidR="00FB1688">
              <w:rPr>
                <w:rFonts w:eastAsia="Times New Roman" w:cs="Times New Roman"/>
                <w:noProof/>
                <w:color w:val="000000"/>
                <w:sz w:val="20"/>
                <w:szCs w:val="20"/>
                <w:lang w:eastAsia="en-GB"/>
              </w:rPr>
              <w:t>(</w:t>
            </w:r>
            <w:r w:rsidR="001B4738">
              <w:rPr>
                <w:rFonts w:eastAsia="Times New Roman" w:cs="Times New Roman"/>
                <w:noProof/>
                <w:color w:val="000000"/>
                <w:sz w:val="20"/>
                <w:szCs w:val="20"/>
                <w:lang w:eastAsia="en-GB"/>
              </w:rPr>
              <w:t>23</w:t>
            </w:r>
            <w:r w:rsidR="00FB1688">
              <w:rPr>
                <w:rFonts w:eastAsia="Times New Roman" w:cs="Times New Roman"/>
                <w:noProof/>
                <w:color w:val="000000"/>
                <w:sz w:val="20"/>
                <w:szCs w:val="20"/>
                <w:lang w:eastAsia="en-GB"/>
              </w:rPr>
              <w:t>)</w:t>
            </w:r>
          </w:p>
        </w:tc>
        <w:tc>
          <w:tcPr>
            <w:tcW w:w="2395" w:type="dxa"/>
            <w:vAlign w:val="bottom"/>
          </w:tcPr>
          <w:p w:rsidR="00071F2B" w:rsidRPr="00304385" w:rsidRDefault="00071F2B" w:rsidP="00071F2B">
            <w:pPr>
              <w:autoSpaceDE w:val="0"/>
              <w:autoSpaceDN w:val="0"/>
              <w:adjustRightInd w:val="0"/>
              <w:spacing w:beforeLines="60" w:before="144" w:afterLines="60" w:after="144"/>
              <w:contextualSpacing/>
              <w:jc w:val="center"/>
              <w:rPr>
                <w:rFonts w:cs="Calibri"/>
                <w:sz w:val="20"/>
                <w:szCs w:val="20"/>
                <w:lang w:eastAsia="en-GB"/>
              </w:rPr>
            </w:pPr>
            <w:r w:rsidRPr="00304385">
              <w:rPr>
                <w:rFonts w:eastAsia="Times New Roman" w:cs="Times New Roman"/>
                <w:color w:val="000000"/>
                <w:sz w:val="20"/>
                <w:szCs w:val="20"/>
                <w:lang w:eastAsia="en-GB"/>
              </w:rPr>
              <w:t>UK (2010-2012)</w:t>
            </w:r>
          </w:p>
        </w:tc>
        <w:tc>
          <w:tcPr>
            <w:tcW w:w="1030" w:type="dxa"/>
            <w:vAlign w:val="bottom"/>
          </w:tcPr>
          <w:p w:rsidR="00071F2B" w:rsidRPr="00304385" w:rsidRDefault="00071F2B" w:rsidP="00071F2B">
            <w:pPr>
              <w:autoSpaceDE w:val="0"/>
              <w:autoSpaceDN w:val="0"/>
              <w:adjustRightInd w:val="0"/>
              <w:spacing w:beforeLines="60" w:before="144" w:afterLines="60" w:after="144"/>
              <w:contextualSpacing/>
              <w:jc w:val="center"/>
              <w:rPr>
                <w:rFonts w:cs="Calibri"/>
                <w:sz w:val="20"/>
                <w:szCs w:val="20"/>
                <w:lang w:eastAsia="en-GB"/>
              </w:rPr>
            </w:pPr>
            <w:r w:rsidRPr="00304385">
              <w:rPr>
                <w:rFonts w:eastAsia="Times New Roman" w:cs="Times New Roman"/>
                <w:color w:val="000000"/>
                <w:sz w:val="20"/>
                <w:szCs w:val="20"/>
                <w:lang w:eastAsia="en-GB"/>
              </w:rPr>
              <w:t xml:space="preserve">Low </w:t>
            </w:r>
          </w:p>
        </w:tc>
        <w:tc>
          <w:tcPr>
            <w:tcW w:w="992" w:type="dxa"/>
            <w:vAlign w:val="bottom"/>
          </w:tcPr>
          <w:p w:rsidR="00071F2B" w:rsidRPr="00304385" w:rsidRDefault="00071F2B" w:rsidP="00071F2B">
            <w:pPr>
              <w:autoSpaceDE w:val="0"/>
              <w:autoSpaceDN w:val="0"/>
              <w:adjustRightInd w:val="0"/>
              <w:spacing w:beforeLines="60" w:before="144" w:afterLines="60" w:after="144"/>
              <w:contextualSpacing/>
              <w:jc w:val="center"/>
              <w:rPr>
                <w:rFonts w:cs="Calibri"/>
                <w:sz w:val="20"/>
                <w:szCs w:val="20"/>
                <w:lang w:eastAsia="en-GB"/>
              </w:rPr>
            </w:pPr>
            <w:r w:rsidRPr="00304385">
              <w:rPr>
                <w:rFonts w:eastAsia="Times New Roman" w:cs="Times New Roman"/>
                <w:color w:val="000000"/>
                <w:sz w:val="20"/>
                <w:szCs w:val="20"/>
                <w:lang w:eastAsia="en-GB"/>
              </w:rPr>
              <w:t>340</w:t>
            </w:r>
          </w:p>
        </w:tc>
        <w:tc>
          <w:tcPr>
            <w:tcW w:w="2348" w:type="dxa"/>
            <w:vAlign w:val="bottom"/>
          </w:tcPr>
          <w:p w:rsidR="00071F2B" w:rsidRPr="00304385" w:rsidRDefault="00071F2B" w:rsidP="00071F2B">
            <w:pPr>
              <w:autoSpaceDE w:val="0"/>
              <w:autoSpaceDN w:val="0"/>
              <w:adjustRightInd w:val="0"/>
              <w:spacing w:beforeLines="60" w:before="144" w:afterLines="60" w:after="144"/>
              <w:contextualSpacing/>
              <w:jc w:val="center"/>
              <w:rPr>
                <w:rFonts w:cs="Calibri"/>
                <w:sz w:val="20"/>
                <w:szCs w:val="20"/>
                <w:lang w:eastAsia="en-GB"/>
              </w:rPr>
            </w:pPr>
            <w:r w:rsidRPr="00304385">
              <w:rPr>
                <w:rFonts w:eastAsia="Times New Roman" w:cs="Times New Roman"/>
                <w:color w:val="000000"/>
                <w:sz w:val="20"/>
                <w:szCs w:val="20"/>
                <w:lang w:eastAsia="en-GB"/>
              </w:rPr>
              <w:t>83%</w:t>
            </w:r>
          </w:p>
        </w:tc>
      </w:tr>
      <w:tr w:rsidR="00071F2B" w:rsidRPr="00304385" w:rsidTr="00071F2B">
        <w:trPr>
          <w:cantSplit/>
          <w:trHeight w:val="353"/>
          <w:tblHeader/>
        </w:trPr>
        <w:tc>
          <w:tcPr>
            <w:tcW w:w="2251" w:type="dxa"/>
            <w:vAlign w:val="bottom"/>
          </w:tcPr>
          <w:p w:rsidR="00071F2B" w:rsidRPr="00304385" w:rsidRDefault="00071F2B" w:rsidP="001B4738">
            <w:pPr>
              <w:spacing w:beforeLines="60" w:before="144" w:afterLines="60" w:after="144"/>
              <w:contextualSpacing/>
              <w:rPr>
                <w:rFonts w:cs="Times New Roman"/>
                <w:sz w:val="20"/>
                <w:szCs w:val="20"/>
                <w:lang w:eastAsia="en-GB"/>
              </w:rPr>
            </w:pPr>
            <w:r w:rsidRPr="00304385">
              <w:rPr>
                <w:rFonts w:eastAsia="Times New Roman" w:cs="Times New Roman"/>
                <w:color w:val="000000"/>
                <w:sz w:val="20"/>
                <w:szCs w:val="20"/>
                <w:lang w:eastAsia="en-GB"/>
              </w:rPr>
              <w:t xml:space="preserve">Papadavid </w:t>
            </w:r>
            <w:r>
              <w:rPr>
                <w:rFonts w:eastAsia="Times New Roman" w:cs="Times New Roman"/>
                <w:color w:val="000000"/>
                <w:sz w:val="20"/>
                <w:szCs w:val="20"/>
                <w:lang w:eastAsia="en-GB"/>
              </w:rPr>
              <w:t>(</w:t>
            </w:r>
            <w:r w:rsidRPr="00304385">
              <w:rPr>
                <w:rFonts w:eastAsia="Times New Roman" w:cs="Times New Roman"/>
                <w:color w:val="000000"/>
                <w:sz w:val="20"/>
                <w:szCs w:val="20"/>
                <w:lang w:eastAsia="en-GB"/>
              </w:rPr>
              <w:t>2016</w:t>
            </w:r>
            <w:r>
              <w:rPr>
                <w:rFonts w:eastAsia="Times New Roman" w:cs="Times New Roman"/>
                <w:color w:val="000000"/>
                <w:sz w:val="20"/>
                <w:szCs w:val="20"/>
                <w:lang w:eastAsia="en-GB"/>
              </w:rPr>
              <w:t xml:space="preserve">) </w:t>
            </w:r>
            <w:r w:rsidR="00FB1688">
              <w:rPr>
                <w:rFonts w:eastAsia="Times New Roman" w:cs="Times New Roman"/>
                <w:noProof/>
                <w:color w:val="000000"/>
                <w:sz w:val="20"/>
                <w:szCs w:val="20"/>
                <w:lang w:eastAsia="en-GB"/>
              </w:rPr>
              <w:t>(</w:t>
            </w:r>
            <w:r w:rsidR="001B4738">
              <w:rPr>
                <w:rFonts w:eastAsia="Times New Roman" w:cs="Times New Roman"/>
                <w:noProof/>
                <w:color w:val="000000"/>
                <w:sz w:val="20"/>
                <w:szCs w:val="20"/>
                <w:lang w:eastAsia="en-GB"/>
              </w:rPr>
              <w:t>24</w:t>
            </w:r>
            <w:r w:rsidR="00FB1688">
              <w:rPr>
                <w:rFonts w:eastAsia="Times New Roman" w:cs="Times New Roman"/>
                <w:noProof/>
                <w:color w:val="000000"/>
                <w:sz w:val="20"/>
                <w:szCs w:val="20"/>
                <w:lang w:eastAsia="en-GB"/>
              </w:rPr>
              <w:t>)</w:t>
            </w:r>
          </w:p>
        </w:tc>
        <w:tc>
          <w:tcPr>
            <w:tcW w:w="2395" w:type="dxa"/>
            <w:vAlign w:val="bottom"/>
          </w:tcPr>
          <w:p w:rsidR="00071F2B" w:rsidRPr="00304385" w:rsidRDefault="00071F2B" w:rsidP="00071F2B">
            <w:pPr>
              <w:autoSpaceDE w:val="0"/>
              <w:autoSpaceDN w:val="0"/>
              <w:adjustRightInd w:val="0"/>
              <w:spacing w:beforeLines="60" w:before="144" w:afterLines="60" w:after="144"/>
              <w:contextualSpacing/>
              <w:jc w:val="center"/>
              <w:rPr>
                <w:rFonts w:cs="Calibri"/>
                <w:sz w:val="20"/>
                <w:szCs w:val="20"/>
                <w:lang w:eastAsia="en-GB"/>
              </w:rPr>
            </w:pPr>
            <w:r w:rsidRPr="00304385">
              <w:rPr>
                <w:rFonts w:eastAsia="Times New Roman" w:cs="Times New Roman"/>
                <w:color w:val="000000"/>
                <w:sz w:val="20"/>
                <w:szCs w:val="20"/>
                <w:lang w:eastAsia="en-GB"/>
              </w:rPr>
              <w:t>Greece (2011-2013)</w:t>
            </w:r>
          </w:p>
        </w:tc>
        <w:tc>
          <w:tcPr>
            <w:tcW w:w="1030" w:type="dxa"/>
            <w:vAlign w:val="bottom"/>
          </w:tcPr>
          <w:p w:rsidR="00071F2B" w:rsidRPr="00304385" w:rsidRDefault="00071F2B" w:rsidP="00071F2B">
            <w:pPr>
              <w:autoSpaceDE w:val="0"/>
              <w:autoSpaceDN w:val="0"/>
              <w:adjustRightInd w:val="0"/>
              <w:spacing w:beforeLines="60" w:before="144" w:afterLines="60" w:after="144"/>
              <w:contextualSpacing/>
              <w:jc w:val="center"/>
              <w:rPr>
                <w:rFonts w:cs="Calibri"/>
                <w:sz w:val="20"/>
                <w:szCs w:val="20"/>
                <w:lang w:eastAsia="en-GB"/>
              </w:rPr>
            </w:pPr>
            <w:r w:rsidRPr="00304385">
              <w:rPr>
                <w:rFonts w:eastAsia="Times New Roman" w:cs="Times New Roman"/>
                <w:color w:val="000000"/>
                <w:sz w:val="20"/>
                <w:szCs w:val="20"/>
                <w:lang w:eastAsia="en-GB"/>
              </w:rPr>
              <w:t xml:space="preserve">Low </w:t>
            </w:r>
          </w:p>
        </w:tc>
        <w:tc>
          <w:tcPr>
            <w:tcW w:w="992" w:type="dxa"/>
            <w:vAlign w:val="bottom"/>
          </w:tcPr>
          <w:p w:rsidR="00071F2B" w:rsidRPr="00304385" w:rsidRDefault="00071F2B" w:rsidP="00071F2B">
            <w:pPr>
              <w:autoSpaceDE w:val="0"/>
              <w:autoSpaceDN w:val="0"/>
              <w:adjustRightInd w:val="0"/>
              <w:spacing w:beforeLines="60" w:before="144" w:afterLines="60" w:after="144"/>
              <w:contextualSpacing/>
              <w:jc w:val="center"/>
              <w:rPr>
                <w:rFonts w:cs="Calibri"/>
                <w:sz w:val="20"/>
                <w:szCs w:val="20"/>
                <w:lang w:eastAsia="en-GB"/>
              </w:rPr>
            </w:pPr>
            <w:r w:rsidRPr="00304385">
              <w:rPr>
                <w:rFonts w:eastAsia="Times New Roman" w:cs="Times New Roman"/>
                <w:color w:val="000000"/>
                <w:sz w:val="20"/>
                <w:szCs w:val="20"/>
                <w:lang w:eastAsia="en-GB"/>
              </w:rPr>
              <w:t>278</w:t>
            </w:r>
          </w:p>
        </w:tc>
        <w:tc>
          <w:tcPr>
            <w:tcW w:w="2348" w:type="dxa"/>
            <w:vAlign w:val="bottom"/>
          </w:tcPr>
          <w:p w:rsidR="00071F2B" w:rsidRPr="00304385" w:rsidRDefault="00071F2B" w:rsidP="00071F2B">
            <w:pPr>
              <w:autoSpaceDE w:val="0"/>
              <w:autoSpaceDN w:val="0"/>
              <w:adjustRightInd w:val="0"/>
              <w:spacing w:beforeLines="60" w:before="144" w:afterLines="60" w:after="144"/>
              <w:contextualSpacing/>
              <w:jc w:val="center"/>
              <w:rPr>
                <w:rFonts w:cs="Calibri"/>
                <w:sz w:val="20"/>
                <w:szCs w:val="20"/>
                <w:lang w:eastAsia="en-GB"/>
              </w:rPr>
            </w:pPr>
            <w:r w:rsidRPr="00304385">
              <w:rPr>
                <w:rFonts w:eastAsia="Times New Roman" w:cs="Times New Roman"/>
                <w:color w:val="000000"/>
                <w:sz w:val="20"/>
                <w:szCs w:val="20"/>
                <w:lang w:eastAsia="en-GB"/>
              </w:rPr>
              <w:t>86%</w:t>
            </w:r>
          </w:p>
        </w:tc>
      </w:tr>
      <w:tr w:rsidR="00071F2B" w:rsidRPr="00304385" w:rsidTr="00071F2B">
        <w:trPr>
          <w:cantSplit/>
          <w:trHeight w:val="353"/>
          <w:tblHeader/>
        </w:trPr>
        <w:tc>
          <w:tcPr>
            <w:tcW w:w="2251" w:type="dxa"/>
            <w:vAlign w:val="bottom"/>
          </w:tcPr>
          <w:p w:rsidR="00071F2B" w:rsidRPr="00304385" w:rsidRDefault="00071F2B" w:rsidP="001B4738">
            <w:pPr>
              <w:spacing w:beforeLines="60" w:before="144" w:afterLines="60" w:after="144"/>
              <w:contextualSpacing/>
              <w:rPr>
                <w:rFonts w:cs="Times New Roman"/>
                <w:sz w:val="20"/>
                <w:szCs w:val="20"/>
                <w:lang w:eastAsia="en-GB"/>
              </w:rPr>
            </w:pPr>
            <w:r w:rsidRPr="00304385">
              <w:rPr>
                <w:rFonts w:eastAsia="Times New Roman" w:cs="Times New Roman"/>
                <w:color w:val="000000"/>
                <w:sz w:val="20"/>
                <w:szCs w:val="20"/>
                <w:lang w:eastAsia="en-GB"/>
              </w:rPr>
              <w:t xml:space="preserve">Papadavid </w:t>
            </w:r>
            <w:r>
              <w:rPr>
                <w:rFonts w:eastAsia="Times New Roman" w:cs="Times New Roman"/>
                <w:color w:val="000000"/>
                <w:sz w:val="20"/>
                <w:szCs w:val="20"/>
                <w:lang w:eastAsia="en-GB"/>
              </w:rPr>
              <w:t>(</w:t>
            </w:r>
            <w:r w:rsidRPr="00304385">
              <w:rPr>
                <w:rFonts w:eastAsia="Times New Roman" w:cs="Times New Roman"/>
                <w:color w:val="000000"/>
                <w:sz w:val="20"/>
                <w:szCs w:val="20"/>
                <w:lang w:eastAsia="en-GB"/>
              </w:rPr>
              <w:t>2017</w:t>
            </w:r>
            <w:r>
              <w:rPr>
                <w:rFonts w:eastAsia="Times New Roman" w:cs="Times New Roman"/>
                <w:color w:val="000000"/>
                <w:sz w:val="20"/>
                <w:szCs w:val="20"/>
                <w:lang w:eastAsia="en-GB"/>
              </w:rPr>
              <w:t xml:space="preserve">) </w:t>
            </w:r>
            <w:r w:rsidR="00FB1688">
              <w:rPr>
                <w:rFonts w:eastAsia="Times New Roman" w:cs="Times New Roman"/>
                <w:noProof/>
                <w:color w:val="000000"/>
                <w:sz w:val="20"/>
                <w:szCs w:val="20"/>
                <w:lang w:eastAsia="en-GB"/>
              </w:rPr>
              <w:t>(</w:t>
            </w:r>
            <w:r w:rsidR="001B4738">
              <w:rPr>
                <w:rFonts w:eastAsia="Times New Roman" w:cs="Times New Roman"/>
                <w:noProof/>
                <w:color w:val="000000"/>
                <w:sz w:val="20"/>
                <w:szCs w:val="20"/>
                <w:lang w:eastAsia="en-GB"/>
              </w:rPr>
              <w:t>25</w:t>
            </w:r>
            <w:r w:rsidR="00FB1688">
              <w:rPr>
                <w:rFonts w:eastAsia="Times New Roman" w:cs="Times New Roman"/>
                <w:noProof/>
                <w:color w:val="000000"/>
                <w:sz w:val="20"/>
                <w:szCs w:val="20"/>
                <w:lang w:eastAsia="en-GB"/>
              </w:rPr>
              <w:t>)</w:t>
            </w:r>
          </w:p>
        </w:tc>
        <w:tc>
          <w:tcPr>
            <w:tcW w:w="2395" w:type="dxa"/>
            <w:vAlign w:val="bottom"/>
          </w:tcPr>
          <w:p w:rsidR="00071F2B" w:rsidRPr="00304385" w:rsidRDefault="00071F2B" w:rsidP="00071F2B">
            <w:pPr>
              <w:autoSpaceDE w:val="0"/>
              <w:autoSpaceDN w:val="0"/>
              <w:adjustRightInd w:val="0"/>
              <w:spacing w:beforeLines="60" w:before="144" w:afterLines="60" w:after="144"/>
              <w:contextualSpacing/>
              <w:jc w:val="center"/>
              <w:rPr>
                <w:rFonts w:cs="Calibri"/>
                <w:sz w:val="20"/>
                <w:szCs w:val="20"/>
                <w:lang w:eastAsia="en-GB"/>
              </w:rPr>
            </w:pPr>
            <w:r w:rsidRPr="00304385">
              <w:rPr>
                <w:rFonts w:eastAsia="Times New Roman" w:cs="Times New Roman"/>
                <w:color w:val="000000"/>
                <w:sz w:val="20"/>
                <w:szCs w:val="20"/>
                <w:lang w:eastAsia="en-GB"/>
              </w:rPr>
              <w:t>Greece (2016)</w:t>
            </w:r>
          </w:p>
        </w:tc>
        <w:tc>
          <w:tcPr>
            <w:tcW w:w="1030" w:type="dxa"/>
            <w:vAlign w:val="bottom"/>
          </w:tcPr>
          <w:p w:rsidR="00071F2B" w:rsidRPr="00304385" w:rsidRDefault="00071F2B" w:rsidP="00071F2B">
            <w:pPr>
              <w:autoSpaceDE w:val="0"/>
              <w:autoSpaceDN w:val="0"/>
              <w:adjustRightInd w:val="0"/>
              <w:spacing w:beforeLines="60" w:before="144" w:afterLines="60" w:after="144"/>
              <w:contextualSpacing/>
              <w:jc w:val="center"/>
              <w:rPr>
                <w:rFonts w:cs="Calibri"/>
                <w:sz w:val="20"/>
                <w:szCs w:val="20"/>
                <w:lang w:eastAsia="en-GB"/>
              </w:rPr>
            </w:pPr>
            <w:r w:rsidRPr="00304385">
              <w:rPr>
                <w:rFonts w:eastAsia="Times New Roman" w:cs="Times New Roman"/>
                <w:color w:val="000000"/>
                <w:sz w:val="20"/>
                <w:szCs w:val="20"/>
                <w:lang w:eastAsia="en-GB"/>
              </w:rPr>
              <w:t xml:space="preserve">Low </w:t>
            </w:r>
          </w:p>
        </w:tc>
        <w:tc>
          <w:tcPr>
            <w:tcW w:w="992" w:type="dxa"/>
            <w:vAlign w:val="bottom"/>
          </w:tcPr>
          <w:p w:rsidR="00071F2B" w:rsidRPr="00304385" w:rsidRDefault="00071F2B" w:rsidP="00071F2B">
            <w:pPr>
              <w:autoSpaceDE w:val="0"/>
              <w:autoSpaceDN w:val="0"/>
              <w:adjustRightInd w:val="0"/>
              <w:spacing w:beforeLines="60" w:before="144" w:afterLines="60" w:after="144"/>
              <w:contextualSpacing/>
              <w:jc w:val="center"/>
              <w:rPr>
                <w:rFonts w:cs="Calibri"/>
                <w:sz w:val="20"/>
                <w:szCs w:val="20"/>
                <w:lang w:eastAsia="en-GB"/>
              </w:rPr>
            </w:pPr>
            <w:r w:rsidRPr="00304385">
              <w:rPr>
                <w:rFonts w:eastAsia="Times New Roman" w:cs="Times New Roman"/>
                <w:color w:val="000000"/>
                <w:sz w:val="20"/>
                <w:szCs w:val="20"/>
                <w:lang w:eastAsia="en-GB"/>
              </w:rPr>
              <w:t>146</w:t>
            </w:r>
          </w:p>
        </w:tc>
        <w:tc>
          <w:tcPr>
            <w:tcW w:w="2348" w:type="dxa"/>
            <w:vAlign w:val="bottom"/>
          </w:tcPr>
          <w:p w:rsidR="00071F2B" w:rsidRPr="00304385" w:rsidRDefault="00071F2B" w:rsidP="00071F2B">
            <w:pPr>
              <w:autoSpaceDE w:val="0"/>
              <w:autoSpaceDN w:val="0"/>
              <w:adjustRightInd w:val="0"/>
              <w:spacing w:beforeLines="60" w:before="144" w:afterLines="60" w:after="144"/>
              <w:contextualSpacing/>
              <w:jc w:val="center"/>
              <w:rPr>
                <w:rFonts w:cs="Calibri"/>
                <w:sz w:val="20"/>
                <w:szCs w:val="20"/>
                <w:lang w:eastAsia="en-GB"/>
              </w:rPr>
            </w:pPr>
            <w:r w:rsidRPr="00304385">
              <w:rPr>
                <w:rFonts w:eastAsia="Times New Roman" w:cs="Times New Roman"/>
                <w:color w:val="000000"/>
                <w:sz w:val="20"/>
                <w:szCs w:val="20"/>
                <w:lang w:eastAsia="en-GB"/>
              </w:rPr>
              <w:t>94%</w:t>
            </w:r>
          </w:p>
        </w:tc>
      </w:tr>
      <w:tr w:rsidR="00071F2B" w:rsidRPr="00304385" w:rsidTr="00071F2B">
        <w:trPr>
          <w:cantSplit/>
          <w:trHeight w:val="353"/>
          <w:tblHeader/>
        </w:trPr>
        <w:tc>
          <w:tcPr>
            <w:tcW w:w="2251" w:type="dxa"/>
            <w:tcBorders>
              <w:bottom w:val="single" w:sz="4" w:space="0" w:color="auto"/>
            </w:tcBorders>
            <w:vAlign w:val="center"/>
          </w:tcPr>
          <w:p w:rsidR="00071F2B" w:rsidRPr="00304385" w:rsidRDefault="00071F2B" w:rsidP="001B4738">
            <w:pPr>
              <w:spacing w:beforeLines="60" w:before="144" w:afterLines="60" w:after="144"/>
              <w:contextualSpacing/>
              <w:rPr>
                <w:rFonts w:cs="Times New Roman"/>
                <w:sz w:val="20"/>
                <w:szCs w:val="20"/>
                <w:lang w:eastAsia="en-GB"/>
              </w:rPr>
            </w:pPr>
            <w:r w:rsidRPr="00304385">
              <w:rPr>
                <w:rFonts w:cs="Times New Roman"/>
                <w:sz w:val="20"/>
                <w:szCs w:val="20"/>
                <w:lang w:eastAsia="en-GB"/>
              </w:rPr>
              <w:t>Rook’s Textbook of Dermatology 7</w:t>
            </w:r>
            <w:r w:rsidRPr="00304385">
              <w:rPr>
                <w:rFonts w:cs="Times New Roman"/>
                <w:sz w:val="20"/>
                <w:szCs w:val="20"/>
                <w:vertAlign w:val="superscript"/>
                <w:lang w:eastAsia="en-GB"/>
              </w:rPr>
              <w:t>th</w:t>
            </w:r>
            <w:r w:rsidRPr="00304385">
              <w:rPr>
                <w:rFonts w:cs="Times New Roman"/>
                <w:sz w:val="20"/>
                <w:szCs w:val="20"/>
                <w:lang w:eastAsia="en-GB"/>
              </w:rPr>
              <w:t xml:space="preserve"> edition</w:t>
            </w:r>
            <w:r>
              <w:rPr>
                <w:rFonts w:cs="Times New Roman"/>
                <w:sz w:val="20"/>
                <w:szCs w:val="20"/>
                <w:lang w:eastAsia="en-GB"/>
              </w:rPr>
              <w:t xml:space="preserve"> </w:t>
            </w:r>
            <w:r w:rsidR="00FB1688">
              <w:rPr>
                <w:rFonts w:cs="Times New Roman"/>
                <w:noProof/>
                <w:sz w:val="20"/>
                <w:szCs w:val="20"/>
                <w:lang w:eastAsia="en-GB"/>
              </w:rPr>
              <w:t>(</w:t>
            </w:r>
            <w:r w:rsidR="001B4738">
              <w:rPr>
                <w:rFonts w:cs="Times New Roman"/>
                <w:noProof/>
                <w:sz w:val="20"/>
                <w:szCs w:val="20"/>
                <w:lang w:eastAsia="en-GB"/>
              </w:rPr>
              <w:t>26</w:t>
            </w:r>
            <w:r w:rsidR="00FB1688">
              <w:rPr>
                <w:rFonts w:cs="Times New Roman"/>
                <w:noProof/>
                <w:sz w:val="20"/>
                <w:szCs w:val="20"/>
                <w:lang w:eastAsia="en-GB"/>
              </w:rPr>
              <w:t>)</w:t>
            </w:r>
          </w:p>
        </w:tc>
        <w:tc>
          <w:tcPr>
            <w:tcW w:w="2395" w:type="dxa"/>
            <w:tcBorders>
              <w:bottom w:val="single" w:sz="4" w:space="0" w:color="auto"/>
            </w:tcBorders>
            <w:vAlign w:val="center"/>
          </w:tcPr>
          <w:p w:rsidR="00071F2B" w:rsidRPr="00304385" w:rsidRDefault="00071F2B" w:rsidP="00071F2B">
            <w:pPr>
              <w:autoSpaceDE w:val="0"/>
              <w:autoSpaceDN w:val="0"/>
              <w:adjustRightInd w:val="0"/>
              <w:spacing w:beforeLines="60" w:before="144" w:afterLines="60" w:after="144"/>
              <w:contextualSpacing/>
              <w:jc w:val="center"/>
              <w:rPr>
                <w:rFonts w:cs="Calibri"/>
                <w:sz w:val="20"/>
                <w:szCs w:val="20"/>
                <w:lang w:eastAsia="en-GB"/>
              </w:rPr>
            </w:pPr>
            <w:r w:rsidRPr="00304385">
              <w:rPr>
                <w:rFonts w:cs="Calibri"/>
                <w:sz w:val="20"/>
                <w:szCs w:val="20"/>
                <w:lang w:eastAsia="en-GB"/>
              </w:rPr>
              <w:t>No study referenced</w:t>
            </w:r>
          </w:p>
        </w:tc>
        <w:tc>
          <w:tcPr>
            <w:tcW w:w="1030" w:type="dxa"/>
            <w:tcBorders>
              <w:bottom w:val="single" w:sz="4" w:space="0" w:color="auto"/>
            </w:tcBorders>
            <w:vAlign w:val="center"/>
          </w:tcPr>
          <w:p w:rsidR="00071F2B" w:rsidRPr="00304385" w:rsidRDefault="00071F2B" w:rsidP="00071F2B">
            <w:pPr>
              <w:autoSpaceDE w:val="0"/>
              <w:autoSpaceDN w:val="0"/>
              <w:adjustRightInd w:val="0"/>
              <w:spacing w:beforeLines="60" w:before="144" w:afterLines="60" w:after="144"/>
              <w:contextualSpacing/>
              <w:jc w:val="center"/>
              <w:rPr>
                <w:rFonts w:cs="Calibri"/>
                <w:sz w:val="20"/>
                <w:szCs w:val="20"/>
                <w:lang w:eastAsia="en-GB"/>
              </w:rPr>
            </w:pPr>
            <w:r w:rsidRPr="00304385">
              <w:rPr>
                <w:rFonts w:cs="Calibri"/>
                <w:sz w:val="20"/>
                <w:szCs w:val="20"/>
                <w:lang w:eastAsia="en-GB"/>
              </w:rPr>
              <w:t>High</w:t>
            </w:r>
          </w:p>
        </w:tc>
        <w:tc>
          <w:tcPr>
            <w:tcW w:w="992" w:type="dxa"/>
            <w:tcBorders>
              <w:bottom w:val="single" w:sz="4" w:space="0" w:color="auto"/>
            </w:tcBorders>
            <w:vAlign w:val="center"/>
          </w:tcPr>
          <w:p w:rsidR="00071F2B" w:rsidRPr="00304385" w:rsidRDefault="00071F2B" w:rsidP="00071F2B">
            <w:pPr>
              <w:autoSpaceDE w:val="0"/>
              <w:autoSpaceDN w:val="0"/>
              <w:adjustRightInd w:val="0"/>
              <w:spacing w:beforeLines="60" w:before="144" w:afterLines="60" w:after="144"/>
              <w:contextualSpacing/>
              <w:jc w:val="center"/>
              <w:rPr>
                <w:rFonts w:cs="Calibri"/>
                <w:sz w:val="20"/>
                <w:szCs w:val="20"/>
                <w:lang w:eastAsia="en-GB"/>
              </w:rPr>
            </w:pPr>
            <w:r w:rsidRPr="00304385">
              <w:rPr>
                <w:rFonts w:cs="Calibri"/>
                <w:sz w:val="20"/>
                <w:szCs w:val="20"/>
                <w:lang w:eastAsia="en-GB"/>
              </w:rPr>
              <w:t>-</w:t>
            </w:r>
          </w:p>
        </w:tc>
        <w:tc>
          <w:tcPr>
            <w:tcW w:w="2348" w:type="dxa"/>
            <w:tcBorders>
              <w:bottom w:val="single" w:sz="4" w:space="0" w:color="auto"/>
            </w:tcBorders>
            <w:vAlign w:val="center"/>
          </w:tcPr>
          <w:p w:rsidR="00071F2B" w:rsidRPr="00304385" w:rsidRDefault="00071F2B" w:rsidP="00071F2B">
            <w:pPr>
              <w:autoSpaceDE w:val="0"/>
              <w:autoSpaceDN w:val="0"/>
              <w:adjustRightInd w:val="0"/>
              <w:spacing w:beforeLines="60" w:before="144" w:afterLines="60" w:after="144"/>
              <w:contextualSpacing/>
              <w:jc w:val="center"/>
              <w:rPr>
                <w:rFonts w:cs="Calibri"/>
                <w:sz w:val="20"/>
                <w:szCs w:val="20"/>
                <w:lang w:eastAsia="en-GB"/>
              </w:rPr>
            </w:pPr>
            <w:r w:rsidRPr="00304385">
              <w:rPr>
                <w:rFonts w:cs="Calibri"/>
                <w:sz w:val="20"/>
                <w:szCs w:val="20"/>
                <w:lang w:eastAsia="en-GB"/>
              </w:rPr>
              <w:t>90%</w:t>
            </w:r>
          </w:p>
        </w:tc>
      </w:tr>
      <w:tr w:rsidR="00071F2B" w:rsidRPr="00304385" w:rsidTr="00071F2B">
        <w:trPr>
          <w:cantSplit/>
          <w:trHeight w:val="353"/>
          <w:tblHeader/>
        </w:trPr>
        <w:tc>
          <w:tcPr>
            <w:tcW w:w="2251" w:type="dxa"/>
            <w:tcBorders>
              <w:right w:val="nil"/>
            </w:tcBorders>
            <w:vAlign w:val="center"/>
          </w:tcPr>
          <w:p w:rsidR="00071F2B" w:rsidRPr="00304385" w:rsidRDefault="00071F2B" w:rsidP="00071F2B">
            <w:pPr>
              <w:spacing w:beforeLines="60" w:before="144" w:afterLines="60" w:after="144"/>
              <w:contextualSpacing/>
              <w:rPr>
                <w:rFonts w:cs="Times New Roman"/>
                <w:b/>
                <w:sz w:val="20"/>
                <w:szCs w:val="20"/>
                <w:lang w:eastAsia="en-GB"/>
              </w:rPr>
            </w:pPr>
            <w:r w:rsidRPr="00304385">
              <w:rPr>
                <w:rFonts w:cs="Times New Roman"/>
                <w:b/>
                <w:sz w:val="20"/>
                <w:szCs w:val="20"/>
                <w:lang w:eastAsia="en-GB"/>
              </w:rPr>
              <w:t>Children</w:t>
            </w:r>
          </w:p>
        </w:tc>
        <w:tc>
          <w:tcPr>
            <w:tcW w:w="2395" w:type="dxa"/>
            <w:tcBorders>
              <w:left w:val="nil"/>
              <w:right w:val="nil"/>
            </w:tcBorders>
            <w:vAlign w:val="center"/>
          </w:tcPr>
          <w:p w:rsidR="00071F2B" w:rsidRPr="00304385" w:rsidRDefault="00071F2B" w:rsidP="00071F2B">
            <w:pPr>
              <w:autoSpaceDE w:val="0"/>
              <w:autoSpaceDN w:val="0"/>
              <w:adjustRightInd w:val="0"/>
              <w:spacing w:beforeLines="60" w:before="144" w:afterLines="60" w:after="144"/>
              <w:contextualSpacing/>
              <w:jc w:val="center"/>
              <w:rPr>
                <w:rFonts w:cs="Calibri"/>
                <w:sz w:val="20"/>
                <w:szCs w:val="20"/>
                <w:lang w:eastAsia="en-GB"/>
              </w:rPr>
            </w:pPr>
          </w:p>
        </w:tc>
        <w:tc>
          <w:tcPr>
            <w:tcW w:w="1030" w:type="dxa"/>
            <w:tcBorders>
              <w:left w:val="nil"/>
              <w:right w:val="nil"/>
            </w:tcBorders>
            <w:vAlign w:val="center"/>
          </w:tcPr>
          <w:p w:rsidR="00071F2B" w:rsidRPr="00304385" w:rsidRDefault="00071F2B" w:rsidP="00071F2B">
            <w:pPr>
              <w:autoSpaceDE w:val="0"/>
              <w:autoSpaceDN w:val="0"/>
              <w:adjustRightInd w:val="0"/>
              <w:spacing w:beforeLines="60" w:before="144" w:afterLines="60" w:after="144"/>
              <w:contextualSpacing/>
              <w:jc w:val="center"/>
              <w:rPr>
                <w:rFonts w:cs="Calibri"/>
                <w:sz w:val="20"/>
                <w:szCs w:val="20"/>
                <w:lang w:eastAsia="en-GB"/>
              </w:rPr>
            </w:pPr>
          </w:p>
        </w:tc>
        <w:tc>
          <w:tcPr>
            <w:tcW w:w="992" w:type="dxa"/>
            <w:tcBorders>
              <w:left w:val="nil"/>
              <w:right w:val="nil"/>
            </w:tcBorders>
            <w:vAlign w:val="center"/>
          </w:tcPr>
          <w:p w:rsidR="00071F2B" w:rsidRPr="00304385" w:rsidRDefault="00071F2B" w:rsidP="00071F2B">
            <w:pPr>
              <w:autoSpaceDE w:val="0"/>
              <w:autoSpaceDN w:val="0"/>
              <w:adjustRightInd w:val="0"/>
              <w:spacing w:beforeLines="60" w:before="144" w:afterLines="60" w:after="144"/>
              <w:contextualSpacing/>
              <w:jc w:val="center"/>
              <w:rPr>
                <w:rFonts w:cs="Calibri"/>
                <w:sz w:val="20"/>
                <w:szCs w:val="20"/>
                <w:lang w:eastAsia="en-GB"/>
              </w:rPr>
            </w:pPr>
          </w:p>
        </w:tc>
        <w:tc>
          <w:tcPr>
            <w:tcW w:w="2348" w:type="dxa"/>
            <w:tcBorders>
              <w:left w:val="nil"/>
            </w:tcBorders>
            <w:vAlign w:val="center"/>
          </w:tcPr>
          <w:p w:rsidR="00071F2B" w:rsidRPr="00304385" w:rsidRDefault="00071F2B" w:rsidP="00071F2B">
            <w:pPr>
              <w:autoSpaceDE w:val="0"/>
              <w:autoSpaceDN w:val="0"/>
              <w:adjustRightInd w:val="0"/>
              <w:spacing w:beforeLines="60" w:before="144" w:afterLines="60" w:after="144"/>
              <w:contextualSpacing/>
              <w:jc w:val="center"/>
              <w:rPr>
                <w:rFonts w:cs="Calibri"/>
                <w:sz w:val="20"/>
                <w:szCs w:val="20"/>
                <w:lang w:eastAsia="en-GB"/>
              </w:rPr>
            </w:pPr>
          </w:p>
        </w:tc>
      </w:tr>
      <w:tr w:rsidR="00071F2B" w:rsidRPr="00304385" w:rsidTr="00071F2B">
        <w:trPr>
          <w:cantSplit/>
          <w:trHeight w:val="371"/>
          <w:tblHeader/>
        </w:trPr>
        <w:tc>
          <w:tcPr>
            <w:tcW w:w="2251" w:type="dxa"/>
            <w:vAlign w:val="center"/>
          </w:tcPr>
          <w:p w:rsidR="00071F2B" w:rsidRPr="00304385" w:rsidRDefault="00071F2B" w:rsidP="001B4738">
            <w:pPr>
              <w:spacing w:beforeLines="60" w:before="144" w:afterLines="60" w:after="144"/>
              <w:contextualSpacing/>
              <w:rPr>
                <w:rFonts w:cs="Times New Roman"/>
                <w:sz w:val="20"/>
                <w:szCs w:val="20"/>
                <w:lang w:eastAsia="en-GB"/>
              </w:rPr>
            </w:pPr>
            <w:r>
              <w:rPr>
                <w:rFonts w:cs="Times New Roman"/>
                <w:noProof/>
                <w:sz w:val="20"/>
                <w:szCs w:val="20"/>
                <w:lang w:eastAsia="en-GB"/>
              </w:rPr>
              <w:t xml:space="preserve">Tollefson (2010) </w:t>
            </w:r>
            <w:r w:rsidR="00FB1688">
              <w:rPr>
                <w:rFonts w:cs="Times New Roman"/>
                <w:noProof/>
                <w:sz w:val="20"/>
                <w:szCs w:val="20"/>
                <w:lang w:eastAsia="en-GB"/>
              </w:rPr>
              <w:t>(</w:t>
            </w:r>
            <w:r w:rsidR="001B4738">
              <w:rPr>
                <w:rFonts w:cs="Times New Roman"/>
                <w:noProof/>
                <w:sz w:val="20"/>
                <w:szCs w:val="20"/>
                <w:lang w:eastAsia="en-GB"/>
              </w:rPr>
              <w:t>12</w:t>
            </w:r>
            <w:r w:rsidR="00FB1688">
              <w:rPr>
                <w:rFonts w:cs="Times New Roman"/>
                <w:noProof/>
                <w:sz w:val="20"/>
                <w:szCs w:val="20"/>
                <w:lang w:eastAsia="en-GB"/>
              </w:rPr>
              <w:t>)</w:t>
            </w:r>
          </w:p>
        </w:tc>
        <w:tc>
          <w:tcPr>
            <w:tcW w:w="2395" w:type="dxa"/>
            <w:vAlign w:val="center"/>
          </w:tcPr>
          <w:p w:rsidR="00071F2B" w:rsidRPr="00304385" w:rsidRDefault="00071F2B" w:rsidP="00071F2B">
            <w:pPr>
              <w:autoSpaceDE w:val="0"/>
              <w:autoSpaceDN w:val="0"/>
              <w:adjustRightInd w:val="0"/>
              <w:spacing w:beforeLines="60" w:before="144" w:afterLines="60" w:after="144"/>
              <w:contextualSpacing/>
              <w:jc w:val="center"/>
              <w:rPr>
                <w:rFonts w:cs="Calibri"/>
                <w:sz w:val="20"/>
                <w:szCs w:val="20"/>
                <w:lang w:eastAsia="en-GB"/>
              </w:rPr>
            </w:pPr>
            <w:r w:rsidRPr="00304385">
              <w:rPr>
                <w:rFonts w:cs="Calibri"/>
                <w:sz w:val="20"/>
                <w:szCs w:val="20"/>
                <w:lang w:eastAsia="en-GB"/>
              </w:rPr>
              <w:t>USA (1970-1999)</w:t>
            </w:r>
          </w:p>
        </w:tc>
        <w:tc>
          <w:tcPr>
            <w:tcW w:w="1030" w:type="dxa"/>
            <w:vAlign w:val="center"/>
          </w:tcPr>
          <w:p w:rsidR="00071F2B" w:rsidRPr="00304385" w:rsidRDefault="00071F2B" w:rsidP="00071F2B">
            <w:pPr>
              <w:autoSpaceDE w:val="0"/>
              <w:autoSpaceDN w:val="0"/>
              <w:adjustRightInd w:val="0"/>
              <w:spacing w:beforeLines="60" w:before="144" w:afterLines="60" w:after="144"/>
              <w:contextualSpacing/>
              <w:jc w:val="center"/>
              <w:rPr>
                <w:rFonts w:cs="Calibri"/>
                <w:sz w:val="20"/>
                <w:szCs w:val="20"/>
                <w:lang w:eastAsia="en-GB"/>
              </w:rPr>
            </w:pPr>
            <w:r w:rsidRPr="00304385">
              <w:rPr>
                <w:rFonts w:cs="Calibri"/>
                <w:sz w:val="20"/>
                <w:szCs w:val="20"/>
                <w:lang w:eastAsia="en-GB"/>
              </w:rPr>
              <w:t>Low</w:t>
            </w:r>
          </w:p>
        </w:tc>
        <w:tc>
          <w:tcPr>
            <w:tcW w:w="992" w:type="dxa"/>
            <w:vAlign w:val="center"/>
          </w:tcPr>
          <w:p w:rsidR="00071F2B" w:rsidRPr="00304385" w:rsidRDefault="00071F2B" w:rsidP="00071F2B">
            <w:pPr>
              <w:autoSpaceDE w:val="0"/>
              <w:autoSpaceDN w:val="0"/>
              <w:adjustRightInd w:val="0"/>
              <w:spacing w:beforeLines="60" w:before="144" w:afterLines="60" w:after="144"/>
              <w:contextualSpacing/>
              <w:jc w:val="center"/>
              <w:rPr>
                <w:rFonts w:cs="Calibri"/>
                <w:sz w:val="20"/>
                <w:szCs w:val="20"/>
                <w:lang w:eastAsia="en-GB"/>
              </w:rPr>
            </w:pPr>
            <w:r w:rsidRPr="00304385">
              <w:rPr>
                <w:rFonts w:cs="Calibri"/>
                <w:sz w:val="20"/>
                <w:szCs w:val="20"/>
                <w:lang w:eastAsia="en-GB"/>
              </w:rPr>
              <w:t>357</w:t>
            </w:r>
          </w:p>
        </w:tc>
        <w:tc>
          <w:tcPr>
            <w:tcW w:w="2348" w:type="dxa"/>
            <w:vAlign w:val="center"/>
          </w:tcPr>
          <w:p w:rsidR="00071F2B" w:rsidRPr="00304385" w:rsidRDefault="00071F2B" w:rsidP="00071F2B">
            <w:pPr>
              <w:autoSpaceDE w:val="0"/>
              <w:autoSpaceDN w:val="0"/>
              <w:adjustRightInd w:val="0"/>
              <w:spacing w:beforeLines="60" w:before="144" w:afterLines="60" w:after="144"/>
              <w:contextualSpacing/>
              <w:jc w:val="center"/>
              <w:rPr>
                <w:rFonts w:cs="Calibri"/>
                <w:sz w:val="20"/>
                <w:szCs w:val="20"/>
                <w:lang w:eastAsia="en-GB"/>
              </w:rPr>
            </w:pPr>
            <w:r w:rsidRPr="00304385">
              <w:rPr>
                <w:rFonts w:cs="Calibri"/>
                <w:sz w:val="20"/>
                <w:szCs w:val="20"/>
                <w:lang w:eastAsia="en-GB"/>
              </w:rPr>
              <w:t xml:space="preserve">74% </w:t>
            </w:r>
          </w:p>
        </w:tc>
      </w:tr>
      <w:tr w:rsidR="00071F2B" w:rsidRPr="00304385" w:rsidTr="00071F2B">
        <w:trPr>
          <w:cantSplit/>
          <w:trHeight w:val="371"/>
          <w:tblHeader/>
        </w:trPr>
        <w:tc>
          <w:tcPr>
            <w:tcW w:w="2251" w:type="dxa"/>
            <w:vAlign w:val="center"/>
          </w:tcPr>
          <w:p w:rsidR="00071F2B" w:rsidRPr="00304385" w:rsidRDefault="00071F2B" w:rsidP="001B4738">
            <w:pPr>
              <w:spacing w:beforeLines="60" w:before="144" w:afterLines="60" w:after="144"/>
              <w:contextualSpacing/>
              <w:rPr>
                <w:rFonts w:cs="Times New Roman"/>
                <w:sz w:val="20"/>
                <w:szCs w:val="20"/>
                <w:lang w:eastAsia="en-GB"/>
              </w:rPr>
            </w:pPr>
            <w:r w:rsidRPr="00304385">
              <w:rPr>
                <w:rFonts w:eastAsia="Times New Roman" w:cs="Times New Roman"/>
                <w:color w:val="000000"/>
                <w:sz w:val="20"/>
                <w:szCs w:val="20"/>
                <w:lang w:eastAsia="en-GB"/>
              </w:rPr>
              <w:t xml:space="preserve">Bonigen </w:t>
            </w:r>
            <w:r>
              <w:rPr>
                <w:rFonts w:eastAsia="Times New Roman" w:cs="Times New Roman"/>
                <w:color w:val="000000"/>
                <w:sz w:val="20"/>
                <w:szCs w:val="20"/>
                <w:lang w:eastAsia="en-GB"/>
              </w:rPr>
              <w:t>(</w:t>
            </w:r>
            <w:r w:rsidRPr="00304385">
              <w:rPr>
                <w:rFonts w:eastAsia="Times New Roman" w:cs="Times New Roman"/>
                <w:color w:val="000000"/>
                <w:sz w:val="20"/>
                <w:szCs w:val="20"/>
                <w:lang w:eastAsia="en-GB"/>
              </w:rPr>
              <w:t>2016</w:t>
            </w:r>
            <w:r>
              <w:rPr>
                <w:rFonts w:eastAsia="Times New Roman" w:cs="Times New Roman"/>
                <w:color w:val="000000"/>
                <w:sz w:val="20"/>
                <w:szCs w:val="20"/>
                <w:lang w:eastAsia="en-GB"/>
              </w:rPr>
              <w:t xml:space="preserve">) </w:t>
            </w:r>
            <w:r w:rsidR="00FB1688">
              <w:rPr>
                <w:rFonts w:eastAsia="Times New Roman" w:cs="Times New Roman"/>
                <w:noProof/>
                <w:color w:val="000000"/>
                <w:sz w:val="20"/>
                <w:szCs w:val="20"/>
                <w:lang w:eastAsia="en-GB"/>
              </w:rPr>
              <w:t>(</w:t>
            </w:r>
            <w:r w:rsidR="001B4738">
              <w:rPr>
                <w:rFonts w:eastAsia="Times New Roman" w:cs="Times New Roman"/>
                <w:noProof/>
                <w:color w:val="000000"/>
                <w:sz w:val="20"/>
                <w:szCs w:val="20"/>
                <w:lang w:eastAsia="en-GB"/>
              </w:rPr>
              <w:t>27</w:t>
            </w:r>
            <w:r w:rsidR="00FB1688">
              <w:rPr>
                <w:rFonts w:eastAsia="Times New Roman" w:cs="Times New Roman"/>
                <w:noProof/>
                <w:color w:val="000000"/>
                <w:sz w:val="20"/>
                <w:szCs w:val="20"/>
                <w:lang w:eastAsia="en-GB"/>
              </w:rPr>
              <w:t>)</w:t>
            </w:r>
          </w:p>
        </w:tc>
        <w:tc>
          <w:tcPr>
            <w:tcW w:w="2395" w:type="dxa"/>
            <w:vAlign w:val="center"/>
          </w:tcPr>
          <w:p w:rsidR="00071F2B" w:rsidRPr="00304385" w:rsidRDefault="00071F2B" w:rsidP="00071F2B">
            <w:pPr>
              <w:autoSpaceDE w:val="0"/>
              <w:autoSpaceDN w:val="0"/>
              <w:adjustRightInd w:val="0"/>
              <w:spacing w:beforeLines="60" w:before="144" w:afterLines="60" w:after="144"/>
              <w:contextualSpacing/>
              <w:jc w:val="center"/>
              <w:rPr>
                <w:rFonts w:cs="Calibri"/>
                <w:sz w:val="20"/>
                <w:szCs w:val="20"/>
                <w:lang w:eastAsia="en-GB"/>
              </w:rPr>
            </w:pPr>
            <w:r w:rsidRPr="00304385">
              <w:rPr>
                <w:rFonts w:eastAsia="Times New Roman" w:cs="Times New Roman"/>
                <w:color w:val="000000"/>
                <w:sz w:val="20"/>
                <w:szCs w:val="20"/>
                <w:lang w:eastAsia="en-GB"/>
              </w:rPr>
              <w:t>France (2012-2013)</w:t>
            </w:r>
          </w:p>
        </w:tc>
        <w:tc>
          <w:tcPr>
            <w:tcW w:w="1030" w:type="dxa"/>
            <w:vAlign w:val="center"/>
          </w:tcPr>
          <w:p w:rsidR="00071F2B" w:rsidRPr="00304385" w:rsidRDefault="00071F2B" w:rsidP="00071F2B">
            <w:pPr>
              <w:autoSpaceDE w:val="0"/>
              <w:autoSpaceDN w:val="0"/>
              <w:adjustRightInd w:val="0"/>
              <w:spacing w:beforeLines="60" w:before="144" w:afterLines="60" w:after="144"/>
              <w:contextualSpacing/>
              <w:jc w:val="center"/>
              <w:rPr>
                <w:rFonts w:cs="Calibri"/>
                <w:sz w:val="20"/>
                <w:szCs w:val="20"/>
                <w:lang w:eastAsia="en-GB"/>
              </w:rPr>
            </w:pPr>
            <w:r w:rsidRPr="00304385">
              <w:rPr>
                <w:rFonts w:cs="Calibri"/>
                <w:sz w:val="20"/>
                <w:szCs w:val="20"/>
                <w:lang w:eastAsia="en-GB"/>
              </w:rPr>
              <w:t>Low</w:t>
            </w:r>
          </w:p>
        </w:tc>
        <w:tc>
          <w:tcPr>
            <w:tcW w:w="992" w:type="dxa"/>
            <w:vAlign w:val="center"/>
          </w:tcPr>
          <w:p w:rsidR="00071F2B" w:rsidRPr="00304385" w:rsidRDefault="00071F2B" w:rsidP="00071F2B">
            <w:pPr>
              <w:autoSpaceDE w:val="0"/>
              <w:autoSpaceDN w:val="0"/>
              <w:adjustRightInd w:val="0"/>
              <w:spacing w:beforeLines="60" w:before="144" w:afterLines="60" w:after="144"/>
              <w:contextualSpacing/>
              <w:jc w:val="center"/>
              <w:rPr>
                <w:rFonts w:cs="Calibri"/>
                <w:sz w:val="20"/>
                <w:szCs w:val="20"/>
                <w:lang w:eastAsia="en-GB"/>
              </w:rPr>
            </w:pPr>
            <w:r w:rsidRPr="00304385">
              <w:rPr>
                <w:rFonts w:eastAsia="Times New Roman" w:cs="Times New Roman"/>
                <w:color w:val="000000"/>
                <w:sz w:val="20"/>
                <w:szCs w:val="20"/>
                <w:lang w:eastAsia="en-GB"/>
              </w:rPr>
              <w:t>312</w:t>
            </w:r>
          </w:p>
        </w:tc>
        <w:tc>
          <w:tcPr>
            <w:tcW w:w="2348" w:type="dxa"/>
            <w:vAlign w:val="center"/>
          </w:tcPr>
          <w:p w:rsidR="00071F2B" w:rsidRPr="00304385" w:rsidRDefault="00071F2B" w:rsidP="00071F2B">
            <w:pPr>
              <w:autoSpaceDE w:val="0"/>
              <w:autoSpaceDN w:val="0"/>
              <w:adjustRightInd w:val="0"/>
              <w:spacing w:beforeLines="60" w:before="144" w:afterLines="60" w:after="144"/>
              <w:contextualSpacing/>
              <w:jc w:val="center"/>
              <w:rPr>
                <w:rFonts w:cs="Calibri"/>
                <w:sz w:val="20"/>
                <w:szCs w:val="20"/>
                <w:lang w:eastAsia="en-GB"/>
              </w:rPr>
            </w:pPr>
            <w:r w:rsidRPr="00304385">
              <w:rPr>
                <w:rFonts w:eastAsia="Times New Roman" w:cs="Times New Roman"/>
                <w:color w:val="000000"/>
                <w:sz w:val="20"/>
                <w:szCs w:val="20"/>
                <w:lang w:eastAsia="en-GB"/>
              </w:rPr>
              <w:t>64%</w:t>
            </w:r>
          </w:p>
        </w:tc>
      </w:tr>
      <w:tr w:rsidR="00071F2B" w:rsidRPr="00304385" w:rsidTr="00071F2B">
        <w:trPr>
          <w:cantSplit/>
          <w:trHeight w:val="371"/>
          <w:tblHeader/>
        </w:trPr>
        <w:tc>
          <w:tcPr>
            <w:tcW w:w="2251" w:type="dxa"/>
            <w:vAlign w:val="center"/>
          </w:tcPr>
          <w:p w:rsidR="00071F2B" w:rsidRPr="00304385" w:rsidRDefault="00071F2B" w:rsidP="001B4738">
            <w:pPr>
              <w:spacing w:beforeLines="60" w:before="144" w:afterLines="60" w:after="144"/>
              <w:contextualSpacing/>
              <w:rPr>
                <w:rFonts w:cs="Times New Roman"/>
                <w:sz w:val="20"/>
                <w:szCs w:val="20"/>
                <w:lang w:eastAsia="en-GB"/>
              </w:rPr>
            </w:pPr>
            <w:r w:rsidRPr="00304385">
              <w:rPr>
                <w:rFonts w:eastAsia="Times New Roman" w:cs="Times New Roman"/>
                <w:color w:val="000000"/>
                <w:sz w:val="20"/>
                <w:szCs w:val="20"/>
                <w:lang w:eastAsia="en-GB"/>
              </w:rPr>
              <w:t>Pourchot 2017</w:t>
            </w:r>
            <w:r>
              <w:rPr>
                <w:rFonts w:eastAsia="Times New Roman" w:cs="Times New Roman"/>
                <w:color w:val="000000"/>
                <w:sz w:val="20"/>
                <w:szCs w:val="20"/>
                <w:lang w:eastAsia="en-GB"/>
              </w:rPr>
              <w:t xml:space="preserve"> </w:t>
            </w:r>
            <w:r w:rsidR="00FB1688">
              <w:rPr>
                <w:rFonts w:eastAsia="Times New Roman" w:cs="Times New Roman"/>
                <w:noProof/>
                <w:color w:val="000000"/>
                <w:sz w:val="20"/>
                <w:szCs w:val="20"/>
                <w:lang w:eastAsia="en-GB"/>
              </w:rPr>
              <w:t>(</w:t>
            </w:r>
            <w:r w:rsidR="001B4738">
              <w:rPr>
                <w:rFonts w:eastAsia="Times New Roman" w:cs="Times New Roman"/>
                <w:noProof/>
                <w:color w:val="000000"/>
                <w:sz w:val="20"/>
                <w:szCs w:val="20"/>
                <w:lang w:eastAsia="en-GB"/>
              </w:rPr>
              <w:t>28</w:t>
            </w:r>
            <w:r w:rsidR="00FB1688">
              <w:rPr>
                <w:rFonts w:eastAsia="Times New Roman" w:cs="Times New Roman"/>
                <w:noProof/>
                <w:color w:val="000000"/>
                <w:sz w:val="20"/>
                <w:szCs w:val="20"/>
                <w:lang w:eastAsia="en-GB"/>
              </w:rPr>
              <w:t>)</w:t>
            </w:r>
          </w:p>
        </w:tc>
        <w:tc>
          <w:tcPr>
            <w:tcW w:w="2395" w:type="dxa"/>
            <w:vAlign w:val="center"/>
          </w:tcPr>
          <w:p w:rsidR="00071F2B" w:rsidRPr="00304385" w:rsidRDefault="00071F2B" w:rsidP="00071F2B">
            <w:pPr>
              <w:autoSpaceDE w:val="0"/>
              <w:autoSpaceDN w:val="0"/>
              <w:adjustRightInd w:val="0"/>
              <w:spacing w:beforeLines="60" w:before="144" w:afterLines="60" w:after="144"/>
              <w:contextualSpacing/>
              <w:jc w:val="center"/>
              <w:rPr>
                <w:rFonts w:cs="Calibri"/>
                <w:sz w:val="20"/>
                <w:szCs w:val="20"/>
                <w:lang w:eastAsia="en-GB"/>
              </w:rPr>
            </w:pPr>
            <w:r w:rsidRPr="00304385">
              <w:rPr>
                <w:rFonts w:eastAsia="Times New Roman" w:cs="Times New Roman"/>
                <w:color w:val="000000"/>
                <w:sz w:val="20"/>
                <w:szCs w:val="20"/>
                <w:lang w:eastAsia="en-GB"/>
              </w:rPr>
              <w:t>France (2012-2013)</w:t>
            </w:r>
          </w:p>
        </w:tc>
        <w:tc>
          <w:tcPr>
            <w:tcW w:w="1030" w:type="dxa"/>
            <w:vAlign w:val="center"/>
          </w:tcPr>
          <w:p w:rsidR="00071F2B" w:rsidRPr="00304385" w:rsidRDefault="00071F2B" w:rsidP="00071F2B">
            <w:pPr>
              <w:autoSpaceDE w:val="0"/>
              <w:autoSpaceDN w:val="0"/>
              <w:adjustRightInd w:val="0"/>
              <w:spacing w:beforeLines="60" w:before="144" w:afterLines="60" w:after="144"/>
              <w:contextualSpacing/>
              <w:jc w:val="center"/>
              <w:rPr>
                <w:rFonts w:cs="Calibri"/>
                <w:sz w:val="20"/>
                <w:szCs w:val="20"/>
                <w:lang w:eastAsia="en-GB"/>
              </w:rPr>
            </w:pPr>
            <w:r w:rsidRPr="00304385">
              <w:rPr>
                <w:rFonts w:cs="Calibri"/>
                <w:sz w:val="20"/>
                <w:szCs w:val="20"/>
                <w:lang w:eastAsia="en-GB"/>
              </w:rPr>
              <w:t>Low</w:t>
            </w:r>
          </w:p>
        </w:tc>
        <w:tc>
          <w:tcPr>
            <w:tcW w:w="992" w:type="dxa"/>
            <w:vAlign w:val="center"/>
          </w:tcPr>
          <w:p w:rsidR="00071F2B" w:rsidRPr="00304385" w:rsidRDefault="00071F2B" w:rsidP="00071F2B">
            <w:pPr>
              <w:autoSpaceDE w:val="0"/>
              <w:autoSpaceDN w:val="0"/>
              <w:adjustRightInd w:val="0"/>
              <w:spacing w:beforeLines="60" w:before="144" w:afterLines="60" w:after="144"/>
              <w:contextualSpacing/>
              <w:jc w:val="center"/>
              <w:rPr>
                <w:rFonts w:cs="Calibri"/>
                <w:sz w:val="20"/>
                <w:szCs w:val="20"/>
                <w:lang w:eastAsia="en-GB"/>
              </w:rPr>
            </w:pPr>
            <w:r w:rsidRPr="00304385">
              <w:rPr>
                <w:rFonts w:eastAsia="Times New Roman" w:cs="Times New Roman"/>
                <w:color w:val="000000"/>
                <w:sz w:val="20"/>
                <w:szCs w:val="20"/>
                <w:lang w:eastAsia="en-GB"/>
              </w:rPr>
              <w:t>313</w:t>
            </w:r>
          </w:p>
        </w:tc>
        <w:tc>
          <w:tcPr>
            <w:tcW w:w="2348" w:type="dxa"/>
            <w:vAlign w:val="center"/>
          </w:tcPr>
          <w:p w:rsidR="00071F2B" w:rsidRPr="00304385" w:rsidRDefault="00071F2B" w:rsidP="00071F2B">
            <w:pPr>
              <w:autoSpaceDE w:val="0"/>
              <w:autoSpaceDN w:val="0"/>
              <w:adjustRightInd w:val="0"/>
              <w:spacing w:beforeLines="60" w:before="144" w:afterLines="60" w:after="144"/>
              <w:contextualSpacing/>
              <w:jc w:val="center"/>
              <w:rPr>
                <w:rFonts w:cs="Calibri"/>
                <w:sz w:val="20"/>
                <w:szCs w:val="20"/>
                <w:lang w:eastAsia="en-GB"/>
              </w:rPr>
            </w:pPr>
            <w:r w:rsidRPr="00304385">
              <w:rPr>
                <w:rFonts w:eastAsia="Times New Roman" w:cs="Times New Roman"/>
                <w:color w:val="000000"/>
                <w:sz w:val="20"/>
                <w:szCs w:val="20"/>
                <w:lang w:eastAsia="en-GB"/>
              </w:rPr>
              <w:t>42%</w:t>
            </w:r>
          </w:p>
        </w:tc>
      </w:tr>
      <w:tr w:rsidR="00071F2B" w:rsidRPr="00304385" w:rsidTr="00071F2B">
        <w:trPr>
          <w:cantSplit/>
          <w:trHeight w:val="353"/>
          <w:tblHeader/>
        </w:trPr>
        <w:tc>
          <w:tcPr>
            <w:tcW w:w="2251" w:type="dxa"/>
            <w:vAlign w:val="center"/>
          </w:tcPr>
          <w:p w:rsidR="00071F2B" w:rsidRPr="008355BB" w:rsidRDefault="00071F2B" w:rsidP="001B4738">
            <w:pPr>
              <w:spacing w:beforeLines="60" w:before="144" w:afterLines="60" w:after="144"/>
              <w:contextualSpacing/>
              <w:rPr>
                <w:rFonts w:cs="Times New Roman"/>
                <w:sz w:val="20"/>
                <w:szCs w:val="20"/>
                <w:lang w:eastAsia="en-GB"/>
              </w:rPr>
            </w:pPr>
            <w:r w:rsidRPr="008355BB">
              <w:rPr>
                <w:rFonts w:cs="Times New Roman"/>
                <w:noProof/>
                <w:sz w:val="20"/>
                <w:szCs w:val="20"/>
                <w:lang w:eastAsia="en-GB"/>
              </w:rPr>
              <w:t xml:space="preserve">Morris (2001) </w:t>
            </w:r>
            <w:r w:rsidR="00FB1688" w:rsidRPr="008355BB">
              <w:rPr>
                <w:rFonts w:cs="Times New Roman"/>
                <w:noProof/>
                <w:sz w:val="20"/>
                <w:szCs w:val="20"/>
                <w:lang w:eastAsia="en-GB"/>
              </w:rPr>
              <w:t>(</w:t>
            </w:r>
            <w:r w:rsidR="001B4738" w:rsidRPr="008355BB">
              <w:rPr>
                <w:rFonts w:cs="Times New Roman"/>
                <w:noProof/>
                <w:sz w:val="20"/>
                <w:szCs w:val="20"/>
                <w:lang w:eastAsia="en-GB"/>
              </w:rPr>
              <w:t>29</w:t>
            </w:r>
            <w:r w:rsidR="00FB1688" w:rsidRPr="008355BB">
              <w:rPr>
                <w:rFonts w:cs="Times New Roman"/>
                <w:noProof/>
                <w:sz w:val="20"/>
                <w:szCs w:val="20"/>
                <w:lang w:eastAsia="en-GB"/>
              </w:rPr>
              <w:t>)</w:t>
            </w:r>
          </w:p>
        </w:tc>
        <w:tc>
          <w:tcPr>
            <w:tcW w:w="2395" w:type="dxa"/>
            <w:vAlign w:val="center"/>
          </w:tcPr>
          <w:p w:rsidR="00071F2B" w:rsidRPr="008355BB" w:rsidRDefault="00071F2B" w:rsidP="00071F2B">
            <w:pPr>
              <w:autoSpaceDE w:val="0"/>
              <w:autoSpaceDN w:val="0"/>
              <w:adjustRightInd w:val="0"/>
              <w:spacing w:beforeLines="60" w:before="144" w:afterLines="60" w:after="144"/>
              <w:contextualSpacing/>
              <w:jc w:val="center"/>
              <w:rPr>
                <w:rFonts w:cs="Calibri"/>
                <w:sz w:val="20"/>
                <w:szCs w:val="20"/>
                <w:lang w:eastAsia="en-GB"/>
              </w:rPr>
            </w:pPr>
            <w:r w:rsidRPr="008355BB">
              <w:rPr>
                <w:rFonts w:cs="Calibri"/>
                <w:sz w:val="20"/>
                <w:szCs w:val="20"/>
                <w:lang w:eastAsia="en-GB"/>
              </w:rPr>
              <w:t>Sydney, Australia (1981-1995)</w:t>
            </w:r>
          </w:p>
        </w:tc>
        <w:tc>
          <w:tcPr>
            <w:tcW w:w="1030" w:type="dxa"/>
            <w:vAlign w:val="center"/>
          </w:tcPr>
          <w:p w:rsidR="00071F2B" w:rsidRPr="008355BB" w:rsidRDefault="00071F2B" w:rsidP="00071F2B">
            <w:pPr>
              <w:autoSpaceDE w:val="0"/>
              <w:autoSpaceDN w:val="0"/>
              <w:adjustRightInd w:val="0"/>
              <w:spacing w:beforeLines="60" w:before="144" w:afterLines="60" w:after="144"/>
              <w:contextualSpacing/>
              <w:jc w:val="center"/>
              <w:rPr>
                <w:rFonts w:cs="Calibri"/>
                <w:sz w:val="20"/>
                <w:szCs w:val="20"/>
                <w:vertAlign w:val="superscript"/>
                <w:lang w:eastAsia="en-GB"/>
              </w:rPr>
            </w:pPr>
            <w:r w:rsidRPr="008355BB">
              <w:rPr>
                <w:rFonts w:cs="Calibri"/>
                <w:sz w:val="20"/>
                <w:szCs w:val="20"/>
                <w:lang w:eastAsia="en-GB"/>
              </w:rPr>
              <w:t>High</w:t>
            </w:r>
            <w:r w:rsidRPr="008355BB">
              <w:rPr>
                <w:rFonts w:cs="Calibri"/>
                <w:sz w:val="20"/>
                <w:szCs w:val="20"/>
                <w:vertAlign w:val="superscript"/>
                <w:lang w:eastAsia="en-GB"/>
              </w:rPr>
              <w:t>b</w:t>
            </w:r>
          </w:p>
        </w:tc>
        <w:tc>
          <w:tcPr>
            <w:tcW w:w="992" w:type="dxa"/>
            <w:vAlign w:val="center"/>
          </w:tcPr>
          <w:p w:rsidR="00071F2B" w:rsidRPr="008355BB" w:rsidRDefault="00071F2B" w:rsidP="00071F2B">
            <w:pPr>
              <w:autoSpaceDE w:val="0"/>
              <w:autoSpaceDN w:val="0"/>
              <w:adjustRightInd w:val="0"/>
              <w:spacing w:beforeLines="60" w:before="144" w:afterLines="60" w:after="144"/>
              <w:contextualSpacing/>
              <w:jc w:val="center"/>
              <w:rPr>
                <w:rFonts w:cs="Calibri"/>
                <w:sz w:val="20"/>
                <w:szCs w:val="20"/>
                <w:lang w:eastAsia="en-GB"/>
              </w:rPr>
            </w:pPr>
            <w:r w:rsidRPr="008355BB">
              <w:rPr>
                <w:rFonts w:cs="Calibri"/>
                <w:sz w:val="20"/>
                <w:szCs w:val="20"/>
                <w:lang w:eastAsia="en-GB"/>
              </w:rPr>
              <w:t>1,262</w:t>
            </w:r>
          </w:p>
        </w:tc>
        <w:tc>
          <w:tcPr>
            <w:tcW w:w="2348" w:type="dxa"/>
            <w:vAlign w:val="center"/>
          </w:tcPr>
          <w:p w:rsidR="00071F2B" w:rsidRPr="008355BB" w:rsidRDefault="00071F2B" w:rsidP="00071F2B">
            <w:pPr>
              <w:autoSpaceDE w:val="0"/>
              <w:autoSpaceDN w:val="0"/>
              <w:adjustRightInd w:val="0"/>
              <w:spacing w:beforeLines="60" w:before="144" w:afterLines="60" w:after="144"/>
              <w:contextualSpacing/>
              <w:jc w:val="center"/>
              <w:rPr>
                <w:rFonts w:cs="Calibri"/>
                <w:sz w:val="20"/>
                <w:szCs w:val="20"/>
                <w:lang w:eastAsia="en-GB"/>
              </w:rPr>
            </w:pPr>
            <w:r w:rsidRPr="008355BB">
              <w:rPr>
                <w:rFonts w:cs="Calibri"/>
                <w:sz w:val="20"/>
                <w:szCs w:val="20"/>
                <w:lang w:eastAsia="en-GB"/>
              </w:rPr>
              <w:t>34%</w:t>
            </w:r>
          </w:p>
        </w:tc>
      </w:tr>
    </w:tbl>
    <w:p w:rsidR="00071F2B" w:rsidRPr="00304385" w:rsidRDefault="00635B7A" w:rsidP="00E75F6C">
      <w:pPr>
        <w:spacing w:after="0"/>
        <w:rPr>
          <w:rFonts w:eastAsiaTheme="minorEastAsia" w:cs="Baskerville"/>
          <w:sz w:val="20"/>
          <w:szCs w:val="20"/>
          <w:lang w:eastAsia="en-GB"/>
        </w:rPr>
      </w:pPr>
      <w:r>
        <w:rPr>
          <w:rFonts w:eastAsiaTheme="minorEastAsia" w:cs="Baskerville"/>
          <w:sz w:val="20"/>
          <w:szCs w:val="20"/>
          <w:lang w:eastAsia="en-GB"/>
        </w:rPr>
        <w:t xml:space="preserve">CPP = chronic plaque psoriasis; </w:t>
      </w:r>
      <w:r w:rsidR="00071F2B" w:rsidRPr="00304385">
        <w:rPr>
          <w:rFonts w:eastAsiaTheme="minorEastAsia" w:cs="Baskerville"/>
          <w:sz w:val="20"/>
          <w:szCs w:val="20"/>
          <w:lang w:eastAsia="en-GB"/>
        </w:rPr>
        <w:t>NR = not reported</w:t>
      </w:r>
      <w:r>
        <w:rPr>
          <w:rFonts w:eastAsiaTheme="minorEastAsia" w:cs="Baskerville"/>
          <w:sz w:val="20"/>
          <w:szCs w:val="20"/>
          <w:lang w:eastAsia="en-GB"/>
        </w:rPr>
        <w:t>; UK = United Kingdom; USA = United States of America</w:t>
      </w:r>
      <w:r w:rsidR="00071F2B" w:rsidRPr="00304385">
        <w:rPr>
          <w:rFonts w:eastAsiaTheme="minorEastAsia" w:cs="Baskerville"/>
          <w:sz w:val="20"/>
          <w:szCs w:val="20"/>
          <w:lang w:eastAsia="en-GB"/>
        </w:rPr>
        <w:br/>
      </w:r>
      <w:r w:rsidR="00071F2B" w:rsidRPr="00304385">
        <w:rPr>
          <w:rFonts w:eastAsiaTheme="minorEastAsia" w:cs="Baskerville"/>
          <w:sz w:val="20"/>
          <w:szCs w:val="20"/>
          <w:vertAlign w:val="superscript"/>
          <w:lang w:eastAsia="en-GB"/>
        </w:rPr>
        <w:t xml:space="preserve">a </w:t>
      </w:r>
      <w:r w:rsidR="00071F2B" w:rsidRPr="00304385">
        <w:rPr>
          <w:rFonts w:eastAsiaTheme="minorEastAsia" w:cs="Baskerville"/>
          <w:sz w:val="20"/>
          <w:szCs w:val="20"/>
          <w:lang w:eastAsia="en-GB"/>
        </w:rPr>
        <w:t>The study had 330 participants. 35% of patients were unable to classify their psoriasis by sub-type.</w:t>
      </w:r>
      <w:r w:rsidR="00071F2B" w:rsidRPr="00304385">
        <w:rPr>
          <w:rFonts w:eastAsiaTheme="minorEastAsia" w:cs="Baskerville"/>
          <w:sz w:val="20"/>
          <w:szCs w:val="20"/>
          <w:vertAlign w:val="superscript"/>
          <w:lang w:eastAsia="en-GB"/>
        </w:rPr>
        <w:br/>
        <w:t xml:space="preserve">b </w:t>
      </w:r>
      <w:r w:rsidR="00071F2B" w:rsidRPr="00304385">
        <w:rPr>
          <w:rFonts w:eastAsiaTheme="minorEastAsia" w:cs="Baskerville"/>
          <w:sz w:val="20"/>
          <w:szCs w:val="20"/>
          <w:lang w:eastAsia="en-GB"/>
        </w:rPr>
        <w:t xml:space="preserve">The proportion of children aged less than 2 years (27%) was high. </w:t>
      </w:r>
    </w:p>
    <w:p w:rsidR="00071F2B" w:rsidRPr="00304385" w:rsidRDefault="00071F2B" w:rsidP="00071F2B">
      <w:pPr>
        <w:rPr>
          <w:rFonts w:cs="Times New Roman"/>
          <w:szCs w:val="24"/>
          <w:lang w:eastAsia="en-GB"/>
        </w:rPr>
      </w:pPr>
      <w:r w:rsidRPr="00304385">
        <w:rPr>
          <w:rFonts w:cs="Times New Roman"/>
          <w:szCs w:val="24"/>
          <w:lang w:eastAsia="en-GB"/>
        </w:rPr>
        <w:t xml:space="preserve">The estimates of the prevalence of </w:t>
      </w:r>
      <w:r w:rsidR="00891E82">
        <w:rPr>
          <w:rFonts w:cs="Times New Roman"/>
          <w:szCs w:val="24"/>
          <w:lang w:eastAsia="en-GB"/>
        </w:rPr>
        <w:t>CPP</w:t>
      </w:r>
      <w:r>
        <w:rPr>
          <w:rFonts w:cs="Times New Roman"/>
          <w:szCs w:val="24"/>
          <w:lang w:eastAsia="en-GB"/>
        </w:rPr>
        <w:t xml:space="preserve"> in </w:t>
      </w:r>
      <w:r w:rsidR="007948D9">
        <w:rPr>
          <w:rFonts w:cs="Times New Roman"/>
          <w:szCs w:val="24"/>
          <w:lang w:eastAsia="en-GB"/>
        </w:rPr>
        <w:t>adults</w:t>
      </w:r>
      <w:r>
        <w:rPr>
          <w:rFonts w:cs="Times New Roman"/>
          <w:szCs w:val="24"/>
          <w:lang w:eastAsia="en-GB"/>
        </w:rPr>
        <w:t xml:space="preserve"> with psoriasis</w:t>
      </w:r>
      <w:r w:rsidRPr="00304385">
        <w:rPr>
          <w:rFonts w:cs="Times New Roman"/>
          <w:szCs w:val="24"/>
          <w:lang w:eastAsia="en-GB"/>
        </w:rPr>
        <w:t xml:space="preserve"> ranged from 57% to 96%. </w:t>
      </w:r>
      <w:r>
        <w:rPr>
          <w:rFonts w:cs="Times New Roman"/>
          <w:szCs w:val="24"/>
          <w:lang w:eastAsia="en-GB"/>
        </w:rPr>
        <w:t>Two adult (</w:t>
      </w:r>
      <w:r>
        <w:rPr>
          <w:rFonts w:cs="Times New Roman"/>
          <w:noProof/>
          <w:szCs w:val="24"/>
          <w:lang w:eastAsia="en-GB"/>
        </w:rPr>
        <w:t>Baker (2013)</w:t>
      </w:r>
      <w:r>
        <w:rPr>
          <w:rFonts w:cs="Times New Roman"/>
          <w:szCs w:val="24"/>
          <w:lang w:eastAsia="en-GB"/>
        </w:rPr>
        <w:t xml:space="preserve"> and Norris (2017)) and one paediatric (Morris (2001)) Australian studies were identified in the review.</w:t>
      </w:r>
      <w:r w:rsidR="00FB1688">
        <w:rPr>
          <w:rFonts w:cs="Times New Roman"/>
          <w:noProof/>
          <w:szCs w:val="24"/>
          <w:lang w:eastAsia="en-GB"/>
        </w:rPr>
        <w:t>(</w:t>
      </w:r>
      <w:r w:rsidR="001B4738">
        <w:rPr>
          <w:rFonts w:cs="Times New Roman"/>
          <w:noProof/>
          <w:szCs w:val="24"/>
          <w:lang w:eastAsia="en-GB"/>
        </w:rPr>
        <w:t>18</w:t>
      </w:r>
      <w:r w:rsidR="00FB1688">
        <w:rPr>
          <w:rFonts w:cs="Times New Roman"/>
          <w:noProof/>
          <w:szCs w:val="24"/>
          <w:lang w:eastAsia="en-GB"/>
        </w:rPr>
        <w:t xml:space="preserve">, </w:t>
      </w:r>
      <w:r w:rsidR="001B4738">
        <w:rPr>
          <w:rFonts w:cs="Times New Roman"/>
          <w:noProof/>
          <w:szCs w:val="24"/>
          <w:lang w:eastAsia="en-GB"/>
        </w:rPr>
        <w:t>22</w:t>
      </w:r>
      <w:r w:rsidR="00FB1688">
        <w:rPr>
          <w:rFonts w:cs="Times New Roman"/>
          <w:noProof/>
          <w:szCs w:val="24"/>
          <w:lang w:eastAsia="en-GB"/>
        </w:rPr>
        <w:t xml:space="preserve">, </w:t>
      </w:r>
      <w:r w:rsidR="001B4738">
        <w:rPr>
          <w:rFonts w:cs="Times New Roman"/>
          <w:noProof/>
          <w:szCs w:val="24"/>
          <w:lang w:eastAsia="en-GB"/>
        </w:rPr>
        <w:t>29</w:t>
      </w:r>
      <w:r w:rsidR="00FB1688">
        <w:rPr>
          <w:rFonts w:cs="Times New Roman"/>
          <w:noProof/>
          <w:szCs w:val="24"/>
          <w:lang w:eastAsia="en-GB"/>
        </w:rPr>
        <w:t>)</w:t>
      </w:r>
      <w:r>
        <w:rPr>
          <w:rFonts w:cs="Times New Roman"/>
          <w:szCs w:val="24"/>
          <w:lang w:eastAsia="en-GB"/>
        </w:rPr>
        <w:t xml:space="preserve"> </w:t>
      </w:r>
      <w:r w:rsidRPr="00304385">
        <w:rPr>
          <w:rFonts w:cs="Times New Roman"/>
          <w:szCs w:val="24"/>
          <w:lang w:eastAsia="en-GB"/>
        </w:rPr>
        <w:t xml:space="preserve">Norris </w:t>
      </w:r>
      <w:r>
        <w:rPr>
          <w:rFonts w:cs="Times New Roman"/>
          <w:szCs w:val="24"/>
          <w:lang w:eastAsia="en-GB"/>
        </w:rPr>
        <w:t>(</w:t>
      </w:r>
      <w:r w:rsidRPr="00304385">
        <w:rPr>
          <w:rFonts w:cs="Times New Roman"/>
          <w:szCs w:val="24"/>
          <w:lang w:eastAsia="en-GB"/>
        </w:rPr>
        <w:t>2017</w:t>
      </w:r>
      <w:r>
        <w:rPr>
          <w:rFonts w:cs="Times New Roman"/>
          <w:szCs w:val="24"/>
          <w:lang w:eastAsia="en-GB"/>
        </w:rPr>
        <w:t xml:space="preserve">) reported that 96% of psoriasis patients had </w:t>
      </w:r>
      <w:r w:rsidR="00891E82">
        <w:rPr>
          <w:rFonts w:cs="Times New Roman"/>
          <w:szCs w:val="24"/>
          <w:lang w:eastAsia="en-GB"/>
        </w:rPr>
        <w:t>CPP</w:t>
      </w:r>
      <w:r>
        <w:rPr>
          <w:rFonts w:cs="Times New Roman"/>
          <w:szCs w:val="24"/>
          <w:lang w:eastAsia="en-GB"/>
        </w:rPr>
        <w:t>.</w:t>
      </w:r>
      <w:r w:rsidRPr="00304385">
        <w:rPr>
          <w:rFonts w:cs="Times New Roman"/>
          <w:szCs w:val="24"/>
          <w:lang w:eastAsia="en-GB"/>
        </w:rPr>
        <w:t xml:space="preserve"> </w:t>
      </w:r>
      <w:r>
        <w:rPr>
          <w:rFonts w:cs="Times New Roman"/>
          <w:szCs w:val="24"/>
          <w:lang w:eastAsia="en-GB"/>
        </w:rPr>
        <w:t xml:space="preserve"> </w:t>
      </w:r>
      <w:r>
        <w:rPr>
          <w:rFonts w:cs="Times New Roman"/>
          <w:noProof/>
          <w:szCs w:val="24"/>
          <w:lang w:eastAsia="en-GB"/>
        </w:rPr>
        <w:t>Baker (2013)</w:t>
      </w:r>
      <w:r w:rsidRPr="00304385">
        <w:rPr>
          <w:rFonts w:cs="Times New Roman"/>
          <w:szCs w:val="24"/>
          <w:lang w:eastAsia="en-GB"/>
        </w:rPr>
        <w:t xml:space="preserve"> reported 77% of Australian patients with psoriasis had </w:t>
      </w:r>
      <w:r w:rsidR="00891E82">
        <w:rPr>
          <w:rFonts w:cs="Times New Roman"/>
          <w:szCs w:val="24"/>
          <w:lang w:eastAsia="en-GB"/>
        </w:rPr>
        <w:t>CPP</w:t>
      </w:r>
      <w:r w:rsidRPr="00304385">
        <w:rPr>
          <w:rFonts w:cs="Times New Roman"/>
          <w:szCs w:val="24"/>
          <w:lang w:eastAsia="en-GB"/>
        </w:rPr>
        <w:t>.</w:t>
      </w:r>
      <w:r>
        <w:rPr>
          <w:rFonts w:cs="Times New Roman"/>
          <w:szCs w:val="24"/>
          <w:lang w:eastAsia="en-GB"/>
        </w:rPr>
        <w:t xml:space="preserve"> A number of biases in these studies affect their generalisability to the national setting. </w:t>
      </w:r>
      <w:r w:rsidRPr="00304385">
        <w:rPr>
          <w:rFonts w:cs="Times New Roman"/>
          <w:szCs w:val="24"/>
          <w:lang w:eastAsia="en-GB"/>
        </w:rPr>
        <w:t xml:space="preserve">Norris </w:t>
      </w:r>
      <w:r>
        <w:rPr>
          <w:rFonts w:cs="Times New Roman"/>
          <w:szCs w:val="24"/>
          <w:lang w:eastAsia="en-GB"/>
        </w:rPr>
        <w:t>(</w:t>
      </w:r>
      <w:r w:rsidRPr="00304385">
        <w:rPr>
          <w:rFonts w:cs="Times New Roman"/>
          <w:szCs w:val="24"/>
          <w:lang w:eastAsia="en-GB"/>
        </w:rPr>
        <w:t>2017</w:t>
      </w:r>
      <w:r>
        <w:rPr>
          <w:rFonts w:cs="Times New Roman"/>
          <w:szCs w:val="24"/>
          <w:lang w:eastAsia="en-GB"/>
        </w:rPr>
        <w:t>)</w:t>
      </w:r>
      <w:r w:rsidRPr="00304385">
        <w:rPr>
          <w:rFonts w:cs="Times New Roman"/>
          <w:szCs w:val="24"/>
          <w:lang w:eastAsia="en-GB"/>
        </w:rPr>
        <w:t xml:space="preserve"> was not considered to be representative of the broader Australian population with psoriasis because it was sourced from </w:t>
      </w:r>
      <w:r w:rsidR="00FC7DD9">
        <w:rPr>
          <w:rFonts w:cs="Times New Roman"/>
          <w:szCs w:val="24"/>
          <w:lang w:eastAsia="en-GB"/>
        </w:rPr>
        <w:t>t</w:t>
      </w:r>
      <w:r w:rsidR="00FC7DD9" w:rsidRPr="00304385">
        <w:rPr>
          <w:rFonts w:cs="Times New Roman"/>
          <w:szCs w:val="24"/>
          <w:lang w:eastAsia="en-GB"/>
        </w:rPr>
        <w:t xml:space="preserve">he </w:t>
      </w:r>
      <w:r w:rsidRPr="00304385">
        <w:rPr>
          <w:rFonts w:cs="Times New Roman"/>
          <w:szCs w:val="24"/>
          <w:lang w:eastAsia="en-GB"/>
        </w:rPr>
        <w:t xml:space="preserve">Australasian Psoriasis Registry which only included patients who had started systemic therapy. </w:t>
      </w:r>
      <w:r w:rsidRPr="008C74E2">
        <w:rPr>
          <w:rFonts w:cs="Times New Roman"/>
          <w:szCs w:val="24"/>
          <w:lang w:eastAsia="en-GB"/>
        </w:rPr>
        <w:t>Baker</w:t>
      </w:r>
      <w:r>
        <w:rPr>
          <w:rFonts w:cs="Times New Roman"/>
          <w:szCs w:val="24"/>
          <w:lang w:eastAsia="en-GB"/>
        </w:rPr>
        <w:t xml:space="preserve"> (</w:t>
      </w:r>
      <w:r w:rsidRPr="008C74E2">
        <w:rPr>
          <w:rFonts w:cs="Times New Roman"/>
          <w:szCs w:val="24"/>
          <w:lang w:eastAsia="en-GB"/>
        </w:rPr>
        <w:t xml:space="preserve">2013) </w:t>
      </w:r>
      <w:r w:rsidRPr="00304385">
        <w:rPr>
          <w:rFonts w:cs="Times New Roman"/>
          <w:szCs w:val="24"/>
          <w:lang w:eastAsia="en-GB"/>
        </w:rPr>
        <w:t>may not have recruited a representative sample</w:t>
      </w:r>
      <w:r>
        <w:rPr>
          <w:rFonts w:cs="Times New Roman"/>
          <w:szCs w:val="24"/>
          <w:lang w:eastAsia="en-GB"/>
        </w:rPr>
        <w:t xml:space="preserve"> due to recruitment through </w:t>
      </w:r>
      <w:r w:rsidRPr="003A20F9">
        <w:rPr>
          <w:rFonts w:cs="Times New Roman"/>
          <w:noProof/>
          <w:szCs w:val="24"/>
          <w:lang w:eastAsia="en-GB"/>
        </w:rPr>
        <w:t>clinicians</w:t>
      </w:r>
      <w:r>
        <w:rPr>
          <w:rFonts w:cs="Times New Roman"/>
          <w:szCs w:val="24"/>
          <w:lang w:eastAsia="en-GB"/>
        </w:rPr>
        <w:t xml:space="preserve"> and a patient support group</w:t>
      </w:r>
      <w:r w:rsidRPr="00304385">
        <w:rPr>
          <w:rFonts w:cs="Times New Roman"/>
          <w:szCs w:val="24"/>
          <w:lang w:eastAsia="en-GB"/>
        </w:rPr>
        <w:t xml:space="preserve"> and the results were based on patient self-reporting.</w:t>
      </w:r>
    </w:p>
    <w:p w:rsidR="00071F2B" w:rsidRPr="00304385" w:rsidRDefault="00071F2B" w:rsidP="00071F2B">
      <w:pPr>
        <w:rPr>
          <w:rFonts w:cs="Times New Roman"/>
          <w:szCs w:val="24"/>
          <w:lang w:eastAsia="en-GB"/>
        </w:rPr>
      </w:pPr>
      <w:r>
        <w:rPr>
          <w:rFonts w:cs="Times New Roman"/>
          <w:noProof/>
          <w:szCs w:val="24"/>
          <w:lang w:eastAsia="en-GB"/>
        </w:rPr>
        <w:t>Icen (2009)</w:t>
      </w:r>
      <w:r w:rsidRPr="00304385">
        <w:rPr>
          <w:rFonts w:cs="Times New Roman"/>
          <w:szCs w:val="24"/>
          <w:lang w:eastAsia="en-GB"/>
        </w:rPr>
        <w:t xml:space="preserve"> was a study </w:t>
      </w:r>
      <w:r w:rsidR="00FC7DD9">
        <w:rPr>
          <w:rFonts w:cs="Times New Roman"/>
          <w:szCs w:val="24"/>
          <w:lang w:eastAsia="en-GB"/>
        </w:rPr>
        <w:t xml:space="preserve">on psoriasis epidemiology </w:t>
      </w:r>
      <w:r w:rsidRPr="00304385">
        <w:rPr>
          <w:rFonts w:cs="Times New Roman"/>
          <w:szCs w:val="24"/>
          <w:lang w:eastAsia="en-GB"/>
        </w:rPr>
        <w:t>from the USA that examined clinical records in a region in the USA</w:t>
      </w:r>
      <w:r w:rsidR="00FC7DD9">
        <w:rPr>
          <w:rFonts w:cs="Times New Roman"/>
          <w:szCs w:val="24"/>
          <w:lang w:eastAsia="en-GB"/>
        </w:rPr>
        <w:t>.</w:t>
      </w:r>
      <w:r w:rsidRPr="00304385">
        <w:rPr>
          <w:rFonts w:cs="Times New Roman"/>
          <w:szCs w:val="24"/>
          <w:lang w:eastAsia="en-GB"/>
        </w:rPr>
        <w:t xml:space="preserve"> It reported that 79% of patients with newly </w:t>
      </w:r>
      <w:r w:rsidRPr="0053793A">
        <w:rPr>
          <w:rFonts w:cs="Times New Roman"/>
          <w:szCs w:val="24"/>
          <w:lang w:eastAsia="en-GB"/>
        </w:rPr>
        <w:t>diagnosed</w:t>
      </w:r>
      <w:r w:rsidRPr="00304385">
        <w:rPr>
          <w:rFonts w:cs="Times New Roman"/>
          <w:szCs w:val="24"/>
          <w:lang w:eastAsia="en-GB"/>
        </w:rPr>
        <w:t xml:space="preserve"> psoriasis had </w:t>
      </w:r>
      <w:r w:rsidR="00891E82">
        <w:rPr>
          <w:rFonts w:cs="Times New Roman"/>
          <w:szCs w:val="24"/>
          <w:lang w:eastAsia="en-GB"/>
        </w:rPr>
        <w:t>CPP</w:t>
      </w:r>
      <w:r w:rsidRPr="00304385">
        <w:rPr>
          <w:rFonts w:cs="Times New Roman"/>
          <w:szCs w:val="24"/>
          <w:lang w:eastAsia="en-GB"/>
        </w:rPr>
        <w:t xml:space="preserve">. This did not vary substantially during the three decades of the study, ranging from 77% in the 1970s to 81% in the 1980s. </w:t>
      </w:r>
      <w:r w:rsidR="00E40E9D" w:rsidRPr="00304385">
        <w:rPr>
          <w:rFonts w:cs="Times New Roman"/>
          <w:szCs w:val="24"/>
          <w:lang w:eastAsia="en-GB"/>
        </w:rPr>
        <w:t xml:space="preserve">The figure reported by </w:t>
      </w:r>
      <w:r w:rsidR="00E40E9D">
        <w:rPr>
          <w:rFonts w:cs="Times New Roman"/>
          <w:noProof/>
          <w:szCs w:val="24"/>
          <w:lang w:eastAsia="en-GB"/>
        </w:rPr>
        <w:t>Icen (2009)</w:t>
      </w:r>
      <w:r w:rsidR="00E40E9D" w:rsidRPr="00304385">
        <w:rPr>
          <w:rFonts w:cs="Times New Roman"/>
          <w:szCs w:val="24"/>
          <w:lang w:eastAsia="en-GB"/>
        </w:rPr>
        <w:t xml:space="preserve"> appeared to be the most robust and applicable figure for the prevalence of </w:t>
      </w:r>
      <w:r w:rsidR="00E40E9D">
        <w:rPr>
          <w:rFonts w:cs="Times New Roman"/>
          <w:szCs w:val="24"/>
          <w:lang w:eastAsia="en-GB"/>
        </w:rPr>
        <w:t>CPP</w:t>
      </w:r>
      <w:r w:rsidR="00E40E9D" w:rsidRPr="00304385">
        <w:rPr>
          <w:rFonts w:cs="Times New Roman"/>
          <w:szCs w:val="24"/>
          <w:lang w:eastAsia="en-GB"/>
        </w:rPr>
        <w:t xml:space="preserve"> for adults </w:t>
      </w:r>
      <w:r w:rsidR="00E40E9D">
        <w:rPr>
          <w:rFonts w:cs="Times New Roman"/>
          <w:szCs w:val="24"/>
          <w:lang w:eastAsia="en-GB"/>
        </w:rPr>
        <w:t>with psoriasis that could be applicable to</w:t>
      </w:r>
      <w:r w:rsidR="00E40E9D" w:rsidRPr="00304385">
        <w:rPr>
          <w:rFonts w:cs="Times New Roman"/>
          <w:szCs w:val="24"/>
          <w:lang w:eastAsia="en-GB"/>
        </w:rPr>
        <w:t xml:space="preserve"> Australia, corroborated by the results of </w:t>
      </w:r>
      <w:r w:rsidR="00E40E9D">
        <w:rPr>
          <w:rFonts w:cs="Times New Roman"/>
          <w:noProof/>
          <w:szCs w:val="24"/>
          <w:lang w:eastAsia="en-GB"/>
        </w:rPr>
        <w:t>Baker (2013)</w:t>
      </w:r>
      <w:r w:rsidR="00E40E9D" w:rsidRPr="00304385">
        <w:rPr>
          <w:rFonts w:cs="Times New Roman"/>
          <w:szCs w:val="24"/>
          <w:lang w:eastAsia="en-GB"/>
        </w:rPr>
        <w:t>.</w:t>
      </w:r>
      <w:r w:rsidR="00FB1688">
        <w:rPr>
          <w:rFonts w:cs="Times New Roman"/>
          <w:noProof/>
          <w:szCs w:val="24"/>
          <w:lang w:eastAsia="en-GB"/>
        </w:rPr>
        <w:t>(</w:t>
      </w:r>
      <w:r w:rsidR="001B4738">
        <w:rPr>
          <w:rFonts w:cs="Times New Roman"/>
          <w:noProof/>
          <w:szCs w:val="24"/>
          <w:lang w:eastAsia="en-GB"/>
        </w:rPr>
        <w:t>13</w:t>
      </w:r>
      <w:r w:rsidR="00FB1688">
        <w:rPr>
          <w:rFonts w:cs="Times New Roman"/>
          <w:noProof/>
          <w:szCs w:val="24"/>
          <w:lang w:eastAsia="en-GB"/>
        </w:rPr>
        <w:t xml:space="preserve">, </w:t>
      </w:r>
      <w:r w:rsidR="001B4738">
        <w:rPr>
          <w:rFonts w:cs="Times New Roman"/>
          <w:noProof/>
          <w:szCs w:val="24"/>
          <w:lang w:eastAsia="en-GB"/>
        </w:rPr>
        <w:t>18</w:t>
      </w:r>
      <w:r w:rsidR="00FB1688">
        <w:rPr>
          <w:rFonts w:cs="Times New Roman"/>
          <w:noProof/>
          <w:szCs w:val="24"/>
          <w:lang w:eastAsia="en-GB"/>
        </w:rPr>
        <w:t>)</w:t>
      </w:r>
      <w:r w:rsidR="00E40E9D" w:rsidRPr="00304385">
        <w:rPr>
          <w:rFonts w:cs="Times New Roman"/>
          <w:szCs w:val="24"/>
          <w:lang w:eastAsia="en-GB"/>
        </w:rPr>
        <w:t xml:space="preserve"> </w:t>
      </w:r>
      <w:r w:rsidR="00E40E9D">
        <w:rPr>
          <w:rFonts w:cs="Times New Roman"/>
          <w:noProof/>
          <w:szCs w:val="24"/>
          <w:lang w:eastAsia="en-GB"/>
        </w:rPr>
        <w:t>Schafer (2011)</w:t>
      </w:r>
      <w:r w:rsidR="00E40E9D" w:rsidRPr="00304385">
        <w:rPr>
          <w:rFonts w:cs="Times New Roman"/>
          <w:szCs w:val="24"/>
          <w:lang w:eastAsia="en-GB"/>
        </w:rPr>
        <w:t xml:space="preserve"> </w:t>
      </w:r>
      <w:r w:rsidR="007948D9">
        <w:rPr>
          <w:rFonts w:cs="Times New Roman"/>
          <w:szCs w:val="24"/>
          <w:lang w:eastAsia="en-GB"/>
        </w:rPr>
        <w:t>could provide the</w:t>
      </w:r>
      <w:r w:rsidR="00E40E9D" w:rsidRPr="00304385">
        <w:rPr>
          <w:rFonts w:cs="Times New Roman"/>
          <w:szCs w:val="24"/>
          <w:lang w:eastAsia="en-GB"/>
        </w:rPr>
        <w:t xml:space="preserve"> lower estimate of </w:t>
      </w:r>
      <w:r w:rsidR="00E40E9D">
        <w:rPr>
          <w:rFonts w:cs="Times New Roman"/>
          <w:szCs w:val="24"/>
          <w:lang w:eastAsia="en-GB"/>
        </w:rPr>
        <w:t>CPP</w:t>
      </w:r>
      <w:r w:rsidR="00E40E9D" w:rsidRPr="00304385">
        <w:rPr>
          <w:rFonts w:cs="Times New Roman"/>
          <w:szCs w:val="24"/>
          <w:lang w:eastAsia="en-GB"/>
        </w:rPr>
        <w:t xml:space="preserve"> prevalence in Australia. </w:t>
      </w:r>
    </w:p>
    <w:p w:rsidR="00071F2B" w:rsidRPr="00304385" w:rsidRDefault="00071F2B" w:rsidP="00071F2B">
      <w:pPr>
        <w:rPr>
          <w:rFonts w:cs="Times New Roman"/>
          <w:i/>
          <w:szCs w:val="24"/>
          <w:lang w:eastAsia="en-GB"/>
        </w:rPr>
      </w:pPr>
      <w:r w:rsidRPr="00304385">
        <w:rPr>
          <w:rFonts w:cs="Times New Roman"/>
          <w:szCs w:val="24"/>
          <w:lang w:eastAsia="en-GB"/>
        </w:rPr>
        <w:t xml:space="preserve">Numerous publications on psoriasis state that </w:t>
      </w:r>
      <w:r w:rsidR="00891E82">
        <w:rPr>
          <w:rFonts w:cs="Times New Roman"/>
          <w:szCs w:val="24"/>
          <w:lang w:eastAsia="en-GB"/>
        </w:rPr>
        <w:t>CPP</w:t>
      </w:r>
      <w:r w:rsidRPr="00304385">
        <w:rPr>
          <w:rFonts w:cs="Times New Roman"/>
          <w:szCs w:val="24"/>
          <w:lang w:eastAsia="en-GB"/>
        </w:rPr>
        <w:t xml:space="preserve"> accounts for 80-90% cases of psoriasis.</w:t>
      </w:r>
      <w:r w:rsidR="00FB1688">
        <w:rPr>
          <w:rFonts w:cs="Times New Roman"/>
          <w:noProof/>
          <w:szCs w:val="24"/>
          <w:lang w:eastAsia="en-GB"/>
        </w:rPr>
        <w:t>(</w:t>
      </w:r>
      <w:r w:rsidR="001B4738">
        <w:rPr>
          <w:rFonts w:cs="Times New Roman"/>
          <w:noProof/>
          <w:szCs w:val="24"/>
          <w:lang w:eastAsia="en-GB"/>
        </w:rPr>
        <w:t>30-32</w:t>
      </w:r>
      <w:r w:rsidR="00FB1688">
        <w:rPr>
          <w:rFonts w:cs="Times New Roman"/>
          <w:noProof/>
          <w:szCs w:val="24"/>
          <w:lang w:eastAsia="en-GB"/>
        </w:rPr>
        <w:t>)</w:t>
      </w:r>
      <w:r w:rsidRPr="00304385">
        <w:rPr>
          <w:rFonts w:cs="Times New Roman"/>
          <w:szCs w:val="24"/>
          <w:lang w:eastAsia="en-GB"/>
        </w:rPr>
        <w:t xml:space="preserve"> </w:t>
      </w:r>
      <w:r w:rsidRPr="00394001">
        <w:rPr>
          <w:rFonts w:cs="Times New Roman"/>
          <w:szCs w:val="24"/>
          <w:lang w:eastAsia="en-GB"/>
        </w:rPr>
        <w:t>The estimate was frequently unreferenced.</w:t>
      </w:r>
      <w:r w:rsidRPr="00304385">
        <w:rPr>
          <w:rFonts w:cs="Times New Roman"/>
          <w:i/>
          <w:szCs w:val="24"/>
          <w:lang w:eastAsia="en-GB"/>
        </w:rPr>
        <w:t xml:space="preserve"> </w:t>
      </w:r>
      <w:r w:rsidRPr="00304385">
        <w:rPr>
          <w:rFonts w:cs="Times New Roman"/>
          <w:szCs w:val="24"/>
          <w:lang w:eastAsia="en-GB"/>
        </w:rPr>
        <w:t xml:space="preserve"> In some publications, Rook’s Textbook of Dermatology is referenced as the source of the estimate </w:t>
      </w:r>
      <w:r>
        <w:rPr>
          <w:rFonts w:cs="Times New Roman"/>
          <w:szCs w:val="24"/>
          <w:lang w:eastAsia="en-GB"/>
        </w:rPr>
        <w:t xml:space="preserve">which states </w:t>
      </w:r>
      <w:r w:rsidRPr="00304385">
        <w:rPr>
          <w:rFonts w:cs="Times New Roman"/>
          <w:szCs w:val="24"/>
          <w:lang w:eastAsia="en-GB"/>
        </w:rPr>
        <w:t xml:space="preserve">that 90% of psoriasis is </w:t>
      </w:r>
      <w:r w:rsidR="00891E82">
        <w:rPr>
          <w:rFonts w:cs="Times New Roman"/>
          <w:szCs w:val="24"/>
          <w:lang w:eastAsia="en-GB"/>
        </w:rPr>
        <w:t>CPP</w:t>
      </w:r>
      <w:r w:rsidRPr="00304385">
        <w:rPr>
          <w:rFonts w:cs="Times New Roman"/>
          <w:szCs w:val="24"/>
          <w:lang w:eastAsia="en-GB"/>
        </w:rPr>
        <w:t>.  The 7</w:t>
      </w:r>
      <w:r w:rsidRPr="00304385">
        <w:rPr>
          <w:rFonts w:cs="Times New Roman"/>
          <w:szCs w:val="24"/>
          <w:vertAlign w:val="superscript"/>
          <w:lang w:eastAsia="en-GB"/>
        </w:rPr>
        <w:t>th</w:t>
      </w:r>
      <w:r w:rsidRPr="00304385">
        <w:rPr>
          <w:rFonts w:cs="Times New Roman"/>
          <w:szCs w:val="24"/>
          <w:lang w:eastAsia="en-GB"/>
        </w:rPr>
        <w:t xml:space="preserve"> edition of the textbook stated that, </w:t>
      </w:r>
      <w:r>
        <w:rPr>
          <w:rFonts w:cs="Times New Roman"/>
          <w:szCs w:val="24"/>
          <w:lang w:eastAsia="en-GB"/>
        </w:rPr>
        <w:t>‘</w:t>
      </w:r>
      <w:r w:rsidRPr="00304385">
        <w:rPr>
          <w:rFonts w:cs="Times New Roman"/>
          <w:szCs w:val="24"/>
          <w:lang w:eastAsia="en-GB"/>
        </w:rPr>
        <w:t xml:space="preserve">[psoriasis variants that are not </w:t>
      </w:r>
      <w:r w:rsidR="00891E82">
        <w:rPr>
          <w:rFonts w:cs="Times New Roman"/>
          <w:szCs w:val="24"/>
          <w:lang w:eastAsia="en-GB"/>
        </w:rPr>
        <w:t>CPP</w:t>
      </w:r>
      <w:r w:rsidRPr="00304385">
        <w:rPr>
          <w:rFonts w:cs="Times New Roman"/>
          <w:szCs w:val="24"/>
          <w:lang w:eastAsia="en-GB"/>
        </w:rPr>
        <w:t>] probably account for approximately 10% of all cases.</w:t>
      </w:r>
      <w:r>
        <w:rPr>
          <w:rFonts w:cs="Times New Roman"/>
          <w:szCs w:val="24"/>
          <w:lang w:eastAsia="en-GB"/>
        </w:rPr>
        <w:t>’</w:t>
      </w:r>
      <w:r w:rsidRPr="00304385">
        <w:rPr>
          <w:rFonts w:cs="Times New Roman"/>
          <w:szCs w:val="24"/>
          <w:lang w:eastAsia="en-GB"/>
        </w:rPr>
        <w:t xml:space="preserve"> </w:t>
      </w:r>
      <w:r w:rsidRPr="00394001">
        <w:rPr>
          <w:rFonts w:cs="Times New Roman"/>
          <w:szCs w:val="24"/>
          <w:lang w:eastAsia="en-GB"/>
        </w:rPr>
        <w:t>No reference was provided that corroborated the estimate of 90%.</w:t>
      </w:r>
      <w:r w:rsidR="00FB1688">
        <w:rPr>
          <w:rFonts w:cs="Times New Roman"/>
          <w:noProof/>
          <w:szCs w:val="24"/>
          <w:lang w:eastAsia="en-GB"/>
        </w:rPr>
        <w:t>(</w:t>
      </w:r>
      <w:r w:rsidR="001B4738">
        <w:rPr>
          <w:rFonts w:cs="Times New Roman"/>
          <w:noProof/>
          <w:szCs w:val="24"/>
          <w:lang w:eastAsia="en-GB"/>
        </w:rPr>
        <w:t>26</w:t>
      </w:r>
      <w:r w:rsidR="00FB1688">
        <w:rPr>
          <w:rFonts w:cs="Times New Roman"/>
          <w:noProof/>
          <w:szCs w:val="24"/>
          <w:lang w:eastAsia="en-GB"/>
        </w:rPr>
        <w:t>)</w:t>
      </w:r>
      <w:r w:rsidRPr="00394001">
        <w:rPr>
          <w:rFonts w:cs="Times New Roman"/>
          <w:szCs w:val="24"/>
          <w:lang w:eastAsia="en-GB"/>
        </w:rPr>
        <w:t xml:space="preserve"> </w:t>
      </w:r>
    </w:p>
    <w:p w:rsidR="00071F2B" w:rsidRPr="00394001" w:rsidRDefault="00071F2B" w:rsidP="00071F2B">
      <w:pPr>
        <w:rPr>
          <w:rFonts w:cs="Times New Roman"/>
          <w:szCs w:val="24"/>
          <w:lang w:eastAsia="en-GB"/>
        </w:rPr>
      </w:pPr>
      <w:r>
        <w:rPr>
          <w:rFonts w:cs="Times New Roman"/>
          <w:noProof/>
          <w:szCs w:val="24"/>
          <w:lang w:eastAsia="en-GB"/>
        </w:rPr>
        <w:t>Tollefson (2010)</w:t>
      </w:r>
      <w:r w:rsidRPr="00304385">
        <w:rPr>
          <w:rFonts w:cs="Times New Roman"/>
          <w:szCs w:val="24"/>
          <w:lang w:eastAsia="en-GB"/>
        </w:rPr>
        <w:t xml:space="preserve"> appeared to be the most applicable estimate for children and adolescents due to it including all paediatric psoriasis patients from a region in the USA</w:t>
      </w:r>
      <w:r>
        <w:rPr>
          <w:rFonts w:cs="Times New Roman"/>
          <w:szCs w:val="24"/>
          <w:lang w:eastAsia="en-GB"/>
        </w:rPr>
        <w:t>.</w:t>
      </w:r>
      <w:r w:rsidR="00FB1688">
        <w:rPr>
          <w:rFonts w:cs="Times New Roman"/>
          <w:noProof/>
          <w:szCs w:val="24"/>
          <w:lang w:eastAsia="en-GB"/>
        </w:rPr>
        <w:t>(</w:t>
      </w:r>
      <w:r w:rsidR="001B4738">
        <w:rPr>
          <w:rFonts w:cs="Times New Roman"/>
          <w:noProof/>
          <w:szCs w:val="24"/>
          <w:lang w:eastAsia="en-GB"/>
        </w:rPr>
        <w:t>12</w:t>
      </w:r>
      <w:r w:rsidR="00FB1688">
        <w:rPr>
          <w:rFonts w:cs="Times New Roman"/>
          <w:noProof/>
          <w:szCs w:val="24"/>
          <w:lang w:eastAsia="en-GB"/>
        </w:rPr>
        <w:t>)</w:t>
      </w:r>
      <w:r w:rsidRPr="00304385">
        <w:rPr>
          <w:rFonts w:cs="Times New Roman"/>
          <w:i/>
          <w:szCs w:val="24"/>
          <w:lang w:eastAsia="en-GB"/>
        </w:rPr>
        <w:t xml:space="preserve"> </w:t>
      </w:r>
      <w:r w:rsidRPr="00304385">
        <w:rPr>
          <w:rFonts w:cs="Times New Roman"/>
          <w:szCs w:val="24"/>
          <w:lang w:eastAsia="en-GB"/>
        </w:rPr>
        <w:t>Bonigen</w:t>
      </w:r>
      <w:r w:rsidR="00FC7DD9">
        <w:rPr>
          <w:rFonts w:cs="Times New Roman"/>
          <w:szCs w:val="24"/>
          <w:lang w:eastAsia="en-GB"/>
        </w:rPr>
        <w:t> </w:t>
      </w:r>
      <w:r w:rsidRPr="00304385">
        <w:rPr>
          <w:rFonts w:cs="Times New Roman"/>
          <w:szCs w:val="24"/>
          <w:lang w:eastAsia="en-GB"/>
        </w:rPr>
        <w:t>2016 and Pourchot 2017 both reported on the French chi-</w:t>
      </w:r>
      <w:r w:rsidRPr="003A20F9">
        <w:rPr>
          <w:rFonts w:cs="Times New Roman"/>
          <w:noProof/>
          <w:szCs w:val="24"/>
          <w:lang w:eastAsia="en-GB"/>
        </w:rPr>
        <w:t>Psocar</w:t>
      </w:r>
      <w:r w:rsidRPr="00304385">
        <w:rPr>
          <w:rFonts w:cs="Times New Roman"/>
          <w:szCs w:val="24"/>
          <w:lang w:eastAsia="en-GB"/>
        </w:rPr>
        <w:t xml:space="preserve"> study. </w:t>
      </w:r>
      <w:r>
        <w:rPr>
          <w:rFonts w:cs="Times New Roman"/>
          <w:szCs w:val="24"/>
          <w:lang w:eastAsia="en-GB"/>
        </w:rPr>
        <w:t xml:space="preserve">However, they </w:t>
      </w:r>
      <w:r w:rsidRPr="003A20F9">
        <w:rPr>
          <w:rFonts w:cs="Times New Roman"/>
          <w:noProof/>
          <w:szCs w:val="24"/>
          <w:lang w:eastAsia="en-GB"/>
        </w:rPr>
        <w:t>reported</w:t>
      </w:r>
      <w:r>
        <w:rPr>
          <w:rFonts w:cs="Times New Roman"/>
          <w:szCs w:val="24"/>
          <w:lang w:eastAsia="en-GB"/>
        </w:rPr>
        <w:t xml:space="preserve"> different estimates on the proportion of </w:t>
      </w:r>
      <w:r w:rsidR="00891E82">
        <w:rPr>
          <w:rFonts w:cs="Times New Roman"/>
          <w:szCs w:val="24"/>
          <w:lang w:eastAsia="en-GB"/>
        </w:rPr>
        <w:t>CPP</w:t>
      </w:r>
      <w:r>
        <w:rPr>
          <w:rFonts w:cs="Times New Roman"/>
          <w:szCs w:val="24"/>
          <w:lang w:eastAsia="en-GB"/>
        </w:rPr>
        <w:t>.</w:t>
      </w:r>
      <w:r w:rsidR="00FB1688">
        <w:rPr>
          <w:rFonts w:cs="Times New Roman"/>
          <w:noProof/>
          <w:szCs w:val="24"/>
          <w:lang w:eastAsia="en-GB"/>
        </w:rPr>
        <w:t>(</w:t>
      </w:r>
      <w:r w:rsidR="001B4738">
        <w:rPr>
          <w:rFonts w:cs="Times New Roman"/>
          <w:noProof/>
          <w:szCs w:val="24"/>
          <w:lang w:eastAsia="en-GB"/>
        </w:rPr>
        <w:t>27</w:t>
      </w:r>
      <w:r w:rsidR="00FB1688">
        <w:rPr>
          <w:rFonts w:cs="Times New Roman"/>
          <w:noProof/>
          <w:szCs w:val="24"/>
          <w:lang w:eastAsia="en-GB"/>
        </w:rPr>
        <w:t xml:space="preserve">, </w:t>
      </w:r>
      <w:r w:rsidR="001B4738">
        <w:rPr>
          <w:rFonts w:cs="Times New Roman"/>
          <w:noProof/>
          <w:szCs w:val="24"/>
          <w:lang w:eastAsia="en-GB"/>
        </w:rPr>
        <w:t>28</w:t>
      </w:r>
      <w:r w:rsidR="00FB1688">
        <w:rPr>
          <w:rFonts w:cs="Times New Roman"/>
          <w:noProof/>
          <w:szCs w:val="24"/>
          <w:lang w:eastAsia="en-GB"/>
        </w:rPr>
        <w:t>)</w:t>
      </w:r>
      <w:r>
        <w:rPr>
          <w:rFonts w:cs="Times New Roman"/>
          <w:szCs w:val="24"/>
          <w:lang w:eastAsia="en-GB"/>
        </w:rPr>
        <w:t xml:space="preserve"> It was</w:t>
      </w:r>
      <w:r w:rsidRPr="00394001">
        <w:rPr>
          <w:rFonts w:cs="Times New Roman"/>
          <w:szCs w:val="24"/>
          <w:lang w:eastAsia="en-GB"/>
        </w:rPr>
        <w:t xml:space="preserve"> not clear why the</w:t>
      </w:r>
      <w:r>
        <w:rPr>
          <w:rFonts w:cs="Times New Roman"/>
          <w:szCs w:val="24"/>
          <w:lang w:eastAsia="en-GB"/>
        </w:rPr>
        <w:t xml:space="preserve"> </w:t>
      </w:r>
      <w:r w:rsidRPr="00394001">
        <w:rPr>
          <w:rFonts w:cs="Times New Roman"/>
          <w:szCs w:val="24"/>
          <w:lang w:eastAsia="en-GB"/>
        </w:rPr>
        <w:t>proportion</w:t>
      </w:r>
      <w:r>
        <w:rPr>
          <w:rFonts w:cs="Times New Roman"/>
          <w:szCs w:val="24"/>
          <w:lang w:eastAsia="en-GB"/>
        </w:rPr>
        <w:t>s</w:t>
      </w:r>
      <w:r w:rsidRPr="00394001">
        <w:rPr>
          <w:rFonts w:cs="Times New Roman"/>
          <w:szCs w:val="24"/>
          <w:lang w:eastAsia="en-GB"/>
        </w:rPr>
        <w:t xml:space="preserve"> of patients with </w:t>
      </w:r>
      <w:r w:rsidR="00891E82">
        <w:rPr>
          <w:rFonts w:cs="Times New Roman"/>
          <w:szCs w:val="24"/>
          <w:lang w:eastAsia="en-GB"/>
        </w:rPr>
        <w:t>CPP</w:t>
      </w:r>
      <w:r>
        <w:rPr>
          <w:rFonts w:cs="Times New Roman"/>
          <w:szCs w:val="24"/>
          <w:lang w:eastAsia="en-GB"/>
        </w:rPr>
        <w:t xml:space="preserve"> was different in the two publications</w:t>
      </w:r>
      <w:r w:rsidRPr="00394001">
        <w:rPr>
          <w:rFonts w:cs="Times New Roman"/>
          <w:szCs w:val="24"/>
          <w:lang w:eastAsia="en-GB"/>
        </w:rPr>
        <w:t>.</w:t>
      </w:r>
      <w:r w:rsidRPr="00304385">
        <w:rPr>
          <w:rFonts w:cs="Times New Roman"/>
          <w:i/>
          <w:szCs w:val="24"/>
          <w:lang w:eastAsia="en-GB"/>
        </w:rPr>
        <w:t xml:space="preserve"> </w:t>
      </w:r>
      <w:r w:rsidRPr="00304385">
        <w:rPr>
          <w:rFonts w:cs="Times New Roman"/>
          <w:szCs w:val="24"/>
          <w:lang w:eastAsia="en-GB"/>
        </w:rPr>
        <w:t xml:space="preserve">The results of </w:t>
      </w:r>
      <w:r>
        <w:rPr>
          <w:rFonts w:cs="Times New Roman"/>
          <w:noProof/>
          <w:szCs w:val="24"/>
          <w:lang w:eastAsia="en-GB"/>
        </w:rPr>
        <w:t>Morris (2001)</w:t>
      </w:r>
      <w:r w:rsidRPr="00304385">
        <w:rPr>
          <w:rFonts w:cs="Times New Roman"/>
          <w:szCs w:val="24"/>
          <w:lang w:eastAsia="en-GB"/>
        </w:rPr>
        <w:t>, although Australian, may be biased due to large number of children aged less than two years. This was not reflective of psoriasis incidence increasing with age</w:t>
      </w:r>
      <w:r>
        <w:rPr>
          <w:rFonts w:cs="Times New Roman"/>
          <w:szCs w:val="24"/>
          <w:lang w:eastAsia="en-GB"/>
        </w:rPr>
        <w:t>.</w:t>
      </w:r>
      <w:r w:rsidR="00FB1688">
        <w:rPr>
          <w:rFonts w:cs="Times New Roman"/>
          <w:noProof/>
          <w:szCs w:val="24"/>
          <w:lang w:eastAsia="en-GB"/>
        </w:rPr>
        <w:t>(</w:t>
      </w:r>
      <w:r w:rsidR="001B4738">
        <w:rPr>
          <w:rFonts w:cs="Times New Roman"/>
          <w:noProof/>
          <w:szCs w:val="24"/>
          <w:lang w:eastAsia="en-GB"/>
        </w:rPr>
        <w:t>8</w:t>
      </w:r>
      <w:r w:rsidR="00FB1688">
        <w:rPr>
          <w:rFonts w:cs="Times New Roman"/>
          <w:noProof/>
          <w:szCs w:val="24"/>
          <w:lang w:eastAsia="en-GB"/>
        </w:rPr>
        <w:t xml:space="preserve">, </w:t>
      </w:r>
      <w:r w:rsidR="001B4738">
        <w:rPr>
          <w:rFonts w:cs="Times New Roman"/>
          <w:noProof/>
          <w:szCs w:val="24"/>
          <w:lang w:eastAsia="en-GB"/>
        </w:rPr>
        <w:t>12</w:t>
      </w:r>
      <w:r w:rsidR="00FB1688">
        <w:rPr>
          <w:rFonts w:cs="Times New Roman"/>
          <w:noProof/>
          <w:szCs w:val="24"/>
          <w:lang w:eastAsia="en-GB"/>
        </w:rPr>
        <w:t>)</w:t>
      </w:r>
      <w:r>
        <w:rPr>
          <w:rFonts w:cs="Times New Roman"/>
          <w:szCs w:val="24"/>
          <w:lang w:eastAsia="en-GB"/>
        </w:rPr>
        <w:t xml:space="preserve"> </w:t>
      </w:r>
      <w:r w:rsidRPr="00304385">
        <w:rPr>
          <w:rFonts w:cs="Times New Roman"/>
          <w:szCs w:val="24"/>
          <w:lang w:eastAsia="en-GB"/>
        </w:rPr>
        <w:t xml:space="preserve"> </w:t>
      </w:r>
      <w:r>
        <w:rPr>
          <w:rFonts w:cs="Times New Roman"/>
          <w:szCs w:val="24"/>
          <w:lang w:eastAsia="en-GB"/>
        </w:rPr>
        <w:t>This</w:t>
      </w:r>
      <w:r w:rsidRPr="00304385">
        <w:rPr>
          <w:rFonts w:cs="Times New Roman"/>
          <w:szCs w:val="24"/>
          <w:lang w:eastAsia="en-GB"/>
        </w:rPr>
        <w:t xml:space="preserve"> may reflect general practitioners more frequently referring younger children to dermatologists due to the rarity of psoriasis in very young children.</w:t>
      </w:r>
      <w:r>
        <w:rPr>
          <w:rFonts w:cs="Times New Roman"/>
          <w:szCs w:val="24"/>
          <w:lang w:eastAsia="en-GB"/>
        </w:rPr>
        <w:t xml:space="preserve"> Children with atypical presentations of psoriasis would be referred to a dermatologist.</w:t>
      </w:r>
      <w:r w:rsidRPr="00304385">
        <w:rPr>
          <w:rFonts w:cs="Times New Roman"/>
          <w:i/>
          <w:szCs w:val="24"/>
          <w:lang w:eastAsia="en-GB"/>
        </w:rPr>
        <w:t xml:space="preserve"> </w:t>
      </w:r>
    </w:p>
    <w:p w:rsidR="00071F2B" w:rsidRPr="00304385" w:rsidRDefault="00EB6556" w:rsidP="00DF0266">
      <w:pPr>
        <w:pStyle w:val="Heading3"/>
        <w:spacing w:before="240" w:after="200"/>
        <w:rPr>
          <w:lang w:eastAsia="en-GB"/>
        </w:rPr>
      </w:pPr>
      <w:bookmarkStart w:id="38" w:name="_Toc493156392"/>
      <w:bookmarkStart w:id="39" w:name="_Toc501632367"/>
      <w:r>
        <w:rPr>
          <w:lang w:eastAsia="en-GB"/>
        </w:rPr>
        <w:t>3.2.4</w:t>
      </w:r>
      <w:r>
        <w:rPr>
          <w:lang w:eastAsia="en-GB"/>
        </w:rPr>
        <w:tab/>
      </w:r>
      <w:r w:rsidR="00071F2B" w:rsidRPr="00304385">
        <w:rPr>
          <w:lang w:eastAsia="en-GB"/>
        </w:rPr>
        <w:t>Prevalence of psoriasis</w:t>
      </w:r>
      <w:bookmarkEnd w:id="38"/>
      <w:r w:rsidR="00891E82">
        <w:rPr>
          <w:lang w:eastAsia="en-GB"/>
        </w:rPr>
        <w:t xml:space="preserve"> by site</w:t>
      </w:r>
      <w:bookmarkEnd w:id="39"/>
    </w:p>
    <w:p w:rsidR="00071F2B" w:rsidRPr="00394001" w:rsidRDefault="00071F2B" w:rsidP="00071F2B">
      <w:pPr>
        <w:shd w:val="clear" w:color="auto" w:fill="FFFFFF" w:themeFill="background1"/>
        <w:rPr>
          <w:rFonts w:eastAsia="Times New Roman" w:cs="Arial"/>
          <w:szCs w:val="24"/>
        </w:rPr>
      </w:pPr>
      <w:r w:rsidRPr="00394001">
        <w:rPr>
          <w:rFonts w:eastAsia="Times New Roman" w:cs="Arial"/>
          <w:szCs w:val="24"/>
        </w:rPr>
        <w:t xml:space="preserve">The reference group, at its first meeting, noted that psoriasis occurring in </w:t>
      </w:r>
      <w:r w:rsidRPr="003A20F9">
        <w:rPr>
          <w:rFonts w:eastAsia="Times New Roman" w:cs="Arial"/>
          <w:noProof/>
          <w:szCs w:val="24"/>
        </w:rPr>
        <w:t>certain</w:t>
      </w:r>
      <w:r w:rsidRPr="00394001">
        <w:rPr>
          <w:rFonts w:eastAsia="Times New Roman" w:cs="Arial"/>
          <w:szCs w:val="24"/>
        </w:rPr>
        <w:t xml:space="preserve"> sites of the body differ in their ability to be treated with topical therapies. It was noted that psoriasis on the palms </w:t>
      </w:r>
      <w:r w:rsidR="00B72DC4">
        <w:rPr>
          <w:rFonts w:eastAsia="Times New Roman" w:cs="Arial"/>
          <w:szCs w:val="24"/>
        </w:rPr>
        <w:t xml:space="preserve">of hands </w:t>
      </w:r>
      <w:r w:rsidRPr="00394001">
        <w:rPr>
          <w:rFonts w:eastAsia="Times New Roman" w:cs="Arial"/>
          <w:szCs w:val="24"/>
        </w:rPr>
        <w:t>and soles</w:t>
      </w:r>
      <w:r w:rsidR="00B72DC4">
        <w:rPr>
          <w:rFonts w:eastAsia="Times New Roman" w:cs="Arial"/>
          <w:szCs w:val="24"/>
        </w:rPr>
        <w:t xml:space="preserve"> of feet</w:t>
      </w:r>
      <w:r w:rsidRPr="00394001">
        <w:rPr>
          <w:rFonts w:eastAsia="Times New Roman" w:cs="Arial"/>
          <w:szCs w:val="24"/>
        </w:rPr>
        <w:t xml:space="preserve"> do not respond as well to topical therapies due to greater thickness of skin on those sites. Similarly, topical treatments for nail psoriasis are ineffective due to disease being in the nail plate. Conversely, genital psoriasis cannot be treated with topical treatments due to inherent thinness of skin in the genital area, which may be further thinned by the use of potent corticosteroids. </w:t>
      </w:r>
    </w:p>
    <w:p w:rsidR="0086184A" w:rsidRDefault="0086184A" w:rsidP="009D32C4">
      <w:pPr>
        <w:shd w:val="clear" w:color="auto" w:fill="FFFFFF" w:themeFill="background1"/>
        <w:spacing w:before="120" w:after="120" w:line="260" w:lineRule="exact"/>
        <w:rPr>
          <w:rFonts w:eastAsia="Times New Roman" w:cs="Arial"/>
          <w:szCs w:val="24"/>
        </w:rPr>
      </w:pPr>
    </w:p>
    <w:p w:rsidR="009D32C4" w:rsidRDefault="0086184A" w:rsidP="009D32C4">
      <w:pPr>
        <w:shd w:val="clear" w:color="auto" w:fill="FFFFFF" w:themeFill="background1"/>
        <w:spacing w:before="120" w:after="120" w:line="260" w:lineRule="exact"/>
        <w:rPr>
          <w:rFonts w:eastAsia="Times New Roman" w:cs="Arial"/>
          <w:szCs w:val="24"/>
        </w:rPr>
      </w:pPr>
      <w:r>
        <w:t xml:space="preserve">Table </w:t>
      </w:r>
      <w:r>
        <w:rPr>
          <w:noProof/>
        </w:rPr>
        <w:t>4</w:t>
      </w:r>
      <w:r w:rsidR="00071F2B">
        <w:rPr>
          <w:rFonts w:eastAsia="Times New Roman" w:cs="Arial"/>
          <w:szCs w:val="24"/>
        </w:rPr>
        <w:t xml:space="preserve"> </w:t>
      </w:r>
      <w:r w:rsidR="00071F2B" w:rsidRPr="00304385">
        <w:rPr>
          <w:rFonts w:eastAsia="Times New Roman" w:cs="Arial"/>
          <w:szCs w:val="24"/>
        </w:rPr>
        <w:t xml:space="preserve">presents estimates of the prevalence of psoriasis by site affected. </w:t>
      </w:r>
      <w:r w:rsidR="00372CC8">
        <w:rPr>
          <w:rFonts w:eastAsia="Times New Roman" w:cs="Arial"/>
          <w:szCs w:val="24"/>
        </w:rPr>
        <w:t xml:space="preserve">All studies, </w:t>
      </w:r>
      <w:r w:rsidR="00CB0422">
        <w:rPr>
          <w:rFonts w:eastAsia="Times New Roman" w:cs="Arial"/>
          <w:szCs w:val="24"/>
        </w:rPr>
        <w:t xml:space="preserve">except </w:t>
      </w:r>
      <w:r w:rsidR="00372CC8" w:rsidRPr="00372CC8">
        <w:rPr>
          <w:rFonts w:eastAsia="Times New Roman" w:cs="Arial"/>
          <w:szCs w:val="24"/>
        </w:rPr>
        <w:t>Augustin (2008)</w:t>
      </w:r>
      <w:r w:rsidR="00372CC8">
        <w:rPr>
          <w:rFonts w:eastAsia="Times New Roman" w:cs="Arial"/>
          <w:szCs w:val="24"/>
        </w:rPr>
        <w:t xml:space="preserve">, reported data for all types of psoriasis.  </w:t>
      </w:r>
      <w:bookmarkStart w:id="40" w:name="_Ref492993231"/>
    </w:p>
    <w:p w:rsidR="00071F2B" w:rsidRDefault="00071F2B" w:rsidP="00743FD3">
      <w:pPr>
        <w:pStyle w:val="MDTabCaption"/>
      </w:pPr>
      <w:bookmarkStart w:id="41" w:name="_Toc501632398"/>
      <w:r>
        <w:t xml:space="preserve">Table </w:t>
      </w:r>
      <w:r w:rsidR="0086184A">
        <w:rPr>
          <w:noProof/>
        </w:rPr>
        <w:t>4</w:t>
      </w:r>
      <w:bookmarkEnd w:id="40"/>
      <w:r>
        <w:t xml:space="preserve">: </w:t>
      </w:r>
      <w:r w:rsidRPr="00461B24">
        <w:t>Incidence and prevalence of psoriasis by site in adults</w:t>
      </w:r>
      <w:bookmarkEnd w:id="41"/>
    </w:p>
    <w:tbl>
      <w:tblPr>
        <w:tblStyle w:val="TableGrid7"/>
        <w:tblpPr w:leftFromText="180" w:rightFromText="180" w:vertAnchor="text" w:horzAnchor="margin" w:tblpY="43"/>
        <w:tblW w:w="0" w:type="auto"/>
        <w:tblLook w:val="04A0" w:firstRow="1" w:lastRow="0" w:firstColumn="1" w:lastColumn="0" w:noHBand="0" w:noVBand="1"/>
        <w:tblCaption w:val="Incidence and prevalence of psoriasis by site in adults"/>
      </w:tblPr>
      <w:tblGrid>
        <w:gridCol w:w="1784"/>
        <w:gridCol w:w="1717"/>
        <w:gridCol w:w="1030"/>
        <w:gridCol w:w="875"/>
        <w:gridCol w:w="3610"/>
      </w:tblGrid>
      <w:tr w:rsidR="00071F2B" w:rsidRPr="00304385" w:rsidTr="00071F2B">
        <w:trPr>
          <w:cantSplit/>
          <w:trHeight w:val="416"/>
          <w:tblHeader/>
        </w:trPr>
        <w:tc>
          <w:tcPr>
            <w:tcW w:w="1784" w:type="dxa"/>
            <w:tcBorders>
              <w:bottom w:val="single" w:sz="4" w:space="0" w:color="auto"/>
            </w:tcBorders>
            <w:shd w:val="clear" w:color="auto" w:fill="BFBFBF" w:themeFill="background1" w:themeFillShade="BF"/>
            <w:vAlign w:val="center"/>
          </w:tcPr>
          <w:p w:rsidR="00071F2B" w:rsidRPr="00304385" w:rsidRDefault="00071F2B" w:rsidP="00071F2B">
            <w:pPr>
              <w:autoSpaceDE w:val="0"/>
              <w:autoSpaceDN w:val="0"/>
              <w:adjustRightInd w:val="0"/>
              <w:spacing w:before="60" w:after="60"/>
              <w:rPr>
                <w:rFonts w:cs="Calibri"/>
                <w:b/>
                <w:sz w:val="20"/>
                <w:szCs w:val="20"/>
                <w:lang w:eastAsia="en-GB"/>
              </w:rPr>
            </w:pPr>
            <w:r w:rsidRPr="00304385">
              <w:rPr>
                <w:rFonts w:cs="Calibri"/>
                <w:b/>
                <w:sz w:val="20"/>
                <w:szCs w:val="20"/>
                <w:lang w:eastAsia="en-GB"/>
              </w:rPr>
              <w:t>Study</w:t>
            </w:r>
          </w:p>
        </w:tc>
        <w:tc>
          <w:tcPr>
            <w:tcW w:w="1717" w:type="dxa"/>
            <w:tcBorders>
              <w:bottom w:val="single" w:sz="4" w:space="0" w:color="auto"/>
            </w:tcBorders>
            <w:shd w:val="clear" w:color="auto" w:fill="BFBFBF" w:themeFill="background1" w:themeFillShade="BF"/>
            <w:vAlign w:val="center"/>
          </w:tcPr>
          <w:p w:rsidR="00071F2B" w:rsidRPr="00304385" w:rsidRDefault="00071F2B" w:rsidP="00071F2B">
            <w:pPr>
              <w:autoSpaceDE w:val="0"/>
              <w:autoSpaceDN w:val="0"/>
              <w:adjustRightInd w:val="0"/>
              <w:spacing w:before="60" w:after="60"/>
              <w:jc w:val="center"/>
              <w:rPr>
                <w:rFonts w:cs="Calibri"/>
                <w:b/>
                <w:sz w:val="20"/>
                <w:szCs w:val="20"/>
                <w:lang w:eastAsia="en-GB"/>
              </w:rPr>
            </w:pPr>
            <w:r w:rsidRPr="00304385">
              <w:rPr>
                <w:rFonts w:cs="Calibri"/>
                <w:b/>
                <w:sz w:val="20"/>
                <w:szCs w:val="20"/>
                <w:lang w:eastAsia="en-GB"/>
              </w:rPr>
              <w:t>Study location and year</w:t>
            </w:r>
          </w:p>
        </w:tc>
        <w:tc>
          <w:tcPr>
            <w:tcW w:w="1030" w:type="dxa"/>
            <w:tcBorders>
              <w:bottom w:val="single" w:sz="4" w:space="0" w:color="auto"/>
            </w:tcBorders>
            <w:shd w:val="clear" w:color="auto" w:fill="BFBFBF" w:themeFill="background1" w:themeFillShade="BF"/>
          </w:tcPr>
          <w:p w:rsidR="00071F2B" w:rsidRPr="00304385" w:rsidRDefault="00071F2B" w:rsidP="00071F2B">
            <w:pPr>
              <w:autoSpaceDE w:val="0"/>
              <w:autoSpaceDN w:val="0"/>
              <w:adjustRightInd w:val="0"/>
              <w:spacing w:before="60" w:after="60"/>
              <w:jc w:val="center"/>
              <w:rPr>
                <w:rFonts w:cs="Calibri"/>
                <w:b/>
                <w:sz w:val="20"/>
                <w:szCs w:val="20"/>
                <w:lang w:eastAsia="en-GB"/>
              </w:rPr>
            </w:pPr>
            <w:r w:rsidRPr="00304385">
              <w:rPr>
                <w:rFonts w:cs="Calibri"/>
                <w:b/>
                <w:sz w:val="20"/>
                <w:szCs w:val="20"/>
                <w:lang w:eastAsia="en-GB"/>
              </w:rPr>
              <w:t>Risk of bias</w:t>
            </w:r>
          </w:p>
        </w:tc>
        <w:tc>
          <w:tcPr>
            <w:tcW w:w="875" w:type="dxa"/>
            <w:tcBorders>
              <w:bottom w:val="single" w:sz="4" w:space="0" w:color="auto"/>
            </w:tcBorders>
            <w:shd w:val="clear" w:color="auto" w:fill="BFBFBF" w:themeFill="background1" w:themeFillShade="BF"/>
            <w:vAlign w:val="center"/>
          </w:tcPr>
          <w:p w:rsidR="00071F2B" w:rsidRPr="00304385" w:rsidRDefault="00071F2B" w:rsidP="00071F2B">
            <w:pPr>
              <w:autoSpaceDE w:val="0"/>
              <w:autoSpaceDN w:val="0"/>
              <w:adjustRightInd w:val="0"/>
              <w:spacing w:before="60" w:after="60"/>
              <w:jc w:val="center"/>
              <w:rPr>
                <w:rFonts w:cs="Calibri"/>
                <w:b/>
                <w:sz w:val="20"/>
                <w:szCs w:val="20"/>
                <w:lang w:eastAsia="en-GB"/>
              </w:rPr>
            </w:pPr>
            <w:r w:rsidRPr="00304385">
              <w:rPr>
                <w:rFonts w:cs="Calibri"/>
                <w:b/>
                <w:sz w:val="20"/>
                <w:szCs w:val="20"/>
                <w:lang w:eastAsia="en-GB"/>
              </w:rPr>
              <w:t>N</w:t>
            </w:r>
          </w:p>
        </w:tc>
        <w:tc>
          <w:tcPr>
            <w:tcW w:w="3610" w:type="dxa"/>
            <w:tcBorders>
              <w:bottom w:val="single" w:sz="4" w:space="0" w:color="auto"/>
            </w:tcBorders>
            <w:shd w:val="clear" w:color="auto" w:fill="BFBFBF" w:themeFill="background1" w:themeFillShade="BF"/>
            <w:vAlign w:val="center"/>
          </w:tcPr>
          <w:p w:rsidR="00071F2B" w:rsidRPr="00304385" w:rsidRDefault="00071F2B" w:rsidP="00071F2B">
            <w:pPr>
              <w:autoSpaceDE w:val="0"/>
              <w:autoSpaceDN w:val="0"/>
              <w:adjustRightInd w:val="0"/>
              <w:spacing w:before="60" w:after="60"/>
              <w:jc w:val="center"/>
              <w:rPr>
                <w:rFonts w:cs="Calibri"/>
                <w:b/>
                <w:sz w:val="20"/>
                <w:szCs w:val="20"/>
                <w:lang w:eastAsia="en-GB"/>
              </w:rPr>
            </w:pPr>
            <w:r w:rsidRPr="00304385">
              <w:rPr>
                <w:rFonts w:cs="Calibri"/>
                <w:b/>
                <w:sz w:val="20"/>
                <w:szCs w:val="20"/>
                <w:lang w:eastAsia="en-GB"/>
              </w:rPr>
              <w:t>Proportion of patients</w:t>
            </w:r>
            <w:r w:rsidRPr="00304385">
              <w:rPr>
                <w:rFonts w:cs="Calibri"/>
                <w:b/>
                <w:sz w:val="20"/>
                <w:szCs w:val="20"/>
                <w:lang w:eastAsia="en-GB"/>
              </w:rPr>
              <w:br/>
              <w:t xml:space="preserve"> (measure type)</w:t>
            </w:r>
          </w:p>
        </w:tc>
      </w:tr>
      <w:tr w:rsidR="00071F2B" w:rsidRPr="00304385" w:rsidTr="00071F2B">
        <w:trPr>
          <w:cantSplit/>
          <w:trHeight w:val="353"/>
          <w:tblHeader/>
        </w:trPr>
        <w:tc>
          <w:tcPr>
            <w:tcW w:w="1784" w:type="dxa"/>
            <w:tcBorders>
              <w:right w:val="nil"/>
            </w:tcBorders>
            <w:vAlign w:val="center"/>
          </w:tcPr>
          <w:p w:rsidR="00071F2B" w:rsidRPr="00304385" w:rsidRDefault="00071F2B" w:rsidP="00071F2B">
            <w:pPr>
              <w:spacing w:beforeLines="60" w:before="144" w:afterLines="60" w:after="144"/>
              <w:contextualSpacing/>
              <w:rPr>
                <w:rFonts w:cs="Times New Roman"/>
                <w:b/>
                <w:sz w:val="20"/>
                <w:szCs w:val="20"/>
                <w:lang w:eastAsia="en-GB"/>
              </w:rPr>
            </w:pPr>
            <w:r w:rsidRPr="00304385">
              <w:rPr>
                <w:rFonts w:cs="Times New Roman"/>
                <w:b/>
                <w:sz w:val="20"/>
                <w:szCs w:val="20"/>
                <w:lang w:eastAsia="en-GB"/>
              </w:rPr>
              <w:t>Face</w:t>
            </w:r>
          </w:p>
        </w:tc>
        <w:tc>
          <w:tcPr>
            <w:tcW w:w="1717" w:type="dxa"/>
            <w:tcBorders>
              <w:left w:val="nil"/>
              <w:right w:val="nil"/>
            </w:tcBorders>
            <w:vAlign w:val="center"/>
          </w:tcPr>
          <w:p w:rsidR="00071F2B" w:rsidRPr="00304385" w:rsidRDefault="00071F2B" w:rsidP="00071F2B">
            <w:pPr>
              <w:autoSpaceDE w:val="0"/>
              <w:autoSpaceDN w:val="0"/>
              <w:adjustRightInd w:val="0"/>
              <w:spacing w:beforeLines="60" w:before="144" w:afterLines="60" w:after="144"/>
              <w:contextualSpacing/>
              <w:jc w:val="center"/>
              <w:rPr>
                <w:rFonts w:cs="Calibri"/>
                <w:sz w:val="20"/>
                <w:szCs w:val="20"/>
                <w:lang w:eastAsia="en-GB"/>
              </w:rPr>
            </w:pPr>
          </w:p>
        </w:tc>
        <w:tc>
          <w:tcPr>
            <w:tcW w:w="1030" w:type="dxa"/>
            <w:tcBorders>
              <w:left w:val="nil"/>
              <w:right w:val="nil"/>
            </w:tcBorders>
            <w:vAlign w:val="center"/>
          </w:tcPr>
          <w:p w:rsidR="00071F2B" w:rsidRPr="00304385" w:rsidRDefault="00071F2B" w:rsidP="00071F2B">
            <w:pPr>
              <w:autoSpaceDE w:val="0"/>
              <w:autoSpaceDN w:val="0"/>
              <w:adjustRightInd w:val="0"/>
              <w:spacing w:beforeLines="60" w:before="144" w:afterLines="60" w:after="144"/>
              <w:contextualSpacing/>
              <w:jc w:val="center"/>
              <w:rPr>
                <w:rFonts w:cs="Calibri"/>
                <w:sz w:val="20"/>
                <w:szCs w:val="20"/>
                <w:lang w:eastAsia="en-GB"/>
              </w:rPr>
            </w:pPr>
          </w:p>
        </w:tc>
        <w:tc>
          <w:tcPr>
            <w:tcW w:w="875" w:type="dxa"/>
            <w:tcBorders>
              <w:left w:val="nil"/>
              <w:right w:val="nil"/>
            </w:tcBorders>
            <w:vAlign w:val="center"/>
          </w:tcPr>
          <w:p w:rsidR="00071F2B" w:rsidRPr="00304385" w:rsidRDefault="00071F2B" w:rsidP="00071F2B">
            <w:pPr>
              <w:autoSpaceDE w:val="0"/>
              <w:autoSpaceDN w:val="0"/>
              <w:adjustRightInd w:val="0"/>
              <w:spacing w:beforeLines="60" w:before="144" w:afterLines="60" w:after="144"/>
              <w:contextualSpacing/>
              <w:jc w:val="center"/>
              <w:rPr>
                <w:rFonts w:cs="Calibri"/>
                <w:sz w:val="20"/>
                <w:szCs w:val="20"/>
                <w:lang w:eastAsia="en-GB"/>
              </w:rPr>
            </w:pPr>
          </w:p>
        </w:tc>
        <w:tc>
          <w:tcPr>
            <w:tcW w:w="3610" w:type="dxa"/>
            <w:tcBorders>
              <w:left w:val="nil"/>
            </w:tcBorders>
            <w:vAlign w:val="center"/>
          </w:tcPr>
          <w:p w:rsidR="00071F2B" w:rsidRPr="00304385" w:rsidRDefault="00071F2B" w:rsidP="00071F2B">
            <w:pPr>
              <w:autoSpaceDE w:val="0"/>
              <w:autoSpaceDN w:val="0"/>
              <w:adjustRightInd w:val="0"/>
              <w:spacing w:beforeLines="60" w:before="144" w:afterLines="60" w:after="144"/>
              <w:contextualSpacing/>
              <w:jc w:val="center"/>
              <w:rPr>
                <w:rFonts w:cs="Calibri"/>
                <w:sz w:val="20"/>
                <w:szCs w:val="20"/>
                <w:lang w:eastAsia="en-GB"/>
              </w:rPr>
            </w:pPr>
          </w:p>
        </w:tc>
      </w:tr>
      <w:tr w:rsidR="00071F2B" w:rsidRPr="00304385" w:rsidTr="00071F2B">
        <w:trPr>
          <w:cantSplit/>
          <w:trHeight w:val="353"/>
          <w:tblHeader/>
        </w:trPr>
        <w:tc>
          <w:tcPr>
            <w:tcW w:w="1784" w:type="dxa"/>
            <w:vAlign w:val="center"/>
          </w:tcPr>
          <w:p w:rsidR="00071F2B" w:rsidRPr="00304385" w:rsidRDefault="00071F2B" w:rsidP="001B4738">
            <w:pPr>
              <w:spacing w:beforeLines="60" w:before="144" w:afterLines="60" w:after="144"/>
              <w:contextualSpacing/>
              <w:rPr>
                <w:rFonts w:cs="Times New Roman"/>
                <w:sz w:val="20"/>
                <w:szCs w:val="20"/>
                <w:lang w:eastAsia="en-GB"/>
              </w:rPr>
            </w:pPr>
            <w:r>
              <w:rPr>
                <w:rFonts w:cs="Times New Roman"/>
                <w:noProof/>
                <w:sz w:val="20"/>
                <w:szCs w:val="20"/>
                <w:lang w:eastAsia="en-GB"/>
              </w:rPr>
              <w:t xml:space="preserve">Icen (2009) </w:t>
            </w:r>
            <w:r w:rsidR="00FB1688">
              <w:rPr>
                <w:rFonts w:cs="Times New Roman"/>
                <w:noProof/>
                <w:sz w:val="20"/>
                <w:szCs w:val="20"/>
                <w:lang w:eastAsia="en-GB"/>
              </w:rPr>
              <w:t>(</w:t>
            </w:r>
            <w:r w:rsidR="001B4738">
              <w:rPr>
                <w:rFonts w:cs="Times New Roman"/>
                <w:noProof/>
                <w:sz w:val="20"/>
                <w:szCs w:val="20"/>
                <w:lang w:eastAsia="en-GB"/>
              </w:rPr>
              <w:t>13</w:t>
            </w:r>
            <w:r w:rsidR="00FB1688">
              <w:rPr>
                <w:rFonts w:cs="Times New Roman"/>
                <w:noProof/>
                <w:sz w:val="20"/>
                <w:szCs w:val="20"/>
                <w:lang w:eastAsia="en-GB"/>
              </w:rPr>
              <w:t>)</w:t>
            </w:r>
          </w:p>
        </w:tc>
        <w:tc>
          <w:tcPr>
            <w:tcW w:w="1717" w:type="dxa"/>
            <w:vAlign w:val="center"/>
          </w:tcPr>
          <w:p w:rsidR="00071F2B" w:rsidRPr="00304385" w:rsidRDefault="00071F2B" w:rsidP="00071F2B">
            <w:pPr>
              <w:autoSpaceDE w:val="0"/>
              <w:autoSpaceDN w:val="0"/>
              <w:adjustRightInd w:val="0"/>
              <w:spacing w:beforeLines="60" w:before="144" w:afterLines="60" w:after="144"/>
              <w:contextualSpacing/>
              <w:jc w:val="center"/>
              <w:rPr>
                <w:rFonts w:cs="Calibri"/>
                <w:sz w:val="20"/>
                <w:szCs w:val="20"/>
                <w:lang w:eastAsia="en-GB"/>
              </w:rPr>
            </w:pPr>
            <w:r w:rsidRPr="00304385">
              <w:rPr>
                <w:rFonts w:cs="Calibri"/>
                <w:sz w:val="20"/>
                <w:szCs w:val="20"/>
                <w:lang w:eastAsia="en-GB"/>
              </w:rPr>
              <w:t>USA (1970-1999)</w:t>
            </w:r>
          </w:p>
        </w:tc>
        <w:tc>
          <w:tcPr>
            <w:tcW w:w="1030" w:type="dxa"/>
            <w:vAlign w:val="center"/>
          </w:tcPr>
          <w:p w:rsidR="00071F2B" w:rsidRPr="00304385" w:rsidRDefault="00071F2B" w:rsidP="00071F2B">
            <w:pPr>
              <w:autoSpaceDE w:val="0"/>
              <w:autoSpaceDN w:val="0"/>
              <w:adjustRightInd w:val="0"/>
              <w:spacing w:beforeLines="60" w:before="144" w:afterLines="60" w:after="144"/>
              <w:contextualSpacing/>
              <w:jc w:val="center"/>
              <w:rPr>
                <w:rFonts w:cs="Calibri"/>
                <w:sz w:val="20"/>
                <w:szCs w:val="20"/>
                <w:lang w:eastAsia="en-GB"/>
              </w:rPr>
            </w:pPr>
            <w:r w:rsidRPr="00304385">
              <w:rPr>
                <w:rFonts w:cs="Calibri"/>
                <w:sz w:val="20"/>
                <w:szCs w:val="20"/>
                <w:lang w:eastAsia="en-GB"/>
              </w:rPr>
              <w:t>Low</w:t>
            </w:r>
          </w:p>
        </w:tc>
        <w:tc>
          <w:tcPr>
            <w:tcW w:w="875" w:type="dxa"/>
            <w:vAlign w:val="center"/>
          </w:tcPr>
          <w:p w:rsidR="00071F2B" w:rsidRPr="00304385" w:rsidRDefault="00071F2B" w:rsidP="00071F2B">
            <w:pPr>
              <w:autoSpaceDE w:val="0"/>
              <w:autoSpaceDN w:val="0"/>
              <w:adjustRightInd w:val="0"/>
              <w:spacing w:beforeLines="60" w:before="144" w:afterLines="60" w:after="144"/>
              <w:contextualSpacing/>
              <w:jc w:val="center"/>
              <w:rPr>
                <w:rFonts w:cs="Calibri"/>
                <w:sz w:val="20"/>
                <w:szCs w:val="20"/>
                <w:lang w:eastAsia="en-GB"/>
              </w:rPr>
            </w:pPr>
            <w:r w:rsidRPr="00304385">
              <w:rPr>
                <w:rFonts w:cs="Calibri"/>
                <w:sz w:val="20"/>
                <w:szCs w:val="20"/>
                <w:lang w:eastAsia="en-GB"/>
              </w:rPr>
              <w:t>1,633</w:t>
            </w:r>
          </w:p>
        </w:tc>
        <w:tc>
          <w:tcPr>
            <w:tcW w:w="3610" w:type="dxa"/>
            <w:vAlign w:val="center"/>
          </w:tcPr>
          <w:p w:rsidR="00071F2B" w:rsidRPr="00304385" w:rsidRDefault="00071F2B" w:rsidP="00071F2B">
            <w:pPr>
              <w:autoSpaceDE w:val="0"/>
              <w:autoSpaceDN w:val="0"/>
              <w:adjustRightInd w:val="0"/>
              <w:spacing w:beforeLines="60" w:before="144" w:afterLines="60" w:after="144"/>
              <w:contextualSpacing/>
              <w:jc w:val="center"/>
              <w:rPr>
                <w:rFonts w:cs="Calibri"/>
                <w:sz w:val="20"/>
                <w:szCs w:val="20"/>
                <w:lang w:eastAsia="en-GB"/>
              </w:rPr>
            </w:pPr>
            <w:r w:rsidRPr="00304385">
              <w:rPr>
                <w:rFonts w:cs="Calibri"/>
                <w:sz w:val="20"/>
                <w:szCs w:val="20"/>
                <w:lang w:eastAsia="en-GB"/>
              </w:rPr>
              <w:t>10.8% (incidence)</w:t>
            </w:r>
          </w:p>
        </w:tc>
      </w:tr>
      <w:tr w:rsidR="00071F2B" w:rsidRPr="00304385" w:rsidTr="00071F2B">
        <w:trPr>
          <w:cantSplit/>
          <w:trHeight w:val="353"/>
          <w:tblHeader/>
        </w:trPr>
        <w:tc>
          <w:tcPr>
            <w:tcW w:w="1784" w:type="dxa"/>
            <w:vAlign w:val="center"/>
          </w:tcPr>
          <w:p w:rsidR="00071F2B" w:rsidRPr="00304385" w:rsidRDefault="00071F2B" w:rsidP="001B4738">
            <w:pPr>
              <w:spacing w:beforeLines="60" w:before="144" w:afterLines="60" w:after="144"/>
              <w:contextualSpacing/>
              <w:rPr>
                <w:rFonts w:cs="Times New Roman"/>
                <w:sz w:val="20"/>
                <w:szCs w:val="20"/>
                <w:lang w:eastAsia="en-GB"/>
              </w:rPr>
            </w:pPr>
            <w:r>
              <w:rPr>
                <w:rFonts w:cs="Times New Roman"/>
                <w:noProof/>
                <w:sz w:val="20"/>
                <w:szCs w:val="20"/>
                <w:lang w:eastAsia="en-GB"/>
              </w:rPr>
              <w:t xml:space="preserve">Baker (2013) </w:t>
            </w:r>
            <w:r w:rsidR="00FB1688">
              <w:rPr>
                <w:rFonts w:cs="Times New Roman"/>
                <w:noProof/>
                <w:sz w:val="20"/>
                <w:szCs w:val="20"/>
                <w:lang w:eastAsia="en-GB"/>
              </w:rPr>
              <w:t>(</w:t>
            </w:r>
            <w:r w:rsidR="001B4738">
              <w:rPr>
                <w:rFonts w:cs="Times New Roman"/>
                <w:noProof/>
                <w:sz w:val="20"/>
                <w:szCs w:val="20"/>
                <w:lang w:eastAsia="en-GB"/>
              </w:rPr>
              <w:t>18</w:t>
            </w:r>
            <w:r w:rsidR="00FB1688">
              <w:rPr>
                <w:rFonts w:cs="Times New Roman"/>
                <w:noProof/>
                <w:sz w:val="20"/>
                <w:szCs w:val="20"/>
                <w:lang w:eastAsia="en-GB"/>
              </w:rPr>
              <w:t>)</w:t>
            </w:r>
          </w:p>
        </w:tc>
        <w:tc>
          <w:tcPr>
            <w:tcW w:w="1717" w:type="dxa"/>
            <w:vAlign w:val="center"/>
          </w:tcPr>
          <w:p w:rsidR="00071F2B" w:rsidRPr="00304385" w:rsidRDefault="00071F2B" w:rsidP="00071F2B">
            <w:pPr>
              <w:autoSpaceDE w:val="0"/>
              <w:autoSpaceDN w:val="0"/>
              <w:adjustRightInd w:val="0"/>
              <w:spacing w:beforeLines="60" w:before="144" w:afterLines="60" w:after="144"/>
              <w:contextualSpacing/>
              <w:jc w:val="center"/>
              <w:rPr>
                <w:rFonts w:cs="Calibri"/>
                <w:sz w:val="20"/>
                <w:szCs w:val="20"/>
                <w:lang w:eastAsia="en-GB"/>
              </w:rPr>
            </w:pPr>
            <w:r w:rsidRPr="00304385">
              <w:rPr>
                <w:rFonts w:cs="Calibri"/>
                <w:sz w:val="20"/>
                <w:szCs w:val="20"/>
                <w:lang w:eastAsia="en-GB"/>
              </w:rPr>
              <w:t>Australia (2011)</w:t>
            </w:r>
          </w:p>
        </w:tc>
        <w:tc>
          <w:tcPr>
            <w:tcW w:w="1030" w:type="dxa"/>
            <w:vAlign w:val="center"/>
          </w:tcPr>
          <w:p w:rsidR="00071F2B" w:rsidRPr="00304385" w:rsidRDefault="00071F2B" w:rsidP="00071F2B">
            <w:pPr>
              <w:autoSpaceDE w:val="0"/>
              <w:autoSpaceDN w:val="0"/>
              <w:adjustRightInd w:val="0"/>
              <w:spacing w:beforeLines="60" w:before="144" w:afterLines="60" w:after="144"/>
              <w:contextualSpacing/>
              <w:jc w:val="center"/>
              <w:rPr>
                <w:rFonts w:cs="Calibri"/>
                <w:sz w:val="20"/>
                <w:szCs w:val="20"/>
                <w:lang w:eastAsia="en-GB"/>
              </w:rPr>
            </w:pPr>
            <w:r w:rsidRPr="00304385">
              <w:rPr>
                <w:rFonts w:cs="Calibri"/>
                <w:sz w:val="20"/>
                <w:szCs w:val="20"/>
                <w:lang w:eastAsia="en-GB"/>
              </w:rPr>
              <w:t>Unclear</w:t>
            </w:r>
          </w:p>
        </w:tc>
        <w:tc>
          <w:tcPr>
            <w:tcW w:w="875" w:type="dxa"/>
            <w:vAlign w:val="center"/>
          </w:tcPr>
          <w:p w:rsidR="00071F2B" w:rsidRPr="00304385" w:rsidRDefault="00071F2B" w:rsidP="00071F2B">
            <w:pPr>
              <w:autoSpaceDE w:val="0"/>
              <w:autoSpaceDN w:val="0"/>
              <w:adjustRightInd w:val="0"/>
              <w:spacing w:beforeLines="60" w:before="144" w:afterLines="60" w:after="144"/>
              <w:contextualSpacing/>
              <w:jc w:val="center"/>
              <w:rPr>
                <w:rFonts w:cs="Calibri"/>
                <w:sz w:val="20"/>
                <w:szCs w:val="20"/>
                <w:lang w:eastAsia="en-GB"/>
              </w:rPr>
            </w:pPr>
            <w:r w:rsidRPr="00304385">
              <w:rPr>
                <w:rFonts w:cs="Calibri"/>
                <w:sz w:val="20"/>
                <w:szCs w:val="20"/>
                <w:lang w:eastAsia="en-GB"/>
              </w:rPr>
              <w:t xml:space="preserve">330 </w:t>
            </w:r>
          </w:p>
        </w:tc>
        <w:tc>
          <w:tcPr>
            <w:tcW w:w="3610" w:type="dxa"/>
            <w:vAlign w:val="center"/>
          </w:tcPr>
          <w:p w:rsidR="00071F2B" w:rsidRPr="00304385" w:rsidRDefault="00071F2B" w:rsidP="00071F2B">
            <w:pPr>
              <w:autoSpaceDE w:val="0"/>
              <w:autoSpaceDN w:val="0"/>
              <w:adjustRightInd w:val="0"/>
              <w:spacing w:beforeLines="60" w:before="144" w:afterLines="60" w:after="144"/>
              <w:contextualSpacing/>
              <w:jc w:val="center"/>
              <w:rPr>
                <w:rFonts w:cs="Calibri"/>
                <w:sz w:val="20"/>
                <w:szCs w:val="20"/>
                <w:lang w:eastAsia="en-GB"/>
              </w:rPr>
            </w:pPr>
            <w:r w:rsidRPr="00304385">
              <w:rPr>
                <w:rFonts w:cs="Calibri"/>
                <w:sz w:val="20"/>
                <w:szCs w:val="20"/>
                <w:lang w:eastAsia="en-GB"/>
              </w:rPr>
              <w:t>45% (prevalence)</w:t>
            </w:r>
          </w:p>
        </w:tc>
      </w:tr>
      <w:tr w:rsidR="00071F2B" w:rsidRPr="00304385" w:rsidTr="00071F2B">
        <w:trPr>
          <w:cantSplit/>
          <w:trHeight w:val="353"/>
          <w:tblHeader/>
        </w:trPr>
        <w:tc>
          <w:tcPr>
            <w:tcW w:w="1784" w:type="dxa"/>
            <w:vAlign w:val="center"/>
          </w:tcPr>
          <w:p w:rsidR="00071F2B" w:rsidRPr="00304385" w:rsidRDefault="00071F2B" w:rsidP="001B4738">
            <w:pPr>
              <w:spacing w:beforeLines="60" w:before="144" w:afterLines="60" w:after="144"/>
              <w:contextualSpacing/>
              <w:rPr>
                <w:rFonts w:cs="Times New Roman"/>
                <w:sz w:val="20"/>
                <w:szCs w:val="20"/>
                <w:lang w:eastAsia="en-GB"/>
              </w:rPr>
            </w:pPr>
            <w:r>
              <w:rPr>
                <w:rFonts w:cs="Times New Roman"/>
                <w:noProof/>
                <w:sz w:val="20"/>
                <w:szCs w:val="20"/>
                <w:lang w:eastAsia="en-GB"/>
              </w:rPr>
              <w:t xml:space="preserve">Mallbris (2005) </w:t>
            </w:r>
            <w:r w:rsidR="00FB1688">
              <w:rPr>
                <w:rFonts w:cs="Times New Roman"/>
                <w:noProof/>
                <w:sz w:val="20"/>
                <w:szCs w:val="20"/>
                <w:lang w:eastAsia="en-GB"/>
              </w:rPr>
              <w:t>(</w:t>
            </w:r>
            <w:r w:rsidR="001B4738">
              <w:rPr>
                <w:rFonts w:cs="Times New Roman"/>
                <w:noProof/>
                <w:sz w:val="20"/>
                <w:szCs w:val="20"/>
                <w:lang w:eastAsia="en-GB"/>
              </w:rPr>
              <w:t>19</w:t>
            </w:r>
            <w:r w:rsidR="00FB1688">
              <w:rPr>
                <w:rFonts w:cs="Times New Roman"/>
                <w:noProof/>
                <w:sz w:val="20"/>
                <w:szCs w:val="20"/>
                <w:lang w:eastAsia="en-GB"/>
              </w:rPr>
              <w:t>)</w:t>
            </w:r>
          </w:p>
        </w:tc>
        <w:tc>
          <w:tcPr>
            <w:tcW w:w="1717" w:type="dxa"/>
            <w:vAlign w:val="center"/>
          </w:tcPr>
          <w:p w:rsidR="00071F2B" w:rsidRPr="00304385" w:rsidRDefault="00071F2B" w:rsidP="00071F2B">
            <w:pPr>
              <w:autoSpaceDE w:val="0"/>
              <w:autoSpaceDN w:val="0"/>
              <w:adjustRightInd w:val="0"/>
              <w:spacing w:beforeLines="60" w:before="144" w:afterLines="60" w:after="144"/>
              <w:contextualSpacing/>
              <w:jc w:val="center"/>
              <w:rPr>
                <w:rFonts w:cs="Calibri"/>
                <w:sz w:val="20"/>
                <w:szCs w:val="20"/>
                <w:lang w:eastAsia="en-GB"/>
              </w:rPr>
            </w:pPr>
            <w:r w:rsidRPr="00304385">
              <w:rPr>
                <w:rFonts w:cs="Calibri"/>
                <w:sz w:val="20"/>
                <w:szCs w:val="20"/>
                <w:lang w:eastAsia="en-GB"/>
              </w:rPr>
              <w:t>Sweden (2001-3)</w:t>
            </w:r>
          </w:p>
        </w:tc>
        <w:tc>
          <w:tcPr>
            <w:tcW w:w="1030" w:type="dxa"/>
            <w:vAlign w:val="center"/>
          </w:tcPr>
          <w:p w:rsidR="00071F2B" w:rsidRPr="00304385" w:rsidRDefault="00071F2B" w:rsidP="00071F2B">
            <w:pPr>
              <w:autoSpaceDE w:val="0"/>
              <w:autoSpaceDN w:val="0"/>
              <w:adjustRightInd w:val="0"/>
              <w:spacing w:beforeLines="60" w:before="144" w:afterLines="60" w:after="144"/>
              <w:contextualSpacing/>
              <w:jc w:val="center"/>
              <w:rPr>
                <w:rFonts w:cs="Calibri"/>
                <w:sz w:val="20"/>
                <w:szCs w:val="20"/>
                <w:lang w:eastAsia="en-GB"/>
              </w:rPr>
            </w:pPr>
            <w:r w:rsidRPr="00304385">
              <w:rPr>
                <w:rFonts w:cs="Calibri"/>
                <w:sz w:val="20"/>
                <w:szCs w:val="20"/>
                <w:lang w:eastAsia="en-GB"/>
              </w:rPr>
              <w:t>Unclear</w:t>
            </w:r>
          </w:p>
        </w:tc>
        <w:tc>
          <w:tcPr>
            <w:tcW w:w="875" w:type="dxa"/>
            <w:vAlign w:val="center"/>
          </w:tcPr>
          <w:p w:rsidR="00071F2B" w:rsidRPr="00304385" w:rsidRDefault="00071F2B" w:rsidP="00071F2B">
            <w:pPr>
              <w:autoSpaceDE w:val="0"/>
              <w:autoSpaceDN w:val="0"/>
              <w:adjustRightInd w:val="0"/>
              <w:spacing w:beforeLines="60" w:before="144" w:afterLines="60" w:after="144"/>
              <w:contextualSpacing/>
              <w:jc w:val="center"/>
              <w:rPr>
                <w:rFonts w:cs="Calibri"/>
                <w:sz w:val="20"/>
                <w:szCs w:val="20"/>
                <w:lang w:eastAsia="en-GB"/>
              </w:rPr>
            </w:pPr>
            <w:r w:rsidRPr="00304385">
              <w:rPr>
                <w:rFonts w:cs="Calibri"/>
                <w:sz w:val="20"/>
                <w:szCs w:val="20"/>
                <w:lang w:eastAsia="en-GB"/>
              </w:rPr>
              <w:t>400</w:t>
            </w:r>
          </w:p>
        </w:tc>
        <w:tc>
          <w:tcPr>
            <w:tcW w:w="3610" w:type="dxa"/>
            <w:vAlign w:val="center"/>
          </w:tcPr>
          <w:p w:rsidR="00071F2B" w:rsidRPr="00304385" w:rsidRDefault="00071F2B" w:rsidP="00071F2B">
            <w:pPr>
              <w:autoSpaceDE w:val="0"/>
              <w:autoSpaceDN w:val="0"/>
              <w:adjustRightInd w:val="0"/>
              <w:spacing w:beforeLines="60" w:before="144" w:afterLines="60" w:after="144"/>
              <w:contextualSpacing/>
              <w:jc w:val="center"/>
              <w:rPr>
                <w:rFonts w:cs="Calibri"/>
                <w:sz w:val="20"/>
                <w:szCs w:val="20"/>
                <w:lang w:eastAsia="en-GB"/>
              </w:rPr>
            </w:pPr>
            <w:r w:rsidRPr="00304385">
              <w:rPr>
                <w:rFonts w:cs="Calibri"/>
                <w:sz w:val="20"/>
                <w:szCs w:val="20"/>
                <w:lang w:eastAsia="en-GB"/>
              </w:rPr>
              <w:t>17% (incidence)</w:t>
            </w:r>
          </w:p>
        </w:tc>
      </w:tr>
      <w:tr w:rsidR="00071F2B" w:rsidRPr="00304385" w:rsidTr="00071F2B">
        <w:trPr>
          <w:cantSplit/>
          <w:trHeight w:val="353"/>
          <w:tblHeader/>
        </w:trPr>
        <w:tc>
          <w:tcPr>
            <w:tcW w:w="1784" w:type="dxa"/>
            <w:tcBorders>
              <w:right w:val="nil"/>
            </w:tcBorders>
            <w:vAlign w:val="center"/>
          </w:tcPr>
          <w:p w:rsidR="00071F2B" w:rsidRPr="00304385" w:rsidRDefault="00071F2B" w:rsidP="00071F2B">
            <w:pPr>
              <w:spacing w:beforeLines="60" w:before="144" w:afterLines="60" w:after="144"/>
              <w:contextualSpacing/>
              <w:rPr>
                <w:rFonts w:cs="Times New Roman"/>
                <w:b/>
                <w:sz w:val="20"/>
                <w:szCs w:val="20"/>
                <w:lang w:eastAsia="en-GB"/>
              </w:rPr>
            </w:pPr>
            <w:r w:rsidRPr="00304385">
              <w:rPr>
                <w:rFonts w:cs="Times New Roman"/>
                <w:b/>
                <w:sz w:val="20"/>
                <w:szCs w:val="20"/>
                <w:lang w:eastAsia="en-GB"/>
              </w:rPr>
              <w:t>Palm or sole</w:t>
            </w:r>
          </w:p>
        </w:tc>
        <w:tc>
          <w:tcPr>
            <w:tcW w:w="1717" w:type="dxa"/>
            <w:tcBorders>
              <w:left w:val="nil"/>
              <w:right w:val="nil"/>
            </w:tcBorders>
            <w:vAlign w:val="center"/>
          </w:tcPr>
          <w:p w:rsidR="00071F2B" w:rsidRPr="00304385" w:rsidRDefault="00071F2B" w:rsidP="00071F2B">
            <w:pPr>
              <w:autoSpaceDE w:val="0"/>
              <w:autoSpaceDN w:val="0"/>
              <w:adjustRightInd w:val="0"/>
              <w:spacing w:beforeLines="60" w:before="144" w:afterLines="60" w:after="144"/>
              <w:contextualSpacing/>
              <w:jc w:val="center"/>
              <w:rPr>
                <w:rFonts w:cs="Calibri"/>
                <w:sz w:val="20"/>
                <w:szCs w:val="20"/>
                <w:lang w:eastAsia="en-GB"/>
              </w:rPr>
            </w:pPr>
          </w:p>
        </w:tc>
        <w:tc>
          <w:tcPr>
            <w:tcW w:w="1030" w:type="dxa"/>
            <w:tcBorders>
              <w:left w:val="nil"/>
              <w:right w:val="nil"/>
            </w:tcBorders>
            <w:vAlign w:val="center"/>
          </w:tcPr>
          <w:p w:rsidR="00071F2B" w:rsidRPr="00304385" w:rsidRDefault="00071F2B" w:rsidP="00071F2B">
            <w:pPr>
              <w:autoSpaceDE w:val="0"/>
              <w:autoSpaceDN w:val="0"/>
              <w:adjustRightInd w:val="0"/>
              <w:spacing w:beforeLines="60" w:before="144" w:afterLines="60" w:after="144"/>
              <w:contextualSpacing/>
              <w:jc w:val="center"/>
              <w:rPr>
                <w:rFonts w:cs="Calibri"/>
                <w:sz w:val="20"/>
                <w:szCs w:val="20"/>
                <w:lang w:eastAsia="en-GB"/>
              </w:rPr>
            </w:pPr>
          </w:p>
        </w:tc>
        <w:tc>
          <w:tcPr>
            <w:tcW w:w="875" w:type="dxa"/>
            <w:tcBorders>
              <w:left w:val="nil"/>
              <w:right w:val="nil"/>
            </w:tcBorders>
            <w:vAlign w:val="center"/>
          </w:tcPr>
          <w:p w:rsidR="00071F2B" w:rsidRPr="00304385" w:rsidRDefault="00071F2B" w:rsidP="00071F2B">
            <w:pPr>
              <w:autoSpaceDE w:val="0"/>
              <w:autoSpaceDN w:val="0"/>
              <w:adjustRightInd w:val="0"/>
              <w:spacing w:beforeLines="60" w:before="144" w:afterLines="60" w:after="144"/>
              <w:contextualSpacing/>
              <w:jc w:val="center"/>
              <w:rPr>
                <w:rFonts w:cs="Calibri"/>
                <w:sz w:val="20"/>
                <w:szCs w:val="20"/>
                <w:lang w:eastAsia="en-GB"/>
              </w:rPr>
            </w:pPr>
          </w:p>
        </w:tc>
        <w:tc>
          <w:tcPr>
            <w:tcW w:w="3610" w:type="dxa"/>
            <w:tcBorders>
              <w:left w:val="nil"/>
            </w:tcBorders>
            <w:vAlign w:val="center"/>
          </w:tcPr>
          <w:p w:rsidR="00071F2B" w:rsidRPr="00304385" w:rsidRDefault="00071F2B" w:rsidP="00071F2B">
            <w:pPr>
              <w:autoSpaceDE w:val="0"/>
              <w:autoSpaceDN w:val="0"/>
              <w:adjustRightInd w:val="0"/>
              <w:spacing w:beforeLines="60" w:before="144" w:afterLines="60" w:after="144"/>
              <w:contextualSpacing/>
              <w:jc w:val="center"/>
              <w:rPr>
                <w:rFonts w:cs="Calibri"/>
                <w:sz w:val="20"/>
                <w:szCs w:val="20"/>
                <w:lang w:eastAsia="en-GB"/>
              </w:rPr>
            </w:pPr>
          </w:p>
        </w:tc>
      </w:tr>
      <w:tr w:rsidR="00071F2B" w:rsidRPr="00304385" w:rsidTr="00071F2B">
        <w:trPr>
          <w:cantSplit/>
          <w:trHeight w:val="353"/>
          <w:tblHeader/>
        </w:trPr>
        <w:tc>
          <w:tcPr>
            <w:tcW w:w="1784" w:type="dxa"/>
            <w:tcBorders>
              <w:bottom w:val="single" w:sz="4" w:space="0" w:color="auto"/>
            </w:tcBorders>
            <w:vAlign w:val="center"/>
          </w:tcPr>
          <w:p w:rsidR="00071F2B" w:rsidRPr="00304385" w:rsidRDefault="00071F2B" w:rsidP="001B4738">
            <w:pPr>
              <w:spacing w:beforeLines="60" w:before="144" w:afterLines="60" w:after="144"/>
              <w:contextualSpacing/>
              <w:rPr>
                <w:rFonts w:cs="Times New Roman"/>
                <w:sz w:val="20"/>
                <w:szCs w:val="20"/>
                <w:lang w:eastAsia="en-GB"/>
              </w:rPr>
            </w:pPr>
            <w:r>
              <w:rPr>
                <w:rFonts w:cs="Times New Roman"/>
                <w:noProof/>
                <w:sz w:val="20"/>
                <w:szCs w:val="20"/>
                <w:lang w:eastAsia="en-GB"/>
              </w:rPr>
              <w:t xml:space="preserve">Icen (2009) </w:t>
            </w:r>
            <w:r w:rsidR="00FB1688">
              <w:rPr>
                <w:rFonts w:cs="Times New Roman"/>
                <w:noProof/>
                <w:sz w:val="20"/>
                <w:szCs w:val="20"/>
                <w:lang w:eastAsia="en-GB"/>
              </w:rPr>
              <w:t>(</w:t>
            </w:r>
            <w:r w:rsidR="001B4738">
              <w:rPr>
                <w:rFonts w:cs="Times New Roman"/>
                <w:noProof/>
                <w:sz w:val="20"/>
                <w:szCs w:val="20"/>
                <w:lang w:eastAsia="en-GB"/>
              </w:rPr>
              <w:t>13</w:t>
            </w:r>
            <w:r w:rsidR="00FB1688">
              <w:rPr>
                <w:rFonts w:cs="Times New Roman"/>
                <w:noProof/>
                <w:sz w:val="20"/>
                <w:szCs w:val="20"/>
                <w:lang w:eastAsia="en-GB"/>
              </w:rPr>
              <w:t>)</w:t>
            </w:r>
          </w:p>
        </w:tc>
        <w:tc>
          <w:tcPr>
            <w:tcW w:w="1717" w:type="dxa"/>
            <w:tcBorders>
              <w:bottom w:val="single" w:sz="4" w:space="0" w:color="auto"/>
            </w:tcBorders>
            <w:vAlign w:val="center"/>
          </w:tcPr>
          <w:p w:rsidR="00071F2B" w:rsidRPr="00304385" w:rsidRDefault="00071F2B" w:rsidP="00071F2B">
            <w:pPr>
              <w:autoSpaceDE w:val="0"/>
              <w:autoSpaceDN w:val="0"/>
              <w:adjustRightInd w:val="0"/>
              <w:spacing w:beforeLines="60" w:before="144" w:afterLines="60" w:after="144"/>
              <w:contextualSpacing/>
              <w:jc w:val="center"/>
              <w:rPr>
                <w:rFonts w:cs="Calibri"/>
                <w:sz w:val="20"/>
                <w:szCs w:val="20"/>
                <w:lang w:eastAsia="en-GB"/>
              </w:rPr>
            </w:pPr>
            <w:r w:rsidRPr="00304385">
              <w:rPr>
                <w:rFonts w:cs="Calibri"/>
                <w:sz w:val="20"/>
                <w:szCs w:val="20"/>
                <w:lang w:eastAsia="en-GB"/>
              </w:rPr>
              <w:t>USA (1970-1999)</w:t>
            </w:r>
          </w:p>
        </w:tc>
        <w:tc>
          <w:tcPr>
            <w:tcW w:w="1030" w:type="dxa"/>
            <w:tcBorders>
              <w:bottom w:val="single" w:sz="4" w:space="0" w:color="auto"/>
            </w:tcBorders>
            <w:vAlign w:val="center"/>
          </w:tcPr>
          <w:p w:rsidR="00071F2B" w:rsidRPr="00304385" w:rsidRDefault="00071F2B" w:rsidP="00071F2B">
            <w:pPr>
              <w:autoSpaceDE w:val="0"/>
              <w:autoSpaceDN w:val="0"/>
              <w:adjustRightInd w:val="0"/>
              <w:spacing w:beforeLines="60" w:before="144" w:afterLines="60" w:after="144"/>
              <w:contextualSpacing/>
              <w:jc w:val="center"/>
              <w:rPr>
                <w:rFonts w:cs="Calibri"/>
                <w:sz w:val="20"/>
                <w:szCs w:val="20"/>
                <w:lang w:eastAsia="en-GB"/>
              </w:rPr>
            </w:pPr>
            <w:r w:rsidRPr="00304385">
              <w:rPr>
                <w:rFonts w:cs="Calibri"/>
                <w:sz w:val="20"/>
                <w:szCs w:val="20"/>
                <w:lang w:eastAsia="en-GB"/>
              </w:rPr>
              <w:t>Low</w:t>
            </w:r>
          </w:p>
        </w:tc>
        <w:tc>
          <w:tcPr>
            <w:tcW w:w="875" w:type="dxa"/>
            <w:tcBorders>
              <w:bottom w:val="single" w:sz="4" w:space="0" w:color="auto"/>
            </w:tcBorders>
            <w:vAlign w:val="center"/>
          </w:tcPr>
          <w:p w:rsidR="00071F2B" w:rsidRPr="00304385" w:rsidRDefault="00071F2B" w:rsidP="00071F2B">
            <w:pPr>
              <w:autoSpaceDE w:val="0"/>
              <w:autoSpaceDN w:val="0"/>
              <w:adjustRightInd w:val="0"/>
              <w:spacing w:beforeLines="60" w:before="144" w:afterLines="60" w:after="144"/>
              <w:contextualSpacing/>
              <w:jc w:val="center"/>
              <w:rPr>
                <w:rFonts w:cs="Calibri"/>
                <w:sz w:val="20"/>
                <w:szCs w:val="20"/>
                <w:lang w:eastAsia="en-GB"/>
              </w:rPr>
            </w:pPr>
            <w:r w:rsidRPr="00304385">
              <w:rPr>
                <w:rFonts w:cs="Calibri"/>
                <w:sz w:val="20"/>
                <w:szCs w:val="20"/>
                <w:lang w:eastAsia="en-GB"/>
              </w:rPr>
              <w:t>1,633</w:t>
            </w:r>
          </w:p>
        </w:tc>
        <w:tc>
          <w:tcPr>
            <w:tcW w:w="3610" w:type="dxa"/>
            <w:tcBorders>
              <w:bottom w:val="single" w:sz="4" w:space="0" w:color="auto"/>
            </w:tcBorders>
            <w:vAlign w:val="center"/>
          </w:tcPr>
          <w:p w:rsidR="00071F2B" w:rsidRPr="00304385" w:rsidRDefault="00071F2B" w:rsidP="00071F2B">
            <w:pPr>
              <w:autoSpaceDE w:val="0"/>
              <w:autoSpaceDN w:val="0"/>
              <w:adjustRightInd w:val="0"/>
              <w:spacing w:beforeLines="60" w:before="144" w:afterLines="60" w:after="144"/>
              <w:contextualSpacing/>
              <w:jc w:val="center"/>
              <w:rPr>
                <w:rFonts w:cs="Calibri"/>
                <w:sz w:val="20"/>
                <w:szCs w:val="20"/>
                <w:lang w:eastAsia="en-GB"/>
              </w:rPr>
            </w:pPr>
            <w:r w:rsidRPr="00304385">
              <w:rPr>
                <w:rFonts w:cs="Calibri"/>
                <w:sz w:val="20"/>
                <w:szCs w:val="20"/>
                <w:lang w:eastAsia="en-GB"/>
              </w:rPr>
              <w:t>3.3% (incidence)</w:t>
            </w:r>
          </w:p>
        </w:tc>
      </w:tr>
      <w:tr w:rsidR="00071F2B" w:rsidRPr="00304385" w:rsidTr="00071F2B">
        <w:trPr>
          <w:cantSplit/>
          <w:trHeight w:val="353"/>
          <w:tblHeader/>
        </w:trPr>
        <w:tc>
          <w:tcPr>
            <w:tcW w:w="1784" w:type="dxa"/>
            <w:vAlign w:val="center"/>
          </w:tcPr>
          <w:p w:rsidR="00071F2B" w:rsidRPr="00304385" w:rsidRDefault="00071F2B" w:rsidP="001B4738">
            <w:pPr>
              <w:spacing w:beforeLines="60" w:before="144" w:afterLines="60" w:after="144"/>
              <w:contextualSpacing/>
              <w:rPr>
                <w:rFonts w:cs="Times New Roman"/>
                <w:sz w:val="20"/>
                <w:szCs w:val="20"/>
                <w:lang w:eastAsia="en-GB"/>
              </w:rPr>
            </w:pPr>
            <w:r>
              <w:rPr>
                <w:rFonts w:cs="Times New Roman"/>
                <w:noProof/>
                <w:sz w:val="20"/>
                <w:szCs w:val="20"/>
                <w:lang w:eastAsia="en-GB"/>
              </w:rPr>
              <w:t xml:space="preserve">Schafer (2011) </w:t>
            </w:r>
            <w:r w:rsidR="00FB1688">
              <w:rPr>
                <w:rFonts w:cs="Times New Roman"/>
                <w:noProof/>
                <w:sz w:val="20"/>
                <w:szCs w:val="20"/>
                <w:lang w:eastAsia="en-GB"/>
              </w:rPr>
              <w:t>(</w:t>
            </w:r>
            <w:r w:rsidR="001B4738">
              <w:rPr>
                <w:rFonts w:cs="Times New Roman"/>
                <w:noProof/>
                <w:sz w:val="20"/>
                <w:szCs w:val="20"/>
                <w:lang w:eastAsia="en-GB"/>
              </w:rPr>
              <w:t>16</w:t>
            </w:r>
            <w:r w:rsidR="00FB1688">
              <w:rPr>
                <w:rFonts w:cs="Times New Roman"/>
                <w:noProof/>
                <w:sz w:val="20"/>
                <w:szCs w:val="20"/>
                <w:lang w:eastAsia="en-GB"/>
              </w:rPr>
              <w:t>)</w:t>
            </w:r>
          </w:p>
        </w:tc>
        <w:tc>
          <w:tcPr>
            <w:tcW w:w="1717" w:type="dxa"/>
            <w:vAlign w:val="center"/>
          </w:tcPr>
          <w:p w:rsidR="00071F2B" w:rsidRPr="00304385" w:rsidRDefault="00071F2B" w:rsidP="00071F2B">
            <w:pPr>
              <w:autoSpaceDE w:val="0"/>
              <w:autoSpaceDN w:val="0"/>
              <w:adjustRightInd w:val="0"/>
              <w:spacing w:beforeLines="60" w:before="144" w:afterLines="60" w:after="144"/>
              <w:contextualSpacing/>
              <w:jc w:val="center"/>
              <w:rPr>
                <w:rFonts w:cs="Calibri"/>
                <w:sz w:val="20"/>
                <w:szCs w:val="20"/>
                <w:lang w:eastAsia="en-GB"/>
              </w:rPr>
            </w:pPr>
            <w:r w:rsidRPr="00304385">
              <w:rPr>
                <w:rFonts w:cs="Calibri"/>
                <w:sz w:val="20"/>
                <w:szCs w:val="20"/>
                <w:lang w:eastAsia="en-GB"/>
              </w:rPr>
              <w:t>Germany (2005)</w:t>
            </w:r>
          </w:p>
        </w:tc>
        <w:tc>
          <w:tcPr>
            <w:tcW w:w="1030" w:type="dxa"/>
            <w:vAlign w:val="center"/>
          </w:tcPr>
          <w:p w:rsidR="00071F2B" w:rsidRPr="00304385" w:rsidRDefault="00071F2B" w:rsidP="00071F2B">
            <w:pPr>
              <w:autoSpaceDE w:val="0"/>
              <w:autoSpaceDN w:val="0"/>
              <w:adjustRightInd w:val="0"/>
              <w:spacing w:beforeLines="60" w:before="144" w:afterLines="60" w:after="144"/>
              <w:contextualSpacing/>
              <w:jc w:val="center"/>
              <w:rPr>
                <w:rFonts w:cs="Calibri"/>
                <w:sz w:val="20"/>
                <w:szCs w:val="20"/>
                <w:lang w:eastAsia="en-GB"/>
              </w:rPr>
            </w:pPr>
            <w:r w:rsidRPr="00304385">
              <w:rPr>
                <w:rFonts w:cs="Calibri"/>
                <w:sz w:val="20"/>
                <w:szCs w:val="20"/>
                <w:lang w:eastAsia="en-GB"/>
              </w:rPr>
              <w:t>Low</w:t>
            </w:r>
          </w:p>
        </w:tc>
        <w:tc>
          <w:tcPr>
            <w:tcW w:w="875" w:type="dxa"/>
            <w:vAlign w:val="center"/>
          </w:tcPr>
          <w:p w:rsidR="00071F2B" w:rsidRPr="00304385" w:rsidRDefault="00071F2B" w:rsidP="00071F2B">
            <w:pPr>
              <w:autoSpaceDE w:val="0"/>
              <w:autoSpaceDN w:val="0"/>
              <w:adjustRightInd w:val="0"/>
              <w:spacing w:beforeLines="60" w:before="144" w:afterLines="60" w:after="144"/>
              <w:contextualSpacing/>
              <w:jc w:val="center"/>
              <w:rPr>
                <w:rFonts w:cs="Calibri"/>
                <w:sz w:val="20"/>
                <w:szCs w:val="20"/>
                <w:lang w:eastAsia="en-GB"/>
              </w:rPr>
            </w:pPr>
            <w:r w:rsidRPr="00304385">
              <w:rPr>
                <w:rFonts w:cs="Calibri"/>
                <w:sz w:val="20"/>
                <w:szCs w:val="20"/>
                <w:lang w:eastAsia="en-GB"/>
              </w:rPr>
              <w:t>24,509</w:t>
            </w:r>
          </w:p>
        </w:tc>
        <w:tc>
          <w:tcPr>
            <w:tcW w:w="3610" w:type="dxa"/>
            <w:vAlign w:val="center"/>
          </w:tcPr>
          <w:p w:rsidR="00071F2B" w:rsidRPr="00304385" w:rsidRDefault="00071F2B" w:rsidP="00071F2B">
            <w:pPr>
              <w:autoSpaceDE w:val="0"/>
              <w:autoSpaceDN w:val="0"/>
              <w:adjustRightInd w:val="0"/>
              <w:spacing w:beforeLines="60" w:before="144" w:afterLines="60" w:after="144"/>
              <w:contextualSpacing/>
              <w:jc w:val="center"/>
              <w:rPr>
                <w:rFonts w:cs="Calibri"/>
                <w:sz w:val="20"/>
                <w:szCs w:val="20"/>
                <w:lang w:eastAsia="en-GB"/>
              </w:rPr>
            </w:pPr>
            <w:r w:rsidRPr="00304385">
              <w:rPr>
                <w:rFonts w:cs="Calibri"/>
                <w:sz w:val="20"/>
                <w:szCs w:val="20"/>
                <w:lang w:eastAsia="en-GB"/>
              </w:rPr>
              <w:t>Psoriasis pustulosa palmoplantaris: 3.60%</w:t>
            </w:r>
          </w:p>
          <w:p w:rsidR="00071F2B" w:rsidRPr="00304385" w:rsidRDefault="00071F2B" w:rsidP="00071F2B">
            <w:pPr>
              <w:autoSpaceDE w:val="0"/>
              <w:autoSpaceDN w:val="0"/>
              <w:adjustRightInd w:val="0"/>
              <w:spacing w:beforeLines="60" w:before="144" w:afterLines="60" w:after="144"/>
              <w:contextualSpacing/>
              <w:jc w:val="center"/>
              <w:rPr>
                <w:rFonts w:cs="Calibri"/>
                <w:sz w:val="20"/>
                <w:szCs w:val="20"/>
                <w:lang w:eastAsia="en-GB"/>
              </w:rPr>
            </w:pPr>
            <w:r w:rsidRPr="00304385">
              <w:rPr>
                <w:rFonts w:cs="Calibri"/>
                <w:sz w:val="20"/>
                <w:szCs w:val="20"/>
                <w:lang w:eastAsia="en-GB"/>
              </w:rPr>
              <w:t>(prevalent)</w:t>
            </w:r>
          </w:p>
        </w:tc>
      </w:tr>
      <w:tr w:rsidR="00071F2B" w:rsidRPr="00304385" w:rsidTr="00071F2B">
        <w:trPr>
          <w:cantSplit/>
          <w:trHeight w:val="353"/>
          <w:tblHeader/>
        </w:trPr>
        <w:tc>
          <w:tcPr>
            <w:tcW w:w="1784" w:type="dxa"/>
            <w:vAlign w:val="center"/>
          </w:tcPr>
          <w:p w:rsidR="00071F2B" w:rsidRPr="00304385" w:rsidRDefault="00071F2B" w:rsidP="001B4738">
            <w:pPr>
              <w:spacing w:beforeLines="60" w:before="144" w:afterLines="60" w:after="144"/>
              <w:contextualSpacing/>
              <w:rPr>
                <w:rFonts w:cs="Times New Roman"/>
                <w:sz w:val="20"/>
                <w:szCs w:val="20"/>
                <w:lang w:eastAsia="en-GB"/>
              </w:rPr>
            </w:pPr>
            <w:r>
              <w:rPr>
                <w:rFonts w:cs="Times New Roman"/>
                <w:noProof/>
                <w:sz w:val="20"/>
                <w:szCs w:val="20"/>
                <w:lang w:eastAsia="en-GB"/>
              </w:rPr>
              <w:t xml:space="preserve">Baker (2013) </w:t>
            </w:r>
            <w:r w:rsidR="00FB1688">
              <w:rPr>
                <w:rFonts w:cs="Times New Roman"/>
                <w:noProof/>
                <w:sz w:val="20"/>
                <w:szCs w:val="20"/>
                <w:lang w:eastAsia="en-GB"/>
              </w:rPr>
              <w:t>(</w:t>
            </w:r>
            <w:r w:rsidR="001B4738">
              <w:rPr>
                <w:rFonts w:cs="Times New Roman"/>
                <w:noProof/>
                <w:sz w:val="20"/>
                <w:szCs w:val="20"/>
                <w:lang w:eastAsia="en-GB"/>
              </w:rPr>
              <w:t>18</w:t>
            </w:r>
            <w:r w:rsidR="00FB1688">
              <w:rPr>
                <w:rFonts w:cs="Times New Roman"/>
                <w:noProof/>
                <w:sz w:val="20"/>
                <w:szCs w:val="20"/>
                <w:lang w:eastAsia="en-GB"/>
              </w:rPr>
              <w:t>)</w:t>
            </w:r>
          </w:p>
        </w:tc>
        <w:tc>
          <w:tcPr>
            <w:tcW w:w="1717" w:type="dxa"/>
            <w:vAlign w:val="center"/>
          </w:tcPr>
          <w:p w:rsidR="00071F2B" w:rsidRPr="00304385" w:rsidRDefault="00071F2B" w:rsidP="00071F2B">
            <w:pPr>
              <w:autoSpaceDE w:val="0"/>
              <w:autoSpaceDN w:val="0"/>
              <w:adjustRightInd w:val="0"/>
              <w:spacing w:beforeLines="60" w:before="144" w:afterLines="60" w:after="144"/>
              <w:contextualSpacing/>
              <w:jc w:val="center"/>
              <w:rPr>
                <w:rFonts w:cs="Calibri"/>
                <w:sz w:val="20"/>
                <w:szCs w:val="20"/>
                <w:lang w:eastAsia="en-GB"/>
              </w:rPr>
            </w:pPr>
            <w:r w:rsidRPr="00304385">
              <w:rPr>
                <w:rFonts w:cs="Calibri"/>
                <w:sz w:val="20"/>
                <w:szCs w:val="20"/>
                <w:lang w:eastAsia="en-GB"/>
              </w:rPr>
              <w:t>Australia (2011)</w:t>
            </w:r>
          </w:p>
        </w:tc>
        <w:tc>
          <w:tcPr>
            <w:tcW w:w="1030" w:type="dxa"/>
            <w:vAlign w:val="center"/>
          </w:tcPr>
          <w:p w:rsidR="00071F2B" w:rsidRPr="00304385" w:rsidRDefault="00071F2B" w:rsidP="00071F2B">
            <w:pPr>
              <w:autoSpaceDE w:val="0"/>
              <w:autoSpaceDN w:val="0"/>
              <w:adjustRightInd w:val="0"/>
              <w:spacing w:beforeLines="60" w:before="144" w:afterLines="60" w:after="144"/>
              <w:contextualSpacing/>
              <w:jc w:val="center"/>
              <w:rPr>
                <w:rFonts w:cs="Calibri"/>
                <w:sz w:val="20"/>
                <w:szCs w:val="20"/>
                <w:lang w:eastAsia="en-GB"/>
              </w:rPr>
            </w:pPr>
            <w:r w:rsidRPr="00304385">
              <w:rPr>
                <w:rFonts w:cs="Calibri"/>
                <w:sz w:val="20"/>
                <w:szCs w:val="20"/>
                <w:lang w:eastAsia="en-GB"/>
              </w:rPr>
              <w:t>Unclear</w:t>
            </w:r>
          </w:p>
        </w:tc>
        <w:tc>
          <w:tcPr>
            <w:tcW w:w="875" w:type="dxa"/>
            <w:vAlign w:val="center"/>
          </w:tcPr>
          <w:p w:rsidR="00071F2B" w:rsidRPr="00304385" w:rsidRDefault="00071F2B" w:rsidP="00071F2B">
            <w:pPr>
              <w:autoSpaceDE w:val="0"/>
              <w:autoSpaceDN w:val="0"/>
              <w:adjustRightInd w:val="0"/>
              <w:spacing w:beforeLines="60" w:before="144" w:afterLines="60" w:after="144"/>
              <w:contextualSpacing/>
              <w:jc w:val="center"/>
              <w:rPr>
                <w:rFonts w:cs="Calibri"/>
                <w:sz w:val="20"/>
                <w:szCs w:val="20"/>
                <w:lang w:eastAsia="en-GB"/>
              </w:rPr>
            </w:pPr>
            <w:r w:rsidRPr="00304385">
              <w:rPr>
                <w:rFonts w:cs="Calibri"/>
                <w:sz w:val="20"/>
                <w:szCs w:val="20"/>
                <w:lang w:eastAsia="en-GB"/>
              </w:rPr>
              <w:t>330</w:t>
            </w:r>
          </w:p>
        </w:tc>
        <w:tc>
          <w:tcPr>
            <w:tcW w:w="3610" w:type="dxa"/>
            <w:vAlign w:val="center"/>
          </w:tcPr>
          <w:p w:rsidR="00071F2B" w:rsidRPr="00304385" w:rsidRDefault="00071F2B" w:rsidP="00071F2B">
            <w:pPr>
              <w:autoSpaceDE w:val="0"/>
              <w:autoSpaceDN w:val="0"/>
              <w:adjustRightInd w:val="0"/>
              <w:spacing w:beforeLines="60" w:before="144" w:afterLines="60" w:after="144"/>
              <w:contextualSpacing/>
              <w:jc w:val="center"/>
              <w:rPr>
                <w:rFonts w:cs="Calibri"/>
                <w:sz w:val="20"/>
                <w:szCs w:val="20"/>
                <w:lang w:eastAsia="en-GB"/>
              </w:rPr>
            </w:pPr>
            <w:r w:rsidRPr="00304385">
              <w:rPr>
                <w:rFonts w:cs="Calibri"/>
                <w:sz w:val="20"/>
                <w:szCs w:val="20"/>
                <w:lang w:eastAsia="en-GB"/>
              </w:rPr>
              <w:t>Hands: 39% (prevalence)</w:t>
            </w:r>
          </w:p>
        </w:tc>
      </w:tr>
      <w:tr w:rsidR="00071F2B" w:rsidRPr="00304385" w:rsidTr="00071F2B">
        <w:trPr>
          <w:cantSplit/>
          <w:trHeight w:val="353"/>
          <w:tblHeader/>
        </w:trPr>
        <w:tc>
          <w:tcPr>
            <w:tcW w:w="1784" w:type="dxa"/>
            <w:vAlign w:val="center"/>
          </w:tcPr>
          <w:p w:rsidR="00071F2B" w:rsidRPr="00304385" w:rsidRDefault="00071F2B" w:rsidP="001B4738">
            <w:pPr>
              <w:spacing w:beforeLines="60" w:before="144" w:afterLines="60" w:after="144"/>
              <w:contextualSpacing/>
              <w:rPr>
                <w:rFonts w:cs="Times New Roman"/>
                <w:sz w:val="20"/>
                <w:szCs w:val="20"/>
                <w:lang w:eastAsia="en-GB"/>
              </w:rPr>
            </w:pPr>
            <w:r>
              <w:rPr>
                <w:rFonts w:cs="Times New Roman"/>
                <w:noProof/>
                <w:sz w:val="20"/>
                <w:szCs w:val="20"/>
                <w:lang w:eastAsia="en-GB"/>
              </w:rPr>
              <w:t xml:space="preserve">Mallbris (2005) </w:t>
            </w:r>
            <w:r w:rsidR="00FB1688">
              <w:rPr>
                <w:rFonts w:cs="Times New Roman"/>
                <w:noProof/>
                <w:sz w:val="20"/>
                <w:szCs w:val="20"/>
                <w:lang w:eastAsia="en-GB"/>
              </w:rPr>
              <w:t>(</w:t>
            </w:r>
            <w:r w:rsidR="001B4738">
              <w:rPr>
                <w:rFonts w:cs="Times New Roman"/>
                <w:noProof/>
                <w:sz w:val="20"/>
                <w:szCs w:val="20"/>
                <w:lang w:eastAsia="en-GB"/>
              </w:rPr>
              <w:t>19</w:t>
            </w:r>
            <w:r w:rsidR="00FB1688">
              <w:rPr>
                <w:rFonts w:cs="Times New Roman"/>
                <w:noProof/>
                <w:sz w:val="20"/>
                <w:szCs w:val="20"/>
                <w:lang w:eastAsia="en-GB"/>
              </w:rPr>
              <w:t>)</w:t>
            </w:r>
          </w:p>
        </w:tc>
        <w:tc>
          <w:tcPr>
            <w:tcW w:w="1717" w:type="dxa"/>
            <w:vAlign w:val="center"/>
          </w:tcPr>
          <w:p w:rsidR="00071F2B" w:rsidRPr="00304385" w:rsidRDefault="00071F2B" w:rsidP="00071F2B">
            <w:pPr>
              <w:autoSpaceDE w:val="0"/>
              <w:autoSpaceDN w:val="0"/>
              <w:adjustRightInd w:val="0"/>
              <w:spacing w:beforeLines="60" w:before="144" w:afterLines="60" w:after="144"/>
              <w:contextualSpacing/>
              <w:jc w:val="center"/>
              <w:rPr>
                <w:rFonts w:cs="Calibri"/>
                <w:sz w:val="20"/>
                <w:szCs w:val="20"/>
                <w:lang w:eastAsia="en-GB"/>
              </w:rPr>
            </w:pPr>
            <w:r w:rsidRPr="00304385">
              <w:rPr>
                <w:rFonts w:cs="Calibri"/>
                <w:sz w:val="20"/>
                <w:szCs w:val="20"/>
                <w:lang w:eastAsia="en-GB"/>
              </w:rPr>
              <w:t>Sweden (2001-3)</w:t>
            </w:r>
          </w:p>
        </w:tc>
        <w:tc>
          <w:tcPr>
            <w:tcW w:w="1030" w:type="dxa"/>
            <w:vAlign w:val="center"/>
          </w:tcPr>
          <w:p w:rsidR="00071F2B" w:rsidRPr="00304385" w:rsidRDefault="00071F2B" w:rsidP="00071F2B">
            <w:pPr>
              <w:autoSpaceDE w:val="0"/>
              <w:autoSpaceDN w:val="0"/>
              <w:adjustRightInd w:val="0"/>
              <w:spacing w:beforeLines="60" w:before="144" w:afterLines="60" w:after="144"/>
              <w:contextualSpacing/>
              <w:jc w:val="center"/>
              <w:rPr>
                <w:rFonts w:cs="Calibri"/>
                <w:sz w:val="20"/>
                <w:szCs w:val="20"/>
                <w:lang w:eastAsia="en-GB"/>
              </w:rPr>
            </w:pPr>
            <w:r w:rsidRPr="00304385">
              <w:rPr>
                <w:rFonts w:cs="Calibri"/>
                <w:sz w:val="20"/>
                <w:szCs w:val="20"/>
                <w:lang w:eastAsia="en-GB"/>
              </w:rPr>
              <w:t>Unclear</w:t>
            </w:r>
          </w:p>
        </w:tc>
        <w:tc>
          <w:tcPr>
            <w:tcW w:w="875" w:type="dxa"/>
            <w:vAlign w:val="center"/>
          </w:tcPr>
          <w:p w:rsidR="00071F2B" w:rsidRPr="00304385" w:rsidRDefault="00071F2B" w:rsidP="00071F2B">
            <w:pPr>
              <w:autoSpaceDE w:val="0"/>
              <w:autoSpaceDN w:val="0"/>
              <w:adjustRightInd w:val="0"/>
              <w:spacing w:beforeLines="60" w:before="144" w:afterLines="60" w:after="144"/>
              <w:contextualSpacing/>
              <w:jc w:val="center"/>
              <w:rPr>
                <w:rFonts w:cs="Calibri"/>
                <w:sz w:val="20"/>
                <w:szCs w:val="20"/>
                <w:lang w:eastAsia="en-GB"/>
              </w:rPr>
            </w:pPr>
            <w:r w:rsidRPr="00304385">
              <w:rPr>
                <w:rFonts w:cs="Calibri"/>
                <w:sz w:val="20"/>
                <w:szCs w:val="20"/>
                <w:lang w:eastAsia="en-GB"/>
              </w:rPr>
              <w:t>400</w:t>
            </w:r>
          </w:p>
        </w:tc>
        <w:tc>
          <w:tcPr>
            <w:tcW w:w="3610" w:type="dxa"/>
            <w:vAlign w:val="center"/>
          </w:tcPr>
          <w:p w:rsidR="00071F2B" w:rsidRPr="00304385" w:rsidRDefault="00071F2B" w:rsidP="00071F2B">
            <w:pPr>
              <w:autoSpaceDE w:val="0"/>
              <w:autoSpaceDN w:val="0"/>
              <w:adjustRightInd w:val="0"/>
              <w:spacing w:beforeLines="60" w:before="144" w:afterLines="60" w:after="144"/>
              <w:contextualSpacing/>
              <w:jc w:val="center"/>
              <w:rPr>
                <w:rFonts w:cs="Calibri"/>
                <w:sz w:val="20"/>
                <w:szCs w:val="20"/>
                <w:lang w:eastAsia="en-GB"/>
              </w:rPr>
            </w:pPr>
            <w:r w:rsidRPr="00304385">
              <w:rPr>
                <w:rFonts w:cs="Calibri"/>
                <w:sz w:val="20"/>
                <w:szCs w:val="20"/>
                <w:lang w:eastAsia="en-GB"/>
              </w:rPr>
              <w:t>2% (incidence)</w:t>
            </w:r>
          </w:p>
        </w:tc>
      </w:tr>
      <w:tr w:rsidR="00071F2B" w:rsidRPr="00304385" w:rsidTr="00071F2B">
        <w:trPr>
          <w:cantSplit/>
          <w:trHeight w:val="353"/>
          <w:tblHeader/>
        </w:trPr>
        <w:tc>
          <w:tcPr>
            <w:tcW w:w="1784" w:type="dxa"/>
            <w:tcBorders>
              <w:bottom w:val="single" w:sz="4" w:space="0" w:color="auto"/>
            </w:tcBorders>
            <w:vAlign w:val="center"/>
          </w:tcPr>
          <w:p w:rsidR="00071F2B" w:rsidRPr="00304385" w:rsidRDefault="00071F2B" w:rsidP="001B4738">
            <w:pPr>
              <w:spacing w:beforeLines="60" w:before="144" w:afterLines="60" w:after="144"/>
              <w:contextualSpacing/>
              <w:rPr>
                <w:rFonts w:cs="Times New Roman"/>
                <w:sz w:val="20"/>
                <w:szCs w:val="20"/>
                <w:lang w:eastAsia="en-GB"/>
              </w:rPr>
            </w:pPr>
            <w:r>
              <w:rPr>
                <w:rFonts w:cs="Times New Roman"/>
                <w:noProof/>
                <w:sz w:val="20"/>
                <w:szCs w:val="20"/>
                <w:lang w:eastAsia="en-GB"/>
              </w:rPr>
              <w:t xml:space="preserve">Merola (2016) </w:t>
            </w:r>
            <w:r w:rsidR="00FB1688">
              <w:rPr>
                <w:rFonts w:cs="Times New Roman"/>
                <w:noProof/>
                <w:sz w:val="20"/>
                <w:szCs w:val="20"/>
                <w:lang w:eastAsia="en-GB"/>
              </w:rPr>
              <w:t>(</w:t>
            </w:r>
            <w:r w:rsidR="001B4738">
              <w:rPr>
                <w:rFonts w:cs="Times New Roman"/>
                <w:noProof/>
                <w:sz w:val="20"/>
                <w:szCs w:val="20"/>
                <w:lang w:eastAsia="en-GB"/>
              </w:rPr>
              <w:t>17</w:t>
            </w:r>
            <w:r w:rsidR="00FB1688">
              <w:rPr>
                <w:rFonts w:cs="Times New Roman"/>
                <w:noProof/>
                <w:sz w:val="20"/>
                <w:szCs w:val="20"/>
                <w:lang w:eastAsia="en-GB"/>
              </w:rPr>
              <w:t>)</w:t>
            </w:r>
          </w:p>
        </w:tc>
        <w:tc>
          <w:tcPr>
            <w:tcW w:w="1717" w:type="dxa"/>
            <w:vAlign w:val="center"/>
          </w:tcPr>
          <w:p w:rsidR="00071F2B" w:rsidRPr="00304385" w:rsidRDefault="00071F2B" w:rsidP="00071F2B">
            <w:pPr>
              <w:autoSpaceDE w:val="0"/>
              <w:autoSpaceDN w:val="0"/>
              <w:adjustRightInd w:val="0"/>
              <w:spacing w:beforeLines="60" w:before="144" w:afterLines="60" w:after="144"/>
              <w:contextualSpacing/>
              <w:jc w:val="center"/>
              <w:rPr>
                <w:rFonts w:cs="Calibri"/>
                <w:sz w:val="20"/>
                <w:szCs w:val="20"/>
                <w:lang w:eastAsia="en-GB"/>
              </w:rPr>
            </w:pPr>
            <w:r w:rsidRPr="00304385">
              <w:rPr>
                <w:rFonts w:cs="Calibri"/>
                <w:sz w:val="20"/>
                <w:szCs w:val="20"/>
                <w:lang w:eastAsia="en-GB"/>
              </w:rPr>
              <w:t>USA (2005,2008)</w:t>
            </w:r>
          </w:p>
        </w:tc>
        <w:tc>
          <w:tcPr>
            <w:tcW w:w="1030" w:type="dxa"/>
            <w:vAlign w:val="center"/>
          </w:tcPr>
          <w:p w:rsidR="00071F2B" w:rsidRPr="00304385" w:rsidRDefault="00071F2B" w:rsidP="00071F2B">
            <w:pPr>
              <w:autoSpaceDE w:val="0"/>
              <w:autoSpaceDN w:val="0"/>
              <w:adjustRightInd w:val="0"/>
              <w:spacing w:beforeLines="60" w:before="144" w:afterLines="60" w:after="144"/>
              <w:contextualSpacing/>
              <w:jc w:val="center"/>
              <w:rPr>
                <w:rFonts w:cs="Calibri"/>
                <w:sz w:val="20"/>
                <w:szCs w:val="20"/>
                <w:lang w:eastAsia="en-GB"/>
              </w:rPr>
            </w:pPr>
            <w:r w:rsidRPr="00304385">
              <w:rPr>
                <w:rFonts w:cs="Calibri"/>
                <w:sz w:val="20"/>
                <w:szCs w:val="20"/>
                <w:lang w:eastAsia="en-GB"/>
              </w:rPr>
              <w:t>Moderate</w:t>
            </w:r>
          </w:p>
        </w:tc>
        <w:tc>
          <w:tcPr>
            <w:tcW w:w="875" w:type="dxa"/>
            <w:vAlign w:val="center"/>
          </w:tcPr>
          <w:p w:rsidR="00071F2B" w:rsidRPr="00304385" w:rsidRDefault="00071F2B" w:rsidP="00071F2B">
            <w:pPr>
              <w:autoSpaceDE w:val="0"/>
              <w:autoSpaceDN w:val="0"/>
              <w:adjustRightInd w:val="0"/>
              <w:spacing w:beforeLines="60" w:before="144" w:afterLines="60" w:after="144"/>
              <w:contextualSpacing/>
              <w:jc w:val="center"/>
              <w:rPr>
                <w:rFonts w:cs="Calibri"/>
                <w:sz w:val="20"/>
                <w:szCs w:val="20"/>
                <w:lang w:eastAsia="en-GB"/>
              </w:rPr>
            </w:pPr>
            <w:r w:rsidRPr="00304385">
              <w:rPr>
                <w:rFonts w:cs="Calibri"/>
                <w:sz w:val="20"/>
                <w:szCs w:val="20"/>
                <w:lang w:eastAsia="en-GB"/>
              </w:rPr>
              <w:t>3,825</w:t>
            </w:r>
          </w:p>
        </w:tc>
        <w:tc>
          <w:tcPr>
            <w:tcW w:w="3610" w:type="dxa"/>
            <w:tcBorders>
              <w:bottom w:val="single" w:sz="4" w:space="0" w:color="auto"/>
            </w:tcBorders>
            <w:vAlign w:val="center"/>
          </w:tcPr>
          <w:p w:rsidR="00071F2B" w:rsidRPr="00304385" w:rsidRDefault="00071F2B" w:rsidP="00071F2B">
            <w:pPr>
              <w:autoSpaceDE w:val="0"/>
              <w:autoSpaceDN w:val="0"/>
              <w:adjustRightInd w:val="0"/>
              <w:spacing w:beforeLines="60" w:before="144" w:afterLines="60" w:after="144"/>
              <w:contextualSpacing/>
              <w:jc w:val="center"/>
              <w:rPr>
                <w:rFonts w:cs="Calibri"/>
                <w:sz w:val="20"/>
                <w:szCs w:val="20"/>
                <w:lang w:eastAsia="en-GB"/>
              </w:rPr>
            </w:pPr>
            <w:r w:rsidRPr="00304385">
              <w:rPr>
                <w:rFonts w:cs="Calibri"/>
                <w:sz w:val="20"/>
                <w:szCs w:val="20"/>
                <w:lang w:eastAsia="en-GB"/>
              </w:rPr>
              <w:t>Palmar-plantar: 15% (prevalent)</w:t>
            </w:r>
          </w:p>
          <w:p w:rsidR="00071F2B" w:rsidRPr="00304385" w:rsidRDefault="00071F2B" w:rsidP="00071F2B">
            <w:pPr>
              <w:autoSpaceDE w:val="0"/>
              <w:autoSpaceDN w:val="0"/>
              <w:adjustRightInd w:val="0"/>
              <w:spacing w:beforeLines="60" w:before="144" w:afterLines="60" w:after="144"/>
              <w:contextualSpacing/>
              <w:jc w:val="center"/>
              <w:rPr>
                <w:rFonts w:cs="Calibri"/>
                <w:sz w:val="20"/>
                <w:szCs w:val="20"/>
                <w:lang w:eastAsia="en-GB"/>
              </w:rPr>
            </w:pPr>
            <w:r w:rsidRPr="00304385">
              <w:rPr>
                <w:rFonts w:cs="Calibri"/>
                <w:sz w:val="20"/>
                <w:szCs w:val="20"/>
                <w:lang w:eastAsia="en-GB"/>
              </w:rPr>
              <w:t>Plaque + palm: 9%(prevalent)</w:t>
            </w:r>
          </w:p>
        </w:tc>
      </w:tr>
      <w:tr w:rsidR="00071F2B" w:rsidRPr="00304385" w:rsidTr="00071F2B">
        <w:trPr>
          <w:cantSplit/>
          <w:trHeight w:val="353"/>
          <w:tblHeader/>
        </w:trPr>
        <w:tc>
          <w:tcPr>
            <w:tcW w:w="1784" w:type="dxa"/>
            <w:tcBorders>
              <w:bottom w:val="single" w:sz="4" w:space="0" w:color="auto"/>
              <w:right w:val="nil"/>
            </w:tcBorders>
            <w:vAlign w:val="center"/>
          </w:tcPr>
          <w:p w:rsidR="00071F2B" w:rsidRPr="00304385" w:rsidRDefault="00071F2B" w:rsidP="00071F2B">
            <w:pPr>
              <w:spacing w:beforeLines="60" w:before="144" w:afterLines="60" w:after="144"/>
              <w:contextualSpacing/>
              <w:rPr>
                <w:rFonts w:cs="Times New Roman"/>
                <w:sz w:val="20"/>
                <w:szCs w:val="20"/>
                <w:lang w:eastAsia="en-GB"/>
              </w:rPr>
            </w:pPr>
            <w:r w:rsidRPr="00304385">
              <w:rPr>
                <w:rFonts w:cs="Times New Roman"/>
                <w:b/>
                <w:sz w:val="20"/>
                <w:szCs w:val="20"/>
                <w:lang w:eastAsia="en-GB"/>
              </w:rPr>
              <w:t>Nail psoriasis</w:t>
            </w:r>
          </w:p>
        </w:tc>
        <w:tc>
          <w:tcPr>
            <w:tcW w:w="1717" w:type="dxa"/>
            <w:tcBorders>
              <w:left w:val="nil"/>
              <w:bottom w:val="single" w:sz="4" w:space="0" w:color="auto"/>
              <w:right w:val="nil"/>
            </w:tcBorders>
            <w:vAlign w:val="center"/>
          </w:tcPr>
          <w:p w:rsidR="00071F2B" w:rsidRPr="00304385" w:rsidRDefault="00071F2B" w:rsidP="00071F2B">
            <w:pPr>
              <w:autoSpaceDE w:val="0"/>
              <w:autoSpaceDN w:val="0"/>
              <w:adjustRightInd w:val="0"/>
              <w:spacing w:beforeLines="60" w:before="144" w:afterLines="60" w:after="144"/>
              <w:contextualSpacing/>
              <w:jc w:val="center"/>
              <w:rPr>
                <w:rFonts w:cs="Calibri"/>
                <w:sz w:val="20"/>
                <w:szCs w:val="20"/>
                <w:lang w:eastAsia="en-GB"/>
              </w:rPr>
            </w:pPr>
          </w:p>
        </w:tc>
        <w:tc>
          <w:tcPr>
            <w:tcW w:w="1030" w:type="dxa"/>
            <w:tcBorders>
              <w:left w:val="nil"/>
              <w:bottom w:val="single" w:sz="4" w:space="0" w:color="auto"/>
              <w:right w:val="nil"/>
            </w:tcBorders>
            <w:vAlign w:val="center"/>
          </w:tcPr>
          <w:p w:rsidR="00071F2B" w:rsidRPr="00304385" w:rsidRDefault="00071F2B" w:rsidP="00071F2B">
            <w:pPr>
              <w:autoSpaceDE w:val="0"/>
              <w:autoSpaceDN w:val="0"/>
              <w:adjustRightInd w:val="0"/>
              <w:spacing w:beforeLines="60" w:before="144" w:afterLines="60" w:after="144"/>
              <w:contextualSpacing/>
              <w:jc w:val="center"/>
              <w:rPr>
                <w:rFonts w:cs="Calibri"/>
                <w:sz w:val="20"/>
                <w:szCs w:val="20"/>
                <w:lang w:eastAsia="en-GB"/>
              </w:rPr>
            </w:pPr>
          </w:p>
        </w:tc>
        <w:tc>
          <w:tcPr>
            <w:tcW w:w="875" w:type="dxa"/>
            <w:tcBorders>
              <w:left w:val="nil"/>
              <w:bottom w:val="single" w:sz="4" w:space="0" w:color="auto"/>
              <w:right w:val="nil"/>
            </w:tcBorders>
            <w:vAlign w:val="center"/>
          </w:tcPr>
          <w:p w:rsidR="00071F2B" w:rsidRPr="00304385" w:rsidRDefault="00071F2B" w:rsidP="00071F2B">
            <w:pPr>
              <w:autoSpaceDE w:val="0"/>
              <w:autoSpaceDN w:val="0"/>
              <w:adjustRightInd w:val="0"/>
              <w:spacing w:beforeLines="60" w:before="144" w:afterLines="60" w:after="144"/>
              <w:contextualSpacing/>
              <w:jc w:val="center"/>
              <w:rPr>
                <w:rFonts w:cs="Calibri"/>
                <w:sz w:val="20"/>
                <w:szCs w:val="20"/>
                <w:lang w:eastAsia="en-GB"/>
              </w:rPr>
            </w:pPr>
          </w:p>
        </w:tc>
        <w:tc>
          <w:tcPr>
            <w:tcW w:w="3610" w:type="dxa"/>
            <w:tcBorders>
              <w:left w:val="nil"/>
              <w:bottom w:val="single" w:sz="4" w:space="0" w:color="auto"/>
            </w:tcBorders>
            <w:vAlign w:val="center"/>
          </w:tcPr>
          <w:p w:rsidR="00071F2B" w:rsidRPr="00304385" w:rsidRDefault="00071F2B" w:rsidP="00071F2B">
            <w:pPr>
              <w:autoSpaceDE w:val="0"/>
              <w:autoSpaceDN w:val="0"/>
              <w:adjustRightInd w:val="0"/>
              <w:spacing w:beforeLines="60" w:before="144" w:afterLines="60" w:after="144"/>
              <w:contextualSpacing/>
              <w:jc w:val="center"/>
              <w:rPr>
                <w:rFonts w:cs="Calibri"/>
                <w:sz w:val="20"/>
                <w:szCs w:val="20"/>
                <w:lang w:eastAsia="en-GB"/>
              </w:rPr>
            </w:pPr>
          </w:p>
        </w:tc>
      </w:tr>
      <w:tr w:rsidR="00071F2B" w:rsidRPr="00304385" w:rsidTr="00071F2B">
        <w:trPr>
          <w:cantSplit/>
          <w:trHeight w:val="353"/>
          <w:tblHeader/>
        </w:trPr>
        <w:tc>
          <w:tcPr>
            <w:tcW w:w="1784" w:type="dxa"/>
            <w:vAlign w:val="center"/>
          </w:tcPr>
          <w:p w:rsidR="00071F2B" w:rsidRPr="00304385" w:rsidRDefault="00071F2B" w:rsidP="001B4738">
            <w:pPr>
              <w:spacing w:beforeLines="60" w:before="144" w:afterLines="60" w:after="144"/>
              <w:contextualSpacing/>
              <w:rPr>
                <w:rFonts w:cs="Times New Roman"/>
                <w:sz w:val="20"/>
                <w:szCs w:val="20"/>
                <w:lang w:eastAsia="en-GB"/>
              </w:rPr>
            </w:pPr>
            <w:r>
              <w:rPr>
                <w:rFonts w:cs="Times New Roman"/>
                <w:noProof/>
                <w:sz w:val="20"/>
                <w:szCs w:val="20"/>
                <w:lang w:eastAsia="en-GB"/>
              </w:rPr>
              <w:t xml:space="preserve">Icen (2009) </w:t>
            </w:r>
            <w:r w:rsidR="00FB1688">
              <w:rPr>
                <w:rFonts w:cs="Times New Roman"/>
                <w:noProof/>
                <w:sz w:val="20"/>
                <w:szCs w:val="20"/>
                <w:lang w:eastAsia="en-GB"/>
              </w:rPr>
              <w:t>(</w:t>
            </w:r>
            <w:r w:rsidR="001B4738">
              <w:rPr>
                <w:rFonts w:cs="Times New Roman"/>
                <w:noProof/>
                <w:sz w:val="20"/>
                <w:szCs w:val="20"/>
                <w:lang w:eastAsia="en-GB"/>
              </w:rPr>
              <w:t>13</w:t>
            </w:r>
            <w:r w:rsidR="00FB1688">
              <w:rPr>
                <w:rFonts w:cs="Times New Roman"/>
                <w:noProof/>
                <w:sz w:val="20"/>
                <w:szCs w:val="20"/>
                <w:lang w:eastAsia="en-GB"/>
              </w:rPr>
              <w:t>)</w:t>
            </w:r>
          </w:p>
        </w:tc>
        <w:tc>
          <w:tcPr>
            <w:tcW w:w="1717" w:type="dxa"/>
            <w:vAlign w:val="center"/>
          </w:tcPr>
          <w:p w:rsidR="00071F2B" w:rsidRPr="00304385" w:rsidRDefault="00071F2B" w:rsidP="00071F2B">
            <w:pPr>
              <w:autoSpaceDE w:val="0"/>
              <w:autoSpaceDN w:val="0"/>
              <w:adjustRightInd w:val="0"/>
              <w:spacing w:beforeLines="60" w:before="144" w:afterLines="60" w:after="144"/>
              <w:contextualSpacing/>
              <w:jc w:val="center"/>
              <w:rPr>
                <w:rFonts w:cs="Calibri"/>
                <w:sz w:val="20"/>
                <w:szCs w:val="20"/>
                <w:lang w:eastAsia="en-GB"/>
              </w:rPr>
            </w:pPr>
            <w:r w:rsidRPr="00304385">
              <w:rPr>
                <w:rFonts w:cs="Calibri"/>
                <w:sz w:val="20"/>
                <w:szCs w:val="20"/>
                <w:lang w:eastAsia="en-GB"/>
              </w:rPr>
              <w:t>USA (1970-1999)</w:t>
            </w:r>
          </w:p>
        </w:tc>
        <w:tc>
          <w:tcPr>
            <w:tcW w:w="1030" w:type="dxa"/>
            <w:vAlign w:val="center"/>
          </w:tcPr>
          <w:p w:rsidR="00071F2B" w:rsidRPr="00304385" w:rsidRDefault="00071F2B" w:rsidP="00071F2B">
            <w:pPr>
              <w:autoSpaceDE w:val="0"/>
              <w:autoSpaceDN w:val="0"/>
              <w:adjustRightInd w:val="0"/>
              <w:spacing w:beforeLines="60" w:before="144" w:afterLines="60" w:after="144"/>
              <w:contextualSpacing/>
              <w:jc w:val="center"/>
              <w:rPr>
                <w:rFonts w:cs="Calibri"/>
                <w:sz w:val="20"/>
                <w:szCs w:val="20"/>
                <w:lang w:eastAsia="en-GB"/>
              </w:rPr>
            </w:pPr>
            <w:r w:rsidRPr="00304385">
              <w:rPr>
                <w:rFonts w:cs="Calibri"/>
                <w:sz w:val="20"/>
                <w:szCs w:val="20"/>
                <w:lang w:eastAsia="en-GB"/>
              </w:rPr>
              <w:t>Low</w:t>
            </w:r>
          </w:p>
        </w:tc>
        <w:tc>
          <w:tcPr>
            <w:tcW w:w="875" w:type="dxa"/>
            <w:vAlign w:val="center"/>
          </w:tcPr>
          <w:p w:rsidR="00071F2B" w:rsidRPr="00304385" w:rsidRDefault="00071F2B" w:rsidP="00071F2B">
            <w:pPr>
              <w:autoSpaceDE w:val="0"/>
              <w:autoSpaceDN w:val="0"/>
              <w:adjustRightInd w:val="0"/>
              <w:spacing w:beforeLines="60" w:before="144" w:afterLines="60" w:after="144"/>
              <w:contextualSpacing/>
              <w:jc w:val="center"/>
              <w:rPr>
                <w:rFonts w:cs="Calibri"/>
                <w:sz w:val="20"/>
                <w:szCs w:val="20"/>
                <w:lang w:eastAsia="en-GB"/>
              </w:rPr>
            </w:pPr>
            <w:r w:rsidRPr="00304385">
              <w:rPr>
                <w:rFonts w:cs="Calibri"/>
                <w:sz w:val="20"/>
                <w:szCs w:val="20"/>
                <w:lang w:eastAsia="en-GB"/>
              </w:rPr>
              <w:t>1,633</w:t>
            </w:r>
          </w:p>
        </w:tc>
        <w:tc>
          <w:tcPr>
            <w:tcW w:w="3610" w:type="dxa"/>
            <w:tcBorders>
              <w:bottom w:val="single" w:sz="4" w:space="0" w:color="auto"/>
            </w:tcBorders>
            <w:vAlign w:val="center"/>
          </w:tcPr>
          <w:p w:rsidR="00071F2B" w:rsidRPr="00304385" w:rsidRDefault="00071F2B" w:rsidP="00071F2B">
            <w:pPr>
              <w:autoSpaceDE w:val="0"/>
              <w:autoSpaceDN w:val="0"/>
              <w:adjustRightInd w:val="0"/>
              <w:spacing w:beforeLines="60" w:before="144" w:afterLines="60" w:after="144"/>
              <w:contextualSpacing/>
              <w:jc w:val="center"/>
              <w:rPr>
                <w:rFonts w:cs="Calibri"/>
                <w:sz w:val="20"/>
                <w:szCs w:val="20"/>
                <w:lang w:eastAsia="en-GB"/>
              </w:rPr>
            </w:pPr>
            <w:r w:rsidRPr="00304385">
              <w:rPr>
                <w:rFonts w:cs="Calibri"/>
                <w:sz w:val="20"/>
                <w:szCs w:val="20"/>
                <w:lang w:eastAsia="en-GB"/>
              </w:rPr>
              <w:t>14% (incidence)</w:t>
            </w:r>
          </w:p>
        </w:tc>
      </w:tr>
      <w:tr w:rsidR="00071F2B" w:rsidRPr="00304385" w:rsidTr="00071F2B">
        <w:trPr>
          <w:cantSplit/>
          <w:trHeight w:val="353"/>
          <w:tblHeader/>
        </w:trPr>
        <w:tc>
          <w:tcPr>
            <w:tcW w:w="1784" w:type="dxa"/>
            <w:vAlign w:val="center"/>
          </w:tcPr>
          <w:p w:rsidR="00071F2B" w:rsidRPr="00304385" w:rsidRDefault="00071F2B" w:rsidP="001B4738">
            <w:pPr>
              <w:spacing w:beforeLines="60" w:before="144" w:afterLines="60" w:after="144"/>
              <w:contextualSpacing/>
              <w:rPr>
                <w:rFonts w:cs="Times New Roman"/>
                <w:sz w:val="20"/>
                <w:szCs w:val="20"/>
                <w:lang w:eastAsia="en-GB"/>
              </w:rPr>
            </w:pPr>
            <w:r>
              <w:rPr>
                <w:rFonts w:cs="Times New Roman"/>
                <w:noProof/>
                <w:sz w:val="20"/>
                <w:szCs w:val="20"/>
                <w:lang w:eastAsia="en-GB"/>
              </w:rPr>
              <w:t xml:space="preserve">Mallbris (2005) </w:t>
            </w:r>
            <w:r w:rsidR="00FB1688">
              <w:rPr>
                <w:rFonts w:cs="Times New Roman"/>
                <w:noProof/>
                <w:sz w:val="20"/>
                <w:szCs w:val="20"/>
                <w:lang w:eastAsia="en-GB"/>
              </w:rPr>
              <w:t>(</w:t>
            </w:r>
            <w:r w:rsidR="001B4738">
              <w:rPr>
                <w:rFonts w:cs="Times New Roman"/>
                <w:noProof/>
                <w:sz w:val="20"/>
                <w:szCs w:val="20"/>
                <w:lang w:eastAsia="en-GB"/>
              </w:rPr>
              <w:t>19</w:t>
            </w:r>
            <w:r w:rsidR="00FB1688">
              <w:rPr>
                <w:rFonts w:cs="Times New Roman"/>
                <w:noProof/>
                <w:sz w:val="20"/>
                <w:szCs w:val="20"/>
                <w:lang w:eastAsia="en-GB"/>
              </w:rPr>
              <w:t>)</w:t>
            </w:r>
          </w:p>
        </w:tc>
        <w:tc>
          <w:tcPr>
            <w:tcW w:w="1717" w:type="dxa"/>
            <w:vAlign w:val="center"/>
          </w:tcPr>
          <w:p w:rsidR="00071F2B" w:rsidRPr="00304385" w:rsidRDefault="00071F2B" w:rsidP="00071F2B">
            <w:pPr>
              <w:autoSpaceDE w:val="0"/>
              <w:autoSpaceDN w:val="0"/>
              <w:adjustRightInd w:val="0"/>
              <w:spacing w:beforeLines="60" w:before="144" w:afterLines="60" w:after="144"/>
              <w:contextualSpacing/>
              <w:jc w:val="center"/>
              <w:rPr>
                <w:rFonts w:cs="Calibri"/>
                <w:sz w:val="20"/>
                <w:szCs w:val="20"/>
                <w:lang w:eastAsia="en-GB"/>
              </w:rPr>
            </w:pPr>
            <w:r w:rsidRPr="00304385">
              <w:rPr>
                <w:rFonts w:cs="Calibri"/>
                <w:sz w:val="20"/>
                <w:szCs w:val="20"/>
                <w:lang w:eastAsia="en-GB"/>
              </w:rPr>
              <w:t>Sweden (2001-3)</w:t>
            </w:r>
          </w:p>
        </w:tc>
        <w:tc>
          <w:tcPr>
            <w:tcW w:w="1030" w:type="dxa"/>
            <w:vAlign w:val="center"/>
          </w:tcPr>
          <w:p w:rsidR="00071F2B" w:rsidRPr="00304385" w:rsidRDefault="00071F2B" w:rsidP="00071F2B">
            <w:pPr>
              <w:autoSpaceDE w:val="0"/>
              <w:autoSpaceDN w:val="0"/>
              <w:adjustRightInd w:val="0"/>
              <w:spacing w:beforeLines="60" w:before="144" w:afterLines="60" w:after="144"/>
              <w:contextualSpacing/>
              <w:jc w:val="center"/>
              <w:rPr>
                <w:rFonts w:cs="Calibri"/>
                <w:sz w:val="20"/>
                <w:szCs w:val="20"/>
                <w:lang w:eastAsia="en-GB"/>
              </w:rPr>
            </w:pPr>
            <w:r w:rsidRPr="00304385">
              <w:rPr>
                <w:rFonts w:cs="Calibri"/>
                <w:sz w:val="20"/>
                <w:szCs w:val="20"/>
                <w:lang w:eastAsia="en-GB"/>
              </w:rPr>
              <w:t>Unclear</w:t>
            </w:r>
          </w:p>
        </w:tc>
        <w:tc>
          <w:tcPr>
            <w:tcW w:w="875" w:type="dxa"/>
            <w:vAlign w:val="center"/>
          </w:tcPr>
          <w:p w:rsidR="00071F2B" w:rsidRPr="00304385" w:rsidRDefault="00071F2B" w:rsidP="00071F2B">
            <w:pPr>
              <w:autoSpaceDE w:val="0"/>
              <w:autoSpaceDN w:val="0"/>
              <w:adjustRightInd w:val="0"/>
              <w:spacing w:beforeLines="60" w:before="144" w:afterLines="60" w:after="144"/>
              <w:contextualSpacing/>
              <w:jc w:val="center"/>
              <w:rPr>
                <w:rFonts w:cs="Calibri"/>
                <w:sz w:val="20"/>
                <w:szCs w:val="20"/>
                <w:lang w:eastAsia="en-GB"/>
              </w:rPr>
            </w:pPr>
            <w:r w:rsidRPr="00304385">
              <w:rPr>
                <w:rFonts w:cs="Calibri"/>
                <w:sz w:val="20"/>
                <w:szCs w:val="20"/>
                <w:lang w:eastAsia="en-GB"/>
              </w:rPr>
              <w:t>400</w:t>
            </w:r>
          </w:p>
        </w:tc>
        <w:tc>
          <w:tcPr>
            <w:tcW w:w="3610" w:type="dxa"/>
            <w:tcBorders>
              <w:bottom w:val="single" w:sz="4" w:space="0" w:color="auto"/>
            </w:tcBorders>
            <w:vAlign w:val="center"/>
          </w:tcPr>
          <w:p w:rsidR="00071F2B" w:rsidRPr="00304385" w:rsidRDefault="00071F2B" w:rsidP="00071F2B">
            <w:pPr>
              <w:autoSpaceDE w:val="0"/>
              <w:autoSpaceDN w:val="0"/>
              <w:adjustRightInd w:val="0"/>
              <w:spacing w:beforeLines="60" w:before="144" w:afterLines="60" w:after="144"/>
              <w:contextualSpacing/>
              <w:jc w:val="center"/>
              <w:rPr>
                <w:rFonts w:cs="Calibri"/>
                <w:sz w:val="20"/>
                <w:szCs w:val="20"/>
                <w:lang w:eastAsia="en-GB"/>
              </w:rPr>
            </w:pPr>
            <w:r w:rsidRPr="00304385">
              <w:rPr>
                <w:rFonts w:cs="Calibri"/>
                <w:sz w:val="20"/>
                <w:szCs w:val="20"/>
                <w:lang w:eastAsia="en-GB"/>
              </w:rPr>
              <w:t>12% (incidence)</w:t>
            </w:r>
          </w:p>
        </w:tc>
      </w:tr>
      <w:tr w:rsidR="00071F2B" w:rsidRPr="00304385" w:rsidTr="00071F2B">
        <w:trPr>
          <w:cantSplit/>
          <w:trHeight w:val="353"/>
          <w:tblHeader/>
        </w:trPr>
        <w:tc>
          <w:tcPr>
            <w:tcW w:w="1784" w:type="dxa"/>
            <w:vAlign w:val="center"/>
          </w:tcPr>
          <w:p w:rsidR="00071F2B" w:rsidRPr="00304385" w:rsidRDefault="00071F2B" w:rsidP="001B4738">
            <w:pPr>
              <w:spacing w:beforeLines="60" w:before="144" w:afterLines="60" w:after="144"/>
              <w:contextualSpacing/>
              <w:rPr>
                <w:rFonts w:cs="Times New Roman"/>
                <w:sz w:val="20"/>
                <w:szCs w:val="20"/>
                <w:lang w:eastAsia="en-GB"/>
              </w:rPr>
            </w:pPr>
            <w:r>
              <w:rPr>
                <w:rFonts w:cs="Times New Roman"/>
                <w:noProof/>
                <w:sz w:val="20"/>
                <w:szCs w:val="20"/>
                <w:lang w:eastAsia="en-GB"/>
              </w:rPr>
              <w:t xml:space="preserve">Augustin (2008) </w:t>
            </w:r>
            <w:r w:rsidR="00FB1688">
              <w:rPr>
                <w:rFonts w:cs="Times New Roman"/>
                <w:noProof/>
                <w:sz w:val="20"/>
                <w:szCs w:val="20"/>
                <w:lang w:eastAsia="en-GB"/>
              </w:rPr>
              <w:t>(</w:t>
            </w:r>
            <w:r w:rsidR="001B4738">
              <w:rPr>
                <w:rFonts w:cs="Times New Roman"/>
                <w:noProof/>
                <w:sz w:val="20"/>
                <w:szCs w:val="20"/>
                <w:lang w:eastAsia="en-GB"/>
              </w:rPr>
              <w:t>33</w:t>
            </w:r>
            <w:r w:rsidR="00FB1688">
              <w:rPr>
                <w:rFonts w:cs="Times New Roman"/>
                <w:noProof/>
                <w:sz w:val="20"/>
                <w:szCs w:val="20"/>
                <w:lang w:eastAsia="en-GB"/>
              </w:rPr>
              <w:t>)</w:t>
            </w:r>
          </w:p>
        </w:tc>
        <w:tc>
          <w:tcPr>
            <w:tcW w:w="1717" w:type="dxa"/>
            <w:vAlign w:val="center"/>
          </w:tcPr>
          <w:p w:rsidR="00071F2B" w:rsidRPr="00304385" w:rsidRDefault="00071F2B" w:rsidP="00071F2B">
            <w:pPr>
              <w:autoSpaceDE w:val="0"/>
              <w:autoSpaceDN w:val="0"/>
              <w:adjustRightInd w:val="0"/>
              <w:spacing w:beforeLines="60" w:before="144" w:afterLines="60" w:after="144"/>
              <w:contextualSpacing/>
              <w:jc w:val="center"/>
              <w:rPr>
                <w:rFonts w:cs="Calibri"/>
                <w:sz w:val="20"/>
                <w:szCs w:val="20"/>
                <w:lang w:eastAsia="en-GB"/>
              </w:rPr>
            </w:pPr>
            <w:r w:rsidRPr="00304385">
              <w:rPr>
                <w:rFonts w:cs="Calibri"/>
                <w:sz w:val="20"/>
                <w:szCs w:val="20"/>
                <w:lang w:eastAsia="en-GB"/>
              </w:rPr>
              <w:t>Germany (2004-5)</w:t>
            </w:r>
          </w:p>
        </w:tc>
        <w:tc>
          <w:tcPr>
            <w:tcW w:w="1030" w:type="dxa"/>
            <w:vAlign w:val="center"/>
          </w:tcPr>
          <w:p w:rsidR="00071F2B" w:rsidRPr="00304385" w:rsidRDefault="00071F2B" w:rsidP="00071F2B">
            <w:pPr>
              <w:autoSpaceDE w:val="0"/>
              <w:autoSpaceDN w:val="0"/>
              <w:adjustRightInd w:val="0"/>
              <w:spacing w:beforeLines="60" w:before="144" w:afterLines="60" w:after="144"/>
              <w:contextualSpacing/>
              <w:jc w:val="center"/>
              <w:rPr>
                <w:rFonts w:cs="Calibri"/>
                <w:sz w:val="20"/>
                <w:szCs w:val="20"/>
                <w:lang w:eastAsia="en-GB"/>
              </w:rPr>
            </w:pPr>
            <w:r w:rsidRPr="00304385">
              <w:rPr>
                <w:rFonts w:cs="Calibri"/>
                <w:sz w:val="20"/>
                <w:szCs w:val="20"/>
                <w:lang w:eastAsia="en-GB"/>
              </w:rPr>
              <w:t>Low</w:t>
            </w:r>
          </w:p>
        </w:tc>
        <w:tc>
          <w:tcPr>
            <w:tcW w:w="875" w:type="dxa"/>
            <w:vAlign w:val="center"/>
          </w:tcPr>
          <w:p w:rsidR="00071F2B" w:rsidRPr="00304385" w:rsidRDefault="00071F2B" w:rsidP="00071F2B">
            <w:pPr>
              <w:autoSpaceDE w:val="0"/>
              <w:autoSpaceDN w:val="0"/>
              <w:adjustRightInd w:val="0"/>
              <w:spacing w:beforeLines="60" w:before="144" w:afterLines="60" w:after="144"/>
              <w:contextualSpacing/>
              <w:jc w:val="center"/>
              <w:rPr>
                <w:rFonts w:cs="Calibri"/>
                <w:sz w:val="20"/>
                <w:szCs w:val="20"/>
                <w:lang w:eastAsia="en-GB"/>
              </w:rPr>
            </w:pPr>
            <w:r w:rsidRPr="00304385">
              <w:rPr>
                <w:rFonts w:cs="Calibri"/>
                <w:sz w:val="20"/>
                <w:szCs w:val="20"/>
                <w:lang w:eastAsia="en-GB"/>
              </w:rPr>
              <w:t>1,511</w:t>
            </w:r>
          </w:p>
        </w:tc>
        <w:tc>
          <w:tcPr>
            <w:tcW w:w="3610" w:type="dxa"/>
            <w:tcBorders>
              <w:bottom w:val="single" w:sz="4" w:space="0" w:color="auto"/>
            </w:tcBorders>
            <w:vAlign w:val="center"/>
          </w:tcPr>
          <w:p w:rsidR="00071F2B" w:rsidRPr="00304385" w:rsidRDefault="00071F2B" w:rsidP="00071F2B">
            <w:pPr>
              <w:autoSpaceDE w:val="0"/>
              <w:autoSpaceDN w:val="0"/>
              <w:adjustRightInd w:val="0"/>
              <w:spacing w:beforeLines="60" w:before="144" w:afterLines="60" w:after="144"/>
              <w:contextualSpacing/>
              <w:jc w:val="center"/>
              <w:rPr>
                <w:rFonts w:cs="Calibri"/>
                <w:sz w:val="20"/>
                <w:szCs w:val="20"/>
                <w:lang w:eastAsia="en-GB"/>
              </w:rPr>
            </w:pPr>
            <w:r w:rsidRPr="00304385">
              <w:rPr>
                <w:rFonts w:cs="Calibri"/>
                <w:sz w:val="20"/>
                <w:szCs w:val="20"/>
                <w:lang w:eastAsia="en-GB"/>
              </w:rPr>
              <w:t>48.1% (prevalent</w:t>
            </w:r>
            <w:r w:rsidR="00E27DA2">
              <w:rPr>
                <w:rFonts w:cs="Calibri"/>
                <w:sz w:val="20"/>
                <w:szCs w:val="20"/>
                <w:lang w:eastAsia="en-GB"/>
              </w:rPr>
              <w:t>, CPP</w:t>
            </w:r>
            <w:r w:rsidRPr="00304385">
              <w:rPr>
                <w:rFonts w:cs="Calibri"/>
                <w:sz w:val="20"/>
                <w:szCs w:val="20"/>
                <w:lang w:eastAsia="en-GB"/>
              </w:rPr>
              <w:t>)</w:t>
            </w:r>
          </w:p>
          <w:p w:rsidR="00071F2B" w:rsidRPr="00304385" w:rsidRDefault="00071F2B" w:rsidP="00071F2B">
            <w:pPr>
              <w:autoSpaceDE w:val="0"/>
              <w:autoSpaceDN w:val="0"/>
              <w:adjustRightInd w:val="0"/>
              <w:spacing w:beforeLines="60" w:before="144" w:afterLines="60" w:after="144"/>
              <w:contextualSpacing/>
              <w:jc w:val="center"/>
              <w:rPr>
                <w:rFonts w:cs="Calibri"/>
                <w:sz w:val="20"/>
                <w:szCs w:val="20"/>
                <w:lang w:eastAsia="en-GB"/>
              </w:rPr>
            </w:pPr>
            <w:r w:rsidRPr="00304385">
              <w:rPr>
                <w:rFonts w:cs="Calibri"/>
                <w:sz w:val="20"/>
                <w:szCs w:val="20"/>
                <w:lang w:eastAsia="en-GB"/>
              </w:rPr>
              <w:t>PASI ≤ 10: 41.3%</w:t>
            </w:r>
          </w:p>
          <w:p w:rsidR="00071F2B" w:rsidRPr="00304385" w:rsidRDefault="00071F2B" w:rsidP="00071F2B">
            <w:pPr>
              <w:autoSpaceDE w:val="0"/>
              <w:autoSpaceDN w:val="0"/>
              <w:adjustRightInd w:val="0"/>
              <w:spacing w:beforeLines="60" w:before="144" w:afterLines="60" w:after="144"/>
              <w:contextualSpacing/>
              <w:jc w:val="center"/>
              <w:rPr>
                <w:rFonts w:cs="Calibri"/>
                <w:sz w:val="20"/>
                <w:szCs w:val="20"/>
                <w:lang w:eastAsia="en-GB"/>
              </w:rPr>
            </w:pPr>
            <w:r w:rsidRPr="00304385">
              <w:rPr>
                <w:rFonts w:cs="Calibri"/>
                <w:sz w:val="20"/>
                <w:szCs w:val="20"/>
                <w:lang w:eastAsia="en-GB"/>
              </w:rPr>
              <w:t>PASI 11-20: 54.2%</w:t>
            </w:r>
          </w:p>
          <w:p w:rsidR="00E27DA2" w:rsidRPr="00304385" w:rsidRDefault="00071F2B" w:rsidP="00E27DA2">
            <w:pPr>
              <w:autoSpaceDE w:val="0"/>
              <w:autoSpaceDN w:val="0"/>
              <w:adjustRightInd w:val="0"/>
              <w:spacing w:beforeLines="60" w:before="144" w:afterLines="60" w:after="144"/>
              <w:contextualSpacing/>
              <w:jc w:val="center"/>
              <w:rPr>
                <w:rFonts w:cs="Calibri"/>
                <w:sz w:val="20"/>
                <w:szCs w:val="20"/>
                <w:lang w:eastAsia="en-GB"/>
              </w:rPr>
            </w:pPr>
            <w:r w:rsidRPr="00304385">
              <w:rPr>
                <w:rFonts w:cs="Calibri"/>
                <w:sz w:val="20"/>
                <w:szCs w:val="20"/>
                <w:lang w:eastAsia="en-GB"/>
              </w:rPr>
              <w:t>PASI &gt; 20: 61.2%</w:t>
            </w:r>
          </w:p>
        </w:tc>
      </w:tr>
      <w:tr w:rsidR="00071F2B" w:rsidRPr="00304385" w:rsidTr="00071F2B">
        <w:trPr>
          <w:cantSplit/>
          <w:trHeight w:val="353"/>
          <w:tblHeader/>
        </w:trPr>
        <w:tc>
          <w:tcPr>
            <w:tcW w:w="1784" w:type="dxa"/>
            <w:tcBorders>
              <w:bottom w:val="single" w:sz="4" w:space="0" w:color="auto"/>
            </w:tcBorders>
            <w:vAlign w:val="center"/>
          </w:tcPr>
          <w:p w:rsidR="00071F2B" w:rsidRPr="00304385" w:rsidRDefault="00071F2B" w:rsidP="001B4738">
            <w:pPr>
              <w:spacing w:beforeLines="60" w:before="144" w:afterLines="60" w:after="144"/>
              <w:contextualSpacing/>
              <w:rPr>
                <w:rFonts w:cs="Times New Roman"/>
                <w:sz w:val="20"/>
                <w:szCs w:val="20"/>
                <w:lang w:eastAsia="en-GB"/>
              </w:rPr>
            </w:pPr>
            <w:r>
              <w:rPr>
                <w:rFonts w:cs="Times New Roman"/>
                <w:noProof/>
                <w:sz w:val="20"/>
                <w:szCs w:val="20"/>
                <w:lang w:eastAsia="en-GB"/>
              </w:rPr>
              <w:t xml:space="preserve">Merola (2016) </w:t>
            </w:r>
            <w:r w:rsidR="00FB1688">
              <w:rPr>
                <w:rFonts w:cs="Times New Roman"/>
                <w:noProof/>
                <w:sz w:val="20"/>
                <w:szCs w:val="20"/>
                <w:lang w:eastAsia="en-GB"/>
              </w:rPr>
              <w:t>(</w:t>
            </w:r>
            <w:r w:rsidR="001B4738">
              <w:rPr>
                <w:rFonts w:cs="Times New Roman"/>
                <w:noProof/>
                <w:sz w:val="20"/>
                <w:szCs w:val="20"/>
                <w:lang w:eastAsia="en-GB"/>
              </w:rPr>
              <w:t>17</w:t>
            </w:r>
            <w:r w:rsidR="00FB1688">
              <w:rPr>
                <w:rFonts w:cs="Times New Roman"/>
                <w:noProof/>
                <w:sz w:val="20"/>
                <w:szCs w:val="20"/>
                <w:lang w:eastAsia="en-GB"/>
              </w:rPr>
              <w:t>)</w:t>
            </w:r>
          </w:p>
        </w:tc>
        <w:tc>
          <w:tcPr>
            <w:tcW w:w="1717" w:type="dxa"/>
            <w:vAlign w:val="center"/>
          </w:tcPr>
          <w:p w:rsidR="00071F2B" w:rsidRPr="00304385" w:rsidRDefault="00071F2B" w:rsidP="00071F2B">
            <w:pPr>
              <w:autoSpaceDE w:val="0"/>
              <w:autoSpaceDN w:val="0"/>
              <w:adjustRightInd w:val="0"/>
              <w:spacing w:beforeLines="60" w:before="144" w:afterLines="60" w:after="144"/>
              <w:contextualSpacing/>
              <w:jc w:val="center"/>
              <w:rPr>
                <w:rFonts w:cs="Calibri"/>
                <w:sz w:val="20"/>
                <w:szCs w:val="20"/>
                <w:lang w:eastAsia="en-GB"/>
              </w:rPr>
            </w:pPr>
            <w:r w:rsidRPr="00304385">
              <w:rPr>
                <w:rFonts w:cs="Calibri"/>
                <w:sz w:val="20"/>
                <w:szCs w:val="20"/>
                <w:lang w:eastAsia="en-GB"/>
              </w:rPr>
              <w:t>USA (2005,2008)</w:t>
            </w:r>
          </w:p>
        </w:tc>
        <w:tc>
          <w:tcPr>
            <w:tcW w:w="1030" w:type="dxa"/>
            <w:vAlign w:val="center"/>
          </w:tcPr>
          <w:p w:rsidR="00071F2B" w:rsidRPr="00304385" w:rsidRDefault="00071F2B" w:rsidP="00071F2B">
            <w:pPr>
              <w:autoSpaceDE w:val="0"/>
              <w:autoSpaceDN w:val="0"/>
              <w:adjustRightInd w:val="0"/>
              <w:spacing w:beforeLines="60" w:before="144" w:afterLines="60" w:after="144"/>
              <w:contextualSpacing/>
              <w:jc w:val="center"/>
              <w:rPr>
                <w:rFonts w:cs="Calibri"/>
                <w:sz w:val="20"/>
                <w:szCs w:val="20"/>
                <w:lang w:eastAsia="en-GB"/>
              </w:rPr>
            </w:pPr>
            <w:r w:rsidRPr="00304385">
              <w:rPr>
                <w:rFonts w:cs="Calibri"/>
                <w:sz w:val="20"/>
                <w:szCs w:val="20"/>
                <w:lang w:eastAsia="en-GB"/>
              </w:rPr>
              <w:t>Moderate</w:t>
            </w:r>
          </w:p>
        </w:tc>
        <w:tc>
          <w:tcPr>
            <w:tcW w:w="875" w:type="dxa"/>
            <w:vAlign w:val="center"/>
          </w:tcPr>
          <w:p w:rsidR="00071F2B" w:rsidRPr="00304385" w:rsidRDefault="00071F2B" w:rsidP="00071F2B">
            <w:pPr>
              <w:autoSpaceDE w:val="0"/>
              <w:autoSpaceDN w:val="0"/>
              <w:adjustRightInd w:val="0"/>
              <w:spacing w:beforeLines="60" w:before="144" w:afterLines="60" w:after="144"/>
              <w:contextualSpacing/>
              <w:jc w:val="center"/>
              <w:rPr>
                <w:rFonts w:cs="Calibri"/>
                <w:sz w:val="20"/>
                <w:szCs w:val="20"/>
                <w:lang w:eastAsia="en-GB"/>
              </w:rPr>
            </w:pPr>
            <w:r w:rsidRPr="00304385">
              <w:rPr>
                <w:rFonts w:cs="Calibri"/>
                <w:sz w:val="20"/>
                <w:szCs w:val="20"/>
                <w:lang w:eastAsia="en-GB"/>
              </w:rPr>
              <w:t>3,825</w:t>
            </w:r>
          </w:p>
        </w:tc>
        <w:tc>
          <w:tcPr>
            <w:tcW w:w="3610" w:type="dxa"/>
            <w:tcBorders>
              <w:bottom w:val="single" w:sz="4" w:space="0" w:color="auto"/>
            </w:tcBorders>
            <w:vAlign w:val="center"/>
          </w:tcPr>
          <w:p w:rsidR="00071F2B" w:rsidRPr="00304385" w:rsidRDefault="00071F2B" w:rsidP="00071F2B">
            <w:pPr>
              <w:autoSpaceDE w:val="0"/>
              <w:autoSpaceDN w:val="0"/>
              <w:adjustRightInd w:val="0"/>
              <w:spacing w:beforeLines="60" w:before="144" w:afterLines="60" w:after="144"/>
              <w:contextualSpacing/>
              <w:jc w:val="center"/>
              <w:rPr>
                <w:rFonts w:cs="Calibri"/>
                <w:sz w:val="20"/>
                <w:szCs w:val="20"/>
                <w:lang w:eastAsia="en-GB"/>
              </w:rPr>
            </w:pPr>
            <w:r w:rsidRPr="00304385">
              <w:rPr>
                <w:rFonts w:cs="Calibri"/>
                <w:sz w:val="20"/>
                <w:szCs w:val="20"/>
                <w:lang w:eastAsia="en-GB"/>
              </w:rPr>
              <w:t>Nail: 25% (prevalent)</w:t>
            </w:r>
          </w:p>
          <w:p w:rsidR="00071F2B" w:rsidRPr="00304385" w:rsidRDefault="00071F2B" w:rsidP="00071F2B">
            <w:pPr>
              <w:autoSpaceDE w:val="0"/>
              <w:autoSpaceDN w:val="0"/>
              <w:adjustRightInd w:val="0"/>
              <w:spacing w:beforeLines="60" w:before="144" w:afterLines="60" w:after="144"/>
              <w:contextualSpacing/>
              <w:jc w:val="center"/>
              <w:rPr>
                <w:rFonts w:cs="Calibri"/>
                <w:sz w:val="20"/>
                <w:szCs w:val="20"/>
                <w:lang w:eastAsia="en-GB"/>
              </w:rPr>
            </w:pPr>
            <w:r w:rsidRPr="00304385">
              <w:rPr>
                <w:rFonts w:cs="Calibri"/>
                <w:sz w:val="20"/>
                <w:szCs w:val="20"/>
                <w:lang w:eastAsia="en-GB"/>
              </w:rPr>
              <w:t>Plaque + nail: 19% (prevalent)</w:t>
            </w:r>
          </w:p>
        </w:tc>
      </w:tr>
      <w:tr w:rsidR="00071F2B" w:rsidRPr="00304385" w:rsidTr="00071F2B">
        <w:trPr>
          <w:cantSplit/>
          <w:trHeight w:val="353"/>
          <w:tblHeader/>
        </w:trPr>
        <w:tc>
          <w:tcPr>
            <w:tcW w:w="1784" w:type="dxa"/>
            <w:tcBorders>
              <w:right w:val="nil"/>
            </w:tcBorders>
            <w:vAlign w:val="center"/>
          </w:tcPr>
          <w:p w:rsidR="00071F2B" w:rsidRPr="00304385" w:rsidRDefault="00071F2B" w:rsidP="00071F2B">
            <w:pPr>
              <w:spacing w:beforeLines="60" w:before="144" w:afterLines="60" w:after="144"/>
              <w:contextualSpacing/>
              <w:rPr>
                <w:rFonts w:cs="Times New Roman"/>
                <w:b/>
                <w:sz w:val="20"/>
                <w:szCs w:val="20"/>
                <w:lang w:eastAsia="en-GB"/>
              </w:rPr>
            </w:pPr>
            <w:r w:rsidRPr="00304385">
              <w:rPr>
                <w:rFonts w:cs="Times New Roman"/>
                <w:b/>
                <w:sz w:val="20"/>
                <w:szCs w:val="20"/>
                <w:lang w:eastAsia="en-GB"/>
              </w:rPr>
              <w:t>Genital</w:t>
            </w:r>
          </w:p>
        </w:tc>
        <w:tc>
          <w:tcPr>
            <w:tcW w:w="1717" w:type="dxa"/>
            <w:tcBorders>
              <w:left w:val="nil"/>
              <w:right w:val="nil"/>
            </w:tcBorders>
            <w:vAlign w:val="center"/>
          </w:tcPr>
          <w:p w:rsidR="00071F2B" w:rsidRPr="00304385" w:rsidRDefault="00071F2B" w:rsidP="00071F2B">
            <w:pPr>
              <w:autoSpaceDE w:val="0"/>
              <w:autoSpaceDN w:val="0"/>
              <w:adjustRightInd w:val="0"/>
              <w:spacing w:beforeLines="60" w:before="144" w:afterLines="60" w:after="144"/>
              <w:contextualSpacing/>
              <w:jc w:val="center"/>
              <w:rPr>
                <w:rFonts w:cs="Calibri"/>
                <w:sz w:val="20"/>
                <w:szCs w:val="20"/>
                <w:lang w:eastAsia="en-GB"/>
              </w:rPr>
            </w:pPr>
          </w:p>
        </w:tc>
        <w:tc>
          <w:tcPr>
            <w:tcW w:w="1030" w:type="dxa"/>
            <w:tcBorders>
              <w:left w:val="nil"/>
              <w:right w:val="nil"/>
            </w:tcBorders>
            <w:vAlign w:val="center"/>
          </w:tcPr>
          <w:p w:rsidR="00071F2B" w:rsidRPr="00304385" w:rsidRDefault="00071F2B" w:rsidP="00071F2B">
            <w:pPr>
              <w:autoSpaceDE w:val="0"/>
              <w:autoSpaceDN w:val="0"/>
              <w:adjustRightInd w:val="0"/>
              <w:spacing w:beforeLines="60" w:before="144" w:afterLines="60" w:after="144"/>
              <w:contextualSpacing/>
              <w:jc w:val="center"/>
              <w:rPr>
                <w:rFonts w:cs="Calibri"/>
                <w:sz w:val="20"/>
                <w:szCs w:val="20"/>
                <w:lang w:eastAsia="en-GB"/>
              </w:rPr>
            </w:pPr>
          </w:p>
        </w:tc>
        <w:tc>
          <w:tcPr>
            <w:tcW w:w="875" w:type="dxa"/>
            <w:tcBorders>
              <w:left w:val="nil"/>
              <w:right w:val="nil"/>
            </w:tcBorders>
            <w:vAlign w:val="center"/>
          </w:tcPr>
          <w:p w:rsidR="00071F2B" w:rsidRPr="00304385" w:rsidRDefault="00071F2B" w:rsidP="00071F2B">
            <w:pPr>
              <w:autoSpaceDE w:val="0"/>
              <w:autoSpaceDN w:val="0"/>
              <w:adjustRightInd w:val="0"/>
              <w:spacing w:beforeLines="60" w:before="144" w:afterLines="60" w:after="144"/>
              <w:contextualSpacing/>
              <w:jc w:val="center"/>
              <w:rPr>
                <w:rFonts w:cs="Calibri"/>
                <w:sz w:val="20"/>
                <w:szCs w:val="20"/>
                <w:lang w:eastAsia="en-GB"/>
              </w:rPr>
            </w:pPr>
          </w:p>
        </w:tc>
        <w:tc>
          <w:tcPr>
            <w:tcW w:w="3610" w:type="dxa"/>
            <w:tcBorders>
              <w:left w:val="nil"/>
              <w:bottom w:val="single" w:sz="4" w:space="0" w:color="auto"/>
            </w:tcBorders>
            <w:vAlign w:val="center"/>
          </w:tcPr>
          <w:p w:rsidR="00071F2B" w:rsidRPr="00304385" w:rsidRDefault="00071F2B" w:rsidP="00071F2B">
            <w:pPr>
              <w:autoSpaceDE w:val="0"/>
              <w:autoSpaceDN w:val="0"/>
              <w:adjustRightInd w:val="0"/>
              <w:spacing w:beforeLines="60" w:before="144" w:afterLines="60" w:after="144"/>
              <w:contextualSpacing/>
              <w:jc w:val="center"/>
              <w:rPr>
                <w:rFonts w:cs="Calibri"/>
                <w:sz w:val="20"/>
                <w:szCs w:val="20"/>
                <w:lang w:eastAsia="en-GB"/>
              </w:rPr>
            </w:pPr>
          </w:p>
        </w:tc>
      </w:tr>
      <w:tr w:rsidR="00071F2B" w:rsidRPr="00304385" w:rsidTr="00071F2B">
        <w:trPr>
          <w:cantSplit/>
          <w:trHeight w:val="300"/>
          <w:tblHeader/>
        </w:trPr>
        <w:tc>
          <w:tcPr>
            <w:tcW w:w="1784" w:type="dxa"/>
            <w:vAlign w:val="center"/>
          </w:tcPr>
          <w:p w:rsidR="00071F2B" w:rsidRPr="00304385" w:rsidRDefault="00071F2B" w:rsidP="001B4738">
            <w:pPr>
              <w:spacing w:beforeLines="60" w:before="144" w:afterLines="60" w:after="144"/>
              <w:contextualSpacing/>
              <w:rPr>
                <w:rFonts w:cs="Times New Roman"/>
                <w:sz w:val="20"/>
                <w:szCs w:val="20"/>
                <w:lang w:eastAsia="en-GB"/>
              </w:rPr>
            </w:pPr>
            <w:r>
              <w:rPr>
                <w:rFonts w:cs="Times New Roman"/>
                <w:noProof/>
                <w:sz w:val="20"/>
                <w:szCs w:val="20"/>
                <w:lang w:eastAsia="en-GB"/>
              </w:rPr>
              <w:t xml:space="preserve">Icen (2009) </w:t>
            </w:r>
            <w:r w:rsidR="00FB1688">
              <w:rPr>
                <w:rFonts w:cs="Times New Roman"/>
                <w:noProof/>
                <w:sz w:val="20"/>
                <w:szCs w:val="20"/>
                <w:lang w:eastAsia="en-GB"/>
              </w:rPr>
              <w:t>(</w:t>
            </w:r>
            <w:r w:rsidR="001B4738">
              <w:rPr>
                <w:rFonts w:cs="Times New Roman"/>
                <w:noProof/>
                <w:sz w:val="20"/>
                <w:szCs w:val="20"/>
                <w:lang w:eastAsia="en-GB"/>
              </w:rPr>
              <w:t>13</w:t>
            </w:r>
            <w:r w:rsidR="00FB1688">
              <w:rPr>
                <w:rFonts w:cs="Times New Roman"/>
                <w:noProof/>
                <w:sz w:val="20"/>
                <w:szCs w:val="20"/>
                <w:lang w:eastAsia="en-GB"/>
              </w:rPr>
              <w:t>)</w:t>
            </w:r>
          </w:p>
        </w:tc>
        <w:tc>
          <w:tcPr>
            <w:tcW w:w="1717" w:type="dxa"/>
            <w:vAlign w:val="center"/>
          </w:tcPr>
          <w:p w:rsidR="00071F2B" w:rsidRPr="00304385" w:rsidRDefault="00071F2B" w:rsidP="00071F2B">
            <w:pPr>
              <w:autoSpaceDE w:val="0"/>
              <w:autoSpaceDN w:val="0"/>
              <w:adjustRightInd w:val="0"/>
              <w:spacing w:beforeLines="60" w:before="144" w:afterLines="60" w:after="144"/>
              <w:contextualSpacing/>
              <w:jc w:val="center"/>
              <w:rPr>
                <w:rFonts w:cs="Calibri"/>
                <w:sz w:val="20"/>
                <w:szCs w:val="20"/>
                <w:lang w:eastAsia="en-GB"/>
              </w:rPr>
            </w:pPr>
            <w:r w:rsidRPr="00304385">
              <w:rPr>
                <w:rFonts w:cs="Calibri"/>
                <w:sz w:val="20"/>
                <w:szCs w:val="20"/>
                <w:lang w:eastAsia="en-GB"/>
              </w:rPr>
              <w:t>USA</w:t>
            </w:r>
            <w:r>
              <w:rPr>
                <w:rFonts w:cs="Calibri"/>
                <w:sz w:val="20"/>
                <w:szCs w:val="20"/>
                <w:lang w:eastAsia="en-GB"/>
              </w:rPr>
              <w:t xml:space="preserve"> (</w:t>
            </w:r>
            <w:r w:rsidRPr="00304385">
              <w:rPr>
                <w:rFonts w:cs="Calibri"/>
                <w:sz w:val="20"/>
                <w:szCs w:val="20"/>
                <w:lang w:eastAsia="en-GB"/>
              </w:rPr>
              <w:t>1970-1999)</w:t>
            </w:r>
          </w:p>
        </w:tc>
        <w:tc>
          <w:tcPr>
            <w:tcW w:w="1030" w:type="dxa"/>
            <w:vAlign w:val="center"/>
          </w:tcPr>
          <w:p w:rsidR="00071F2B" w:rsidRPr="00304385" w:rsidRDefault="00071F2B" w:rsidP="00071F2B">
            <w:pPr>
              <w:autoSpaceDE w:val="0"/>
              <w:autoSpaceDN w:val="0"/>
              <w:adjustRightInd w:val="0"/>
              <w:spacing w:beforeLines="60" w:before="144" w:afterLines="60" w:after="144"/>
              <w:contextualSpacing/>
              <w:jc w:val="center"/>
              <w:rPr>
                <w:rFonts w:cs="Calibri"/>
                <w:sz w:val="20"/>
                <w:szCs w:val="20"/>
                <w:lang w:eastAsia="en-GB"/>
              </w:rPr>
            </w:pPr>
            <w:r w:rsidRPr="00304385">
              <w:rPr>
                <w:rFonts w:cs="Calibri"/>
                <w:sz w:val="20"/>
                <w:szCs w:val="20"/>
                <w:lang w:eastAsia="en-GB"/>
              </w:rPr>
              <w:t>Low</w:t>
            </w:r>
          </w:p>
        </w:tc>
        <w:tc>
          <w:tcPr>
            <w:tcW w:w="875" w:type="dxa"/>
            <w:vAlign w:val="center"/>
          </w:tcPr>
          <w:p w:rsidR="00071F2B" w:rsidRPr="00304385" w:rsidRDefault="00071F2B" w:rsidP="00071F2B">
            <w:pPr>
              <w:autoSpaceDE w:val="0"/>
              <w:autoSpaceDN w:val="0"/>
              <w:adjustRightInd w:val="0"/>
              <w:spacing w:beforeLines="60" w:before="144" w:afterLines="60" w:after="144"/>
              <w:contextualSpacing/>
              <w:jc w:val="center"/>
              <w:rPr>
                <w:rFonts w:cs="Calibri"/>
                <w:sz w:val="20"/>
                <w:szCs w:val="20"/>
                <w:lang w:eastAsia="en-GB"/>
              </w:rPr>
            </w:pPr>
            <w:r w:rsidRPr="00304385">
              <w:rPr>
                <w:rFonts w:cs="Calibri"/>
                <w:sz w:val="20"/>
                <w:szCs w:val="20"/>
                <w:lang w:eastAsia="en-GB"/>
              </w:rPr>
              <w:t>1,633</w:t>
            </w:r>
          </w:p>
        </w:tc>
        <w:tc>
          <w:tcPr>
            <w:tcW w:w="3610" w:type="dxa"/>
            <w:vAlign w:val="center"/>
          </w:tcPr>
          <w:p w:rsidR="00071F2B" w:rsidRPr="00304385" w:rsidRDefault="00071F2B" w:rsidP="00071F2B">
            <w:pPr>
              <w:autoSpaceDE w:val="0"/>
              <w:autoSpaceDN w:val="0"/>
              <w:adjustRightInd w:val="0"/>
              <w:spacing w:beforeLines="60" w:before="144" w:afterLines="60" w:after="144"/>
              <w:contextualSpacing/>
              <w:jc w:val="center"/>
              <w:rPr>
                <w:rFonts w:cs="Calibri"/>
                <w:sz w:val="20"/>
                <w:szCs w:val="20"/>
                <w:lang w:eastAsia="en-GB"/>
              </w:rPr>
            </w:pPr>
            <w:r w:rsidRPr="00304385">
              <w:rPr>
                <w:rFonts w:cs="Calibri"/>
                <w:sz w:val="20"/>
                <w:szCs w:val="20"/>
                <w:lang w:eastAsia="en-GB"/>
              </w:rPr>
              <w:t>Genital: 6.7%</w:t>
            </w:r>
          </w:p>
          <w:p w:rsidR="00071F2B" w:rsidRPr="00304385" w:rsidRDefault="00071F2B" w:rsidP="00071F2B">
            <w:pPr>
              <w:autoSpaceDE w:val="0"/>
              <w:autoSpaceDN w:val="0"/>
              <w:adjustRightInd w:val="0"/>
              <w:spacing w:beforeLines="60" w:before="144" w:afterLines="60" w:after="144"/>
              <w:contextualSpacing/>
              <w:jc w:val="center"/>
              <w:rPr>
                <w:rFonts w:cs="Calibri"/>
                <w:sz w:val="20"/>
                <w:szCs w:val="20"/>
                <w:lang w:eastAsia="en-GB"/>
              </w:rPr>
            </w:pPr>
            <w:r w:rsidRPr="00304385">
              <w:rPr>
                <w:rFonts w:cs="Calibri"/>
                <w:sz w:val="20"/>
                <w:szCs w:val="20"/>
                <w:lang w:eastAsia="en-GB"/>
              </w:rPr>
              <w:t>Int</w:t>
            </w:r>
            <w:r w:rsidR="0009095A">
              <w:rPr>
                <w:rFonts w:cs="Calibri"/>
                <w:sz w:val="20"/>
                <w:szCs w:val="20"/>
                <w:lang w:eastAsia="en-GB"/>
              </w:rPr>
              <w:t>er</w:t>
            </w:r>
            <w:r w:rsidRPr="00304385">
              <w:rPr>
                <w:rFonts w:cs="Calibri"/>
                <w:sz w:val="20"/>
                <w:szCs w:val="20"/>
                <w:lang w:eastAsia="en-GB"/>
              </w:rPr>
              <w:t>gluteal/perianal: 10.0%</w:t>
            </w:r>
          </w:p>
          <w:p w:rsidR="00071F2B" w:rsidRPr="00304385" w:rsidRDefault="00071F2B" w:rsidP="00071F2B">
            <w:pPr>
              <w:autoSpaceDE w:val="0"/>
              <w:autoSpaceDN w:val="0"/>
              <w:adjustRightInd w:val="0"/>
              <w:spacing w:beforeLines="60" w:before="144" w:afterLines="60" w:after="144"/>
              <w:contextualSpacing/>
              <w:jc w:val="center"/>
              <w:rPr>
                <w:rFonts w:cs="Calibri"/>
                <w:sz w:val="20"/>
                <w:szCs w:val="20"/>
                <w:lang w:eastAsia="en-GB"/>
              </w:rPr>
            </w:pPr>
            <w:r w:rsidRPr="00304385">
              <w:rPr>
                <w:rFonts w:cs="Calibri"/>
                <w:sz w:val="20"/>
                <w:szCs w:val="20"/>
                <w:lang w:eastAsia="en-GB"/>
              </w:rPr>
              <w:t xml:space="preserve">Groin: 3.1%  </w:t>
            </w:r>
            <w:r w:rsidRPr="00304385">
              <w:rPr>
                <w:rFonts w:cs="Calibri"/>
                <w:sz w:val="20"/>
                <w:szCs w:val="20"/>
                <w:lang w:eastAsia="en-GB"/>
              </w:rPr>
              <w:br/>
              <w:t>(incidence)</w:t>
            </w:r>
          </w:p>
        </w:tc>
      </w:tr>
      <w:tr w:rsidR="00071F2B" w:rsidRPr="00304385" w:rsidTr="00071F2B">
        <w:trPr>
          <w:cantSplit/>
          <w:trHeight w:val="300"/>
          <w:tblHeader/>
        </w:trPr>
        <w:tc>
          <w:tcPr>
            <w:tcW w:w="1784" w:type="dxa"/>
            <w:vAlign w:val="center"/>
          </w:tcPr>
          <w:p w:rsidR="00071F2B" w:rsidRPr="00304385" w:rsidRDefault="00071F2B" w:rsidP="001B4738">
            <w:pPr>
              <w:spacing w:beforeLines="60" w:before="144" w:afterLines="60" w:after="144"/>
              <w:contextualSpacing/>
              <w:rPr>
                <w:rFonts w:cs="Times New Roman"/>
                <w:sz w:val="20"/>
                <w:szCs w:val="20"/>
                <w:lang w:eastAsia="en-GB"/>
              </w:rPr>
            </w:pPr>
            <w:r>
              <w:rPr>
                <w:rFonts w:cs="Times New Roman"/>
                <w:noProof/>
                <w:sz w:val="20"/>
                <w:szCs w:val="20"/>
                <w:lang w:eastAsia="en-GB"/>
              </w:rPr>
              <w:t xml:space="preserve">Baker (2013) </w:t>
            </w:r>
            <w:r w:rsidR="00FB1688">
              <w:rPr>
                <w:rFonts w:cs="Times New Roman"/>
                <w:noProof/>
                <w:sz w:val="20"/>
                <w:szCs w:val="20"/>
                <w:lang w:eastAsia="en-GB"/>
              </w:rPr>
              <w:t>(</w:t>
            </w:r>
            <w:r w:rsidR="001B4738">
              <w:rPr>
                <w:rFonts w:cs="Times New Roman"/>
                <w:noProof/>
                <w:sz w:val="20"/>
                <w:szCs w:val="20"/>
                <w:lang w:eastAsia="en-GB"/>
              </w:rPr>
              <w:t>18</w:t>
            </w:r>
            <w:r w:rsidR="00FB1688">
              <w:rPr>
                <w:rFonts w:cs="Times New Roman"/>
                <w:noProof/>
                <w:sz w:val="20"/>
                <w:szCs w:val="20"/>
                <w:lang w:eastAsia="en-GB"/>
              </w:rPr>
              <w:t>)</w:t>
            </w:r>
          </w:p>
        </w:tc>
        <w:tc>
          <w:tcPr>
            <w:tcW w:w="1717" w:type="dxa"/>
            <w:vAlign w:val="center"/>
          </w:tcPr>
          <w:p w:rsidR="00071F2B" w:rsidRPr="00304385" w:rsidRDefault="00071F2B" w:rsidP="00071F2B">
            <w:pPr>
              <w:autoSpaceDE w:val="0"/>
              <w:autoSpaceDN w:val="0"/>
              <w:adjustRightInd w:val="0"/>
              <w:spacing w:beforeLines="60" w:before="144" w:afterLines="60" w:after="144"/>
              <w:contextualSpacing/>
              <w:jc w:val="center"/>
              <w:rPr>
                <w:rFonts w:cs="Calibri"/>
                <w:sz w:val="20"/>
                <w:szCs w:val="20"/>
                <w:lang w:eastAsia="en-GB"/>
              </w:rPr>
            </w:pPr>
            <w:r w:rsidRPr="00304385">
              <w:rPr>
                <w:rFonts w:cs="Calibri"/>
                <w:sz w:val="20"/>
                <w:szCs w:val="20"/>
                <w:lang w:eastAsia="en-GB"/>
              </w:rPr>
              <w:t>Australia (2011)</w:t>
            </w:r>
          </w:p>
        </w:tc>
        <w:tc>
          <w:tcPr>
            <w:tcW w:w="1030" w:type="dxa"/>
            <w:vAlign w:val="center"/>
          </w:tcPr>
          <w:p w:rsidR="00071F2B" w:rsidRPr="00304385" w:rsidRDefault="00071F2B" w:rsidP="00071F2B">
            <w:pPr>
              <w:autoSpaceDE w:val="0"/>
              <w:autoSpaceDN w:val="0"/>
              <w:adjustRightInd w:val="0"/>
              <w:spacing w:beforeLines="60" w:before="144" w:afterLines="60" w:after="144"/>
              <w:contextualSpacing/>
              <w:jc w:val="center"/>
              <w:rPr>
                <w:rFonts w:cs="Calibri"/>
                <w:sz w:val="20"/>
                <w:szCs w:val="20"/>
                <w:lang w:eastAsia="en-GB"/>
              </w:rPr>
            </w:pPr>
            <w:r w:rsidRPr="00304385">
              <w:rPr>
                <w:rFonts w:cs="Calibri"/>
                <w:sz w:val="20"/>
                <w:szCs w:val="20"/>
                <w:lang w:eastAsia="en-GB"/>
              </w:rPr>
              <w:t>Unclear</w:t>
            </w:r>
          </w:p>
        </w:tc>
        <w:tc>
          <w:tcPr>
            <w:tcW w:w="875" w:type="dxa"/>
            <w:vAlign w:val="center"/>
          </w:tcPr>
          <w:p w:rsidR="00071F2B" w:rsidRPr="00304385" w:rsidRDefault="00071F2B" w:rsidP="00071F2B">
            <w:pPr>
              <w:autoSpaceDE w:val="0"/>
              <w:autoSpaceDN w:val="0"/>
              <w:adjustRightInd w:val="0"/>
              <w:spacing w:beforeLines="60" w:before="144" w:afterLines="60" w:after="144"/>
              <w:contextualSpacing/>
              <w:jc w:val="center"/>
              <w:rPr>
                <w:rFonts w:cs="Calibri"/>
                <w:sz w:val="20"/>
                <w:szCs w:val="20"/>
                <w:lang w:eastAsia="en-GB"/>
              </w:rPr>
            </w:pPr>
            <w:r w:rsidRPr="00304385">
              <w:rPr>
                <w:rFonts w:cs="Calibri"/>
                <w:sz w:val="20"/>
                <w:szCs w:val="20"/>
                <w:lang w:eastAsia="en-GB"/>
              </w:rPr>
              <w:t>330</w:t>
            </w:r>
          </w:p>
        </w:tc>
        <w:tc>
          <w:tcPr>
            <w:tcW w:w="3610" w:type="dxa"/>
            <w:vAlign w:val="center"/>
          </w:tcPr>
          <w:p w:rsidR="00071F2B" w:rsidRPr="00304385" w:rsidRDefault="00071F2B" w:rsidP="00071F2B">
            <w:pPr>
              <w:autoSpaceDE w:val="0"/>
              <w:autoSpaceDN w:val="0"/>
              <w:adjustRightInd w:val="0"/>
              <w:spacing w:beforeLines="60" w:before="144" w:afterLines="60" w:after="144"/>
              <w:contextualSpacing/>
              <w:jc w:val="center"/>
              <w:rPr>
                <w:rFonts w:cs="Calibri"/>
                <w:sz w:val="20"/>
                <w:szCs w:val="20"/>
                <w:lang w:eastAsia="en-GB"/>
              </w:rPr>
            </w:pPr>
            <w:r w:rsidRPr="00304385">
              <w:rPr>
                <w:rFonts w:cs="Calibri"/>
                <w:sz w:val="20"/>
                <w:szCs w:val="20"/>
                <w:lang w:eastAsia="en-GB"/>
              </w:rPr>
              <w:t>31% (prevalence)</w:t>
            </w:r>
          </w:p>
        </w:tc>
      </w:tr>
      <w:tr w:rsidR="00071F2B" w:rsidRPr="00304385" w:rsidTr="00071F2B">
        <w:trPr>
          <w:cantSplit/>
          <w:trHeight w:val="300"/>
          <w:tblHeader/>
        </w:trPr>
        <w:tc>
          <w:tcPr>
            <w:tcW w:w="1784" w:type="dxa"/>
            <w:vAlign w:val="center"/>
          </w:tcPr>
          <w:p w:rsidR="00071F2B" w:rsidRPr="00304385" w:rsidRDefault="00071F2B" w:rsidP="001B4738">
            <w:pPr>
              <w:spacing w:beforeLines="60" w:before="144" w:afterLines="60" w:after="144"/>
              <w:contextualSpacing/>
              <w:rPr>
                <w:rFonts w:cs="Times New Roman"/>
                <w:sz w:val="20"/>
                <w:szCs w:val="20"/>
                <w:lang w:eastAsia="en-GB"/>
              </w:rPr>
            </w:pPr>
            <w:r>
              <w:rPr>
                <w:rFonts w:cs="Times New Roman"/>
                <w:noProof/>
                <w:sz w:val="20"/>
                <w:szCs w:val="20"/>
                <w:lang w:eastAsia="en-GB"/>
              </w:rPr>
              <w:t xml:space="preserve">Meeuwis (2011) </w:t>
            </w:r>
            <w:r w:rsidR="00FB1688">
              <w:rPr>
                <w:rFonts w:cs="Times New Roman"/>
                <w:noProof/>
                <w:sz w:val="20"/>
                <w:szCs w:val="20"/>
                <w:lang w:eastAsia="en-GB"/>
              </w:rPr>
              <w:t>(</w:t>
            </w:r>
            <w:r w:rsidR="001B4738">
              <w:rPr>
                <w:rFonts w:cs="Times New Roman"/>
                <w:noProof/>
                <w:sz w:val="20"/>
                <w:szCs w:val="20"/>
                <w:lang w:eastAsia="en-GB"/>
              </w:rPr>
              <w:t>34</w:t>
            </w:r>
            <w:r w:rsidR="00FB1688">
              <w:rPr>
                <w:rFonts w:cs="Times New Roman"/>
                <w:noProof/>
                <w:sz w:val="20"/>
                <w:szCs w:val="20"/>
                <w:lang w:eastAsia="en-GB"/>
              </w:rPr>
              <w:t>)</w:t>
            </w:r>
          </w:p>
        </w:tc>
        <w:tc>
          <w:tcPr>
            <w:tcW w:w="1717" w:type="dxa"/>
            <w:vAlign w:val="center"/>
          </w:tcPr>
          <w:p w:rsidR="00071F2B" w:rsidRPr="00304385" w:rsidRDefault="00071F2B" w:rsidP="00071F2B">
            <w:pPr>
              <w:autoSpaceDE w:val="0"/>
              <w:autoSpaceDN w:val="0"/>
              <w:adjustRightInd w:val="0"/>
              <w:spacing w:beforeLines="60" w:before="144" w:afterLines="60" w:after="144"/>
              <w:contextualSpacing/>
              <w:jc w:val="center"/>
              <w:rPr>
                <w:rFonts w:cs="Calibri"/>
                <w:sz w:val="20"/>
                <w:szCs w:val="20"/>
                <w:lang w:eastAsia="en-GB"/>
              </w:rPr>
            </w:pPr>
            <w:r w:rsidRPr="00304385">
              <w:rPr>
                <w:rFonts w:cs="Calibri"/>
                <w:sz w:val="20"/>
                <w:szCs w:val="20"/>
                <w:lang w:eastAsia="en-GB"/>
              </w:rPr>
              <w:t>Various</w:t>
            </w:r>
          </w:p>
          <w:p w:rsidR="00071F2B" w:rsidRPr="00304385" w:rsidRDefault="00071F2B" w:rsidP="00071F2B">
            <w:pPr>
              <w:autoSpaceDE w:val="0"/>
              <w:autoSpaceDN w:val="0"/>
              <w:adjustRightInd w:val="0"/>
              <w:spacing w:beforeLines="60" w:before="144" w:afterLines="60" w:after="144"/>
              <w:contextualSpacing/>
              <w:jc w:val="center"/>
              <w:rPr>
                <w:rFonts w:cs="Calibri"/>
                <w:sz w:val="20"/>
                <w:szCs w:val="20"/>
                <w:lang w:eastAsia="en-GB"/>
              </w:rPr>
            </w:pPr>
            <w:r w:rsidRPr="00304385">
              <w:rPr>
                <w:rFonts w:cs="Calibri"/>
                <w:sz w:val="20"/>
                <w:szCs w:val="20"/>
                <w:lang w:eastAsia="en-GB"/>
              </w:rPr>
              <w:t>Systematic review</w:t>
            </w:r>
          </w:p>
        </w:tc>
        <w:tc>
          <w:tcPr>
            <w:tcW w:w="1030" w:type="dxa"/>
            <w:vAlign w:val="center"/>
          </w:tcPr>
          <w:p w:rsidR="00071F2B" w:rsidRPr="00304385" w:rsidRDefault="00071F2B" w:rsidP="00071F2B">
            <w:pPr>
              <w:autoSpaceDE w:val="0"/>
              <w:autoSpaceDN w:val="0"/>
              <w:adjustRightInd w:val="0"/>
              <w:spacing w:beforeLines="60" w:before="144" w:afterLines="60" w:after="144"/>
              <w:contextualSpacing/>
              <w:jc w:val="center"/>
              <w:rPr>
                <w:rFonts w:cs="Calibri"/>
                <w:sz w:val="20"/>
                <w:szCs w:val="20"/>
                <w:lang w:eastAsia="en-GB"/>
              </w:rPr>
            </w:pPr>
            <w:r w:rsidRPr="00304385">
              <w:rPr>
                <w:rFonts w:cs="Calibri"/>
                <w:sz w:val="20"/>
                <w:szCs w:val="20"/>
                <w:lang w:eastAsia="en-GB"/>
              </w:rPr>
              <w:t>Unclear</w:t>
            </w:r>
          </w:p>
        </w:tc>
        <w:tc>
          <w:tcPr>
            <w:tcW w:w="875" w:type="dxa"/>
            <w:vAlign w:val="center"/>
          </w:tcPr>
          <w:p w:rsidR="00071F2B" w:rsidRPr="00304385" w:rsidRDefault="00071F2B" w:rsidP="00071F2B">
            <w:pPr>
              <w:autoSpaceDE w:val="0"/>
              <w:autoSpaceDN w:val="0"/>
              <w:adjustRightInd w:val="0"/>
              <w:spacing w:beforeLines="60" w:before="144" w:afterLines="60" w:after="144"/>
              <w:contextualSpacing/>
              <w:jc w:val="center"/>
              <w:rPr>
                <w:rFonts w:cs="Calibri"/>
                <w:sz w:val="20"/>
                <w:szCs w:val="20"/>
                <w:lang w:eastAsia="en-GB"/>
              </w:rPr>
            </w:pPr>
            <w:r w:rsidRPr="00304385">
              <w:rPr>
                <w:rFonts w:cs="Calibri"/>
                <w:sz w:val="20"/>
                <w:szCs w:val="20"/>
                <w:lang w:eastAsia="en-GB"/>
              </w:rPr>
              <w:t>9,983</w:t>
            </w:r>
          </w:p>
        </w:tc>
        <w:tc>
          <w:tcPr>
            <w:tcW w:w="3610" w:type="dxa"/>
            <w:vAlign w:val="center"/>
          </w:tcPr>
          <w:p w:rsidR="00071F2B" w:rsidRPr="00304385" w:rsidRDefault="00071F2B" w:rsidP="00071F2B">
            <w:pPr>
              <w:autoSpaceDE w:val="0"/>
              <w:autoSpaceDN w:val="0"/>
              <w:adjustRightInd w:val="0"/>
              <w:spacing w:beforeLines="60" w:before="144" w:afterLines="60" w:after="144"/>
              <w:contextualSpacing/>
              <w:jc w:val="center"/>
              <w:rPr>
                <w:rFonts w:cs="Calibri"/>
                <w:sz w:val="20"/>
                <w:szCs w:val="20"/>
                <w:lang w:eastAsia="en-GB"/>
              </w:rPr>
            </w:pPr>
            <w:r w:rsidRPr="00304385">
              <w:rPr>
                <w:rFonts w:cs="Calibri"/>
                <w:sz w:val="20"/>
                <w:szCs w:val="20"/>
                <w:lang w:eastAsia="en-GB"/>
              </w:rPr>
              <w:t>29-40% of all psoriasis patients</w:t>
            </w:r>
          </w:p>
          <w:p w:rsidR="00071F2B" w:rsidRPr="00304385" w:rsidRDefault="00071F2B" w:rsidP="00071F2B">
            <w:pPr>
              <w:autoSpaceDE w:val="0"/>
              <w:autoSpaceDN w:val="0"/>
              <w:adjustRightInd w:val="0"/>
              <w:spacing w:beforeLines="60" w:before="144" w:afterLines="60" w:after="144"/>
              <w:contextualSpacing/>
              <w:jc w:val="center"/>
              <w:rPr>
                <w:rFonts w:cs="Calibri"/>
                <w:sz w:val="20"/>
                <w:szCs w:val="20"/>
                <w:lang w:eastAsia="en-GB"/>
              </w:rPr>
            </w:pPr>
            <w:r w:rsidRPr="00304385">
              <w:rPr>
                <w:rFonts w:cs="Calibri"/>
                <w:sz w:val="20"/>
                <w:szCs w:val="20"/>
                <w:lang w:eastAsia="en-GB"/>
              </w:rPr>
              <w:t>Inverse psoriasis: 79.2%</w:t>
            </w:r>
          </w:p>
        </w:tc>
      </w:tr>
    </w:tbl>
    <w:p w:rsidR="00071F2B" w:rsidRPr="00304385" w:rsidRDefault="00071F2B" w:rsidP="00071F2B">
      <w:pPr>
        <w:shd w:val="clear" w:color="auto" w:fill="FFFFFF" w:themeFill="background1"/>
        <w:spacing w:after="120" w:line="260" w:lineRule="exact"/>
        <w:rPr>
          <w:rFonts w:eastAsiaTheme="minorEastAsia" w:cs="Baskerville"/>
          <w:sz w:val="20"/>
          <w:szCs w:val="20"/>
        </w:rPr>
      </w:pPr>
      <w:r w:rsidRPr="00304385">
        <w:rPr>
          <w:rFonts w:eastAsiaTheme="minorEastAsia" w:cs="Baskerville"/>
          <w:sz w:val="20"/>
          <w:szCs w:val="20"/>
        </w:rPr>
        <w:t>PASI = Psoriasis Area and Severity Index; USA = United States of America</w:t>
      </w:r>
    </w:p>
    <w:p w:rsidR="00071F2B" w:rsidRPr="008024F0" w:rsidRDefault="00071F2B" w:rsidP="00071F2B">
      <w:pPr>
        <w:shd w:val="clear" w:color="auto" w:fill="FFFFFF" w:themeFill="background1"/>
        <w:rPr>
          <w:rFonts w:eastAsia="Times New Roman" w:cs="Arial"/>
          <w:szCs w:val="24"/>
        </w:rPr>
      </w:pPr>
      <w:r w:rsidRPr="00304385">
        <w:rPr>
          <w:rFonts w:eastAsia="Times New Roman" w:cs="Arial"/>
          <w:szCs w:val="24"/>
        </w:rPr>
        <w:t xml:space="preserve">There were </w:t>
      </w:r>
      <w:r w:rsidRPr="003A20F9">
        <w:rPr>
          <w:rFonts w:eastAsia="Times New Roman" w:cs="Arial"/>
          <w:noProof/>
          <w:szCs w:val="24"/>
        </w:rPr>
        <w:t>varying</w:t>
      </w:r>
      <w:r w:rsidRPr="00304385">
        <w:rPr>
          <w:rFonts w:eastAsia="Times New Roman" w:cs="Arial"/>
          <w:szCs w:val="24"/>
        </w:rPr>
        <w:t xml:space="preserve"> estimates for psoriasis by the site of the body affected. The Australian study by </w:t>
      </w:r>
      <w:r>
        <w:rPr>
          <w:rFonts w:eastAsia="Times New Roman" w:cs="Arial"/>
          <w:noProof/>
          <w:szCs w:val="24"/>
        </w:rPr>
        <w:t>Baker (2013)</w:t>
      </w:r>
      <w:r w:rsidRPr="00304385">
        <w:rPr>
          <w:rFonts w:eastAsia="Times New Roman" w:cs="Arial"/>
          <w:szCs w:val="24"/>
        </w:rPr>
        <w:t xml:space="preserve"> reported substantially higher rates of psoriasis on the face and palm or sole than other studies. </w:t>
      </w:r>
      <w:r w:rsidRPr="00394001">
        <w:rPr>
          <w:rFonts w:eastAsia="Times New Roman" w:cs="Arial"/>
          <w:szCs w:val="24"/>
        </w:rPr>
        <w:t xml:space="preserve">This may have been due to selection bias in </w:t>
      </w:r>
      <w:r>
        <w:rPr>
          <w:rFonts w:eastAsia="Times New Roman" w:cs="Arial"/>
          <w:noProof/>
          <w:szCs w:val="24"/>
        </w:rPr>
        <w:t>Baker (2013)</w:t>
      </w:r>
      <w:r w:rsidRPr="00394001">
        <w:rPr>
          <w:rFonts w:eastAsia="Times New Roman" w:cs="Arial"/>
          <w:szCs w:val="24"/>
        </w:rPr>
        <w:t xml:space="preserve">. The survey was circulated through clinicians and Psoriasis Australia, which may have resulted in </w:t>
      </w:r>
      <w:r w:rsidRPr="003A20F9">
        <w:rPr>
          <w:rFonts w:eastAsia="Times New Roman" w:cs="Arial"/>
          <w:noProof/>
          <w:szCs w:val="24"/>
        </w:rPr>
        <w:t>selection</w:t>
      </w:r>
      <w:r w:rsidRPr="00394001">
        <w:rPr>
          <w:rFonts w:eastAsia="Times New Roman" w:cs="Arial"/>
          <w:szCs w:val="24"/>
        </w:rPr>
        <w:t xml:space="preserve"> of patients with more severe and disabling forms of the disease. </w:t>
      </w:r>
      <w:r w:rsidRPr="008024F0">
        <w:rPr>
          <w:rFonts w:eastAsia="Times New Roman" w:cs="Arial"/>
          <w:szCs w:val="24"/>
        </w:rPr>
        <w:t>Conversely, many of the other studies were population based (</w:t>
      </w:r>
      <w:r>
        <w:rPr>
          <w:rFonts w:eastAsia="Times New Roman" w:cs="Arial"/>
          <w:noProof/>
          <w:szCs w:val="24"/>
        </w:rPr>
        <w:t>Icen (2009)</w:t>
      </w:r>
      <w:r w:rsidRPr="008024F0">
        <w:rPr>
          <w:rFonts w:eastAsia="Times New Roman" w:cs="Arial"/>
          <w:szCs w:val="24"/>
        </w:rPr>
        <w:t>) or recruited through inclusion in other health-related databases or studies (</w:t>
      </w:r>
      <w:r>
        <w:rPr>
          <w:rFonts w:eastAsia="Times New Roman" w:cs="Arial"/>
          <w:noProof/>
          <w:szCs w:val="24"/>
        </w:rPr>
        <w:t>Schafer (2011)</w:t>
      </w:r>
      <w:r w:rsidRPr="008024F0">
        <w:rPr>
          <w:rFonts w:eastAsia="Times New Roman" w:cs="Arial"/>
          <w:szCs w:val="24"/>
        </w:rPr>
        <w:t xml:space="preserve">, </w:t>
      </w:r>
      <w:r>
        <w:rPr>
          <w:rFonts w:eastAsia="Times New Roman" w:cs="Arial"/>
          <w:noProof/>
          <w:szCs w:val="24"/>
        </w:rPr>
        <w:t>Merola (2016)</w:t>
      </w:r>
      <w:r>
        <w:rPr>
          <w:rFonts w:eastAsia="Times New Roman" w:cs="Arial"/>
          <w:szCs w:val="24"/>
        </w:rPr>
        <w:t>) and demonstrated much lower levels in these sites</w:t>
      </w:r>
      <w:r w:rsidRPr="008024F0">
        <w:rPr>
          <w:rFonts w:eastAsia="Times New Roman" w:cs="Arial"/>
          <w:szCs w:val="24"/>
        </w:rPr>
        <w:t xml:space="preserve">. </w:t>
      </w:r>
    </w:p>
    <w:p w:rsidR="00071F2B" w:rsidRPr="00304385" w:rsidRDefault="00071F2B" w:rsidP="00071F2B">
      <w:pPr>
        <w:shd w:val="clear" w:color="auto" w:fill="FFFFFF" w:themeFill="background1"/>
        <w:rPr>
          <w:rFonts w:eastAsia="Times New Roman" w:cs="Arial"/>
          <w:szCs w:val="24"/>
        </w:rPr>
      </w:pPr>
      <w:r w:rsidRPr="00304385">
        <w:rPr>
          <w:rFonts w:eastAsia="Times New Roman" w:cs="Arial"/>
          <w:szCs w:val="24"/>
        </w:rPr>
        <w:t xml:space="preserve">Psoriasis affecting the palm or sole was generally reported </w:t>
      </w:r>
      <w:r w:rsidR="00255D5F">
        <w:rPr>
          <w:rFonts w:eastAsia="Times New Roman" w:cs="Arial"/>
          <w:szCs w:val="24"/>
        </w:rPr>
        <w:t>to occur in low numbers</w:t>
      </w:r>
      <w:r w:rsidRPr="00304385">
        <w:rPr>
          <w:rFonts w:eastAsia="Times New Roman" w:cs="Arial"/>
          <w:szCs w:val="24"/>
        </w:rPr>
        <w:t xml:space="preserve">. Psoriasis of the face and nail appeared to be more common with 10-25% of people with psoriasis affected. However, </w:t>
      </w:r>
      <w:r>
        <w:rPr>
          <w:rFonts w:eastAsia="Times New Roman" w:cs="Arial"/>
          <w:noProof/>
          <w:szCs w:val="24"/>
        </w:rPr>
        <w:t>Augustin (2008)</w:t>
      </w:r>
      <w:r w:rsidRPr="00304385">
        <w:rPr>
          <w:rFonts w:eastAsia="Times New Roman" w:cs="Arial"/>
          <w:szCs w:val="24"/>
        </w:rPr>
        <w:t xml:space="preserve"> reported a higher prevalence o</w:t>
      </w:r>
      <w:r>
        <w:rPr>
          <w:rFonts w:eastAsia="Times New Roman" w:cs="Arial"/>
          <w:szCs w:val="24"/>
        </w:rPr>
        <w:t>f nail psoriasis at 48</w:t>
      </w:r>
      <w:r w:rsidRPr="00304385">
        <w:rPr>
          <w:rFonts w:eastAsia="Times New Roman" w:cs="Arial"/>
          <w:szCs w:val="24"/>
        </w:rPr>
        <w:t>%, with numerically higher rates with higher PASI scores.</w:t>
      </w:r>
      <w:r w:rsidR="00FB1688">
        <w:rPr>
          <w:rFonts w:eastAsia="Times New Roman" w:cs="Arial"/>
          <w:noProof/>
          <w:szCs w:val="24"/>
        </w:rPr>
        <w:t>(</w:t>
      </w:r>
      <w:r w:rsidR="001B4738">
        <w:rPr>
          <w:rFonts w:eastAsia="Times New Roman" w:cs="Arial"/>
          <w:noProof/>
          <w:szCs w:val="24"/>
        </w:rPr>
        <w:t>33</w:t>
      </w:r>
      <w:r w:rsidR="00FB1688">
        <w:rPr>
          <w:rFonts w:eastAsia="Times New Roman" w:cs="Arial"/>
          <w:noProof/>
          <w:szCs w:val="24"/>
        </w:rPr>
        <w:t>)</w:t>
      </w:r>
      <w:r w:rsidRPr="00304385">
        <w:rPr>
          <w:rFonts w:eastAsia="Times New Roman" w:cs="Arial"/>
          <w:szCs w:val="24"/>
        </w:rPr>
        <w:t xml:space="preserve"> Genital psoriasis also appeared to be relatively </w:t>
      </w:r>
      <w:r w:rsidR="00255D5F">
        <w:rPr>
          <w:rFonts w:eastAsia="Times New Roman" w:cs="Arial"/>
          <w:szCs w:val="24"/>
        </w:rPr>
        <w:t>un</w:t>
      </w:r>
      <w:r w:rsidRPr="00304385">
        <w:rPr>
          <w:rFonts w:eastAsia="Times New Roman" w:cs="Arial"/>
          <w:szCs w:val="24"/>
        </w:rPr>
        <w:t xml:space="preserve">common. </w:t>
      </w:r>
      <w:r w:rsidR="00B35C09">
        <w:rPr>
          <w:rFonts w:eastAsia="Times New Roman" w:cs="Arial"/>
          <w:szCs w:val="24"/>
        </w:rPr>
        <w:t xml:space="preserve">The most reliable estimates were from Icen (2009) which reported that 6.7%, 10.0% and 3.1% of patients had psoriasis that affected the </w:t>
      </w:r>
      <w:r w:rsidR="00EB283E">
        <w:rPr>
          <w:rFonts w:eastAsia="Times New Roman" w:cs="Arial"/>
          <w:szCs w:val="24"/>
        </w:rPr>
        <w:t>genitals</w:t>
      </w:r>
      <w:r w:rsidR="00B35C09">
        <w:rPr>
          <w:rFonts w:eastAsia="Times New Roman" w:cs="Arial"/>
          <w:szCs w:val="24"/>
        </w:rPr>
        <w:t>, int</w:t>
      </w:r>
      <w:r w:rsidR="0009095A">
        <w:rPr>
          <w:rFonts w:eastAsia="Times New Roman" w:cs="Arial"/>
          <w:szCs w:val="24"/>
        </w:rPr>
        <w:t>er</w:t>
      </w:r>
      <w:r w:rsidR="00B35C09">
        <w:rPr>
          <w:rFonts w:eastAsia="Times New Roman" w:cs="Arial"/>
          <w:szCs w:val="24"/>
        </w:rPr>
        <w:t>gluteal and perianal areas</w:t>
      </w:r>
      <w:r w:rsidR="00EB283E">
        <w:rPr>
          <w:rFonts w:eastAsia="Times New Roman" w:cs="Arial"/>
          <w:szCs w:val="24"/>
        </w:rPr>
        <w:t>,</w:t>
      </w:r>
      <w:r w:rsidR="00B35C09">
        <w:rPr>
          <w:rFonts w:eastAsia="Times New Roman" w:cs="Arial"/>
          <w:szCs w:val="24"/>
        </w:rPr>
        <w:t xml:space="preserve"> and the groin, respec</w:t>
      </w:r>
      <w:r w:rsidR="0022022F">
        <w:rPr>
          <w:rFonts w:eastAsia="Times New Roman" w:cs="Arial"/>
          <w:szCs w:val="24"/>
        </w:rPr>
        <w:t>tively.</w:t>
      </w:r>
      <w:r w:rsidR="00BC08F3">
        <w:rPr>
          <w:rFonts w:eastAsia="Times New Roman" w:cs="Arial"/>
          <w:noProof/>
          <w:szCs w:val="24"/>
        </w:rPr>
        <w:t>(</w:t>
      </w:r>
      <w:r w:rsidR="001B4738">
        <w:rPr>
          <w:rFonts w:eastAsia="Times New Roman" w:cs="Arial"/>
          <w:noProof/>
          <w:szCs w:val="24"/>
        </w:rPr>
        <w:t>21</w:t>
      </w:r>
      <w:r w:rsidR="00BC08F3">
        <w:rPr>
          <w:rFonts w:eastAsia="Times New Roman" w:cs="Arial"/>
          <w:noProof/>
          <w:szCs w:val="24"/>
        </w:rPr>
        <w:t>)</w:t>
      </w:r>
      <w:r w:rsidR="0022022F">
        <w:rPr>
          <w:rFonts w:eastAsia="Times New Roman" w:cs="Arial"/>
          <w:szCs w:val="24"/>
        </w:rPr>
        <w:t xml:space="preserve"> </w:t>
      </w:r>
      <w:r>
        <w:rPr>
          <w:rFonts w:eastAsia="Times New Roman" w:cs="Arial"/>
          <w:noProof/>
          <w:szCs w:val="24"/>
        </w:rPr>
        <w:t>Meeuwis (2011)</w:t>
      </w:r>
      <w:r w:rsidRPr="00304385">
        <w:rPr>
          <w:rFonts w:eastAsia="Times New Roman" w:cs="Arial"/>
          <w:szCs w:val="24"/>
        </w:rPr>
        <w:t xml:space="preserve"> reported that genital psoriasis was more common in patients with inverse psoriasis.</w:t>
      </w:r>
      <w:r w:rsidR="00FB1688">
        <w:rPr>
          <w:rFonts w:eastAsia="Times New Roman" w:cs="Arial"/>
          <w:noProof/>
          <w:szCs w:val="24"/>
        </w:rPr>
        <w:t>(</w:t>
      </w:r>
      <w:r w:rsidR="001B4738">
        <w:rPr>
          <w:rFonts w:eastAsia="Times New Roman" w:cs="Arial"/>
          <w:noProof/>
          <w:szCs w:val="24"/>
        </w:rPr>
        <w:t>34</w:t>
      </w:r>
      <w:r w:rsidR="00FB1688">
        <w:rPr>
          <w:rFonts w:eastAsia="Times New Roman" w:cs="Arial"/>
          <w:noProof/>
          <w:szCs w:val="24"/>
        </w:rPr>
        <w:t>)</w:t>
      </w:r>
      <w:r w:rsidRPr="00304385">
        <w:rPr>
          <w:rFonts w:eastAsia="Times New Roman" w:cs="Arial"/>
          <w:szCs w:val="24"/>
        </w:rPr>
        <w:t xml:space="preserve"> </w:t>
      </w:r>
    </w:p>
    <w:p w:rsidR="00071F2B" w:rsidRPr="00304385" w:rsidRDefault="00EB6556" w:rsidP="00DF0266">
      <w:pPr>
        <w:pStyle w:val="Heading3"/>
        <w:spacing w:before="240" w:after="200"/>
        <w:rPr>
          <w:lang w:eastAsia="en-GB"/>
        </w:rPr>
      </w:pPr>
      <w:bookmarkStart w:id="42" w:name="_Toc493156393"/>
      <w:bookmarkStart w:id="43" w:name="_Toc501632368"/>
      <w:r>
        <w:rPr>
          <w:lang w:eastAsia="en-GB"/>
        </w:rPr>
        <w:t>3.2.5</w:t>
      </w:r>
      <w:r>
        <w:rPr>
          <w:lang w:eastAsia="en-GB"/>
        </w:rPr>
        <w:tab/>
      </w:r>
      <w:r w:rsidR="00071F2B" w:rsidRPr="00304385">
        <w:rPr>
          <w:lang w:eastAsia="en-GB"/>
        </w:rPr>
        <w:t>Severity of psoriasis</w:t>
      </w:r>
      <w:bookmarkEnd w:id="42"/>
      <w:bookmarkEnd w:id="43"/>
      <w:r w:rsidR="00071F2B" w:rsidRPr="00304385">
        <w:rPr>
          <w:lang w:eastAsia="en-GB"/>
        </w:rPr>
        <w:t xml:space="preserve"> </w:t>
      </w:r>
    </w:p>
    <w:p w:rsidR="00071F2B" w:rsidRDefault="00071F2B" w:rsidP="00071F2B">
      <w:pPr>
        <w:spacing w:after="0"/>
        <w:rPr>
          <w:rFonts w:cs="Times New Roman"/>
          <w:szCs w:val="24"/>
          <w:lang w:eastAsia="en-GB"/>
        </w:rPr>
      </w:pPr>
      <w:r>
        <w:rPr>
          <w:rFonts w:cs="Times New Roman"/>
          <w:szCs w:val="24"/>
          <w:lang w:eastAsia="en-GB"/>
        </w:rPr>
        <w:t>Ten</w:t>
      </w:r>
      <w:r w:rsidRPr="00304385">
        <w:rPr>
          <w:rFonts w:cs="Times New Roman"/>
          <w:szCs w:val="24"/>
          <w:lang w:eastAsia="en-GB"/>
        </w:rPr>
        <w:t xml:space="preserve"> studies</w:t>
      </w:r>
      <w:r>
        <w:rPr>
          <w:rFonts w:cs="Times New Roman"/>
          <w:szCs w:val="24"/>
          <w:lang w:eastAsia="en-GB"/>
        </w:rPr>
        <w:t xml:space="preserve"> </w:t>
      </w:r>
      <w:r w:rsidRPr="00304385">
        <w:rPr>
          <w:rFonts w:cs="Times New Roman"/>
          <w:szCs w:val="24"/>
          <w:lang w:eastAsia="en-GB"/>
        </w:rPr>
        <w:t xml:space="preserve">were identified that </w:t>
      </w:r>
      <w:r w:rsidRPr="003A20F9">
        <w:rPr>
          <w:rFonts w:cs="Times New Roman"/>
          <w:noProof/>
          <w:szCs w:val="24"/>
          <w:lang w:eastAsia="en-GB"/>
        </w:rPr>
        <w:t>reported</w:t>
      </w:r>
      <w:r w:rsidRPr="00304385">
        <w:rPr>
          <w:rFonts w:cs="Times New Roman"/>
          <w:szCs w:val="24"/>
          <w:lang w:eastAsia="en-GB"/>
        </w:rPr>
        <w:t xml:space="preserve"> the severity of psoriasis</w:t>
      </w:r>
      <w:r>
        <w:rPr>
          <w:rFonts w:cs="Times New Roman"/>
          <w:szCs w:val="24"/>
          <w:lang w:eastAsia="en-GB"/>
        </w:rPr>
        <w:t xml:space="preserve"> using PASI or DLQI</w:t>
      </w:r>
      <w:r w:rsidRPr="00304385">
        <w:rPr>
          <w:rFonts w:cs="Times New Roman"/>
          <w:szCs w:val="24"/>
          <w:lang w:eastAsia="en-GB"/>
        </w:rPr>
        <w:t xml:space="preserve">. The majority of these studies were cross-sectional and examine psoriasis severity at a particular point in time. No </w:t>
      </w:r>
      <w:r w:rsidRPr="003A20F9">
        <w:rPr>
          <w:rFonts w:cs="Times New Roman"/>
          <w:noProof/>
          <w:szCs w:val="24"/>
          <w:lang w:eastAsia="en-GB"/>
        </w:rPr>
        <w:t>studies</w:t>
      </w:r>
      <w:r w:rsidRPr="00304385">
        <w:rPr>
          <w:rFonts w:cs="Times New Roman"/>
          <w:szCs w:val="24"/>
          <w:lang w:eastAsia="en-GB"/>
        </w:rPr>
        <w:t xml:space="preserve"> were identified that </w:t>
      </w:r>
      <w:r w:rsidRPr="003A20F9">
        <w:rPr>
          <w:rFonts w:cs="Times New Roman"/>
          <w:noProof/>
          <w:szCs w:val="24"/>
          <w:lang w:eastAsia="en-GB"/>
        </w:rPr>
        <w:t>examined</w:t>
      </w:r>
      <w:r w:rsidRPr="00304385">
        <w:rPr>
          <w:rFonts w:cs="Times New Roman"/>
          <w:szCs w:val="24"/>
          <w:lang w:eastAsia="en-GB"/>
        </w:rPr>
        <w:t xml:space="preserve"> changes in psoriasis severity over time. </w:t>
      </w:r>
    </w:p>
    <w:p w:rsidR="00BC08F3" w:rsidRDefault="00BC08F3" w:rsidP="00071F2B">
      <w:pPr>
        <w:spacing w:after="0"/>
        <w:rPr>
          <w:rFonts w:cs="Times New Roman"/>
          <w:szCs w:val="24"/>
          <w:lang w:eastAsia="en-GB"/>
        </w:rPr>
      </w:pPr>
    </w:p>
    <w:p w:rsidR="00B06234" w:rsidRDefault="00071F2B" w:rsidP="00071F2B">
      <w:pPr>
        <w:spacing w:after="0"/>
        <w:rPr>
          <w:rFonts w:cs="Times New Roman"/>
          <w:szCs w:val="24"/>
          <w:lang w:eastAsia="en-GB"/>
        </w:rPr>
      </w:pPr>
      <w:r>
        <w:rPr>
          <w:rFonts w:cs="Times New Roman"/>
          <w:szCs w:val="24"/>
          <w:lang w:eastAsia="en-GB"/>
        </w:rPr>
        <w:t xml:space="preserve">There was considerable variation between the studies around the definition of severe psoriasis and in turn the prevalence of severe psoriasis. </w:t>
      </w:r>
      <w:r w:rsidR="00EB28AA">
        <w:rPr>
          <w:rFonts w:cs="Times New Roman"/>
          <w:szCs w:val="24"/>
          <w:lang w:eastAsia="en-GB"/>
        </w:rPr>
        <w:t>The definition of s</w:t>
      </w:r>
      <w:r>
        <w:rPr>
          <w:rFonts w:cs="Times New Roman"/>
          <w:szCs w:val="24"/>
          <w:lang w:eastAsia="en-GB"/>
        </w:rPr>
        <w:t>evere psoriasis varied from a PASI of greater than 15 (</w:t>
      </w:r>
      <w:r w:rsidRPr="00FC5B71">
        <w:rPr>
          <w:rFonts w:cs="Times New Roman"/>
          <w:szCs w:val="24"/>
          <w:lang w:eastAsia="en-GB"/>
        </w:rPr>
        <w:t>Piaserico (2016)</w:t>
      </w:r>
      <w:r>
        <w:rPr>
          <w:rFonts w:cs="Times New Roman"/>
          <w:szCs w:val="24"/>
          <w:lang w:eastAsia="en-GB"/>
        </w:rPr>
        <w:t xml:space="preserve"> and Mallbris (2005)) to a PASI </w:t>
      </w:r>
      <w:r w:rsidRPr="003A20F9">
        <w:rPr>
          <w:rFonts w:cs="Times New Roman"/>
          <w:noProof/>
          <w:szCs w:val="24"/>
          <w:lang w:eastAsia="en-GB"/>
        </w:rPr>
        <w:t>greater</w:t>
      </w:r>
      <w:r>
        <w:rPr>
          <w:rFonts w:cs="Times New Roman"/>
          <w:szCs w:val="24"/>
          <w:lang w:eastAsia="en-GB"/>
        </w:rPr>
        <w:t xml:space="preserve"> than 20. In addition, some studies included all types of psoriasis whereas others focused on </w:t>
      </w:r>
      <w:r w:rsidR="00891E82">
        <w:rPr>
          <w:rFonts w:cs="Times New Roman"/>
          <w:szCs w:val="24"/>
          <w:lang w:eastAsia="en-GB"/>
        </w:rPr>
        <w:t>CPP</w:t>
      </w:r>
      <w:r>
        <w:rPr>
          <w:rFonts w:cs="Times New Roman"/>
          <w:szCs w:val="24"/>
          <w:lang w:eastAsia="en-GB"/>
        </w:rPr>
        <w:t xml:space="preserve">. </w:t>
      </w:r>
      <w:r w:rsidR="0086184A">
        <w:t xml:space="preserve">Table </w:t>
      </w:r>
      <w:r w:rsidR="0086184A">
        <w:rPr>
          <w:noProof/>
        </w:rPr>
        <w:t>5</w:t>
      </w:r>
      <w:r>
        <w:rPr>
          <w:rFonts w:cs="Times New Roman"/>
          <w:szCs w:val="24"/>
          <w:lang w:eastAsia="en-GB"/>
        </w:rPr>
        <w:t xml:space="preserve"> </w:t>
      </w:r>
      <w:r w:rsidRPr="007A6527">
        <w:rPr>
          <w:rFonts w:cs="Times New Roman"/>
          <w:szCs w:val="24"/>
          <w:lang w:eastAsia="en-GB"/>
        </w:rPr>
        <w:t>summarises the estimates of severe psoriasis</w:t>
      </w:r>
      <w:r>
        <w:rPr>
          <w:rFonts w:cs="Times New Roman"/>
          <w:szCs w:val="24"/>
          <w:lang w:eastAsia="en-GB"/>
        </w:rPr>
        <w:t xml:space="preserve"> in the literature identified in the systematic review.</w:t>
      </w:r>
    </w:p>
    <w:p w:rsidR="00B06234" w:rsidRDefault="00B06234">
      <w:pPr>
        <w:spacing w:line="276" w:lineRule="auto"/>
        <w:rPr>
          <w:rFonts w:cs="Times New Roman"/>
          <w:szCs w:val="24"/>
          <w:lang w:eastAsia="en-GB"/>
        </w:rPr>
      </w:pPr>
      <w:r>
        <w:rPr>
          <w:rFonts w:cs="Times New Roman"/>
          <w:szCs w:val="24"/>
          <w:lang w:eastAsia="en-GB"/>
        </w:rPr>
        <w:br w:type="page"/>
      </w:r>
    </w:p>
    <w:p w:rsidR="00071F2B" w:rsidRDefault="00071F2B" w:rsidP="00AA1D0C">
      <w:pPr>
        <w:pStyle w:val="MDTabCaption"/>
      </w:pPr>
      <w:bookmarkStart w:id="44" w:name="_Ref493061332"/>
      <w:bookmarkStart w:id="45" w:name="_Toc501632399"/>
      <w:r>
        <w:t xml:space="preserve">Table </w:t>
      </w:r>
      <w:r w:rsidR="0086184A">
        <w:rPr>
          <w:noProof/>
        </w:rPr>
        <w:t>5</w:t>
      </w:r>
      <w:bookmarkEnd w:id="44"/>
      <w:r>
        <w:t>:</w:t>
      </w:r>
      <w:r w:rsidRPr="00461B24">
        <w:t xml:space="preserve"> Severity of psoriasis in adults</w:t>
      </w:r>
      <w:r w:rsidR="007A1C79">
        <w:t xml:space="preserve"> based on PASI or DLQI scores</w:t>
      </w:r>
      <w:bookmarkEnd w:id="45"/>
    </w:p>
    <w:tbl>
      <w:tblPr>
        <w:tblStyle w:val="TableGrid7"/>
        <w:tblpPr w:leftFromText="180" w:rightFromText="180" w:vertAnchor="text" w:horzAnchor="margin" w:tblpY="43"/>
        <w:tblW w:w="9351" w:type="dxa"/>
        <w:tblLayout w:type="fixed"/>
        <w:tblLook w:val="04A0" w:firstRow="1" w:lastRow="0" w:firstColumn="1" w:lastColumn="0" w:noHBand="0" w:noVBand="1"/>
        <w:tblCaption w:val="Severity of psoriasis in adults"/>
      </w:tblPr>
      <w:tblGrid>
        <w:gridCol w:w="1413"/>
        <w:gridCol w:w="1134"/>
        <w:gridCol w:w="1701"/>
        <w:gridCol w:w="1134"/>
        <w:gridCol w:w="850"/>
        <w:gridCol w:w="1524"/>
        <w:gridCol w:w="1595"/>
      </w:tblGrid>
      <w:tr w:rsidR="00071F2B" w:rsidRPr="00304385" w:rsidTr="00071F2B">
        <w:trPr>
          <w:cantSplit/>
          <w:trHeight w:val="353"/>
          <w:tblHeader/>
        </w:trPr>
        <w:tc>
          <w:tcPr>
            <w:tcW w:w="1413" w:type="dxa"/>
            <w:tcBorders>
              <w:bottom w:val="single" w:sz="4" w:space="0" w:color="auto"/>
            </w:tcBorders>
            <w:shd w:val="clear" w:color="auto" w:fill="BFBFBF" w:themeFill="background1" w:themeFillShade="BF"/>
            <w:vAlign w:val="center"/>
          </w:tcPr>
          <w:p w:rsidR="00071F2B" w:rsidRPr="00304385" w:rsidRDefault="00071F2B" w:rsidP="00071F2B">
            <w:pPr>
              <w:keepNext/>
              <w:keepLines/>
              <w:spacing w:beforeLines="60" w:before="144" w:afterLines="60" w:after="144"/>
              <w:contextualSpacing/>
              <w:rPr>
                <w:rFonts w:cs="Times New Roman"/>
                <w:b/>
                <w:sz w:val="20"/>
                <w:szCs w:val="20"/>
                <w:lang w:eastAsia="en-GB"/>
              </w:rPr>
            </w:pPr>
            <w:r w:rsidRPr="00304385">
              <w:rPr>
                <w:rFonts w:cs="Calibri"/>
                <w:b/>
                <w:sz w:val="20"/>
                <w:szCs w:val="20"/>
                <w:lang w:eastAsia="en-GB"/>
              </w:rPr>
              <w:t>Study</w:t>
            </w:r>
          </w:p>
        </w:tc>
        <w:tc>
          <w:tcPr>
            <w:tcW w:w="1134" w:type="dxa"/>
            <w:tcBorders>
              <w:bottom w:val="single" w:sz="4" w:space="0" w:color="auto"/>
            </w:tcBorders>
            <w:shd w:val="clear" w:color="auto" w:fill="BFBFBF" w:themeFill="background1" w:themeFillShade="BF"/>
          </w:tcPr>
          <w:p w:rsidR="00071F2B" w:rsidRPr="00304385" w:rsidRDefault="00071F2B" w:rsidP="00071F2B">
            <w:pPr>
              <w:keepNext/>
              <w:keepLines/>
              <w:autoSpaceDE w:val="0"/>
              <w:autoSpaceDN w:val="0"/>
              <w:adjustRightInd w:val="0"/>
              <w:spacing w:beforeLines="60" w:before="144" w:afterLines="60" w:after="144"/>
              <w:contextualSpacing/>
              <w:jc w:val="center"/>
              <w:rPr>
                <w:rFonts w:cs="Calibri"/>
                <w:b/>
                <w:sz w:val="20"/>
                <w:szCs w:val="20"/>
                <w:lang w:eastAsia="en-GB"/>
              </w:rPr>
            </w:pPr>
            <w:r w:rsidRPr="00304385">
              <w:rPr>
                <w:rFonts w:cs="Calibri"/>
                <w:b/>
                <w:sz w:val="20"/>
                <w:szCs w:val="20"/>
                <w:lang w:eastAsia="en-GB"/>
              </w:rPr>
              <w:t>Study population</w:t>
            </w:r>
          </w:p>
        </w:tc>
        <w:tc>
          <w:tcPr>
            <w:tcW w:w="1701" w:type="dxa"/>
            <w:tcBorders>
              <w:bottom w:val="single" w:sz="4" w:space="0" w:color="auto"/>
            </w:tcBorders>
            <w:shd w:val="clear" w:color="auto" w:fill="BFBFBF" w:themeFill="background1" w:themeFillShade="BF"/>
            <w:vAlign w:val="center"/>
          </w:tcPr>
          <w:p w:rsidR="00071F2B" w:rsidRPr="00304385" w:rsidRDefault="00071F2B" w:rsidP="00071F2B">
            <w:pPr>
              <w:keepNext/>
              <w:keepLines/>
              <w:autoSpaceDE w:val="0"/>
              <w:autoSpaceDN w:val="0"/>
              <w:adjustRightInd w:val="0"/>
              <w:spacing w:beforeLines="60" w:before="144" w:afterLines="60" w:after="144"/>
              <w:contextualSpacing/>
              <w:jc w:val="center"/>
              <w:rPr>
                <w:rFonts w:cs="Calibri"/>
                <w:sz w:val="20"/>
                <w:szCs w:val="20"/>
                <w:lang w:eastAsia="en-GB"/>
              </w:rPr>
            </w:pPr>
            <w:r w:rsidRPr="00304385">
              <w:rPr>
                <w:rFonts w:cs="Calibri"/>
                <w:b/>
                <w:sz w:val="20"/>
                <w:szCs w:val="20"/>
                <w:lang w:eastAsia="en-GB"/>
              </w:rPr>
              <w:t>Study location and year</w:t>
            </w:r>
          </w:p>
        </w:tc>
        <w:tc>
          <w:tcPr>
            <w:tcW w:w="1134" w:type="dxa"/>
            <w:tcBorders>
              <w:bottom w:val="single" w:sz="4" w:space="0" w:color="auto"/>
            </w:tcBorders>
            <w:shd w:val="clear" w:color="auto" w:fill="BFBFBF" w:themeFill="background1" w:themeFillShade="BF"/>
          </w:tcPr>
          <w:p w:rsidR="00071F2B" w:rsidRPr="00304385" w:rsidRDefault="00071F2B" w:rsidP="00071F2B">
            <w:pPr>
              <w:keepNext/>
              <w:keepLines/>
              <w:autoSpaceDE w:val="0"/>
              <w:autoSpaceDN w:val="0"/>
              <w:adjustRightInd w:val="0"/>
              <w:spacing w:beforeLines="60" w:before="144" w:afterLines="60" w:after="144"/>
              <w:contextualSpacing/>
              <w:jc w:val="center"/>
              <w:rPr>
                <w:rFonts w:cs="Calibri"/>
                <w:sz w:val="20"/>
                <w:szCs w:val="20"/>
                <w:lang w:eastAsia="en-GB"/>
              </w:rPr>
            </w:pPr>
            <w:r w:rsidRPr="00304385">
              <w:rPr>
                <w:rFonts w:cs="Calibri"/>
                <w:b/>
                <w:sz w:val="20"/>
                <w:szCs w:val="20"/>
                <w:lang w:eastAsia="en-GB"/>
              </w:rPr>
              <w:t>Risk of bias</w:t>
            </w:r>
          </w:p>
        </w:tc>
        <w:tc>
          <w:tcPr>
            <w:tcW w:w="850" w:type="dxa"/>
            <w:tcBorders>
              <w:bottom w:val="single" w:sz="4" w:space="0" w:color="auto"/>
            </w:tcBorders>
            <w:shd w:val="clear" w:color="auto" w:fill="BFBFBF" w:themeFill="background1" w:themeFillShade="BF"/>
            <w:vAlign w:val="center"/>
          </w:tcPr>
          <w:p w:rsidR="00071F2B" w:rsidRPr="00304385" w:rsidRDefault="00071F2B" w:rsidP="00071F2B">
            <w:pPr>
              <w:keepNext/>
              <w:keepLines/>
              <w:autoSpaceDE w:val="0"/>
              <w:autoSpaceDN w:val="0"/>
              <w:adjustRightInd w:val="0"/>
              <w:spacing w:beforeLines="60" w:before="144" w:afterLines="60" w:after="144"/>
              <w:contextualSpacing/>
              <w:jc w:val="center"/>
              <w:rPr>
                <w:rFonts w:cs="Calibri"/>
                <w:sz w:val="20"/>
                <w:szCs w:val="20"/>
                <w:lang w:eastAsia="en-GB"/>
              </w:rPr>
            </w:pPr>
            <w:r w:rsidRPr="00304385">
              <w:rPr>
                <w:rFonts w:cs="Calibri"/>
                <w:b/>
                <w:sz w:val="20"/>
                <w:szCs w:val="20"/>
                <w:lang w:eastAsia="en-GB"/>
              </w:rPr>
              <w:t>N</w:t>
            </w:r>
          </w:p>
        </w:tc>
        <w:tc>
          <w:tcPr>
            <w:tcW w:w="1524" w:type="dxa"/>
            <w:tcBorders>
              <w:bottom w:val="single" w:sz="4" w:space="0" w:color="auto"/>
            </w:tcBorders>
            <w:shd w:val="clear" w:color="auto" w:fill="BFBFBF" w:themeFill="background1" w:themeFillShade="BF"/>
            <w:vAlign w:val="center"/>
          </w:tcPr>
          <w:p w:rsidR="00071F2B" w:rsidRPr="00304385" w:rsidRDefault="00071F2B" w:rsidP="00071F2B">
            <w:pPr>
              <w:keepNext/>
              <w:keepLines/>
              <w:autoSpaceDE w:val="0"/>
              <w:autoSpaceDN w:val="0"/>
              <w:adjustRightInd w:val="0"/>
              <w:spacing w:beforeLines="60" w:before="144" w:afterLines="60" w:after="144"/>
              <w:contextualSpacing/>
              <w:jc w:val="center"/>
              <w:rPr>
                <w:rFonts w:cs="Calibri"/>
                <w:b/>
                <w:sz w:val="20"/>
                <w:szCs w:val="20"/>
                <w:lang w:eastAsia="en-GB"/>
              </w:rPr>
            </w:pPr>
            <w:r w:rsidRPr="00304385">
              <w:rPr>
                <w:rFonts w:cs="Calibri"/>
                <w:b/>
                <w:sz w:val="20"/>
                <w:szCs w:val="20"/>
                <w:lang w:eastAsia="en-GB"/>
              </w:rPr>
              <w:t>Definition of severity</w:t>
            </w:r>
          </w:p>
        </w:tc>
        <w:tc>
          <w:tcPr>
            <w:tcW w:w="1595" w:type="dxa"/>
            <w:tcBorders>
              <w:bottom w:val="single" w:sz="4" w:space="0" w:color="auto"/>
            </w:tcBorders>
            <w:shd w:val="clear" w:color="auto" w:fill="BFBFBF" w:themeFill="background1" w:themeFillShade="BF"/>
            <w:vAlign w:val="center"/>
          </w:tcPr>
          <w:p w:rsidR="00071F2B" w:rsidRPr="00304385" w:rsidRDefault="00071F2B" w:rsidP="00071F2B">
            <w:pPr>
              <w:keepNext/>
              <w:keepLines/>
              <w:autoSpaceDE w:val="0"/>
              <w:autoSpaceDN w:val="0"/>
              <w:adjustRightInd w:val="0"/>
              <w:spacing w:beforeLines="60" w:before="144" w:afterLines="60" w:after="144"/>
              <w:contextualSpacing/>
              <w:jc w:val="center"/>
              <w:rPr>
                <w:rFonts w:cs="Calibri"/>
                <w:sz w:val="20"/>
                <w:szCs w:val="20"/>
                <w:lang w:eastAsia="en-GB"/>
              </w:rPr>
            </w:pPr>
            <w:r w:rsidRPr="00304385">
              <w:rPr>
                <w:rFonts w:cs="Calibri"/>
                <w:b/>
                <w:sz w:val="20"/>
                <w:szCs w:val="20"/>
                <w:lang w:eastAsia="en-GB"/>
              </w:rPr>
              <w:t xml:space="preserve">Severe psoriasis </w:t>
            </w:r>
          </w:p>
        </w:tc>
      </w:tr>
      <w:tr w:rsidR="00071F2B" w:rsidRPr="00FF2337" w:rsidTr="00071F2B">
        <w:trPr>
          <w:cantSplit/>
          <w:trHeight w:val="353"/>
          <w:tblHeader/>
        </w:trPr>
        <w:tc>
          <w:tcPr>
            <w:tcW w:w="1413" w:type="dxa"/>
            <w:tcBorders>
              <w:right w:val="nil"/>
            </w:tcBorders>
            <w:vAlign w:val="center"/>
          </w:tcPr>
          <w:p w:rsidR="00071F2B" w:rsidRPr="00FF2337" w:rsidRDefault="00071F2B" w:rsidP="00071F2B">
            <w:pPr>
              <w:keepNext/>
              <w:keepLines/>
              <w:spacing w:beforeLines="60" w:before="144" w:afterLines="60" w:after="144"/>
              <w:contextualSpacing/>
              <w:rPr>
                <w:rFonts w:cs="Times New Roman"/>
                <w:b/>
                <w:sz w:val="20"/>
                <w:szCs w:val="20"/>
                <w:lang w:eastAsia="en-GB"/>
              </w:rPr>
            </w:pPr>
            <w:r w:rsidRPr="00FF2337">
              <w:rPr>
                <w:rFonts w:cs="Times New Roman"/>
                <w:b/>
                <w:sz w:val="20"/>
                <w:szCs w:val="20"/>
                <w:lang w:eastAsia="en-GB"/>
              </w:rPr>
              <w:t>PASI (severe)</w:t>
            </w:r>
          </w:p>
        </w:tc>
        <w:tc>
          <w:tcPr>
            <w:tcW w:w="1134" w:type="dxa"/>
            <w:tcBorders>
              <w:left w:val="nil"/>
              <w:right w:val="nil"/>
            </w:tcBorders>
            <w:vAlign w:val="center"/>
          </w:tcPr>
          <w:p w:rsidR="00071F2B" w:rsidRPr="00FF2337" w:rsidRDefault="00071F2B" w:rsidP="00071F2B">
            <w:pPr>
              <w:keepNext/>
              <w:keepLines/>
              <w:autoSpaceDE w:val="0"/>
              <w:autoSpaceDN w:val="0"/>
              <w:adjustRightInd w:val="0"/>
              <w:spacing w:beforeLines="60" w:before="144" w:afterLines="60" w:after="144"/>
              <w:contextualSpacing/>
              <w:jc w:val="center"/>
              <w:rPr>
                <w:rFonts w:cs="Calibri"/>
                <w:b/>
                <w:sz w:val="20"/>
                <w:szCs w:val="20"/>
                <w:lang w:eastAsia="en-GB"/>
              </w:rPr>
            </w:pPr>
          </w:p>
        </w:tc>
        <w:tc>
          <w:tcPr>
            <w:tcW w:w="1701" w:type="dxa"/>
            <w:tcBorders>
              <w:left w:val="nil"/>
              <w:right w:val="nil"/>
            </w:tcBorders>
            <w:vAlign w:val="center"/>
          </w:tcPr>
          <w:p w:rsidR="00071F2B" w:rsidRPr="00FF2337" w:rsidRDefault="00071F2B" w:rsidP="00071F2B">
            <w:pPr>
              <w:keepNext/>
              <w:keepLines/>
              <w:autoSpaceDE w:val="0"/>
              <w:autoSpaceDN w:val="0"/>
              <w:adjustRightInd w:val="0"/>
              <w:spacing w:beforeLines="60" w:before="144" w:afterLines="60" w:after="144"/>
              <w:contextualSpacing/>
              <w:jc w:val="center"/>
              <w:rPr>
                <w:rFonts w:cs="Calibri"/>
                <w:b/>
                <w:sz w:val="20"/>
                <w:szCs w:val="20"/>
                <w:lang w:eastAsia="en-GB"/>
              </w:rPr>
            </w:pPr>
          </w:p>
        </w:tc>
        <w:tc>
          <w:tcPr>
            <w:tcW w:w="1134" w:type="dxa"/>
            <w:tcBorders>
              <w:left w:val="nil"/>
              <w:right w:val="nil"/>
            </w:tcBorders>
            <w:vAlign w:val="center"/>
          </w:tcPr>
          <w:p w:rsidR="00071F2B" w:rsidRPr="00FF2337" w:rsidRDefault="00071F2B" w:rsidP="00071F2B">
            <w:pPr>
              <w:keepNext/>
              <w:keepLines/>
              <w:autoSpaceDE w:val="0"/>
              <w:autoSpaceDN w:val="0"/>
              <w:adjustRightInd w:val="0"/>
              <w:spacing w:beforeLines="60" w:before="144" w:afterLines="60" w:after="144"/>
              <w:contextualSpacing/>
              <w:jc w:val="center"/>
              <w:rPr>
                <w:rFonts w:cs="Calibri"/>
                <w:b/>
                <w:sz w:val="20"/>
                <w:szCs w:val="20"/>
                <w:lang w:eastAsia="en-GB"/>
              </w:rPr>
            </w:pPr>
          </w:p>
        </w:tc>
        <w:tc>
          <w:tcPr>
            <w:tcW w:w="850" w:type="dxa"/>
            <w:tcBorders>
              <w:left w:val="nil"/>
              <w:right w:val="nil"/>
            </w:tcBorders>
            <w:vAlign w:val="center"/>
          </w:tcPr>
          <w:p w:rsidR="00071F2B" w:rsidRPr="00FF2337" w:rsidRDefault="00071F2B" w:rsidP="00071F2B">
            <w:pPr>
              <w:keepNext/>
              <w:keepLines/>
              <w:autoSpaceDE w:val="0"/>
              <w:autoSpaceDN w:val="0"/>
              <w:adjustRightInd w:val="0"/>
              <w:spacing w:beforeLines="60" w:before="144" w:afterLines="60" w:after="144"/>
              <w:contextualSpacing/>
              <w:jc w:val="center"/>
              <w:rPr>
                <w:rFonts w:cs="Calibri"/>
                <w:b/>
                <w:sz w:val="20"/>
                <w:szCs w:val="20"/>
                <w:lang w:eastAsia="en-GB"/>
              </w:rPr>
            </w:pPr>
          </w:p>
        </w:tc>
        <w:tc>
          <w:tcPr>
            <w:tcW w:w="1524" w:type="dxa"/>
            <w:tcBorders>
              <w:left w:val="nil"/>
              <w:right w:val="nil"/>
            </w:tcBorders>
            <w:vAlign w:val="center"/>
          </w:tcPr>
          <w:p w:rsidR="00071F2B" w:rsidRPr="00FF2337" w:rsidRDefault="00071F2B" w:rsidP="00071F2B">
            <w:pPr>
              <w:keepNext/>
              <w:keepLines/>
              <w:autoSpaceDE w:val="0"/>
              <w:autoSpaceDN w:val="0"/>
              <w:adjustRightInd w:val="0"/>
              <w:spacing w:beforeLines="60" w:before="144" w:afterLines="60" w:after="144"/>
              <w:contextualSpacing/>
              <w:jc w:val="center"/>
              <w:rPr>
                <w:rFonts w:cs="Calibri"/>
                <w:b/>
                <w:sz w:val="20"/>
                <w:szCs w:val="20"/>
                <w:lang w:eastAsia="en-GB"/>
              </w:rPr>
            </w:pPr>
          </w:p>
        </w:tc>
        <w:tc>
          <w:tcPr>
            <w:tcW w:w="1595" w:type="dxa"/>
            <w:tcBorders>
              <w:left w:val="nil"/>
            </w:tcBorders>
            <w:vAlign w:val="center"/>
          </w:tcPr>
          <w:p w:rsidR="00071F2B" w:rsidRPr="00FF2337" w:rsidRDefault="00071F2B" w:rsidP="00071F2B">
            <w:pPr>
              <w:keepNext/>
              <w:keepLines/>
              <w:autoSpaceDE w:val="0"/>
              <w:autoSpaceDN w:val="0"/>
              <w:adjustRightInd w:val="0"/>
              <w:spacing w:beforeLines="60" w:before="144" w:afterLines="60" w:after="144"/>
              <w:contextualSpacing/>
              <w:jc w:val="center"/>
              <w:rPr>
                <w:rFonts w:cs="Calibri"/>
                <w:b/>
                <w:sz w:val="20"/>
                <w:szCs w:val="20"/>
                <w:lang w:eastAsia="en-GB"/>
              </w:rPr>
            </w:pPr>
          </w:p>
        </w:tc>
      </w:tr>
      <w:tr w:rsidR="00071F2B" w:rsidRPr="00304385" w:rsidTr="00071F2B">
        <w:trPr>
          <w:cantSplit/>
          <w:trHeight w:val="353"/>
          <w:tblHeader/>
        </w:trPr>
        <w:tc>
          <w:tcPr>
            <w:tcW w:w="1413" w:type="dxa"/>
            <w:vAlign w:val="center"/>
          </w:tcPr>
          <w:p w:rsidR="00071F2B" w:rsidRPr="00304385" w:rsidRDefault="00071F2B" w:rsidP="001B4738">
            <w:pPr>
              <w:keepNext/>
              <w:keepLines/>
              <w:spacing w:beforeLines="60" w:before="144" w:afterLines="60" w:after="144"/>
              <w:contextualSpacing/>
              <w:rPr>
                <w:rFonts w:cs="Times New Roman"/>
                <w:szCs w:val="24"/>
                <w:lang w:eastAsia="en-GB"/>
              </w:rPr>
            </w:pPr>
            <w:r>
              <w:rPr>
                <w:rFonts w:cs="Times New Roman"/>
                <w:noProof/>
                <w:sz w:val="20"/>
                <w:szCs w:val="20"/>
                <w:lang w:eastAsia="en-GB"/>
              </w:rPr>
              <w:t xml:space="preserve">Mallbris (2005) </w:t>
            </w:r>
            <w:r w:rsidR="00FB1688">
              <w:rPr>
                <w:rFonts w:cs="Times New Roman"/>
                <w:noProof/>
                <w:sz w:val="20"/>
                <w:szCs w:val="20"/>
                <w:lang w:eastAsia="en-GB"/>
              </w:rPr>
              <w:t>(</w:t>
            </w:r>
            <w:r w:rsidR="001B4738">
              <w:rPr>
                <w:rFonts w:cs="Times New Roman"/>
                <w:noProof/>
                <w:sz w:val="20"/>
                <w:szCs w:val="20"/>
                <w:lang w:eastAsia="en-GB"/>
              </w:rPr>
              <w:t>19</w:t>
            </w:r>
            <w:r w:rsidR="00FB1688">
              <w:rPr>
                <w:rFonts w:cs="Times New Roman"/>
                <w:noProof/>
                <w:sz w:val="20"/>
                <w:szCs w:val="20"/>
                <w:lang w:eastAsia="en-GB"/>
              </w:rPr>
              <w:t>)</w:t>
            </w:r>
          </w:p>
        </w:tc>
        <w:tc>
          <w:tcPr>
            <w:tcW w:w="1134" w:type="dxa"/>
            <w:vAlign w:val="center"/>
          </w:tcPr>
          <w:p w:rsidR="00071F2B" w:rsidRPr="00304385" w:rsidRDefault="00071F2B" w:rsidP="00071F2B">
            <w:pPr>
              <w:keepNext/>
              <w:keepLines/>
              <w:autoSpaceDE w:val="0"/>
              <w:autoSpaceDN w:val="0"/>
              <w:adjustRightInd w:val="0"/>
              <w:spacing w:beforeLines="60" w:before="144" w:afterLines="60" w:after="144"/>
              <w:contextualSpacing/>
              <w:jc w:val="center"/>
              <w:rPr>
                <w:rFonts w:cs="Calibri"/>
                <w:sz w:val="20"/>
                <w:szCs w:val="20"/>
                <w:lang w:eastAsia="en-GB"/>
              </w:rPr>
            </w:pPr>
            <w:r w:rsidRPr="00304385">
              <w:rPr>
                <w:rFonts w:cs="Calibri"/>
                <w:sz w:val="20"/>
                <w:szCs w:val="20"/>
                <w:lang w:eastAsia="en-GB"/>
              </w:rPr>
              <w:t>All psoriasis</w:t>
            </w:r>
          </w:p>
        </w:tc>
        <w:tc>
          <w:tcPr>
            <w:tcW w:w="1701" w:type="dxa"/>
            <w:vAlign w:val="center"/>
          </w:tcPr>
          <w:p w:rsidR="00071F2B" w:rsidRPr="00304385" w:rsidRDefault="00071F2B" w:rsidP="00071F2B">
            <w:pPr>
              <w:keepNext/>
              <w:keepLines/>
              <w:autoSpaceDE w:val="0"/>
              <w:autoSpaceDN w:val="0"/>
              <w:adjustRightInd w:val="0"/>
              <w:spacing w:beforeLines="60" w:before="144" w:afterLines="60" w:after="144"/>
              <w:contextualSpacing/>
              <w:jc w:val="center"/>
              <w:rPr>
                <w:rFonts w:cs="Calibri"/>
                <w:sz w:val="20"/>
                <w:szCs w:val="20"/>
                <w:lang w:eastAsia="en-GB"/>
              </w:rPr>
            </w:pPr>
            <w:r w:rsidRPr="00304385">
              <w:rPr>
                <w:rFonts w:cs="Calibri"/>
                <w:sz w:val="20"/>
                <w:szCs w:val="20"/>
                <w:lang w:eastAsia="en-GB"/>
              </w:rPr>
              <w:t>Sweden (2001-3)</w:t>
            </w:r>
          </w:p>
        </w:tc>
        <w:tc>
          <w:tcPr>
            <w:tcW w:w="1134" w:type="dxa"/>
            <w:vAlign w:val="center"/>
          </w:tcPr>
          <w:p w:rsidR="00071F2B" w:rsidRPr="00304385" w:rsidRDefault="00071F2B" w:rsidP="00071F2B">
            <w:pPr>
              <w:keepNext/>
              <w:keepLines/>
              <w:autoSpaceDE w:val="0"/>
              <w:autoSpaceDN w:val="0"/>
              <w:adjustRightInd w:val="0"/>
              <w:spacing w:beforeLines="60" w:before="144" w:afterLines="60" w:after="144"/>
              <w:contextualSpacing/>
              <w:jc w:val="center"/>
              <w:rPr>
                <w:rFonts w:cs="Calibri"/>
                <w:sz w:val="20"/>
                <w:szCs w:val="20"/>
                <w:lang w:eastAsia="en-GB"/>
              </w:rPr>
            </w:pPr>
            <w:r w:rsidRPr="00304385">
              <w:rPr>
                <w:rFonts w:cs="Calibri"/>
                <w:sz w:val="20"/>
                <w:szCs w:val="20"/>
                <w:lang w:eastAsia="en-GB"/>
              </w:rPr>
              <w:t>Unclear</w:t>
            </w:r>
          </w:p>
        </w:tc>
        <w:tc>
          <w:tcPr>
            <w:tcW w:w="850" w:type="dxa"/>
            <w:vAlign w:val="center"/>
          </w:tcPr>
          <w:p w:rsidR="00071F2B" w:rsidRPr="00304385" w:rsidRDefault="00071F2B" w:rsidP="00071F2B">
            <w:pPr>
              <w:keepNext/>
              <w:keepLines/>
              <w:autoSpaceDE w:val="0"/>
              <w:autoSpaceDN w:val="0"/>
              <w:adjustRightInd w:val="0"/>
              <w:spacing w:beforeLines="60" w:before="144" w:afterLines="60" w:after="144"/>
              <w:contextualSpacing/>
              <w:jc w:val="center"/>
              <w:rPr>
                <w:rFonts w:cs="Calibri"/>
                <w:sz w:val="20"/>
                <w:szCs w:val="20"/>
                <w:lang w:eastAsia="en-GB"/>
              </w:rPr>
            </w:pPr>
            <w:r w:rsidRPr="00304385">
              <w:rPr>
                <w:rFonts w:cs="Calibri"/>
                <w:sz w:val="20"/>
                <w:szCs w:val="20"/>
                <w:lang w:eastAsia="en-GB"/>
              </w:rPr>
              <w:t>400</w:t>
            </w:r>
          </w:p>
        </w:tc>
        <w:tc>
          <w:tcPr>
            <w:tcW w:w="1524" w:type="dxa"/>
            <w:vAlign w:val="center"/>
          </w:tcPr>
          <w:p w:rsidR="00071F2B" w:rsidRPr="00304385" w:rsidRDefault="00071F2B" w:rsidP="00071F2B">
            <w:pPr>
              <w:keepNext/>
              <w:keepLines/>
              <w:autoSpaceDE w:val="0"/>
              <w:autoSpaceDN w:val="0"/>
              <w:adjustRightInd w:val="0"/>
              <w:spacing w:beforeLines="60" w:before="144" w:afterLines="60" w:after="144"/>
              <w:contextualSpacing/>
              <w:jc w:val="center"/>
              <w:rPr>
                <w:rFonts w:cs="Calibri"/>
                <w:sz w:val="20"/>
                <w:szCs w:val="20"/>
                <w:lang w:eastAsia="en-GB"/>
              </w:rPr>
            </w:pPr>
            <w:r w:rsidRPr="00304385">
              <w:rPr>
                <w:rFonts w:cs="Calibri"/>
                <w:sz w:val="20"/>
                <w:szCs w:val="20"/>
                <w:lang w:eastAsia="en-GB"/>
              </w:rPr>
              <w:t>PASI &gt; 15</w:t>
            </w:r>
          </w:p>
        </w:tc>
        <w:tc>
          <w:tcPr>
            <w:tcW w:w="1595" w:type="dxa"/>
            <w:vAlign w:val="center"/>
          </w:tcPr>
          <w:p w:rsidR="00071F2B" w:rsidRPr="00304385" w:rsidRDefault="00071F2B" w:rsidP="00071F2B">
            <w:pPr>
              <w:keepNext/>
              <w:keepLines/>
              <w:autoSpaceDE w:val="0"/>
              <w:autoSpaceDN w:val="0"/>
              <w:adjustRightInd w:val="0"/>
              <w:spacing w:beforeLines="60" w:before="144" w:afterLines="60" w:after="144"/>
              <w:contextualSpacing/>
              <w:jc w:val="center"/>
              <w:rPr>
                <w:rFonts w:cs="Calibri"/>
                <w:sz w:val="20"/>
                <w:szCs w:val="20"/>
                <w:lang w:eastAsia="en-GB"/>
              </w:rPr>
            </w:pPr>
            <w:r w:rsidRPr="00304385">
              <w:rPr>
                <w:rFonts w:cs="Calibri"/>
                <w:sz w:val="20"/>
                <w:szCs w:val="20"/>
                <w:lang w:eastAsia="en-GB"/>
              </w:rPr>
              <w:t>3-5%</w:t>
            </w:r>
          </w:p>
        </w:tc>
      </w:tr>
      <w:tr w:rsidR="00071F2B" w:rsidRPr="00304385" w:rsidTr="00071F2B">
        <w:trPr>
          <w:cantSplit/>
          <w:trHeight w:val="353"/>
          <w:tblHeader/>
        </w:trPr>
        <w:tc>
          <w:tcPr>
            <w:tcW w:w="1413" w:type="dxa"/>
            <w:vAlign w:val="center"/>
          </w:tcPr>
          <w:p w:rsidR="00071F2B" w:rsidRPr="00304385" w:rsidRDefault="00071F2B" w:rsidP="001B4738">
            <w:pPr>
              <w:keepNext/>
              <w:keepLines/>
              <w:spacing w:beforeLines="60" w:before="144" w:afterLines="60" w:after="144"/>
              <w:contextualSpacing/>
              <w:rPr>
                <w:rFonts w:cs="Times New Roman"/>
                <w:szCs w:val="24"/>
                <w:lang w:eastAsia="en-GB"/>
              </w:rPr>
            </w:pPr>
            <w:r w:rsidRPr="00304385">
              <w:rPr>
                <w:rFonts w:cs="Times New Roman"/>
                <w:sz w:val="20"/>
                <w:szCs w:val="20"/>
                <w:lang w:eastAsia="en-GB"/>
              </w:rPr>
              <w:t xml:space="preserve">Piaserico </w:t>
            </w:r>
            <w:r>
              <w:rPr>
                <w:rFonts w:cs="Times New Roman"/>
                <w:sz w:val="20"/>
                <w:szCs w:val="20"/>
                <w:lang w:eastAsia="en-GB"/>
              </w:rPr>
              <w:t>(</w:t>
            </w:r>
            <w:r w:rsidRPr="00FC7481">
              <w:rPr>
                <w:rFonts w:cs="Times New Roman"/>
                <w:sz w:val="20"/>
                <w:szCs w:val="20"/>
                <w:lang w:eastAsia="en-GB"/>
              </w:rPr>
              <w:t xml:space="preserve">2016) </w:t>
            </w:r>
            <w:r w:rsidR="00FB1688">
              <w:rPr>
                <w:rFonts w:cs="Times New Roman"/>
                <w:noProof/>
                <w:sz w:val="20"/>
                <w:szCs w:val="20"/>
                <w:lang w:eastAsia="en-GB"/>
              </w:rPr>
              <w:t>(</w:t>
            </w:r>
            <w:r w:rsidR="001B4738">
              <w:rPr>
                <w:rFonts w:cs="Times New Roman"/>
                <w:noProof/>
                <w:sz w:val="20"/>
                <w:szCs w:val="20"/>
                <w:lang w:eastAsia="en-GB"/>
              </w:rPr>
              <w:t>35</w:t>
            </w:r>
            <w:r w:rsidR="00FB1688">
              <w:rPr>
                <w:rFonts w:cs="Times New Roman"/>
                <w:noProof/>
                <w:sz w:val="20"/>
                <w:szCs w:val="20"/>
                <w:lang w:eastAsia="en-GB"/>
              </w:rPr>
              <w:t>)</w:t>
            </w:r>
          </w:p>
        </w:tc>
        <w:tc>
          <w:tcPr>
            <w:tcW w:w="1134" w:type="dxa"/>
            <w:vAlign w:val="center"/>
          </w:tcPr>
          <w:p w:rsidR="00071F2B" w:rsidRPr="00304385" w:rsidRDefault="00891E82" w:rsidP="00071F2B">
            <w:pPr>
              <w:keepNext/>
              <w:keepLines/>
              <w:autoSpaceDE w:val="0"/>
              <w:autoSpaceDN w:val="0"/>
              <w:adjustRightInd w:val="0"/>
              <w:spacing w:beforeLines="60" w:before="144" w:afterLines="60" w:after="144"/>
              <w:contextualSpacing/>
              <w:jc w:val="center"/>
              <w:rPr>
                <w:rFonts w:cs="Calibri"/>
                <w:sz w:val="20"/>
                <w:szCs w:val="20"/>
                <w:lang w:eastAsia="en-GB"/>
              </w:rPr>
            </w:pPr>
            <w:r>
              <w:rPr>
                <w:rFonts w:cs="Calibri"/>
                <w:sz w:val="20"/>
                <w:szCs w:val="20"/>
                <w:lang w:eastAsia="en-GB"/>
              </w:rPr>
              <w:t>CPP</w:t>
            </w:r>
          </w:p>
        </w:tc>
        <w:tc>
          <w:tcPr>
            <w:tcW w:w="1701" w:type="dxa"/>
            <w:vAlign w:val="center"/>
          </w:tcPr>
          <w:p w:rsidR="00071F2B" w:rsidRPr="00304385" w:rsidRDefault="00071F2B" w:rsidP="00071F2B">
            <w:pPr>
              <w:keepNext/>
              <w:keepLines/>
              <w:autoSpaceDE w:val="0"/>
              <w:autoSpaceDN w:val="0"/>
              <w:adjustRightInd w:val="0"/>
              <w:spacing w:beforeLines="60" w:before="144" w:afterLines="60" w:after="144"/>
              <w:contextualSpacing/>
              <w:jc w:val="center"/>
              <w:rPr>
                <w:rFonts w:cs="Calibri"/>
                <w:sz w:val="20"/>
                <w:szCs w:val="20"/>
                <w:lang w:eastAsia="en-GB"/>
              </w:rPr>
            </w:pPr>
            <w:r w:rsidRPr="00304385">
              <w:rPr>
                <w:rFonts w:cs="Calibri"/>
                <w:sz w:val="20"/>
                <w:szCs w:val="20"/>
                <w:lang w:eastAsia="en-GB"/>
              </w:rPr>
              <w:t>Italy (no date)</w:t>
            </w:r>
          </w:p>
        </w:tc>
        <w:tc>
          <w:tcPr>
            <w:tcW w:w="1134" w:type="dxa"/>
            <w:vAlign w:val="center"/>
          </w:tcPr>
          <w:p w:rsidR="00071F2B" w:rsidRPr="00304385" w:rsidRDefault="00071F2B" w:rsidP="00071F2B">
            <w:pPr>
              <w:keepNext/>
              <w:keepLines/>
              <w:autoSpaceDE w:val="0"/>
              <w:autoSpaceDN w:val="0"/>
              <w:adjustRightInd w:val="0"/>
              <w:spacing w:beforeLines="60" w:before="144" w:afterLines="60" w:after="144"/>
              <w:contextualSpacing/>
              <w:jc w:val="center"/>
              <w:rPr>
                <w:rFonts w:cs="Calibri"/>
                <w:sz w:val="20"/>
                <w:szCs w:val="20"/>
                <w:lang w:eastAsia="en-GB"/>
              </w:rPr>
            </w:pPr>
            <w:r w:rsidRPr="00304385">
              <w:rPr>
                <w:rFonts w:cs="Calibri"/>
                <w:sz w:val="20"/>
                <w:szCs w:val="20"/>
                <w:lang w:eastAsia="en-GB"/>
              </w:rPr>
              <w:t>Moderate</w:t>
            </w:r>
          </w:p>
        </w:tc>
        <w:tc>
          <w:tcPr>
            <w:tcW w:w="850" w:type="dxa"/>
            <w:vAlign w:val="center"/>
          </w:tcPr>
          <w:p w:rsidR="00071F2B" w:rsidRPr="00304385" w:rsidRDefault="00071F2B" w:rsidP="00071F2B">
            <w:pPr>
              <w:keepNext/>
              <w:keepLines/>
              <w:autoSpaceDE w:val="0"/>
              <w:autoSpaceDN w:val="0"/>
              <w:adjustRightInd w:val="0"/>
              <w:spacing w:beforeLines="60" w:before="144" w:afterLines="60" w:after="144"/>
              <w:contextualSpacing/>
              <w:jc w:val="center"/>
              <w:rPr>
                <w:rFonts w:cs="Calibri"/>
                <w:sz w:val="20"/>
                <w:szCs w:val="20"/>
                <w:lang w:eastAsia="en-GB"/>
              </w:rPr>
            </w:pPr>
            <w:r w:rsidRPr="00304385">
              <w:rPr>
                <w:rFonts w:cs="Calibri"/>
                <w:sz w:val="20"/>
                <w:szCs w:val="20"/>
                <w:lang w:eastAsia="en-GB"/>
              </w:rPr>
              <w:t>298</w:t>
            </w:r>
          </w:p>
        </w:tc>
        <w:tc>
          <w:tcPr>
            <w:tcW w:w="1524" w:type="dxa"/>
            <w:vAlign w:val="center"/>
          </w:tcPr>
          <w:p w:rsidR="00071F2B" w:rsidRPr="00304385" w:rsidRDefault="00071F2B" w:rsidP="00071F2B">
            <w:pPr>
              <w:keepNext/>
              <w:keepLines/>
              <w:autoSpaceDE w:val="0"/>
              <w:autoSpaceDN w:val="0"/>
              <w:adjustRightInd w:val="0"/>
              <w:spacing w:beforeLines="60" w:before="144" w:afterLines="60" w:after="144"/>
              <w:contextualSpacing/>
              <w:jc w:val="center"/>
              <w:rPr>
                <w:rFonts w:cs="Calibri"/>
                <w:sz w:val="20"/>
                <w:szCs w:val="20"/>
                <w:lang w:eastAsia="en-GB"/>
              </w:rPr>
            </w:pPr>
            <w:r w:rsidRPr="00304385">
              <w:rPr>
                <w:rFonts w:cs="Calibri"/>
                <w:sz w:val="20"/>
                <w:szCs w:val="20"/>
                <w:lang w:eastAsia="en-GB"/>
              </w:rPr>
              <w:t>PASI ≥ 15</w:t>
            </w:r>
          </w:p>
        </w:tc>
        <w:tc>
          <w:tcPr>
            <w:tcW w:w="1595" w:type="dxa"/>
            <w:vAlign w:val="center"/>
          </w:tcPr>
          <w:p w:rsidR="00071F2B" w:rsidRPr="00304385" w:rsidRDefault="00071F2B" w:rsidP="00071F2B">
            <w:pPr>
              <w:keepNext/>
              <w:keepLines/>
              <w:autoSpaceDE w:val="0"/>
              <w:autoSpaceDN w:val="0"/>
              <w:adjustRightInd w:val="0"/>
              <w:spacing w:beforeLines="60" w:before="144" w:afterLines="60" w:after="144"/>
              <w:contextualSpacing/>
              <w:jc w:val="center"/>
              <w:rPr>
                <w:rFonts w:cs="Calibri"/>
                <w:sz w:val="20"/>
                <w:szCs w:val="20"/>
                <w:lang w:eastAsia="en-GB"/>
              </w:rPr>
            </w:pPr>
            <w:r w:rsidRPr="00304385">
              <w:rPr>
                <w:rFonts w:cs="Calibri"/>
                <w:sz w:val="20"/>
                <w:szCs w:val="20"/>
                <w:lang w:eastAsia="en-GB"/>
              </w:rPr>
              <w:t>31%</w:t>
            </w:r>
          </w:p>
        </w:tc>
      </w:tr>
      <w:tr w:rsidR="00071F2B" w:rsidRPr="00304385" w:rsidTr="00071F2B">
        <w:trPr>
          <w:cantSplit/>
          <w:trHeight w:val="353"/>
          <w:tblHeader/>
        </w:trPr>
        <w:tc>
          <w:tcPr>
            <w:tcW w:w="1413" w:type="dxa"/>
            <w:vAlign w:val="center"/>
          </w:tcPr>
          <w:p w:rsidR="00071F2B" w:rsidRPr="00304385" w:rsidRDefault="00071F2B" w:rsidP="001B4738">
            <w:pPr>
              <w:keepNext/>
              <w:keepLines/>
              <w:spacing w:beforeLines="60" w:before="144" w:afterLines="60" w:after="144"/>
              <w:contextualSpacing/>
              <w:rPr>
                <w:rFonts w:cs="Times New Roman"/>
                <w:szCs w:val="24"/>
                <w:lang w:eastAsia="en-GB"/>
              </w:rPr>
            </w:pPr>
            <w:r w:rsidRPr="00304385">
              <w:rPr>
                <w:rFonts w:cs="Times New Roman"/>
                <w:sz w:val="20"/>
                <w:szCs w:val="20"/>
                <w:lang w:eastAsia="en-GB"/>
              </w:rPr>
              <w:t xml:space="preserve">Langenbruc </w:t>
            </w:r>
            <w:r>
              <w:rPr>
                <w:rFonts w:cs="Times New Roman"/>
                <w:sz w:val="20"/>
                <w:szCs w:val="20"/>
                <w:lang w:eastAsia="en-GB"/>
              </w:rPr>
              <w:t>(</w:t>
            </w:r>
            <w:r w:rsidRPr="00FC7481">
              <w:rPr>
                <w:rFonts w:cs="Times New Roman"/>
                <w:sz w:val="20"/>
                <w:szCs w:val="20"/>
                <w:lang w:eastAsia="en-GB"/>
              </w:rPr>
              <w:t xml:space="preserve">2016) </w:t>
            </w:r>
            <w:r w:rsidR="00FB1688">
              <w:rPr>
                <w:rFonts w:cs="Times New Roman"/>
                <w:noProof/>
                <w:sz w:val="20"/>
                <w:szCs w:val="20"/>
                <w:lang w:eastAsia="en-GB"/>
              </w:rPr>
              <w:t>(</w:t>
            </w:r>
            <w:r w:rsidR="001B4738">
              <w:rPr>
                <w:rFonts w:cs="Times New Roman"/>
                <w:noProof/>
                <w:sz w:val="20"/>
                <w:szCs w:val="20"/>
                <w:lang w:eastAsia="en-GB"/>
              </w:rPr>
              <w:t>36</w:t>
            </w:r>
            <w:r w:rsidR="00FB1688">
              <w:rPr>
                <w:rFonts w:cs="Times New Roman"/>
                <w:noProof/>
                <w:sz w:val="20"/>
                <w:szCs w:val="20"/>
                <w:lang w:eastAsia="en-GB"/>
              </w:rPr>
              <w:t>)</w:t>
            </w:r>
          </w:p>
        </w:tc>
        <w:tc>
          <w:tcPr>
            <w:tcW w:w="1134" w:type="dxa"/>
            <w:vAlign w:val="center"/>
          </w:tcPr>
          <w:p w:rsidR="00071F2B" w:rsidRPr="00304385" w:rsidRDefault="00071F2B" w:rsidP="00071F2B">
            <w:pPr>
              <w:keepNext/>
              <w:keepLines/>
              <w:autoSpaceDE w:val="0"/>
              <w:autoSpaceDN w:val="0"/>
              <w:adjustRightInd w:val="0"/>
              <w:spacing w:beforeLines="60" w:before="144" w:afterLines="60" w:after="144"/>
              <w:contextualSpacing/>
              <w:jc w:val="center"/>
              <w:rPr>
                <w:rFonts w:cs="Calibri"/>
                <w:sz w:val="20"/>
                <w:szCs w:val="20"/>
                <w:lang w:eastAsia="en-GB"/>
              </w:rPr>
            </w:pPr>
            <w:r w:rsidRPr="00304385">
              <w:rPr>
                <w:rFonts w:cs="Calibri"/>
                <w:sz w:val="20"/>
                <w:szCs w:val="20"/>
                <w:lang w:eastAsia="en-GB"/>
              </w:rPr>
              <w:t>All psoriasis</w:t>
            </w:r>
          </w:p>
        </w:tc>
        <w:tc>
          <w:tcPr>
            <w:tcW w:w="1701" w:type="dxa"/>
            <w:vAlign w:val="center"/>
          </w:tcPr>
          <w:p w:rsidR="00071F2B" w:rsidRPr="00304385" w:rsidRDefault="00071F2B" w:rsidP="00071F2B">
            <w:pPr>
              <w:keepNext/>
              <w:keepLines/>
              <w:autoSpaceDE w:val="0"/>
              <w:autoSpaceDN w:val="0"/>
              <w:adjustRightInd w:val="0"/>
              <w:spacing w:beforeLines="60" w:before="144" w:afterLines="60" w:after="144"/>
              <w:contextualSpacing/>
              <w:jc w:val="center"/>
              <w:rPr>
                <w:rFonts w:cs="Calibri"/>
                <w:sz w:val="20"/>
                <w:szCs w:val="20"/>
                <w:lang w:eastAsia="en-GB"/>
              </w:rPr>
            </w:pPr>
            <w:r w:rsidRPr="00304385">
              <w:rPr>
                <w:rFonts w:cs="Calibri"/>
                <w:sz w:val="20"/>
                <w:szCs w:val="20"/>
                <w:lang w:eastAsia="en-GB"/>
              </w:rPr>
              <w:t>Germany (2014)</w:t>
            </w:r>
          </w:p>
        </w:tc>
        <w:tc>
          <w:tcPr>
            <w:tcW w:w="1134" w:type="dxa"/>
            <w:vAlign w:val="center"/>
          </w:tcPr>
          <w:p w:rsidR="00071F2B" w:rsidRPr="00304385" w:rsidRDefault="00071F2B" w:rsidP="00071F2B">
            <w:pPr>
              <w:keepNext/>
              <w:keepLines/>
              <w:autoSpaceDE w:val="0"/>
              <w:autoSpaceDN w:val="0"/>
              <w:adjustRightInd w:val="0"/>
              <w:spacing w:beforeLines="60" w:before="144" w:afterLines="60" w:after="144"/>
              <w:contextualSpacing/>
              <w:jc w:val="center"/>
              <w:rPr>
                <w:rFonts w:cs="Calibri"/>
                <w:sz w:val="20"/>
                <w:szCs w:val="20"/>
                <w:lang w:eastAsia="en-GB"/>
              </w:rPr>
            </w:pPr>
            <w:r w:rsidRPr="00304385">
              <w:rPr>
                <w:rFonts w:cs="Calibri"/>
                <w:sz w:val="20"/>
                <w:szCs w:val="20"/>
                <w:lang w:eastAsia="en-GB"/>
              </w:rPr>
              <w:t xml:space="preserve">Low </w:t>
            </w:r>
          </w:p>
        </w:tc>
        <w:tc>
          <w:tcPr>
            <w:tcW w:w="850" w:type="dxa"/>
            <w:vAlign w:val="center"/>
          </w:tcPr>
          <w:p w:rsidR="00071F2B" w:rsidRPr="00304385" w:rsidRDefault="00071F2B" w:rsidP="00071F2B">
            <w:pPr>
              <w:keepNext/>
              <w:keepLines/>
              <w:autoSpaceDE w:val="0"/>
              <w:autoSpaceDN w:val="0"/>
              <w:adjustRightInd w:val="0"/>
              <w:spacing w:beforeLines="60" w:before="144" w:afterLines="60" w:after="144"/>
              <w:contextualSpacing/>
              <w:jc w:val="center"/>
              <w:rPr>
                <w:rFonts w:cs="Calibri"/>
                <w:sz w:val="20"/>
                <w:szCs w:val="20"/>
                <w:lang w:eastAsia="en-GB"/>
              </w:rPr>
            </w:pPr>
            <w:r w:rsidRPr="00304385">
              <w:rPr>
                <w:rFonts w:cs="Calibri"/>
                <w:sz w:val="20"/>
                <w:szCs w:val="20"/>
                <w:lang w:eastAsia="en-GB"/>
              </w:rPr>
              <w:t>1,265</w:t>
            </w:r>
          </w:p>
        </w:tc>
        <w:tc>
          <w:tcPr>
            <w:tcW w:w="1524" w:type="dxa"/>
            <w:vAlign w:val="center"/>
          </w:tcPr>
          <w:p w:rsidR="00071F2B" w:rsidRPr="00304385" w:rsidRDefault="00071F2B" w:rsidP="00071F2B">
            <w:pPr>
              <w:keepNext/>
              <w:keepLines/>
              <w:autoSpaceDE w:val="0"/>
              <w:autoSpaceDN w:val="0"/>
              <w:adjustRightInd w:val="0"/>
              <w:spacing w:beforeLines="60" w:before="144" w:afterLines="60" w:after="144"/>
              <w:contextualSpacing/>
              <w:jc w:val="center"/>
              <w:rPr>
                <w:rFonts w:cs="Calibri"/>
                <w:sz w:val="20"/>
                <w:szCs w:val="20"/>
                <w:lang w:eastAsia="en-GB"/>
              </w:rPr>
            </w:pPr>
            <w:r w:rsidRPr="00304385">
              <w:rPr>
                <w:rFonts w:cs="Calibri"/>
                <w:sz w:val="20"/>
                <w:szCs w:val="20"/>
                <w:lang w:eastAsia="en-GB"/>
              </w:rPr>
              <w:t>PASI &gt; 20</w:t>
            </w:r>
          </w:p>
        </w:tc>
        <w:tc>
          <w:tcPr>
            <w:tcW w:w="1595" w:type="dxa"/>
            <w:vAlign w:val="center"/>
          </w:tcPr>
          <w:p w:rsidR="00071F2B" w:rsidRPr="00304385" w:rsidRDefault="00071F2B" w:rsidP="00071F2B">
            <w:pPr>
              <w:keepNext/>
              <w:keepLines/>
              <w:autoSpaceDE w:val="0"/>
              <w:autoSpaceDN w:val="0"/>
              <w:adjustRightInd w:val="0"/>
              <w:spacing w:beforeLines="60" w:before="144" w:afterLines="60" w:after="144"/>
              <w:contextualSpacing/>
              <w:jc w:val="center"/>
              <w:rPr>
                <w:rFonts w:cs="Calibri"/>
                <w:sz w:val="20"/>
                <w:szCs w:val="20"/>
                <w:lang w:eastAsia="en-GB"/>
              </w:rPr>
            </w:pPr>
            <w:r w:rsidRPr="00304385">
              <w:rPr>
                <w:rFonts w:cs="Calibri"/>
                <w:sz w:val="20"/>
                <w:szCs w:val="20"/>
                <w:lang w:eastAsia="en-GB"/>
              </w:rPr>
              <w:t>9%</w:t>
            </w:r>
          </w:p>
        </w:tc>
      </w:tr>
      <w:tr w:rsidR="00071F2B" w:rsidRPr="00304385" w:rsidTr="00071F2B">
        <w:trPr>
          <w:cantSplit/>
          <w:trHeight w:val="353"/>
          <w:tblHeader/>
        </w:trPr>
        <w:tc>
          <w:tcPr>
            <w:tcW w:w="1413" w:type="dxa"/>
            <w:vAlign w:val="center"/>
          </w:tcPr>
          <w:p w:rsidR="00071F2B" w:rsidRPr="00304385" w:rsidRDefault="00071F2B" w:rsidP="001B4738">
            <w:pPr>
              <w:keepNext/>
              <w:keepLines/>
              <w:spacing w:beforeLines="60" w:before="144" w:afterLines="60" w:after="144"/>
              <w:contextualSpacing/>
              <w:rPr>
                <w:rFonts w:cs="Times New Roman"/>
                <w:szCs w:val="24"/>
                <w:lang w:eastAsia="en-GB"/>
              </w:rPr>
            </w:pPr>
            <w:r w:rsidRPr="00304385">
              <w:rPr>
                <w:rFonts w:eastAsia="Times New Roman" w:cs="Times New Roman"/>
                <w:color w:val="000000"/>
                <w:sz w:val="20"/>
                <w:szCs w:val="20"/>
                <w:lang w:eastAsia="en-GB"/>
              </w:rPr>
              <w:t xml:space="preserve">Eder </w:t>
            </w:r>
            <w:r>
              <w:rPr>
                <w:rFonts w:eastAsia="Times New Roman" w:cs="Times New Roman"/>
                <w:color w:val="000000"/>
                <w:sz w:val="20"/>
                <w:szCs w:val="20"/>
                <w:lang w:eastAsia="en-GB"/>
              </w:rPr>
              <w:t>(</w:t>
            </w:r>
            <w:r w:rsidRPr="00304385">
              <w:rPr>
                <w:rFonts w:eastAsia="Times New Roman" w:cs="Times New Roman"/>
                <w:color w:val="000000"/>
                <w:sz w:val="20"/>
                <w:szCs w:val="20"/>
                <w:lang w:eastAsia="en-GB"/>
              </w:rPr>
              <w:t>2016</w:t>
            </w:r>
            <w:r>
              <w:rPr>
                <w:rFonts w:eastAsia="Times New Roman" w:cs="Times New Roman"/>
                <w:color w:val="000000"/>
                <w:sz w:val="20"/>
                <w:szCs w:val="20"/>
                <w:lang w:eastAsia="en-GB"/>
              </w:rPr>
              <w:t xml:space="preserve">) </w:t>
            </w:r>
            <w:r w:rsidR="00FB1688">
              <w:rPr>
                <w:rFonts w:eastAsia="Times New Roman" w:cs="Times New Roman"/>
                <w:noProof/>
                <w:color w:val="000000"/>
                <w:sz w:val="20"/>
                <w:szCs w:val="20"/>
                <w:lang w:eastAsia="en-GB"/>
              </w:rPr>
              <w:t>(</w:t>
            </w:r>
            <w:r w:rsidR="001B4738">
              <w:rPr>
                <w:rFonts w:eastAsia="Times New Roman" w:cs="Times New Roman"/>
                <w:noProof/>
                <w:color w:val="000000"/>
                <w:sz w:val="20"/>
                <w:szCs w:val="20"/>
                <w:lang w:eastAsia="en-GB"/>
              </w:rPr>
              <w:t>37</w:t>
            </w:r>
            <w:r w:rsidR="00FB1688">
              <w:rPr>
                <w:rFonts w:eastAsia="Times New Roman" w:cs="Times New Roman"/>
                <w:noProof/>
                <w:color w:val="000000"/>
                <w:sz w:val="20"/>
                <w:szCs w:val="20"/>
                <w:lang w:eastAsia="en-GB"/>
              </w:rPr>
              <w:t>)</w:t>
            </w:r>
          </w:p>
        </w:tc>
        <w:tc>
          <w:tcPr>
            <w:tcW w:w="1134" w:type="dxa"/>
            <w:vAlign w:val="center"/>
          </w:tcPr>
          <w:p w:rsidR="00071F2B" w:rsidRPr="00304385" w:rsidRDefault="00071F2B" w:rsidP="00071F2B">
            <w:pPr>
              <w:keepNext/>
              <w:keepLines/>
              <w:autoSpaceDE w:val="0"/>
              <w:autoSpaceDN w:val="0"/>
              <w:adjustRightInd w:val="0"/>
              <w:spacing w:beforeLines="60" w:before="144" w:afterLines="60" w:after="144"/>
              <w:contextualSpacing/>
              <w:jc w:val="center"/>
              <w:rPr>
                <w:rFonts w:cs="Calibri"/>
                <w:sz w:val="20"/>
                <w:szCs w:val="20"/>
                <w:lang w:eastAsia="en-GB"/>
              </w:rPr>
            </w:pPr>
            <w:r w:rsidRPr="00304385">
              <w:rPr>
                <w:rFonts w:cs="Calibri"/>
                <w:sz w:val="20"/>
                <w:szCs w:val="20"/>
                <w:lang w:eastAsia="en-GB"/>
              </w:rPr>
              <w:t>All psoriasis</w:t>
            </w:r>
          </w:p>
        </w:tc>
        <w:tc>
          <w:tcPr>
            <w:tcW w:w="1701" w:type="dxa"/>
            <w:vAlign w:val="center"/>
          </w:tcPr>
          <w:p w:rsidR="00071F2B" w:rsidRPr="00304385" w:rsidRDefault="00071F2B" w:rsidP="00071F2B">
            <w:pPr>
              <w:keepNext/>
              <w:keepLines/>
              <w:autoSpaceDE w:val="0"/>
              <w:autoSpaceDN w:val="0"/>
              <w:adjustRightInd w:val="0"/>
              <w:spacing w:beforeLines="60" w:before="144" w:afterLines="60" w:after="144"/>
              <w:contextualSpacing/>
              <w:jc w:val="center"/>
              <w:rPr>
                <w:rFonts w:cs="Calibri"/>
                <w:sz w:val="20"/>
                <w:szCs w:val="20"/>
                <w:lang w:eastAsia="en-GB"/>
              </w:rPr>
            </w:pPr>
            <w:r w:rsidRPr="00304385">
              <w:rPr>
                <w:rFonts w:cs="Calibri"/>
                <w:sz w:val="20"/>
                <w:szCs w:val="20"/>
                <w:lang w:eastAsia="en-GB"/>
              </w:rPr>
              <w:t xml:space="preserve">Canada </w:t>
            </w:r>
            <w:r w:rsidRPr="00304385">
              <w:rPr>
                <w:rFonts w:cs="Calibri"/>
                <w:sz w:val="20"/>
                <w:szCs w:val="20"/>
                <w:lang w:eastAsia="en-GB"/>
              </w:rPr>
              <w:br/>
              <w:t>(2006-2012)</w:t>
            </w:r>
          </w:p>
        </w:tc>
        <w:tc>
          <w:tcPr>
            <w:tcW w:w="1134" w:type="dxa"/>
            <w:vAlign w:val="center"/>
          </w:tcPr>
          <w:p w:rsidR="00071F2B" w:rsidRPr="00304385" w:rsidRDefault="00071F2B" w:rsidP="00071F2B">
            <w:pPr>
              <w:keepNext/>
              <w:keepLines/>
              <w:autoSpaceDE w:val="0"/>
              <w:autoSpaceDN w:val="0"/>
              <w:adjustRightInd w:val="0"/>
              <w:spacing w:beforeLines="60" w:before="144" w:afterLines="60" w:after="144"/>
              <w:contextualSpacing/>
              <w:jc w:val="center"/>
              <w:rPr>
                <w:rFonts w:cs="Calibri"/>
                <w:sz w:val="20"/>
                <w:szCs w:val="20"/>
                <w:lang w:eastAsia="en-GB"/>
              </w:rPr>
            </w:pPr>
            <w:r w:rsidRPr="00304385">
              <w:rPr>
                <w:rFonts w:cs="Calibri"/>
                <w:sz w:val="20"/>
                <w:szCs w:val="20"/>
                <w:lang w:eastAsia="en-GB"/>
              </w:rPr>
              <w:t>Low</w:t>
            </w:r>
          </w:p>
        </w:tc>
        <w:tc>
          <w:tcPr>
            <w:tcW w:w="850" w:type="dxa"/>
            <w:vAlign w:val="center"/>
          </w:tcPr>
          <w:p w:rsidR="00071F2B" w:rsidRPr="00304385" w:rsidRDefault="00071F2B" w:rsidP="00071F2B">
            <w:pPr>
              <w:keepNext/>
              <w:keepLines/>
              <w:autoSpaceDE w:val="0"/>
              <w:autoSpaceDN w:val="0"/>
              <w:adjustRightInd w:val="0"/>
              <w:spacing w:beforeLines="60" w:before="144" w:afterLines="60" w:after="144"/>
              <w:contextualSpacing/>
              <w:jc w:val="center"/>
              <w:rPr>
                <w:rFonts w:cs="Calibri"/>
                <w:sz w:val="20"/>
                <w:szCs w:val="20"/>
                <w:lang w:eastAsia="en-GB"/>
              </w:rPr>
            </w:pPr>
            <w:r w:rsidRPr="00304385">
              <w:rPr>
                <w:rFonts w:cs="Calibri"/>
                <w:sz w:val="20"/>
                <w:szCs w:val="20"/>
                <w:lang w:eastAsia="en-GB"/>
              </w:rPr>
              <w:t>464</w:t>
            </w:r>
          </w:p>
        </w:tc>
        <w:tc>
          <w:tcPr>
            <w:tcW w:w="1524" w:type="dxa"/>
            <w:vAlign w:val="center"/>
          </w:tcPr>
          <w:p w:rsidR="00071F2B" w:rsidRPr="00304385" w:rsidRDefault="00071F2B" w:rsidP="00071F2B">
            <w:pPr>
              <w:keepNext/>
              <w:keepLines/>
              <w:autoSpaceDE w:val="0"/>
              <w:autoSpaceDN w:val="0"/>
              <w:adjustRightInd w:val="0"/>
              <w:spacing w:beforeLines="60" w:before="144" w:afterLines="60" w:after="144"/>
              <w:contextualSpacing/>
              <w:jc w:val="center"/>
              <w:rPr>
                <w:rFonts w:cs="Calibri"/>
                <w:sz w:val="20"/>
                <w:szCs w:val="20"/>
                <w:lang w:eastAsia="en-GB"/>
              </w:rPr>
            </w:pPr>
            <w:r w:rsidRPr="00304385">
              <w:rPr>
                <w:rFonts w:cs="Calibri"/>
                <w:sz w:val="20"/>
                <w:szCs w:val="20"/>
                <w:lang w:eastAsia="en-GB"/>
              </w:rPr>
              <w:t>PASI &gt; 20</w:t>
            </w:r>
          </w:p>
        </w:tc>
        <w:tc>
          <w:tcPr>
            <w:tcW w:w="1595" w:type="dxa"/>
            <w:vAlign w:val="center"/>
          </w:tcPr>
          <w:p w:rsidR="00071F2B" w:rsidRPr="00304385" w:rsidRDefault="00071F2B" w:rsidP="00071F2B">
            <w:pPr>
              <w:keepNext/>
              <w:keepLines/>
              <w:autoSpaceDE w:val="0"/>
              <w:autoSpaceDN w:val="0"/>
              <w:adjustRightInd w:val="0"/>
              <w:spacing w:beforeLines="60" w:before="144" w:afterLines="60" w:after="144"/>
              <w:contextualSpacing/>
              <w:jc w:val="center"/>
              <w:rPr>
                <w:rFonts w:cs="Calibri"/>
                <w:sz w:val="20"/>
                <w:szCs w:val="20"/>
                <w:lang w:eastAsia="en-GB"/>
              </w:rPr>
            </w:pPr>
            <w:r w:rsidRPr="00304385">
              <w:rPr>
                <w:rFonts w:cs="Calibri"/>
                <w:sz w:val="20"/>
                <w:szCs w:val="20"/>
                <w:lang w:eastAsia="en-GB"/>
              </w:rPr>
              <w:t>2%</w:t>
            </w:r>
          </w:p>
        </w:tc>
      </w:tr>
      <w:tr w:rsidR="00071F2B" w:rsidRPr="00304385" w:rsidTr="00071F2B">
        <w:trPr>
          <w:cantSplit/>
          <w:trHeight w:val="353"/>
          <w:tblHeader/>
        </w:trPr>
        <w:tc>
          <w:tcPr>
            <w:tcW w:w="1413" w:type="dxa"/>
            <w:vAlign w:val="center"/>
          </w:tcPr>
          <w:p w:rsidR="00071F2B" w:rsidRPr="00304385" w:rsidRDefault="00071F2B" w:rsidP="001B4738">
            <w:pPr>
              <w:keepNext/>
              <w:keepLines/>
              <w:spacing w:beforeLines="60" w:before="144" w:afterLines="60" w:after="144"/>
              <w:contextualSpacing/>
              <w:rPr>
                <w:rFonts w:eastAsia="Times New Roman" w:cs="Times New Roman"/>
                <w:color w:val="000000"/>
                <w:sz w:val="20"/>
                <w:szCs w:val="20"/>
                <w:lang w:eastAsia="en-GB"/>
              </w:rPr>
            </w:pPr>
            <w:r>
              <w:rPr>
                <w:rFonts w:cs="Times New Roman"/>
                <w:noProof/>
                <w:sz w:val="20"/>
                <w:szCs w:val="20"/>
                <w:lang w:eastAsia="en-GB"/>
              </w:rPr>
              <w:t xml:space="preserve">Augustin (2008) </w:t>
            </w:r>
            <w:r w:rsidR="00FB1688">
              <w:rPr>
                <w:rFonts w:cs="Times New Roman"/>
                <w:noProof/>
                <w:sz w:val="20"/>
                <w:szCs w:val="20"/>
                <w:lang w:eastAsia="en-GB"/>
              </w:rPr>
              <w:t>(</w:t>
            </w:r>
            <w:r w:rsidR="001B4738">
              <w:rPr>
                <w:rFonts w:cs="Times New Roman"/>
                <w:noProof/>
                <w:sz w:val="20"/>
                <w:szCs w:val="20"/>
                <w:lang w:eastAsia="en-GB"/>
              </w:rPr>
              <w:t>33</w:t>
            </w:r>
            <w:r w:rsidR="00FB1688">
              <w:rPr>
                <w:rFonts w:cs="Times New Roman"/>
                <w:noProof/>
                <w:sz w:val="20"/>
                <w:szCs w:val="20"/>
                <w:lang w:eastAsia="en-GB"/>
              </w:rPr>
              <w:t>)</w:t>
            </w:r>
          </w:p>
        </w:tc>
        <w:tc>
          <w:tcPr>
            <w:tcW w:w="1134" w:type="dxa"/>
            <w:vAlign w:val="center"/>
          </w:tcPr>
          <w:p w:rsidR="00071F2B" w:rsidRPr="00304385" w:rsidRDefault="00891E82" w:rsidP="00071F2B">
            <w:pPr>
              <w:keepNext/>
              <w:keepLines/>
              <w:autoSpaceDE w:val="0"/>
              <w:autoSpaceDN w:val="0"/>
              <w:adjustRightInd w:val="0"/>
              <w:spacing w:beforeLines="60" w:before="144" w:afterLines="60" w:after="144"/>
              <w:contextualSpacing/>
              <w:jc w:val="center"/>
              <w:rPr>
                <w:rFonts w:cs="Calibri"/>
                <w:sz w:val="20"/>
                <w:szCs w:val="20"/>
                <w:lang w:eastAsia="en-GB"/>
              </w:rPr>
            </w:pPr>
            <w:r>
              <w:rPr>
                <w:rFonts w:cs="Calibri"/>
                <w:sz w:val="20"/>
                <w:szCs w:val="20"/>
                <w:lang w:eastAsia="en-GB"/>
              </w:rPr>
              <w:t>CPP</w:t>
            </w:r>
          </w:p>
        </w:tc>
        <w:tc>
          <w:tcPr>
            <w:tcW w:w="1701" w:type="dxa"/>
            <w:vAlign w:val="center"/>
          </w:tcPr>
          <w:p w:rsidR="00071F2B" w:rsidRPr="00304385" w:rsidRDefault="00071F2B" w:rsidP="00071F2B">
            <w:pPr>
              <w:keepNext/>
              <w:keepLines/>
              <w:autoSpaceDE w:val="0"/>
              <w:autoSpaceDN w:val="0"/>
              <w:adjustRightInd w:val="0"/>
              <w:spacing w:beforeLines="60" w:before="144" w:afterLines="60" w:after="144"/>
              <w:contextualSpacing/>
              <w:jc w:val="center"/>
              <w:rPr>
                <w:rFonts w:cs="Calibri"/>
                <w:sz w:val="20"/>
                <w:szCs w:val="20"/>
                <w:lang w:eastAsia="en-GB"/>
              </w:rPr>
            </w:pPr>
            <w:r w:rsidRPr="00304385">
              <w:rPr>
                <w:rFonts w:cs="Calibri"/>
                <w:sz w:val="20"/>
                <w:szCs w:val="20"/>
                <w:lang w:eastAsia="en-GB"/>
              </w:rPr>
              <w:t>Germany (2004-5)</w:t>
            </w:r>
          </w:p>
        </w:tc>
        <w:tc>
          <w:tcPr>
            <w:tcW w:w="1134" w:type="dxa"/>
            <w:vAlign w:val="center"/>
          </w:tcPr>
          <w:p w:rsidR="00071F2B" w:rsidRPr="00304385" w:rsidRDefault="00071F2B" w:rsidP="00071F2B">
            <w:pPr>
              <w:keepNext/>
              <w:keepLines/>
              <w:autoSpaceDE w:val="0"/>
              <w:autoSpaceDN w:val="0"/>
              <w:adjustRightInd w:val="0"/>
              <w:spacing w:beforeLines="60" w:before="144" w:afterLines="60" w:after="144"/>
              <w:contextualSpacing/>
              <w:jc w:val="center"/>
              <w:rPr>
                <w:rFonts w:cs="Calibri"/>
                <w:sz w:val="20"/>
                <w:szCs w:val="20"/>
                <w:lang w:eastAsia="en-GB"/>
              </w:rPr>
            </w:pPr>
            <w:r w:rsidRPr="00304385">
              <w:rPr>
                <w:rFonts w:cs="Calibri"/>
                <w:sz w:val="20"/>
                <w:szCs w:val="20"/>
                <w:lang w:eastAsia="en-GB"/>
              </w:rPr>
              <w:t>Low</w:t>
            </w:r>
          </w:p>
        </w:tc>
        <w:tc>
          <w:tcPr>
            <w:tcW w:w="850" w:type="dxa"/>
            <w:vAlign w:val="center"/>
          </w:tcPr>
          <w:p w:rsidR="00071F2B" w:rsidRPr="00304385" w:rsidRDefault="00071F2B" w:rsidP="00071F2B">
            <w:pPr>
              <w:keepNext/>
              <w:keepLines/>
              <w:autoSpaceDE w:val="0"/>
              <w:autoSpaceDN w:val="0"/>
              <w:adjustRightInd w:val="0"/>
              <w:spacing w:beforeLines="60" w:before="144" w:afterLines="60" w:after="144"/>
              <w:contextualSpacing/>
              <w:jc w:val="center"/>
              <w:rPr>
                <w:rFonts w:cs="Calibri"/>
                <w:sz w:val="20"/>
                <w:szCs w:val="20"/>
                <w:lang w:eastAsia="en-GB"/>
              </w:rPr>
            </w:pPr>
            <w:r w:rsidRPr="00304385">
              <w:rPr>
                <w:rFonts w:cs="Calibri"/>
                <w:sz w:val="20"/>
                <w:szCs w:val="20"/>
                <w:lang w:eastAsia="en-GB"/>
              </w:rPr>
              <w:t>1,511</w:t>
            </w:r>
          </w:p>
        </w:tc>
        <w:tc>
          <w:tcPr>
            <w:tcW w:w="1524" w:type="dxa"/>
            <w:vAlign w:val="center"/>
          </w:tcPr>
          <w:p w:rsidR="00071F2B" w:rsidRPr="00304385" w:rsidRDefault="00071F2B" w:rsidP="00071F2B">
            <w:pPr>
              <w:keepNext/>
              <w:keepLines/>
              <w:autoSpaceDE w:val="0"/>
              <w:autoSpaceDN w:val="0"/>
              <w:adjustRightInd w:val="0"/>
              <w:spacing w:beforeLines="60" w:before="144" w:afterLines="60" w:after="144"/>
              <w:contextualSpacing/>
              <w:jc w:val="center"/>
              <w:rPr>
                <w:rFonts w:cs="Calibri"/>
                <w:sz w:val="20"/>
                <w:szCs w:val="20"/>
                <w:lang w:eastAsia="en-GB"/>
              </w:rPr>
            </w:pPr>
            <w:r w:rsidRPr="00304385">
              <w:rPr>
                <w:rFonts w:cs="Calibri"/>
                <w:sz w:val="20"/>
                <w:szCs w:val="20"/>
                <w:lang w:eastAsia="en-GB"/>
              </w:rPr>
              <w:t>PASI &gt; 20</w:t>
            </w:r>
          </w:p>
        </w:tc>
        <w:tc>
          <w:tcPr>
            <w:tcW w:w="1595" w:type="dxa"/>
            <w:vAlign w:val="center"/>
          </w:tcPr>
          <w:p w:rsidR="00071F2B" w:rsidRPr="00304385" w:rsidRDefault="00071F2B" w:rsidP="00071F2B">
            <w:pPr>
              <w:keepNext/>
              <w:keepLines/>
              <w:autoSpaceDE w:val="0"/>
              <w:autoSpaceDN w:val="0"/>
              <w:adjustRightInd w:val="0"/>
              <w:spacing w:beforeLines="60" w:before="144" w:afterLines="60" w:after="144"/>
              <w:contextualSpacing/>
              <w:jc w:val="center"/>
              <w:rPr>
                <w:rFonts w:cs="Calibri"/>
                <w:sz w:val="20"/>
                <w:szCs w:val="20"/>
                <w:lang w:eastAsia="en-GB"/>
              </w:rPr>
            </w:pPr>
            <w:r w:rsidRPr="00304385">
              <w:rPr>
                <w:rFonts w:cs="Calibri"/>
                <w:sz w:val="20"/>
                <w:szCs w:val="20"/>
                <w:lang w:eastAsia="en-GB"/>
              </w:rPr>
              <w:t>19.4%</w:t>
            </w:r>
          </w:p>
        </w:tc>
      </w:tr>
      <w:tr w:rsidR="00071F2B" w:rsidRPr="00304385" w:rsidTr="00071F2B">
        <w:trPr>
          <w:cantSplit/>
          <w:trHeight w:val="353"/>
          <w:tblHeader/>
        </w:trPr>
        <w:tc>
          <w:tcPr>
            <w:tcW w:w="1413" w:type="dxa"/>
            <w:vAlign w:val="center"/>
          </w:tcPr>
          <w:p w:rsidR="00071F2B" w:rsidRPr="00304385" w:rsidRDefault="00071F2B" w:rsidP="001B4738">
            <w:pPr>
              <w:keepNext/>
              <w:keepLines/>
              <w:spacing w:beforeLines="60" w:before="144" w:afterLines="60" w:after="144"/>
              <w:contextualSpacing/>
              <w:rPr>
                <w:rFonts w:cs="Times New Roman"/>
                <w:sz w:val="20"/>
                <w:szCs w:val="20"/>
                <w:lang w:eastAsia="en-GB"/>
              </w:rPr>
            </w:pPr>
            <w:r>
              <w:rPr>
                <w:rFonts w:cs="Times New Roman"/>
                <w:noProof/>
                <w:sz w:val="20"/>
                <w:szCs w:val="20"/>
                <w:lang w:eastAsia="en-GB"/>
              </w:rPr>
              <w:t>Jenner(2002</w:t>
            </w:r>
            <w:r w:rsidRPr="00FC7481">
              <w:rPr>
                <w:rFonts w:cs="Times New Roman"/>
                <w:noProof/>
                <w:sz w:val="20"/>
                <w:szCs w:val="20"/>
                <w:lang w:eastAsia="en-GB"/>
              </w:rPr>
              <w:t>)</w:t>
            </w:r>
            <w:r>
              <w:rPr>
                <w:rFonts w:cs="Times New Roman"/>
                <w:noProof/>
                <w:sz w:val="20"/>
                <w:szCs w:val="20"/>
                <w:lang w:eastAsia="en-GB"/>
              </w:rPr>
              <w:t xml:space="preserve"> </w:t>
            </w:r>
            <w:r w:rsidR="00FB1688">
              <w:rPr>
                <w:rFonts w:cs="Times New Roman"/>
                <w:noProof/>
                <w:sz w:val="20"/>
                <w:szCs w:val="20"/>
                <w:lang w:eastAsia="en-GB"/>
              </w:rPr>
              <w:t>(</w:t>
            </w:r>
            <w:r w:rsidR="001B4738">
              <w:rPr>
                <w:rFonts w:cs="Times New Roman"/>
                <w:noProof/>
                <w:sz w:val="20"/>
                <w:szCs w:val="20"/>
                <w:lang w:eastAsia="en-GB"/>
              </w:rPr>
              <w:t>38</w:t>
            </w:r>
            <w:r w:rsidR="00FB1688">
              <w:rPr>
                <w:rFonts w:cs="Times New Roman"/>
                <w:noProof/>
                <w:sz w:val="20"/>
                <w:szCs w:val="20"/>
                <w:lang w:eastAsia="en-GB"/>
              </w:rPr>
              <w:t>)</w:t>
            </w:r>
          </w:p>
        </w:tc>
        <w:tc>
          <w:tcPr>
            <w:tcW w:w="1134" w:type="dxa"/>
            <w:vAlign w:val="center"/>
          </w:tcPr>
          <w:p w:rsidR="00071F2B" w:rsidRPr="00304385" w:rsidRDefault="00071F2B" w:rsidP="00071F2B">
            <w:pPr>
              <w:keepNext/>
              <w:keepLines/>
              <w:autoSpaceDE w:val="0"/>
              <w:autoSpaceDN w:val="0"/>
              <w:adjustRightInd w:val="0"/>
              <w:spacing w:beforeLines="60" w:before="144" w:afterLines="60" w:after="144"/>
              <w:contextualSpacing/>
              <w:jc w:val="center"/>
              <w:rPr>
                <w:rFonts w:cs="Calibri"/>
                <w:sz w:val="20"/>
                <w:szCs w:val="20"/>
                <w:lang w:eastAsia="en-GB"/>
              </w:rPr>
            </w:pPr>
            <w:r w:rsidRPr="00304385">
              <w:rPr>
                <w:rFonts w:cs="Calibri"/>
                <w:sz w:val="20"/>
                <w:szCs w:val="20"/>
                <w:lang w:eastAsia="en-GB"/>
              </w:rPr>
              <w:t>Psoriasis (all)</w:t>
            </w:r>
          </w:p>
        </w:tc>
        <w:tc>
          <w:tcPr>
            <w:tcW w:w="1701" w:type="dxa"/>
            <w:vAlign w:val="center"/>
          </w:tcPr>
          <w:p w:rsidR="00071F2B" w:rsidRPr="00304385" w:rsidRDefault="00071F2B" w:rsidP="00071F2B">
            <w:pPr>
              <w:keepNext/>
              <w:keepLines/>
              <w:autoSpaceDE w:val="0"/>
              <w:autoSpaceDN w:val="0"/>
              <w:adjustRightInd w:val="0"/>
              <w:spacing w:beforeLines="60" w:before="144" w:afterLines="60" w:after="144"/>
              <w:contextualSpacing/>
              <w:jc w:val="center"/>
              <w:rPr>
                <w:rFonts w:cs="Calibri"/>
                <w:sz w:val="20"/>
                <w:szCs w:val="20"/>
                <w:lang w:eastAsia="en-GB"/>
              </w:rPr>
            </w:pPr>
            <w:r w:rsidRPr="00304385">
              <w:rPr>
                <w:rFonts w:cs="Calibri"/>
                <w:sz w:val="20"/>
                <w:szCs w:val="20"/>
                <w:lang w:eastAsia="en-GB"/>
              </w:rPr>
              <w:t>Melbourne, VIC (1997-9)</w:t>
            </w:r>
          </w:p>
        </w:tc>
        <w:tc>
          <w:tcPr>
            <w:tcW w:w="1134" w:type="dxa"/>
            <w:vAlign w:val="center"/>
          </w:tcPr>
          <w:p w:rsidR="00071F2B" w:rsidRPr="00304385" w:rsidRDefault="00071F2B" w:rsidP="00071F2B">
            <w:pPr>
              <w:keepNext/>
              <w:keepLines/>
              <w:autoSpaceDE w:val="0"/>
              <w:autoSpaceDN w:val="0"/>
              <w:adjustRightInd w:val="0"/>
              <w:spacing w:beforeLines="60" w:before="144" w:afterLines="60" w:after="144"/>
              <w:contextualSpacing/>
              <w:jc w:val="center"/>
              <w:rPr>
                <w:rFonts w:cs="Calibri"/>
                <w:sz w:val="20"/>
                <w:szCs w:val="20"/>
                <w:lang w:eastAsia="en-GB"/>
              </w:rPr>
            </w:pPr>
            <w:r w:rsidRPr="00304385">
              <w:rPr>
                <w:rFonts w:cs="Calibri"/>
                <w:sz w:val="20"/>
                <w:szCs w:val="20"/>
                <w:lang w:eastAsia="en-GB"/>
              </w:rPr>
              <w:t>Moderate</w:t>
            </w:r>
          </w:p>
        </w:tc>
        <w:tc>
          <w:tcPr>
            <w:tcW w:w="850" w:type="dxa"/>
            <w:vAlign w:val="center"/>
          </w:tcPr>
          <w:p w:rsidR="00071F2B" w:rsidRPr="00304385" w:rsidRDefault="00071F2B" w:rsidP="00071F2B">
            <w:pPr>
              <w:keepNext/>
              <w:keepLines/>
              <w:autoSpaceDE w:val="0"/>
              <w:autoSpaceDN w:val="0"/>
              <w:adjustRightInd w:val="0"/>
              <w:spacing w:beforeLines="60" w:before="144" w:afterLines="60" w:after="144"/>
              <w:contextualSpacing/>
              <w:jc w:val="center"/>
              <w:rPr>
                <w:rFonts w:cs="Calibri"/>
                <w:sz w:val="20"/>
                <w:szCs w:val="20"/>
                <w:lang w:eastAsia="en-GB"/>
              </w:rPr>
            </w:pPr>
            <w:r w:rsidRPr="00304385">
              <w:rPr>
                <w:rFonts w:cs="Calibri"/>
                <w:sz w:val="20"/>
                <w:szCs w:val="20"/>
                <w:lang w:eastAsia="en-GB"/>
              </w:rPr>
              <w:t>83</w:t>
            </w:r>
          </w:p>
        </w:tc>
        <w:tc>
          <w:tcPr>
            <w:tcW w:w="1524" w:type="dxa"/>
            <w:vAlign w:val="center"/>
          </w:tcPr>
          <w:p w:rsidR="00071F2B" w:rsidRPr="00304385" w:rsidRDefault="00071F2B" w:rsidP="00071F2B">
            <w:pPr>
              <w:keepNext/>
              <w:keepLines/>
              <w:autoSpaceDE w:val="0"/>
              <w:autoSpaceDN w:val="0"/>
              <w:adjustRightInd w:val="0"/>
              <w:spacing w:beforeLines="60" w:before="144" w:afterLines="60" w:after="144"/>
              <w:contextualSpacing/>
              <w:jc w:val="center"/>
              <w:rPr>
                <w:rFonts w:cs="Calibri"/>
                <w:sz w:val="20"/>
                <w:szCs w:val="20"/>
                <w:lang w:eastAsia="en-GB"/>
              </w:rPr>
            </w:pPr>
            <w:r w:rsidRPr="00304385">
              <w:rPr>
                <w:rFonts w:cs="Calibri"/>
                <w:sz w:val="20"/>
                <w:szCs w:val="20"/>
                <w:lang w:eastAsia="en-GB"/>
              </w:rPr>
              <w:t>PASI &gt; 20</w:t>
            </w:r>
          </w:p>
        </w:tc>
        <w:tc>
          <w:tcPr>
            <w:tcW w:w="1595" w:type="dxa"/>
            <w:vAlign w:val="center"/>
          </w:tcPr>
          <w:p w:rsidR="00071F2B" w:rsidRPr="00304385" w:rsidRDefault="00071F2B" w:rsidP="00071F2B">
            <w:pPr>
              <w:keepNext/>
              <w:keepLines/>
              <w:autoSpaceDE w:val="0"/>
              <w:autoSpaceDN w:val="0"/>
              <w:adjustRightInd w:val="0"/>
              <w:spacing w:beforeLines="60" w:before="144" w:afterLines="60" w:after="144"/>
              <w:contextualSpacing/>
              <w:jc w:val="center"/>
              <w:rPr>
                <w:rFonts w:cs="Calibri"/>
                <w:sz w:val="20"/>
                <w:szCs w:val="20"/>
                <w:lang w:eastAsia="en-GB"/>
              </w:rPr>
            </w:pPr>
            <w:r w:rsidRPr="00304385">
              <w:rPr>
                <w:rFonts w:cs="Calibri"/>
                <w:sz w:val="20"/>
                <w:szCs w:val="20"/>
                <w:lang w:eastAsia="en-GB"/>
              </w:rPr>
              <w:t>PASI &gt; 20: 14%</w:t>
            </w:r>
          </w:p>
          <w:p w:rsidR="00071F2B" w:rsidRPr="00304385" w:rsidRDefault="00071F2B" w:rsidP="00071F2B">
            <w:pPr>
              <w:keepNext/>
              <w:keepLines/>
              <w:autoSpaceDE w:val="0"/>
              <w:autoSpaceDN w:val="0"/>
              <w:adjustRightInd w:val="0"/>
              <w:spacing w:beforeLines="60" w:before="144" w:afterLines="60" w:after="144"/>
              <w:contextualSpacing/>
              <w:jc w:val="center"/>
              <w:rPr>
                <w:rFonts w:cs="Calibri"/>
                <w:sz w:val="20"/>
                <w:szCs w:val="20"/>
                <w:lang w:eastAsia="en-GB"/>
              </w:rPr>
            </w:pPr>
            <w:r w:rsidRPr="00304385">
              <w:rPr>
                <w:rFonts w:cs="Calibri"/>
                <w:sz w:val="20"/>
                <w:szCs w:val="20"/>
                <w:lang w:eastAsia="en-GB"/>
              </w:rPr>
              <w:t>PASI ≥ 15: 25%</w:t>
            </w:r>
            <w:r w:rsidRPr="00304385">
              <w:rPr>
                <w:rFonts w:cs="Baskerville"/>
                <w:sz w:val="20"/>
                <w:szCs w:val="20"/>
                <w:vertAlign w:val="superscript"/>
                <w:lang w:eastAsia="en-GB"/>
              </w:rPr>
              <w:t xml:space="preserve"> a</w:t>
            </w:r>
          </w:p>
        </w:tc>
      </w:tr>
      <w:tr w:rsidR="00071F2B" w:rsidRPr="00304385" w:rsidTr="00071F2B">
        <w:trPr>
          <w:cantSplit/>
          <w:trHeight w:val="353"/>
          <w:tblHeader/>
        </w:trPr>
        <w:tc>
          <w:tcPr>
            <w:tcW w:w="1413" w:type="dxa"/>
            <w:vAlign w:val="center"/>
          </w:tcPr>
          <w:p w:rsidR="00071F2B" w:rsidRPr="00304385" w:rsidRDefault="00071F2B" w:rsidP="001B4738">
            <w:pPr>
              <w:keepNext/>
              <w:keepLines/>
              <w:spacing w:beforeLines="60" w:before="144" w:afterLines="60" w:after="144"/>
              <w:contextualSpacing/>
              <w:rPr>
                <w:rFonts w:cs="Times New Roman"/>
                <w:szCs w:val="24"/>
                <w:lang w:eastAsia="en-GB"/>
              </w:rPr>
            </w:pPr>
            <w:r>
              <w:rPr>
                <w:rFonts w:cs="Times New Roman"/>
                <w:noProof/>
                <w:sz w:val="20"/>
                <w:szCs w:val="20"/>
                <w:lang w:eastAsia="en-GB"/>
              </w:rPr>
              <w:t xml:space="preserve">Singh (2011) </w:t>
            </w:r>
            <w:r w:rsidR="00FB1688">
              <w:rPr>
                <w:rFonts w:cs="Times New Roman"/>
                <w:noProof/>
                <w:sz w:val="20"/>
                <w:szCs w:val="20"/>
                <w:lang w:eastAsia="en-GB"/>
              </w:rPr>
              <w:t>(</w:t>
            </w:r>
            <w:r w:rsidR="001B4738">
              <w:rPr>
                <w:rFonts w:cs="Times New Roman"/>
                <w:noProof/>
                <w:sz w:val="20"/>
                <w:szCs w:val="20"/>
                <w:lang w:eastAsia="en-GB"/>
              </w:rPr>
              <w:t>39</w:t>
            </w:r>
            <w:r w:rsidR="00FB1688">
              <w:rPr>
                <w:rFonts w:cs="Times New Roman"/>
                <w:noProof/>
                <w:sz w:val="20"/>
                <w:szCs w:val="20"/>
                <w:lang w:eastAsia="en-GB"/>
              </w:rPr>
              <w:t>)</w:t>
            </w:r>
          </w:p>
        </w:tc>
        <w:tc>
          <w:tcPr>
            <w:tcW w:w="1134" w:type="dxa"/>
            <w:vAlign w:val="center"/>
          </w:tcPr>
          <w:p w:rsidR="00071F2B" w:rsidRPr="00304385" w:rsidRDefault="00891E82" w:rsidP="00071F2B">
            <w:pPr>
              <w:keepNext/>
              <w:keepLines/>
              <w:autoSpaceDE w:val="0"/>
              <w:autoSpaceDN w:val="0"/>
              <w:adjustRightInd w:val="0"/>
              <w:spacing w:beforeLines="60" w:before="144" w:afterLines="60" w:after="144"/>
              <w:contextualSpacing/>
              <w:jc w:val="center"/>
              <w:rPr>
                <w:rFonts w:cs="Calibri"/>
                <w:sz w:val="20"/>
                <w:szCs w:val="20"/>
                <w:lang w:eastAsia="en-GB"/>
              </w:rPr>
            </w:pPr>
            <w:r>
              <w:rPr>
                <w:rFonts w:cs="Calibri"/>
                <w:sz w:val="20"/>
                <w:szCs w:val="20"/>
                <w:lang w:eastAsia="en-GB"/>
              </w:rPr>
              <w:t>CPP</w:t>
            </w:r>
          </w:p>
        </w:tc>
        <w:tc>
          <w:tcPr>
            <w:tcW w:w="1701" w:type="dxa"/>
            <w:vAlign w:val="center"/>
          </w:tcPr>
          <w:p w:rsidR="00071F2B" w:rsidRPr="00304385" w:rsidRDefault="00071F2B" w:rsidP="00071F2B">
            <w:pPr>
              <w:keepNext/>
              <w:keepLines/>
              <w:autoSpaceDE w:val="0"/>
              <w:autoSpaceDN w:val="0"/>
              <w:adjustRightInd w:val="0"/>
              <w:spacing w:beforeLines="60" w:before="144" w:afterLines="60" w:after="144"/>
              <w:contextualSpacing/>
              <w:jc w:val="center"/>
              <w:rPr>
                <w:rFonts w:cs="Calibri"/>
                <w:sz w:val="20"/>
                <w:szCs w:val="20"/>
                <w:lang w:eastAsia="en-GB"/>
              </w:rPr>
            </w:pPr>
            <w:r w:rsidRPr="00304385">
              <w:rPr>
                <w:rFonts w:cs="Calibri"/>
                <w:sz w:val="20"/>
                <w:szCs w:val="20"/>
                <w:lang w:eastAsia="en-GB"/>
              </w:rPr>
              <w:t xml:space="preserve">Brisbane, QLD </w:t>
            </w:r>
            <w:r w:rsidRPr="00304385">
              <w:rPr>
                <w:rFonts w:cs="Calibri"/>
                <w:sz w:val="20"/>
                <w:szCs w:val="20"/>
                <w:lang w:eastAsia="en-GB"/>
              </w:rPr>
              <w:br/>
              <w:t>(no date)</w:t>
            </w:r>
          </w:p>
        </w:tc>
        <w:tc>
          <w:tcPr>
            <w:tcW w:w="1134" w:type="dxa"/>
            <w:vAlign w:val="center"/>
          </w:tcPr>
          <w:p w:rsidR="00071F2B" w:rsidRPr="00304385" w:rsidRDefault="00071F2B" w:rsidP="00071F2B">
            <w:pPr>
              <w:keepNext/>
              <w:keepLines/>
              <w:autoSpaceDE w:val="0"/>
              <w:autoSpaceDN w:val="0"/>
              <w:adjustRightInd w:val="0"/>
              <w:spacing w:beforeLines="60" w:before="144" w:afterLines="60" w:after="144"/>
              <w:contextualSpacing/>
              <w:jc w:val="center"/>
              <w:rPr>
                <w:rFonts w:cs="Calibri"/>
                <w:sz w:val="20"/>
                <w:szCs w:val="20"/>
                <w:lang w:eastAsia="en-GB"/>
              </w:rPr>
            </w:pPr>
            <w:r w:rsidRPr="00304385">
              <w:rPr>
                <w:rFonts w:cs="Calibri"/>
                <w:sz w:val="20"/>
                <w:szCs w:val="20"/>
                <w:lang w:eastAsia="en-GB"/>
              </w:rPr>
              <w:t>High</w:t>
            </w:r>
          </w:p>
        </w:tc>
        <w:tc>
          <w:tcPr>
            <w:tcW w:w="850" w:type="dxa"/>
            <w:vAlign w:val="center"/>
          </w:tcPr>
          <w:p w:rsidR="00071F2B" w:rsidRPr="00304385" w:rsidRDefault="00071F2B" w:rsidP="00071F2B">
            <w:pPr>
              <w:keepNext/>
              <w:keepLines/>
              <w:autoSpaceDE w:val="0"/>
              <w:autoSpaceDN w:val="0"/>
              <w:adjustRightInd w:val="0"/>
              <w:spacing w:beforeLines="60" w:before="144" w:afterLines="60" w:after="144"/>
              <w:contextualSpacing/>
              <w:jc w:val="center"/>
              <w:rPr>
                <w:rFonts w:cs="Calibri"/>
                <w:sz w:val="20"/>
                <w:szCs w:val="20"/>
                <w:lang w:eastAsia="en-GB"/>
              </w:rPr>
            </w:pPr>
            <w:r w:rsidRPr="00304385">
              <w:rPr>
                <w:rFonts w:cs="Calibri"/>
                <w:sz w:val="20"/>
                <w:szCs w:val="20"/>
                <w:lang w:eastAsia="en-GB"/>
              </w:rPr>
              <w:t>12</w:t>
            </w:r>
          </w:p>
        </w:tc>
        <w:tc>
          <w:tcPr>
            <w:tcW w:w="1524" w:type="dxa"/>
            <w:vAlign w:val="center"/>
          </w:tcPr>
          <w:p w:rsidR="00071F2B" w:rsidRPr="00304385" w:rsidRDefault="00071F2B" w:rsidP="00071F2B">
            <w:pPr>
              <w:keepNext/>
              <w:keepLines/>
              <w:autoSpaceDE w:val="0"/>
              <w:autoSpaceDN w:val="0"/>
              <w:adjustRightInd w:val="0"/>
              <w:spacing w:beforeLines="60" w:before="144" w:afterLines="60" w:after="144"/>
              <w:contextualSpacing/>
              <w:jc w:val="center"/>
              <w:rPr>
                <w:rFonts w:cs="Calibri"/>
                <w:sz w:val="20"/>
                <w:szCs w:val="20"/>
                <w:lang w:eastAsia="en-GB"/>
              </w:rPr>
            </w:pPr>
            <w:r w:rsidRPr="00304385">
              <w:rPr>
                <w:rFonts w:cs="Calibri"/>
                <w:sz w:val="20"/>
                <w:szCs w:val="20"/>
                <w:lang w:eastAsia="en-GB"/>
              </w:rPr>
              <w:t>N/A</w:t>
            </w:r>
          </w:p>
        </w:tc>
        <w:tc>
          <w:tcPr>
            <w:tcW w:w="1595" w:type="dxa"/>
            <w:vAlign w:val="center"/>
          </w:tcPr>
          <w:p w:rsidR="00071F2B" w:rsidRPr="00304385" w:rsidRDefault="00071F2B" w:rsidP="00071F2B">
            <w:pPr>
              <w:keepNext/>
              <w:keepLines/>
              <w:autoSpaceDE w:val="0"/>
              <w:autoSpaceDN w:val="0"/>
              <w:adjustRightInd w:val="0"/>
              <w:spacing w:beforeLines="60" w:before="144" w:afterLines="60" w:after="144"/>
              <w:contextualSpacing/>
              <w:jc w:val="center"/>
              <w:rPr>
                <w:rFonts w:cs="Calibri"/>
                <w:sz w:val="20"/>
                <w:szCs w:val="20"/>
                <w:lang w:eastAsia="en-GB"/>
              </w:rPr>
            </w:pPr>
            <w:r w:rsidRPr="00304385">
              <w:rPr>
                <w:rFonts w:cs="Calibri"/>
                <w:sz w:val="20"/>
                <w:szCs w:val="20"/>
                <w:lang w:eastAsia="en-GB"/>
              </w:rPr>
              <w:t>PASI ≥ 15: 50%</w:t>
            </w:r>
          </w:p>
          <w:p w:rsidR="00071F2B" w:rsidRPr="00304385" w:rsidRDefault="00071F2B" w:rsidP="00071F2B">
            <w:pPr>
              <w:keepNext/>
              <w:keepLines/>
              <w:autoSpaceDE w:val="0"/>
              <w:autoSpaceDN w:val="0"/>
              <w:adjustRightInd w:val="0"/>
              <w:spacing w:beforeLines="60" w:before="144" w:afterLines="60" w:after="144"/>
              <w:contextualSpacing/>
              <w:jc w:val="center"/>
              <w:rPr>
                <w:rFonts w:cs="Calibri"/>
                <w:sz w:val="20"/>
                <w:szCs w:val="20"/>
                <w:lang w:eastAsia="en-GB"/>
              </w:rPr>
            </w:pPr>
            <w:r w:rsidRPr="00304385">
              <w:rPr>
                <w:rFonts w:cs="Calibri"/>
                <w:sz w:val="20"/>
                <w:szCs w:val="20"/>
                <w:lang w:eastAsia="en-GB"/>
              </w:rPr>
              <w:t>PASI ≥ 12:67%</w:t>
            </w:r>
          </w:p>
        </w:tc>
      </w:tr>
      <w:tr w:rsidR="003540F6" w:rsidRPr="00304385" w:rsidTr="003540F6">
        <w:trPr>
          <w:cantSplit/>
          <w:trHeight w:val="353"/>
          <w:tblHeader/>
        </w:trPr>
        <w:tc>
          <w:tcPr>
            <w:tcW w:w="9351" w:type="dxa"/>
            <w:gridSpan w:val="7"/>
            <w:vAlign w:val="center"/>
          </w:tcPr>
          <w:p w:rsidR="003540F6" w:rsidRPr="00304385" w:rsidRDefault="003540F6" w:rsidP="003540F6">
            <w:pPr>
              <w:keepNext/>
              <w:keepLines/>
              <w:autoSpaceDE w:val="0"/>
              <w:autoSpaceDN w:val="0"/>
              <w:adjustRightInd w:val="0"/>
              <w:spacing w:beforeLines="60" w:before="144" w:afterLines="60" w:after="144"/>
              <w:contextualSpacing/>
              <w:rPr>
                <w:rFonts w:cs="Calibri"/>
                <w:sz w:val="20"/>
                <w:szCs w:val="20"/>
                <w:lang w:eastAsia="en-GB"/>
              </w:rPr>
            </w:pPr>
            <w:r w:rsidRPr="00FF2337">
              <w:rPr>
                <w:rFonts w:cs="Times New Roman"/>
                <w:b/>
                <w:sz w:val="20"/>
                <w:szCs w:val="20"/>
                <w:lang w:eastAsia="en-GB"/>
              </w:rPr>
              <w:t>PASI (moderate to severe)</w:t>
            </w:r>
          </w:p>
        </w:tc>
      </w:tr>
      <w:tr w:rsidR="003540F6" w:rsidRPr="00304385" w:rsidTr="00071F2B">
        <w:trPr>
          <w:cantSplit/>
          <w:trHeight w:val="353"/>
          <w:tblHeader/>
        </w:trPr>
        <w:tc>
          <w:tcPr>
            <w:tcW w:w="1413" w:type="dxa"/>
            <w:vAlign w:val="center"/>
          </w:tcPr>
          <w:p w:rsidR="003540F6" w:rsidRDefault="003540F6" w:rsidP="001B4738">
            <w:pPr>
              <w:keepNext/>
              <w:keepLines/>
              <w:spacing w:beforeLines="60" w:before="144" w:afterLines="60" w:after="144"/>
              <w:contextualSpacing/>
              <w:rPr>
                <w:rFonts w:cs="Times New Roman"/>
                <w:noProof/>
                <w:sz w:val="20"/>
                <w:szCs w:val="20"/>
                <w:lang w:eastAsia="en-GB"/>
              </w:rPr>
            </w:pPr>
            <w:r w:rsidRPr="00304385">
              <w:rPr>
                <w:rFonts w:eastAsia="Times New Roman" w:cs="Times New Roman"/>
                <w:color w:val="000000"/>
                <w:sz w:val="20"/>
                <w:szCs w:val="20"/>
                <w:lang w:eastAsia="en-GB"/>
              </w:rPr>
              <w:t xml:space="preserve">Eder </w:t>
            </w:r>
            <w:r>
              <w:rPr>
                <w:rFonts w:eastAsia="Times New Roman" w:cs="Times New Roman"/>
                <w:color w:val="000000"/>
                <w:sz w:val="20"/>
                <w:szCs w:val="20"/>
                <w:lang w:eastAsia="en-GB"/>
              </w:rPr>
              <w:t>(</w:t>
            </w:r>
            <w:r w:rsidRPr="00304385">
              <w:rPr>
                <w:rFonts w:eastAsia="Times New Roman" w:cs="Times New Roman"/>
                <w:color w:val="000000"/>
                <w:sz w:val="20"/>
                <w:szCs w:val="20"/>
                <w:lang w:eastAsia="en-GB"/>
              </w:rPr>
              <w:t>2016</w:t>
            </w:r>
            <w:r>
              <w:rPr>
                <w:rFonts w:eastAsia="Times New Roman" w:cs="Times New Roman"/>
                <w:color w:val="000000"/>
                <w:sz w:val="20"/>
                <w:szCs w:val="20"/>
                <w:lang w:eastAsia="en-GB"/>
              </w:rPr>
              <w:t xml:space="preserve">) </w:t>
            </w:r>
            <w:r>
              <w:rPr>
                <w:rFonts w:eastAsia="Times New Roman" w:cs="Times New Roman"/>
                <w:noProof/>
                <w:color w:val="000000"/>
                <w:sz w:val="20"/>
                <w:szCs w:val="20"/>
                <w:lang w:eastAsia="en-GB"/>
              </w:rPr>
              <w:t>(</w:t>
            </w:r>
            <w:r w:rsidR="001B4738">
              <w:rPr>
                <w:rFonts w:eastAsia="Times New Roman" w:cs="Times New Roman"/>
                <w:noProof/>
                <w:color w:val="000000"/>
                <w:sz w:val="20"/>
                <w:szCs w:val="20"/>
                <w:lang w:eastAsia="en-GB"/>
              </w:rPr>
              <w:t>37</w:t>
            </w:r>
            <w:r>
              <w:rPr>
                <w:rFonts w:eastAsia="Times New Roman" w:cs="Times New Roman"/>
                <w:noProof/>
                <w:color w:val="000000"/>
                <w:sz w:val="20"/>
                <w:szCs w:val="20"/>
                <w:lang w:eastAsia="en-GB"/>
              </w:rPr>
              <w:t>)</w:t>
            </w:r>
          </w:p>
        </w:tc>
        <w:tc>
          <w:tcPr>
            <w:tcW w:w="1134" w:type="dxa"/>
            <w:vAlign w:val="center"/>
          </w:tcPr>
          <w:p w:rsidR="003540F6" w:rsidRDefault="003540F6" w:rsidP="003540F6">
            <w:pPr>
              <w:keepNext/>
              <w:keepLines/>
              <w:autoSpaceDE w:val="0"/>
              <w:autoSpaceDN w:val="0"/>
              <w:adjustRightInd w:val="0"/>
              <w:spacing w:beforeLines="60" w:before="144" w:afterLines="60" w:after="144"/>
              <w:contextualSpacing/>
              <w:jc w:val="center"/>
              <w:rPr>
                <w:rFonts w:cs="Calibri"/>
                <w:sz w:val="20"/>
                <w:szCs w:val="20"/>
                <w:lang w:eastAsia="en-GB"/>
              </w:rPr>
            </w:pPr>
            <w:r w:rsidRPr="00304385">
              <w:rPr>
                <w:rFonts w:cs="Calibri"/>
                <w:sz w:val="20"/>
                <w:szCs w:val="20"/>
                <w:lang w:eastAsia="en-GB"/>
              </w:rPr>
              <w:t>All psoriasis</w:t>
            </w:r>
          </w:p>
        </w:tc>
        <w:tc>
          <w:tcPr>
            <w:tcW w:w="1701" w:type="dxa"/>
            <w:vAlign w:val="center"/>
          </w:tcPr>
          <w:p w:rsidR="003540F6" w:rsidRPr="00304385" w:rsidRDefault="003540F6" w:rsidP="003540F6">
            <w:pPr>
              <w:keepNext/>
              <w:keepLines/>
              <w:autoSpaceDE w:val="0"/>
              <w:autoSpaceDN w:val="0"/>
              <w:adjustRightInd w:val="0"/>
              <w:spacing w:beforeLines="60" w:before="144" w:afterLines="60" w:after="144"/>
              <w:contextualSpacing/>
              <w:jc w:val="center"/>
              <w:rPr>
                <w:rFonts w:cs="Calibri"/>
                <w:sz w:val="20"/>
                <w:szCs w:val="20"/>
                <w:lang w:eastAsia="en-GB"/>
              </w:rPr>
            </w:pPr>
            <w:r w:rsidRPr="00304385">
              <w:rPr>
                <w:rFonts w:cs="Calibri"/>
                <w:sz w:val="20"/>
                <w:szCs w:val="20"/>
                <w:lang w:eastAsia="en-GB"/>
              </w:rPr>
              <w:t xml:space="preserve">Canada </w:t>
            </w:r>
            <w:r w:rsidRPr="00304385">
              <w:rPr>
                <w:rFonts w:cs="Calibri"/>
                <w:sz w:val="20"/>
                <w:szCs w:val="20"/>
                <w:lang w:eastAsia="en-GB"/>
              </w:rPr>
              <w:br/>
              <w:t>(2006-2012)</w:t>
            </w:r>
          </w:p>
        </w:tc>
        <w:tc>
          <w:tcPr>
            <w:tcW w:w="1134" w:type="dxa"/>
            <w:vAlign w:val="center"/>
          </w:tcPr>
          <w:p w:rsidR="003540F6" w:rsidRPr="00304385" w:rsidRDefault="003540F6" w:rsidP="003540F6">
            <w:pPr>
              <w:keepNext/>
              <w:keepLines/>
              <w:autoSpaceDE w:val="0"/>
              <w:autoSpaceDN w:val="0"/>
              <w:adjustRightInd w:val="0"/>
              <w:spacing w:beforeLines="60" w:before="144" w:afterLines="60" w:after="144"/>
              <w:contextualSpacing/>
              <w:jc w:val="center"/>
              <w:rPr>
                <w:rFonts w:cs="Calibri"/>
                <w:sz w:val="20"/>
                <w:szCs w:val="20"/>
                <w:lang w:eastAsia="en-GB"/>
              </w:rPr>
            </w:pPr>
            <w:r w:rsidRPr="00304385">
              <w:rPr>
                <w:rFonts w:cs="Calibri"/>
                <w:sz w:val="20"/>
                <w:szCs w:val="20"/>
                <w:lang w:eastAsia="en-GB"/>
              </w:rPr>
              <w:t>Low</w:t>
            </w:r>
          </w:p>
        </w:tc>
        <w:tc>
          <w:tcPr>
            <w:tcW w:w="850" w:type="dxa"/>
            <w:vAlign w:val="center"/>
          </w:tcPr>
          <w:p w:rsidR="003540F6" w:rsidRPr="00304385" w:rsidRDefault="003540F6" w:rsidP="003540F6">
            <w:pPr>
              <w:keepNext/>
              <w:keepLines/>
              <w:autoSpaceDE w:val="0"/>
              <w:autoSpaceDN w:val="0"/>
              <w:adjustRightInd w:val="0"/>
              <w:spacing w:beforeLines="60" w:before="144" w:afterLines="60" w:after="144"/>
              <w:contextualSpacing/>
              <w:jc w:val="center"/>
              <w:rPr>
                <w:rFonts w:cs="Calibri"/>
                <w:sz w:val="20"/>
                <w:szCs w:val="20"/>
                <w:lang w:eastAsia="en-GB"/>
              </w:rPr>
            </w:pPr>
            <w:r w:rsidRPr="00304385">
              <w:rPr>
                <w:rFonts w:cs="Calibri"/>
                <w:sz w:val="20"/>
                <w:szCs w:val="20"/>
                <w:lang w:eastAsia="en-GB"/>
              </w:rPr>
              <w:t>464</w:t>
            </w:r>
          </w:p>
        </w:tc>
        <w:tc>
          <w:tcPr>
            <w:tcW w:w="1524" w:type="dxa"/>
            <w:vAlign w:val="center"/>
          </w:tcPr>
          <w:p w:rsidR="003540F6" w:rsidRPr="00304385" w:rsidRDefault="003540F6" w:rsidP="003540F6">
            <w:pPr>
              <w:keepNext/>
              <w:keepLines/>
              <w:autoSpaceDE w:val="0"/>
              <w:autoSpaceDN w:val="0"/>
              <w:adjustRightInd w:val="0"/>
              <w:spacing w:beforeLines="60" w:before="144" w:afterLines="60" w:after="144"/>
              <w:contextualSpacing/>
              <w:jc w:val="center"/>
              <w:rPr>
                <w:rFonts w:cs="Calibri"/>
                <w:sz w:val="20"/>
                <w:szCs w:val="20"/>
                <w:lang w:eastAsia="en-GB"/>
              </w:rPr>
            </w:pPr>
            <w:r w:rsidRPr="00AA1D0C">
              <w:rPr>
                <w:rFonts w:cs="Calibri"/>
                <w:sz w:val="20"/>
                <w:szCs w:val="20"/>
                <w:lang w:eastAsia="en-GB"/>
              </w:rPr>
              <w:t>PASI ≥ 10</w:t>
            </w:r>
          </w:p>
        </w:tc>
        <w:tc>
          <w:tcPr>
            <w:tcW w:w="1595" w:type="dxa"/>
            <w:vAlign w:val="center"/>
          </w:tcPr>
          <w:p w:rsidR="003540F6" w:rsidRPr="00304385" w:rsidRDefault="003540F6" w:rsidP="003540F6">
            <w:pPr>
              <w:keepNext/>
              <w:keepLines/>
              <w:autoSpaceDE w:val="0"/>
              <w:autoSpaceDN w:val="0"/>
              <w:adjustRightInd w:val="0"/>
              <w:spacing w:beforeLines="60" w:before="144" w:afterLines="60" w:after="144"/>
              <w:contextualSpacing/>
              <w:jc w:val="center"/>
              <w:rPr>
                <w:rFonts w:cs="Calibri"/>
                <w:sz w:val="20"/>
                <w:szCs w:val="20"/>
                <w:lang w:eastAsia="en-GB"/>
              </w:rPr>
            </w:pPr>
            <w:r>
              <w:rPr>
                <w:rFonts w:cs="Calibri"/>
                <w:sz w:val="20"/>
                <w:szCs w:val="20"/>
                <w:lang w:eastAsia="en-GB"/>
              </w:rPr>
              <w:t>13%</w:t>
            </w:r>
          </w:p>
        </w:tc>
      </w:tr>
      <w:tr w:rsidR="003540F6" w:rsidRPr="00304385" w:rsidTr="004C59D3">
        <w:trPr>
          <w:cantSplit/>
          <w:trHeight w:val="353"/>
          <w:tblHeader/>
        </w:trPr>
        <w:tc>
          <w:tcPr>
            <w:tcW w:w="1413" w:type="dxa"/>
            <w:vAlign w:val="bottom"/>
          </w:tcPr>
          <w:p w:rsidR="003540F6" w:rsidRDefault="003540F6" w:rsidP="001B4738">
            <w:pPr>
              <w:keepNext/>
              <w:keepLines/>
              <w:spacing w:beforeLines="60" w:before="144" w:afterLines="60" w:after="144"/>
              <w:contextualSpacing/>
              <w:rPr>
                <w:rFonts w:cs="Times New Roman"/>
                <w:noProof/>
                <w:sz w:val="20"/>
                <w:szCs w:val="20"/>
                <w:lang w:eastAsia="en-GB"/>
              </w:rPr>
            </w:pPr>
            <w:r w:rsidRPr="00304385">
              <w:rPr>
                <w:rFonts w:eastAsia="Times New Roman" w:cs="Times New Roman"/>
                <w:color w:val="000000"/>
                <w:sz w:val="20"/>
                <w:szCs w:val="20"/>
                <w:lang w:eastAsia="en-GB"/>
              </w:rPr>
              <w:t xml:space="preserve">Urbancek </w:t>
            </w:r>
            <w:r>
              <w:rPr>
                <w:rFonts w:eastAsia="Times New Roman" w:cs="Times New Roman"/>
                <w:color w:val="000000"/>
                <w:sz w:val="20"/>
                <w:szCs w:val="20"/>
                <w:lang w:eastAsia="en-GB"/>
              </w:rPr>
              <w:t>(</w:t>
            </w:r>
            <w:r w:rsidRPr="00304385">
              <w:rPr>
                <w:rFonts w:eastAsia="Times New Roman" w:cs="Times New Roman"/>
                <w:color w:val="000000"/>
                <w:sz w:val="20"/>
                <w:szCs w:val="20"/>
                <w:lang w:eastAsia="en-GB"/>
              </w:rPr>
              <w:t>2016</w:t>
            </w:r>
            <w:r>
              <w:rPr>
                <w:rFonts w:eastAsia="Times New Roman" w:cs="Times New Roman"/>
                <w:color w:val="000000"/>
                <w:sz w:val="20"/>
                <w:szCs w:val="20"/>
                <w:lang w:eastAsia="en-GB"/>
              </w:rPr>
              <w:t xml:space="preserve">) </w:t>
            </w:r>
            <w:r>
              <w:rPr>
                <w:rFonts w:eastAsia="Times New Roman" w:cs="Times New Roman"/>
                <w:noProof/>
                <w:color w:val="000000"/>
                <w:sz w:val="20"/>
                <w:szCs w:val="20"/>
                <w:lang w:eastAsia="en-GB"/>
              </w:rPr>
              <w:t>(</w:t>
            </w:r>
            <w:r w:rsidR="001B4738">
              <w:rPr>
                <w:rFonts w:eastAsia="Times New Roman" w:cs="Times New Roman"/>
                <w:noProof/>
                <w:color w:val="000000"/>
                <w:sz w:val="20"/>
                <w:szCs w:val="20"/>
                <w:lang w:eastAsia="en-GB"/>
              </w:rPr>
              <w:t>40</w:t>
            </w:r>
            <w:r>
              <w:rPr>
                <w:rFonts w:eastAsia="Times New Roman" w:cs="Times New Roman"/>
                <w:noProof/>
                <w:color w:val="000000"/>
                <w:sz w:val="20"/>
                <w:szCs w:val="20"/>
                <w:lang w:eastAsia="en-GB"/>
              </w:rPr>
              <w:t>)</w:t>
            </w:r>
          </w:p>
        </w:tc>
        <w:tc>
          <w:tcPr>
            <w:tcW w:w="1134" w:type="dxa"/>
            <w:vAlign w:val="center"/>
          </w:tcPr>
          <w:p w:rsidR="003540F6" w:rsidRDefault="003540F6" w:rsidP="003540F6">
            <w:pPr>
              <w:keepNext/>
              <w:keepLines/>
              <w:autoSpaceDE w:val="0"/>
              <w:autoSpaceDN w:val="0"/>
              <w:adjustRightInd w:val="0"/>
              <w:spacing w:beforeLines="60" w:before="144" w:afterLines="60" w:after="144"/>
              <w:contextualSpacing/>
              <w:jc w:val="center"/>
              <w:rPr>
                <w:rFonts w:cs="Calibri"/>
                <w:sz w:val="20"/>
                <w:szCs w:val="20"/>
                <w:lang w:eastAsia="en-GB"/>
              </w:rPr>
            </w:pPr>
            <w:r w:rsidRPr="00304385">
              <w:rPr>
                <w:rFonts w:cs="Calibri"/>
                <w:sz w:val="20"/>
                <w:szCs w:val="20"/>
                <w:lang w:eastAsia="en-GB"/>
              </w:rPr>
              <w:t xml:space="preserve">All psoriasis </w:t>
            </w:r>
          </w:p>
        </w:tc>
        <w:tc>
          <w:tcPr>
            <w:tcW w:w="1701" w:type="dxa"/>
            <w:vAlign w:val="center"/>
          </w:tcPr>
          <w:p w:rsidR="003540F6" w:rsidRPr="00304385" w:rsidRDefault="003540F6" w:rsidP="003540F6">
            <w:pPr>
              <w:keepNext/>
              <w:keepLines/>
              <w:autoSpaceDE w:val="0"/>
              <w:autoSpaceDN w:val="0"/>
              <w:adjustRightInd w:val="0"/>
              <w:spacing w:beforeLines="60" w:before="144" w:afterLines="60" w:after="144"/>
              <w:contextualSpacing/>
              <w:jc w:val="center"/>
              <w:rPr>
                <w:rFonts w:cs="Calibri"/>
                <w:sz w:val="20"/>
                <w:szCs w:val="20"/>
                <w:lang w:eastAsia="en-GB"/>
              </w:rPr>
            </w:pPr>
            <w:r w:rsidRPr="00304385">
              <w:rPr>
                <w:rFonts w:cs="Calibri"/>
                <w:sz w:val="20"/>
                <w:szCs w:val="20"/>
                <w:lang w:eastAsia="en-GB"/>
              </w:rPr>
              <w:t xml:space="preserve">Slovakia </w:t>
            </w:r>
            <w:r w:rsidRPr="00304385">
              <w:rPr>
                <w:rFonts w:cs="Calibri"/>
                <w:sz w:val="20"/>
                <w:szCs w:val="20"/>
                <w:lang w:eastAsia="en-GB"/>
              </w:rPr>
              <w:br/>
              <w:t>(2014-2015)</w:t>
            </w:r>
          </w:p>
        </w:tc>
        <w:tc>
          <w:tcPr>
            <w:tcW w:w="1134" w:type="dxa"/>
            <w:vAlign w:val="center"/>
          </w:tcPr>
          <w:p w:rsidR="003540F6" w:rsidRPr="00304385" w:rsidRDefault="003540F6" w:rsidP="003540F6">
            <w:pPr>
              <w:keepNext/>
              <w:keepLines/>
              <w:autoSpaceDE w:val="0"/>
              <w:autoSpaceDN w:val="0"/>
              <w:adjustRightInd w:val="0"/>
              <w:spacing w:beforeLines="60" w:before="144" w:afterLines="60" w:after="144"/>
              <w:contextualSpacing/>
              <w:jc w:val="center"/>
              <w:rPr>
                <w:rFonts w:cs="Calibri"/>
                <w:sz w:val="20"/>
                <w:szCs w:val="20"/>
                <w:lang w:eastAsia="en-GB"/>
              </w:rPr>
            </w:pPr>
            <w:r w:rsidRPr="00304385">
              <w:rPr>
                <w:rFonts w:cs="Calibri"/>
                <w:sz w:val="20"/>
                <w:szCs w:val="20"/>
                <w:lang w:eastAsia="en-GB"/>
              </w:rPr>
              <w:t>Moderate</w:t>
            </w:r>
          </w:p>
        </w:tc>
        <w:tc>
          <w:tcPr>
            <w:tcW w:w="850" w:type="dxa"/>
            <w:vAlign w:val="center"/>
          </w:tcPr>
          <w:p w:rsidR="003540F6" w:rsidRPr="00304385" w:rsidRDefault="003540F6" w:rsidP="003540F6">
            <w:pPr>
              <w:keepNext/>
              <w:keepLines/>
              <w:autoSpaceDE w:val="0"/>
              <w:autoSpaceDN w:val="0"/>
              <w:adjustRightInd w:val="0"/>
              <w:spacing w:beforeLines="60" w:before="144" w:afterLines="60" w:after="144"/>
              <w:contextualSpacing/>
              <w:jc w:val="center"/>
              <w:rPr>
                <w:rFonts w:cs="Calibri"/>
                <w:sz w:val="20"/>
                <w:szCs w:val="20"/>
                <w:lang w:eastAsia="en-GB"/>
              </w:rPr>
            </w:pPr>
            <w:r w:rsidRPr="00304385">
              <w:rPr>
                <w:rFonts w:cs="Calibri"/>
                <w:sz w:val="20"/>
                <w:szCs w:val="20"/>
                <w:lang w:eastAsia="en-GB"/>
              </w:rPr>
              <w:t>474</w:t>
            </w:r>
          </w:p>
        </w:tc>
        <w:tc>
          <w:tcPr>
            <w:tcW w:w="1524" w:type="dxa"/>
            <w:vAlign w:val="center"/>
          </w:tcPr>
          <w:p w:rsidR="003540F6" w:rsidRPr="00304385" w:rsidRDefault="003540F6" w:rsidP="003540F6">
            <w:pPr>
              <w:keepNext/>
              <w:keepLines/>
              <w:autoSpaceDE w:val="0"/>
              <w:autoSpaceDN w:val="0"/>
              <w:adjustRightInd w:val="0"/>
              <w:spacing w:beforeLines="60" w:before="144" w:afterLines="60" w:after="144"/>
              <w:contextualSpacing/>
              <w:jc w:val="center"/>
              <w:rPr>
                <w:rFonts w:cs="Calibri"/>
                <w:sz w:val="20"/>
                <w:szCs w:val="20"/>
                <w:lang w:eastAsia="en-GB"/>
              </w:rPr>
            </w:pPr>
            <w:r w:rsidRPr="00304385">
              <w:rPr>
                <w:rFonts w:cs="Calibri"/>
                <w:sz w:val="20"/>
                <w:szCs w:val="20"/>
                <w:lang w:eastAsia="en-GB"/>
              </w:rPr>
              <w:t>PASI ≥ 10</w:t>
            </w:r>
          </w:p>
        </w:tc>
        <w:tc>
          <w:tcPr>
            <w:tcW w:w="1595" w:type="dxa"/>
            <w:vAlign w:val="center"/>
          </w:tcPr>
          <w:p w:rsidR="003540F6" w:rsidRPr="00304385" w:rsidRDefault="003540F6" w:rsidP="003540F6">
            <w:pPr>
              <w:keepNext/>
              <w:keepLines/>
              <w:autoSpaceDE w:val="0"/>
              <w:autoSpaceDN w:val="0"/>
              <w:adjustRightInd w:val="0"/>
              <w:spacing w:beforeLines="60" w:before="144" w:afterLines="60" w:after="144"/>
              <w:contextualSpacing/>
              <w:jc w:val="center"/>
              <w:rPr>
                <w:rFonts w:cs="Calibri"/>
                <w:sz w:val="20"/>
                <w:szCs w:val="20"/>
                <w:lang w:eastAsia="en-GB"/>
              </w:rPr>
            </w:pPr>
            <w:r w:rsidRPr="00304385">
              <w:rPr>
                <w:rFonts w:cs="Calibri"/>
                <w:sz w:val="20"/>
                <w:szCs w:val="20"/>
                <w:lang w:eastAsia="en-GB"/>
              </w:rPr>
              <w:t>29%</w:t>
            </w:r>
          </w:p>
        </w:tc>
      </w:tr>
      <w:tr w:rsidR="003540F6" w:rsidRPr="00304385" w:rsidTr="00071F2B">
        <w:trPr>
          <w:cantSplit/>
          <w:trHeight w:val="353"/>
          <w:tblHeader/>
        </w:trPr>
        <w:tc>
          <w:tcPr>
            <w:tcW w:w="1413" w:type="dxa"/>
            <w:vAlign w:val="center"/>
          </w:tcPr>
          <w:p w:rsidR="003540F6" w:rsidRDefault="003540F6" w:rsidP="001B4738">
            <w:pPr>
              <w:keepNext/>
              <w:keepLines/>
              <w:spacing w:beforeLines="60" w:before="144" w:afterLines="60" w:after="144"/>
              <w:contextualSpacing/>
              <w:rPr>
                <w:rFonts w:cs="Times New Roman"/>
                <w:noProof/>
                <w:sz w:val="20"/>
                <w:szCs w:val="20"/>
                <w:lang w:eastAsia="en-GB"/>
              </w:rPr>
            </w:pPr>
            <w:r w:rsidRPr="00304385">
              <w:rPr>
                <w:rFonts w:cs="Times New Roman"/>
                <w:sz w:val="20"/>
                <w:szCs w:val="20"/>
                <w:lang w:eastAsia="en-GB"/>
              </w:rPr>
              <w:t xml:space="preserve">Piaserico </w:t>
            </w:r>
            <w:r>
              <w:rPr>
                <w:rFonts w:cs="Times New Roman"/>
                <w:sz w:val="20"/>
                <w:szCs w:val="20"/>
                <w:lang w:eastAsia="en-GB"/>
              </w:rPr>
              <w:t>(</w:t>
            </w:r>
            <w:r w:rsidRPr="00FC7481">
              <w:rPr>
                <w:rFonts w:cs="Times New Roman"/>
                <w:sz w:val="20"/>
                <w:szCs w:val="20"/>
                <w:lang w:eastAsia="en-GB"/>
              </w:rPr>
              <w:t xml:space="preserve">2016) </w:t>
            </w:r>
            <w:r>
              <w:rPr>
                <w:rFonts w:cs="Times New Roman"/>
                <w:noProof/>
                <w:sz w:val="20"/>
                <w:szCs w:val="20"/>
                <w:lang w:eastAsia="en-GB"/>
              </w:rPr>
              <w:t>(</w:t>
            </w:r>
            <w:r w:rsidR="001B4738">
              <w:rPr>
                <w:rFonts w:cs="Times New Roman"/>
                <w:noProof/>
                <w:sz w:val="20"/>
                <w:szCs w:val="20"/>
                <w:lang w:eastAsia="en-GB"/>
              </w:rPr>
              <w:t>35</w:t>
            </w:r>
            <w:r>
              <w:rPr>
                <w:rFonts w:cs="Times New Roman"/>
                <w:noProof/>
                <w:sz w:val="20"/>
                <w:szCs w:val="20"/>
                <w:lang w:eastAsia="en-GB"/>
              </w:rPr>
              <w:t>)</w:t>
            </w:r>
          </w:p>
        </w:tc>
        <w:tc>
          <w:tcPr>
            <w:tcW w:w="1134" w:type="dxa"/>
            <w:vAlign w:val="center"/>
          </w:tcPr>
          <w:p w:rsidR="003540F6" w:rsidRDefault="003540F6" w:rsidP="003540F6">
            <w:pPr>
              <w:keepNext/>
              <w:keepLines/>
              <w:autoSpaceDE w:val="0"/>
              <w:autoSpaceDN w:val="0"/>
              <w:adjustRightInd w:val="0"/>
              <w:spacing w:beforeLines="60" w:before="144" w:afterLines="60" w:after="144"/>
              <w:contextualSpacing/>
              <w:jc w:val="center"/>
              <w:rPr>
                <w:rFonts w:cs="Calibri"/>
                <w:sz w:val="20"/>
                <w:szCs w:val="20"/>
                <w:lang w:eastAsia="en-GB"/>
              </w:rPr>
            </w:pPr>
            <w:r>
              <w:rPr>
                <w:rFonts w:cs="Calibri"/>
                <w:sz w:val="20"/>
                <w:szCs w:val="20"/>
                <w:lang w:eastAsia="en-GB"/>
              </w:rPr>
              <w:t>CPP</w:t>
            </w:r>
          </w:p>
        </w:tc>
        <w:tc>
          <w:tcPr>
            <w:tcW w:w="1701" w:type="dxa"/>
            <w:vAlign w:val="center"/>
          </w:tcPr>
          <w:p w:rsidR="003540F6" w:rsidRPr="00304385" w:rsidRDefault="003540F6" w:rsidP="003540F6">
            <w:pPr>
              <w:keepNext/>
              <w:keepLines/>
              <w:autoSpaceDE w:val="0"/>
              <w:autoSpaceDN w:val="0"/>
              <w:adjustRightInd w:val="0"/>
              <w:spacing w:beforeLines="60" w:before="144" w:afterLines="60" w:after="144"/>
              <w:contextualSpacing/>
              <w:jc w:val="center"/>
              <w:rPr>
                <w:rFonts w:cs="Calibri"/>
                <w:sz w:val="20"/>
                <w:szCs w:val="20"/>
                <w:lang w:eastAsia="en-GB"/>
              </w:rPr>
            </w:pPr>
            <w:r w:rsidRPr="00304385">
              <w:rPr>
                <w:rFonts w:cs="Calibri"/>
                <w:sz w:val="20"/>
                <w:szCs w:val="20"/>
                <w:lang w:eastAsia="en-GB"/>
              </w:rPr>
              <w:t>Italy (no date)</w:t>
            </w:r>
          </w:p>
        </w:tc>
        <w:tc>
          <w:tcPr>
            <w:tcW w:w="1134" w:type="dxa"/>
            <w:vAlign w:val="center"/>
          </w:tcPr>
          <w:p w:rsidR="003540F6" w:rsidRPr="00304385" w:rsidRDefault="003540F6" w:rsidP="003540F6">
            <w:pPr>
              <w:keepNext/>
              <w:keepLines/>
              <w:autoSpaceDE w:val="0"/>
              <w:autoSpaceDN w:val="0"/>
              <w:adjustRightInd w:val="0"/>
              <w:spacing w:beforeLines="60" w:before="144" w:afterLines="60" w:after="144"/>
              <w:contextualSpacing/>
              <w:jc w:val="center"/>
              <w:rPr>
                <w:rFonts w:cs="Calibri"/>
                <w:sz w:val="20"/>
                <w:szCs w:val="20"/>
                <w:lang w:eastAsia="en-GB"/>
              </w:rPr>
            </w:pPr>
            <w:r w:rsidRPr="00304385">
              <w:rPr>
                <w:rFonts w:cs="Calibri"/>
                <w:sz w:val="20"/>
                <w:szCs w:val="20"/>
                <w:lang w:eastAsia="en-GB"/>
              </w:rPr>
              <w:t>Moderate</w:t>
            </w:r>
          </w:p>
        </w:tc>
        <w:tc>
          <w:tcPr>
            <w:tcW w:w="850" w:type="dxa"/>
            <w:vAlign w:val="center"/>
          </w:tcPr>
          <w:p w:rsidR="003540F6" w:rsidRPr="00304385" w:rsidRDefault="003540F6" w:rsidP="003540F6">
            <w:pPr>
              <w:keepNext/>
              <w:keepLines/>
              <w:autoSpaceDE w:val="0"/>
              <w:autoSpaceDN w:val="0"/>
              <w:adjustRightInd w:val="0"/>
              <w:spacing w:beforeLines="60" w:before="144" w:afterLines="60" w:after="144"/>
              <w:contextualSpacing/>
              <w:jc w:val="center"/>
              <w:rPr>
                <w:rFonts w:cs="Calibri"/>
                <w:sz w:val="20"/>
                <w:szCs w:val="20"/>
                <w:lang w:eastAsia="en-GB"/>
              </w:rPr>
            </w:pPr>
            <w:r w:rsidRPr="00304385">
              <w:rPr>
                <w:rFonts w:cs="Calibri"/>
                <w:sz w:val="20"/>
                <w:szCs w:val="20"/>
                <w:lang w:eastAsia="en-GB"/>
              </w:rPr>
              <w:t>298</w:t>
            </w:r>
          </w:p>
        </w:tc>
        <w:tc>
          <w:tcPr>
            <w:tcW w:w="1524" w:type="dxa"/>
            <w:vAlign w:val="center"/>
          </w:tcPr>
          <w:p w:rsidR="003540F6" w:rsidRPr="00304385" w:rsidRDefault="003540F6" w:rsidP="003540F6">
            <w:pPr>
              <w:keepNext/>
              <w:keepLines/>
              <w:autoSpaceDE w:val="0"/>
              <w:autoSpaceDN w:val="0"/>
              <w:adjustRightInd w:val="0"/>
              <w:spacing w:beforeLines="60" w:before="144" w:afterLines="60" w:after="144"/>
              <w:contextualSpacing/>
              <w:jc w:val="center"/>
              <w:rPr>
                <w:rFonts w:cs="Calibri"/>
                <w:sz w:val="20"/>
                <w:szCs w:val="20"/>
                <w:lang w:eastAsia="en-GB"/>
              </w:rPr>
            </w:pPr>
            <w:r w:rsidRPr="00AA1D0C">
              <w:rPr>
                <w:rFonts w:cs="Calibri"/>
                <w:sz w:val="20"/>
                <w:szCs w:val="20"/>
                <w:lang w:eastAsia="en-GB"/>
              </w:rPr>
              <w:t>PASI ≥ 10</w:t>
            </w:r>
          </w:p>
        </w:tc>
        <w:tc>
          <w:tcPr>
            <w:tcW w:w="1595" w:type="dxa"/>
            <w:vAlign w:val="center"/>
          </w:tcPr>
          <w:p w:rsidR="003540F6" w:rsidRPr="00304385" w:rsidRDefault="003540F6" w:rsidP="003540F6">
            <w:pPr>
              <w:keepNext/>
              <w:keepLines/>
              <w:autoSpaceDE w:val="0"/>
              <w:autoSpaceDN w:val="0"/>
              <w:adjustRightInd w:val="0"/>
              <w:spacing w:beforeLines="60" w:before="144" w:afterLines="60" w:after="144"/>
              <w:contextualSpacing/>
              <w:jc w:val="center"/>
              <w:rPr>
                <w:rFonts w:cs="Calibri"/>
                <w:sz w:val="20"/>
                <w:szCs w:val="20"/>
                <w:lang w:eastAsia="en-GB"/>
              </w:rPr>
            </w:pPr>
            <w:r>
              <w:rPr>
                <w:rFonts w:cs="Calibri"/>
                <w:sz w:val="20"/>
                <w:szCs w:val="20"/>
                <w:lang w:eastAsia="en-GB"/>
              </w:rPr>
              <w:t>53%</w:t>
            </w:r>
          </w:p>
        </w:tc>
      </w:tr>
      <w:tr w:rsidR="003540F6" w:rsidRPr="00304385" w:rsidTr="00071F2B">
        <w:trPr>
          <w:cantSplit/>
          <w:trHeight w:val="353"/>
          <w:tblHeader/>
        </w:trPr>
        <w:tc>
          <w:tcPr>
            <w:tcW w:w="1413" w:type="dxa"/>
            <w:tcBorders>
              <w:bottom w:val="single" w:sz="4" w:space="0" w:color="auto"/>
              <w:right w:val="nil"/>
            </w:tcBorders>
            <w:vAlign w:val="center"/>
          </w:tcPr>
          <w:p w:rsidR="003540F6" w:rsidRPr="00FF2337" w:rsidRDefault="003540F6" w:rsidP="003540F6">
            <w:pPr>
              <w:keepNext/>
              <w:keepLines/>
              <w:rPr>
                <w:rFonts w:eastAsia="Times New Roman" w:cs="Times New Roman"/>
                <w:b/>
                <w:color w:val="000000"/>
                <w:sz w:val="20"/>
                <w:szCs w:val="20"/>
                <w:lang w:eastAsia="en-GB"/>
              </w:rPr>
            </w:pPr>
            <w:r w:rsidRPr="00FF2337">
              <w:rPr>
                <w:rFonts w:eastAsia="Times New Roman" w:cs="Times New Roman"/>
                <w:b/>
                <w:color w:val="000000"/>
                <w:sz w:val="20"/>
                <w:szCs w:val="20"/>
                <w:lang w:eastAsia="en-GB"/>
              </w:rPr>
              <w:t>DLQI</w:t>
            </w:r>
          </w:p>
        </w:tc>
        <w:tc>
          <w:tcPr>
            <w:tcW w:w="1134" w:type="dxa"/>
            <w:tcBorders>
              <w:left w:val="nil"/>
              <w:bottom w:val="single" w:sz="4" w:space="0" w:color="auto"/>
              <w:right w:val="nil"/>
            </w:tcBorders>
            <w:vAlign w:val="center"/>
          </w:tcPr>
          <w:p w:rsidR="003540F6" w:rsidRPr="00304385" w:rsidRDefault="003540F6" w:rsidP="003540F6">
            <w:pPr>
              <w:keepNext/>
              <w:keepLines/>
              <w:autoSpaceDE w:val="0"/>
              <w:autoSpaceDN w:val="0"/>
              <w:adjustRightInd w:val="0"/>
              <w:spacing w:beforeLines="60" w:before="144" w:afterLines="60" w:after="144"/>
              <w:contextualSpacing/>
              <w:jc w:val="center"/>
              <w:rPr>
                <w:rFonts w:cs="Calibri"/>
                <w:sz w:val="20"/>
                <w:szCs w:val="20"/>
                <w:lang w:eastAsia="en-GB"/>
              </w:rPr>
            </w:pPr>
          </w:p>
        </w:tc>
        <w:tc>
          <w:tcPr>
            <w:tcW w:w="1701" w:type="dxa"/>
            <w:tcBorders>
              <w:left w:val="nil"/>
              <w:bottom w:val="single" w:sz="4" w:space="0" w:color="auto"/>
              <w:right w:val="nil"/>
            </w:tcBorders>
            <w:vAlign w:val="center"/>
          </w:tcPr>
          <w:p w:rsidR="003540F6" w:rsidRPr="00304385" w:rsidRDefault="003540F6" w:rsidP="003540F6">
            <w:pPr>
              <w:keepNext/>
              <w:keepLines/>
              <w:autoSpaceDE w:val="0"/>
              <w:autoSpaceDN w:val="0"/>
              <w:adjustRightInd w:val="0"/>
              <w:spacing w:beforeLines="60" w:before="144" w:afterLines="60" w:after="144"/>
              <w:contextualSpacing/>
              <w:jc w:val="center"/>
              <w:rPr>
                <w:rFonts w:cs="Calibri"/>
                <w:sz w:val="20"/>
                <w:szCs w:val="20"/>
                <w:lang w:eastAsia="en-GB"/>
              </w:rPr>
            </w:pPr>
          </w:p>
        </w:tc>
        <w:tc>
          <w:tcPr>
            <w:tcW w:w="1134" w:type="dxa"/>
            <w:tcBorders>
              <w:left w:val="nil"/>
              <w:bottom w:val="single" w:sz="4" w:space="0" w:color="auto"/>
              <w:right w:val="nil"/>
            </w:tcBorders>
            <w:vAlign w:val="center"/>
          </w:tcPr>
          <w:p w:rsidR="003540F6" w:rsidRPr="00304385" w:rsidRDefault="003540F6" w:rsidP="003540F6">
            <w:pPr>
              <w:keepNext/>
              <w:keepLines/>
              <w:autoSpaceDE w:val="0"/>
              <w:autoSpaceDN w:val="0"/>
              <w:adjustRightInd w:val="0"/>
              <w:spacing w:beforeLines="60" w:before="144" w:afterLines="60" w:after="144"/>
              <w:contextualSpacing/>
              <w:jc w:val="center"/>
              <w:rPr>
                <w:rFonts w:cs="Calibri"/>
                <w:sz w:val="20"/>
                <w:szCs w:val="20"/>
                <w:lang w:eastAsia="en-GB"/>
              </w:rPr>
            </w:pPr>
          </w:p>
        </w:tc>
        <w:tc>
          <w:tcPr>
            <w:tcW w:w="850" w:type="dxa"/>
            <w:tcBorders>
              <w:left w:val="nil"/>
              <w:bottom w:val="single" w:sz="4" w:space="0" w:color="auto"/>
              <w:right w:val="nil"/>
            </w:tcBorders>
            <w:vAlign w:val="center"/>
          </w:tcPr>
          <w:p w:rsidR="003540F6" w:rsidRPr="00304385" w:rsidRDefault="003540F6" w:rsidP="003540F6">
            <w:pPr>
              <w:keepNext/>
              <w:keepLines/>
              <w:autoSpaceDE w:val="0"/>
              <w:autoSpaceDN w:val="0"/>
              <w:adjustRightInd w:val="0"/>
              <w:spacing w:beforeLines="60" w:before="144" w:afterLines="60" w:after="144"/>
              <w:contextualSpacing/>
              <w:jc w:val="center"/>
              <w:rPr>
                <w:rFonts w:cs="Calibri"/>
                <w:sz w:val="20"/>
                <w:szCs w:val="20"/>
                <w:lang w:eastAsia="en-GB"/>
              </w:rPr>
            </w:pPr>
          </w:p>
        </w:tc>
        <w:tc>
          <w:tcPr>
            <w:tcW w:w="1524" w:type="dxa"/>
            <w:tcBorders>
              <w:left w:val="nil"/>
              <w:bottom w:val="single" w:sz="4" w:space="0" w:color="auto"/>
              <w:right w:val="nil"/>
            </w:tcBorders>
            <w:vAlign w:val="center"/>
          </w:tcPr>
          <w:p w:rsidR="003540F6" w:rsidRPr="00304385" w:rsidRDefault="003540F6" w:rsidP="003540F6">
            <w:pPr>
              <w:keepNext/>
              <w:keepLines/>
              <w:autoSpaceDE w:val="0"/>
              <w:autoSpaceDN w:val="0"/>
              <w:adjustRightInd w:val="0"/>
              <w:spacing w:beforeLines="60" w:before="144" w:afterLines="60" w:after="144"/>
              <w:contextualSpacing/>
              <w:jc w:val="center"/>
              <w:rPr>
                <w:rFonts w:cs="Calibri"/>
                <w:sz w:val="20"/>
                <w:szCs w:val="20"/>
                <w:lang w:eastAsia="en-GB"/>
              </w:rPr>
            </w:pPr>
          </w:p>
        </w:tc>
        <w:tc>
          <w:tcPr>
            <w:tcW w:w="1595" w:type="dxa"/>
            <w:tcBorders>
              <w:left w:val="nil"/>
              <w:bottom w:val="single" w:sz="4" w:space="0" w:color="auto"/>
            </w:tcBorders>
            <w:vAlign w:val="center"/>
          </w:tcPr>
          <w:p w:rsidR="003540F6" w:rsidRPr="00304385" w:rsidRDefault="003540F6" w:rsidP="003540F6">
            <w:pPr>
              <w:keepNext/>
              <w:keepLines/>
              <w:autoSpaceDE w:val="0"/>
              <w:autoSpaceDN w:val="0"/>
              <w:adjustRightInd w:val="0"/>
              <w:spacing w:beforeLines="60" w:before="144" w:afterLines="60" w:after="144"/>
              <w:contextualSpacing/>
              <w:jc w:val="center"/>
              <w:rPr>
                <w:rFonts w:cs="Calibri"/>
                <w:sz w:val="20"/>
                <w:szCs w:val="20"/>
                <w:lang w:eastAsia="en-GB"/>
              </w:rPr>
            </w:pPr>
          </w:p>
        </w:tc>
      </w:tr>
      <w:tr w:rsidR="003540F6" w:rsidRPr="00304385" w:rsidTr="00071F2B">
        <w:trPr>
          <w:cantSplit/>
          <w:trHeight w:val="353"/>
          <w:tblHeader/>
        </w:trPr>
        <w:tc>
          <w:tcPr>
            <w:tcW w:w="1413" w:type="dxa"/>
            <w:tcBorders>
              <w:bottom w:val="single" w:sz="4" w:space="0" w:color="auto"/>
            </w:tcBorders>
            <w:vAlign w:val="center"/>
          </w:tcPr>
          <w:p w:rsidR="003540F6" w:rsidRPr="00304385" w:rsidRDefault="003540F6" w:rsidP="001B4738">
            <w:pPr>
              <w:keepNext/>
              <w:keepLines/>
              <w:rPr>
                <w:rFonts w:eastAsia="Times New Roman" w:cs="Times New Roman"/>
                <w:color w:val="000000"/>
                <w:sz w:val="20"/>
                <w:szCs w:val="20"/>
                <w:lang w:eastAsia="en-GB"/>
              </w:rPr>
            </w:pPr>
            <w:r w:rsidRPr="00304385">
              <w:rPr>
                <w:rFonts w:cs="Times New Roman"/>
                <w:sz w:val="20"/>
                <w:szCs w:val="20"/>
                <w:lang w:eastAsia="en-GB"/>
              </w:rPr>
              <w:t xml:space="preserve">Langenbruc </w:t>
            </w:r>
            <w:r>
              <w:rPr>
                <w:rFonts w:cs="Times New Roman"/>
                <w:sz w:val="20"/>
                <w:szCs w:val="20"/>
                <w:lang w:eastAsia="en-GB"/>
              </w:rPr>
              <w:t>(</w:t>
            </w:r>
            <w:r w:rsidRPr="00304385">
              <w:rPr>
                <w:rFonts w:cs="Times New Roman"/>
                <w:sz w:val="20"/>
                <w:szCs w:val="20"/>
                <w:lang w:eastAsia="en-GB"/>
              </w:rPr>
              <w:t>2016</w:t>
            </w:r>
            <w:r>
              <w:rPr>
                <w:rFonts w:cs="Times New Roman"/>
                <w:sz w:val="20"/>
                <w:szCs w:val="20"/>
                <w:lang w:eastAsia="en-GB"/>
              </w:rPr>
              <w:t xml:space="preserve">) </w:t>
            </w:r>
            <w:r>
              <w:rPr>
                <w:rFonts w:cs="Times New Roman"/>
                <w:noProof/>
                <w:sz w:val="20"/>
                <w:szCs w:val="20"/>
                <w:lang w:eastAsia="en-GB"/>
              </w:rPr>
              <w:t>(</w:t>
            </w:r>
            <w:r w:rsidR="001B4738">
              <w:rPr>
                <w:rFonts w:cs="Times New Roman"/>
                <w:noProof/>
                <w:sz w:val="20"/>
                <w:szCs w:val="20"/>
                <w:lang w:eastAsia="en-GB"/>
              </w:rPr>
              <w:t>36</w:t>
            </w:r>
            <w:r>
              <w:rPr>
                <w:rFonts w:cs="Times New Roman"/>
                <w:noProof/>
                <w:sz w:val="20"/>
                <w:szCs w:val="20"/>
                <w:lang w:eastAsia="en-GB"/>
              </w:rPr>
              <w:t>)</w:t>
            </w:r>
          </w:p>
        </w:tc>
        <w:tc>
          <w:tcPr>
            <w:tcW w:w="1134" w:type="dxa"/>
            <w:tcBorders>
              <w:bottom w:val="single" w:sz="4" w:space="0" w:color="auto"/>
            </w:tcBorders>
            <w:vAlign w:val="center"/>
          </w:tcPr>
          <w:p w:rsidR="003540F6" w:rsidRPr="00304385" w:rsidRDefault="003540F6" w:rsidP="003540F6">
            <w:pPr>
              <w:keepNext/>
              <w:keepLines/>
              <w:autoSpaceDE w:val="0"/>
              <w:autoSpaceDN w:val="0"/>
              <w:adjustRightInd w:val="0"/>
              <w:spacing w:beforeLines="60" w:before="144" w:afterLines="60" w:after="144"/>
              <w:contextualSpacing/>
              <w:jc w:val="center"/>
              <w:rPr>
                <w:rFonts w:cs="Calibri"/>
                <w:sz w:val="20"/>
                <w:szCs w:val="20"/>
                <w:lang w:eastAsia="en-GB"/>
              </w:rPr>
            </w:pPr>
            <w:r w:rsidRPr="00304385">
              <w:rPr>
                <w:rFonts w:cs="Calibri"/>
                <w:sz w:val="20"/>
                <w:szCs w:val="20"/>
                <w:lang w:eastAsia="en-GB"/>
              </w:rPr>
              <w:t>All psoriasis</w:t>
            </w:r>
          </w:p>
        </w:tc>
        <w:tc>
          <w:tcPr>
            <w:tcW w:w="1701" w:type="dxa"/>
            <w:tcBorders>
              <w:bottom w:val="single" w:sz="4" w:space="0" w:color="auto"/>
            </w:tcBorders>
            <w:vAlign w:val="center"/>
          </w:tcPr>
          <w:p w:rsidR="003540F6" w:rsidRPr="00304385" w:rsidRDefault="003540F6" w:rsidP="003540F6">
            <w:pPr>
              <w:keepNext/>
              <w:keepLines/>
              <w:autoSpaceDE w:val="0"/>
              <w:autoSpaceDN w:val="0"/>
              <w:adjustRightInd w:val="0"/>
              <w:spacing w:beforeLines="60" w:before="144" w:afterLines="60" w:after="144"/>
              <w:contextualSpacing/>
              <w:jc w:val="center"/>
              <w:rPr>
                <w:rFonts w:cs="Calibri"/>
                <w:sz w:val="20"/>
                <w:szCs w:val="20"/>
                <w:lang w:eastAsia="en-GB"/>
              </w:rPr>
            </w:pPr>
            <w:r w:rsidRPr="00304385">
              <w:rPr>
                <w:rFonts w:cs="Calibri"/>
                <w:sz w:val="20"/>
                <w:szCs w:val="20"/>
                <w:lang w:eastAsia="en-GB"/>
              </w:rPr>
              <w:t>Germany (2014)</w:t>
            </w:r>
          </w:p>
        </w:tc>
        <w:tc>
          <w:tcPr>
            <w:tcW w:w="1134" w:type="dxa"/>
            <w:tcBorders>
              <w:bottom w:val="single" w:sz="4" w:space="0" w:color="auto"/>
            </w:tcBorders>
            <w:vAlign w:val="center"/>
          </w:tcPr>
          <w:p w:rsidR="003540F6" w:rsidRPr="00304385" w:rsidRDefault="003540F6" w:rsidP="003540F6">
            <w:pPr>
              <w:keepNext/>
              <w:keepLines/>
              <w:autoSpaceDE w:val="0"/>
              <w:autoSpaceDN w:val="0"/>
              <w:adjustRightInd w:val="0"/>
              <w:spacing w:beforeLines="60" w:before="144" w:afterLines="60" w:after="144"/>
              <w:contextualSpacing/>
              <w:jc w:val="center"/>
              <w:rPr>
                <w:rFonts w:cs="Calibri"/>
                <w:sz w:val="20"/>
                <w:szCs w:val="20"/>
                <w:lang w:eastAsia="en-GB"/>
              </w:rPr>
            </w:pPr>
            <w:r w:rsidRPr="00304385">
              <w:rPr>
                <w:rFonts w:cs="Calibri"/>
                <w:sz w:val="20"/>
                <w:szCs w:val="20"/>
                <w:lang w:eastAsia="en-GB"/>
              </w:rPr>
              <w:t xml:space="preserve">Low </w:t>
            </w:r>
          </w:p>
        </w:tc>
        <w:tc>
          <w:tcPr>
            <w:tcW w:w="850" w:type="dxa"/>
            <w:tcBorders>
              <w:bottom w:val="single" w:sz="4" w:space="0" w:color="auto"/>
            </w:tcBorders>
            <w:vAlign w:val="center"/>
          </w:tcPr>
          <w:p w:rsidR="003540F6" w:rsidRPr="00304385" w:rsidRDefault="003540F6" w:rsidP="003540F6">
            <w:pPr>
              <w:keepNext/>
              <w:keepLines/>
              <w:autoSpaceDE w:val="0"/>
              <w:autoSpaceDN w:val="0"/>
              <w:adjustRightInd w:val="0"/>
              <w:spacing w:beforeLines="60" w:before="144" w:afterLines="60" w:after="144"/>
              <w:contextualSpacing/>
              <w:jc w:val="center"/>
              <w:rPr>
                <w:rFonts w:cs="Calibri"/>
                <w:sz w:val="20"/>
                <w:szCs w:val="20"/>
                <w:lang w:eastAsia="en-GB"/>
              </w:rPr>
            </w:pPr>
            <w:r w:rsidRPr="00304385">
              <w:rPr>
                <w:rFonts w:cs="Calibri"/>
                <w:sz w:val="20"/>
                <w:szCs w:val="20"/>
                <w:lang w:eastAsia="en-GB"/>
              </w:rPr>
              <w:t>1,265</w:t>
            </w:r>
          </w:p>
        </w:tc>
        <w:tc>
          <w:tcPr>
            <w:tcW w:w="1524" w:type="dxa"/>
            <w:tcBorders>
              <w:bottom w:val="single" w:sz="4" w:space="0" w:color="auto"/>
            </w:tcBorders>
            <w:vAlign w:val="center"/>
          </w:tcPr>
          <w:p w:rsidR="003540F6" w:rsidRPr="00304385" w:rsidRDefault="003540F6" w:rsidP="003540F6">
            <w:pPr>
              <w:keepNext/>
              <w:keepLines/>
              <w:autoSpaceDE w:val="0"/>
              <w:autoSpaceDN w:val="0"/>
              <w:adjustRightInd w:val="0"/>
              <w:spacing w:beforeLines="60" w:before="144" w:afterLines="60" w:after="144"/>
              <w:contextualSpacing/>
              <w:jc w:val="center"/>
              <w:rPr>
                <w:rFonts w:cs="Calibri"/>
                <w:sz w:val="20"/>
                <w:szCs w:val="20"/>
                <w:lang w:eastAsia="en-GB"/>
              </w:rPr>
            </w:pPr>
            <w:r w:rsidRPr="00304385">
              <w:rPr>
                <w:rFonts w:cs="Calibri"/>
                <w:sz w:val="20"/>
                <w:szCs w:val="20"/>
                <w:lang w:eastAsia="en-GB"/>
              </w:rPr>
              <w:t>DLQI &gt; 10</w:t>
            </w:r>
          </w:p>
        </w:tc>
        <w:tc>
          <w:tcPr>
            <w:tcW w:w="1595" w:type="dxa"/>
            <w:tcBorders>
              <w:bottom w:val="single" w:sz="4" w:space="0" w:color="auto"/>
            </w:tcBorders>
            <w:vAlign w:val="center"/>
          </w:tcPr>
          <w:p w:rsidR="003540F6" w:rsidRPr="00304385" w:rsidRDefault="003540F6" w:rsidP="003540F6">
            <w:pPr>
              <w:keepNext/>
              <w:keepLines/>
              <w:autoSpaceDE w:val="0"/>
              <w:autoSpaceDN w:val="0"/>
              <w:adjustRightInd w:val="0"/>
              <w:spacing w:beforeLines="60" w:before="144" w:afterLines="60" w:after="144"/>
              <w:contextualSpacing/>
              <w:jc w:val="center"/>
              <w:rPr>
                <w:rFonts w:cs="Calibri"/>
                <w:sz w:val="20"/>
                <w:szCs w:val="20"/>
                <w:lang w:eastAsia="en-GB"/>
              </w:rPr>
            </w:pPr>
            <w:r w:rsidRPr="00304385">
              <w:rPr>
                <w:rFonts w:cs="Calibri"/>
                <w:sz w:val="20"/>
                <w:szCs w:val="20"/>
                <w:lang w:eastAsia="en-GB"/>
              </w:rPr>
              <w:t>21%</w:t>
            </w:r>
          </w:p>
        </w:tc>
      </w:tr>
      <w:tr w:rsidR="003540F6" w:rsidRPr="00304385" w:rsidTr="00071F2B">
        <w:trPr>
          <w:cantSplit/>
          <w:trHeight w:val="353"/>
          <w:tblHeader/>
        </w:trPr>
        <w:tc>
          <w:tcPr>
            <w:tcW w:w="1413" w:type="dxa"/>
            <w:tcBorders>
              <w:bottom w:val="single" w:sz="4" w:space="0" w:color="auto"/>
            </w:tcBorders>
            <w:vAlign w:val="center"/>
          </w:tcPr>
          <w:p w:rsidR="003540F6" w:rsidRPr="00304385" w:rsidRDefault="003540F6" w:rsidP="001B4738">
            <w:pPr>
              <w:keepNext/>
              <w:keepLines/>
              <w:spacing w:after="60"/>
              <w:rPr>
                <w:rFonts w:eastAsia="Times New Roman" w:cs="Times New Roman"/>
                <w:color w:val="000000"/>
                <w:sz w:val="20"/>
                <w:szCs w:val="20"/>
                <w:lang w:eastAsia="en-GB"/>
              </w:rPr>
            </w:pPr>
            <w:r w:rsidRPr="00304385">
              <w:rPr>
                <w:rFonts w:eastAsia="Times New Roman" w:cs="Times New Roman"/>
                <w:color w:val="000000"/>
                <w:sz w:val="20"/>
                <w:szCs w:val="20"/>
                <w:lang w:eastAsia="en-GB"/>
              </w:rPr>
              <w:t xml:space="preserve">Puig </w:t>
            </w:r>
            <w:r>
              <w:rPr>
                <w:rFonts w:eastAsia="Times New Roman" w:cs="Times New Roman"/>
                <w:color w:val="000000"/>
                <w:sz w:val="20"/>
                <w:szCs w:val="20"/>
                <w:lang w:eastAsia="en-GB"/>
              </w:rPr>
              <w:t>(</w:t>
            </w:r>
            <w:r w:rsidRPr="00304385">
              <w:rPr>
                <w:rFonts w:eastAsia="Times New Roman" w:cs="Times New Roman"/>
                <w:color w:val="000000"/>
                <w:sz w:val="20"/>
                <w:szCs w:val="20"/>
                <w:lang w:eastAsia="en-GB"/>
              </w:rPr>
              <w:t>2017</w:t>
            </w:r>
            <w:r>
              <w:rPr>
                <w:rFonts w:eastAsia="Times New Roman" w:cs="Times New Roman"/>
                <w:color w:val="000000"/>
                <w:sz w:val="20"/>
                <w:szCs w:val="20"/>
                <w:lang w:eastAsia="en-GB"/>
              </w:rPr>
              <w:t xml:space="preserve">) </w:t>
            </w:r>
            <w:r>
              <w:rPr>
                <w:rFonts w:eastAsia="Times New Roman" w:cs="Times New Roman"/>
                <w:noProof/>
                <w:color w:val="000000"/>
                <w:sz w:val="20"/>
                <w:szCs w:val="20"/>
                <w:lang w:eastAsia="en-GB"/>
              </w:rPr>
              <w:t>(</w:t>
            </w:r>
            <w:r w:rsidR="001B4738">
              <w:rPr>
                <w:rFonts w:eastAsia="Times New Roman" w:cs="Times New Roman"/>
                <w:noProof/>
                <w:color w:val="000000"/>
                <w:sz w:val="20"/>
                <w:szCs w:val="20"/>
                <w:lang w:eastAsia="en-GB"/>
              </w:rPr>
              <w:t>41</w:t>
            </w:r>
            <w:r>
              <w:rPr>
                <w:rFonts w:eastAsia="Times New Roman" w:cs="Times New Roman"/>
                <w:noProof/>
                <w:color w:val="000000"/>
                <w:sz w:val="20"/>
                <w:szCs w:val="20"/>
                <w:lang w:eastAsia="en-GB"/>
              </w:rPr>
              <w:t>)</w:t>
            </w:r>
          </w:p>
        </w:tc>
        <w:tc>
          <w:tcPr>
            <w:tcW w:w="1134" w:type="dxa"/>
            <w:tcBorders>
              <w:bottom w:val="single" w:sz="4" w:space="0" w:color="auto"/>
            </w:tcBorders>
            <w:vAlign w:val="center"/>
          </w:tcPr>
          <w:p w:rsidR="003540F6" w:rsidRPr="00304385" w:rsidRDefault="003540F6" w:rsidP="003540F6">
            <w:pPr>
              <w:keepNext/>
              <w:keepLines/>
              <w:autoSpaceDE w:val="0"/>
              <w:autoSpaceDN w:val="0"/>
              <w:adjustRightInd w:val="0"/>
              <w:spacing w:beforeLines="60" w:before="144" w:afterLines="60" w:after="144"/>
              <w:contextualSpacing/>
              <w:jc w:val="center"/>
              <w:rPr>
                <w:rFonts w:cs="Calibri"/>
                <w:sz w:val="20"/>
                <w:szCs w:val="20"/>
                <w:lang w:eastAsia="en-GB"/>
              </w:rPr>
            </w:pPr>
            <w:r w:rsidRPr="00304385">
              <w:rPr>
                <w:rFonts w:cs="Calibri"/>
                <w:sz w:val="20"/>
                <w:szCs w:val="20"/>
                <w:lang w:eastAsia="en-GB"/>
              </w:rPr>
              <w:t>All psoriasis excl PsA</w:t>
            </w:r>
          </w:p>
        </w:tc>
        <w:tc>
          <w:tcPr>
            <w:tcW w:w="1701" w:type="dxa"/>
            <w:tcBorders>
              <w:bottom w:val="single" w:sz="4" w:space="0" w:color="auto"/>
            </w:tcBorders>
            <w:vAlign w:val="bottom"/>
          </w:tcPr>
          <w:p w:rsidR="003540F6" w:rsidRPr="00B37398" w:rsidRDefault="003540F6" w:rsidP="003540F6">
            <w:pPr>
              <w:keepNext/>
              <w:keepLines/>
              <w:spacing w:after="60"/>
              <w:jc w:val="center"/>
              <w:rPr>
                <w:rFonts w:eastAsia="Times New Roman" w:cs="Times New Roman"/>
                <w:color w:val="000000"/>
                <w:sz w:val="20"/>
                <w:szCs w:val="20"/>
                <w:lang w:eastAsia="en-GB"/>
              </w:rPr>
            </w:pPr>
            <w:r w:rsidRPr="00304385">
              <w:rPr>
                <w:rFonts w:eastAsia="Times New Roman" w:cs="Times New Roman"/>
                <w:color w:val="000000"/>
                <w:sz w:val="20"/>
                <w:szCs w:val="20"/>
                <w:lang w:eastAsia="en-GB"/>
              </w:rPr>
              <w:t>Fr</w:t>
            </w:r>
            <w:r>
              <w:rPr>
                <w:rFonts w:eastAsia="Times New Roman" w:cs="Times New Roman"/>
                <w:color w:val="000000"/>
                <w:sz w:val="20"/>
                <w:szCs w:val="20"/>
                <w:lang w:eastAsia="en-GB"/>
              </w:rPr>
              <w:t>ance, Germany, Italy, Spain, UK</w:t>
            </w:r>
          </w:p>
        </w:tc>
        <w:tc>
          <w:tcPr>
            <w:tcW w:w="1134" w:type="dxa"/>
            <w:tcBorders>
              <w:bottom w:val="single" w:sz="4" w:space="0" w:color="auto"/>
            </w:tcBorders>
            <w:vAlign w:val="center"/>
          </w:tcPr>
          <w:p w:rsidR="003540F6" w:rsidRPr="00304385" w:rsidRDefault="003540F6" w:rsidP="003540F6">
            <w:pPr>
              <w:keepNext/>
              <w:keepLines/>
              <w:autoSpaceDE w:val="0"/>
              <w:autoSpaceDN w:val="0"/>
              <w:adjustRightInd w:val="0"/>
              <w:spacing w:beforeLines="60" w:before="144" w:afterLines="60" w:after="144"/>
              <w:contextualSpacing/>
              <w:jc w:val="center"/>
              <w:rPr>
                <w:rFonts w:cs="Calibri"/>
                <w:sz w:val="20"/>
                <w:szCs w:val="20"/>
                <w:lang w:eastAsia="en-GB"/>
              </w:rPr>
            </w:pPr>
            <w:r w:rsidRPr="00304385">
              <w:rPr>
                <w:rFonts w:cs="Calibri"/>
                <w:sz w:val="20"/>
                <w:szCs w:val="20"/>
                <w:lang w:eastAsia="en-GB"/>
              </w:rPr>
              <w:t>Moderate</w:t>
            </w:r>
          </w:p>
        </w:tc>
        <w:tc>
          <w:tcPr>
            <w:tcW w:w="850" w:type="dxa"/>
            <w:tcBorders>
              <w:bottom w:val="single" w:sz="4" w:space="0" w:color="auto"/>
            </w:tcBorders>
            <w:vAlign w:val="center"/>
          </w:tcPr>
          <w:p w:rsidR="003540F6" w:rsidRPr="00304385" w:rsidRDefault="003540F6" w:rsidP="003540F6">
            <w:pPr>
              <w:keepNext/>
              <w:keepLines/>
              <w:autoSpaceDE w:val="0"/>
              <w:autoSpaceDN w:val="0"/>
              <w:adjustRightInd w:val="0"/>
              <w:spacing w:beforeLines="60" w:before="144" w:afterLines="60" w:after="144"/>
              <w:contextualSpacing/>
              <w:jc w:val="center"/>
              <w:rPr>
                <w:rFonts w:cs="Calibri"/>
                <w:sz w:val="20"/>
                <w:szCs w:val="20"/>
                <w:lang w:eastAsia="en-GB"/>
              </w:rPr>
            </w:pPr>
            <w:r w:rsidRPr="00304385">
              <w:rPr>
                <w:rFonts w:cs="Calibri"/>
                <w:sz w:val="20"/>
                <w:szCs w:val="20"/>
                <w:lang w:eastAsia="en-GB"/>
              </w:rPr>
              <w:t>1,700</w:t>
            </w:r>
          </w:p>
        </w:tc>
        <w:tc>
          <w:tcPr>
            <w:tcW w:w="1524" w:type="dxa"/>
            <w:tcBorders>
              <w:bottom w:val="single" w:sz="4" w:space="0" w:color="auto"/>
            </w:tcBorders>
            <w:vAlign w:val="center"/>
          </w:tcPr>
          <w:p w:rsidR="003540F6" w:rsidRPr="00304385" w:rsidRDefault="003540F6" w:rsidP="003540F6">
            <w:pPr>
              <w:keepNext/>
              <w:keepLines/>
              <w:autoSpaceDE w:val="0"/>
              <w:autoSpaceDN w:val="0"/>
              <w:adjustRightInd w:val="0"/>
              <w:spacing w:beforeLines="60" w:before="144" w:afterLines="60" w:after="144"/>
              <w:contextualSpacing/>
              <w:jc w:val="center"/>
              <w:rPr>
                <w:rFonts w:cs="Calibri"/>
                <w:sz w:val="20"/>
                <w:szCs w:val="20"/>
                <w:lang w:eastAsia="en-GB"/>
              </w:rPr>
            </w:pPr>
            <w:r w:rsidRPr="00304385">
              <w:rPr>
                <w:rFonts w:cs="Calibri"/>
                <w:sz w:val="20"/>
                <w:szCs w:val="20"/>
                <w:lang w:eastAsia="en-GB"/>
              </w:rPr>
              <w:t>DLQI &gt; 10</w:t>
            </w:r>
          </w:p>
        </w:tc>
        <w:tc>
          <w:tcPr>
            <w:tcW w:w="1595" w:type="dxa"/>
            <w:tcBorders>
              <w:bottom w:val="single" w:sz="4" w:space="0" w:color="auto"/>
            </w:tcBorders>
            <w:vAlign w:val="center"/>
          </w:tcPr>
          <w:p w:rsidR="003540F6" w:rsidRPr="00304385" w:rsidRDefault="003540F6" w:rsidP="003540F6">
            <w:pPr>
              <w:keepNext/>
              <w:keepLines/>
              <w:autoSpaceDE w:val="0"/>
              <w:autoSpaceDN w:val="0"/>
              <w:adjustRightInd w:val="0"/>
              <w:spacing w:beforeLines="60" w:before="144" w:afterLines="60" w:after="144"/>
              <w:contextualSpacing/>
              <w:jc w:val="center"/>
              <w:rPr>
                <w:rFonts w:cs="Calibri"/>
                <w:sz w:val="20"/>
                <w:szCs w:val="20"/>
                <w:lang w:eastAsia="en-GB"/>
              </w:rPr>
            </w:pPr>
            <w:r w:rsidRPr="00304385">
              <w:rPr>
                <w:rFonts w:cs="Calibri"/>
                <w:sz w:val="20"/>
                <w:szCs w:val="20"/>
                <w:lang w:eastAsia="en-GB"/>
              </w:rPr>
              <w:t>12%</w:t>
            </w:r>
          </w:p>
        </w:tc>
      </w:tr>
    </w:tbl>
    <w:p w:rsidR="00071F2B" w:rsidRPr="00304385" w:rsidRDefault="00071F2B" w:rsidP="00071F2B">
      <w:pPr>
        <w:keepNext/>
        <w:keepLines/>
        <w:spacing w:after="0"/>
        <w:rPr>
          <w:rFonts w:eastAsiaTheme="minorEastAsia" w:cs="Baskerville"/>
          <w:sz w:val="20"/>
          <w:szCs w:val="20"/>
          <w:lang w:eastAsia="en-GB"/>
        </w:rPr>
      </w:pPr>
      <w:r w:rsidRPr="00304385">
        <w:rPr>
          <w:rFonts w:eastAsiaTheme="minorEastAsia" w:cs="Baskerville"/>
          <w:sz w:val="20"/>
          <w:szCs w:val="20"/>
          <w:lang w:eastAsia="en-GB"/>
        </w:rPr>
        <w:t xml:space="preserve">Source: </w:t>
      </w:r>
      <w:r>
        <w:rPr>
          <w:rFonts w:eastAsiaTheme="minorEastAsia" w:cs="Baskerville"/>
          <w:noProof/>
          <w:sz w:val="20"/>
          <w:szCs w:val="20"/>
          <w:lang w:eastAsia="en-GB"/>
        </w:rPr>
        <w:t>Jenner (2002)</w:t>
      </w:r>
      <w:r w:rsidRPr="00304385">
        <w:rPr>
          <w:rFonts w:eastAsiaTheme="minorEastAsia" w:cs="Baskerville"/>
          <w:sz w:val="20"/>
          <w:szCs w:val="20"/>
          <w:lang w:eastAsia="en-GB"/>
        </w:rPr>
        <w:t xml:space="preserve">; </w:t>
      </w:r>
      <w:r>
        <w:rPr>
          <w:rFonts w:eastAsiaTheme="minorEastAsia" w:cs="Baskerville"/>
          <w:noProof/>
          <w:sz w:val="20"/>
          <w:szCs w:val="20"/>
          <w:lang w:eastAsia="en-GB"/>
        </w:rPr>
        <w:t>Plunkett (1999)</w:t>
      </w:r>
      <w:r w:rsidRPr="00304385">
        <w:rPr>
          <w:rFonts w:eastAsiaTheme="minorEastAsia" w:cs="Baskerville"/>
          <w:sz w:val="20"/>
          <w:szCs w:val="20"/>
          <w:lang w:eastAsia="en-GB"/>
        </w:rPr>
        <w:t xml:space="preserve">; </w:t>
      </w:r>
      <w:r>
        <w:rPr>
          <w:rFonts w:eastAsiaTheme="minorEastAsia" w:cs="Baskerville"/>
          <w:noProof/>
          <w:sz w:val="20"/>
          <w:szCs w:val="20"/>
          <w:lang w:eastAsia="en-GB"/>
        </w:rPr>
        <w:t>Augustin (2008)</w:t>
      </w:r>
      <w:r w:rsidRPr="00304385">
        <w:rPr>
          <w:rFonts w:eastAsiaTheme="minorEastAsia" w:cs="Baskerville"/>
          <w:sz w:val="20"/>
          <w:szCs w:val="20"/>
          <w:lang w:eastAsia="en-GB"/>
        </w:rPr>
        <w:t xml:space="preserve">; </w:t>
      </w:r>
      <w:r>
        <w:rPr>
          <w:rFonts w:eastAsiaTheme="minorEastAsia" w:cs="Baskerville"/>
          <w:noProof/>
          <w:sz w:val="20"/>
          <w:szCs w:val="20"/>
          <w:lang w:eastAsia="en-GB"/>
        </w:rPr>
        <w:t>Mallbris (2005)</w:t>
      </w:r>
    </w:p>
    <w:p w:rsidR="00071F2B" w:rsidRPr="00304385" w:rsidRDefault="00071F2B" w:rsidP="00071F2B">
      <w:pPr>
        <w:keepNext/>
        <w:keepLines/>
        <w:spacing w:after="0"/>
        <w:rPr>
          <w:rFonts w:eastAsiaTheme="minorEastAsia" w:cs="Baskerville"/>
          <w:sz w:val="20"/>
          <w:szCs w:val="20"/>
          <w:lang w:eastAsia="en-GB"/>
        </w:rPr>
      </w:pPr>
      <w:r w:rsidRPr="00304385">
        <w:rPr>
          <w:rFonts w:eastAsiaTheme="minorEastAsia" w:cs="Baskerville"/>
          <w:sz w:val="20"/>
          <w:szCs w:val="20"/>
          <w:lang w:eastAsia="en-GB"/>
        </w:rPr>
        <w:t xml:space="preserve">BSA = body surface area; </w:t>
      </w:r>
      <w:r w:rsidR="00C32F5C">
        <w:rPr>
          <w:rFonts w:eastAsiaTheme="minorEastAsia" w:cs="Baskerville"/>
          <w:sz w:val="20"/>
          <w:szCs w:val="20"/>
          <w:lang w:eastAsia="en-GB"/>
        </w:rPr>
        <w:t xml:space="preserve">CPP = chronic plaque psoriasis; </w:t>
      </w:r>
      <w:r w:rsidR="007A1C79">
        <w:rPr>
          <w:rFonts w:eastAsiaTheme="minorEastAsia" w:cs="Baskerville"/>
          <w:sz w:val="20"/>
          <w:szCs w:val="20"/>
          <w:lang w:eastAsia="en-GB"/>
        </w:rPr>
        <w:t xml:space="preserve">DLQI = </w:t>
      </w:r>
      <w:r w:rsidR="00C32F5C" w:rsidRPr="00C32F5C">
        <w:rPr>
          <w:rFonts w:eastAsiaTheme="minorEastAsia" w:cs="Baskerville"/>
          <w:sz w:val="20"/>
          <w:szCs w:val="20"/>
          <w:lang w:eastAsia="en-GB"/>
        </w:rPr>
        <w:t>Dermatology Life Quality Index</w:t>
      </w:r>
      <w:r w:rsidR="00C32F5C">
        <w:rPr>
          <w:rFonts w:eastAsiaTheme="minorEastAsia" w:cs="Baskerville"/>
          <w:sz w:val="20"/>
          <w:szCs w:val="20"/>
          <w:lang w:eastAsia="en-GB"/>
        </w:rPr>
        <w:t xml:space="preserve">; </w:t>
      </w:r>
      <w:r w:rsidR="005D184E">
        <w:rPr>
          <w:rFonts w:eastAsiaTheme="minorEastAsia" w:cs="Baskerville"/>
          <w:sz w:val="20"/>
          <w:szCs w:val="20"/>
          <w:lang w:eastAsia="en-GB"/>
        </w:rPr>
        <w:br/>
      </w:r>
      <w:r w:rsidRPr="00304385">
        <w:rPr>
          <w:rFonts w:eastAsiaTheme="minorEastAsia" w:cs="Baskerville"/>
          <w:sz w:val="20"/>
          <w:szCs w:val="20"/>
          <w:lang w:eastAsia="en-GB"/>
        </w:rPr>
        <w:t xml:space="preserve">N/A = not applicable; PASI = Psoriasis Area and Severity Index; </w:t>
      </w:r>
      <w:r w:rsidRPr="003A20F9">
        <w:rPr>
          <w:rFonts w:eastAsiaTheme="minorEastAsia" w:cs="Baskerville"/>
          <w:noProof/>
          <w:sz w:val="20"/>
          <w:szCs w:val="20"/>
          <w:lang w:eastAsia="en-GB"/>
        </w:rPr>
        <w:t>PsA</w:t>
      </w:r>
      <w:r w:rsidRPr="00304385">
        <w:rPr>
          <w:rFonts w:eastAsiaTheme="minorEastAsia" w:cs="Baskerville"/>
          <w:sz w:val="20"/>
          <w:szCs w:val="20"/>
          <w:lang w:eastAsia="en-GB"/>
        </w:rPr>
        <w:t xml:space="preserve"> = psoriatic arthritis; QLD = Queensland; </w:t>
      </w:r>
      <w:r w:rsidR="005D184E">
        <w:rPr>
          <w:rFonts w:eastAsiaTheme="minorEastAsia" w:cs="Baskerville"/>
          <w:sz w:val="20"/>
          <w:szCs w:val="20"/>
          <w:lang w:eastAsia="en-GB"/>
        </w:rPr>
        <w:br/>
      </w:r>
      <w:r w:rsidRPr="00304385">
        <w:rPr>
          <w:rFonts w:eastAsiaTheme="minorEastAsia" w:cs="Baskerville"/>
          <w:sz w:val="20"/>
          <w:szCs w:val="20"/>
          <w:lang w:eastAsia="en-GB"/>
        </w:rPr>
        <w:t>USA = United States of America; VIC = Victoria</w:t>
      </w:r>
    </w:p>
    <w:p w:rsidR="00071F2B" w:rsidRPr="00304385" w:rsidRDefault="00071F2B" w:rsidP="00071F2B">
      <w:pPr>
        <w:keepNext/>
        <w:keepLines/>
        <w:spacing w:after="0"/>
        <w:rPr>
          <w:rFonts w:eastAsiaTheme="minorEastAsia" w:cs="Baskerville"/>
          <w:sz w:val="20"/>
          <w:szCs w:val="20"/>
          <w:lang w:eastAsia="en-GB"/>
        </w:rPr>
      </w:pPr>
      <w:r w:rsidRPr="00304385">
        <w:rPr>
          <w:rFonts w:eastAsiaTheme="minorEastAsia" w:cs="Baskerville"/>
          <w:sz w:val="20"/>
          <w:szCs w:val="20"/>
          <w:vertAlign w:val="superscript"/>
          <w:lang w:eastAsia="en-GB"/>
        </w:rPr>
        <w:t>a</w:t>
      </w:r>
      <w:r w:rsidRPr="00304385">
        <w:rPr>
          <w:rFonts w:eastAsiaTheme="minorEastAsia" w:cs="Baskerville"/>
          <w:sz w:val="20"/>
          <w:szCs w:val="20"/>
          <w:lang w:eastAsia="en-GB"/>
        </w:rPr>
        <w:t xml:space="preserve"> Extracted from individual PASI data included in a graph in </w:t>
      </w:r>
      <w:r>
        <w:rPr>
          <w:rFonts w:eastAsiaTheme="minorEastAsia" w:cs="Baskerville"/>
          <w:noProof/>
          <w:sz w:val="20"/>
          <w:szCs w:val="20"/>
          <w:lang w:eastAsia="en-GB"/>
        </w:rPr>
        <w:t>Jenner (2002)</w:t>
      </w:r>
      <w:r w:rsidRPr="00304385">
        <w:rPr>
          <w:rFonts w:eastAsiaTheme="minorEastAsia" w:cs="Baskerville"/>
          <w:sz w:val="20"/>
          <w:szCs w:val="20"/>
          <w:lang w:eastAsia="en-GB"/>
        </w:rPr>
        <w:t>;</w:t>
      </w:r>
    </w:p>
    <w:p w:rsidR="00071F2B" w:rsidRPr="00304385" w:rsidRDefault="00071F2B" w:rsidP="00071F2B">
      <w:pPr>
        <w:keepNext/>
        <w:keepLines/>
        <w:spacing w:after="0"/>
        <w:rPr>
          <w:rFonts w:eastAsiaTheme="minorEastAsia" w:cs="Baskerville"/>
          <w:sz w:val="20"/>
          <w:szCs w:val="20"/>
          <w:lang w:eastAsia="en-GB"/>
        </w:rPr>
      </w:pPr>
      <w:r w:rsidRPr="00304385">
        <w:rPr>
          <w:rFonts w:eastAsiaTheme="minorEastAsia" w:cs="Baskerville"/>
          <w:sz w:val="20"/>
          <w:szCs w:val="20"/>
          <w:vertAlign w:val="superscript"/>
          <w:lang w:eastAsia="en-GB"/>
        </w:rPr>
        <w:t>b</w:t>
      </w:r>
      <w:r w:rsidRPr="00304385">
        <w:rPr>
          <w:rFonts w:eastAsiaTheme="minorEastAsia" w:cs="Baskerville"/>
          <w:sz w:val="20"/>
          <w:szCs w:val="20"/>
          <w:lang w:eastAsia="en-GB"/>
        </w:rPr>
        <w:t xml:space="preserve"> Patients with psoriasis only. </w:t>
      </w:r>
    </w:p>
    <w:p w:rsidR="00071F2B" w:rsidRPr="00304385" w:rsidRDefault="00071F2B" w:rsidP="00071F2B">
      <w:pPr>
        <w:keepNext/>
        <w:keepLines/>
        <w:spacing w:after="0"/>
        <w:rPr>
          <w:rFonts w:eastAsiaTheme="minorEastAsia" w:cs="Baskerville"/>
          <w:sz w:val="20"/>
          <w:szCs w:val="20"/>
          <w:lang w:eastAsia="en-GB"/>
        </w:rPr>
      </w:pPr>
      <w:r w:rsidRPr="00304385">
        <w:rPr>
          <w:rFonts w:eastAsiaTheme="minorEastAsia" w:cs="Baskerville"/>
          <w:sz w:val="20"/>
          <w:szCs w:val="20"/>
          <w:vertAlign w:val="superscript"/>
          <w:lang w:eastAsia="en-GB"/>
        </w:rPr>
        <w:t>c</w:t>
      </w:r>
      <w:r w:rsidRPr="00304385">
        <w:rPr>
          <w:rFonts w:eastAsiaTheme="minorEastAsia" w:cs="Baskerville"/>
          <w:sz w:val="20"/>
          <w:szCs w:val="20"/>
          <w:lang w:eastAsia="en-GB"/>
        </w:rPr>
        <w:t xml:space="preserve"> 601 psoriasis patients in </w:t>
      </w:r>
      <w:r w:rsidRPr="003A20F9">
        <w:rPr>
          <w:rFonts w:eastAsiaTheme="minorEastAsia" w:cs="Baskerville"/>
          <w:noProof/>
          <w:sz w:val="20"/>
          <w:szCs w:val="20"/>
          <w:lang w:eastAsia="en-GB"/>
        </w:rPr>
        <w:t>initial</w:t>
      </w:r>
      <w:r w:rsidRPr="00304385">
        <w:rPr>
          <w:rFonts w:eastAsiaTheme="minorEastAsia" w:cs="Baskerville"/>
          <w:sz w:val="20"/>
          <w:szCs w:val="20"/>
          <w:lang w:eastAsia="en-GB"/>
        </w:rPr>
        <w:t xml:space="preserve"> survey. 266 participants from initial survey participated in the follow-up survey </w:t>
      </w:r>
    </w:p>
    <w:p w:rsidR="00071F2B" w:rsidRPr="00304385" w:rsidRDefault="00071F2B" w:rsidP="00071F2B">
      <w:pPr>
        <w:spacing w:after="0"/>
        <w:rPr>
          <w:rFonts w:eastAsiaTheme="minorEastAsia" w:cs="Baskerville"/>
          <w:sz w:val="20"/>
          <w:szCs w:val="20"/>
          <w:lang w:eastAsia="en-GB"/>
        </w:rPr>
      </w:pPr>
    </w:p>
    <w:p w:rsidR="00AA1D0C" w:rsidRDefault="00071F2B" w:rsidP="00071F2B">
      <w:pPr>
        <w:spacing w:after="0"/>
        <w:rPr>
          <w:rFonts w:cs="Times New Roman"/>
          <w:szCs w:val="24"/>
          <w:lang w:eastAsia="en-GB"/>
        </w:rPr>
      </w:pPr>
      <w:r>
        <w:rPr>
          <w:rFonts w:cs="Times New Roman"/>
          <w:szCs w:val="24"/>
          <w:lang w:eastAsia="en-GB"/>
        </w:rPr>
        <w:t>The</w:t>
      </w:r>
      <w:r w:rsidR="003540F6">
        <w:rPr>
          <w:rFonts w:cs="Times New Roman"/>
          <w:szCs w:val="24"/>
          <w:lang w:eastAsia="en-GB"/>
        </w:rPr>
        <w:t xml:space="preserve"> prevalence of severe psoriasis based on having a PASI of 15 or greater </w:t>
      </w:r>
      <w:r>
        <w:rPr>
          <w:rFonts w:cs="Times New Roman"/>
          <w:szCs w:val="24"/>
          <w:lang w:eastAsia="en-GB"/>
        </w:rPr>
        <w:t xml:space="preserve">varied from </w:t>
      </w:r>
      <w:r w:rsidRPr="00304385">
        <w:rPr>
          <w:rFonts w:cs="Times New Roman"/>
          <w:szCs w:val="24"/>
          <w:lang w:eastAsia="en-GB"/>
        </w:rPr>
        <w:t>2% to 50%</w:t>
      </w:r>
      <w:r>
        <w:rPr>
          <w:rFonts w:cs="Times New Roman"/>
          <w:szCs w:val="24"/>
          <w:lang w:eastAsia="en-GB"/>
        </w:rPr>
        <w:t xml:space="preserve"> in the included studies</w:t>
      </w:r>
      <w:r w:rsidRPr="00304385">
        <w:rPr>
          <w:rFonts w:cs="Times New Roman"/>
          <w:szCs w:val="24"/>
          <w:lang w:eastAsia="en-GB"/>
        </w:rPr>
        <w:t xml:space="preserve">. </w:t>
      </w:r>
      <w:r>
        <w:rPr>
          <w:rFonts w:cs="Times New Roman"/>
          <w:szCs w:val="24"/>
          <w:lang w:eastAsia="en-GB"/>
        </w:rPr>
        <w:t xml:space="preserve">Even </w:t>
      </w:r>
      <w:r w:rsidR="003540F6">
        <w:rPr>
          <w:rFonts w:cs="Times New Roman"/>
          <w:szCs w:val="24"/>
          <w:lang w:eastAsia="en-GB"/>
        </w:rPr>
        <w:t xml:space="preserve">in </w:t>
      </w:r>
      <w:r>
        <w:rPr>
          <w:rFonts w:cs="Times New Roman"/>
          <w:szCs w:val="24"/>
          <w:lang w:eastAsia="en-GB"/>
        </w:rPr>
        <w:t xml:space="preserve">studies that used the same definition of severity, the </w:t>
      </w:r>
      <w:r w:rsidRPr="003A20F9">
        <w:rPr>
          <w:rFonts w:cs="Times New Roman"/>
          <w:noProof/>
          <w:szCs w:val="24"/>
          <w:lang w:eastAsia="en-GB"/>
        </w:rPr>
        <w:t>prevalence</w:t>
      </w:r>
      <w:r>
        <w:rPr>
          <w:rFonts w:cs="Times New Roman"/>
          <w:szCs w:val="24"/>
          <w:lang w:eastAsia="en-GB"/>
        </w:rPr>
        <w:t xml:space="preserve"> of severe </w:t>
      </w:r>
      <w:r w:rsidR="00F303BB">
        <w:rPr>
          <w:rFonts w:cs="Times New Roman"/>
          <w:szCs w:val="24"/>
          <w:lang w:eastAsia="en-GB"/>
        </w:rPr>
        <w:t>CPP</w:t>
      </w:r>
      <w:r>
        <w:rPr>
          <w:rFonts w:cs="Times New Roman"/>
          <w:szCs w:val="24"/>
          <w:lang w:eastAsia="en-GB"/>
        </w:rPr>
        <w:t xml:space="preserve"> was highly variable. For example, t</w:t>
      </w:r>
      <w:r w:rsidRPr="00304385">
        <w:rPr>
          <w:rFonts w:cs="Times New Roman"/>
          <w:szCs w:val="24"/>
          <w:lang w:eastAsia="en-GB"/>
        </w:rPr>
        <w:t xml:space="preserve">he two studies that defined severe psoriasis as a PASI of 15 </w:t>
      </w:r>
      <w:r w:rsidR="003540F6">
        <w:rPr>
          <w:rFonts w:cs="Times New Roman"/>
          <w:szCs w:val="24"/>
          <w:lang w:eastAsia="en-GB"/>
        </w:rPr>
        <w:t xml:space="preserve">or greater </w:t>
      </w:r>
      <w:r w:rsidRPr="00304385">
        <w:rPr>
          <w:rFonts w:cs="Times New Roman"/>
          <w:szCs w:val="24"/>
          <w:lang w:eastAsia="en-GB"/>
        </w:rPr>
        <w:t>reported the prevalence of severe psoriasis ranging from 3% to 31%</w:t>
      </w:r>
      <w:r>
        <w:rPr>
          <w:rFonts w:cs="Times New Roman"/>
          <w:szCs w:val="24"/>
          <w:lang w:eastAsia="en-GB"/>
        </w:rPr>
        <w:t>.</w:t>
      </w:r>
      <w:r w:rsidR="00FB1688">
        <w:rPr>
          <w:rFonts w:cs="Times New Roman"/>
          <w:noProof/>
          <w:szCs w:val="24"/>
          <w:lang w:eastAsia="en-GB"/>
        </w:rPr>
        <w:t>(</w:t>
      </w:r>
      <w:r w:rsidR="001B4738">
        <w:rPr>
          <w:rFonts w:cs="Times New Roman"/>
          <w:noProof/>
          <w:szCs w:val="24"/>
          <w:lang w:eastAsia="en-GB"/>
        </w:rPr>
        <w:t>19</w:t>
      </w:r>
      <w:r w:rsidR="00FB1688">
        <w:rPr>
          <w:rFonts w:cs="Times New Roman"/>
          <w:noProof/>
          <w:szCs w:val="24"/>
          <w:lang w:eastAsia="en-GB"/>
        </w:rPr>
        <w:t xml:space="preserve">, </w:t>
      </w:r>
      <w:r w:rsidR="001B4738">
        <w:rPr>
          <w:rFonts w:cs="Times New Roman"/>
          <w:noProof/>
          <w:szCs w:val="24"/>
          <w:lang w:eastAsia="en-GB"/>
        </w:rPr>
        <w:t>35</w:t>
      </w:r>
      <w:r w:rsidR="00FB1688">
        <w:rPr>
          <w:rFonts w:cs="Times New Roman"/>
          <w:noProof/>
          <w:szCs w:val="24"/>
          <w:lang w:eastAsia="en-GB"/>
        </w:rPr>
        <w:t>)</w:t>
      </w:r>
      <w:r w:rsidRPr="00304385">
        <w:rPr>
          <w:rFonts w:cs="Times New Roman"/>
          <w:szCs w:val="24"/>
          <w:lang w:eastAsia="en-GB"/>
        </w:rPr>
        <w:t xml:space="preserve"> </w:t>
      </w:r>
    </w:p>
    <w:p w:rsidR="00AA1D0C" w:rsidRDefault="00AA1D0C" w:rsidP="00071F2B">
      <w:pPr>
        <w:spacing w:after="0"/>
        <w:rPr>
          <w:rFonts w:cs="Times New Roman"/>
          <w:szCs w:val="24"/>
          <w:lang w:eastAsia="en-GB"/>
        </w:rPr>
      </w:pPr>
    </w:p>
    <w:p w:rsidR="00727D79" w:rsidRDefault="00AA1D0C" w:rsidP="00727D79">
      <w:pPr>
        <w:spacing w:after="0"/>
        <w:rPr>
          <w:rFonts w:cs="Times New Roman"/>
          <w:szCs w:val="24"/>
          <w:lang w:eastAsia="en-GB"/>
        </w:rPr>
      </w:pPr>
      <w:r w:rsidRPr="00F20284">
        <w:rPr>
          <w:rFonts w:cs="Times New Roman"/>
          <w:szCs w:val="24"/>
          <w:lang w:eastAsia="en-GB"/>
        </w:rPr>
        <w:t>Mallbris</w:t>
      </w:r>
      <w:r>
        <w:rPr>
          <w:rFonts w:cs="Times New Roman"/>
          <w:szCs w:val="24"/>
          <w:lang w:eastAsia="en-GB"/>
        </w:rPr>
        <w:t xml:space="preserve"> (</w:t>
      </w:r>
      <w:r w:rsidRPr="00F20284">
        <w:rPr>
          <w:rFonts w:cs="Times New Roman"/>
          <w:szCs w:val="24"/>
          <w:lang w:eastAsia="en-GB"/>
        </w:rPr>
        <w:t>2005)</w:t>
      </w:r>
      <w:r>
        <w:rPr>
          <w:rFonts w:cs="Times New Roman"/>
          <w:szCs w:val="24"/>
          <w:lang w:eastAsia="en-GB"/>
        </w:rPr>
        <w:t xml:space="preserve"> was considered to be the most appropriate esti</w:t>
      </w:r>
      <w:r w:rsidR="009D2228">
        <w:rPr>
          <w:rFonts w:cs="Times New Roman"/>
          <w:szCs w:val="24"/>
          <w:lang w:eastAsia="en-GB"/>
        </w:rPr>
        <w:t xml:space="preserve">mate for severity based on PASI greater than </w:t>
      </w:r>
      <w:r>
        <w:rPr>
          <w:rFonts w:cs="Times New Roman"/>
          <w:szCs w:val="24"/>
          <w:lang w:eastAsia="en-GB"/>
        </w:rPr>
        <w:t>15</w:t>
      </w:r>
      <w:r w:rsidR="009D2228">
        <w:rPr>
          <w:rFonts w:cs="Times New Roman"/>
          <w:szCs w:val="24"/>
          <w:lang w:eastAsia="en-GB"/>
        </w:rPr>
        <w:t xml:space="preserve"> (3% to 5%)</w:t>
      </w:r>
      <w:r>
        <w:rPr>
          <w:rFonts w:cs="Times New Roman"/>
          <w:szCs w:val="24"/>
          <w:lang w:eastAsia="en-GB"/>
        </w:rPr>
        <w:t xml:space="preserve"> because it had a low risk of bias</w:t>
      </w:r>
      <w:r w:rsidRPr="00FC7481">
        <w:rPr>
          <w:rFonts w:cs="Times New Roman"/>
          <w:szCs w:val="24"/>
          <w:lang w:eastAsia="en-GB"/>
        </w:rPr>
        <w:t>.</w:t>
      </w:r>
      <w:r>
        <w:rPr>
          <w:rFonts w:cs="Times New Roman"/>
          <w:noProof/>
          <w:szCs w:val="24"/>
          <w:lang w:eastAsia="en-GB"/>
        </w:rPr>
        <w:t>(</w:t>
      </w:r>
      <w:r w:rsidR="001B4738">
        <w:rPr>
          <w:rFonts w:cs="Times New Roman"/>
          <w:noProof/>
          <w:szCs w:val="24"/>
          <w:lang w:eastAsia="en-GB"/>
        </w:rPr>
        <w:t>19</w:t>
      </w:r>
      <w:r>
        <w:rPr>
          <w:rFonts w:cs="Times New Roman"/>
          <w:noProof/>
          <w:szCs w:val="24"/>
          <w:lang w:eastAsia="en-GB"/>
        </w:rPr>
        <w:t>)</w:t>
      </w:r>
      <w:r>
        <w:rPr>
          <w:rFonts w:cs="Times New Roman"/>
          <w:szCs w:val="24"/>
          <w:lang w:eastAsia="en-GB"/>
        </w:rPr>
        <w:t xml:space="preserve"> </w:t>
      </w:r>
      <w:r w:rsidR="009D2228">
        <w:rPr>
          <w:rFonts w:cs="Times New Roman"/>
          <w:szCs w:val="24"/>
          <w:lang w:eastAsia="en-GB"/>
        </w:rPr>
        <w:t xml:space="preserve">Similarly, </w:t>
      </w:r>
      <w:r>
        <w:rPr>
          <w:rFonts w:cs="Times New Roman"/>
          <w:szCs w:val="24"/>
          <w:lang w:eastAsia="en-GB"/>
        </w:rPr>
        <w:t xml:space="preserve">Eder (2016) was considered to provide the best estimate of severity based on a PASI </w:t>
      </w:r>
      <w:r w:rsidR="009D2228">
        <w:rPr>
          <w:rFonts w:cs="Times New Roman"/>
          <w:szCs w:val="24"/>
          <w:lang w:eastAsia="en-GB"/>
        </w:rPr>
        <w:t xml:space="preserve"> greater than or equal to </w:t>
      </w:r>
      <w:r>
        <w:rPr>
          <w:rFonts w:cs="Times New Roman"/>
          <w:szCs w:val="24"/>
          <w:lang w:eastAsia="en-GB"/>
        </w:rPr>
        <w:t xml:space="preserve">10 </w:t>
      </w:r>
      <w:r w:rsidR="009D2228">
        <w:rPr>
          <w:rFonts w:cs="Times New Roman"/>
          <w:szCs w:val="24"/>
          <w:lang w:eastAsia="en-GB"/>
        </w:rPr>
        <w:t xml:space="preserve">(13%) </w:t>
      </w:r>
      <w:r>
        <w:rPr>
          <w:rFonts w:cs="Times New Roman"/>
          <w:szCs w:val="24"/>
          <w:lang w:eastAsia="en-GB"/>
        </w:rPr>
        <w:t>because it</w:t>
      </w:r>
      <w:r w:rsidR="00255D5F">
        <w:rPr>
          <w:rFonts w:cs="Times New Roman"/>
          <w:szCs w:val="24"/>
          <w:lang w:eastAsia="en-GB"/>
        </w:rPr>
        <w:t xml:space="preserve"> too</w:t>
      </w:r>
      <w:r>
        <w:rPr>
          <w:rFonts w:cs="Times New Roman"/>
          <w:szCs w:val="24"/>
          <w:lang w:eastAsia="en-GB"/>
        </w:rPr>
        <w:t xml:space="preserve"> had a low risk of bias. </w:t>
      </w:r>
      <w:r w:rsidR="00727D79">
        <w:rPr>
          <w:rFonts w:cs="Times New Roman"/>
          <w:szCs w:val="24"/>
          <w:lang w:eastAsia="en-GB"/>
        </w:rPr>
        <w:t>However, the authors of Eder (2016) noted that the majority of patients were recruited from dermatology clinics, resulting in the study having a larger proportion of patients with moderate</w:t>
      </w:r>
      <w:r w:rsidR="00727D79">
        <w:rPr>
          <w:rFonts w:cs="Times New Roman"/>
          <w:szCs w:val="24"/>
          <w:lang w:eastAsia="en-GB"/>
        </w:rPr>
        <w:noBreakHyphen/>
        <w:t>to</w:t>
      </w:r>
      <w:r w:rsidR="00727D79">
        <w:rPr>
          <w:rFonts w:cs="Times New Roman"/>
          <w:szCs w:val="24"/>
          <w:lang w:eastAsia="en-GB"/>
        </w:rPr>
        <w:noBreakHyphen/>
        <w:t>severe psoriasis.</w:t>
      </w:r>
      <w:r w:rsidR="006B3612">
        <w:rPr>
          <w:rFonts w:cs="Times New Roman"/>
          <w:noProof/>
          <w:szCs w:val="24"/>
          <w:lang w:eastAsia="en-GB"/>
        </w:rPr>
        <w:t>(</w:t>
      </w:r>
      <w:r w:rsidR="001B4738">
        <w:rPr>
          <w:rFonts w:cs="Times New Roman"/>
          <w:noProof/>
          <w:szCs w:val="24"/>
          <w:lang w:eastAsia="en-GB"/>
        </w:rPr>
        <w:t>37</w:t>
      </w:r>
      <w:r w:rsidR="006B3612">
        <w:rPr>
          <w:rFonts w:cs="Times New Roman"/>
          <w:noProof/>
          <w:szCs w:val="24"/>
          <w:lang w:eastAsia="en-GB"/>
        </w:rPr>
        <w:t>)</w:t>
      </w:r>
      <w:r w:rsidR="00727D79">
        <w:rPr>
          <w:rFonts w:cs="Times New Roman"/>
          <w:szCs w:val="24"/>
          <w:lang w:eastAsia="en-GB"/>
        </w:rPr>
        <w:t xml:space="preserve"> </w:t>
      </w:r>
      <w:r>
        <w:rPr>
          <w:rFonts w:cs="Times New Roman"/>
          <w:szCs w:val="24"/>
          <w:lang w:eastAsia="en-GB"/>
        </w:rPr>
        <w:t xml:space="preserve"> </w:t>
      </w:r>
      <w:r w:rsidR="006B3612">
        <w:rPr>
          <w:rFonts w:cs="Times New Roman"/>
          <w:szCs w:val="24"/>
          <w:lang w:eastAsia="en-GB"/>
        </w:rPr>
        <w:t>Additionally, t</w:t>
      </w:r>
      <w:r w:rsidR="00727D79" w:rsidRPr="00304385">
        <w:rPr>
          <w:rFonts w:cs="Times New Roman"/>
          <w:szCs w:val="24"/>
          <w:lang w:eastAsia="en-GB"/>
        </w:rPr>
        <w:t>he Australian study Plunkett</w:t>
      </w:r>
      <w:r w:rsidR="00727D79">
        <w:rPr>
          <w:rFonts w:cs="Times New Roman"/>
          <w:szCs w:val="24"/>
          <w:lang w:eastAsia="en-GB"/>
        </w:rPr>
        <w:t xml:space="preserve"> (</w:t>
      </w:r>
      <w:r w:rsidR="00727D79" w:rsidRPr="00304385">
        <w:rPr>
          <w:rFonts w:cs="Times New Roman"/>
          <w:szCs w:val="24"/>
          <w:lang w:eastAsia="en-GB"/>
        </w:rPr>
        <w:t xml:space="preserve">1999) estimated that 2.8% of patients with psoriasis had severe disease requiring dermatologist </w:t>
      </w:r>
      <w:r w:rsidR="00727D79" w:rsidRPr="00FC7481">
        <w:rPr>
          <w:rFonts w:cs="Times New Roman"/>
          <w:szCs w:val="24"/>
          <w:lang w:eastAsia="en-GB"/>
        </w:rPr>
        <w:t>management.</w:t>
      </w:r>
      <w:r w:rsidR="00727D79">
        <w:rPr>
          <w:rFonts w:cs="Times New Roman"/>
          <w:noProof/>
          <w:szCs w:val="24"/>
          <w:lang w:eastAsia="en-GB"/>
        </w:rPr>
        <w:t>(</w:t>
      </w:r>
      <w:r w:rsidR="001B4738">
        <w:rPr>
          <w:rFonts w:cs="Times New Roman"/>
          <w:noProof/>
          <w:szCs w:val="24"/>
          <w:lang w:eastAsia="en-GB"/>
        </w:rPr>
        <w:t>2</w:t>
      </w:r>
      <w:r w:rsidR="00727D79">
        <w:rPr>
          <w:rFonts w:cs="Times New Roman"/>
          <w:noProof/>
          <w:szCs w:val="24"/>
          <w:lang w:eastAsia="en-GB"/>
        </w:rPr>
        <w:t>)</w:t>
      </w:r>
      <w:r w:rsidR="005F52C3">
        <w:rPr>
          <w:rFonts w:cs="Times New Roman"/>
          <w:szCs w:val="24"/>
          <w:lang w:eastAsia="en-GB"/>
        </w:rPr>
        <w:t xml:space="preserve"> This was not included in the table above </w:t>
      </w:r>
      <w:r w:rsidR="007A3DC0">
        <w:rPr>
          <w:rFonts w:cs="Times New Roman"/>
          <w:szCs w:val="24"/>
          <w:lang w:eastAsia="en-GB"/>
        </w:rPr>
        <w:t xml:space="preserve">because it was </w:t>
      </w:r>
      <w:r w:rsidR="00957BD9">
        <w:rPr>
          <w:rFonts w:cs="Times New Roman"/>
          <w:szCs w:val="24"/>
          <w:lang w:eastAsia="en-GB"/>
        </w:rPr>
        <w:t xml:space="preserve">measure of severity </w:t>
      </w:r>
      <w:r w:rsidR="007A3DC0">
        <w:rPr>
          <w:rFonts w:cs="Times New Roman"/>
          <w:szCs w:val="24"/>
          <w:lang w:eastAsia="en-GB"/>
        </w:rPr>
        <w:t xml:space="preserve">not based on PASI or DLQI scores. </w:t>
      </w:r>
    </w:p>
    <w:p w:rsidR="005F52C3" w:rsidRPr="00304385" w:rsidRDefault="005F52C3" w:rsidP="00727D79">
      <w:pPr>
        <w:spacing w:after="0"/>
        <w:rPr>
          <w:rFonts w:cs="Times New Roman"/>
          <w:szCs w:val="24"/>
          <w:lang w:eastAsia="en-GB"/>
        </w:rPr>
      </w:pPr>
    </w:p>
    <w:p w:rsidR="00071F2B" w:rsidRPr="00304385" w:rsidRDefault="00071F2B" w:rsidP="00071F2B">
      <w:pPr>
        <w:spacing w:after="0"/>
        <w:rPr>
          <w:rFonts w:cs="Times New Roman"/>
          <w:i/>
          <w:szCs w:val="24"/>
          <w:lang w:eastAsia="en-GB"/>
        </w:rPr>
      </w:pPr>
      <w:r w:rsidRPr="00304385">
        <w:rPr>
          <w:rFonts w:cs="Times New Roman"/>
          <w:szCs w:val="24"/>
          <w:lang w:eastAsia="en-GB"/>
        </w:rPr>
        <w:t xml:space="preserve">The differing estimates of the proportion of patients with severe psoriasis may be due to selection bias in the study samples. Many studies were cross-sectional studies of patients with psoriasis at dermatology clinics. In countries where mild psoriasis is diagnosed and managed by general practitioners, this may bias the severity results towards a higher prevalence of severe psoriasis. Patients with more severe disease may be more likely to </w:t>
      </w:r>
      <w:r>
        <w:rPr>
          <w:rFonts w:cs="Times New Roman"/>
          <w:szCs w:val="24"/>
          <w:lang w:eastAsia="en-GB"/>
        </w:rPr>
        <w:t xml:space="preserve">be selected </w:t>
      </w:r>
      <w:r w:rsidRPr="00304385">
        <w:rPr>
          <w:rFonts w:cs="Times New Roman"/>
          <w:szCs w:val="24"/>
          <w:lang w:eastAsia="en-GB"/>
        </w:rPr>
        <w:t xml:space="preserve">in </w:t>
      </w:r>
      <w:r>
        <w:rPr>
          <w:rFonts w:cs="Times New Roman"/>
          <w:szCs w:val="24"/>
          <w:lang w:eastAsia="en-GB"/>
        </w:rPr>
        <w:t xml:space="preserve">a </w:t>
      </w:r>
      <w:r w:rsidRPr="00304385">
        <w:rPr>
          <w:rFonts w:cs="Times New Roman"/>
          <w:szCs w:val="24"/>
          <w:lang w:eastAsia="en-GB"/>
        </w:rPr>
        <w:t xml:space="preserve">study that involves </w:t>
      </w:r>
      <w:r w:rsidRPr="003A20F9">
        <w:rPr>
          <w:rFonts w:cs="Times New Roman"/>
          <w:noProof/>
          <w:szCs w:val="24"/>
          <w:lang w:eastAsia="en-GB"/>
        </w:rPr>
        <w:t>examination</w:t>
      </w:r>
      <w:r w:rsidRPr="00304385">
        <w:rPr>
          <w:rFonts w:cs="Times New Roman"/>
          <w:szCs w:val="24"/>
          <w:lang w:eastAsia="en-GB"/>
        </w:rPr>
        <w:t xml:space="preserve"> by a dermatologist. Due to the cross-sectional nature of the majority of studies, it was unclear whether psoriasis severity may change over time. </w:t>
      </w:r>
    </w:p>
    <w:p w:rsidR="00071F2B" w:rsidRPr="00304385" w:rsidRDefault="00EB6556" w:rsidP="00DF0266">
      <w:pPr>
        <w:pStyle w:val="Heading3"/>
        <w:spacing w:before="240" w:after="200"/>
        <w:rPr>
          <w:lang w:eastAsia="en-GB"/>
        </w:rPr>
      </w:pPr>
      <w:bookmarkStart w:id="46" w:name="_Toc493156394"/>
      <w:bookmarkStart w:id="47" w:name="_Toc501632369"/>
      <w:r>
        <w:rPr>
          <w:lang w:eastAsia="en-GB"/>
        </w:rPr>
        <w:t>3.2.6</w:t>
      </w:r>
      <w:r>
        <w:rPr>
          <w:lang w:eastAsia="en-GB"/>
        </w:rPr>
        <w:tab/>
      </w:r>
      <w:r w:rsidR="00071F2B" w:rsidRPr="00304385">
        <w:rPr>
          <w:lang w:eastAsia="en-GB"/>
        </w:rPr>
        <w:t xml:space="preserve">Estimated prevalence of severe </w:t>
      </w:r>
      <w:r w:rsidR="00891E82">
        <w:rPr>
          <w:lang w:eastAsia="en-GB"/>
        </w:rPr>
        <w:t>CPP</w:t>
      </w:r>
      <w:r w:rsidR="00071F2B" w:rsidRPr="00304385">
        <w:rPr>
          <w:lang w:eastAsia="en-GB"/>
        </w:rPr>
        <w:t xml:space="preserve"> in Australia psoriasis</w:t>
      </w:r>
      <w:bookmarkEnd w:id="46"/>
      <w:bookmarkEnd w:id="47"/>
      <w:r w:rsidR="00071F2B" w:rsidRPr="00304385">
        <w:rPr>
          <w:lang w:eastAsia="en-GB"/>
        </w:rPr>
        <w:t xml:space="preserve"> </w:t>
      </w:r>
    </w:p>
    <w:p w:rsidR="005E6397" w:rsidRPr="00304385" w:rsidRDefault="00071F2B" w:rsidP="00071F2B">
      <w:pPr>
        <w:spacing w:after="0"/>
        <w:rPr>
          <w:rFonts w:cs="Times New Roman"/>
          <w:szCs w:val="24"/>
          <w:lang w:eastAsia="en-GB"/>
        </w:rPr>
      </w:pPr>
      <w:r w:rsidRPr="00304385">
        <w:rPr>
          <w:rFonts w:cs="Times New Roman"/>
          <w:szCs w:val="24"/>
          <w:lang w:eastAsia="en-GB"/>
        </w:rPr>
        <w:t xml:space="preserve">The prevalence of severe </w:t>
      </w:r>
      <w:r w:rsidR="004239E6">
        <w:rPr>
          <w:rFonts w:cs="Times New Roman"/>
          <w:szCs w:val="24"/>
          <w:lang w:eastAsia="en-GB"/>
        </w:rPr>
        <w:t>CPP</w:t>
      </w:r>
      <w:r w:rsidRPr="00304385">
        <w:rPr>
          <w:rFonts w:cs="Times New Roman"/>
          <w:szCs w:val="24"/>
          <w:lang w:eastAsia="en-GB"/>
        </w:rPr>
        <w:t xml:space="preserve"> in Australia was estimated using psoriasis prevalence and severity data.  The best estimate of the prevalence of severe </w:t>
      </w:r>
      <w:r w:rsidR="00891E82">
        <w:rPr>
          <w:rFonts w:cs="Times New Roman"/>
          <w:szCs w:val="24"/>
          <w:lang w:eastAsia="en-GB"/>
        </w:rPr>
        <w:t>CPP</w:t>
      </w:r>
      <w:r w:rsidRPr="00304385">
        <w:rPr>
          <w:rFonts w:cs="Times New Roman"/>
          <w:szCs w:val="24"/>
          <w:lang w:eastAsia="en-GB"/>
        </w:rPr>
        <w:t xml:space="preserve"> was calculated by </w:t>
      </w:r>
      <w:r>
        <w:rPr>
          <w:rFonts w:cs="Times New Roman"/>
          <w:szCs w:val="24"/>
          <w:lang w:eastAsia="en-GB"/>
        </w:rPr>
        <w:t xml:space="preserve">using </w:t>
      </w:r>
      <w:r w:rsidRPr="00304385">
        <w:rPr>
          <w:rFonts w:cs="Times New Roman"/>
          <w:szCs w:val="24"/>
          <w:lang w:eastAsia="en-GB"/>
        </w:rPr>
        <w:t xml:space="preserve">estimates </w:t>
      </w:r>
      <w:r>
        <w:rPr>
          <w:rFonts w:cs="Times New Roman"/>
          <w:szCs w:val="24"/>
          <w:lang w:eastAsia="en-GB"/>
        </w:rPr>
        <w:t xml:space="preserve">from the literature that were </w:t>
      </w:r>
      <w:r w:rsidRPr="00304385">
        <w:rPr>
          <w:rFonts w:cs="Times New Roman"/>
          <w:szCs w:val="24"/>
          <w:lang w:eastAsia="en-GB"/>
        </w:rPr>
        <w:t>considered t</w:t>
      </w:r>
      <w:r>
        <w:rPr>
          <w:rFonts w:cs="Times New Roman"/>
          <w:szCs w:val="24"/>
          <w:lang w:eastAsia="en-GB"/>
        </w:rPr>
        <w:t>o have the lowest risk of bias in that setting</w:t>
      </w:r>
      <w:r w:rsidRPr="00304385">
        <w:rPr>
          <w:rFonts w:cs="Times New Roman"/>
          <w:szCs w:val="24"/>
          <w:lang w:eastAsia="en-GB"/>
        </w:rPr>
        <w:t xml:space="preserve"> and</w:t>
      </w:r>
      <w:r>
        <w:rPr>
          <w:rFonts w:cs="Times New Roman"/>
          <w:szCs w:val="24"/>
          <w:lang w:eastAsia="en-GB"/>
        </w:rPr>
        <w:t xml:space="preserve"> were</w:t>
      </w:r>
      <w:r w:rsidRPr="00304385">
        <w:rPr>
          <w:rFonts w:cs="Times New Roman"/>
          <w:szCs w:val="24"/>
          <w:lang w:eastAsia="en-GB"/>
        </w:rPr>
        <w:t xml:space="preserve"> applicable to the Australian population.  Lower and upper estimates were calculate</w:t>
      </w:r>
      <w:r w:rsidR="0013163C">
        <w:rPr>
          <w:rFonts w:cs="Times New Roman"/>
          <w:szCs w:val="24"/>
          <w:lang w:eastAsia="en-GB"/>
        </w:rPr>
        <w:t>d</w:t>
      </w:r>
      <w:r w:rsidRPr="00304385">
        <w:rPr>
          <w:rFonts w:cs="Times New Roman"/>
          <w:szCs w:val="24"/>
          <w:lang w:eastAsia="en-GB"/>
        </w:rPr>
        <w:t xml:space="preserve"> using parameters that were higher and lower than the most robust estimates. </w:t>
      </w:r>
      <w:r w:rsidR="0086184A">
        <w:t xml:space="preserve">Table </w:t>
      </w:r>
      <w:r w:rsidR="0086184A">
        <w:rPr>
          <w:noProof/>
        </w:rPr>
        <w:t>6</w:t>
      </w:r>
      <w:r>
        <w:rPr>
          <w:rFonts w:cs="Times New Roman"/>
          <w:szCs w:val="24"/>
          <w:lang w:eastAsia="en-GB"/>
        </w:rPr>
        <w:t xml:space="preserve"> </w:t>
      </w:r>
      <w:r w:rsidRPr="00304385">
        <w:rPr>
          <w:rFonts w:cs="Times New Roman"/>
          <w:szCs w:val="24"/>
          <w:lang w:eastAsia="en-GB"/>
        </w:rPr>
        <w:t xml:space="preserve">presents the </w:t>
      </w:r>
      <w:r>
        <w:rPr>
          <w:rFonts w:cs="Times New Roman"/>
          <w:szCs w:val="24"/>
          <w:lang w:eastAsia="en-GB"/>
        </w:rPr>
        <w:t xml:space="preserve">best estimates and the </w:t>
      </w:r>
      <w:r w:rsidRPr="00304385">
        <w:rPr>
          <w:rFonts w:cs="Times New Roman"/>
          <w:szCs w:val="24"/>
          <w:lang w:eastAsia="en-GB"/>
        </w:rPr>
        <w:t xml:space="preserve">upper and lower estimates of the prevalence of severe </w:t>
      </w:r>
      <w:r w:rsidR="00891E82">
        <w:rPr>
          <w:rFonts w:cs="Times New Roman"/>
          <w:szCs w:val="24"/>
          <w:lang w:eastAsia="en-GB"/>
        </w:rPr>
        <w:t>CPP</w:t>
      </w:r>
      <w:r w:rsidRPr="00304385">
        <w:rPr>
          <w:rFonts w:cs="Times New Roman"/>
          <w:szCs w:val="24"/>
          <w:lang w:eastAsia="en-GB"/>
        </w:rPr>
        <w:t xml:space="preserve"> in Australia. </w:t>
      </w:r>
    </w:p>
    <w:p w:rsidR="00071F2B" w:rsidRDefault="00071F2B" w:rsidP="005E6397">
      <w:pPr>
        <w:pStyle w:val="MDTabCaption"/>
      </w:pPr>
      <w:bookmarkStart w:id="48" w:name="_Ref492993402"/>
      <w:bookmarkStart w:id="49" w:name="_Toc501632400"/>
      <w:r>
        <w:t xml:space="preserve">Table </w:t>
      </w:r>
      <w:r w:rsidR="0086184A">
        <w:rPr>
          <w:noProof/>
        </w:rPr>
        <w:t>6</w:t>
      </w:r>
      <w:bookmarkEnd w:id="48"/>
      <w:r>
        <w:t xml:space="preserve">: </w:t>
      </w:r>
      <w:r w:rsidRPr="00461B24">
        <w:t xml:space="preserve">Prevalence of severe </w:t>
      </w:r>
      <w:r w:rsidR="00891E82">
        <w:t>CPP</w:t>
      </w:r>
      <w:r w:rsidRPr="00461B24">
        <w:t xml:space="preserve"> in Australia</w:t>
      </w:r>
      <w:bookmarkEnd w:id="49"/>
    </w:p>
    <w:tbl>
      <w:tblPr>
        <w:tblStyle w:val="TableGrid7"/>
        <w:tblpPr w:leftFromText="180" w:rightFromText="180" w:vertAnchor="text" w:horzAnchor="margin" w:tblpY="43"/>
        <w:tblW w:w="0" w:type="auto"/>
        <w:tblLook w:val="04A0" w:firstRow="1" w:lastRow="0" w:firstColumn="1" w:lastColumn="0" w:noHBand="0" w:noVBand="1"/>
        <w:tblCaption w:val="The estimated prevalence of severe CPP in Australia"/>
      </w:tblPr>
      <w:tblGrid>
        <w:gridCol w:w="2122"/>
        <w:gridCol w:w="1134"/>
        <w:gridCol w:w="985"/>
        <w:gridCol w:w="947"/>
        <w:gridCol w:w="1430"/>
        <w:gridCol w:w="1425"/>
        <w:gridCol w:w="1199"/>
      </w:tblGrid>
      <w:tr w:rsidR="00071F2B" w:rsidRPr="00304385" w:rsidTr="00071F2B">
        <w:trPr>
          <w:cantSplit/>
          <w:trHeight w:val="353"/>
          <w:tblHeader/>
        </w:trPr>
        <w:tc>
          <w:tcPr>
            <w:tcW w:w="2122" w:type="dxa"/>
            <w:tcBorders>
              <w:bottom w:val="single" w:sz="4" w:space="0" w:color="auto"/>
            </w:tcBorders>
            <w:shd w:val="clear" w:color="auto" w:fill="BFBFBF" w:themeFill="background1" w:themeFillShade="BF"/>
            <w:vAlign w:val="center"/>
          </w:tcPr>
          <w:p w:rsidR="00071F2B" w:rsidRPr="00304385" w:rsidRDefault="00071F2B" w:rsidP="00071F2B">
            <w:pPr>
              <w:spacing w:beforeLines="60" w:before="144" w:afterLines="60" w:after="144"/>
              <w:contextualSpacing/>
              <w:rPr>
                <w:rFonts w:cs="Times New Roman"/>
                <w:b/>
                <w:sz w:val="20"/>
                <w:szCs w:val="20"/>
                <w:lang w:eastAsia="en-GB"/>
              </w:rPr>
            </w:pPr>
            <w:r w:rsidRPr="00304385">
              <w:rPr>
                <w:rFonts w:cs="Calibri"/>
                <w:b/>
                <w:sz w:val="20"/>
                <w:szCs w:val="20"/>
                <w:lang w:eastAsia="en-GB"/>
              </w:rPr>
              <w:t>Parameter</w:t>
            </w:r>
          </w:p>
        </w:tc>
        <w:tc>
          <w:tcPr>
            <w:tcW w:w="1134" w:type="dxa"/>
            <w:tcBorders>
              <w:bottom w:val="single" w:sz="4" w:space="0" w:color="auto"/>
            </w:tcBorders>
            <w:shd w:val="clear" w:color="auto" w:fill="BFBFBF" w:themeFill="background1" w:themeFillShade="BF"/>
            <w:vAlign w:val="center"/>
          </w:tcPr>
          <w:p w:rsidR="00071F2B" w:rsidRPr="00304385" w:rsidRDefault="00071F2B" w:rsidP="00071F2B">
            <w:pPr>
              <w:autoSpaceDE w:val="0"/>
              <w:autoSpaceDN w:val="0"/>
              <w:adjustRightInd w:val="0"/>
              <w:spacing w:beforeLines="60" w:before="144" w:afterLines="60" w:after="144"/>
              <w:contextualSpacing/>
              <w:jc w:val="center"/>
              <w:rPr>
                <w:rFonts w:cs="Calibri"/>
                <w:b/>
                <w:sz w:val="20"/>
                <w:szCs w:val="20"/>
                <w:lang w:eastAsia="en-GB"/>
              </w:rPr>
            </w:pPr>
            <w:r w:rsidRPr="00304385">
              <w:rPr>
                <w:rFonts w:cs="Calibri"/>
                <w:b/>
                <w:sz w:val="20"/>
                <w:szCs w:val="20"/>
                <w:lang w:eastAsia="en-GB"/>
              </w:rPr>
              <w:t>Best estimate</w:t>
            </w:r>
          </w:p>
        </w:tc>
        <w:tc>
          <w:tcPr>
            <w:tcW w:w="985" w:type="dxa"/>
            <w:tcBorders>
              <w:bottom w:val="single" w:sz="4" w:space="0" w:color="auto"/>
            </w:tcBorders>
            <w:shd w:val="clear" w:color="auto" w:fill="BFBFBF" w:themeFill="background1" w:themeFillShade="BF"/>
            <w:vAlign w:val="center"/>
          </w:tcPr>
          <w:p w:rsidR="00071F2B" w:rsidRPr="00304385" w:rsidRDefault="00071F2B" w:rsidP="00071F2B">
            <w:pPr>
              <w:autoSpaceDE w:val="0"/>
              <w:autoSpaceDN w:val="0"/>
              <w:adjustRightInd w:val="0"/>
              <w:spacing w:beforeLines="60" w:before="144" w:afterLines="60" w:after="144"/>
              <w:contextualSpacing/>
              <w:jc w:val="center"/>
              <w:rPr>
                <w:rFonts w:cs="Calibri"/>
                <w:b/>
                <w:sz w:val="20"/>
                <w:szCs w:val="20"/>
                <w:lang w:eastAsia="en-GB"/>
              </w:rPr>
            </w:pPr>
            <w:r w:rsidRPr="00304385">
              <w:rPr>
                <w:rFonts w:cs="Calibri"/>
                <w:b/>
                <w:sz w:val="20"/>
                <w:szCs w:val="20"/>
                <w:lang w:eastAsia="en-GB"/>
              </w:rPr>
              <w:t>Lower estimate</w:t>
            </w:r>
          </w:p>
        </w:tc>
        <w:tc>
          <w:tcPr>
            <w:tcW w:w="947" w:type="dxa"/>
            <w:tcBorders>
              <w:bottom w:val="single" w:sz="4" w:space="0" w:color="auto"/>
            </w:tcBorders>
            <w:shd w:val="clear" w:color="auto" w:fill="BFBFBF" w:themeFill="background1" w:themeFillShade="BF"/>
            <w:vAlign w:val="center"/>
          </w:tcPr>
          <w:p w:rsidR="00071F2B" w:rsidRPr="00304385" w:rsidRDefault="00071F2B" w:rsidP="00071F2B">
            <w:pPr>
              <w:autoSpaceDE w:val="0"/>
              <w:autoSpaceDN w:val="0"/>
              <w:adjustRightInd w:val="0"/>
              <w:spacing w:beforeLines="60" w:before="144" w:afterLines="60" w:after="144"/>
              <w:contextualSpacing/>
              <w:jc w:val="center"/>
              <w:rPr>
                <w:rFonts w:cs="Calibri"/>
                <w:b/>
                <w:sz w:val="20"/>
                <w:szCs w:val="20"/>
                <w:lang w:eastAsia="en-GB"/>
              </w:rPr>
            </w:pPr>
            <w:r w:rsidRPr="00304385">
              <w:rPr>
                <w:rFonts w:cs="Calibri"/>
                <w:b/>
                <w:sz w:val="20"/>
                <w:szCs w:val="20"/>
                <w:lang w:eastAsia="en-GB"/>
              </w:rPr>
              <w:t>Upper estimate</w:t>
            </w:r>
          </w:p>
        </w:tc>
        <w:tc>
          <w:tcPr>
            <w:tcW w:w="0" w:type="auto"/>
            <w:tcBorders>
              <w:bottom w:val="single" w:sz="4" w:space="0" w:color="auto"/>
            </w:tcBorders>
            <w:shd w:val="clear" w:color="auto" w:fill="BFBFBF" w:themeFill="background1" w:themeFillShade="BF"/>
          </w:tcPr>
          <w:p w:rsidR="00071F2B" w:rsidRPr="00304385" w:rsidRDefault="00071F2B" w:rsidP="00071F2B">
            <w:pPr>
              <w:autoSpaceDE w:val="0"/>
              <w:autoSpaceDN w:val="0"/>
              <w:adjustRightInd w:val="0"/>
              <w:spacing w:beforeLines="60" w:before="144" w:afterLines="60" w:after="144"/>
              <w:contextualSpacing/>
              <w:jc w:val="center"/>
              <w:rPr>
                <w:rFonts w:cs="Calibri"/>
                <w:b/>
                <w:sz w:val="20"/>
                <w:szCs w:val="20"/>
                <w:lang w:eastAsia="en-GB"/>
              </w:rPr>
            </w:pPr>
            <w:r w:rsidRPr="00304385">
              <w:rPr>
                <w:rFonts w:cs="Calibri"/>
                <w:b/>
                <w:sz w:val="20"/>
                <w:szCs w:val="20"/>
                <w:lang w:eastAsia="en-GB"/>
              </w:rPr>
              <w:t xml:space="preserve">Source </w:t>
            </w:r>
            <w:r w:rsidRPr="00304385">
              <w:rPr>
                <w:rFonts w:cs="Calibri"/>
                <w:b/>
                <w:sz w:val="20"/>
                <w:szCs w:val="20"/>
                <w:lang w:eastAsia="en-GB"/>
              </w:rPr>
              <w:br/>
              <w:t>(best estimate)</w:t>
            </w:r>
          </w:p>
        </w:tc>
        <w:tc>
          <w:tcPr>
            <w:tcW w:w="0" w:type="auto"/>
            <w:tcBorders>
              <w:bottom w:val="single" w:sz="4" w:space="0" w:color="auto"/>
            </w:tcBorders>
            <w:shd w:val="clear" w:color="auto" w:fill="BFBFBF" w:themeFill="background1" w:themeFillShade="BF"/>
          </w:tcPr>
          <w:p w:rsidR="00071F2B" w:rsidRPr="00304385" w:rsidRDefault="00071F2B" w:rsidP="00071F2B">
            <w:pPr>
              <w:autoSpaceDE w:val="0"/>
              <w:autoSpaceDN w:val="0"/>
              <w:adjustRightInd w:val="0"/>
              <w:spacing w:beforeLines="60" w:before="144" w:afterLines="60" w:after="144"/>
              <w:contextualSpacing/>
              <w:jc w:val="center"/>
              <w:rPr>
                <w:rFonts w:cs="Calibri"/>
                <w:b/>
                <w:sz w:val="20"/>
                <w:szCs w:val="20"/>
                <w:lang w:eastAsia="en-GB"/>
              </w:rPr>
            </w:pPr>
            <w:r w:rsidRPr="00304385">
              <w:rPr>
                <w:rFonts w:cs="Calibri"/>
                <w:b/>
                <w:sz w:val="20"/>
                <w:szCs w:val="20"/>
                <w:lang w:eastAsia="en-GB"/>
              </w:rPr>
              <w:t xml:space="preserve">Source </w:t>
            </w:r>
            <w:r w:rsidRPr="00304385">
              <w:rPr>
                <w:rFonts w:cs="Calibri"/>
                <w:b/>
                <w:sz w:val="20"/>
                <w:szCs w:val="20"/>
                <w:lang w:eastAsia="en-GB"/>
              </w:rPr>
              <w:br/>
              <w:t>(lower estimate)</w:t>
            </w:r>
          </w:p>
        </w:tc>
        <w:tc>
          <w:tcPr>
            <w:tcW w:w="0" w:type="auto"/>
            <w:tcBorders>
              <w:bottom w:val="single" w:sz="4" w:space="0" w:color="auto"/>
            </w:tcBorders>
            <w:shd w:val="clear" w:color="auto" w:fill="BFBFBF" w:themeFill="background1" w:themeFillShade="BF"/>
          </w:tcPr>
          <w:p w:rsidR="00071F2B" w:rsidRPr="00304385" w:rsidRDefault="00071F2B" w:rsidP="00071F2B">
            <w:pPr>
              <w:autoSpaceDE w:val="0"/>
              <w:autoSpaceDN w:val="0"/>
              <w:adjustRightInd w:val="0"/>
              <w:spacing w:beforeLines="60" w:before="144" w:afterLines="60" w:after="144"/>
              <w:contextualSpacing/>
              <w:jc w:val="center"/>
              <w:rPr>
                <w:rFonts w:cs="Calibri"/>
                <w:b/>
                <w:sz w:val="20"/>
                <w:szCs w:val="20"/>
                <w:lang w:eastAsia="en-GB"/>
              </w:rPr>
            </w:pPr>
            <w:r w:rsidRPr="00304385">
              <w:rPr>
                <w:rFonts w:cs="Calibri"/>
                <w:b/>
                <w:sz w:val="20"/>
                <w:szCs w:val="20"/>
                <w:lang w:eastAsia="en-GB"/>
              </w:rPr>
              <w:t xml:space="preserve">Source </w:t>
            </w:r>
            <w:r w:rsidRPr="00304385">
              <w:rPr>
                <w:rFonts w:cs="Calibri"/>
                <w:b/>
                <w:sz w:val="20"/>
                <w:szCs w:val="20"/>
                <w:lang w:eastAsia="en-GB"/>
              </w:rPr>
              <w:br/>
              <w:t>(upper estimate)</w:t>
            </w:r>
          </w:p>
        </w:tc>
      </w:tr>
      <w:tr w:rsidR="00071F2B" w:rsidRPr="00304385" w:rsidTr="00071F2B">
        <w:trPr>
          <w:cantSplit/>
          <w:trHeight w:val="353"/>
          <w:tblHeader/>
        </w:trPr>
        <w:tc>
          <w:tcPr>
            <w:tcW w:w="2122" w:type="dxa"/>
            <w:vAlign w:val="center"/>
          </w:tcPr>
          <w:p w:rsidR="00071F2B" w:rsidRPr="00304385" w:rsidRDefault="00071F2B" w:rsidP="00E75F6C">
            <w:pPr>
              <w:spacing w:beforeLines="60" w:before="144" w:afterLines="60" w:after="144"/>
              <w:contextualSpacing/>
              <w:rPr>
                <w:rFonts w:cs="Times New Roman"/>
                <w:sz w:val="20"/>
                <w:szCs w:val="20"/>
                <w:lang w:eastAsia="en-GB"/>
              </w:rPr>
            </w:pPr>
            <w:r w:rsidRPr="00304385">
              <w:rPr>
                <w:rFonts w:cs="Times New Roman"/>
                <w:sz w:val="20"/>
                <w:szCs w:val="20"/>
                <w:lang w:eastAsia="en-GB"/>
              </w:rPr>
              <w:t>Australian adult population</w:t>
            </w:r>
          </w:p>
        </w:tc>
        <w:tc>
          <w:tcPr>
            <w:tcW w:w="3066" w:type="dxa"/>
            <w:gridSpan w:val="3"/>
            <w:vAlign w:val="center"/>
          </w:tcPr>
          <w:p w:rsidR="00071F2B" w:rsidRPr="00304385" w:rsidRDefault="00071F2B" w:rsidP="00071F2B">
            <w:pPr>
              <w:autoSpaceDE w:val="0"/>
              <w:autoSpaceDN w:val="0"/>
              <w:adjustRightInd w:val="0"/>
              <w:spacing w:beforeLines="60" w:before="144" w:afterLines="60" w:after="144"/>
              <w:contextualSpacing/>
              <w:jc w:val="center"/>
              <w:rPr>
                <w:rFonts w:cs="Calibri"/>
                <w:sz w:val="20"/>
                <w:szCs w:val="20"/>
                <w:lang w:eastAsia="en-GB"/>
              </w:rPr>
            </w:pPr>
            <w:r w:rsidRPr="00304385">
              <w:rPr>
                <w:rFonts w:cs="Calibri"/>
                <w:sz w:val="20"/>
                <w:szCs w:val="20"/>
                <w:lang w:eastAsia="en-GB"/>
              </w:rPr>
              <w:t>18,717,575</w:t>
            </w:r>
          </w:p>
        </w:tc>
        <w:tc>
          <w:tcPr>
            <w:tcW w:w="0" w:type="auto"/>
            <w:gridSpan w:val="3"/>
            <w:vAlign w:val="center"/>
          </w:tcPr>
          <w:p w:rsidR="00071F2B" w:rsidRPr="00304385" w:rsidRDefault="00071F2B" w:rsidP="00071F2B">
            <w:pPr>
              <w:autoSpaceDE w:val="0"/>
              <w:autoSpaceDN w:val="0"/>
              <w:adjustRightInd w:val="0"/>
              <w:spacing w:beforeLines="60" w:before="144" w:afterLines="60" w:after="144"/>
              <w:contextualSpacing/>
              <w:jc w:val="center"/>
              <w:rPr>
                <w:rFonts w:cs="Calibri"/>
                <w:sz w:val="20"/>
                <w:szCs w:val="20"/>
                <w:lang w:eastAsia="en-GB"/>
              </w:rPr>
            </w:pPr>
            <w:r w:rsidRPr="00304385">
              <w:rPr>
                <w:rFonts w:cs="Calibri"/>
                <w:sz w:val="20"/>
                <w:szCs w:val="20"/>
                <w:lang w:eastAsia="en-GB"/>
              </w:rPr>
              <w:t>ABS Australian Demographic Statistics, September 2016</w:t>
            </w:r>
          </w:p>
        </w:tc>
      </w:tr>
      <w:tr w:rsidR="00071F2B" w:rsidRPr="00304385" w:rsidTr="00071F2B">
        <w:trPr>
          <w:cantSplit/>
          <w:trHeight w:val="353"/>
          <w:tblHeader/>
        </w:trPr>
        <w:tc>
          <w:tcPr>
            <w:tcW w:w="2122" w:type="dxa"/>
            <w:vAlign w:val="center"/>
          </w:tcPr>
          <w:p w:rsidR="00071F2B" w:rsidRPr="00304385" w:rsidRDefault="00071F2B" w:rsidP="00E75F6C">
            <w:pPr>
              <w:spacing w:beforeLines="60" w:before="144" w:afterLines="60" w:after="144"/>
              <w:contextualSpacing/>
              <w:rPr>
                <w:rFonts w:cs="Times New Roman"/>
                <w:sz w:val="20"/>
                <w:szCs w:val="20"/>
                <w:lang w:eastAsia="en-GB"/>
              </w:rPr>
            </w:pPr>
            <w:r w:rsidRPr="00304385">
              <w:rPr>
                <w:rFonts w:cs="Times New Roman"/>
                <w:sz w:val="20"/>
                <w:szCs w:val="20"/>
                <w:lang w:eastAsia="en-GB"/>
              </w:rPr>
              <w:t>Psoriasis prevalence</w:t>
            </w:r>
          </w:p>
        </w:tc>
        <w:tc>
          <w:tcPr>
            <w:tcW w:w="1134" w:type="dxa"/>
            <w:vAlign w:val="center"/>
          </w:tcPr>
          <w:p w:rsidR="00071F2B" w:rsidRPr="00304385" w:rsidRDefault="00071F2B" w:rsidP="00071F2B">
            <w:pPr>
              <w:autoSpaceDE w:val="0"/>
              <w:autoSpaceDN w:val="0"/>
              <w:adjustRightInd w:val="0"/>
              <w:spacing w:beforeLines="60" w:before="144" w:afterLines="60" w:after="144"/>
              <w:contextualSpacing/>
              <w:jc w:val="center"/>
              <w:rPr>
                <w:rFonts w:cs="Calibri"/>
                <w:sz w:val="20"/>
                <w:szCs w:val="20"/>
                <w:lang w:eastAsia="en-GB"/>
              </w:rPr>
            </w:pPr>
            <w:r w:rsidRPr="00304385">
              <w:rPr>
                <w:rFonts w:cs="Calibri"/>
                <w:sz w:val="20"/>
                <w:szCs w:val="20"/>
                <w:lang w:eastAsia="en-GB"/>
              </w:rPr>
              <w:t>2.60%</w:t>
            </w:r>
          </w:p>
        </w:tc>
        <w:tc>
          <w:tcPr>
            <w:tcW w:w="985" w:type="dxa"/>
            <w:vAlign w:val="center"/>
          </w:tcPr>
          <w:p w:rsidR="00071F2B" w:rsidRPr="00304385" w:rsidRDefault="00071F2B" w:rsidP="00071F2B">
            <w:pPr>
              <w:autoSpaceDE w:val="0"/>
              <w:autoSpaceDN w:val="0"/>
              <w:adjustRightInd w:val="0"/>
              <w:spacing w:beforeLines="60" w:before="144" w:afterLines="60" w:after="144"/>
              <w:contextualSpacing/>
              <w:jc w:val="center"/>
              <w:rPr>
                <w:rFonts w:cs="Calibri"/>
                <w:sz w:val="20"/>
                <w:szCs w:val="20"/>
                <w:lang w:eastAsia="en-GB"/>
              </w:rPr>
            </w:pPr>
            <w:r w:rsidRPr="00304385">
              <w:rPr>
                <w:rFonts w:cs="Calibri"/>
                <w:sz w:val="20"/>
                <w:szCs w:val="20"/>
                <w:lang w:eastAsia="en-GB"/>
              </w:rPr>
              <w:t>2.40%</w:t>
            </w:r>
          </w:p>
        </w:tc>
        <w:tc>
          <w:tcPr>
            <w:tcW w:w="947" w:type="dxa"/>
            <w:vAlign w:val="center"/>
          </w:tcPr>
          <w:p w:rsidR="00071F2B" w:rsidRPr="00304385" w:rsidRDefault="00071F2B" w:rsidP="00071F2B">
            <w:pPr>
              <w:autoSpaceDE w:val="0"/>
              <w:autoSpaceDN w:val="0"/>
              <w:adjustRightInd w:val="0"/>
              <w:spacing w:beforeLines="60" w:before="144" w:afterLines="60" w:after="144"/>
              <w:contextualSpacing/>
              <w:jc w:val="center"/>
              <w:rPr>
                <w:rFonts w:cs="Calibri"/>
                <w:sz w:val="20"/>
                <w:szCs w:val="20"/>
                <w:lang w:eastAsia="en-GB"/>
              </w:rPr>
            </w:pPr>
            <w:r w:rsidRPr="00304385">
              <w:rPr>
                <w:rFonts w:cs="Calibri"/>
                <w:sz w:val="20"/>
                <w:szCs w:val="20"/>
                <w:lang w:eastAsia="en-GB"/>
              </w:rPr>
              <w:t>6.60%</w:t>
            </w:r>
          </w:p>
        </w:tc>
        <w:tc>
          <w:tcPr>
            <w:tcW w:w="0" w:type="auto"/>
            <w:vAlign w:val="center"/>
          </w:tcPr>
          <w:p w:rsidR="00071F2B" w:rsidRPr="00304385" w:rsidRDefault="00071F2B" w:rsidP="00071F2B">
            <w:pPr>
              <w:autoSpaceDE w:val="0"/>
              <w:autoSpaceDN w:val="0"/>
              <w:adjustRightInd w:val="0"/>
              <w:spacing w:beforeLines="60" w:before="144" w:afterLines="60" w:after="144"/>
              <w:contextualSpacing/>
              <w:jc w:val="center"/>
              <w:rPr>
                <w:rFonts w:cs="Times New Roman"/>
                <w:color w:val="000000"/>
                <w:sz w:val="20"/>
                <w:szCs w:val="20"/>
                <w:lang w:eastAsia="en-GB"/>
              </w:rPr>
            </w:pPr>
            <w:r w:rsidRPr="00304385">
              <w:rPr>
                <w:rFonts w:cs="Times New Roman"/>
                <w:color w:val="000000"/>
                <w:sz w:val="20"/>
                <w:szCs w:val="20"/>
                <w:lang w:eastAsia="en-GB"/>
              </w:rPr>
              <w:t>ABS NHS 2014-15</w:t>
            </w:r>
          </w:p>
        </w:tc>
        <w:tc>
          <w:tcPr>
            <w:tcW w:w="0" w:type="auto"/>
            <w:tcBorders>
              <w:right w:val="single" w:sz="4" w:space="0" w:color="auto"/>
            </w:tcBorders>
            <w:vAlign w:val="center"/>
          </w:tcPr>
          <w:p w:rsidR="00071F2B" w:rsidRPr="00304385" w:rsidRDefault="00071F2B" w:rsidP="00071F2B">
            <w:pPr>
              <w:autoSpaceDE w:val="0"/>
              <w:autoSpaceDN w:val="0"/>
              <w:adjustRightInd w:val="0"/>
              <w:spacing w:beforeLines="60" w:before="144" w:afterLines="60" w:after="144"/>
              <w:contextualSpacing/>
              <w:jc w:val="center"/>
              <w:rPr>
                <w:rFonts w:cs="Times New Roman"/>
                <w:color w:val="000000"/>
                <w:sz w:val="20"/>
                <w:szCs w:val="20"/>
                <w:lang w:eastAsia="en-GB"/>
              </w:rPr>
            </w:pPr>
            <w:r w:rsidRPr="00304385">
              <w:rPr>
                <w:rFonts w:cs="Times New Roman"/>
                <w:color w:val="000000"/>
                <w:sz w:val="20"/>
                <w:szCs w:val="20"/>
                <w:lang w:eastAsia="en-GB"/>
              </w:rPr>
              <w:t>ABS NHS 2011-12</w:t>
            </w:r>
          </w:p>
        </w:tc>
        <w:tc>
          <w:tcPr>
            <w:tcW w:w="0" w:type="auto"/>
            <w:tcBorders>
              <w:right w:val="single" w:sz="4" w:space="0" w:color="auto"/>
            </w:tcBorders>
            <w:vAlign w:val="center"/>
          </w:tcPr>
          <w:p w:rsidR="00071F2B" w:rsidRPr="00304385" w:rsidRDefault="00071F2B" w:rsidP="00071F2B">
            <w:pPr>
              <w:autoSpaceDE w:val="0"/>
              <w:autoSpaceDN w:val="0"/>
              <w:adjustRightInd w:val="0"/>
              <w:spacing w:beforeLines="60" w:before="144" w:afterLines="60" w:after="144"/>
              <w:contextualSpacing/>
              <w:jc w:val="center"/>
              <w:rPr>
                <w:rFonts w:cs="Times New Roman"/>
                <w:color w:val="000000"/>
                <w:sz w:val="20"/>
                <w:szCs w:val="20"/>
                <w:lang w:eastAsia="en-GB"/>
              </w:rPr>
            </w:pPr>
            <w:r w:rsidRPr="00304385">
              <w:rPr>
                <w:rFonts w:cs="Times New Roman"/>
                <w:color w:val="000000"/>
                <w:sz w:val="20"/>
                <w:szCs w:val="20"/>
                <w:lang w:eastAsia="en-GB"/>
              </w:rPr>
              <w:t xml:space="preserve">Plunkett </w:t>
            </w:r>
            <w:r>
              <w:rPr>
                <w:rFonts w:cs="Times New Roman"/>
                <w:color w:val="000000"/>
                <w:sz w:val="20"/>
                <w:szCs w:val="20"/>
                <w:lang w:eastAsia="en-GB"/>
              </w:rPr>
              <w:t>(</w:t>
            </w:r>
            <w:r w:rsidRPr="00304385">
              <w:rPr>
                <w:rFonts w:cs="Times New Roman"/>
                <w:color w:val="000000"/>
                <w:sz w:val="20"/>
                <w:szCs w:val="20"/>
                <w:lang w:eastAsia="en-GB"/>
              </w:rPr>
              <w:t>1999</w:t>
            </w:r>
            <w:r>
              <w:rPr>
                <w:rFonts w:cs="Times New Roman"/>
                <w:color w:val="000000"/>
                <w:sz w:val="20"/>
                <w:szCs w:val="20"/>
                <w:lang w:eastAsia="en-GB"/>
              </w:rPr>
              <w:t>)</w:t>
            </w:r>
          </w:p>
        </w:tc>
      </w:tr>
      <w:tr w:rsidR="00071F2B" w:rsidRPr="00304385" w:rsidTr="00071F2B">
        <w:trPr>
          <w:cantSplit/>
          <w:trHeight w:val="531"/>
          <w:tblHeader/>
        </w:trPr>
        <w:tc>
          <w:tcPr>
            <w:tcW w:w="2122" w:type="dxa"/>
            <w:vAlign w:val="center"/>
          </w:tcPr>
          <w:p w:rsidR="00071F2B" w:rsidRPr="00304385" w:rsidRDefault="00071F2B" w:rsidP="00E75F6C">
            <w:pPr>
              <w:spacing w:beforeLines="60" w:before="144" w:afterLines="60" w:after="144"/>
              <w:contextualSpacing/>
              <w:rPr>
                <w:rFonts w:cs="Times New Roman"/>
                <w:sz w:val="20"/>
                <w:szCs w:val="20"/>
                <w:lang w:eastAsia="en-GB"/>
              </w:rPr>
            </w:pPr>
            <w:r w:rsidRPr="00304385">
              <w:rPr>
                <w:rFonts w:cs="Times New Roman"/>
                <w:sz w:val="20"/>
                <w:szCs w:val="20"/>
                <w:lang w:eastAsia="en-GB"/>
              </w:rPr>
              <w:t xml:space="preserve">Proportion </w:t>
            </w:r>
            <w:r w:rsidR="00891E82">
              <w:rPr>
                <w:rFonts w:cs="Times New Roman"/>
                <w:sz w:val="20"/>
                <w:szCs w:val="20"/>
                <w:lang w:eastAsia="en-GB"/>
              </w:rPr>
              <w:t>CPP</w:t>
            </w:r>
          </w:p>
        </w:tc>
        <w:tc>
          <w:tcPr>
            <w:tcW w:w="1134" w:type="dxa"/>
            <w:vAlign w:val="center"/>
          </w:tcPr>
          <w:p w:rsidR="00071F2B" w:rsidRPr="00304385" w:rsidRDefault="00071F2B" w:rsidP="00071F2B">
            <w:pPr>
              <w:autoSpaceDE w:val="0"/>
              <w:autoSpaceDN w:val="0"/>
              <w:adjustRightInd w:val="0"/>
              <w:spacing w:beforeLines="60" w:before="144" w:afterLines="60" w:after="144"/>
              <w:contextualSpacing/>
              <w:jc w:val="center"/>
              <w:rPr>
                <w:rFonts w:cs="Calibri"/>
                <w:sz w:val="20"/>
                <w:szCs w:val="20"/>
                <w:lang w:eastAsia="en-GB"/>
              </w:rPr>
            </w:pPr>
            <w:r w:rsidRPr="00304385">
              <w:rPr>
                <w:rFonts w:cs="Calibri"/>
                <w:sz w:val="20"/>
                <w:szCs w:val="20"/>
                <w:lang w:eastAsia="en-GB"/>
              </w:rPr>
              <w:t>79%</w:t>
            </w:r>
          </w:p>
        </w:tc>
        <w:tc>
          <w:tcPr>
            <w:tcW w:w="985" w:type="dxa"/>
            <w:vAlign w:val="center"/>
          </w:tcPr>
          <w:p w:rsidR="00071F2B" w:rsidRPr="00304385" w:rsidRDefault="00071F2B" w:rsidP="00071F2B">
            <w:pPr>
              <w:autoSpaceDE w:val="0"/>
              <w:autoSpaceDN w:val="0"/>
              <w:adjustRightInd w:val="0"/>
              <w:spacing w:beforeLines="60" w:before="144" w:afterLines="60" w:after="144"/>
              <w:contextualSpacing/>
              <w:jc w:val="center"/>
              <w:rPr>
                <w:rFonts w:cs="Calibri"/>
                <w:sz w:val="20"/>
                <w:szCs w:val="20"/>
                <w:lang w:eastAsia="en-GB"/>
              </w:rPr>
            </w:pPr>
            <w:r w:rsidRPr="00304385">
              <w:rPr>
                <w:rFonts w:cs="Calibri"/>
                <w:sz w:val="20"/>
                <w:szCs w:val="20"/>
                <w:lang w:eastAsia="en-GB"/>
              </w:rPr>
              <w:t>57.78%</w:t>
            </w:r>
          </w:p>
        </w:tc>
        <w:tc>
          <w:tcPr>
            <w:tcW w:w="947" w:type="dxa"/>
            <w:vAlign w:val="center"/>
          </w:tcPr>
          <w:p w:rsidR="00071F2B" w:rsidRPr="00304385" w:rsidRDefault="00071F2B" w:rsidP="00071F2B">
            <w:pPr>
              <w:autoSpaceDE w:val="0"/>
              <w:autoSpaceDN w:val="0"/>
              <w:adjustRightInd w:val="0"/>
              <w:spacing w:beforeLines="60" w:before="144" w:afterLines="60" w:after="144"/>
              <w:contextualSpacing/>
              <w:jc w:val="center"/>
              <w:rPr>
                <w:rFonts w:cs="Calibri"/>
                <w:sz w:val="20"/>
                <w:szCs w:val="20"/>
                <w:lang w:eastAsia="en-GB"/>
              </w:rPr>
            </w:pPr>
            <w:r w:rsidRPr="00304385">
              <w:rPr>
                <w:rFonts w:cs="Calibri"/>
                <w:sz w:val="20"/>
                <w:szCs w:val="20"/>
                <w:lang w:eastAsia="en-GB"/>
              </w:rPr>
              <w:t>94%</w:t>
            </w:r>
          </w:p>
        </w:tc>
        <w:tc>
          <w:tcPr>
            <w:tcW w:w="0" w:type="auto"/>
            <w:vAlign w:val="center"/>
          </w:tcPr>
          <w:p w:rsidR="00071F2B" w:rsidRPr="00304385" w:rsidRDefault="00071F2B" w:rsidP="00071F2B">
            <w:pPr>
              <w:autoSpaceDE w:val="0"/>
              <w:autoSpaceDN w:val="0"/>
              <w:adjustRightInd w:val="0"/>
              <w:spacing w:beforeLines="60" w:before="144" w:afterLines="60" w:after="144"/>
              <w:contextualSpacing/>
              <w:jc w:val="center"/>
              <w:rPr>
                <w:rFonts w:cs="Times New Roman"/>
                <w:color w:val="000000"/>
                <w:sz w:val="20"/>
                <w:szCs w:val="20"/>
                <w:lang w:eastAsia="en-GB"/>
              </w:rPr>
            </w:pPr>
            <w:r w:rsidRPr="00304385">
              <w:rPr>
                <w:rFonts w:cs="Times New Roman"/>
                <w:color w:val="000000"/>
                <w:sz w:val="20"/>
                <w:szCs w:val="20"/>
                <w:lang w:eastAsia="en-GB"/>
              </w:rPr>
              <w:t xml:space="preserve">Icen </w:t>
            </w:r>
            <w:r>
              <w:rPr>
                <w:rFonts w:cs="Times New Roman"/>
                <w:color w:val="000000"/>
                <w:sz w:val="20"/>
                <w:szCs w:val="20"/>
                <w:lang w:eastAsia="en-GB"/>
              </w:rPr>
              <w:t>(</w:t>
            </w:r>
            <w:r w:rsidRPr="00304385">
              <w:rPr>
                <w:rFonts w:cs="Times New Roman"/>
                <w:color w:val="000000"/>
                <w:sz w:val="20"/>
                <w:szCs w:val="20"/>
                <w:lang w:eastAsia="en-GB"/>
              </w:rPr>
              <w:t>2009</w:t>
            </w:r>
            <w:r>
              <w:rPr>
                <w:rFonts w:cs="Times New Roman"/>
                <w:color w:val="000000"/>
                <w:sz w:val="20"/>
                <w:szCs w:val="20"/>
                <w:lang w:eastAsia="en-GB"/>
              </w:rPr>
              <w:t>)</w:t>
            </w:r>
          </w:p>
        </w:tc>
        <w:tc>
          <w:tcPr>
            <w:tcW w:w="0" w:type="auto"/>
            <w:tcBorders>
              <w:right w:val="single" w:sz="4" w:space="0" w:color="auto"/>
            </w:tcBorders>
            <w:vAlign w:val="center"/>
          </w:tcPr>
          <w:p w:rsidR="00071F2B" w:rsidRPr="00304385" w:rsidRDefault="00071F2B" w:rsidP="00071F2B">
            <w:pPr>
              <w:autoSpaceDE w:val="0"/>
              <w:autoSpaceDN w:val="0"/>
              <w:adjustRightInd w:val="0"/>
              <w:spacing w:beforeLines="60" w:before="144" w:afterLines="60" w:after="144"/>
              <w:contextualSpacing/>
              <w:jc w:val="center"/>
              <w:rPr>
                <w:rFonts w:cs="Times New Roman"/>
                <w:color w:val="000000"/>
                <w:sz w:val="20"/>
                <w:szCs w:val="20"/>
                <w:lang w:eastAsia="en-GB"/>
              </w:rPr>
            </w:pPr>
            <w:r w:rsidRPr="00304385">
              <w:rPr>
                <w:rFonts w:cs="Times New Roman"/>
                <w:color w:val="000000"/>
                <w:sz w:val="20"/>
                <w:szCs w:val="20"/>
                <w:lang w:eastAsia="en-GB"/>
              </w:rPr>
              <w:t xml:space="preserve">Schafer </w:t>
            </w:r>
            <w:r>
              <w:rPr>
                <w:rFonts w:cs="Times New Roman"/>
                <w:color w:val="000000"/>
                <w:sz w:val="20"/>
                <w:szCs w:val="20"/>
                <w:lang w:eastAsia="en-GB"/>
              </w:rPr>
              <w:t>(</w:t>
            </w:r>
            <w:r w:rsidRPr="00304385">
              <w:rPr>
                <w:rFonts w:cs="Times New Roman"/>
                <w:color w:val="000000"/>
                <w:sz w:val="20"/>
                <w:szCs w:val="20"/>
                <w:lang w:eastAsia="en-GB"/>
              </w:rPr>
              <w:t>2011</w:t>
            </w:r>
            <w:r>
              <w:rPr>
                <w:rFonts w:cs="Times New Roman"/>
                <w:color w:val="000000"/>
                <w:sz w:val="20"/>
                <w:szCs w:val="20"/>
                <w:lang w:eastAsia="en-GB"/>
              </w:rPr>
              <w:t>)</w:t>
            </w:r>
          </w:p>
        </w:tc>
        <w:tc>
          <w:tcPr>
            <w:tcW w:w="0" w:type="auto"/>
            <w:tcBorders>
              <w:right w:val="single" w:sz="4" w:space="0" w:color="auto"/>
            </w:tcBorders>
            <w:vAlign w:val="center"/>
          </w:tcPr>
          <w:p w:rsidR="00071F2B" w:rsidRPr="00304385" w:rsidRDefault="00071F2B" w:rsidP="00071F2B">
            <w:pPr>
              <w:autoSpaceDE w:val="0"/>
              <w:autoSpaceDN w:val="0"/>
              <w:adjustRightInd w:val="0"/>
              <w:spacing w:beforeLines="60" w:before="144" w:afterLines="60" w:after="144"/>
              <w:contextualSpacing/>
              <w:jc w:val="center"/>
              <w:rPr>
                <w:rFonts w:cs="Times New Roman"/>
                <w:color w:val="000000"/>
                <w:sz w:val="20"/>
                <w:szCs w:val="20"/>
                <w:lang w:eastAsia="en-GB"/>
              </w:rPr>
            </w:pPr>
            <w:r w:rsidRPr="00304385">
              <w:rPr>
                <w:rFonts w:cs="Times New Roman"/>
                <w:color w:val="000000"/>
                <w:sz w:val="20"/>
                <w:szCs w:val="20"/>
                <w:lang w:eastAsia="en-GB"/>
              </w:rPr>
              <w:t xml:space="preserve">Papadavid </w:t>
            </w:r>
            <w:r>
              <w:rPr>
                <w:rFonts w:cs="Times New Roman"/>
                <w:color w:val="000000"/>
                <w:sz w:val="20"/>
                <w:szCs w:val="20"/>
                <w:lang w:eastAsia="en-GB"/>
              </w:rPr>
              <w:t>(</w:t>
            </w:r>
            <w:r w:rsidRPr="00304385">
              <w:rPr>
                <w:rFonts w:cs="Times New Roman"/>
                <w:color w:val="000000"/>
                <w:sz w:val="20"/>
                <w:szCs w:val="20"/>
                <w:lang w:eastAsia="en-GB"/>
              </w:rPr>
              <w:t>2017</w:t>
            </w:r>
            <w:r>
              <w:rPr>
                <w:rFonts w:cs="Times New Roman"/>
                <w:color w:val="000000"/>
                <w:sz w:val="20"/>
                <w:szCs w:val="20"/>
                <w:lang w:eastAsia="en-GB"/>
              </w:rPr>
              <w:t>)</w:t>
            </w:r>
            <w:r w:rsidRPr="00304385">
              <w:rPr>
                <w:rFonts w:cs="Times New Roman"/>
                <w:color w:val="000000"/>
                <w:sz w:val="20"/>
                <w:szCs w:val="20"/>
                <w:lang w:eastAsia="en-GB"/>
              </w:rPr>
              <w:t xml:space="preserve"> </w:t>
            </w:r>
          </w:p>
        </w:tc>
      </w:tr>
      <w:tr w:rsidR="00071F2B" w:rsidRPr="00304385" w:rsidTr="00071F2B">
        <w:trPr>
          <w:cantSplit/>
          <w:trHeight w:val="353"/>
          <w:tblHeader/>
        </w:trPr>
        <w:tc>
          <w:tcPr>
            <w:tcW w:w="2122" w:type="dxa"/>
            <w:vAlign w:val="center"/>
          </w:tcPr>
          <w:p w:rsidR="00071F2B" w:rsidRPr="00304385" w:rsidRDefault="00071F2B" w:rsidP="00907613">
            <w:pPr>
              <w:spacing w:beforeLines="60" w:before="144" w:afterLines="60" w:after="144"/>
              <w:contextualSpacing/>
              <w:rPr>
                <w:rFonts w:cs="Times New Roman"/>
                <w:sz w:val="20"/>
                <w:szCs w:val="20"/>
                <w:lang w:eastAsia="en-GB"/>
              </w:rPr>
            </w:pPr>
            <w:r w:rsidRPr="00304385">
              <w:rPr>
                <w:rFonts w:cs="Times New Roman"/>
                <w:sz w:val="20"/>
                <w:szCs w:val="20"/>
                <w:lang w:eastAsia="en-GB"/>
              </w:rPr>
              <w:t xml:space="preserve">Proportion </w:t>
            </w:r>
            <w:r w:rsidR="00907613">
              <w:rPr>
                <w:rFonts w:cs="Times New Roman"/>
                <w:sz w:val="20"/>
                <w:szCs w:val="20"/>
                <w:lang w:eastAsia="en-GB"/>
              </w:rPr>
              <w:t>PASI &gt;15</w:t>
            </w:r>
          </w:p>
        </w:tc>
        <w:tc>
          <w:tcPr>
            <w:tcW w:w="1134" w:type="dxa"/>
            <w:vAlign w:val="center"/>
          </w:tcPr>
          <w:p w:rsidR="00071F2B" w:rsidRPr="00304385" w:rsidRDefault="00071F2B" w:rsidP="00071F2B">
            <w:pPr>
              <w:autoSpaceDE w:val="0"/>
              <w:autoSpaceDN w:val="0"/>
              <w:adjustRightInd w:val="0"/>
              <w:spacing w:beforeLines="60" w:before="144" w:afterLines="60" w:after="144"/>
              <w:contextualSpacing/>
              <w:jc w:val="center"/>
              <w:rPr>
                <w:rFonts w:cs="Calibri"/>
                <w:sz w:val="20"/>
                <w:szCs w:val="20"/>
                <w:lang w:eastAsia="en-GB"/>
              </w:rPr>
            </w:pPr>
            <w:r w:rsidRPr="00304385">
              <w:rPr>
                <w:rFonts w:cs="Calibri"/>
                <w:sz w:val="20"/>
                <w:szCs w:val="20"/>
                <w:lang w:eastAsia="en-GB"/>
              </w:rPr>
              <w:t>5%</w:t>
            </w:r>
          </w:p>
        </w:tc>
        <w:tc>
          <w:tcPr>
            <w:tcW w:w="985" w:type="dxa"/>
            <w:vAlign w:val="center"/>
          </w:tcPr>
          <w:p w:rsidR="00071F2B" w:rsidRPr="00304385" w:rsidRDefault="00071F2B" w:rsidP="00071F2B">
            <w:pPr>
              <w:autoSpaceDE w:val="0"/>
              <w:autoSpaceDN w:val="0"/>
              <w:adjustRightInd w:val="0"/>
              <w:spacing w:beforeLines="60" w:before="144" w:afterLines="60" w:after="144"/>
              <w:contextualSpacing/>
              <w:jc w:val="center"/>
              <w:rPr>
                <w:rFonts w:cs="Calibri"/>
                <w:sz w:val="20"/>
                <w:szCs w:val="20"/>
                <w:lang w:eastAsia="en-GB"/>
              </w:rPr>
            </w:pPr>
            <w:r w:rsidRPr="00304385">
              <w:rPr>
                <w:rFonts w:cs="Calibri"/>
                <w:sz w:val="20"/>
                <w:szCs w:val="20"/>
                <w:lang w:eastAsia="en-GB"/>
              </w:rPr>
              <w:t>3%</w:t>
            </w:r>
          </w:p>
        </w:tc>
        <w:tc>
          <w:tcPr>
            <w:tcW w:w="947" w:type="dxa"/>
            <w:vAlign w:val="center"/>
          </w:tcPr>
          <w:p w:rsidR="00071F2B" w:rsidRPr="00304385" w:rsidRDefault="00071F2B" w:rsidP="00071F2B">
            <w:pPr>
              <w:autoSpaceDE w:val="0"/>
              <w:autoSpaceDN w:val="0"/>
              <w:adjustRightInd w:val="0"/>
              <w:spacing w:beforeLines="60" w:before="144" w:afterLines="60" w:after="144"/>
              <w:contextualSpacing/>
              <w:jc w:val="center"/>
              <w:rPr>
                <w:rFonts w:cs="Calibri"/>
                <w:sz w:val="20"/>
                <w:szCs w:val="20"/>
                <w:lang w:eastAsia="en-GB"/>
              </w:rPr>
            </w:pPr>
            <w:r w:rsidRPr="00304385">
              <w:rPr>
                <w:rFonts w:cs="Calibri"/>
                <w:sz w:val="20"/>
                <w:szCs w:val="20"/>
                <w:lang w:eastAsia="en-GB"/>
              </w:rPr>
              <w:t>31%</w:t>
            </w:r>
          </w:p>
        </w:tc>
        <w:tc>
          <w:tcPr>
            <w:tcW w:w="0" w:type="auto"/>
            <w:vAlign w:val="center"/>
          </w:tcPr>
          <w:p w:rsidR="00071F2B" w:rsidRPr="00304385" w:rsidRDefault="00071F2B" w:rsidP="00071F2B">
            <w:pPr>
              <w:autoSpaceDE w:val="0"/>
              <w:autoSpaceDN w:val="0"/>
              <w:adjustRightInd w:val="0"/>
              <w:spacing w:beforeLines="60" w:before="144" w:afterLines="60" w:after="144"/>
              <w:contextualSpacing/>
              <w:jc w:val="center"/>
              <w:rPr>
                <w:rFonts w:cs="Times New Roman"/>
                <w:color w:val="000000"/>
                <w:sz w:val="20"/>
                <w:szCs w:val="20"/>
                <w:lang w:eastAsia="en-GB"/>
              </w:rPr>
            </w:pPr>
            <w:r w:rsidRPr="00304385">
              <w:rPr>
                <w:rFonts w:cs="Times New Roman"/>
                <w:color w:val="000000"/>
                <w:sz w:val="20"/>
                <w:szCs w:val="20"/>
                <w:lang w:eastAsia="en-GB"/>
              </w:rPr>
              <w:t>Mallbris 2005 (upper estimate)</w:t>
            </w:r>
          </w:p>
        </w:tc>
        <w:tc>
          <w:tcPr>
            <w:tcW w:w="0" w:type="auto"/>
            <w:tcBorders>
              <w:right w:val="single" w:sz="4" w:space="0" w:color="auto"/>
            </w:tcBorders>
            <w:vAlign w:val="center"/>
          </w:tcPr>
          <w:p w:rsidR="00071F2B" w:rsidRPr="00304385" w:rsidRDefault="00071F2B" w:rsidP="00071F2B">
            <w:pPr>
              <w:autoSpaceDE w:val="0"/>
              <w:autoSpaceDN w:val="0"/>
              <w:adjustRightInd w:val="0"/>
              <w:spacing w:beforeLines="60" w:before="144" w:afterLines="60" w:after="144"/>
              <w:contextualSpacing/>
              <w:jc w:val="center"/>
              <w:rPr>
                <w:rFonts w:cs="Times New Roman"/>
                <w:color w:val="000000"/>
                <w:sz w:val="20"/>
                <w:szCs w:val="20"/>
                <w:lang w:eastAsia="en-GB"/>
              </w:rPr>
            </w:pPr>
            <w:r w:rsidRPr="00304385">
              <w:rPr>
                <w:rFonts w:cs="Times New Roman"/>
                <w:color w:val="000000"/>
                <w:sz w:val="20"/>
                <w:szCs w:val="20"/>
                <w:lang w:eastAsia="en-GB"/>
              </w:rPr>
              <w:t>Mallbris 2005 (lower estimate)</w:t>
            </w:r>
          </w:p>
        </w:tc>
        <w:tc>
          <w:tcPr>
            <w:tcW w:w="0" w:type="auto"/>
            <w:tcBorders>
              <w:right w:val="single" w:sz="4" w:space="0" w:color="auto"/>
            </w:tcBorders>
            <w:vAlign w:val="center"/>
          </w:tcPr>
          <w:p w:rsidR="00071F2B" w:rsidRPr="00304385" w:rsidRDefault="00071F2B" w:rsidP="00071F2B">
            <w:pPr>
              <w:autoSpaceDE w:val="0"/>
              <w:autoSpaceDN w:val="0"/>
              <w:adjustRightInd w:val="0"/>
              <w:spacing w:beforeLines="60" w:before="144" w:afterLines="60" w:after="144"/>
              <w:contextualSpacing/>
              <w:jc w:val="center"/>
              <w:rPr>
                <w:rFonts w:cs="Times New Roman"/>
                <w:color w:val="000000"/>
                <w:sz w:val="20"/>
                <w:szCs w:val="20"/>
                <w:lang w:eastAsia="en-GB"/>
              </w:rPr>
            </w:pPr>
            <w:r w:rsidRPr="00304385">
              <w:rPr>
                <w:rFonts w:cs="Times New Roman"/>
                <w:color w:val="000000"/>
                <w:sz w:val="20"/>
                <w:szCs w:val="20"/>
                <w:lang w:eastAsia="en-GB"/>
              </w:rPr>
              <w:t xml:space="preserve">Piaserico </w:t>
            </w:r>
            <w:r>
              <w:rPr>
                <w:rFonts w:cs="Times New Roman"/>
                <w:color w:val="000000"/>
                <w:sz w:val="20"/>
                <w:szCs w:val="20"/>
                <w:lang w:eastAsia="en-GB"/>
              </w:rPr>
              <w:t>(</w:t>
            </w:r>
            <w:r w:rsidRPr="00304385">
              <w:rPr>
                <w:rFonts w:cs="Times New Roman"/>
                <w:color w:val="000000"/>
                <w:sz w:val="20"/>
                <w:szCs w:val="20"/>
                <w:lang w:eastAsia="en-GB"/>
              </w:rPr>
              <w:t>2016</w:t>
            </w:r>
            <w:r>
              <w:rPr>
                <w:rFonts w:cs="Times New Roman"/>
                <w:color w:val="000000"/>
                <w:sz w:val="20"/>
                <w:szCs w:val="20"/>
                <w:lang w:eastAsia="en-GB"/>
              </w:rPr>
              <w:t>)</w:t>
            </w:r>
          </w:p>
        </w:tc>
      </w:tr>
      <w:tr w:rsidR="00894103" w:rsidRPr="00304385" w:rsidTr="00071F2B">
        <w:trPr>
          <w:cantSplit/>
          <w:trHeight w:val="353"/>
          <w:tblHeader/>
        </w:trPr>
        <w:tc>
          <w:tcPr>
            <w:tcW w:w="2122" w:type="dxa"/>
            <w:vAlign w:val="center"/>
          </w:tcPr>
          <w:p w:rsidR="00894103" w:rsidRPr="00304385" w:rsidRDefault="00894103" w:rsidP="001B0DBD">
            <w:pPr>
              <w:spacing w:beforeLines="60" w:before="144" w:afterLines="60" w:after="144"/>
              <w:contextualSpacing/>
              <w:rPr>
                <w:rFonts w:cs="Times New Roman"/>
                <w:sz w:val="20"/>
                <w:szCs w:val="20"/>
                <w:lang w:eastAsia="en-GB"/>
              </w:rPr>
            </w:pPr>
            <w:r w:rsidRPr="00304385">
              <w:rPr>
                <w:rFonts w:cs="Times New Roman"/>
                <w:sz w:val="20"/>
                <w:szCs w:val="20"/>
                <w:lang w:eastAsia="en-GB"/>
              </w:rPr>
              <w:t xml:space="preserve">Proportion </w:t>
            </w:r>
            <w:r>
              <w:rPr>
                <w:rFonts w:cs="Times New Roman"/>
                <w:sz w:val="20"/>
                <w:szCs w:val="20"/>
                <w:lang w:eastAsia="en-GB"/>
              </w:rPr>
              <w:t>PASI ≥1</w:t>
            </w:r>
            <w:r w:rsidR="001B0DBD">
              <w:rPr>
                <w:rFonts w:cs="Times New Roman"/>
                <w:sz w:val="20"/>
                <w:szCs w:val="20"/>
                <w:lang w:eastAsia="en-GB"/>
              </w:rPr>
              <w:t>0</w:t>
            </w:r>
          </w:p>
        </w:tc>
        <w:tc>
          <w:tcPr>
            <w:tcW w:w="1134" w:type="dxa"/>
            <w:vAlign w:val="center"/>
          </w:tcPr>
          <w:p w:rsidR="00894103" w:rsidRPr="00304385" w:rsidRDefault="00894103" w:rsidP="00894103">
            <w:pPr>
              <w:autoSpaceDE w:val="0"/>
              <w:autoSpaceDN w:val="0"/>
              <w:adjustRightInd w:val="0"/>
              <w:spacing w:beforeLines="60" w:before="144" w:afterLines="60" w:after="144"/>
              <w:contextualSpacing/>
              <w:jc w:val="center"/>
              <w:rPr>
                <w:rFonts w:cs="Calibri"/>
                <w:sz w:val="20"/>
                <w:szCs w:val="20"/>
                <w:lang w:eastAsia="en-GB"/>
              </w:rPr>
            </w:pPr>
            <w:r>
              <w:rPr>
                <w:rFonts w:cs="Calibri"/>
                <w:sz w:val="20"/>
                <w:szCs w:val="20"/>
                <w:lang w:eastAsia="en-GB"/>
              </w:rPr>
              <w:t>13%</w:t>
            </w:r>
          </w:p>
        </w:tc>
        <w:tc>
          <w:tcPr>
            <w:tcW w:w="985" w:type="dxa"/>
            <w:vAlign w:val="center"/>
          </w:tcPr>
          <w:p w:rsidR="00894103" w:rsidRPr="00304385" w:rsidRDefault="00894103" w:rsidP="00894103">
            <w:pPr>
              <w:autoSpaceDE w:val="0"/>
              <w:autoSpaceDN w:val="0"/>
              <w:adjustRightInd w:val="0"/>
              <w:spacing w:beforeLines="60" w:before="144" w:afterLines="60" w:after="144"/>
              <w:contextualSpacing/>
              <w:jc w:val="center"/>
              <w:rPr>
                <w:rFonts w:cs="Calibri"/>
                <w:sz w:val="20"/>
                <w:szCs w:val="20"/>
                <w:lang w:eastAsia="en-GB"/>
              </w:rPr>
            </w:pPr>
            <w:r>
              <w:rPr>
                <w:rFonts w:cs="Calibri"/>
                <w:sz w:val="20"/>
                <w:szCs w:val="20"/>
                <w:lang w:eastAsia="en-GB"/>
              </w:rPr>
              <w:t>13%</w:t>
            </w:r>
          </w:p>
        </w:tc>
        <w:tc>
          <w:tcPr>
            <w:tcW w:w="947" w:type="dxa"/>
            <w:vAlign w:val="center"/>
          </w:tcPr>
          <w:p w:rsidR="00894103" w:rsidRPr="00304385" w:rsidRDefault="00957BD9" w:rsidP="00894103">
            <w:pPr>
              <w:autoSpaceDE w:val="0"/>
              <w:autoSpaceDN w:val="0"/>
              <w:adjustRightInd w:val="0"/>
              <w:spacing w:beforeLines="60" w:before="144" w:afterLines="60" w:after="144"/>
              <w:contextualSpacing/>
              <w:jc w:val="center"/>
              <w:rPr>
                <w:rFonts w:cs="Calibri"/>
                <w:sz w:val="20"/>
                <w:szCs w:val="20"/>
                <w:lang w:eastAsia="en-GB"/>
              </w:rPr>
            </w:pPr>
            <w:r>
              <w:rPr>
                <w:rFonts w:cs="Calibri"/>
                <w:sz w:val="20"/>
                <w:szCs w:val="20"/>
                <w:lang w:eastAsia="en-GB"/>
              </w:rPr>
              <w:t>53</w:t>
            </w:r>
            <w:r w:rsidR="00894103">
              <w:rPr>
                <w:rFonts w:cs="Calibri"/>
                <w:sz w:val="20"/>
                <w:szCs w:val="20"/>
                <w:lang w:eastAsia="en-GB"/>
              </w:rPr>
              <w:t>%</w:t>
            </w:r>
          </w:p>
        </w:tc>
        <w:tc>
          <w:tcPr>
            <w:tcW w:w="0" w:type="auto"/>
            <w:vAlign w:val="center"/>
          </w:tcPr>
          <w:p w:rsidR="00894103" w:rsidRPr="00304385" w:rsidRDefault="00894103" w:rsidP="00894103">
            <w:pPr>
              <w:autoSpaceDE w:val="0"/>
              <w:autoSpaceDN w:val="0"/>
              <w:adjustRightInd w:val="0"/>
              <w:spacing w:beforeLines="60" w:before="144" w:afterLines="60" w:after="144"/>
              <w:contextualSpacing/>
              <w:jc w:val="center"/>
              <w:rPr>
                <w:rFonts w:cs="Times New Roman"/>
                <w:color w:val="000000"/>
                <w:sz w:val="20"/>
                <w:szCs w:val="20"/>
                <w:lang w:eastAsia="en-GB"/>
              </w:rPr>
            </w:pPr>
            <w:r>
              <w:rPr>
                <w:rFonts w:cs="Times New Roman"/>
                <w:color w:val="000000"/>
                <w:sz w:val="20"/>
                <w:szCs w:val="20"/>
                <w:lang w:eastAsia="en-GB"/>
              </w:rPr>
              <w:t>Eder (2016)</w:t>
            </w:r>
          </w:p>
        </w:tc>
        <w:tc>
          <w:tcPr>
            <w:tcW w:w="0" w:type="auto"/>
            <w:tcBorders>
              <w:right w:val="single" w:sz="4" w:space="0" w:color="auto"/>
            </w:tcBorders>
            <w:vAlign w:val="center"/>
          </w:tcPr>
          <w:p w:rsidR="00894103" w:rsidRPr="00304385" w:rsidRDefault="00894103" w:rsidP="00894103">
            <w:pPr>
              <w:autoSpaceDE w:val="0"/>
              <w:autoSpaceDN w:val="0"/>
              <w:adjustRightInd w:val="0"/>
              <w:spacing w:beforeLines="60" w:before="144" w:afterLines="60" w:after="144"/>
              <w:contextualSpacing/>
              <w:jc w:val="center"/>
              <w:rPr>
                <w:rFonts w:cs="Times New Roman"/>
                <w:color w:val="000000"/>
                <w:sz w:val="20"/>
                <w:szCs w:val="20"/>
                <w:lang w:eastAsia="en-GB"/>
              </w:rPr>
            </w:pPr>
            <w:r>
              <w:rPr>
                <w:rFonts w:cs="Times New Roman"/>
                <w:color w:val="000000"/>
                <w:sz w:val="20"/>
                <w:szCs w:val="20"/>
                <w:lang w:eastAsia="en-GB"/>
              </w:rPr>
              <w:t>Eder (2016)</w:t>
            </w:r>
          </w:p>
        </w:tc>
        <w:tc>
          <w:tcPr>
            <w:tcW w:w="0" w:type="auto"/>
            <w:tcBorders>
              <w:right w:val="single" w:sz="4" w:space="0" w:color="auto"/>
            </w:tcBorders>
            <w:vAlign w:val="center"/>
          </w:tcPr>
          <w:p w:rsidR="00894103" w:rsidRPr="00304385" w:rsidRDefault="00FF67F6" w:rsidP="00894103">
            <w:pPr>
              <w:autoSpaceDE w:val="0"/>
              <w:autoSpaceDN w:val="0"/>
              <w:adjustRightInd w:val="0"/>
              <w:spacing w:beforeLines="60" w:before="144" w:afterLines="60" w:after="144"/>
              <w:contextualSpacing/>
              <w:jc w:val="center"/>
              <w:rPr>
                <w:rFonts w:cs="Times New Roman"/>
                <w:color w:val="000000"/>
                <w:sz w:val="20"/>
                <w:szCs w:val="20"/>
                <w:lang w:eastAsia="en-GB"/>
              </w:rPr>
            </w:pPr>
            <w:r w:rsidRPr="00FF67F6">
              <w:rPr>
                <w:rFonts w:cs="Times New Roman"/>
                <w:color w:val="000000"/>
                <w:sz w:val="20"/>
                <w:szCs w:val="20"/>
                <w:lang w:eastAsia="en-GB"/>
              </w:rPr>
              <w:t>Piaserico (2016)</w:t>
            </w:r>
          </w:p>
        </w:tc>
      </w:tr>
      <w:tr w:rsidR="00894103" w:rsidRPr="00304385" w:rsidTr="00071F2B">
        <w:trPr>
          <w:cantSplit/>
          <w:trHeight w:val="353"/>
          <w:tblHeader/>
        </w:trPr>
        <w:tc>
          <w:tcPr>
            <w:tcW w:w="2122" w:type="dxa"/>
            <w:vAlign w:val="center"/>
          </w:tcPr>
          <w:p w:rsidR="00894103" w:rsidRPr="00304385" w:rsidRDefault="00894103" w:rsidP="00894103">
            <w:pPr>
              <w:spacing w:beforeLines="60" w:before="144" w:afterLines="60" w:after="144"/>
              <w:contextualSpacing/>
              <w:rPr>
                <w:rFonts w:cs="Times New Roman"/>
                <w:sz w:val="20"/>
                <w:szCs w:val="20"/>
                <w:lang w:eastAsia="en-GB"/>
              </w:rPr>
            </w:pPr>
            <w:r w:rsidRPr="00304385">
              <w:rPr>
                <w:rFonts w:cs="Times New Roman"/>
                <w:sz w:val="20"/>
                <w:szCs w:val="20"/>
                <w:lang w:eastAsia="en-GB"/>
              </w:rPr>
              <w:t>Prevalence CPP</w:t>
            </w:r>
            <w:r>
              <w:rPr>
                <w:rFonts w:cs="Times New Roman"/>
                <w:sz w:val="20"/>
                <w:szCs w:val="20"/>
                <w:lang w:eastAsia="en-GB"/>
              </w:rPr>
              <w:t xml:space="preserve">  with PASI &gt;15</w:t>
            </w:r>
          </w:p>
        </w:tc>
        <w:tc>
          <w:tcPr>
            <w:tcW w:w="1134" w:type="dxa"/>
            <w:vAlign w:val="center"/>
          </w:tcPr>
          <w:p w:rsidR="00894103" w:rsidRPr="00304385" w:rsidRDefault="00894103" w:rsidP="00894103">
            <w:pPr>
              <w:autoSpaceDE w:val="0"/>
              <w:autoSpaceDN w:val="0"/>
              <w:adjustRightInd w:val="0"/>
              <w:spacing w:beforeLines="60" w:before="144" w:afterLines="60" w:after="144"/>
              <w:contextualSpacing/>
              <w:jc w:val="center"/>
              <w:rPr>
                <w:rFonts w:cs="Calibri"/>
                <w:sz w:val="20"/>
                <w:szCs w:val="20"/>
                <w:lang w:eastAsia="en-GB"/>
              </w:rPr>
            </w:pPr>
            <w:r w:rsidRPr="00304385">
              <w:rPr>
                <w:rFonts w:cs="Calibri"/>
                <w:sz w:val="20"/>
                <w:szCs w:val="20"/>
                <w:lang w:eastAsia="en-GB"/>
              </w:rPr>
              <w:t>19,223</w:t>
            </w:r>
          </w:p>
        </w:tc>
        <w:tc>
          <w:tcPr>
            <w:tcW w:w="985" w:type="dxa"/>
            <w:vAlign w:val="center"/>
          </w:tcPr>
          <w:p w:rsidR="00894103" w:rsidRPr="00304385" w:rsidRDefault="00894103" w:rsidP="00894103">
            <w:pPr>
              <w:autoSpaceDE w:val="0"/>
              <w:autoSpaceDN w:val="0"/>
              <w:adjustRightInd w:val="0"/>
              <w:spacing w:beforeLines="60" w:before="144" w:afterLines="60" w:after="144"/>
              <w:contextualSpacing/>
              <w:jc w:val="center"/>
              <w:rPr>
                <w:rFonts w:cs="Calibri"/>
                <w:sz w:val="20"/>
                <w:szCs w:val="20"/>
                <w:lang w:eastAsia="en-GB"/>
              </w:rPr>
            </w:pPr>
            <w:r w:rsidRPr="00304385">
              <w:rPr>
                <w:rFonts w:cs="Calibri"/>
                <w:sz w:val="20"/>
                <w:szCs w:val="20"/>
                <w:lang w:eastAsia="en-GB"/>
              </w:rPr>
              <w:t>7,787</w:t>
            </w:r>
          </w:p>
        </w:tc>
        <w:tc>
          <w:tcPr>
            <w:tcW w:w="947" w:type="dxa"/>
            <w:vAlign w:val="center"/>
          </w:tcPr>
          <w:p w:rsidR="00894103" w:rsidRPr="00304385" w:rsidRDefault="00894103" w:rsidP="00894103">
            <w:pPr>
              <w:autoSpaceDE w:val="0"/>
              <w:autoSpaceDN w:val="0"/>
              <w:adjustRightInd w:val="0"/>
              <w:spacing w:beforeLines="60" w:before="144" w:afterLines="60" w:after="144"/>
              <w:contextualSpacing/>
              <w:jc w:val="center"/>
              <w:rPr>
                <w:rFonts w:cs="Calibri"/>
                <w:sz w:val="20"/>
                <w:szCs w:val="20"/>
                <w:lang w:eastAsia="en-GB"/>
              </w:rPr>
            </w:pPr>
            <w:r w:rsidRPr="00304385">
              <w:rPr>
                <w:rFonts w:cs="Calibri"/>
                <w:sz w:val="20"/>
                <w:szCs w:val="20"/>
                <w:lang w:eastAsia="en-GB"/>
              </w:rPr>
              <w:t>359,984</w:t>
            </w:r>
          </w:p>
        </w:tc>
        <w:tc>
          <w:tcPr>
            <w:tcW w:w="0" w:type="auto"/>
            <w:gridSpan w:val="3"/>
            <w:vAlign w:val="center"/>
          </w:tcPr>
          <w:p w:rsidR="00894103" w:rsidRPr="00304385" w:rsidRDefault="00894103" w:rsidP="00894103">
            <w:pPr>
              <w:autoSpaceDE w:val="0"/>
              <w:autoSpaceDN w:val="0"/>
              <w:adjustRightInd w:val="0"/>
              <w:spacing w:beforeLines="60" w:before="144" w:afterLines="60" w:after="144"/>
              <w:contextualSpacing/>
              <w:jc w:val="center"/>
              <w:rPr>
                <w:rFonts w:cs="Calibri"/>
                <w:sz w:val="20"/>
                <w:szCs w:val="20"/>
                <w:lang w:eastAsia="en-GB"/>
              </w:rPr>
            </w:pPr>
            <w:r w:rsidRPr="00304385">
              <w:rPr>
                <w:rFonts w:cs="Calibri"/>
                <w:sz w:val="20"/>
                <w:szCs w:val="20"/>
                <w:lang w:eastAsia="en-GB"/>
              </w:rPr>
              <w:t>Calculated</w:t>
            </w:r>
          </w:p>
        </w:tc>
      </w:tr>
      <w:tr w:rsidR="00894103" w:rsidRPr="00304385" w:rsidTr="00071F2B">
        <w:trPr>
          <w:cantSplit/>
          <w:trHeight w:val="353"/>
          <w:tblHeader/>
        </w:trPr>
        <w:tc>
          <w:tcPr>
            <w:tcW w:w="2122" w:type="dxa"/>
            <w:vAlign w:val="center"/>
          </w:tcPr>
          <w:p w:rsidR="00894103" w:rsidRPr="00304385" w:rsidRDefault="00894103" w:rsidP="00894103">
            <w:pPr>
              <w:spacing w:beforeLines="60" w:before="144" w:afterLines="60" w:after="144"/>
              <w:contextualSpacing/>
              <w:rPr>
                <w:rFonts w:cs="Times New Roman"/>
                <w:sz w:val="20"/>
                <w:szCs w:val="20"/>
                <w:lang w:eastAsia="en-GB"/>
              </w:rPr>
            </w:pPr>
            <w:r w:rsidRPr="00304385">
              <w:rPr>
                <w:rFonts w:cs="Times New Roman"/>
                <w:sz w:val="20"/>
                <w:szCs w:val="20"/>
                <w:lang w:eastAsia="en-GB"/>
              </w:rPr>
              <w:t>Prevalence CPP</w:t>
            </w:r>
            <w:r>
              <w:rPr>
                <w:rFonts w:cs="Times New Roman"/>
                <w:sz w:val="20"/>
                <w:szCs w:val="20"/>
                <w:lang w:eastAsia="en-GB"/>
              </w:rPr>
              <w:t xml:space="preserve">  with </w:t>
            </w:r>
            <w:r w:rsidR="001B0DBD">
              <w:rPr>
                <w:rFonts w:cs="Times New Roman"/>
                <w:sz w:val="20"/>
                <w:szCs w:val="20"/>
                <w:lang w:eastAsia="en-GB"/>
              </w:rPr>
              <w:t xml:space="preserve"> PASI ≥10</w:t>
            </w:r>
          </w:p>
        </w:tc>
        <w:tc>
          <w:tcPr>
            <w:tcW w:w="1134" w:type="dxa"/>
            <w:vAlign w:val="center"/>
          </w:tcPr>
          <w:p w:rsidR="00894103" w:rsidRPr="00304385" w:rsidRDefault="001B0DBD" w:rsidP="00894103">
            <w:pPr>
              <w:autoSpaceDE w:val="0"/>
              <w:autoSpaceDN w:val="0"/>
              <w:adjustRightInd w:val="0"/>
              <w:spacing w:beforeLines="60" w:before="144" w:afterLines="60" w:after="144"/>
              <w:contextualSpacing/>
              <w:jc w:val="center"/>
              <w:rPr>
                <w:rFonts w:cs="Calibri"/>
                <w:sz w:val="20"/>
                <w:szCs w:val="20"/>
                <w:lang w:eastAsia="en-GB"/>
              </w:rPr>
            </w:pPr>
            <w:r w:rsidRPr="001B0DBD">
              <w:rPr>
                <w:rFonts w:cs="Calibri"/>
                <w:sz w:val="20"/>
                <w:szCs w:val="20"/>
                <w:lang w:eastAsia="en-GB"/>
              </w:rPr>
              <w:t>49,980</w:t>
            </w:r>
          </w:p>
        </w:tc>
        <w:tc>
          <w:tcPr>
            <w:tcW w:w="985" w:type="dxa"/>
            <w:vAlign w:val="center"/>
          </w:tcPr>
          <w:p w:rsidR="00894103" w:rsidRPr="00304385" w:rsidRDefault="006865E7" w:rsidP="00894103">
            <w:pPr>
              <w:autoSpaceDE w:val="0"/>
              <w:autoSpaceDN w:val="0"/>
              <w:adjustRightInd w:val="0"/>
              <w:spacing w:beforeLines="60" w:before="144" w:afterLines="60" w:after="144"/>
              <w:contextualSpacing/>
              <w:jc w:val="center"/>
              <w:rPr>
                <w:rFonts w:cs="Calibri"/>
                <w:sz w:val="20"/>
                <w:szCs w:val="20"/>
                <w:lang w:eastAsia="en-GB"/>
              </w:rPr>
            </w:pPr>
            <w:r w:rsidRPr="006865E7">
              <w:rPr>
                <w:rFonts w:cs="Calibri"/>
                <w:sz w:val="20"/>
                <w:szCs w:val="20"/>
                <w:lang w:eastAsia="en-GB"/>
              </w:rPr>
              <w:t>33,743</w:t>
            </w:r>
          </w:p>
        </w:tc>
        <w:tc>
          <w:tcPr>
            <w:tcW w:w="947" w:type="dxa"/>
            <w:vAlign w:val="center"/>
          </w:tcPr>
          <w:p w:rsidR="00894103" w:rsidRPr="00304385" w:rsidRDefault="0024509F" w:rsidP="00894103">
            <w:pPr>
              <w:autoSpaceDE w:val="0"/>
              <w:autoSpaceDN w:val="0"/>
              <w:adjustRightInd w:val="0"/>
              <w:spacing w:beforeLines="60" w:before="144" w:afterLines="60" w:after="144"/>
              <w:contextualSpacing/>
              <w:jc w:val="center"/>
              <w:rPr>
                <w:rFonts w:cs="Calibri"/>
                <w:sz w:val="20"/>
                <w:szCs w:val="20"/>
                <w:lang w:eastAsia="en-GB"/>
              </w:rPr>
            </w:pPr>
            <w:r>
              <w:rPr>
                <w:rFonts w:cs="Calibri"/>
                <w:sz w:val="20"/>
                <w:szCs w:val="20"/>
                <w:lang w:eastAsia="en-GB"/>
              </w:rPr>
              <w:t>615,456</w:t>
            </w:r>
          </w:p>
        </w:tc>
        <w:tc>
          <w:tcPr>
            <w:tcW w:w="0" w:type="auto"/>
            <w:gridSpan w:val="3"/>
            <w:vAlign w:val="center"/>
          </w:tcPr>
          <w:p w:rsidR="00894103" w:rsidRPr="00304385" w:rsidRDefault="006865E7" w:rsidP="00894103">
            <w:pPr>
              <w:autoSpaceDE w:val="0"/>
              <w:autoSpaceDN w:val="0"/>
              <w:adjustRightInd w:val="0"/>
              <w:spacing w:beforeLines="60" w:before="144" w:afterLines="60" w:after="144"/>
              <w:contextualSpacing/>
              <w:jc w:val="center"/>
              <w:rPr>
                <w:rFonts w:cs="Calibri"/>
                <w:sz w:val="20"/>
                <w:szCs w:val="20"/>
                <w:lang w:eastAsia="en-GB"/>
              </w:rPr>
            </w:pPr>
            <w:r w:rsidRPr="00304385">
              <w:rPr>
                <w:rFonts w:cs="Calibri"/>
                <w:sz w:val="20"/>
                <w:szCs w:val="20"/>
                <w:lang w:eastAsia="en-GB"/>
              </w:rPr>
              <w:t>Calculated</w:t>
            </w:r>
          </w:p>
        </w:tc>
      </w:tr>
    </w:tbl>
    <w:p w:rsidR="00071F2B" w:rsidRPr="00304385" w:rsidRDefault="00071F2B" w:rsidP="00071F2B">
      <w:pPr>
        <w:rPr>
          <w:rFonts w:eastAsiaTheme="minorEastAsia" w:cs="Baskerville"/>
          <w:sz w:val="20"/>
          <w:szCs w:val="20"/>
          <w:lang w:eastAsia="en-GB"/>
        </w:rPr>
      </w:pPr>
      <w:r w:rsidRPr="00304385">
        <w:rPr>
          <w:rFonts w:eastAsiaTheme="minorEastAsia" w:cs="Baskerville"/>
          <w:sz w:val="20"/>
          <w:szCs w:val="20"/>
          <w:lang w:eastAsia="en-GB"/>
        </w:rPr>
        <w:t xml:space="preserve">ABS = Australian Bureau of Statistics; </w:t>
      </w:r>
      <w:r w:rsidR="00B06234">
        <w:rPr>
          <w:rFonts w:eastAsiaTheme="minorEastAsia" w:cs="Baskerville"/>
          <w:sz w:val="20"/>
          <w:szCs w:val="20"/>
          <w:lang w:eastAsia="en-GB"/>
        </w:rPr>
        <w:t xml:space="preserve">CPP = chronic plaque psoriasis; </w:t>
      </w:r>
      <w:r w:rsidRPr="00304385">
        <w:rPr>
          <w:rFonts w:eastAsiaTheme="minorEastAsia" w:cs="Baskerville"/>
          <w:sz w:val="20"/>
          <w:szCs w:val="20"/>
          <w:lang w:eastAsia="en-GB"/>
        </w:rPr>
        <w:t>NHS = National Health Survey</w:t>
      </w:r>
      <w:r w:rsidR="009D2228">
        <w:rPr>
          <w:rFonts w:eastAsiaTheme="minorEastAsia" w:cs="Baskerville"/>
          <w:sz w:val="20"/>
          <w:szCs w:val="20"/>
          <w:lang w:eastAsia="en-GB"/>
        </w:rPr>
        <w:t xml:space="preserve">; </w:t>
      </w:r>
      <w:r w:rsidR="00D530E3">
        <w:rPr>
          <w:rFonts w:eastAsiaTheme="minorEastAsia" w:cs="Baskerville"/>
          <w:sz w:val="20"/>
          <w:szCs w:val="20"/>
          <w:lang w:eastAsia="en-GB"/>
        </w:rPr>
        <w:br/>
      </w:r>
      <w:r w:rsidR="009D2228" w:rsidRPr="00304385">
        <w:rPr>
          <w:rFonts w:eastAsiaTheme="minorEastAsia" w:cs="Baskerville"/>
          <w:sz w:val="20"/>
          <w:szCs w:val="20"/>
          <w:lang w:eastAsia="en-GB"/>
        </w:rPr>
        <w:t>PASI = Psoriasis Area and Severity Index;</w:t>
      </w:r>
    </w:p>
    <w:p w:rsidR="00071F2B" w:rsidRDefault="00071F2B" w:rsidP="00071F2B">
      <w:pPr>
        <w:spacing w:after="0"/>
        <w:rPr>
          <w:rFonts w:cs="Times New Roman"/>
          <w:szCs w:val="24"/>
          <w:lang w:eastAsia="en-GB"/>
        </w:rPr>
      </w:pPr>
      <w:r w:rsidRPr="00304385">
        <w:rPr>
          <w:rFonts w:cs="Times New Roman"/>
          <w:szCs w:val="24"/>
          <w:lang w:eastAsia="en-GB"/>
        </w:rPr>
        <w:t xml:space="preserve">The </w:t>
      </w:r>
      <w:r w:rsidRPr="003A20F9">
        <w:rPr>
          <w:rFonts w:cs="Times New Roman"/>
          <w:noProof/>
          <w:szCs w:val="24"/>
          <w:lang w:eastAsia="en-GB"/>
        </w:rPr>
        <w:t>mostly</w:t>
      </w:r>
      <w:r w:rsidRPr="00304385">
        <w:rPr>
          <w:rFonts w:cs="Times New Roman"/>
          <w:szCs w:val="24"/>
          <w:lang w:eastAsia="en-GB"/>
        </w:rPr>
        <w:t xml:space="preserve"> likely estimate of the prevalence of severe </w:t>
      </w:r>
      <w:r w:rsidR="00891E82">
        <w:rPr>
          <w:rFonts w:cs="Times New Roman"/>
          <w:szCs w:val="24"/>
          <w:lang w:eastAsia="en-GB"/>
        </w:rPr>
        <w:t>CPP</w:t>
      </w:r>
      <w:r w:rsidR="003B14B8">
        <w:rPr>
          <w:rFonts w:cs="Times New Roman"/>
          <w:szCs w:val="24"/>
          <w:lang w:eastAsia="en-GB"/>
        </w:rPr>
        <w:t xml:space="preserve"> (PASI &gt; 15)</w:t>
      </w:r>
      <w:r w:rsidR="00391744">
        <w:rPr>
          <w:rFonts w:cs="Times New Roman"/>
          <w:szCs w:val="24"/>
          <w:lang w:eastAsia="en-GB"/>
        </w:rPr>
        <w:t xml:space="preserve"> in Australia was </w:t>
      </w:r>
      <w:r w:rsidR="007D63D0">
        <w:rPr>
          <w:rFonts w:cs="Times New Roman"/>
          <w:szCs w:val="24"/>
          <w:lang w:eastAsia="en-GB"/>
        </w:rPr>
        <w:t xml:space="preserve">around </w:t>
      </w:r>
      <w:r w:rsidR="00391744">
        <w:rPr>
          <w:rFonts w:cs="Times New Roman"/>
          <w:szCs w:val="24"/>
          <w:lang w:eastAsia="en-GB"/>
        </w:rPr>
        <w:t>19,000</w:t>
      </w:r>
      <w:r w:rsidR="002369D2">
        <w:rPr>
          <w:rFonts w:cs="Times New Roman"/>
          <w:szCs w:val="24"/>
          <w:lang w:eastAsia="en-GB"/>
        </w:rPr>
        <w:t xml:space="preserve"> affected people</w:t>
      </w:r>
      <w:r w:rsidRPr="00304385">
        <w:rPr>
          <w:rFonts w:cs="Times New Roman"/>
          <w:szCs w:val="24"/>
          <w:lang w:eastAsia="en-GB"/>
        </w:rPr>
        <w:t xml:space="preserve">. Lower and upper estimates gave an estimated prevalence </w:t>
      </w:r>
      <w:r>
        <w:rPr>
          <w:rFonts w:cs="Times New Roman"/>
          <w:szCs w:val="24"/>
          <w:lang w:eastAsia="en-GB"/>
        </w:rPr>
        <w:t xml:space="preserve">of </w:t>
      </w:r>
      <w:r w:rsidRPr="00304385">
        <w:rPr>
          <w:rFonts w:cs="Times New Roman"/>
          <w:szCs w:val="24"/>
          <w:lang w:eastAsia="en-GB"/>
        </w:rPr>
        <w:t>between 7,</w:t>
      </w:r>
      <w:r w:rsidR="007245AA">
        <w:rPr>
          <w:rFonts w:cs="Times New Roman"/>
          <w:szCs w:val="24"/>
          <w:lang w:eastAsia="en-GB"/>
        </w:rPr>
        <w:t>000 and 360</w:t>
      </w:r>
      <w:r w:rsidRPr="00304385">
        <w:rPr>
          <w:rFonts w:cs="Times New Roman"/>
          <w:szCs w:val="24"/>
          <w:lang w:eastAsia="en-GB"/>
        </w:rPr>
        <w:t>,</w:t>
      </w:r>
      <w:r w:rsidR="007245AA">
        <w:rPr>
          <w:rFonts w:cs="Times New Roman"/>
          <w:szCs w:val="24"/>
          <w:lang w:eastAsia="en-GB"/>
        </w:rPr>
        <w:t>000</w:t>
      </w:r>
      <w:r w:rsidR="002369D2" w:rsidRPr="002369D2">
        <w:rPr>
          <w:rFonts w:cs="Times New Roman"/>
          <w:szCs w:val="24"/>
          <w:lang w:eastAsia="en-GB"/>
        </w:rPr>
        <w:t xml:space="preserve"> </w:t>
      </w:r>
      <w:r w:rsidR="002369D2">
        <w:rPr>
          <w:rFonts w:cs="Times New Roman"/>
          <w:szCs w:val="24"/>
          <w:lang w:eastAsia="en-GB"/>
        </w:rPr>
        <w:t>affected people</w:t>
      </w:r>
      <w:r w:rsidRPr="00304385">
        <w:rPr>
          <w:rFonts w:cs="Times New Roman"/>
          <w:szCs w:val="24"/>
          <w:lang w:eastAsia="en-GB"/>
        </w:rPr>
        <w:t xml:space="preserve">. </w:t>
      </w:r>
    </w:p>
    <w:p w:rsidR="00314E9B" w:rsidRPr="00304385" w:rsidRDefault="00EB6556" w:rsidP="00DF0266">
      <w:pPr>
        <w:pStyle w:val="Heading3"/>
        <w:spacing w:before="240" w:after="200"/>
        <w:rPr>
          <w:lang w:eastAsia="en-GB"/>
        </w:rPr>
      </w:pPr>
      <w:bookmarkStart w:id="50" w:name="_Toc501632370"/>
      <w:r>
        <w:rPr>
          <w:lang w:eastAsia="en-GB"/>
        </w:rPr>
        <w:t>3.2.7</w:t>
      </w:r>
      <w:r>
        <w:rPr>
          <w:lang w:eastAsia="en-GB"/>
        </w:rPr>
        <w:tab/>
      </w:r>
      <w:r w:rsidR="00314E9B" w:rsidRPr="00304385">
        <w:rPr>
          <w:lang w:eastAsia="en-GB"/>
        </w:rPr>
        <w:t xml:space="preserve">Estimated prevalence of </w:t>
      </w:r>
      <w:r w:rsidR="00314E9B">
        <w:rPr>
          <w:lang w:eastAsia="en-GB"/>
        </w:rPr>
        <w:t>moderate</w:t>
      </w:r>
      <w:r w:rsidR="00957BD9">
        <w:rPr>
          <w:lang w:eastAsia="en-GB"/>
        </w:rPr>
        <w:t>-to-</w:t>
      </w:r>
      <w:r w:rsidR="00314E9B">
        <w:rPr>
          <w:lang w:eastAsia="en-GB"/>
        </w:rPr>
        <w:t>severe</w:t>
      </w:r>
      <w:r w:rsidR="00314E9B" w:rsidRPr="00304385">
        <w:rPr>
          <w:lang w:eastAsia="en-GB"/>
        </w:rPr>
        <w:t xml:space="preserve"> </w:t>
      </w:r>
      <w:r w:rsidR="00314E9B">
        <w:rPr>
          <w:lang w:eastAsia="en-GB"/>
        </w:rPr>
        <w:t>CPP</w:t>
      </w:r>
      <w:r w:rsidR="00314E9B" w:rsidRPr="00304385">
        <w:rPr>
          <w:lang w:eastAsia="en-GB"/>
        </w:rPr>
        <w:t xml:space="preserve"> in Australia psoriasis</w:t>
      </w:r>
      <w:bookmarkEnd w:id="50"/>
      <w:r w:rsidR="00314E9B" w:rsidRPr="00304385">
        <w:rPr>
          <w:lang w:eastAsia="en-GB"/>
        </w:rPr>
        <w:t xml:space="preserve"> </w:t>
      </w:r>
    </w:p>
    <w:p w:rsidR="00314E9B" w:rsidRPr="00304385" w:rsidRDefault="00314E9B" w:rsidP="00071F2B">
      <w:pPr>
        <w:spacing w:after="0"/>
        <w:rPr>
          <w:rFonts w:cs="Times New Roman"/>
          <w:szCs w:val="24"/>
          <w:lang w:eastAsia="en-GB"/>
        </w:rPr>
      </w:pPr>
      <w:r>
        <w:rPr>
          <w:rFonts w:cs="Times New Roman"/>
          <w:szCs w:val="24"/>
          <w:lang w:eastAsia="en-GB"/>
        </w:rPr>
        <w:t>During the second reference group meeting</w:t>
      </w:r>
      <w:r w:rsidR="0024509F">
        <w:rPr>
          <w:rFonts w:cs="Times New Roman"/>
          <w:szCs w:val="24"/>
          <w:lang w:eastAsia="en-GB"/>
        </w:rPr>
        <w:t>,</w:t>
      </w:r>
      <w:r>
        <w:rPr>
          <w:rFonts w:cs="Times New Roman"/>
          <w:szCs w:val="24"/>
          <w:lang w:eastAsia="en-GB"/>
        </w:rPr>
        <w:t xml:space="preserve"> and as a response to the stakeholder engagement, it was considered that options to explore the n</w:t>
      </w:r>
      <w:r w:rsidR="003540F6">
        <w:rPr>
          <w:rFonts w:cs="Times New Roman"/>
          <w:szCs w:val="24"/>
          <w:lang w:eastAsia="en-GB"/>
        </w:rPr>
        <w:t>umber of patients with moderate</w:t>
      </w:r>
      <w:r w:rsidR="003540F6">
        <w:rPr>
          <w:rFonts w:cs="Times New Roman"/>
          <w:szCs w:val="24"/>
          <w:lang w:eastAsia="en-GB"/>
        </w:rPr>
        <w:noBreakHyphen/>
      </w:r>
      <w:r>
        <w:rPr>
          <w:rFonts w:cs="Times New Roman"/>
          <w:szCs w:val="24"/>
          <w:lang w:eastAsia="en-GB"/>
        </w:rPr>
        <w:t>to</w:t>
      </w:r>
      <w:r w:rsidR="003540F6">
        <w:rPr>
          <w:rFonts w:cs="Times New Roman"/>
          <w:szCs w:val="24"/>
          <w:lang w:eastAsia="en-GB"/>
        </w:rPr>
        <w:noBreakHyphen/>
      </w:r>
      <w:r>
        <w:rPr>
          <w:rFonts w:cs="Times New Roman"/>
          <w:szCs w:val="24"/>
          <w:lang w:eastAsia="en-GB"/>
        </w:rPr>
        <w:t xml:space="preserve">severe CPP (PASI 10 to 15) should be explored and how this would differ from the current setting. The most likely estimate for the prevalence of CPP with a PASI 10 or greater was </w:t>
      </w:r>
      <w:r w:rsidR="0024509F">
        <w:rPr>
          <w:rFonts w:cs="Times New Roman"/>
          <w:szCs w:val="24"/>
          <w:lang w:eastAsia="en-GB"/>
        </w:rPr>
        <w:t xml:space="preserve">around </w:t>
      </w:r>
      <w:r w:rsidR="00391744">
        <w:rPr>
          <w:rFonts w:cs="Times New Roman"/>
          <w:szCs w:val="24"/>
          <w:lang w:eastAsia="en-GB"/>
        </w:rPr>
        <w:t>50,000</w:t>
      </w:r>
      <w:r>
        <w:rPr>
          <w:rFonts w:cs="Times New Roman"/>
          <w:szCs w:val="24"/>
          <w:lang w:eastAsia="en-GB"/>
        </w:rPr>
        <w:t xml:space="preserve"> people with </w:t>
      </w:r>
      <w:r w:rsidR="00FF67F6">
        <w:rPr>
          <w:rFonts w:cs="Times New Roman"/>
          <w:szCs w:val="24"/>
          <w:lang w:eastAsia="en-GB"/>
        </w:rPr>
        <w:t>lower and upper</w:t>
      </w:r>
      <w:r>
        <w:rPr>
          <w:rFonts w:cs="Times New Roman"/>
          <w:szCs w:val="24"/>
          <w:lang w:eastAsia="en-GB"/>
        </w:rPr>
        <w:t xml:space="preserve"> estimates between </w:t>
      </w:r>
      <w:r w:rsidR="00391744">
        <w:rPr>
          <w:rFonts w:cs="Times New Roman"/>
          <w:szCs w:val="24"/>
          <w:lang w:eastAsia="en-GB"/>
        </w:rPr>
        <w:t>33,000</w:t>
      </w:r>
      <w:r>
        <w:rPr>
          <w:rFonts w:cs="Times New Roman"/>
          <w:szCs w:val="24"/>
          <w:lang w:eastAsia="en-GB"/>
        </w:rPr>
        <w:t xml:space="preserve"> and </w:t>
      </w:r>
      <w:r w:rsidR="0024509F">
        <w:rPr>
          <w:rFonts w:cs="Times New Roman"/>
          <w:szCs w:val="24"/>
          <w:lang w:eastAsia="en-GB"/>
        </w:rPr>
        <w:t>61</w:t>
      </w:r>
      <w:r w:rsidR="008355BB">
        <w:rPr>
          <w:rFonts w:cs="Times New Roman"/>
          <w:szCs w:val="24"/>
          <w:lang w:eastAsia="en-GB"/>
        </w:rPr>
        <w:t>6</w:t>
      </w:r>
      <w:r w:rsidR="0024509F">
        <w:rPr>
          <w:rFonts w:cs="Times New Roman"/>
          <w:szCs w:val="24"/>
          <w:lang w:eastAsia="en-GB"/>
        </w:rPr>
        <w:t>,000</w:t>
      </w:r>
      <w:r>
        <w:rPr>
          <w:rFonts w:cs="Times New Roman"/>
          <w:szCs w:val="24"/>
          <w:lang w:eastAsia="en-GB"/>
        </w:rPr>
        <w:t xml:space="preserve"> affected people. This would increase the population pool for biologics treatment by </w:t>
      </w:r>
      <w:r w:rsidR="001522C9">
        <w:rPr>
          <w:rFonts w:cs="Times New Roman"/>
          <w:szCs w:val="24"/>
          <w:lang w:eastAsia="en-GB"/>
        </w:rPr>
        <w:t xml:space="preserve">31,000 people with lower and upper estimates </w:t>
      </w:r>
      <w:r>
        <w:rPr>
          <w:rFonts w:cs="Times New Roman"/>
          <w:szCs w:val="24"/>
          <w:lang w:eastAsia="en-GB"/>
        </w:rPr>
        <w:t xml:space="preserve">between </w:t>
      </w:r>
      <w:r w:rsidR="00391744">
        <w:rPr>
          <w:rFonts w:cs="Times New Roman"/>
          <w:szCs w:val="24"/>
          <w:lang w:eastAsia="en-GB"/>
        </w:rPr>
        <w:t>26</w:t>
      </w:r>
      <w:r w:rsidR="007245AA">
        <w:rPr>
          <w:rFonts w:cs="Times New Roman"/>
          <w:szCs w:val="24"/>
          <w:lang w:eastAsia="en-GB"/>
        </w:rPr>
        <w:t>,000</w:t>
      </w:r>
      <w:r>
        <w:rPr>
          <w:rFonts w:cs="Times New Roman"/>
          <w:szCs w:val="24"/>
          <w:lang w:eastAsia="en-GB"/>
        </w:rPr>
        <w:t xml:space="preserve"> and </w:t>
      </w:r>
      <w:r w:rsidR="0024509F">
        <w:rPr>
          <w:rFonts w:cs="Times New Roman"/>
          <w:szCs w:val="24"/>
          <w:lang w:eastAsia="en-GB"/>
        </w:rPr>
        <w:t>25</w:t>
      </w:r>
      <w:r w:rsidR="008355BB">
        <w:rPr>
          <w:rFonts w:cs="Times New Roman"/>
          <w:szCs w:val="24"/>
          <w:lang w:eastAsia="en-GB"/>
        </w:rPr>
        <w:t>6</w:t>
      </w:r>
      <w:r w:rsidR="0024509F">
        <w:rPr>
          <w:rFonts w:cs="Times New Roman"/>
          <w:szCs w:val="24"/>
          <w:lang w:eastAsia="en-GB"/>
        </w:rPr>
        <w:t>,000</w:t>
      </w:r>
      <w:r w:rsidR="007245AA">
        <w:rPr>
          <w:rFonts w:cs="Times New Roman"/>
          <w:szCs w:val="24"/>
          <w:lang w:eastAsia="en-GB"/>
        </w:rPr>
        <w:t xml:space="preserve"> </w:t>
      </w:r>
      <w:r>
        <w:rPr>
          <w:rFonts w:cs="Times New Roman"/>
          <w:szCs w:val="24"/>
          <w:lang w:eastAsia="en-GB"/>
        </w:rPr>
        <w:t>people (</w:t>
      </w:r>
      <w:r w:rsidR="0086184A">
        <w:t xml:space="preserve">Table </w:t>
      </w:r>
      <w:r w:rsidR="0086184A">
        <w:rPr>
          <w:noProof/>
        </w:rPr>
        <w:t>6</w:t>
      </w:r>
      <w:r>
        <w:rPr>
          <w:rFonts w:cs="Times New Roman"/>
          <w:szCs w:val="24"/>
          <w:lang w:eastAsia="en-GB"/>
        </w:rPr>
        <w:t xml:space="preserve">). </w:t>
      </w:r>
    </w:p>
    <w:p w:rsidR="00071F2B" w:rsidRPr="00304385" w:rsidRDefault="00EB6556" w:rsidP="00DF0266">
      <w:pPr>
        <w:pStyle w:val="Heading3"/>
        <w:spacing w:before="240" w:after="200"/>
        <w:rPr>
          <w:lang w:eastAsia="en-GB"/>
        </w:rPr>
      </w:pPr>
      <w:bookmarkStart w:id="51" w:name="_Toc493156395"/>
      <w:bookmarkStart w:id="52" w:name="_Toc501632371"/>
      <w:r>
        <w:rPr>
          <w:lang w:eastAsia="en-GB"/>
        </w:rPr>
        <w:t>3.2.8</w:t>
      </w:r>
      <w:r>
        <w:rPr>
          <w:lang w:eastAsia="en-GB"/>
        </w:rPr>
        <w:tab/>
      </w:r>
      <w:r w:rsidR="00071F2B" w:rsidRPr="00304385">
        <w:rPr>
          <w:lang w:eastAsia="en-GB"/>
        </w:rPr>
        <w:t>Prevalence of psoriatic arthritis in patients with CPP</w:t>
      </w:r>
      <w:bookmarkEnd w:id="51"/>
      <w:bookmarkEnd w:id="52"/>
    </w:p>
    <w:p w:rsidR="0005577B" w:rsidRDefault="009716A1" w:rsidP="007245AA">
      <w:r>
        <w:rPr>
          <w:lang w:eastAsia="en-GB"/>
        </w:rPr>
        <w:t>Twenty-four</w:t>
      </w:r>
      <w:r w:rsidR="00391744">
        <w:rPr>
          <w:lang w:eastAsia="en-GB"/>
        </w:rPr>
        <w:t xml:space="preserve"> s</w:t>
      </w:r>
      <w:r w:rsidR="00071F2B" w:rsidRPr="00304385">
        <w:rPr>
          <w:lang w:eastAsia="en-GB"/>
        </w:rPr>
        <w:t xml:space="preserve">tudies on the prevalence of </w:t>
      </w:r>
      <w:r w:rsidR="00BC7A4D">
        <w:rPr>
          <w:lang w:eastAsia="en-GB"/>
        </w:rPr>
        <w:t>PsA</w:t>
      </w:r>
      <w:r w:rsidR="00071F2B" w:rsidRPr="00304385">
        <w:rPr>
          <w:lang w:eastAsia="en-GB"/>
        </w:rPr>
        <w:t xml:space="preserve"> in patients with psoriasis </w:t>
      </w:r>
      <w:r w:rsidR="00BA4624">
        <w:rPr>
          <w:lang w:eastAsia="en-GB"/>
        </w:rPr>
        <w:t xml:space="preserve">were </w:t>
      </w:r>
      <w:r w:rsidR="00071F2B" w:rsidRPr="00304385">
        <w:rPr>
          <w:lang w:eastAsia="en-GB"/>
        </w:rPr>
        <w:t>identified in the systematic literature review</w:t>
      </w:r>
      <w:r w:rsidR="0005577B">
        <w:rPr>
          <w:lang w:eastAsia="en-GB"/>
        </w:rPr>
        <w:t>. The key studies</w:t>
      </w:r>
      <w:r w:rsidR="00071F2B" w:rsidRPr="00304385">
        <w:rPr>
          <w:lang w:eastAsia="en-GB"/>
        </w:rPr>
        <w:t xml:space="preserve"> are presented in the table below. </w:t>
      </w:r>
      <w:r w:rsidR="0005577B">
        <w:rPr>
          <w:lang w:eastAsia="en-GB"/>
        </w:rPr>
        <w:t xml:space="preserve">The remaining studies are presented in </w:t>
      </w:r>
      <w:r w:rsidR="0086184A">
        <w:t xml:space="preserve">Table </w:t>
      </w:r>
      <w:r w:rsidR="0086184A">
        <w:rPr>
          <w:noProof/>
        </w:rPr>
        <w:t>25</w:t>
      </w:r>
      <w:r w:rsidR="0005577B">
        <w:rPr>
          <w:lang w:eastAsia="en-GB"/>
        </w:rPr>
        <w:t xml:space="preserve"> (</w:t>
      </w:r>
      <w:r w:rsidR="0086184A" w:rsidRPr="004A1880">
        <w:t xml:space="preserve">Appendix </w:t>
      </w:r>
      <w:r w:rsidR="0086184A">
        <w:t>B</w:t>
      </w:r>
      <w:r w:rsidR="0086184A" w:rsidRPr="004A1880">
        <w:t xml:space="preserve"> – </w:t>
      </w:r>
      <w:r w:rsidR="0086184A">
        <w:t xml:space="preserve">ToR 3: </w:t>
      </w:r>
      <w:r w:rsidR="0086184A" w:rsidRPr="004A1880">
        <w:t>Epidemiology results</w:t>
      </w:r>
      <w:r w:rsidR="007245AA">
        <w:rPr>
          <w:lang w:eastAsia="en-GB"/>
        </w:rPr>
        <w:t xml:space="preserve">). </w:t>
      </w:r>
    </w:p>
    <w:p w:rsidR="0005577B" w:rsidRPr="00304385" w:rsidRDefault="00071F2B" w:rsidP="007245AA">
      <w:pPr>
        <w:rPr>
          <w:lang w:eastAsia="en-GB"/>
        </w:rPr>
      </w:pPr>
      <w:r w:rsidRPr="00304385">
        <w:rPr>
          <w:lang w:eastAsia="en-GB"/>
        </w:rPr>
        <w:t xml:space="preserve">The Classification Criteria for </w:t>
      </w:r>
      <w:r w:rsidR="00BC7A4D">
        <w:rPr>
          <w:lang w:eastAsia="en-GB"/>
        </w:rPr>
        <w:t>PsA</w:t>
      </w:r>
      <w:r w:rsidRPr="00304385">
        <w:rPr>
          <w:lang w:eastAsia="en-GB"/>
        </w:rPr>
        <w:t xml:space="preserve"> (CASPAR) are the current standard diagnostic criteria for </w:t>
      </w:r>
      <w:r w:rsidR="00BC7A4D">
        <w:rPr>
          <w:lang w:eastAsia="en-GB"/>
        </w:rPr>
        <w:t>PsA</w:t>
      </w:r>
      <w:r w:rsidRPr="00304385">
        <w:rPr>
          <w:lang w:eastAsia="en-GB"/>
        </w:rPr>
        <w:t>.</w:t>
      </w:r>
      <w:r w:rsidR="00FB1688">
        <w:rPr>
          <w:noProof/>
          <w:lang w:eastAsia="en-GB"/>
        </w:rPr>
        <w:t>(</w:t>
      </w:r>
      <w:r w:rsidR="001B4738">
        <w:rPr>
          <w:noProof/>
          <w:lang w:eastAsia="en-GB"/>
        </w:rPr>
        <w:t>42</w:t>
      </w:r>
      <w:r w:rsidR="00FB1688">
        <w:rPr>
          <w:noProof/>
          <w:lang w:eastAsia="en-GB"/>
        </w:rPr>
        <w:t>)</w:t>
      </w:r>
      <w:r w:rsidRPr="00304385">
        <w:rPr>
          <w:lang w:eastAsia="en-GB"/>
        </w:rPr>
        <w:t xml:space="preserve"> However, the </w:t>
      </w:r>
      <w:r w:rsidRPr="003A20F9">
        <w:rPr>
          <w:noProof/>
          <w:lang w:eastAsia="en-GB"/>
        </w:rPr>
        <w:t>older</w:t>
      </w:r>
      <w:r w:rsidRPr="00304385">
        <w:rPr>
          <w:lang w:eastAsia="en-GB"/>
        </w:rPr>
        <w:t xml:space="preserve"> Moll and Wright criteria, clinical assessment and patient self-reporting of </w:t>
      </w:r>
      <w:r w:rsidR="00BC7A4D">
        <w:rPr>
          <w:lang w:eastAsia="en-GB"/>
        </w:rPr>
        <w:t>PsA</w:t>
      </w:r>
      <w:r w:rsidRPr="00304385">
        <w:rPr>
          <w:lang w:eastAsia="en-GB"/>
        </w:rPr>
        <w:t xml:space="preserve"> were </w:t>
      </w:r>
      <w:r w:rsidR="00391744">
        <w:rPr>
          <w:lang w:eastAsia="en-GB"/>
        </w:rPr>
        <w:t xml:space="preserve">also </w:t>
      </w:r>
      <w:r w:rsidRPr="00304385">
        <w:rPr>
          <w:lang w:eastAsia="en-GB"/>
        </w:rPr>
        <w:t xml:space="preserve">used in the identified studies. </w:t>
      </w:r>
    </w:p>
    <w:p w:rsidR="00391744" w:rsidRDefault="00391744" w:rsidP="00391744">
      <w:pPr>
        <w:rPr>
          <w:rFonts w:cs="Times New Roman"/>
          <w:szCs w:val="24"/>
          <w:lang w:eastAsia="en-GB"/>
        </w:rPr>
      </w:pPr>
      <w:r w:rsidRPr="00304385">
        <w:rPr>
          <w:rFonts w:cs="Times New Roman"/>
          <w:szCs w:val="24"/>
          <w:lang w:eastAsia="en-GB"/>
        </w:rPr>
        <w:t xml:space="preserve">A systematic review by </w:t>
      </w:r>
      <w:r>
        <w:rPr>
          <w:rFonts w:cs="Times New Roman"/>
          <w:noProof/>
          <w:szCs w:val="24"/>
          <w:lang w:eastAsia="en-GB"/>
        </w:rPr>
        <w:t>Prey (2010)</w:t>
      </w:r>
      <w:r w:rsidRPr="00304385">
        <w:rPr>
          <w:rFonts w:cs="Times New Roman"/>
          <w:szCs w:val="24"/>
          <w:lang w:eastAsia="en-GB"/>
        </w:rPr>
        <w:t xml:space="preserve"> reported prevalence rates from 2.04% to 48.0% of patients with psoriasis. The review noted that the results presented were affected by inconsistent diagnostic criteria used in the studies and the potential for selection bias.</w:t>
      </w:r>
      <w:r>
        <w:rPr>
          <w:rFonts w:cs="Times New Roman"/>
          <w:noProof/>
          <w:szCs w:val="24"/>
          <w:lang w:eastAsia="en-GB"/>
        </w:rPr>
        <w:t>(</w:t>
      </w:r>
      <w:r w:rsidR="001B4738">
        <w:rPr>
          <w:rFonts w:cs="Times New Roman"/>
          <w:noProof/>
          <w:szCs w:val="24"/>
          <w:lang w:eastAsia="en-GB"/>
        </w:rPr>
        <w:t>43</w:t>
      </w:r>
      <w:r>
        <w:rPr>
          <w:rFonts w:cs="Times New Roman"/>
          <w:noProof/>
          <w:szCs w:val="24"/>
          <w:lang w:eastAsia="en-GB"/>
        </w:rPr>
        <w:t>)</w:t>
      </w:r>
      <w:r w:rsidRPr="00304385">
        <w:rPr>
          <w:rFonts w:cs="Times New Roman"/>
          <w:szCs w:val="24"/>
          <w:lang w:eastAsia="en-GB"/>
        </w:rPr>
        <w:t xml:space="preserve"> Agh</w:t>
      </w:r>
      <w:r>
        <w:rPr>
          <w:rFonts w:cs="Times New Roman"/>
          <w:szCs w:val="24"/>
          <w:lang w:eastAsia="en-GB"/>
        </w:rPr>
        <w:t xml:space="preserve"> (</w:t>
      </w:r>
      <w:r w:rsidRPr="00304385">
        <w:rPr>
          <w:rFonts w:cs="Times New Roman"/>
          <w:szCs w:val="24"/>
          <w:lang w:eastAsia="en-GB"/>
        </w:rPr>
        <w:t xml:space="preserve">2016) conducted a systematic review of 39 studies between 2010 and 2015. The prevalence of </w:t>
      </w:r>
      <w:r w:rsidR="00BC7A4D">
        <w:rPr>
          <w:rFonts w:cs="Times New Roman"/>
          <w:szCs w:val="24"/>
          <w:lang w:eastAsia="en-GB"/>
        </w:rPr>
        <w:t>PsA</w:t>
      </w:r>
      <w:r w:rsidRPr="00304385">
        <w:rPr>
          <w:rFonts w:cs="Times New Roman"/>
          <w:szCs w:val="24"/>
          <w:lang w:eastAsia="en-GB"/>
        </w:rPr>
        <w:t xml:space="preserve"> in patients with psoriasis ranged from 3% to 42%. Prevalence in patients attending dermatology clinics ranged from 29% to 41%. Psoriatic arthritis seemed to be most prevalent in the 50–59 years age-group, and was more common in Caucasian populations.</w:t>
      </w:r>
      <w:r>
        <w:rPr>
          <w:rFonts w:cs="Times New Roman"/>
          <w:noProof/>
          <w:szCs w:val="24"/>
          <w:lang w:eastAsia="en-GB"/>
        </w:rPr>
        <w:t>(</w:t>
      </w:r>
      <w:r w:rsidR="001B4738">
        <w:rPr>
          <w:rFonts w:cs="Times New Roman"/>
          <w:noProof/>
          <w:szCs w:val="24"/>
          <w:lang w:eastAsia="en-GB"/>
        </w:rPr>
        <w:t>44</w:t>
      </w:r>
      <w:r>
        <w:rPr>
          <w:rFonts w:cs="Times New Roman"/>
          <w:noProof/>
          <w:szCs w:val="24"/>
          <w:lang w:eastAsia="en-GB"/>
        </w:rPr>
        <w:t>)</w:t>
      </w:r>
    </w:p>
    <w:p w:rsidR="001B4738" w:rsidRPr="001B4738" w:rsidRDefault="001B4738" w:rsidP="00391744">
      <w:pPr>
        <w:rPr>
          <w:rFonts w:cs="Times New Roman"/>
          <w:i/>
          <w:szCs w:val="24"/>
          <w:lang w:eastAsia="en-GB"/>
        </w:rPr>
      </w:pPr>
      <w:r w:rsidRPr="00304385">
        <w:rPr>
          <w:rFonts w:cs="Times New Roman"/>
          <w:szCs w:val="24"/>
          <w:lang w:eastAsia="en-GB"/>
        </w:rPr>
        <w:t xml:space="preserve">The prevalence of </w:t>
      </w:r>
      <w:r>
        <w:rPr>
          <w:rFonts w:cs="Times New Roman"/>
          <w:szCs w:val="24"/>
          <w:lang w:eastAsia="en-GB"/>
        </w:rPr>
        <w:t>PsA</w:t>
      </w:r>
      <w:r w:rsidRPr="00304385">
        <w:rPr>
          <w:rFonts w:cs="Times New Roman"/>
          <w:szCs w:val="24"/>
          <w:lang w:eastAsia="en-GB"/>
        </w:rPr>
        <w:t xml:space="preserve"> in Australian patients with moderate-to-severe CPP is likely to be similar to </w:t>
      </w:r>
      <w:r>
        <w:rPr>
          <w:rFonts w:cs="Times New Roman"/>
          <w:noProof/>
          <w:szCs w:val="24"/>
          <w:lang w:eastAsia="en-GB"/>
        </w:rPr>
        <w:t>Mease (2013)</w:t>
      </w:r>
      <w:r w:rsidRPr="00304385">
        <w:rPr>
          <w:rFonts w:cs="Times New Roman"/>
          <w:szCs w:val="24"/>
          <w:lang w:eastAsia="en-GB"/>
        </w:rPr>
        <w:t xml:space="preserve"> where</w:t>
      </w:r>
      <w:r>
        <w:rPr>
          <w:rFonts w:cs="Times New Roman"/>
          <w:szCs w:val="24"/>
          <w:lang w:eastAsia="en-GB"/>
        </w:rPr>
        <w:t>,</w:t>
      </w:r>
      <w:r w:rsidRPr="00304385">
        <w:rPr>
          <w:rFonts w:cs="Times New Roman"/>
          <w:szCs w:val="24"/>
          <w:lang w:eastAsia="en-GB"/>
        </w:rPr>
        <w:t xml:space="preserve"> 30% of patients had </w:t>
      </w:r>
      <w:r>
        <w:rPr>
          <w:rFonts w:cs="Times New Roman"/>
          <w:szCs w:val="24"/>
          <w:lang w:eastAsia="en-GB"/>
        </w:rPr>
        <w:t>PsA. O</w:t>
      </w:r>
      <w:r w:rsidRPr="00304385">
        <w:rPr>
          <w:rFonts w:cs="Times New Roman"/>
          <w:szCs w:val="24"/>
          <w:lang w:eastAsia="en-GB"/>
        </w:rPr>
        <w:t xml:space="preserve">f </w:t>
      </w:r>
      <w:r>
        <w:rPr>
          <w:rFonts w:cs="Times New Roman"/>
          <w:szCs w:val="24"/>
          <w:lang w:eastAsia="en-GB"/>
        </w:rPr>
        <w:t>those found to have PsA only</w:t>
      </w:r>
      <w:r w:rsidRPr="00304385">
        <w:rPr>
          <w:rFonts w:cs="Times New Roman"/>
          <w:szCs w:val="24"/>
          <w:lang w:eastAsia="en-GB"/>
        </w:rPr>
        <w:t xml:space="preserve"> </w:t>
      </w:r>
      <w:r>
        <w:rPr>
          <w:rFonts w:cs="Times New Roman"/>
          <w:szCs w:val="24"/>
          <w:lang w:eastAsia="en-GB"/>
        </w:rPr>
        <w:t>23</w:t>
      </w:r>
      <w:r w:rsidRPr="00304385">
        <w:rPr>
          <w:rFonts w:cs="Times New Roman"/>
          <w:szCs w:val="24"/>
          <w:lang w:eastAsia="en-GB"/>
        </w:rPr>
        <w:t xml:space="preserve">% were previously diagnosed, similar to the estimates of undiagnosed </w:t>
      </w:r>
      <w:r>
        <w:rPr>
          <w:rFonts w:cs="Times New Roman"/>
          <w:szCs w:val="24"/>
          <w:lang w:eastAsia="en-GB"/>
        </w:rPr>
        <w:t>PsA</w:t>
      </w:r>
      <w:r w:rsidRPr="00304385">
        <w:rPr>
          <w:rFonts w:cs="Times New Roman"/>
          <w:szCs w:val="24"/>
          <w:lang w:eastAsia="en-GB"/>
        </w:rPr>
        <w:t xml:space="preserve"> in Australia by </w:t>
      </w:r>
      <w:r>
        <w:rPr>
          <w:rFonts w:cs="Times New Roman"/>
          <w:noProof/>
          <w:szCs w:val="24"/>
          <w:lang w:eastAsia="en-GB"/>
        </w:rPr>
        <w:t>Spelman (2015)</w:t>
      </w:r>
      <w:r w:rsidRPr="00304385">
        <w:rPr>
          <w:rFonts w:cs="Times New Roman"/>
          <w:szCs w:val="24"/>
          <w:lang w:eastAsia="en-GB"/>
        </w:rPr>
        <w:t xml:space="preserve">. </w:t>
      </w:r>
      <w:r w:rsidRPr="00394001">
        <w:rPr>
          <w:rFonts w:cs="Times New Roman"/>
          <w:szCs w:val="24"/>
          <w:lang w:eastAsia="en-GB"/>
        </w:rPr>
        <w:t xml:space="preserve">Estimates of the prevalence of </w:t>
      </w:r>
      <w:r>
        <w:rPr>
          <w:rFonts w:cs="Times New Roman"/>
          <w:szCs w:val="24"/>
          <w:lang w:eastAsia="en-GB"/>
        </w:rPr>
        <w:t>PsA</w:t>
      </w:r>
      <w:r w:rsidRPr="00394001">
        <w:rPr>
          <w:rFonts w:cs="Times New Roman"/>
          <w:szCs w:val="24"/>
          <w:lang w:eastAsia="en-GB"/>
        </w:rPr>
        <w:t xml:space="preserve"> in the Australian population with CPP would be affected by the differences in the duration of CPP, age of the population and potentially other factors associated with </w:t>
      </w:r>
      <w:r>
        <w:rPr>
          <w:rFonts w:cs="Times New Roman"/>
          <w:szCs w:val="24"/>
          <w:lang w:eastAsia="en-GB"/>
        </w:rPr>
        <w:t>PsA</w:t>
      </w:r>
      <w:r w:rsidRPr="00394001">
        <w:rPr>
          <w:rFonts w:cs="Times New Roman"/>
          <w:szCs w:val="24"/>
          <w:lang w:eastAsia="en-GB"/>
        </w:rPr>
        <w:t xml:space="preserve"> such as psoriasis location (nail, scalp, int</w:t>
      </w:r>
      <w:r w:rsidR="0009095A">
        <w:rPr>
          <w:rFonts w:cs="Times New Roman"/>
          <w:szCs w:val="24"/>
          <w:lang w:eastAsia="en-GB"/>
        </w:rPr>
        <w:t>er</w:t>
      </w:r>
      <w:r w:rsidRPr="00394001">
        <w:rPr>
          <w:rFonts w:cs="Times New Roman"/>
          <w:szCs w:val="24"/>
          <w:lang w:eastAsia="en-GB"/>
        </w:rPr>
        <w:t xml:space="preserve">gluteal/perianal psoriasis), family history of </w:t>
      </w:r>
      <w:r>
        <w:rPr>
          <w:rFonts w:cs="Times New Roman"/>
          <w:szCs w:val="24"/>
          <w:lang w:eastAsia="en-GB"/>
        </w:rPr>
        <w:t>PsA, and obesity</w:t>
      </w:r>
      <w:r w:rsidRPr="00394001">
        <w:rPr>
          <w:rFonts w:cs="Times New Roman"/>
          <w:szCs w:val="24"/>
          <w:lang w:eastAsia="en-GB"/>
        </w:rPr>
        <w:t>.</w:t>
      </w:r>
      <w:r>
        <w:rPr>
          <w:rFonts w:cs="Times New Roman"/>
          <w:noProof/>
          <w:szCs w:val="24"/>
          <w:lang w:eastAsia="en-GB"/>
        </w:rPr>
        <w:t>(45)</w:t>
      </w:r>
      <w:r>
        <w:rPr>
          <w:rFonts w:cs="Times New Roman"/>
          <w:i/>
          <w:szCs w:val="24"/>
          <w:lang w:eastAsia="en-GB"/>
        </w:rPr>
        <w:t xml:space="preserve"> </w:t>
      </w:r>
    </w:p>
    <w:p w:rsidR="001B4738" w:rsidRDefault="001B4738">
      <w:pPr>
        <w:spacing w:line="276" w:lineRule="auto"/>
        <w:rPr>
          <w:rFonts w:eastAsiaTheme="minorEastAsia" w:cs="Calibri"/>
          <w:b/>
          <w:szCs w:val="24"/>
          <w:lang w:val="en-US" w:eastAsia="en-US"/>
        </w:rPr>
      </w:pPr>
      <w:bookmarkStart w:id="53" w:name="_Ref499716398"/>
      <w:r>
        <w:br w:type="page"/>
      </w:r>
    </w:p>
    <w:p w:rsidR="00071F2B" w:rsidRDefault="00071F2B" w:rsidP="005E6397">
      <w:pPr>
        <w:pStyle w:val="MDTabCaption"/>
      </w:pPr>
      <w:bookmarkStart w:id="54" w:name="_Toc501632401"/>
      <w:r>
        <w:t xml:space="preserve">Table </w:t>
      </w:r>
      <w:r w:rsidR="0086184A">
        <w:rPr>
          <w:noProof/>
        </w:rPr>
        <w:t>7</w:t>
      </w:r>
      <w:bookmarkEnd w:id="53"/>
      <w:r>
        <w:t xml:space="preserve">: </w:t>
      </w:r>
      <w:r w:rsidRPr="003C5604">
        <w:t>Prevalence of psoriatic arthritis</w:t>
      </w:r>
      <w:r w:rsidR="0005577B">
        <w:t xml:space="preserve"> (key studies)</w:t>
      </w:r>
      <w:bookmarkEnd w:id="54"/>
    </w:p>
    <w:tbl>
      <w:tblPr>
        <w:tblStyle w:val="TableGrid7"/>
        <w:tblpPr w:leftFromText="180" w:rightFromText="180" w:vertAnchor="text" w:horzAnchor="margin" w:tblpY="43"/>
        <w:tblW w:w="0" w:type="auto"/>
        <w:tblLook w:val="04A0" w:firstRow="1" w:lastRow="0" w:firstColumn="1" w:lastColumn="0" w:noHBand="0" w:noVBand="1"/>
        <w:tblCaption w:val="Prevalence of psoriatic arthritis (key studies) in patients with psoriasis"/>
      </w:tblPr>
      <w:tblGrid>
        <w:gridCol w:w="1923"/>
        <w:gridCol w:w="2296"/>
        <w:gridCol w:w="1030"/>
        <w:gridCol w:w="813"/>
        <w:gridCol w:w="2954"/>
      </w:tblGrid>
      <w:tr w:rsidR="0005577B" w:rsidRPr="00304385" w:rsidTr="008305B9">
        <w:trPr>
          <w:cantSplit/>
          <w:trHeight w:val="416"/>
          <w:tblHeader/>
        </w:trPr>
        <w:tc>
          <w:tcPr>
            <w:tcW w:w="1923" w:type="dxa"/>
            <w:tcBorders>
              <w:bottom w:val="single" w:sz="4" w:space="0" w:color="auto"/>
            </w:tcBorders>
            <w:shd w:val="clear" w:color="auto" w:fill="BFBFBF" w:themeFill="background1" w:themeFillShade="BF"/>
            <w:vAlign w:val="center"/>
          </w:tcPr>
          <w:p w:rsidR="0005577B" w:rsidRPr="00304385" w:rsidRDefault="0005577B" w:rsidP="002F143B">
            <w:pPr>
              <w:autoSpaceDE w:val="0"/>
              <w:autoSpaceDN w:val="0"/>
              <w:adjustRightInd w:val="0"/>
              <w:spacing w:before="60" w:after="60"/>
              <w:rPr>
                <w:rFonts w:cs="Calibri"/>
                <w:b/>
                <w:sz w:val="20"/>
                <w:szCs w:val="20"/>
                <w:lang w:eastAsia="en-GB"/>
              </w:rPr>
            </w:pPr>
            <w:r w:rsidRPr="00304385">
              <w:rPr>
                <w:rFonts w:cs="Calibri"/>
                <w:b/>
                <w:sz w:val="20"/>
                <w:szCs w:val="20"/>
                <w:lang w:eastAsia="en-GB"/>
              </w:rPr>
              <w:t xml:space="preserve">Study </w:t>
            </w:r>
            <w:r w:rsidRPr="00304385">
              <w:rPr>
                <w:rFonts w:cs="Calibri"/>
                <w:b/>
                <w:sz w:val="20"/>
                <w:szCs w:val="20"/>
                <w:lang w:eastAsia="en-GB"/>
              </w:rPr>
              <w:br/>
              <w:t>(psoriasis population)</w:t>
            </w:r>
          </w:p>
        </w:tc>
        <w:tc>
          <w:tcPr>
            <w:tcW w:w="2296" w:type="dxa"/>
            <w:tcBorders>
              <w:bottom w:val="single" w:sz="4" w:space="0" w:color="auto"/>
            </w:tcBorders>
            <w:shd w:val="clear" w:color="auto" w:fill="BFBFBF" w:themeFill="background1" w:themeFillShade="BF"/>
            <w:vAlign w:val="center"/>
          </w:tcPr>
          <w:p w:rsidR="0005577B" w:rsidRPr="00304385" w:rsidRDefault="0005577B" w:rsidP="002F143B">
            <w:pPr>
              <w:autoSpaceDE w:val="0"/>
              <w:autoSpaceDN w:val="0"/>
              <w:adjustRightInd w:val="0"/>
              <w:spacing w:before="60" w:after="60"/>
              <w:jc w:val="center"/>
              <w:rPr>
                <w:rFonts w:cs="Calibri"/>
                <w:b/>
                <w:sz w:val="20"/>
                <w:szCs w:val="20"/>
                <w:lang w:eastAsia="en-GB"/>
              </w:rPr>
            </w:pPr>
            <w:r w:rsidRPr="00304385">
              <w:rPr>
                <w:rFonts w:cs="Calibri"/>
                <w:b/>
                <w:sz w:val="20"/>
                <w:szCs w:val="20"/>
                <w:lang w:eastAsia="en-GB"/>
              </w:rPr>
              <w:t>Study location (year)</w:t>
            </w:r>
          </w:p>
        </w:tc>
        <w:tc>
          <w:tcPr>
            <w:tcW w:w="1030" w:type="dxa"/>
            <w:tcBorders>
              <w:bottom w:val="single" w:sz="4" w:space="0" w:color="auto"/>
            </w:tcBorders>
            <w:shd w:val="clear" w:color="auto" w:fill="BFBFBF" w:themeFill="background1" w:themeFillShade="BF"/>
            <w:vAlign w:val="center"/>
          </w:tcPr>
          <w:p w:rsidR="0005577B" w:rsidRPr="00304385" w:rsidRDefault="0005577B" w:rsidP="008305B9">
            <w:pPr>
              <w:autoSpaceDE w:val="0"/>
              <w:autoSpaceDN w:val="0"/>
              <w:adjustRightInd w:val="0"/>
              <w:spacing w:before="60" w:after="60"/>
              <w:jc w:val="center"/>
              <w:rPr>
                <w:rFonts w:cs="Calibri"/>
                <w:b/>
                <w:sz w:val="20"/>
                <w:szCs w:val="20"/>
                <w:lang w:eastAsia="en-GB"/>
              </w:rPr>
            </w:pPr>
            <w:r w:rsidRPr="00304385">
              <w:rPr>
                <w:rFonts w:cs="Calibri"/>
                <w:b/>
                <w:sz w:val="20"/>
                <w:szCs w:val="20"/>
                <w:lang w:eastAsia="en-GB"/>
              </w:rPr>
              <w:t>Risk of bias</w:t>
            </w:r>
          </w:p>
        </w:tc>
        <w:tc>
          <w:tcPr>
            <w:tcW w:w="813" w:type="dxa"/>
            <w:tcBorders>
              <w:bottom w:val="single" w:sz="4" w:space="0" w:color="auto"/>
            </w:tcBorders>
            <w:shd w:val="clear" w:color="auto" w:fill="BFBFBF" w:themeFill="background1" w:themeFillShade="BF"/>
            <w:vAlign w:val="center"/>
          </w:tcPr>
          <w:p w:rsidR="0005577B" w:rsidRPr="00304385" w:rsidRDefault="0005577B" w:rsidP="002F143B">
            <w:pPr>
              <w:autoSpaceDE w:val="0"/>
              <w:autoSpaceDN w:val="0"/>
              <w:adjustRightInd w:val="0"/>
              <w:spacing w:before="60" w:after="60"/>
              <w:jc w:val="center"/>
              <w:rPr>
                <w:rFonts w:cs="Calibri"/>
                <w:b/>
                <w:sz w:val="20"/>
                <w:szCs w:val="20"/>
                <w:lang w:eastAsia="en-GB"/>
              </w:rPr>
            </w:pPr>
            <w:r w:rsidRPr="00304385">
              <w:rPr>
                <w:rFonts w:cs="Calibri"/>
                <w:b/>
                <w:sz w:val="20"/>
                <w:szCs w:val="20"/>
                <w:lang w:eastAsia="en-GB"/>
              </w:rPr>
              <w:t>N</w:t>
            </w:r>
          </w:p>
        </w:tc>
        <w:tc>
          <w:tcPr>
            <w:tcW w:w="2954" w:type="dxa"/>
            <w:tcBorders>
              <w:bottom w:val="single" w:sz="4" w:space="0" w:color="auto"/>
            </w:tcBorders>
            <w:shd w:val="clear" w:color="auto" w:fill="BFBFBF" w:themeFill="background1" w:themeFillShade="BF"/>
            <w:vAlign w:val="center"/>
          </w:tcPr>
          <w:p w:rsidR="0005577B" w:rsidRPr="00304385" w:rsidRDefault="0005577B" w:rsidP="002F143B">
            <w:pPr>
              <w:autoSpaceDE w:val="0"/>
              <w:autoSpaceDN w:val="0"/>
              <w:adjustRightInd w:val="0"/>
              <w:spacing w:before="60" w:after="60"/>
              <w:jc w:val="center"/>
              <w:rPr>
                <w:rFonts w:cs="Calibri"/>
                <w:b/>
                <w:sz w:val="20"/>
                <w:szCs w:val="20"/>
                <w:lang w:eastAsia="en-GB"/>
              </w:rPr>
            </w:pPr>
            <w:r w:rsidRPr="00304385">
              <w:rPr>
                <w:rFonts w:cs="Calibri"/>
                <w:b/>
                <w:sz w:val="20"/>
                <w:szCs w:val="20"/>
                <w:lang w:eastAsia="en-GB"/>
              </w:rPr>
              <w:t>Proportion of patients</w:t>
            </w:r>
            <w:r w:rsidRPr="00304385">
              <w:rPr>
                <w:rFonts w:cs="Calibri"/>
                <w:b/>
                <w:sz w:val="20"/>
                <w:szCs w:val="20"/>
                <w:lang w:eastAsia="en-GB"/>
              </w:rPr>
              <w:br/>
              <w:t xml:space="preserve"> (diagnostic criteria)</w:t>
            </w:r>
          </w:p>
        </w:tc>
      </w:tr>
      <w:tr w:rsidR="0005577B" w:rsidRPr="00304385" w:rsidTr="008305B9">
        <w:trPr>
          <w:cantSplit/>
          <w:trHeight w:val="353"/>
          <w:tblHeader/>
        </w:trPr>
        <w:tc>
          <w:tcPr>
            <w:tcW w:w="1923" w:type="dxa"/>
            <w:vAlign w:val="center"/>
          </w:tcPr>
          <w:p w:rsidR="0005577B" w:rsidRPr="008355BB" w:rsidRDefault="0005577B" w:rsidP="001B4738">
            <w:pPr>
              <w:spacing w:beforeLines="60" w:before="144" w:afterLines="60" w:after="144"/>
              <w:contextualSpacing/>
              <w:rPr>
                <w:rFonts w:cs="Times New Roman"/>
                <w:sz w:val="20"/>
                <w:szCs w:val="20"/>
                <w:lang w:eastAsia="en-GB"/>
              </w:rPr>
            </w:pPr>
            <w:r w:rsidRPr="008355BB">
              <w:rPr>
                <w:rFonts w:cs="Times New Roman"/>
                <w:sz w:val="20"/>
                <w:szCs w:val="20"/>
                <w:lang w:eastAsia="en-GB"/>
              </w:rPr>
              <w:t xml:space="preserve">Spelman (2015) </w:t>
            </w:r>
            <w:r w:rsidR="001B4738">
              <w:rPr>
                <w:rFonts w:cs="Times New Roman"/>
                <w:noProof/>
                <w:sz w:val="20"/>
                <w:szCs w:val="20"/>
                <w:lang w:eastAsia="en-GB"/>
              </w:rPr>
              <w:t>(46)</w:t>
            </w:r>
          </w:p>
        </w:tc>
        <w:tc>
          <w:tcPr>
            <w:tcW w:w="2296" w:type="dxa"/>
            <w:vAlign w:val="center"/>
          </w:tcPr>
          <w:p w:rsidR="0005577B" w:rsidRPr="008355BB" w:rsidRDefault="0005577B" w:rsidP="002F143B">
            <w:pPr>
              <w:autoSpaceDE w:val="0"/>
              <w:autoSpaceDN w:val="0"/>
              <w:adjustRightInd w:val="0"/>
              <w:spacing w:beforeLines="60" w:before="144" w:afterLines="60" w:after="144"/>
              <w:contextualSpacing/>
              <w:jc w:val="center"/>
              <w:rPr>
                <w:rFonts w:cs="Calibri"/>
                <w:sz w:val="20"/>
                <w:szCs w:val="20"/>
                <w:lang w:eastAsia="en-GB"/>
              </w:rPr>
            </w:pPr>
            <w:r w:rsidRPr="008355BB">
              <w:rPr>
                <w:rFonts w:cs="Calibri"/>
                <w:sz w:val="20"/>
                <w:szCs w:val="20"/>
                <w:lang w:eastAsia="en-GB"/>
              </w:rPr>
              <w:t>Australia (not stated)</w:t>
            </w:r>
          </w:p>
        </w:tc>
        <w:tc>
          <w:tcPr>
            <w:tcW w:w="1030" w:type="dxa"/>
            <w:vAlign w:val="center"/>
          </w:tcPr>
          <w:p w:rsidR="0005577B" w:rsidRPr="008355BB" w:rsidRDefault="0005577B" w:rsidP="002F143B">
            <w:pPr>
              <w:autoSpaceDE w:val="0"/>
              <w:autoSpaceDN w:val="0"/>
              <w:adjustRightInd w:val="0"/>
              <w:spacing w:beforeLines="60" w:before="144" w:afterLines="60" w:after="144"/>
              <w:contextualSpacing/>
              <w:jc w:val="center"/>
              <w:rPr>
                <w:rFonts w:cs="Calibri"/>
                <w:sz w:val="20"/>
                <w:szCs w:val="20"/>
                <w:lang w:eastAsia="en-GB"/>
              </w:rPr>
            </w:pPr>
            <w:r w:rsidRPr="008355BB">
              <w:rPr>
                <w:rFonts w:cs="Calibri"/>
                <w:sz w:val="20"/>
                <w:szCs w:val="20"/>
                <w:lang w:eastAsia="en-GB"/>
              </w:rPr>
              <w:t>Moderate</w:t>
            </w:r>
          </w:p>
        </w:tc>
        <w:tc>
          <w:tcPr>
            <w:tcW w:w="813" w:type="dxa"/>
            <w:vAlign w:val="center"/>
          </w:tcPr>
          <w:p w:rsidR="0005577B" w:rsidRPr="008355BB" w:rsidRDefault="0005577B" w:rsidP="002F143B">
            <w:pPr>
              <w:autoSpaceDE w:val="0"/>
              <w:autoSpaceDN w:val="0"/>
              <w:adjustRightInd w:val="0"/>
              <w:spacing w:beforeLines="60" w:before="144" w:afterLines="60" w:after="144"/>
              <w:contextualSpacing/>
              <w:jc w:val="center"/>
              <w:rPr>
                <w:rFonts w:cs="Calibri"/>
                <w:sz w:val="20"/>
                <w:szCs w:val="20"/>
                <w:lang w:eastAsia="en-GB"/>
              </w:rPr>
            </w:pPr>
            <w:r w:rsidRPr="008355BB">
              <w:rPr>
                <w:rFonts w:cs="Calibri"/>
                <w:sz w:val="20"/>
                <w:szCs w:val="20"/>
                <w:lang w:eastAsia="en-GB"/>
              </w:rPr>
              <w:t>459</w:t>
            </w:r>
          </w:p>
        </w:tc>
        <w:tc>
          <w:tcPr>
            <w:tcW w:w="2954" w:type="dxa"/>
            <w:vAlign w:val="center"/>
          </w:tcPr>
          <w:p w:rsidR="0005577B" w:rsidRPr="008355BB" w:rsidRDefault="0005577B" w:rsidP="002F143B">
            <w:pPr>
              <w:autoSpaceDE w:val="0"/>
              <w:autoSpaceDN w:val="0"/>
              <w:adjustRightInd w:val="0"/>
              <w:spacing w:beforeLines="60" w:before="144" w:afterLines="60" w:after="144"/>
              <w:contextualSpacing/>
              <w:jc w:val="center"/>
              <w:rPr>
                <w:rFonts w:cs="Calibri"/>
                <w:sz w:val="20"/>
                <w:szCs w:val="20"/>
                <w:lang w:eastAsia="en-GB"/>
              </w:rPr>
            </w:pPr>
            <w:r w:rsidRPr="008355BB">
              <w:rPr>
                <w:rFonts w:cs="Calibri"/>
                <w:sz w:val="20"/>
                <w:szCs w:val="20"/>
                <w:lang w:eastAsia="en-GB"/>
              </w:rPr>
              <w:t>9% undiagnosed (CASPAR)</w:t>
            </w:r>
          </w:p>
        </w:tc>
      </w:tr>
      <w:tr w:rsidR="008355BB" w:rsidRPr="00304385" w:rsidTr="008305B9">
        <w:trPr>
          <w:cantSplit/>
          <w:trHeight w:val="353"/>
          <w:tblHeader/>
        </w:trPr>
        <w:tc>
          <w:tcPr>
            <w:tcW w:w="1923" w:type="dxa"/>
            <w:vAlign w:val="center"/>
          </w:tcPr>
          <w:p w:rsidR="008355BB" w:rsidRPr="00304385" w:rsidRDefault="008355BB" w:rsidP="001B4738">
            <w:pPr>
              <w:spacing w:beforeLines="60" w:before="144" w:afterLines="60" w:after="144"/>
              <w:contextualSpacing/>
              <w:rPr>
                <w:rFonts w:eastAsia="Times New Roman" w:cs="Times New Roman"/>
                <w:color w:val="000000"/>
                <w:sz w:val="20"/>
                <w:szCs w:val="20"/>
                <w:lang w:eastAsia="en-GB"/>
              </w:rPr>
            </w:pPr>
            <w:r>
              <w:rPr>
                <w:rFonts w:eastAsia="Times New Roman" w:cs="Times New Roman"/>
                <w:color w:val="000000"/>
                <w:sz w:val="20"/>
                <w:szCs w:val="20"/>
                <w:lang w:eastAsia="en-GB"/>
              </w:rPr>
              <w:t xml:space="preserve">Prey (2010) </w:t>
            </w:r>
            <w:r>
              <w:rPr>
                <w:rFonts w:eastAsia="Times New Roman" w:cs="Times New Roman"/>
                <w:noProof/>
                <w:color w:val="000000"/>
                <w:sz w:val="20"/>
                <w:szCs w:val="20"/>
                <w:lang w:eastAsia="en-GB"/>
              </w:rPr>
              <w:t>(</w:t>
            </w:r>
            <w:r w:rsidR="001B4738">
              <w:rPr>
                <w:rFonts w:eastAsia="Times New Roman" w:cs="Times New Roman"/>
                <w:noProof/>
                <w:color w:val="000000"/>
                <w:sz w:val="20"/>
                <w:szCs w:val="20"/>
                <w:lang w:eastAsia="en-GB"/>
              </w:rPr>
              <w:t>43</w:t>
            </w:r>
            <w:r>
              <w:rPr>
                <w:rFonts w:eastAsia="Times New Roman" w:cs="Times New Roman"/>
                <w:noProof/>
                <w:color w:val="000000"/>
                <w:sz w:val="20"/>
                <w:szCs w:val="20"/>
                <w:lang w:eastAsia="en-GB"/>
              </w:rPr>
              <w:t>)</w:t>
            </w:r>
          </w:p>
        </w:tc>
        <w:tc>
          <w:tcPr>
            <w:tcW w:w="2296" w:type="dxa"/>
            <w:vAlign w:val="center"/>
          </w:tcPr>
          <w:p w:rsidR="008355BB" w:rsidRDefault="005A7579" w:rsidP="002F143B">
            <w:pPr>
              <w:autoSpaceDE w:val="0"/>
              <w:autoSpaceDN w:val="0"/>
              <w:adjustRightInd w:val="0"/>
              <w:spacing w:beforeLines="60" w:before="144" w:afterLines="60" w:after="144"/>
              <w:contextualSpacing/>
              <w:jc w:val="center"/>
              <w:rPr>
                <w:rFonts w:eastAsia="Times New Roman" w:cs="Times New Roman"/>
                <w:color w:val="000000"/>
                <w:sz w:val="20"/>
                <w:szCs w:val="20"/>
                <w:lang w:eastAsia="en-GB"/>
              </w:rPr>
            </w:pPr>
            <w:r w:rsidRPr="00304385">
              <w:rPr>
                <w:rFonts w:eastAsia="Times New Roman" w:cs="Times New Roman"/>
                <w:color w:val="000000"/>
                <w:sz w:val="20"/>
                <w:szCs w:val="20"/>
                <w:lang w:eastAsia="en-GB"/>
              </w:rPr>
              <w:t>Systematic review</w:t>
            </w:r>
          </w:p>
          <w:p w:rsidR="005A7579" w:rsidRPr="00304385" w:rsidRDefault="005A7579" w:rsidP="002F143B">
            <w:pPr>
              <w:autoSpaceDE w:val="0"/>
              <w:autoSpaceDN w:val="0"/>
              <w:adjustRightInd w:val="0"/>
              <w:spacing w:beforeLines="60" w:before="144" w:afterLines="60" w:after="144"/>
              <w:contextualSpacing/>
              <w:jc w:val="center"/>
              <w:rPr>
                <w:rFonts w:eastAsia="Times New Roman" w:cs="Times New Roman"/>
                <w:color w:val="000000"/>
                <w:sz w:val="20"/>
                <w:szCs w:val="20"/>
                <w:lang w:eastAsia="en-GB"/>
              </w:rPr>
            </w:pPr>
            <w:r>
              <w:rPr>
                <w:rFonts w:eastAsia="Times New Roman" w:cs="Times New Roman"/>
                <w:color w:val="000000"/>
                <w:sz w:val="20"/>
                <w:szCs w:val="20"/>
                <w:lang w:eastAsia="en-GB"/>
              </w:rPr>
              <w:t>(1980-2009)</w:t>
            </w:r>
          </w:p>
        </w:tc>
        <w:tc>
          <w:tcPr>
            <w:tcW w:w="1030" w:type="dxa"/>
            <w:vAlign w:val="center"/>
          </w:tcPr>
          <w:p w:rsidR="008355BB" w:rsidRPr="00304385" w:rsidRDefault="005A7579" w:rsidP="002F143B">
            <w:pPr>
              <w:autoSpaceDE w:val="0"/>
              <w:autoSpaceDN w:val="0"/>
              <w:adjustRightInd w:val="0"/>
              <w:spacing w:beforeLines="60" w:before="144" w:afterLines="60" w:after="144"/>
              <w:contextualSpacing/>
              <w:jc w:val="center"/>
              <w:rPr>
                <w:rFonts w:eastAsia="Times New Roman" w:cs="Times New Roman"/>
                <w:color w:val="000000"/>
                <w:sz w:val="20"/>
                <w:szCs w:val="20"/>
                <w:lang w:eastAsia="en-GB"/>
              </w:rPr>
            </w:pPr>
            <w:r>
              <w:rPr>
                <w:rFonts w:eastAsia="Times New Roman" w:cs="Times New Roman"/>
                <w:color w:val="000000"/>
                <w:sz w:val="20"/>
                <w:szCs w:val="20"/>
                <w:lang w:eastAsia="en-GB"/>
              </w:rPr>
              <w:t>Low</w:t>
            </w:r>
          </w:p>
        </w:tc>
        <w:tc>
          <w:tcPr>
            <w:tcW w:w="813" w:type="dxa"/>
            <w:vAlign w:val="center"/>
          </w:tcPr>
          <w:p w:rsidR="008355BB" w:rsidRPr="00304385" w:rsidRDefault="008305B9" w:rsidP="002F143B">
            <w:pPr>
              <w:autoSpaceDE w:val="0"/>
              <w:autoSpaceDN w:val="0"/>
              <w:adjustRightInd w:val="0"/>
              <w:spacing w:beforeLines="60" w:before="144" w:afterLines="60" w:after="144"/>
              <w:contextualSpacing/>
              <w:jc w:val="center"/>
              <w:rPr>
                <w:rFonts w:cs="Calibri"/>
                <w:sz w:val="20"/>
                <w:szCs w:val="20"/>
                <w:lang w:eastAsia="en-GB"/>
              </w:rPr>
            </w:pPr>
            <w:r>
              <w:rPr>
                <w:rFonts w:cs="Calibri"/>
                <w:sz w:val="20"/>
                <w:szCs w:val="20"/>
                <w:lang w:eastAsia="en-GB"/>
              </w:rPr>
              <w:t>20 studies</w:t>
            </w:r>
          </w:p>
        </w:tc>
        <w:tc>
          <w:tcPr>
            <w:tcW w:w="2954" w:type="dxa"/>
            <w:vAlign w:val="center"/>
          </w:tcPr>
          <w:p w:rsidR="008355BB" w:rsidRDefault="008305B9" w:rsidP="002F143B">
            <w:pPr>
              <w:autoSpaceDE w:val="0"/>
              <w:autoSpaceDN w:val="0"/>
              <w:adjustRightInd w:val="0"/>
              <w:spacing w:beforeLines="60" w:before="144" w:afterLines="60" w:after="144"/>
              <w:contextualSpacing/>
              <w:jc w:val="center"/>
              <w:rPr>
                <w:rFonts w:eastAsia="Times New Roman" w:cs="Times New Roman"/>
                <w:color w:val="000000"/>
                <w:sz w:val="20"/>
                <w:szCs w:val="20"/>
                <w:lang w:eastAsia="en-GB"/>
              </w:rPr>
            </w:pPr>
            <w:r>
              <w:rPr>
                <w:rFonts w:eastAsia="Times New Roman" w:cs="Times New Roman"/>
                <w:color w:val="000000"/>
                <w:sz w:val="20"/>
                <w:szCs w:val="20"/>
                <w:lang w:eastAsia="en-GB"/>
              </w:rPr>
              <w:t>2.04% – 48.0% (all studies)</w:t>
            </w:r>
          </w:p>
          <w:p w:rsidR="008305B9" w:rsidRPr="008305B9" w:rsidRDefault="008305B9" w:rsidP="002F143B">
            <w:pPr>
              <w:autoSpaceDE w:val="0"/>
              <w:autoSpaceDN w:val="0"/>
              <w:adjustRightInd w:val="0"/>
              <w:spacing w:beforeLines="60" w:before="144" w:afterLines="60" w:after="144"/>
              <w:contextualSpacing/>
              <w:jc w:val="center"/>
              <w:rPr>
                <w:rFonts w:eastAsia="Times New Roman" w:cs="Times New Roman"/>
                <w:color w:val="000000"/>
                <w:sz w:val="20"/>
                <w:szCs w:val="20"/>
                <w:vertAlign w:val="superscript"/>
                <w:lang w:eastAsia="en-GB"/>
              </w:rPr>
            </w:pPr>
            <w:r>
              <w:rPr>
                <w:rFonts w:eastAsia="Times New Roman" w:cs="Times New Roman"/>
                <w:color w:val="000000"/>
                <w:sz w:val="20"/>
                <w:szCs w:val="20"/>
                <w:lang w:eastAsia="en-GB"/>
              </w:rPr>
              <w:t>5.94%  - 23.90% (valid criteria) </w:t>
            </w:r>
            <w:r>
              <w:rPr>
                <w:rFonts w:eastAsia="Times New Roman" w:cs="Times New Roman"/>
                <w:color w:val="000000"/>
                <w:sz w:val="20"/>
                <w:szCs w:val="20"/>
                <w:vertAlign w:val="superscript"/>
                <w:lang w:eastAsia="en-GB"/>
              </w:rPr>
              <w:t>a</w:t>
            </w:r>
          </w:p>
        </w:tc>
      </w:tr>
      <w:tr w:rsidR="0005577B" w:rsidRPr="00304385" w:rsidTr="008305B9">
        <w:trPr>
          <w:cantSplit/>
          <w:trHeight w:val="353"/>
          <w:tblHeader/>
        </w:trPr>
        <w:tc>
          <w:tcPr>
            <w:tcW w:w="1923" w:type="dxa"/>
            <w:vAlign w:val="center"/>
          </w:tcPr>
          <w:p w:rsidR="0005577B" w:rsidRPr="00304385" w:rsidRDefault="0005577B" w:rsidP="001B4738">
            <w:pPr>
              <w:spacing w:beforeLines="60" w:before="144" w:afterLines="60" w:after="144"/>
              <w:contextualSpacing/>
              <w:rPr>
                <w:rFonts w:cs="Times New Roman"/>
                <w:sz w:val="20"/>
                <w:szCs w:val="20"/>
                <w:lang w:eastAsia="en-GB"/>
              </w:rPr>
            </w:pPr>
            <w:r w:rsidRPr="00304385">
              <w:rPr>
                <w:rFonts w:eastAsia="Times New Roman" w:cs="Times New Roman"/>
                <w:color w:val="000000"/>
                <w:sz w:val="20"/>
                <w:szCs w:val="20"/>
                <w:lang w:eastAsia="en-GB"/>
              </w:rPr>
              <w:t xml:space="preserve">Agh </w:t>
            </w:r>
            <w:r>
              <w:rPr>
                <w:rFonts w:eastAsia="Times New Roman" w:cs="Times New Roman"/>
                <w:color w:val="000000"/>
                <w:sz w:val="20"/>
                <w:szCs w:val="20"/>
                <w:lang w:eastAsia="en-GB"/>
              </w:rPr>
              <w:t>(</w:t>
            </w:r>
            <w:r w:rsidRPr="00304385">
              <w:rPr>
                <w:rFonts w:eastAsia="Times New Roman" w:cs="Times New Roman"/>
                <w:color w:val="000000"/>
                <w:sz w:val="20"/>
                <w:szCs w:val="20"/>
                <w:lang w:eastAsia="en-GB"/>
              </w:rPr>
              <w:t>2016</w:t>
            </w:r>
            <w:r>
              <w:rPr>
                <w:rFonts w:eastAsia="Times New Roman" w:cs="Times New Roman"/>
                <w:color w:val="000000"/>
                <w:sz w:val="20"/>
                <w:szCs w:val="20"/>
                <w:lang w:eastAsia="en-GB"/>
              </w:rPr>
              <w:t>)</w:t>
            </w:r>
            <w:r w:rsidRPr="00304385">
              <w:rPr>
                <w:rFonts w:eastAsia="Times New Roman" w:cs="Times New Roman"/>
                <w:color w:val="000000"/>
                <w:sz w:val="20"/>
                <w:szCs w:val="20"/>
                <w:lang w:eastAsia="en-GB"/>
              </w:rPr>
              <w:t xml:space="preserve"> </w:t>
            </w:r>
            <w:r w:rsidR="00FB1688">
              <w:rPr>
                <w:rFonts w:eastAsia="Times New Roman" w:cs="Times New Roman"/>
                <w:noProof/>
                <w:color w:val="000000"/>
                <w:sz w:val="20"/>
                <w:szCs w:val="20"/>
                <w:lang w:eastAsia="en-GB"/>
              </w:rPr>
              <w:t>(</w:t>
            </w:r>
            <w:r w:rsidR="001B4738">
              <w:rPr>
                <w:rFonts w:eastAsia="Times New Roman" w:cs="Times New Roman"/>
                <w:noProof/>
                <w:color w:val="000000"/>
                <w:sz w:val="20"/>
                <w:szCs w:val="20"/>
                <w:lang w:eastAsia="en-GB"/>
              </w:rPr>
              <w:t>44</w:t>
            </w:r>
            <w:r w:rsidR="00FB1688">
              <w:rPr>
                <w:rFonts w:eastAsia="Times New Roman" w:cs="Times New Roman"/>
                <w:noProof/>
                <w:color w:val="000000"/>
                <w:sz w:val="20"/>
                <w:szCs w:val="20"/>
                <w:lang w:eastAsia="en-GB"/>
              </w:rPr>
              <w:t>)</w:t>
            </w:r>
            <w:r w:rsidR="00B06234">
              <w:rPr>
                <w:rFonts w:eastAsia="Times New Roman" w:cs="Times New Roman"/>
                <w:color w:val="000000"/>
                <w:sz w:val="20"/>
                <w:szCs w:val="20"/>
                <w:lang w:eastAsia="en-GB"/>
              </w:rPr>
              <w:t xml:space="preserve"> </w:t>
            </w:r>
            <w:r w:rsidRPr="00304385">
              <w:rPr>
                <w:rFonts w:eastAsia="Times New Roman" w:cs="Times New Roman"/>
                <w:color w:val="000000"/>
                <w:sz w:val="20"/>
                <w:szCs w:val="20"/>
                <w:lang w:eastAsia="en-GB"/>
              </w:rPr>
              <w:t>(abstract)</w:t>
            </w:r>
            <w:r>
              <w:rPr>
                <w:rFonts w:eastAsia="Times New Roman" w:cs="Times New Roman"/>
                <w:color w:val="000000"/>
                <w:sz w:val="20"/>
                <w:szCs w:val="20"/>
                <w:lang w:eastAsia="en-GB"/>
              </w:rPr>
              <w:t xml:space="preserve"> </w:t>
            </w:r>
          </w:p>
        </w:tc>
        <w:tc>
          <w:tcPr>
            <w:tcW w:w="2296" w:type="dxa"/>
            <w:vAlign w:val="center"/>
          </w:tcPr>
          <w:p w:rsidR="0005577B" w:rsidRPr="00304385" w:rsidRDefault="0005577B" w:rsidP="002F143B">
            <w:pPr>
              <w:autoSpaceDE w:val="0"/>
              <w:autoSpaceDN w:val="0"/>
              <w:adjustRightInd w:val="0"/>
              <w:spacing w:beforeLines="60" w:before="144" w:afterLines="60" w:after="144"/>
              <w:contextualSpacing/>
              <w:jc w:val="center"/>
              <w:rPr>
                <w:rFonts w:cs="Calibri"/>
                <w:sz w:val="20"/>
                <w:szCs w:val="20"/>
                <w:lang w:eastAsia="en-GB"/>
              </w:rPr>
            </w:pPr>
            <w:r w:rsidRPr="00304385">
              <w:rPr>
                <w:rFonts w:eastAsia="Times New Roman" w:cs="Times New Roman"/>
                <w:color w:val="000000"/>
                <w:sz w:val="20"/>
                <w:szCs w:val="20"/>
                <w:lang w:eastAsia="en-GB"/>
              </w:rPr>
              <w:t xml:space="preserve">Systematic review </w:t>
            </w:r>
            <w:r w:rsidRPr="00304385">
              <w:rPr>
                <w:rFonts w:eastAsia="Times New Roman" w:cs="Times New Roman"/>
                <w:color w:val="000000"/>
                <w:sz w:val="20"/>
                <w:szCs w:val="20"/>
                <w:lang w:eastAsia="en-GB"/>
              </w:rPr>
              <w:br/>
              <w:t>(2009-2015)</w:t>
            </w:r>
          </w:p>
        </w:tc>
        <w:tc>
          <w:tcPr>
            <w:tcW w:w="1030" w:type="dxa"/>
            <w:vAlign w:val="center"/>
          </w:tcPr>
          <w:p w:rsidR="0005577B" w:rsidRPr="00304385" w:rsidRDefault="0005577B" w:rsidP="002F143B">
            <w:pPr>
              <w:autoSpaceDE w:val="0"/>
              <w:autoSpaceDN w:val="0"/>
              <w:adjustRightInd w:val="0"/>
              <w:spacing w:beforeLines="60" w:before="144" w:afterLines="60" w:after="144"/>
              <w:contextualSpacing/>
              <w:jc w:val="center"/>
              <w:rPr>
                <w:rFonts w:cs="Calibri"/>
                <w:sz w:val="20"/>
                <w:szCs w:val="20"/>
                <w:lang w:eastAsia="en-GB"/>
              </w:rPr>
            </w:pPr>
            <w:r w:rsidRPr="00304385">
              <w:rPr>
                <w:rFonts w:eastAsia="Times New Roman" w:cs="Times New Roman"/>
                <w:color w:val="000000"/>
                <w:sz w:val="20"/>
                <w:szCs w:val="20"/>
                <w:lang w:eastAsia="en-GB"/>
              </w:rPr>
              <w:t>Low</w:t>
            </w:r>
          </w:p>
        </w:tc>
        <w:tc>
          <w:tcPr>
            <w:tcW w:w="813" w:type="dxa"/>
            <w:vAlign w:val="center"/>
          </w:tcPr>
          <w:p w:rsidR="0005577B" w:rsidRPr="00304385" w:rsidRDefault="0005577B" w:rsidP="002F143B">
            <w:pPr>
              <w:autoSpaceDE w:val="0"/>
              <w:autoSpaceDN w:val="0"/>
              <w:adjustRightInd w:val="0"/>
              <w:spacing w:beforeLines="60" w:before="144" w:afterLines="60" w:after="144"/>
              <w:contextualSpacing/>
              <w:jc w:val="center"/>
              <w:rPr>
                <w:rFonts w:cs="Calibri"/>
                <w:sz w:val="20"/>
                <w:szCs w:val="20"/>
                <w:lang w:eastAsia="en-GB"/>
              </w:rPr>
            </w:pPr>
            <w:r w:rsidRPr="00304385">
              <w:rPr>
                <w:rFonts w:cs="Calibri"/>
                <w:sz w:val="20"/>
                <w:szCs w:val="20"/>
                <w:lang w:eastAsia="en-GB"/>
              </w:rPr>
              <w:t>39 studies</w:t>
            </w:r>
          </w:p>
        </w:tc>
        <w:tc>
          <w:tcPr>
            <w:tcW w:w="2954" w:type="dxa"/>
            <w:vAlign w:val="center"/>
          </w:tcPr>
          <w:p w:rsidR="0005577B" w:rsidRPr="00304385" w:rsidRDefault="0005577B" w:rsidP="008305B9">
            <w:pPr>
              <w:autoSpaceDE w:val="0"/>
              <w:autoSpaceDN w:val="0"/>
              <w:adjustRightInd w:val="0"/>
              <w:spacing w:beforeLines="60" w:before="144" w:afterLines="60" w:after="144"/>
              <w:contextualSpacing/>
              <w:jc w:val="center"/>
              <w:rPr>
                <w:rFonts w:cs="Calibri"/>
                <w:sz w:val="20"/>
                <w:szCs w:val="20"/>
                <w:lang w:eastAsia="en-GB"/>
              </w:rPr>
            </w:pPr>
            <w:r w:rsidRPr="00304385">
              <w:rPr>
                <w:rFonts w:eastAsia="Times New Roman" w:cs="Times New Roman"/>
                <w:color w:val="000000"/>
                <w:sz w:val="20"/>
                <w:szCs w:val="20"/>
                <w:lang w:eastAsia="en-GB"/>
              </w:rPr>
              <w:t>3% -</w:t>
            </w:r>
            <w:r w:rsidR="008305B9">
              <w:rPr>
                <w:rFonts w:eastAsia="Times New Roman" w:cs="Times New Roman"/>
                <w:color w:val="000000"/>
                <w:sz w:val="20"/>
                <w:szCs w:val="20"/>
                <w:lang w:eastAsia="en-GB"/>
              </w:rPr>
              <w:t xml:space="preserve"> 42% (CASPAR (n=19)</w:t>
            </w:r>
            <w:r w:rsidRPr="00304385">
              <w:rPr>
                <w:rFonts w:eastAsia="Times New Roman" w:cs="Times New Roman"/>
                <w:color w:val="000000"/>
                <w:sz w:val="20"/>
                <w:szCs w:val="20"/>
                <w:lang w:eastAsia="en-GB"/>
              </w:rPr>
              <w:t xml:space="preserve"> (n=20))</w:t>
            </w:r>
          </w:p>
        </w:tc>
      </w:tr>
      <w:tr w:rsidR="0005577B" w:rsidRPr="00304385" w:rsidTr="008305B9">
        <w:trPr>
          <w:cantSplit/>
          <w:trHeight w:val="353"/>
          <w:tblHeader/>
        </w:trPr>
        <w:tc>
          <w:tcPr>
            <w:tcW w:w="1923" w:type="dxa"/>
            <w:vAlign w:val="center"/>
          </w:tcPr>
          <w:p w:rsidR="0005577B" w:rsidRPr="00304385" w:rsidRDefault="0005577B" w:rsidP="001B4738">
            <w:pPr>
              <w:spacing w:beforeLines="60" w:before="144" w:afterLines="60" w:after="144"/>
              <w:contextualSpacing/>
              <w:rPr>
                <w:rFonts w:eastAsia="Times New Roman" w:cs="Times New Roman"/>
                <w:color w:val="000000"/>
                <w:sz w:val="20"/>
                <w:szCs w:val="20"/>
                <w:lang w:eastAsia="en-GB"/>
              </w:rPr>
            </w:pPr>
            <w:r w:rsidRPr="00304385">
              <w:rPr>
                <w:rFonts w:eastAsia="Times New Roman" w:cs="Times New Roman"/>
                <w:color w:val="000000"/>
                <w:sz w:val="20"/>
                <w:szCs w:val="20"/>
                <w:lang w:eastAsia="en-GB"/>
              </w:rPr>
              <w:t xml:space="preserve">Mease </w:t>
            </w:r>
            <w:r>
              <w:rPr>
                <w:rFonts w:eastAsia="Times New Roman" w:cs="Times New Roman"/>
                <w:color w:val="000000"/>
                <w:sz w:val="20"/>
                <w:szCs w:val="20"/>
                <w:lang w:eastAsia="en-GB"/>
              </w:rPr>
              <w:t>(</w:t>
            </w:r>
            <w:r w:rsidRPr="00304385">
              <w:rPr>
                <w:rFonts w:eastAsia="Times New Roman" w:cs="Times New Roman"/>
                <w:color w:val="000000"/>
                <w:sz w:val="20"/>
                <w:szCs w:val="20"/>
                <w:lang w:eastAsia="en-GB"/>
              </w:rPr>
              <w:t>2013</w:t>
            </w:r>
            <w:r>
              <w:rPr>
                <w:rFonts w:eastAsia="Times New Roman" w:cs="Times New Roman"/>
                <w:color w:val="000000"/>
                <w:sz w:val="20"/>
                <w:szCs w:val="20"/>
                <w:lang w:eastAsia="en-GB"/>
              </w:rPr>
              <w:t xml:space="preserve">) </w:t>
            </w:r>
            <w:r w:rsidR="001B4738">
              <w:rPr>
                <w:rFonts w:eastAsia="Times New Roman" w:cs="Times New Roman"/>
                <w:noProof/>
                <w:color w:val="000000"/>
                <w:sz w:val="20"/>
                <w:szCs w:val="20"/>
                <w:lang w:eastAsia="en-GB"/>
              </w:rPr>
              <w:t>(47)</w:t>
            </w:r>
          </w:p>
        </w:tc>
        <w:tc>
          <w:tcPr>
            <w:tcW w:w="2296" w:type="dxa"/>
            <w:vAlign w:val="center"/>
          </w:tcPr>
          <w:p w:rsidR="0005577B" w:rsidRPr="00304385" w:rsidRDefault="0005577B" w:rsidP="002F143B">
            <w:pPr>
              <w:autoSpaceDE w:val="0"/>
              <w:autoSpaceDN w:val="0"/>
              <w:adjustRightInd w:val="0"/>
              <w:spacing w:beforeLines="60" w:before="144" w:afterLines="60" w:after="144"/>
              <w:contextualSpacing/>
              <w:jc w:val="center"/>
              <w:rPr>
                <w:rFonts w:eastAsia="Times New Roman" w:cs="Times New Roman"/>
                <w:color w:val="000000"/>
                <w:sz w:val="20"/>
                <w:szCs w:val="20"/>
                <w:lang w:eastAsia="en-GB"/>
              </w:rPr>
            </w:pPr>
            <w:r w:rsidRPr="00304385">
              <w:rPr>
                <w:rFonts w:eastAsia="Times New Roman" w:cs="Times New Roman"/>
                <w:color w:val="000000"/>
                <w:sz w:val="20"/>
                <w:szCs w:val="20"/>
                <w:lang w:eastAsia="en-GB"/>
              </w:rPr>
              <w:t>USA and Europe</w:t>
            </w:r>
          </w:p>
        </w:tc>
        <w:tc>
          <w:tcPr>
            <w:tcW w:w="1030" w:type="dxa"/>
            <w:vAlign w:val="center"/>
          </w:tcPr>
          <w:p w:rsidR="0005577B" w:rsidRPr="00304385" w:rsidRDefault="0005577B" w:rsidP="002F143B">
            <w:pPr>
              <w:autoSpaceDE w:val="0"/>
              <w:autoSpaceDN w:val="0"/>
              <w:adjustRightInd w:val="0"/>
              <w:spacing w:beforeLines="60" w:before="144" w:afterLines="60" w:after="144"/>
              <w:contextualSpacing/>
              <w:jc w:val="center"/>
              <w:rPr>
                <w:rFonts w:eastAsia="Times New Roman" w:cs="Times New Roman"/>
                <w:color w:val="000000"/>
                <w:sz w:val="20"/>
                <w:szCs w:val="20"/>
                <w:lang w:eastAsia="en-GB"/>
              </w:rPr>
            </w:pPr>
            <w:r w:rsidRPr="00304385">
              <w:rPr>
                <w:rFonts w:eastAsia="Times New Roman" w:cs="Times New Roman"/>
                <w:color w:val="000000"/>
                <w:sz w:val="20"/>
                <w:szCs w:val="20"/>
                <w:lang w:eastAsia="en-GB"/>
              </w:rPr>
              <w:t>Low</w:t>
            </w:r>
          </w:p>
        </w:tc>
        <w:tc>
          <w:tcPr>
            <w:tcW w:w="813" w:type="dxa"/>
            <w:vAlign w:val="center"/>
          </w:tcPr>
          <w:p w:rsidR="0005577B" w:rsidRPr="00304385" w:rsidRDefault="0005577B" w:rsidP="002F143B">
            <w:pPr>
              <w:autoSpaceDE w:val="0"/>
              <w:autoSpaceDN w:val="0"/>
              <w:adjustRightInd w:val="0"/>
              <w:spacing w:beforeLines="60" w:before="144" w:afterLines="60" w:after="144"/>
              <w:contextualSpacing/>
              <w:jc w:val="center"/>
              <w:rPr>
                <w:rFonts w:cs="Calibri"/>
                <w:sz w:val="20"/>
                <w:szCs w:val="20"/>
                <w:lang w:eastAsia="en-GB"/>
              </w:rPr>
            </w:pPr>
            <w:r w:rsidRPr="00304385">
              <w:rPr>
                <w:rFonts w:cs="Calibri"/>
                <w:sz w:val="20"/>
                <w:szCs w:val="20"/>
                <w:lang w:eastAsia="en-GB"/>
              </w:rPr>
              <w:t>1,103</w:t>
            </w:r>
          </w:p>
        </w:tc>
        <w:tc>
          <w:tcPr>
            <w:tcW w:w="2954" w:type="dxa"/>
            <w:vAlign w:val="center"/>
          </w:tcPr>
          <w:p w:rsidR="0005577B" w:rsidRPr="00304385" w:rsidRDefault="0005577B" w:rsidP="002F143B">
            <w:pPr>
              <w:autoSpaceDE w:val="0"/>
              <w:autoSpaceDN w:val="0"/>
              <w:adjustRightInd w:val="0"/>
              <w:spacing w:beforeLines="60" w:before="144" w:afterLines="60" w:after="144"/>
              <w:contextualSpacing/>
              <w:jc w:val="center"/>
              <w:rPr>
                <w:rFonts w:eastAsia="Times New Roman" w:cs="Times New Roman"/>
                <w:color w:val="000000"/>
                <w:sz w:val="20"/>
                <w:szCs w:val="20"/>
                <w:lang w:eastAsia="en-GB"/>
              </w:rPr>
            </w:pPr>
            <w:r w:rsidRPr="00304385">
              <w:rPr>
                <w:rFonts w:eastAsia="Times New Roman" w:cs="Times New Roman"/>
                <w:color w:val="000000"/>
                <w:sz w:val="20"/>
                <w:szCs w:val="20"/>
                <w:lang w:eastAsia="en-GB"/>
              </w:rPr>
              <w:t xml:space="preserve">30% </w:t>
            </w:r>
            <w:r w:rsidRPr="00304385">
              <w:rPr>
                <w:rFonts w:eastAsia="Times New Roman" w:cs="Times New Roman"/>
                <w:color w:val="000000"/>
                <w:sz w:val="20"/>
                <w:szCs w:val="20"/>
                <w:lang w:eastAsia="en-GB"/>
              </w:rPr>
              <w:br/>
              <w:t>(rheumatologist diagnosed)</w:t>
            </w:r>
          </w:p>
        </w:tc>
      </w:tr>
      <w:tr w:rsidR="0005577B" w:rsidRPr="00304385" w:rsidTr="008305B9">
        <w:trPr>
          <w:cantSplit/>
          <w:trHeight w:val="353"/>
          <w:tblHeader/>
        </w:trPr>
        <w:tc>
          <w:tcPr>
            <w:tcW w:w="1923" w:type="dxa"/>
            <w:vAlign w:val="center"/>
          </w:tcPr>
          <w:p w:rsidR="0005577B" w:rsidRPr="00304385" w:rsidRDefault="0005577B" w:rsidP="001B4738">
            <w:pPr>
              <w:spacing w:beforeLines="60" w:before="144" w:afterLines="60" w:after="144"/>
              <w:contextualSpacing/>
              <w:rPr>
                <w:rFonts w:cs="Times New Roman"/>
                <w:sz w:val="20"/>
                <w:szCs w:val="20"/>
                <w:lang w:eastAsia="en-GB"/>
              </w:rPr>
            </w:pPr>
            <w:r w:rsidRPr="00304385">
              <w:rPr>
                <w:rFonts w:eastAsia="Times New Roman" w:cs="Times New Roman"/>
                <w:color w:val="000000"/>
                <w:sz w:val="20"/>
                <w:szCs w:val="20"/>
                <w:lang w:eastAsia="en-GB"/>
              </w:rPr>
              <w:t xml:space="preserve">Hoff </w:t>
            </w:r>
            <w:r>
              <w:rPr>
                <w:rFonts w:eastAsia="Times New Roman" w:cs="Times New Roman"/>
                <w:color w:val="000000"/>
                <w:sz w:val="20"/>
                <w:szCs w:val="20"/>
                <w:lang w:eastAsia="en-GB"/>
              </w:rPr>
              <w:t>(</w:t>
            </w:r>
            <w:r w:rsidRPr="00304385">
              <w:rPr>
                <w:rFonts w:eastAsia="Times New Roman" w:cs="Times New Roman"/>
                <w:color w:val="000000"/>
                <w:sz w:val="20"/>
                <w:szCs w:val="20"/>
                <w:lang w:eastAsia="en-GB"/>
              </w:rPr>
              <w:t>2015</w:t>
            </w:r>
            <w:r>
              <w:rPr>
                <w:rFonts w:eastAsia="Times New Roman" w:cs="Times New Roman"/>
                <w:color w:val="000000"/>
                <w:sz w:val="20"/>
                <w:szCs w:val="20"/>
                <w:lang w:eastAsia="en-GB"/>
              </w:rPr>
              <w:t xml:space="preserve">) </w:t>
            </w:r>
            <w:r w:rsidR="001B4738">
              <w:rPr>
                <w:rFonts w:eastAsia="Times New Roman" w:cs="Times New Roman"/>
                <w:noProof/>
                <w:color w:val="000000"/>
                <w:sz w:val="20"/>
                <w:szCs w:val="20"/>
                <w:lang w:eastAsia="en-GB"/>
              </w:rPr>
              <w:t>(48)</w:t>
            </w:r>
          </w:p>
        </w:tc>
        <w:tc>
          <w:tcPr>
            <w:tcW w:w="2296" w:type="dxa"/>
            <w:vAlign w:val="center"/>
          </w:tcPr>
          <w:p w:rsidR="0005577B" w:rsidRPr="00304385" w:rsidRDefault="0005577B" w:rsidP="002F143B">
            <w:pPr>
              <w:autoSpaceDE w:val="0"/>
              <w:autoSpaceDN w:val="0"/>
              <w:adjustRightInd w:val="0"/>
              <w:spacing w:beforeLines="60" w:before="144" w:afterLines="60" w:after="144"/>
              <w:contextualSpacing/>
              <w:jc w:val="center"/>
              <w:rPr>
                <w:rFonts w:cs="Calibri"/>
                <w:sz w:val="20"/>
                <w:szCs w:val="20"/>
                <w:lang w:eastAsia="en-GB"/>
              </w:rPr>
            </w:pPr>
            <w:r w:rsidRPr="00304385">
              <w:rPr>
                <w:rFonts w:eastAsia="Times New Roman" w:cs="Times New Roman"/>
                <w:color w:val="000000"/>
                <w:sz w:val="20"/>
                <w:szCs w:val="20"/>
                <w:lang w:eastAsia="en-GB"/>
              </w:rPr>
              <w:t>Norway (2006-2008)</w:t>
            </w:r>
          </w:p>
        </w:tc>
        <w:tc>
          <w:tcPr>
            <w:tcW w:w="1030" w:type="dxa"/>
            <w:vAlign w:val="center"/>
          </w:tcPr>
          <w:p w:rsidR="0005577B" w:rsidRPr="00304385" w:rsidRDefault="0005577B" w:rsidP="002F143B">
            <w:pPr>
              <w:autoSpaceDE w:val="0"/>
              <w:autoSpaceDN w:val="0"/>
              <w:adjustRightInd w:val="0"/>
              <w:spacing w:beforeLines="60" w:before="144" w:afterLines="60" w:after="144"/>
              <w:contextualSpacing/>
              <w:jc w:val="center"/>
              <w:rPr>
                <w:rFonts w:cs="Calibri"/>
                <w:sz w:val="20"/>
                <w:szCs w:val="20"/>
                <w:lang w:eastAsia="en-GB"/>
              </w:rPr>
            </w:pPr>
            <w:r w:rsidRPr="00304385">
              <w:rPr>
                <w:rFonts w:eastAsia="Times New Roman" w:cs="Times New Roman"/>
                <w:color w:val="000000"/>
                <w:sz w:val="20"/>
                <w:szCs w:val="20"/>
                <w:lang w:eastAsia="en-GB"/>
              </w:rPr>
              <w:t>Low</w:t>
            </w:r>
          </w:p>
        </w:tc>
        <w:tc>
          <w:tcPr>
            <w:tcW w:w="813" w:type="dxa"/>
            <w:vAlign w:val="center"/>
          </w:tcPr>
          <w:p w:rsidR="0005577B" w:rsidRPr="00304385" w:rsidRDefault="0005577B" w:rsidP="002F143B">
            <w:pPr>
              <w:autoSpaceDE w:val="0"/>
              <w:autoSpaceDN w:val="0"/>
              <w:adjustRightInd w:val="0"/>
              <w:spacing w:beforeLines="60" w:before="144" w:afterLines="60" w:after="144"/>
              <w:contextualSpacing/>
              <w:jc w:val="center"/>
              <w:rPr>
                <w:rFonts w:cs="Calibri"/>
                <w:sz w:val="20"/>
                <w:szCs w:val="20"/>
                <w:lang w:eastAsia="en-GB"/>
              </w:rPr>
            </w:pPr>
            <w:r w:rsidRPr="00304385">
              <w:rPr>
                <w:rFonts w:eastAsia="Times New Roman" w:cs="Times New Roman"/>
                <w:color w:val="000000"/>
                <w:sz w:val="20"/>
                <w:szCs w:val="20"/>
                <w:lang w:eastAsia="en-GB"/>
              </w:rPr>
              <w:t>2,927</w:t>
            </w:r>
          </w:p>
        </w:tc>
        <w:tc>
          <w:tcPr>
            <w:tcW w:w="2954" w:type="dxa"/>
            <w:vAlign w:val="center"/>
          </w:tcPr>
          <w:p w:rsidR="0005577B" w:rsidRPr="00304385" w:rsidRDefault="0005577B" w:rsidP="002F143B">
            <w:pPr>
              <w:autoSpaceDE w:val="0"/>
              <w:autoSpaceDN w:val="0"/>
              <w:adjustRightInd w:val="0"/>
              <w:spacing w:beforeLines="60" w:before="144" w:afterLines="60" w:after="144"/>
              <w:contextualSpacing/>
              <w:jc w:val="center"/>
              <w:rPr>
                <w:rFonts w:cs="Calibri"/>
                <w:sz w:val="20"/>
                <w:szCs w:val="20"/>
                <w:lang w:eastAsia="en-GB"/>
              </w:rPr>
            </w:pPr>
            <w:r w:rsidRPr="00304385">
              <w:rPr>
                <w:rFonts w:eastAsia="Times New Roman" w:cs="Times New Roman"/>
                <w:color w:val="000000"/>
                <w:sz w:val="20"/>
                <w:szCs w:val="20"/>
                <w:lang w:eastAsia="en-GB"/>
              </w:rPr>
              <w:t>12% (CASPAR 95.% of patients)</w:t>
            </w:r>
          </w:p>
        </w:tc>
      </w:tr>
      <w:tr w:rsidR="0005577B" w:rsidRPr="00304385" w:rsidTr="008305B9">
        <w:trPr>
          <w:cantSplit/>
          <w:trHeight w:val="353"/>
          <w:tblHeader/>
        </w:trPr>
        <w:tc>
          <w:tcPr>
            <w:tcW w:w="1923" w:type="dxa"/>
            <w:vAlign w:val="center"/>
          </w:tcPr>
          <w:p w:rsidR="0005577B" w:rsidRPr="008355BB" w:rsidRDefault="0005577B" w:rsidP="001B4738">
            <w:pPr>
              <w:spacing w:beforeLines="60" w:before="144" w:afterLines="60" w:after="144"/>
              <w:contextualSpacing/>
              <w:rPr>
                <w:rFonts w:cs="Times New Roman"/>
                <w:sz w:val="20"/>
                <w:szCs w:val="20"/>
                <w:lang w:eastAsia="en-GB"/>
              </w:rPr>
            </w:pPr>
            <w:r w:rsidRPr="008355BB">
              <w:rPr>
                <w:rFonts w:eastAsia="Times New Roman" w:cs="Times New Roman"/>
                <w:color w:val="000000"/>
                <w:sz w:val="20"/>
                <w:szCs w:val="20"/>
                <w:lang w:eastAsia="en-GB"/>
              </w:rPr>
              <w:t xml:space="preserve">Norris (2017) </w:t>
            </w:r>
            <w:r w:rsidR="00FB1688" w:rsidRPr="008355BB">
              <w:rPr>
                <w:rFonts w:eastAsia="Times New Roman" w:cs="Times New Roman"/>
                <w:noProof/>
                <w:color w:val="000000"/>
                <w:sz w:val="20"/>
                <w:szCs w:val="20"/>
                <w:lang w:eastAsia="en-GB"/>
              </w:rPr>
              <w:t>(</w:t>
            </w:r>
            <w:r w:rsidR="001B4738" w:rsidRPr="008355BB">
              <w:rPr>
                <w:rFonts w:eastAsia="Times New Roman" w:cs="Times New Roman"/>
                <w:noProof/>
                <w:color w:val="000000"/>
                <w:sz w:val="20"/>
                <w:szCs w:val="20"/>
                <w:lang w:eastAsia="en-GB"/>
              </w:rPr>
              <w:t>22</w:t>
            </w:r>
            <w:r w:rsidR="00FB1688" w:rsidRPr="008355BB">
              <w:rPr>
                <w:rFonts w:eastAsia="Times New Roman" w:cs="Times New Roman"/>
                <w:noProof/>
                <w:color w:val="000000"/>
                <w:sz w:val="20"/>
                <w:szCs w:val="20"/>
                <w:lang w:eastAsia="en-GB"/>
              </w:rPr>
              <w:t>)</w:t>
            </w:r>
          </w:p>
        </w:tc>
        <w:tc>
          <w:tcPr>
            <w:tcW w:w="2296" w:type="dxa"/>
            <w:vAlign w:val="center"/>
          </w:tcPr>
          <w:p w:rsidR="0005577B" w:rsidRPr="008355BB" w:rsidRDefault="0005577B" w:rsidP="002F143B">
            <w:pPr>
              <w:autoSpaceDE w:val="0"/>
              <w:autoSpaceDN w:val="0"/>
              <w:adjustRightInd w:val="0"/>
              <w:spacing w:beforeLines="60" w:before="144" w:afterLines="60" w:after="144"/>
              <w:contextualSpacing/>
              <w:jc w:val="center"/>
              <w:rPr>
                <w:rFonts w:cs="Calibri"/>
                <w:sz w:val="20"/>
                <w:szCs w:val="20"/>
                <w:lang w:eastAsia="en-GB"/>
              </w:rPr>
            </w:pPr>
            <w:r w:rsidRPr="008355BB">
              <w:rPr>
                <w:rFonts w:eastAsia="Times New Roman" w:cs="Times New Roman"/>
                <w:color w:val="000000"/>
                <w:sz w:val="20"/>
                <w:szCs w:val="20"/>
                <w:lang w:eastAsia="en-GB"/>
              </w:rPr>
              <w:t>Australia (2008-2016)</w:t>
            </w:r>
          </w:p>
        </w:tc>
        <w:tc>
          <w:tcPr>
            <w:tcW w:w="1030" w:type="dxa"/>
            <w:vAlign w:val="center"/>
          </w:tcPr>
          <w:p w:rsidR="0005577B" w:rsidRPr="008355BB" w:rsidRDefault="0005577B" w:rsidP="002F143B">
            <w:pPr>
              <w:autoSpaceDE w:val="0"/>
              <w:autoSpaceDN w:val="0"/>
              <w:adjustRightInd w:val="0"/>
              <w:spacing w:beforeLines="60" w:before="144" w:afterLines="60" w:after="144"/>
              <w:contextualSpacing/>
              <w:jc w:val="center"/>
              <w:rPr>
                <w:rFonts w:cs="Calibri"/>
                <w:sz w:val="20"/>
                <w:szCs w:val="20"/>
                <w:lang w:eastAsia="en-GB"/>
              </w:rPr>
            </w:pPr>
            <w:r w:rsidRPr="008355BB">
              <w:rPr>
                <w:rFonts w:eastAsia="Times New Roman" w:cs="Times New Roman"/>
                <w:color w:val="000000"/>
                <w:sz w:val="20"/>
                <w:szCs w:val="20"/>
                <w:lang w:eastAsia="en-GB"/>
              </w:rPr>
              <w:t>High</w:t>
            </w:r>
          </w:p>
        </w:tc>
        <w:tc>
          <w:tcPr>
            <w:tcW w:w="813" w:type="dxa"/>
            <w:vAlign w:val="center"/>
          </w:tcPr>
          <w:p w:rsidR="0005577B" w:rsidRPr="008355BB" w:rsidRDefault="0005577B" w:rsidP="002F143B">
            <w:pPr>
              <w:autoSpaceDE w:val="0"/>
              <w:autoSpaceDN w:val="0"/>
              <w:adjustRightInd w:val="0"/>
              <w:spacing w:beforeLines="60" w:before="144" w:afterLines="60" w:after="144"/>
              <w:contextualSpacing/>
              <w:jc w:val="center"/>
              <w:rPr>
                <w:rFonts w:cs="Calibri"/>
                <w:sz w:val="20"/>
                <w:szCs w:val="20"/>
                <w:lang w:eastAsia="en-GB"/>
              </w:rPr>
            </w:pPr>
            <w:r w:rsidRPr="008355BB">
              <w:rPr>
                <w:rFonts w:eastAsia="Times New Roman" w:cs="Times New Roman"/>
                <w:color w:val="000000"/>
                <w:sz w:val="20"/>
                <w:szCs w:val="20"/>
                <w:lang w:eastAsia="en-GB"/>
              </w:rPr>
              <w:t>394</w:t>
            </w:r>
          </w:p>
        </w:tc>
        <w:tc>
          <w:tcPr>
            <w:tcW w:w="2954" w:type="dxa"/>
            <w:vAlign w:val="center"/>
          </w:tcPr>
          <w:p w:rsidR="0005577B" w:rsidRPr="008355BB" w:rsidRDefault="0005577B" w:rsidP="002F143B">
            <w:pPr>
              <w:autoSpaceDE w:val="0"/>
              <w:autoSpaceDN w:val="0"/>
              <w:adjustRightInd w:val="0"/>
              <w:spacing w:beforeLines="60" w:before="144" w:afterLines="60" w:after="144"/>
              <w:contextualSpacing/>
              <w:jc w:val="center"/>
              <w:rPr>
                <w:rFonts w:cs="Calibri"/>
                <w:sz w:val="20"/>
                <w:szCs w:val="20"/>
                <w:lang w:eastAsia="en-GB"/>
              </w:rPr>
            </w:pPr>
            <w:r w:rsidRPr="008355BB">
              <w:rPr>
                <w:rFonts w:eastAsia="Times New Roman" w:cs="Times New Roman"/>
                <w:color w:val="000000"/>
                <w:sz w:val="20"/>
                <w:szCs w:val="20"/>
                <w:lang w:eastAsia="en-GB"/>
              </w:rPr>
              <w:t>34% (Not stated - database sourced)</w:t>
            </w:r>
          </w:p>
        </w:tc>
      </w:tr>
      <w:tr w:rsidR="0005577B" w:rsidRPr="00304385" w:rsidTr="008305B9">
        <w:trPr>
          <w:cantSplit/>
          <w:trHeight w:val="353"/>
          <w:tblHeader/>
        </w:trPr>
        <w:tc>
          <w:tcPr>
            <w:tcW w:w="1923" w:type="dxa"/>
            <w:vAlign w:val="center"/>
          </w:tcPr>
          <w:p w:rsidR="0005577B" w:rsidRPr="00304385" w:rsidRDefault="0005577B" w:rsidP="001B4738">
            <w:pPr>
              <w:spacing w:beforeLines="60" w:before="144" w:afterLines="60" w:after="144"/>
              <w:contextualSpacing/>
              <w:rPr>
                <w:rFonts w:cs="Times New Roman"/>
                <w:sz w:val="20"/>
                <w:szCs w:val="20"/>
                <w:lang w:eastAsia="en-GB"/>
              </w:rPr>
            </w:pPr>
            <w:r w:rsidRPr="00304385">
              <w:rPr>
                <w:rFonts w:eastAsia="Times New Roman" w:cs="Times New Roman"/>
                <w:color w:val="000000"/>
                <w:sz w:val="20"/>
                <w:szCs w:val="20"/>
                <w:lang w:eastAsia="en-GB"/>
              </w:rPr>
              <w:t xml:space="preserve">Karreman </w:t>
            </w:r>
            <w:r>
              <w:rPr>
                <w:rFonts w:eastAsia="Times New Roman" w:cs="Times New Roman"/>
                <w:color w:val="000000"/>
                <w:sz w:val="20"/>
                <w:szCs w:val="20"/>
                <w:lang w:eastAsia="en-GB"/>
              </w:rPr>
              <w:t>(</w:t>
            </w:r>
            <w:r w:rsidRPr="00304385">
              <w:rPr>
                <w:rFonts w:eastAsia="Times New Roman" w:cs="Times New Roman"/>
                <w:color w:val="000000"/>
                <w:sz w:val="20"/>
                <w:szCs w:val="20"/>
                <w:lang w:eastAsia="en-GB"/>
              </w:rPr>
              <w:t>2017</w:t>
            </w:r>
            <w:r>
              <w:rPr>
                <w:rFonts w:eastAsia="Times New Roman" w:cs="Times New Roman"/>
                <w:color w:val="000000"/>
                <w:sz w:val="20"/>
                <w:szCs w:val="20"/>
                <w:lang w:eastAsia="en-GB"/>
              </w:rPr>
              <w:t xml:space="preserve">) </w:t>
            </w:r>
            <w:r w:rsidR="001B4738">
              <w:rPr>
                <w:rFonts w:eastAsia="Times New Roman" w:cs="Times New Roman"/>
                <w:noProof/>
                <w:color w:val="000000"/>
                <w:sz w:val="20"/>
                <w:szCs w:val="20"/>
                <w:lang w:eastAsia="en-GB"/>
              </w:rPr>
              <w:t>(49)</w:t>
            </w:r>
          </w:p>
        </w:tc>
        <w:tc>
          <w:tcPr>
            <w:tcW w:w="2296" w:type="dxa"/>
            <w:vAlign w:val="center"/>
          </w:tcPr>
          <w:p w:rsidR="0005577B" w:rsidRPr="00304385" w:rsidRDefault="0005577B" w:rsidP="002F143B">
            <w:pPr>
              <w:autoSpaceDE w:val="0"/>
              <w:autoSpaceDN w:val="0"/>
              <w:adjustRightInd w:val="0"/>
              <w:spacing w:beforeLines="60" w:before="144" w:afterLines="60" w:after="144"/>
              <w:contextualSpacing/>
              <w:jc w:val="center"/>
              <w:rPr>
                <w:rFonts w:cs="Calibri"/>
                <w:sz w:val="20"/>
                <w:szCs w:val="20"/>
                <w:lang w:eastAsia="en-GB"/>
              </w:rPr>
            </w:pPr>
            <w:r w:rsidRPr="00304385">
              <w:rPr>
                <w:rFonts w:eastAsia="Times New Roman" w:cs="Times New Roman"/>
                <w:color w:val="000000"/>
                <w:sz w:val="20"/>
                <w:szCs w:val="20"/>
                <w:lang w:eastAsia="en-GB"/>
              </w:rPr>
              <w:t>Netherlands (2013-2014)</w:t>
            </w:r>
          </w:p>
        </w:tc>
        <w:tc>
          <w:tcPr>
            <w:tcW w:w="1030" w:type="dxa"/>
            <w:vAlign w:val="center"/>
          </w:tcPr>
          <w:p w:rsidR="0005577B" w:rsidRPr="00304385" w:rsidRDefault="0005577B" w:rsidP="002F143B">
            <w:pPr>
              <w:autoSpaceDE w:val="0"/>
              <w:autoSpaceDN w:val="0"/>
              <w:adjustRightInd w:val="0"/>
              <w:spacing w:beforeLines="60" w:before="144" w:afterLines="60" w:after="144"/>
              <w:contextualSpacing/>
              <w:jc w:val="center"/>
              <w:rPr>
                <w:rFonts w:cs="Calibri"/>
                <w:sz w:val="20"/>
                <w:szCs w:val="20"/>
                <w:lang w:eastAsia="en-GB"/>
              </w:rPr>
            </w:pPr>
            <w:r w:rsidRPr="00304385">
              <w:rPr>
                <w:rFonts w:eastAsia="Times New Roman" w:cs="Times New Roman"/>
                <w:color w:val="000000"/>
                <w:sz w:val="20"/>
                <w:szCs w:val="20"/>
                <w:lang w:eastAsia="en-GB"/>
              </w:rPr>
              <w:t>Low</w:t>
            </w:r>
          </w:p>
        </w:tc>
        <w:tc>
          <w:tcPr>
            <w:tcW w:w="813" w:type="dxa"/>
            <w:vAlign w:val="center"/>
          </w:tcPr>
          <w:p w:rsidR="0005577B" w:rsidRPr="00304385" w:rsidRDefault="0005577B" w:rsidP="002F143B">
            <w:pPr>
              <w:autoSpaceDE w:val="0"/>
              <w:autoSpaceDN w:val="0"/>
              <w:adjustRightInd w:val="0"/>
              <w:spacing w:beforeLines="60" w:before="144" w:afterLines="60" w:after="144"/>
              <w:contextualSpacing/>
              <w:jc w:val="center"/>
              <w:rPr>
                <w:rFonts w:cs="Calibri"/>
                <w:sz w:val="20"/>
                <w:szCs w:val="20"/>
                <w:lang w:eastAsia="en-GB"/>
              </w:rPr>
            </w:pPr>
            <w:r w:rsidRPr="00304385">
              <w:rPr>
                <w:rFonts w:eastAsia="Times New Roman" w:cs="Times New Roman"/>
                <w:color w:val="000000"/>
                <w:sz w:val="20"/>
                <w:szCs w:val="20"/>
                <w:lang w:eastAsia="en-GB"/>
              </w:rPr>
              <w:t>473</w:t>
            </w:r>
          </w:p>
        </w:tc>
        <w:tc>
          <w:tcPr>
            <w:tcW w:w="2954" w:type="dxa"/>
            <w:vAlign w:val="center"/>
          </w:tcPr>
          <w:p w:rsidR="0005577B" w:rsidRPr="00304385" w:rsidRDefault="0005577B" w:rsidP="002F143B">
            <w:pPr>
              <w:autoSpaceDE w:val="0"/>
              <w:autoSpaceDN w:val="0"/>
              <w:adjustRightInd w:val="0"/>
              <w:spacing w:beforeLines="60" w:before="144" w:afterLines="60" w:after="144"/>
              <w:contextualSpacing/>
              <w:jc w:val="center"/>
              <w:rPr>
                <w:rFonts w:cs="Calibri"/>
                <w:sz w:val="20"/>
                <w:szCs w:val="20"/>
                <w:lang w:eastAsia="en-GB"/>
              </w:rPr>
            </w:pPr>
            <w:r w:rsidRPr="00304385">
              <w:rPr>
                <w:rFonts w:eastAsia="Times New Roman" w:cs="Times New Roman"/>
                <w:color w:val="000000"/>
                <w:sz w:val="20"/>
                <w:szCs w:val="20"/>
                <w:lang w:eastAsia="en-GB"/>
              </w:rPr>
              <w:t>11% (CASPAR)</w:t>
            </w:r>
          </w:p>
        </w:tc>
      </w:tr>
      <w:tr w:rsidR="0005577B" w:rsidRPr="00304385" w:rsidTr="008305B9">
        <w:trPr>
          <w:cantSplit/>
          <w:trHeight w:val="353"/>
          <w:tblHeader/>
        </w:trPr>
        <w:tc>
          <w:tcPr>
            <w:tcW w:w="1923" w:type="dxa"/>
            <w:vAlign w:val="center"/>
          </w:tcPr>
          <w:p w:rsidR="0005577B" w:rsidRPr="008355BB" w:rsidRDefault="0005577B" w:rsidP="001B4738">
            <w:pPr>
              <w:spacing w:beforeLines="60" w:before="144" w:afterLines="60" w:after="144"/>
              <w:contextualSpacing/>
              <w:rPr>
                <w:rFonts w:cs="Times New Roman"/>
                <w:sz w:val="20"/>
                <w:szCs w:val="20"/>
                <w:lang w:eastAsia="en-GB"/>
              </w:rPr>
            </w:pPr>
            <w:r w:rsidRPr="008355BB">
              <w:rPr>
                <w:rFonts w:cs="Times New Roman"/>
                <w:noProof/>
                <w:sz w:val="20"/>
                <w:szCs w:val="20"/>
                <w:lang w:eastAsia="en-GB"/>
              </w:rPr>
              <w:t xml:space="preserve">Baker (2013) </w:t>
            </w:r>
            <w:r w:rsidR="00FB1688" w:rsidRPr="008355BB">
              <w:rPr>
                <w:rFonts w:cs="Times New Roman"/>
                <w:noProof/>
                <w:sz w:val="20"/>
                <w:szCs w:val="20"/>
                <w:lang w:eastAsia="en-GB"/>
              </w:rPr>
              <w:t>(</w:t>
            </w:r>
            <w:r w:rsidR="001B4738" w:rsidRPr="008355BB">
              <w:rPr>
                <w:rFonts w:cs="Times New Roman"/>
                <w:noProof/>
                <w:sz w:val="20"/>
                <w:szCs w:val="20"/>
                <w:lang w:eastAsia="en-GB"/>
              </w:rPr>
              <w:t>18</w:t>
            </w:r>
            <w:r w:rsidR="00FB1688" w:rsidRPr="008355BB">
              <w:rPr>
                <w:rFonts w:cs="Times New Roman"/>
                <w:noProof/>
                <w:sz w:val="20"/>
                <w:szCs w:val="20"/>
                <w:lang w:eastAsia="en-GB"/>
              </w:rPr>
              <w:t>)</w:t>
            </w:r>
          </w:p>
        </w:tc>
        <w:tc>
          <w:tcPr>
            <w:tcW w:w="2296" w:type="dxa"/>
            <w:vAlign w:val="center"/>
          </w:tcPr>
          <w:p w:rsidR="0005577B" w:rsidRPr="008355BB" w:rsidRDefault="0005577B" w:rsidP="002F143B">
            <w:pPr>
              <w:autoSpaceDE w:val="0"/>
              <w:autoSpaceDN w:val="0"/>
              <w:adjustRightInd w:val="0"/>
              <w:spacing w:beforeLines="60" w:before="144" w:afterLines="60" w:after="144"/>
              <w:contextualSpacing/>
              <w:jc w:val="center"/>
              <w:rPr>
                <w:rFonts w:cs="Calibri"/>
                <w:sz w:val="20"/>
                <w:szCs w:val="20"/>
                <w:lang w:eastAsia="en-GB"/>
              </w:rPr>
            </w:pPr>
            <w:r w:rsidRPr="008355BB">
              <w:rPr>
                <w:rFonts w:cs="Calibri"/>
                <w:sz w:val="20"/>
                <w:szCs w:val="20"/>
                <w:lang w:eastAsia="en-GB"/>
              </w:rPr>
              <w:t>Australia (2011)</w:t>
            </w:r>
          </w:p>
        </w:tc>
        <w:tc>
          <w:tcPr>
            <w:tcW w:w="1030" w:type="dxa"/>
            <w:vAlign w:val="center"/>
          </w:tcPr>
          <w:p w:rsidR="0005577B" w:rsidRPr="008355BB" w:rsidRDefault="0005577B" w:rsidP="002F143B">
            <w:pPr>
              <w:autoSpaceDE w:val="0"/>
              <w:autoSpaceDN w:val="0"/>
              <w:adjustRightInd w:val="0"/>
              <w:spacing w:beforeLines="60" w:before="144" w:afterLines="60" w:after="144"/>
              <w:contextualSpacing/>
              <w:jc w:val="center"/>
              <w:rPr>
                <w:rFonts w:cs="Calibri"/>
                <w:sz w:val="20"/>
                <w:szCs w:val="20"/>
                <w:lang w:eastAsia="en-GB"/>
              </w:rPr>
            </w:pPr>
            <w:r w:rsidRPr="008355BB">
              <w:rPr>
                <w:rFonts w:cs="Calibri"/>
                <w:sz w:val="20"/>
                <w:szCs w:val="20"/>
                <w:lang w:eastAsia="en-GB"/>
              </w:rPr>
              <w:t>High</w:t>
            </w:r>
          </w:p>
        </w:tc>
        <w:tc>
          <w:tcPr>
            <w:tcW w:w="813" w:type="dxa"/>
            <w:vAlign w:val="center"/>
          </w:tcPr>
          <w:p w:rsidR="0005577B" w:rsidRPr="008355BB" w:rsidRDefault="0005577B" w:rsidP="002F143B">
            <w:pPr>
              <w:autoSpaceDE w:val="0"/>
              <w:autoSpaceDN w:val="0"/>
              <w:adjustRightInd w:val="0"/>
              <w:spacing w:beforeLines="60" w:before="144" w:afterLines="60" w:after="144"/>
              <w:contextualSpacing/>
              <w:jc w:val="center"/>
              <w:rPr>
                <w:rFonts w:cs="Calibri"/>
                <w:sz w:val="20"/>
                <w:szCs w:val="20"/>
                <w:lang w:eastAsia="en-GB"/>
              </w:rPr>
            </w:pPr>
            <w:r w:rsidRPr="008355BB">
              <w:rPr>
                <w:rFonts w:cs="Calibri"/>
                <w:sz w:val="20"/>
                <w:szCs w:val="20"/>
                <w:lang w:eastAsia="en-GB"/>
              </w:rPr>
              <w:t xml:space="preserve">330 </w:t>
            </w:r>
          </w:p>
        </w:tc>
        <w:tc>
          <w:tcPr>
            <w:tcW w:w="2954" w:type="dxa"/>
            <w:vAlign w:val="center"/>
          </w:tcPr>
          <w:p w:rsidR="0005577B" w:rsidRPr="008355BB" w:rsidRDefault="0005577B" w:rsidP="002F143B">
            <w:pPr>
              <w:autoSpaceDE w:val="0"/>
              <w:autoSpaceDN w:val="0"/>
              <w:adjustRightInd w:val="0"/>
              <w:spacing w:beforeLines="60" w:before="144" w:afterLines="60" w:after="144"/>
              <w:contextualSpacing/>
              <w:jc w:val="center"/>
              <w:rPr>
                <w:rFonts w:cs="Calibri"/>
                <w:sz w:val="20"/>
                <w:szCs w:val="20"/>
                <w:lang w:eastAsia="en-GB"/>
              </w:rPr>
            </w:pPr>
            <w:r w:rsidRPr="008355BB">
              <w:rPr>
                <w:rFonts w:cs="Calibri"/>
                <w:sz w:val="20"/>
                <w:szCs w:val="20"/>
                <w:lang w:eastAsia="en-GB"/>
              </w:rPr>
              <w:t>28% (prevalence)</w:t>
            </w:r>
          </w:p>
        </w:tc>
      </w:tr>
    </w:tbl>
    <w:p w:rsidR="008305B9" w:rsidRPr="008305B9" w:rsidRDefault="0005577B" w:rsidP="00FD32F4">
      <w:pPr>
        <w:rPr>
          <w:rFonts w:cs="Times New Roman"/>
          <w:sz w:val="20"/>
          <w:szCs w:val="20"/>
          <w:lang w:eastAsia="en-GB"/>
        </w:rPr>
      </w:pPr>
      <w:r w:rsidRPr="00304385">
        <w:rPr>
          <w:rFonts w:cs="Times New Roman"/>
          <w:sz w:val="20"/>
          <w:szCs w:val="20"/>
          <w:lang w:eastAsia="en-GB"/>
        </w:rPr>
        <w:t xml:space="preserve">CASPAR = Classification Criteria for Psoriatic Arthritis; excl = excluding; UK = United Kingdom; </w:t>
      </w:r>
      <w:r w:rsidR="00D530E3">
        <w:rPr>
          <w:rFonts w:cs="Times New Roman"/>
          <w:sz w:val="20"/>
          <w:szCs w:val="20"/>
          <w:lang w:eastAsia="en-GB"/>
        </w:rPr>
        <w:br/>
      </w:r>
      <w:r w:rsidRPr="00304385">
        <w:rPr>
          <w:rFonts w:cs="Times New Roman"/>
          <w:sz w:val="20"/>
          <w:szCs w:val="20"/>
          <w:lang w:eastAsia="en-GB"/>
        </w:rPr>
        <w:t>USA = United States of America</w:t>
      </w:r>
      <w:r w:rsidR="008305B9">
        <w:rPr>
          <w:rFonts w:cs="Times New Roman"/>
          <w:sz w:val="20"/>
          <w:szCs w:val="20"/>
          <w:lang w:eastAsia="en-GB"/>
        </w:rPr>
        <w:br/>
      </w:r>
      <w:r w:rsidR="008305B9">
        <w:rPr>
          <w:rFonts w:cs="Times New Roman"/>
          <w:sz w:val="20"/>
          <w:szCs w:val="20"/>
          <w:vertAlign w:val="superscript"/>
          <w:lang w:eastAsia="en-GB"/>
        </w:rPr>
        <w:t xml:space="preserve">a </w:t>
      </w:r>
      <w:r w:rsidR="008305B9">
        <w:rPr>
          <w:rFonts w:cs="Times New Roman"/>
          <w:sz w:val="20"/>
          <w:szCs w:val="20"/>
          <w:lang w:eastAsia="en-GB"/>
        </w:rPr>
        <w:t xml:space="preserve">Valid criteria included CASPAR, </w:t>
      </w:r>
      <w:r w:rsidR="008305B9" w:rsidRPr="008305B9">
        <w:rPr>
          <w:rFonts w:cs="Times New Roman"/>
          <w:sz w:val="20"/>
          <w:szCs w:val="20"/>
          <w:lang w:eastAsia="en-GB"/>
        </w:rPr>
        <w:t>Moll and</w:t>
      </w:r>
      <w:r w:rsidR="008305B9">
        <w:rPr>
          <w:rFonts w:cs="Times New Roman"/>
          <w:sz w:val="20"/>
          <w:szCs w:val="20"/>
          <w:lang w:eastAsia="en-GB"/>
        </w:rPr>
        <w:t xml:space="preserve"> </w:t>
      </w:r>
      <w:r w:rsidR="008305B9" w:rsidRPr="008305B9">
        <w:rPr>
          <w:rFonts w:cs="Times New Roman"/>
          <w:sz w:val="20"/>
          <w:szCs w:val="20"/>
          <w:lang w:eastAsia="en-GB"/>
        </w:rPr>
        <w:t>Wright</w:t>
      </w:r>
      <w:r w:rsidR="008305B9">
        <w:rPr>
          <w:rFonts w:cs="Times New Roman"/>
          <w:sz w:val="20"/>
          <w:szCs w:val="20"/>
          <w:lang w:eastAsia="en-GB"/>
        </w:rPr>
        <w:t xml:space="preserve"> and </w:t>
      </w:r>
      <w:r w:rsidR="008305B9" w:rsidRPr="008305B9">
        <w:rPr>
          <w:rFonts w:cs="Times New Roman"/>
          <w:sz w:val="20"/>
          <w:szCs w:val="20"/>
          <w:lang w:eastAsia="en-GB"/>
        </w:rPr>
        <w:t>European Spondylarthropathy Study Group criteria</w:t>
      </w:r>
    </w:p>
    <w:p w:rsidR="004427E0" w:rsidRPr="00304385" w:rsidRDefault="004427E0" w:rsidP="00EB6556">
      <w:pPr>
        <w:rPr>
          <w:rFonts w:cs="Times New Roman"/>
          <w:szCs w:val="24"/>
          <w:lang w:eastAsia="en-GB"/>
        </w:rPr>
      </w:pPr>
      <w:r w:rsidRPr="00304385">
        <w:rPr>
          <w:rFonts w:cs="Times New Roman"/>
          <w:szCs w:val="24"/>
          <w:lang w:eastAsia="en-GB"/>
        </w:rPr>
        <w:t xml:space="preserve">Three studies were identified that estimated the prevalence of </w:t>
      </w:r>
      <w:r w:rsidR="00BC7A4D">
        <w:rPr>
          <w:rFonts w:cs="Times New Roman"/>
          <w:szCs w:val="24"/>
          <w:lang w:eastAsia="en-GB"/>
        </w:rPr>
        <w:t>PsA</w:t>
      </w:r>
      <w:r w:rsidRPr="00304385">
        <w:rPr>
          <w:rFonts w:cs="Times New Roman"/>
          <w:szCs w:val="24"/>
          <w:lang w:eastAsia="en-GB"/>
        </w:rPr>
        <w:t xml:space="preserve"> in Australian patients with psoriasis</w:t>
      </w:r>
      <w:r>
        <w:rPr>
          <w:rFonts w:cs="Times New Roman"/>
          <w:szCs w:val="24"/>
          <w:lang w:eastAsia="en-GB"/>
        </w:rPr>
        <w:t xml:space="preserve">: </w:t>
      </w:r>
      <w:r w:rsidRPr="007D67F4">
        <w:rPr>
          <w:rFonts w:cs="Times New Roman"/>
          <w:szCs w:val="24"/>
          <w:lang w:eastAsia="en-GB"/>
        </w:rPr>
        <w:t>Spelman (2015), Norris (2017) and Baker (2013).</w:t>
      </w:r>
      <w:r>
        <w:rPr>
          <w:rFonts w:cs="Times New Roman"/>
          <w:szCs w:val="24"/>
          <w:lang w:eastAsia="en-GB"/>
        </w:rPr>
        <w:t xml:space="preserve"> </w:t>
      </w:r>
      <w:r w:rsidRPr="00304385">
        <w:rPr>
          <w:rFonts w:cs="Times New Roman"/>
          <w:szCs w:val="24"/>
          <w:lang w:eastAsia="en-GB"/>
        </w:rPr>
        <w:t>An Australian study on the prevalence of undiagnos</w:t>
      </w:r>
      <w:r>
        <w:rPr>
          <w:rFonts w:cs="Times New Roman"/>
          <w:szCs w:val="24"/>
          <w:lang w:eastAsia="en-GB"/>
        </w:rPr>
        <w:t xml:space="preserve">ed </w:t>
      </w:r>
      <w:r w:rsidR="00BC7A4D">
        <w:rPr>
          <w:rFonts w:cs="Times New Roman"/>
          <w:szCs w:val="24"/>
          <w:lang w:eastAsia="en-GB"/>
        </w:rPr>
        <w:t>PsA</w:t>
      </w:r>
      <w:r>
        <w:rPr>
          <w:rFonts w:cs="Times New Roman"/>
          <w:szCs w:val="24"/>
          <w:lang w:eastAsia="en-GB"/>
        </w:rPr>
        <w:t xml:space="preserve"> (Spelman</w:t>
      </w:r>
      <w:r w:rsidRPr="00304385">
        <w:rPr>
          <w:rFonts w:cs="Times New Roman"/>
          <w:szCs w:val="24"/>
          <w:lang w:eastAsia="en-GB"/>
        </w:rPr>
        <w:t xml:space="preserve"> </w:t>
      </w:r>
      <w:r>
        <w:rPr>
          <w:rFonts w:cs="Times New Roman"/>
          <w:szCs w:val="24"/>
          <w:lang w:eastAsia="en-GB"/>
        </w:rPr>
        <w:t>(</w:t>
      </w:r>
      <w:r w:rsidRPr="00304385">
        <w:rPr>
          <w:rFonts w:cs="Times New Roman"/>
          <w:szCs w:val="24"/>
          <w:lang w:eastAsia="en-GB"/>
        </w:rPr>
        <w:t>2015</w:t>
      </w:r>
      <w:r>
        <w:rPr>
          <w:rFonts w:cs="Times New Roman"/>
          <w:szCs w:val="24"/>
          <w:lang w:eastAsia="en-GB"/>
        </w:rPr>
        <w:t>)</w:t>
      </w:r>
      <w:r w:rsidRPr="00304385">
        <w:rPr>
          <w:rFonts w:cs="Times New Roman"/>
          <w:szCs w:val="24"/>
          <w:lang w:eastAsia="en-GB"/>
        </w:rPr>
        <w:t xml:space="preserve">) reported an </w:t>
      </w:r>
      <w:r w:rsidRPr="003A20F9">
        <w:rPr>
          <w:rFonts w:cs="Times New Roman"/>
          <w:noProof/>
          <w:szCs w:val="24"/>
          <w:lang w:eastAsia="en-GB"/>
        </w:rPr>
        <w:t>undiagnosed prevalence</w:t>
      </w:r>
      <w:r w:rsidRPr="00304385">
        <w:rPr>
          <w:rFonts w:cs="Times New Roman"/>
          <w:szCs w:val="24"/>
          <w:lang w:eastAsia="en-GB"/>
        </w:rPr>
        <w:t xml:space="preserve"> of 9% (95% CI: 6, 12). This study found a numerically higher rate of undiagnosed </w:t>
      </w:r>
      <w:r w:rsidR="00BC7A4D">
        <w:rPr>
          <w:rFonts w:cs="Times New Roman"/>
          <w:szCs w:val="24"/>
          <w:lang w:eastAsia="en-GB"/>
        </w:rPr>
        <w:t>PsA</w:t>
      </w:r>
      <w:r w:rsidRPr="00304385">
        <w:rPr>
          <w:rFonts w:cs="Times New Roman"/>
          <w:szCs w:val="24"/>
          <w:lang w:eastAsia="en-GB"/>
        </w:rPr>
        <w:t xml:space="preserve"> of 10% (95% CI: 5, 17) in patients with a PASI of 10 or higher.</w:t>
      </w:r>
      <w:r w:rsidR="001B4738">
        <w:rPr>
          <w:rFonts w:cs="Times New Roman"/>
          <w:noProof/>
          <w:szCs w:val="24"/>
          <w:lang w:eastAsia="en-GB"/>
        </w:rPr>
        <w:t>(46)</w:t>
      </w:r>
      <w:r w:rsidRPr="00304385">
        <w:rPr>
          <w:rFonts w:cs="Times New Roman"/>
          <w:szCs w:val="24"/>
          <w:lang w:eastAsia="en-GB"/>
        </w:rPr>
        <w:t xml:space="preserve"> Norris </w:t>
      </w:r>
      <w:r>
        <w:rPr>
          <w:rFonts w:cs="Times New Roman"/>
          <w:szCs w:val="24"/>
          <w:lang w:eastAsia="en-GB"/>
        </w:rPr>
        <w:t>(</w:t>
      </w:r>
      <w:r w:rsidRPr="00304385">
        <w:rPr>
          <w:rFonts w:cs="Times New Roman"/>
          <w:szCs w:val="24"/>
          <w:lang w:eastAsia="en-GB"/>
        </w:rPr>
        <w:t>2017</w:t>
      </w:r>
      <w:r>
        <w:rPr>
          <w:rFonts w:cs="Times New Roman"/>
          <w:szCs w:val="24"/>
          <w:lang w:eastAsia="en-GB"/>
        </w:rPr>
        <w:t>)</w:t>
      </w:r>
      <w:r w:rsidRPr="00304385">
        <w:rPr>
          <w:rFonts w:cs="Times New Roman"/>
          <w:szCs w:val="24"/>
          <w:lang w:eastAsia="en-GB"/>
        </w:rPr>
        <w:t xml:space="preserve"> examined the prevalence of </w:t>
      </w:r>
      <w:r w:rsidR="00BC7A4D">
        <w:rPr>
          <w:rFonts w:cs="Times New Roman"/>
          <w:szCs w:val="24"/>
          <w:lang w:eastAsia="en-GB"/>
        </w:rPr>
        <w:t>PsA</w:t>
      </w:r>
      <w:r w:rsidRPr="00304385">
        <w:rPr>
          <w:rFonts w:cs="Times New Roman"/>
          <w:szCs w:val="24"/>
          <w:lang w:eastAsia="en-GB"/>
        </w:rPr>
        <w:t xml:space="preserve"> in </w:t>
      </w:r>
      <w:r>
        <w:rPr>
          <w:rFonts w:cs="Times New Roman"/>
          <w:szCs w:val="24"/>
          <w:lang w:eastAsia="en-GB"/>
        </w:rPr>
        <w:t xml:space="preserve">patients included </w:t>
      </w:r>
      <w:r w:rsidRPr="00304385">
        <w:rPr>
          <w:rFonts w:cs="Times New Roman"/>
          <w:szCs w:val="24"/>
          <w:lang w:eastAsia="en-GB"/>
        </w:rPr>
        <w:t xml:space="preserve">in the Australasian Psoriasis Registry. This database </w:t>
      </w:r>
      <w:r>
        <w:rPr>
          <w:rFonts w:cs="Times New Roman"/>
          <w:szCs w:val="24"/>
          <w:lang w:eastAsia="en-GB"/>
        </w:rPr>
        <w:t xml:space="preserve">only </w:t>
      </w:r>
      <w:r w:rsidRPr="00304385">
        <w:rPr>
          <w:rFonts w:cs="Times New Roman"/>
          <w:szCs w:val="24"/>
          <w:lang w:eastAsia="en-GB"/>
        </w:rPr>
        <w:t>included patients treated with systemic therapies and reported a diagnosed prevalence of 34%</w:t>
      </w:r>
      <w:r w:rsidRPr="007D67F4">
        <w:rPr>
          <w:rFonts w:cs="Times New Roman"/>
          <w:szCs w:val="24"/>
          <w:lang w:eastAsia="en-GB"/>
        </w:rPr>
        <w:t>.</w:t>
      </w:r>
      <w:r>
        <w:rPr>
          <w:rFonts w:cs="Times New Roman"/>
          <w:noProof/>
          <w:szCs w:val="24"/>
          <w:lang w:eastAsia="en-GB"/>
        </w:rPr>
        <w:t>(</w:t>
      </w:r>
      <w:r w:rsidR="001B4738">
        <w:rPr>
          <w:rFonts w:cs="Times New Roman"/>
          <w:noProof/>
          <w:szCs w:val="24"/>
          <w:lang w:eastAsia="en-GB"/>
        </w:rPr>
        <w:t>22</w:t>
      </w:r>
      <w:r>
        <w:rPr>
          <w:rFonts w:cs="Times New Roman"/>
          <w:noProof/>
          <w:szCs w:val="24"/>
          <w:lang w:eastAsia="en-GB"/>
        </w:rPr>
        <w:t>)</w:t>
      </w:r>
      <w:r w:rsidRPr="00304385">
        <w:rPr>
          <w:rFonts w:cs="Times New Roman"/>
          <w:szCs w:val="24"/>
          <w:lang w:eastAsia="en-GB"/>
        </w:rPr>
        <w:t xml:space="preserve"> Baker </w:t>
      </w:r>
      <w:r>
        <w:rPr>
          <w:rFonts w:cs="Times New Roman"/>
          <w:szCs w:val="24"/>
          <w:lang w:eastAsia="en-GB"/>
        </w:rPr>
        <w:t>(</w:t>
      </w:r>
      <w:r w:rsidRPr="00304385">
        <w:rPr>
          <w:rFonts w:cs="Times New Roman"/>
          <w:szCs w:val="24"/>
          <w:lang w:eastAsia="en-GB"/>
        </w:rPr>
        <w:t>2013</w:t>
      </w:r>
      <w:r>
        <w:rPr>
          <w:rFonts w:cs="Times New Roman"/>
          <w:szCs w:val="24"/>
          <w:lang w:eastAsia="en-GB"/>
        </w:rPr>
        <w:t>)</w:t>
      </w:r>
      <w:r w:rsidRPr="00304385">
        <w:rPr>
          <w:rFonts w:cs="Times New Roman"/>
          <w:szCs w:val="24"/>
          <w:lang w:eastAsia="en-GB"/>
        </w:rPr>
        <w:t xml:space="preserve"> reported a 28% self-reported prevalence of </w:t>
      </w:r>
      <w:r w:rsidR="00BC7A4D">
        <w:rPr>
          <w:rFonts w:cs="Times New Roman"/>
          <w:szCs w:val="24"/>
          <w:lang w:eastAsia="en-GB"/>
        </w:rPr>
        <w:t>PsA</w:t>
      </w:r>
      <w:r w:rsidRPr="00304385">
        <w:rPr>
          <w:rFonts w:cs="Times New Roman"/>
          <w:szCs w:val="24"/>
          <w:lang w:eastAsia="en-GB"/>
        </w:rPr>
        <w:t xml:space="preserve"> in a survey of Australian psoriasis patients. Patients were recruited through healthcare providers, online advertising and Psoriasis Australia.  The studies by Norris </w:t>
      </w:r>
      <w:r>
        <w:rPr>
          <w:rFonts w:cs="Times New Roman"/>
          <w:szCs w:val="24"/>
          <w:lang w:eastAsia="en-GB"/>
        </w:rPr>
        <w:t>(2017) and Baker (</w:t>
      </w:r>
      <w:r w:rsidRPr="00304385">
        <w:rPr>
          <w:rFonts w:cs="Times New Roman"/>
          <w:szCs w:val="24"/>
          <w:lang w:eastAsia="en-GB"/>
        </w:rPr>
        <w:t>2013</w:t>
      </w:r>
      <w:r>
        <w:rPr>
          <w:rFonts w:cs="Times New Roman"/>
          <w:szCs w:val="24"/>
          <w:lang w:eastAsia="en-GB"/>
        </w:rPr>
        <w:t>)</w:t>
      </w:r>
      <w:r w:rsidRPr="00304385">
        <w:rPr>
          <w:rFonts w:cs="Times New Roman"/>
          <w:szCs w:val="24"/>
          <w:lang w:eastAsia="en-GB"/>
        </w:rPr>
        <w:t xml:space="preserve"> may not be representative of the broader Australian population</w:t>
      </w:r>
      <w:r>
        <w:rPr>
          <w:rFonts w:cs="Times New Roman"/>
          <w:szCs w:val="24"/>
          <w:lang w:eastAsia="en-GB"/>
        </w:rPr>
        <w:t xml:space="preserve"> due to the selection methods employed</w:t>
      </w:r>
      <w:r w:rsidRPr="00304385">
        <w:rPr>
          <w:rFonts w:cs="Times New Roman"/>
          <w:szCs w:val="24"/>
          <w:lang w:eastAsia="en-GB"/>
        </w:rPr>
        <w:t xml:space="preserve">. Patients in Spelman </w:t>
      </w:r>
      <w:r>
        <w:rPr>
          <w:rFonts w:cs="Times New Roman"/>
          <w:szCs w:val="24"/>
          <w:lang w:eastAsia="en-GB"/>
        </w:rPr>
        <w:t>(</w:t>
      </w:r>
      <w:r w:rsidRPr="00304385">
        <w:rPr>
          <w:rFonts w:cs="Times New Roman"/>
          <w:szCs w:val="24"/>
          <w:lang w:eastAsia="en-GB"/>
        </w:rPr>
        <w:t>2015</w:t>
      </w:r>
      <w:r>
        <w:rPr>
          <w:rFonts w:cs="Times New Roman"/>
          <w:szCs w:val="24"/>
          <w:lang w:eastAsia="en-GB"/>
        </w:rPr>
        <w:t>)</w:t>
      </w:r>
      <w:r w:rsidRPr="00304385">
        <w:rPr>
          <w:rFonts w:cs="Times New Roman"/>
          <w:szCs w:val="24"/>
          <w:lang w:eastAsia="en-GB"/>
        </w:rPr>
        <w:t xml:space="preserve"> were recruited through dermatology clinics and may be </w:t>
      </w:r>
      <w:r>
        <w:rPr>
          <w:rFonts w:cs="Times New Roman"/>
          <w:szCs w:val="24"/>
          <w:lang w:eastAsia="en-GB"/>
        </w:rPr>
        <w:t xml:space="preserve">more </w:t>
      </w:r>
      <w:r w:rsidRPr="00304385">
        <w:rPr>
          <w:rFonts w:cs="Times New Roman"/>
          <w:szCs w:val="24"/>
          <w:lang w:eastAsia="en-GB"/>
        </w:rPr>
        <w:t>representative of patients with moderate-to-severe psoriasis.</w:t>
      </w:r>
      <w:r w:rsidR="001B4738">
        <w:rPr>
          <w:rFonts w:cs="Times New Roman"/>
          <w:noProof/>
          <w:szCs w:val="24"/>
          <w:lang w:eastAsia="en-GB"/>
        </w:rPr>
        <w:t>(46)</w:t>
      </w:r>
      <w:r w:rsidRPr="00304385">
        <w:rPr>
          <w:rFonts w:cs="Times New Roman"/>
          <w:szCs w:val="24"/>
          <w:lang w:eastAsia="en-GB"/>
        </w:rPr>
        <w:t xml:space="preserve"> </w:t>
      </w:r>
    </w:p>
    <w:p w:rsidR="00071F2B" w:rsidRPr="00EB6556" w:rsidRDefault="004427E0" w:rsidP="00DF6738">
      <w:pPr>
        <w:rPr>
          <w:rFonts w:eastAsiaTheme="minorEastAsia" w:cs="Calibri"/>
          <w:b/>
          <w:szCs w:val="24"/>
          <w:lang w:val="en-US" w:eastAsia="en-US"/>
        </w:rPr>
      </w:pPr>
      <w:r>
        <w:rPr>
          <w:rFonts w:cs="Times New Roman"/>
          <w:szCs w:val="24"/>
          <w:lang w:eastAsia="en-GB"/>
        </w:rPr>
        <w:t xml:space="preserve">Internationally, </w:t>
      </w:r>
      <w:r w:rsidR="00071F2B" w:rsidRPr="00304385">
        <w:rPr>
          <w:rFonts w:cs="Times New Roman"/>
          <w:szCs w:val="24"/>
          <w:lang w:eastAsia="en-GB"/>
        </w:rPr>
        <w:t xml:space="preserve">estimates for the prevalence of </w:t>
      </w:r>
      <w:r w:rsidR="00BC7A4D">
        <w:rPr>
          <w:rFonts w:cs="Times New Roman"/>
          <w:szCs w:val="24"/>
          <w:lang w:eastAsia="en-GB"/>
        </w:rPr>
        <w:t>PsA</w:t>
      </w:r>
      <w:r w:rsidR="00071F2B" w:rsidRPr="00304385">
        <w:rPr>
          <w:rFonts w:cs="Times New Roman"/>
          <w:szCs w:val="24"/>
          <w:lang w:eastAsia="en-GB"/>
        </w:rPr>
        <w:t xml:space="preserve"> in patients with psoriasis</w:t>
      </w:r>
      <w:r>
        <w:rPr>
          <w:rFonts w:cs="Times New Roman"/>
          <w:szCs w:val="24"/>
          <w:lang w:eastAsia="en-GB"/>
        </w:rPr>
        <w:t xml:space="preserve"> also varied considerably (</w:t>
      </w:r>
      <w:r w:rsidR="008355BB">
        <w:rPr>
          <w:rFonts w:cs="Times New Roman"/>
          <w:szCs w:val="24"/>
          <w:lang w:eastAsia="en-GB"/>
        </w:rPr>
        <w:t xml:space="preserve">as presented in </w:t>
      </w:r>
      <w:r w:rsidR="0086184A">
        <w:t xml:space="preserve">Table </w:t>
      </w:r>
      <w:r w:rsidR="0086184A">
        <w:rPr>
          <w:noProof/>
        </w:rPr>
        <w:t>7</w:t>
      </w:r>
      <w:r>
        <w:rPr>
          <w:rFonts w:cs="Times New Roman"/>
          <w:szCs w:val="24"/>
          <w:lang w:eastAsia="en-GB"/>
        </w:rPr>
        <w:t>)</w:t>
      </w:r>
      <w:r w:rsidR="00071F2B" w:rsidRPr="00304385">
        <w:rPr>
          <w:rFonts w:cs="Times New Roman"/>
          <w:szCs w:val="24"/>
          <w:lang w:eastAsia="en-GB"/>
        </w:rPr>
        <w:t xml:space="preserve">. A large study </w:t>
      </w:r>
      <w:r w:rsidR="001803C6">
        <w:rPr>
          <w:rFonts w:cs="Times New Roman"/>
          <w:szCs w:val="24"/>
          <w:lang w:eastAsia="en-GB"/>
        </w:rPr>
        <w:t>(Mease (2013))</w:t>
      </w:r>
      <w:r w:rsidR="001803C6" w:rsidRPr="00304385">
        <w:rPr>
          <w:rFonts w:cs="Times New Roman"/>
          <w:szCs w:val="24"/>
          <w:lang w:eastAsia="en-GB"/>
        </w:rPr>
        <w:t xml:space="preserve"> </w:t>
      </w:r>
      <w:r w:rsidR="00071F2B" w:rsidRPr="00304385">
        <w:rPr>
          <w:rFonts w:cs="Times New Roman"/>
          <w:szCs w:val="24"/>
          <w:lang w:eastAsia="en-GB"/>
        </w:rPr>
        <w:t>screening</w:t>
      </w:r>
      <w:r w:rsidR="001E3585">
        <w:rPr>
          <w:rFonts w:cs="Times New Roman"/>
          <w:szCs w:val="24"/>
          <w:lang w:eastAsia="en-GB"/>
        </w:rPr>
        <w:t xml:space="preserve"> </w:t>
      </w:r>
      <w:r w:rsidR="00071F2B" w:rsidRPr="00304385">
        <w:rPr>
          <w:rFonts w:cs="Times New Roman"/>
          <w:szCs w:val="24"/>
          <w:lang w:eastAsia="en-GB"/>
        </w:rPr>
        <w:t xml:space="preserve">for the prevalence of </w:t>
      </w:r>
      <w:r w:rsidR="00BC7A4D">
        <w:rPr>
          <w:rFonts w:cs="Times New Roman"/>
          <w:szCs w:val="24"/>
          <w:lang w:eastAsia="en-GB"/>
        </w:rPr>
        <w:t>PsA</w:t>
      </w:r>
      <w:r w:rsidR="00071F2B" w:rsidRPr="00304385">
        <w:rPr>
          <w:rFonts w:cs="Times New Roman"/>
          <w:szCs w:val="24"/>
          <w:lang w:eastAsia="en-GB"/>
        </w:rPr>
        <w:t xml:space="preserve"> in patients with </w:t>
      </w:r>
      <w:r w:rsidR="00891E82">
        <w:rPr>
          <w:rFonts w:cs="Times New Roman"/>
          <w:szCs w:val="24"/>
          <w:lang w:eastAsia="en-GB"/>
        </w:rPr>
        <w:t>CPP</w:t>
      </w:r>
      <w:r w:rsidR="00071F2B" w:rsidRPr="00304385">
        <w:rPr>
          <w:rFonts w:cs="Times New Roman"/>
          <w:szCs w:val="24"/>
          <w:lang w:eastAsia="en-GB"/>
        </w:rPr>
        <w:t xml:space="preserve"> (n</w:t>
      </w:r>
      <w:r w:rsidR="00071F2B">
        <w:rPr>
          <w:rFonts w:cs="Times New Roman"/>
          <w:szCs w:val="24"/>
          <w:lang w:eastAsia="en-GB"/>
        </w:rPr>
        <w:t xml:space="preserve"> </w:t>
      </w:r>
      <w:r w:rsidR="00071F2B" w:rsidRPr="00304385">
        <w:rPr>
          <w:rFonts w:cs="Times New Roman"/>
          <w:szCs w:val="24"/>
          <w:lang w:eastAsia="en-GB"/>
        </w:rPr>
        <w:t>=</w:t>
      </w:r>
      <w:r w:rsidR="00071F2B">
        <w:rPr>
          <w:rFonts w:cs="Times New Roman"/>
          <w:szCs w:val="24"/>
          <w:lang w:eastAsia="en-GB"/>
        </w:rPr>
        <w:t xml:space="preserve"> </w:t>
      </w:r>
      <w:r w:rsidR="00071F2B" w:rsidRPr="00304385">
        <w:rPr>
          <w:rFonts w:cs="Times New Roman"/>
          <w:szCs w:val="24"/>
          <w:lang w:eastAsia="en-GB"/>
        </w:rPr>
        <w:t xml:space="preserve">959) in Europe and North America reported a prevalence of 30.0% (95% CI: 27.1, 33.1). Patients were recruited through dermatology clinics. </w:t>
      </w:r>
      <w:r w:rsidR="001B4738">
        <w:rPr>
          <w:rFonts w:cs="Times New Roman"/>
          <w:noProof/>
          <w:szCs w:val="24"/>
          <w:lang w:eastAsia="en-GB"/>
        </w:rPr>
        <w:t>(47)</w:t>
      </w:r>
      <w:r w:rsidR="00071F2B" w:rsidRPr="00304385">
        <w:rPr>
          <w:rFonts w:cs="Times New Roman"/>
          <w:szCs w:val="24"/>
          <w:lang w:eastAsia="en-GB"/>
        </w:rPr>
        <w:t xml:space="preserve"> </w:t>
      </w:r>
      <w:r w:rsidR="00071F2B">
        <w:rPr>
          <w:rFonts w:cs="Times New Roman"/>
          <w:noProof/>
          <w:szCs w:val="24"/>
          <w:lang w:eastAsia="en-GB"/>
        </w:rPr>
        <w:t>Mease (2013)</w:t>
      </w:r>
      <w:r w:rsidR="00071F2B" w:rsidRPr="00394001">
        <w:rPr>
          <w:rFonts w:cs="Times New Roman"/>
          <w:szCs w:val="24"/>
          <w:lang w:eastAsia="en-GB"/>
        </w:rPr>
        <w:t xml:space="preserve"> was considered to have the most robust prevalence estimate for patients with moderate-to-severe disease. </w:t>
      </w:r>
      <w:r w:rsidR="001803C6">
        <w:rPr>
          <w:rFonts w:cs="Times New Roman"/>
          <w:szCs w:val="24"/>
          <w:lang w:eastAsia="en-GB"/>
        </w:rPr>
        <w:t xml:space="preserve">Other studies </w:t>
      </w:r>
      <w:r w:rsidR="00071F2B" w:rsidRPr="00973DB4">
        <w:rPr>
          <w:rFonts w:cs="Times New Roman"/>
          <w:szCs w:val="24"/>
          <w:lang w:eastAsia="en-GB"/>
        </w:rPr>
        <w:t>that were population-based (Icen</w:t>
      </w:r>
      <w:r w:rsidR="005D184E">
        <w:rPr>
          <w:rFonts w:cs="Times New Roman"/>
          <w:szCs w:val="24"/>
          <w:lang w:eastAsia="en-GB"/>
        </w:rPr>
        <w:t> </w:t>
      </w:r>
      <w:r w:rsidR="00071F2B" w:rsidRPr="00973DB4">
        <w:rPr>
          <w:rFonts w:cs="Times New Roman"/>
          <w:szCs w:val="24"/>
          <w:lang w:eastAsia="en-GB"/>
        </w:rPr>
        <w:t>2009 and Hoff 2015)</w:t>
      </w:r>
      <w:r w:rsidR="001803C6">
        <w:rPr>
          <w:rFonts w:cs="Times New Roman"/>
          <w:szCs w:val="24"/>
          <w:lang w:eastAsia="en-GB"/>
        </w:rPr>
        <w:t>,</w:t>
      </w:r>
      <w:r w:rsidR="00071F2B" w:rsidRPr="00973DB4">
        <w:rPr>
          <w:rFonts w:cs="Times New Roman"/>
          <w:szCs w:val="24"/>
          <w:lang w:eastAsia="en-GB"/>
        </w:rPr>
        <w:t xml:space="preserve"> or had a general practice patient</w:t>
      </w:r>
      <w:r w:rsidR="00071F2B">
        <w:rPr>
          <w:rFonts w:cs="Times New Roman"/>
          <w:szCs w:val="24"/>
          <w:lang w:eastAsia="en-GB"/>
        </w:rPr>
        <w:t xml:space="preserve"> recruitment process</w:t>
      </w:r>
      <w:r w:rsidR="005D184E">
        <w:rPr>
          <w:rFonts w:cs="Times New Roman"/>
          <w:szCs w:val="24"/>
          <w:lang w:eastAsia="en-GB"/>
        </w:rPr>
        <w:t xml:space="preserve"> (Karreman </w:t>
      </w:r>
      <w:r w:rsidR="00071F2B" w:rsidRPr="00973DB4">
        <w:rPr>
          <w:rFonts w:cs="Times New Roman"/>
          <w:szCs w:val="24"/>
          <w:lang w:eastAsia="en-GB"/>
        </w:rPr>
        <w:t>2017)</w:t>
      </w:r>
      <w:r w:rsidR="001803C6">
        <w:rPr>
          <w:rFonts w:cs="Times New Roman"/>
          <w:szCs w:val="24"/>
          <w:lang w:eastAsia="en-GB"/>
        </w:rPr>
        <w:t>,</w:t>
      </w:r>
      <w:r w:rsidR="00071F2B" w:rsidRPr="00973DB4">
        <w:rPr>
          <w:rFonts w:cs="Times New Roman"/>
          <w:szCs w:val="24"/>
          <w:lang w:eastAsia="en-GB"/>
        </w:rPr>
        <w:t xml:space="preserve"> reported lower rates of prevalence of 11% to 15%</w:t>
      </w:r>
      <w:r w:rsidR="00071F2B">
        <w:rPr>
          <w:rFonts w:cs="Times New Roman"/>
          <w:szCs w:val="24"/>
          <w:lang w:eastAsia="en-GB"/>
        </w:rPr>
        <w:t xml:space="preserve">. </w:t>
      </w:r>
      <w:r w:rsidR="001B4738">
        <w:rPr>
          <w:rFonts w:cs="Times New Roman"/>
          <w:noProof/>
          <w:szCs w:val="24"/>
          <w:lang w:eastAsia="en-GB"/>
        </w:rPr>
        <w:t>(13, 48, 49)</w:t>
      </w:r>
      <w:r w:rsidR="00071F2B" w:rsidRPr="00973DB4">
        <w:rPr>
          <w:rFonts w:cs="Times New Roman"/>
          <w:szCs w:val="24"/>
          <w:lang w:eastAsia="en-GB"/>
        </w:rPr>
        <w:t xml:space="preserve"> </w:t>
      </w:r>
      <w:r w:rsidR="00071F2B" w:rsidRPr="00394001">
        <w:rPr>
          <w:rFonts w:cs="Times New Roman"/>
          <w:szCs w:val="24"/>
          <w:lang w:eastAsia="en-GB"/>
        </w:rPr>
        <w:t xml:space="preserve">These </w:t>
      </w:r>
      <w:r w:rsidR="00071F2B">
        <w:rPr>
          <w:rFonts w:cs="Times New Roman"/>
          <w:szCs w:val="24"/>
          <w:lang w:eastAsia="en-GB"/>
        </w:rPr>
        <w:t xml:space="preserve">studies </w:t>
      </w:r>
      <w:r w:rsidR="00071F2B" w:rsidRPr="00394001">
        <w:rPr>
          <w:rFonts w:cs="Times New Roman"/>
          <w:szCs w:val="24"/>
          <w:lang w:eastAsia="en-GB"/>
        </w:rPr>
        <w:t xml:space="preserve">may be more indicative of the prevalence of </w:t>
      </w:r>
      <w:r w:rsidR="00BC7A4D">
        <w:rPr>
          <w:rFonts w:cs="Times New Roman"/>
          <w:szCs w:val="24"/>
          <w:lang w:eastAsia="en-GB"/>
        </w:rPr>
        <w:t>PsA</w:t>
      </w:r>
      <w:r w:rsidR="00071F2B" w:rsidRPr="00394001">
        <w:rPr>
          <w:rFonts w:cs="Times New Roman"/>
          <w:szCs w:val="24"/>
          <w:lang w:eastAsia="en-GB"/>
        </w:rPr>
        <w:t xml:space="preserve"> in the broader population with psoriasis. </w:t>
      </w:r>
    </w:p>
    <w:p w:rsidR="00071F2B" w:rsidRDefault="00071F2B" w:rsidP="00EB6556">
      <w:pPr>
        <w:rPr>
          <w:rFonts w:cs="Times New Roman"/>
          <w:szCs w:val="24"/>
          <w:lang w:eastAsia="en-GB"/>
        </w:rPr>
      </w:pPr>
      <w:r w:rsidRPr="00304385">
        <w:rPr>
          <w:rFonts w:cs="Times New Roman"/>
          <w:szCs w:val="24"/>
          <w:lang w:eastAsia="en-GB"/>
        </w:rPr>
        <w:t xml:space="preserve">A population-based, longitudinal US study by </w:t>
      </w:r>
      <w:r>
        <w:rPr>
          <w:rFonts w:cs="Times New Roman"/>
          <w:noProof/>
          <w:szCs w:val="24"/>
          <w:lang w:eastAsia="en-GB"/>
        </w:rPr>
        <w:t>Wilson (2009)</w:t>
      </w:r>
      <w:r w:rsidRPr="00304385">
        <w:rPr>
          <w:rFonts w:cs="Times New Roman"/>
          <w:szCs w:val="24"/>
          <w:lang w:eastAsia="en-GB"/>
        </w:rPr>
        <w:t xml:space="preserve"> found a new-onset </w:t>
      </w:r>
      <w:r w:rsidR="001803C6">
        <w:rPr>
          <w:rFonts w:cs="Times New Roman"/>
          <w:szCs w:val="24"/>
          <w:lang w:eastAsia="en-GB"/>
        </w:rPr>
        <w:t>PsA</w:t>
      </w:r>
      <w:r w:rsidRPr="00304385">
        <w:rPr>
          <w:rFonts w:cs="Times New Roman"/>
          <w:szCs w:val="24"/>
          <w:lang w:eastAsia="en-GB"/>
        </w:rPr>
        <w:t xml:space="preserve"> rate of 2.7 </w:t>
      </w:r>
      <w:r w:rsidR="00FF09FA">
        <w:rPr>
          <w:rFonts w:cs="Times New Roman"/>
          <w:szCs w:val="24"/>
          <w:lang w:eastAsia="en-GB"/>
        </w:rPr>
        <w:t>per</w:t>
      </w:r>
      <w:r w:rsidR="00FF09FA" w:rsidRPr="00304385">
        <w:rPr>
          <w:rFonts w:cs="Times New Roman"/>
          <w:szCs w:val="24"/>
          <w:lang w:eastAsia="en-GB"/>
        </w:rPr>
        <w:t xml:space="preserve"> </w:t>
      </w:r>
      <w:r w:rsidRPr="00304385">
        <w:rPr>
          <w:rFonts w:cs="Times New Roman"/>
          <w:szCs w:val="24"/>
          <w:lang w:eastAsia="en-GB"/>
        </w:rPr>
        <w:t xml:space="preserve">1,000 </w:t>
      </w:r>
      <w:r w:rsidRPr="003A20F9">
        <w:rPr>
          <w:rFonts w:cs="Times New Roman"/>
          <w:noProof/>
          <w:szCs w:val="24"/>
          <w:lang w:eastAsia="en-GB"/>
        </w:rPr>
        <w:t>person years</w:t>
      </w:r>
      <w:r w:rsidRPr="00304385">
        <w:rPr>
          <w:rFonts w:cs="Times New Roman"/>
          <w:szCs w:val="24"/>
          <w:lang w:eastAsia="en-GB"/>
        </w:rPr>
        <w:t xml:space="preserve"> (95% CI: 2.1</w:t>
      </w:r>
      <w:r w:rsidR="001E3585">
        <w:rPr>
          <w:rFonts w:cs="Times New Roman"/>
          <w:szCs w:val="24"/>
          <w:lang w:eastAsia="en-GB"/>
        </w:rPr>
        <w:t>, </w:t>
      </w:r>
      <w:r w:rsidRPr="00304385">
        <w:rPr>
          <w:rFonts w:cs="Times New Roman"/>
          <w:szCs w:val="24"/>
          <w:lang w:eastAsia="en-GB"/>
        </w:rPr>
        <w:t xml:space="preserve">3.5). The prevalence estimated in </w:t>
      </w:r>
      <w:r>
        <w:rPr>
          <w:rFonts w:cs="Times New Roman"/>
          <w:szCs w:val="24"/>
          <w:lang w:eastAsia="en-GB"/>
        </w:rPr>
        <w:t xml:space="preserve">the </w:t>
      </w:r>
      <w:r w:rsidRPr="00304385">
        <w:rPr>
          <w:rFonts w:cs="Times New Roman"/>
          <w:szCs w:val="24"/>
          <w:lang w:eastAsia="en-GB"/>
        </w:rPr>
        <w:t>study was 5.94%. The cumulative incidence at 5, 10 and 20 years following psoriasis incidence was 1.7% (95% CI:</w:t>
      </w:r>
      <w:r>
        <w:rPr>
          <w:rFonts w:cs="Times New Roman"/>
          <w:szCs w:val="24"/>
          <w:lang w:eastAsia="en-GB"/>
        </w:rPr>
        <w:t xml:space="preserve"> </w:t>
      </w:r>
      <w:r w:rsidRPr="00304385">
        <w:rPr>
          <w:rFonts w:cs="Times New Roman"/>
          <w:szCs w:val="24"/>
          <w:lang w:eastAsia="en-GB"/>
        </w:rPr>
        <w:t xml:space="preserve">1.0, 2.3%), 3.1% (95% CI: 2.2, 4.1%), and 5.1% (95% CI: 3.7, 6.6%), respectively. Cumulative incidence at 20 years was 7.5% when patients with </w:t>
      </w:r>
      <w:r w:rsidR="001803C6">
        <w:rPr>
          <w:rFonts w:cs="Times New Roman"/>
          <w:szCs w:val="24"/>
          <w:lang w:eastAsia="en-GB"/>
        </w:rPr>
        <w:t>PsA</w:t>
      </w:r>
      <w:r w:rsidRPr="00304385">
        <w:rPr>
          <w:rFonts w:cs="Times New Roman"/>
          <w:szCs w:val="24"/>
          <w:lang w:eastAsia="en-GB"/>
        </w:rPr>
        <w:t xml:space="preserve"> at diagnosis of psoriasis was considered.</w:t>
      </w:r>
      <w:r w:rsidR="00FB1688">
        <w:rPr>
          <w:rFonts w:cs="Times New Roman"/>
          <w:noProof/>
          <w:szCs w:val="24"/>
          <w:lang w:eastAsia="en-GB"/>
        </w:rPr>
        <w:t>(</w:t>
      </w:r>
      <w:r w:rsidR="001B4738">
        <w:rPr>
          <w:rFonts w:cs="Times New Roman"/>
          <w:noProof/>
          <w:szCs w:val="24"/>
          <w:lang w:eastAsia="en-GB"/>
        </w:rPr>
        <w:t>50</w:t>
      </w:r>
      <w:r w:rsidR="00FB1688">
        <w:rPr>
          <w:rFonts w:cs="Times New Roman"/>
          <w:noProof/>
          <w:szCs w:val="24"/>
          <w:lang w:eastAsia="en-GB"/>
        </w:rPr>
        <w:t>)</w:t>
      </w:r>
      <w:r w:rsidRPr="00304385">
        <w:rPr>
          <w:rFonts w:cs="Times New Roman"/>
          <w:szCs w:val="24"/>
          <w:lang w:eastAsia="en-GB"/>
        </w:rPr>
        <w:t xml:space="preserve"> </w:t>
      </w:r>
    </w:p>
    <w:p w:rsidR="00071F2B" w:rsidRPr="00495A03" w:rsidRDefault="0086184A" w:rsidP="0046651D">
      <w:pPr>
        <w:rPr>
          <w:rFonts w:cs="Times New Roman"/>
          <w:b/>
          <w:szCs w:val="24"/>
          <w:lang w:eastAsia="en-GB"/>
        </w:rPr>
      </w:pPr>
      <w:r w:rsidRPr="0086184A">
        <w:rPr>
          <w:b/>
        </w:rPr>
        <w:t xml:space="preserve">Figure </w:t>
      </w:r>
      <w:r w:rsidRPr="0086184A">
        <w:rPr>
          <w:b/>
          <w:noProof/>
        </w:rPr>
        <w:t>1</w:t>
      </w:r>
      <w:r w:rsidR="00071F2B" w:rsidRPr="00495A03">
        <w:rPr>
          <w:rFonts w:cs="Times New Roman"/>
          <w:b/>
          <w:szCs w:val="24"/>
          <w:lang w:eastAsia="en-GB"/>
        </w:rPr>
        <w:t xml:space="preserve"> presents the cumulative incidence of </w:t>
      </w:r>
      <w:r w:rsidR="001803C6" w:rsidRPr="00495A03">
        <w:rPr>
          <w:rFonts w:cs="Times New Roman"/>
          <w:b/>
          <w:szCs w:val="24"/>
          <w:lang w:eastAsia="en-GB"/>
        </w:rPr>
        <w:t>PsA</w:t>
      </w:r>
      <w:r w:rsidR="00071F2B" w:rsidRPr="00495A03">
        <w:rPr>
          <w:rFonts w:cs="Times New Roman"/>
          <w:b/>
          <w:szCs w:val="24"/>
          <w:lang w:eastAsia="en-GB"/>
        </w:rPr>
        <w:t xml:space="preserve"> for the total population and by sex.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Figures showing cumulative incidence of psoriatic arthritis for the total population and by sex. "/>
      </w:tblPr>
      <w:tblGrid>
        <w:gridCol w:w="9016"/>
      </w:tblGrid>
      <w:tr w:rsidR="00071F2B" w:rsidRPr="00304385" w:rsidTr="00EB283E">
        <w:trPr>
          <w:tblHeader/>
        </w:trPr>
        <w:tc>
          <w:tcPr>
            <w:tcW w:w="9016" w:type="dxa"/>
          </w:tcPr>
          <w:p w:rsidR="00071F2B" w:rsidRPr="00304385" w:rsidRDefault="00071F2B" w:rsidP="00071F2B">
            <w:pPr>
              <w:keepNext/>
              <w:rPr>
                <w:szCs w:val="24"/>
                <w:lang w:eastAsia="en-GB"/>
              </w:rPr>
            </w:pPr>
            <w:r w:rsidRPr="00304385">
              <w:rPr>
                <w:noProof/>
                <w:szCs w:val="24"/>
                <w:lang w:val="en-AU"/>
              </w:rPr>
              <w:drawing>
                <wp:inline distT="0" distB="0" distL="0" distR="0" wp14:anchorId="08F40CA9" wp14:editId="159665B8">
                  <wp:extent cx="2686425" cy="2162477"/>
                  <wp:effectExtent l="0" t="0" r="0" b="9525"/>
                  <wp:docPr id="20" name="Picture 20" title="cumulative incidence of psoriatic arthritis for the total popula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43C1BA6.tmp"/>
                          <pic:cNvPicPr/>
                        </pic:nvPicPr>
                        <pic:blipFill>
                          <a:blip r:embed="rId15">
                            <a:extLst>
                              <a:ext uri="{28A0092B-C50C-407E-A947-70E740481C1C}">
                                <a14:useLocalDpi xmlns:a14="http://schemas.microsoft.com/office/drawing/2010/main" val="0"/>
                              </a:ext>
                            </a:extLst>
                          </a:blip>
                          <a:stretch>
                            <a:fillRect/>
                          </a:stretch>
                        </pic:blipFill>
                        <pic:spPr>
                          <a:xfrm>
                            <a:off x="0" y="0"/>
                            <a:ext cx="2686425" cy="2162477"/>
                          </a:xfrm>
                          <a:prstGeom prst="rect">
                            <a:avLst/>
                          </a:prstGeom>
                        </pic:spPr>
                      </pic:pic>
                    </a:graphicData>
                  </a:graphic>
                </wp:inline>
              </w:drawing>
            </w:r>
            <w:r w:rsidRPr="00304385">
              <w:rPr>
                <w:noProof/>
                <w:szCs w:val="24"/>
                <w:lang w:val="en-AU"/>
              </w:rPr>
              <w:drawing>
                <wp:inline distT="0" distB="0" distL="0" distR="0" wp14:anchorId="45C911C5" wp14:editId="4DBB88CF">
                  <wp:extent cx="2878843" cy="2181860"/>
                  <wp:effectExtent l="0" t="0" r="0" b="8890"/>
                  <wp:docPr id="23" name="Picture 23" title="cumulative incidence of psoriatic arthritis by s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43C5DA6.tmp"/>
                          <pic:cNvPicPr/>
                        </pic:nvPicPr>
                        <pic:blipFill>
                          <a:blip r:embed="rId16">
                            <a:extLst>
                              <a:ext uri="{28A0092B-C50C-407E-A947-70E740481C1C}">
                                <a14:useLocalDpi xmlns:a14="http://schemas.microsoft.com/office/drawing/2010/main" val="0"/>
                              </a:ext>
                            </a:extLst>
                          </a:blip>
                          <a:stretch>
                            <a:fillRect/>
                          </a:stretch>
                        </pic:blipFill>
                        <pic:spPr>
                          <a:xfrm>
                            <a:off x="0" y="0"/>
                            <a:ext cx="2886201" cy="2187437"/>
                          </a:xfrm>
                          <a:prstGeom prst="rect">
                            <a:avLst/>
                          </a:prstGeom>
                        </pic:spPr>
                      </pic:pic>
                    </a:graphicData>
                  </a:graphic>
                </wp:inline>
              </w:drawing>
            </w:r>
          </w:p>
        </w:tc>
      </w:tr>
    </w:tbl>
    <w:p w:rsidR="00071F2B" w:rsidRDefault="00071F2B" w:rsidP="003A1A69">
      <w:pPr>
        <w:pStyle w:val="MDFiguretitle"/>
      </w:pPr>
      <w:bookmarkStart w:id="55" w:name="_Ref492993542"/>
      <w:bookmarkStart w:id="56" w:name="_Toc501632420"/>
      <w:r>
        <w:t xml:space="preserve">Figure </w:t>
      </w:r>
      <w:r w:rsidR="0086184A">
        <w:rPr>
          <w:noProof/>
        </w:rPr>
        <w:t>1</w:t>
      </w:r>
      <w:bookmarkEnd w:id="55"/>
      <w:r>
        <w:t xml:space="preserve">: </w:t>
      </w:r>
      <w:r w:rsidR="00B32328">
        <w:t>C</w:t>
      </w:r>
      <w:r w:rsidRPr="003A4AEC">
        <w:t>umulative incidence of psoriatic arthritis</w:t>
      </w:r>
      <w:bookmarkEnd w:id="56"/>
      <w:r w:rsidRPr="003A4AEC">
        <w:t xml:space="preserve"> </w:t>
      </w:r>
    </w:p>
    <w:p w:rsidR="00071F2B" w:rsidRPr="00304385" w:rsidRDefault="00071F2B" w:rsidP="00071F2B">
      <w:pPr>
        <w:rPr>
          <w:rFonts w:cs="Times New Roman"/>
          <w:szCs w:val="24"/>
          <w:lang w:eastAsia="en-GB"/>
        </w:rPr>
      </w:pPr>
      <w:r w:rsidRPr="00304385">
        <w:rPr>
          <w:rFonts w:eastAsiaTheme="minorEastAsia" w:cs="Baskerville"/>
          <w:sz w:val="20"/>
          <w:szCs w:val="20"/>
          <w:lang w:eastAsia="en-GB"/>
        </w:rPr>
        <w:t xml:space="preserve">Source: </w:t>
      </w:r>
      <w:r>
        <w:rPr>
          <w:rFonts w:eastAsiaTheme="minorEastAsia" w:cs="Baskerville"/>
          <w:noProof/>
          <w:sz w:val="20"/>
          <w:szCs w:val="20"/>
          <w:lang w:eastAsia="en-GB"/>
        </w:rPr>
        <w:t>Wilson (2009)</w:t>
      </w:r>
    </w:p>
    <w:p w:rsidR="00071F2B" w:rsidRDefault="00071F2B" w:rsidP="00BC7A4D">
      <w:pPr>
        <w:rPr>
          <w:lang w:eastAsia="en-GB"/>
        </w:rPr>
      </w:pPr>
      <w:r w:rsidRPr="00304385">
        <w:rPr>
          <w:lang w:eastAsia="en-GB"/>
        </w:rPr>
        <w:t xml:space="preserve">Males had a higher cumulative incidence of </w:t>
      </w:r>
      <w:r w:rsidR="001803C6">
        <w:rPr>
          <w:lang w:eastAsia="en-GB"/>
        </w:rPr>
        <w:t>PsA</w:t>
      </w:r>
      <w:r w:rsidRPr="00304385">
        <w:rPr>
          <w:lang w:eastAsia="en-GB"/>
        </w:rPr>
        <w:t xml:space="preserve"> but this was not statistically significant (p</w:t>
      </w:r>
      <w:r>
        <w:rPr>
          <w:lang w:eastAsia="en-GB"/>
        </w:rPr>
        <w:t xml:space="preserve"> </w:t>
      </w:r>
      <w:r w:rsidRPr="00304385">
        <w:rPr>
          <w:lang w:eastAsia="en-GB"/>
        </w:rPr>
        <w:t>=</w:t>
      </w:r>
      <w:r>
        <w:rPr>
          <w:lang w:eastAsia="en-GB"/>
        </w:rPr>
        <w:t xml:space="preserve"> </w:t>
      </w:r>
      <w:r w:rsidRPr="00304385">
        <w:rPr>
          <w:lang w:eastAsia="en-GB"/>
        </w:rPr>
        <w:t xml:space="preserve">0.11). Patients with </w:t>
      </w:r>
      <w:r w:rsidR="00891E82">
        <w:rPr>
          <w:lang w:eastAsia="en-GB"/>
        </w:rPr>
        <w:t>CPP</w:t>
      </w:r>
      <w:r w:rsidRPr="00304385">
        <w:rPr>
          <w:lang w:eastAsia="en-GB"/>
        </w:rPr>
        <w:t xml:space="preserve"> had a higher incidence of </w:t>
      </w:r>
      <w:r w:rsidR="001803C6">
        <w:rPr>
          <w:lang w:eastAsia="en-GB"/>
        </w:rPr>
        <w:t>PsA</w:t>
      </w:r>
      <w:r w:rsidRPr="00304385">
        <w:rPr>
          <w:lang w:eastAsia="en-GB"/>
        </w:rPr>
        <w:t xml:space="preserve"> but it was</w:t>
      </w:r>
      <w:r>
        <w:rPr>
          <w:lang w:eastAsia="en-GB"/>
        </w:rPr>
        <w:t xml:space="preserve"> also</w:t>
      </w:r>
      <w:r w:rsidRPr="00304385">
        <w:rPr>
          <w:lang w:eastAsia="en-GB"/>
        </w:rPr>
        <w:t xml:space="preserve"> not statistically significant (HR: 1.72 (95%CI: 0.81, 3.63)). Patients with either psoriasis on the scalp, int</w:t>
      </w:r>
      <w:r w:rsidR="0009095A">
        <w:rPr>
          <w:lang w:eastAsia="en-GB"/>
        </w:rPr>
        <w:t>er</w:t>
      </w:r>
      <w:r w:rsidRPr="00304385">
        <w:rPr>
          <w:lang w:eastAsia="en-GB"/>
        </w:rPr>
        <w:t xml:space="preserve">gluteal/perianal </w:t>
      </w:r>
      <w:r w:rsidRPr="003A20F9">
        <w:rPr>
          <w:noProof/>
          <w:lang w:eastAsia="en-GB"/>
        </w:rPr>
        <w:t>areas,</w:t>
      </w:r>
      <w:r w:rsidRPr="00304385">
        <w:rPr>
          <w:lang w:eastAsia="en-GB"/>
        </w:rPr>
        <w:t xml:space="preserve"> or nail dystrophy had a significantly higher risk of developing </w:t>
      </w:r>
      <w:r w:rsidR="001803C6">
        <w:rPr>
          <w:lang w:eastAsia="en-GB"/>
        </w:rPr>
        <w:t>PsA</w:t>
      </w:r>
      <w:r w:rsidRPr="00304385">
        <w:rPr>
          <w:lang w:eastAsia="en-GB"/>
        </w:rPr>
        <w:t xml:space="preserve">. The study did not find higher rates of </w:t>
      </w:r>
      <w:r w:rsidR="001803C6">
        <w:rPr>
          <w:lang w:eastAsia="en-GB"/>
        </w:rPr>
        <w:t>PsA</w:t>
      </w:r>
      <w:r>
        <w:rPr>
          <w:lang w:eastAsia="en-GB"/>
        </w:rPr>
        <w:t xml:space="preserve"> for later cohorts</w:t>
      </w:r>
      <w:r w:rsidRPr="007D67F4">
        <w:rPr>
          <w:lang w:eastAsia="en-GB"/>
        </w:rPr>
        <w:t>.</w:t>
      </w:r>
      <w:r w:rsidR="00FB1688">
        <w:rPr>
          <w:noProof/>
          <w:lang w:eastAsia="en-GB"/>
        </w:rPr>
        <w:t>(</w:t>
      </w:r>
      <w:r w:rsidR="001B4738">
        <w:rPr>
          <w:noProof/>
          <w:lang w:eastAsia="en-GB"/>
        </w:rPr>
        <w:t>50</w:t>
      </w:r>
      <w:r w:rsidR="00FB1688">
        <w:rPr>
          <w:noProof/>
          <w:lang w:eastAsia="en-GB"/>
        </w:rPr>
        <w:t>)</w:t>
      </w:r>
    </w:p>
    <w:p w:rsidR="00BC7A4D" w:rsidRPr="00304385" w:rsidRDefault="00BC7A4D" w:rsidP="00BC7A4D">
      <w:pPr>
        <w:rPr>
          <w:lang w:eastAsia="en-GB"/>
        </w:rPr>
      </w:pPr>
      <w:r>
        <w:rPr>
          <w:lang w:eastAsia="en-GB"/>
        </w:rPr>
        <w:t>Overall, given the included studies, the estimated prevalence for PsA in patients with CPP is likely to be around 30%. This would put the population estimates for PsA to be between 10,000 and 1</w:t>
      </w:r>
      <w:r w:rsidR="0026374B">
        <w:rPr>
          <w:lang w:eastAsia="en-GB"/>
        </w:rPr>
        <w:t>6</w:t>
      </w:r>
      <w:r>
        <w:rPr>
          <w:lang w:eastAsia="en-GB"/>
        </w:rPr>
        <w:t>0,000 people</w:t>
      </w:r>
      <w:r w:rsidR="0026374B">
        <w:rPr>
          <w:lang w:eastAsia="en-GB"/>
        </w:rPr>
        <w:t xml:space="preserve"> who also have a PASI of 10 or greater</w:t>
      </w:r>
      <w:r>
        <w:rPr>
          <w:lang w:eastAsia="en-GB"/>
        </w:rPr>
        <w:t>.</w:t>
      </w:r>
    </w:p>
    <w:p w:rsidR="00071F2B" w:rsidRPr="00F73F7C" w:rsidRDefault="00071F2B" w:rsidP="002A6B78">
      <w:pPr>
        <w:pStyle w:val="MDSubheading"/>
      </w:pPr>
      <w:bookmarkStart w:id="57" w:name="_Toc493156396"/>
      <w:bookmarkStart w:id="58" w:name="_Toc501632372"/>
      <w:r>
        <w:t>3</w:t>
      </w:r>
      <w:r w:rsidRPr="00F73F7C">
        <w:t>.</w:t>
      </w:r>
      <w:r>
        <w:t>3</w:t>
      </w:r>
      <w:r w:rsidRPr="00F73F7C">
        <w:tab/>
      </w:r>
      <w:r>
        <w:t>PBS utilisation of biologics for the treatment of severe CPP</w:t>
      </w:r>
      <w:bookmarkEnd w:id="57"/>
      <w:bookmarkEnd w:id="58"/>
    </w:p>
    <w:p w:rsidR="00071F2B" w:rsidRPr="00B56B8E" w:rsidRDefault="009716A1" w:rsidP="00DF0266">
      <w:pPr>
        <w:pStyle w:val="Heading3"/>
        <w:spacing w:before="240" w:after="200"/>
        <w:rPr>
          <w:lang w:eastAsia="en-GB"/>
        </w:rPr>
      </w:pPr>
      <w:bookmarkStart w:id="59" w:name="_Toc501632373"/>
      <w:r>
        <w:rPr>
          <w:lang w:eastAsia="en-GB"/>
        </w:rPr>
        <w:t xml:space="preserve">3.3.1 </w:t>
      </w:r>
      <w:r w:rsidR="00071F2B">
        <w:rPr>
          <w:lang w:eastAsia="en-GB"/>
        </w:rPr>
        <w:t>Method</w:t>
      </w:r>
      <w:bookmarkEnd w:id="59"/>
      <w:r w:rsidR="00071F2B" w:rsidRPr="00B56B8E">
        <w:rPr>
          <w:lang w:eastAsia="en-GB"/>
        </w:rPr>
        <w:t xml:space="preserve"> </w:t>
      </w:r>
    </w:p>
    <w:p w:rsidR="00071F2B" w:rsidRPr="00A17BBF" w:rsidRDefault="00071F2B" w:rsidP="00071F2B">
      <w:r w:rsidRPr="00A17BBF">
        <w:t xml:space="preserve">An analysis of the </w:t>
      </w:r>
      <w:r w:rsidRPr="003A20F9">
        <w:rPr>
          <w:noProof/>
        </w:rPr>
        <w:t>utilisation</w:t>
      </w:r>
      <w:r w:rsidRPr="00A17BBF">
        <w:t xml:space="preserve"> of biologics for severe CPP was undertaken using prescription data from the Department of Human Services Supplied Prescriptions Database. </w:t>
      </w:r>
      <w:r w:rsidR="000E0AFC">
        <w:t>Dispensed</w:t>
      </w:r>
      <w:r w:rsidR="000E0AFC" w:rsidRPr="00A17BBF">
        <w:t xml:space="preserve"> </w:t>
      </w:r>
      <w:r w:rsidRPr="00A17BBF">
        <w:t>prescription data for biologics listed on the Pharmaceutical Benefits Scheme (PBS) for severe CPP were exacted for the period from 1 July 2013 to 31 December 2016</w:t>
      </w:r>
      <w:r w:rsidR="000E0AFC">
        <w:t xml:space="preserve"> based on the date of dispensing</w:t>
      </w:r>
      <w:r w:rsidRPr="00A17BBF">
        <w:t>. The data w</w:t>
      </w:r>
      <w:r w:rsidR="00BA6748">
        <w:t>ere</w:t>
      </w:r>
      <w:r w:rsidRPr="00A17BBF">
        <w:t xml:space="preserve"> extracted in May 2017. The supplied data file comprised of 119,933 dispensing records.</w:t>
      </w:r>
    </w:p>
    <w:p w:rsidR="00071F2B" w:rsidRPr="00A17BBF" w:rsidRDefault="00071F2B" w:rsidP="00071F2B">
      <w:r w:rsidRPr="00A17BBF">
        <w:t>The PBS dataset used in the analysis contained records for all PBS prescriptions of biologics for severe CPP (</w:t>
      </w:r>
      <w:r w:rsidR="0086184A" w:rsidRPr="00A17BBF">
        <w:t xml:space="preserve">Table </w:t>
      </w:r>
      <w:r w:rsidR="0086184A">
        <w:rPr>
          <w:noProof/>
        </w:rPr>
        <w:t>8</w:t>
      </w:r>
      <w:r w:rsidRPr="00A17BBF">
        <w:t xml:space="preserve">). PBS prescription data does not include private </w:t>
      </w:r>
      <w:r w:rsidRPr="003A20F9">
        <w:rPr>
          <w:noProof/>
        </w:rPr>
        <w:t>prescriptions</w:t>
      </w:r>
      <w:r w:rsidRPr="00A17BBF">
        <w:t xml:space="preserve"> </w:t>
      </w:r>
      <w:r w:rsidR="00EA1DE3">
        <w:t xml:space="preserve">  </w:t>
      </w:r>
      <w:r w:rsidRPr="00A17BBF">
        <w:t xml:space="preserve">or samples provided by industry. </w:t>
      </w:r>
      <w:r w:rsidRPr="003A20F9">
        <w:rPr>
          <w:noProof/>
        </w:rPr>
        <w:t>Patient</w:t>
      </w:r>
      <w:r w:rsidR="003F78CB">
        <w:rPr>
          <w:noProof/>
        </w:rPr>
        <w:t>-</w:t>
      </w:r>
      <w:r w:rsidRPr="003A20F9">
        <w:rPr>
          <w:noProof/>
        </w:rPr>
        <w:t>level</w:t>
      </w:r>
      <w:r w:rsidRPr="00A17BBF">
        <w:t xml:space="preserve"> analyses and counts of patients supplied biologics for CPP w</w:t>
      </w:r>
      <w:r w:rsidR="003F78CB">
        <w:t>ere</w:t>
      </w:r>
      <w:r w:rsidRPr="00A17BBF">
        <w:t xml:space="preserve"> conducted using </w:t>
      </w:r>
      <w:r w:rsidRPr="003A20F9">
        <w:rPr>
          <w:noProof/>
        </w:rPr>
        <w:t>person</w:t>
      </w:r>
      <w:r w:rsidR="003A20F9">
        <w:rPr>
          <w:noProof/>
        </w:rPr>
        <w:t xml:space="preserve"> </w:t>
      </w:r>
      <w:r w:rsidRPr="003A20F9">
        <w:rPr>
          <w:noProof/>
        </w:rPr>
        <w:t>specific</w:t>
      </w:r>
      <w:r w:rsidRPr="00A17BBF">
        <w:t xml:space="preserve"> numbers (non-identifying) in the data. New patients were counted from 1 July 2014 if they had not received a biologic for severe CPP since 1 July 2013. Prevalent patients were all patients who were supplied a biologic for severe CPP during the defined time period. </w:t>
      </w:r>
    </w:p>
    <w:p w:rsidR="00071F2B" w:rsidRPr="00A17BBF" w:rsidRDefault="00071F2B" w:rsidP="00DE2C99">
      <w:pPr>
        <w:pStyle w:val="MDTabCaption"/>
      </w:pPr>
      <w:bookmarkStart w:id="60" w:name="_Ref493148361"/>
      <w:bookmarkStart w:id="61" w:name="_Toc501632402"/>
      <w:r w:rsidRPr="00A17BBF">
        <w:t xml:space="preserve">Table </w:t>
      </w:r>
      <w:r w:rsidR="0086184A">
        <w:rPr>
          <w:noProof/>
        </w:rPr>
        <w:t>8</w:t>
      </w:r>
      <w:bookmarkEnd w:id="60"/>
      <w:r w:rsidRPr="00A17BBF">
        <w:t>: Biologics and item codes used for the extraction of PBS/RPBS prescription data</w:t>
      </w:r>
      <w:bookmarkEnd w:id="61"/>
    </w:p>
    <w:tbl>
      <w:tblPr>
        <w:tblStyle w:val="TableGrid"/>
        <w:tblW w:w="0" w:type="auto"/>
        <w:tblLook w:val="04A0" w:firstRow="1" w:lastRow="0" w:firstColumn="1" w:lastColumn="0" w:noHBand="0" w:noVBand="1"/>
        <w:tblCaption w:val="Biologics and item codes used for the extraction of PBS/RPBS prescription data"/>
      </w:tblPr>
      <w:tblGrid>
        <w:gridCol w:w="4508"/>
        <w:gridCol w:w="4508"/>
      </w:tblGrid>
      <w:tr w:rsidR="00071F2B" w:rsidRPr="00821369" w:rsidTr="00EB283E">
        <w:trPr>
          <w:tblHeader/>
        </w:trPr>
        <w:tc>
          <w:tcPr>
            <w:tcW w:w="4508" w:type="dxa"/>
            <w:shd w:val="clear" w:color="auto" w:fill="BFBFBF" w:themeFill="background1" w:themeFillShade="BF"/>
          </w:tcPr>
          <w:p w:rsidR="00071F2B" w:rsidRPr="00A17BBF" w:rsidRDefault="00071F2B" w:rsidP="00071F2B">
            <w:pPr>
              <w:keepNext/>
              <w:keepLines/>
              <w:spacing w:before="60" w:after="60"/>
              <w:rPr>
                <w:b/>
              </w:rPr>
            </w:pPr>
            <w:r w:rsidRPr="00A17BBF">
              <w:rPr>
                <w:b/>
              </w:rPr>
              <w:t>Biologic</w:t>
            </w:r>
          </w:p>
        </w:tc>
        <w:tc>
          <w:tcPr>
            <w:tcW w:w="4508" w:type="dxa"/>
            <w:shd w:val="clear" w:color="auto" w:fill="BFBFBF" w:themeFill="background1" w:themeFillShade="BF"/>
          </w:tcPr>
          <w:p w:rsidR="00071F2B" w:rsidRPr="00A17BBF" w:rsidRDefault="00071F2B" w:rsidP="00071F2B">
            <w:pPr>
              <w:keepNext/>
              <w:keepLines/>
              <w:spacing w:before="60" w:after="60"/>
              <w:rPr>
                <w:b/>
              </w:rPr>
            </w:pPr>
            <w:r w:rsidRPr="00A17BBF">
              <w:rPr>
                <w:b/>
              </w:rPr>
              <w:t>Item Code</w:t>
            </w:r>
          </w:p>
        </w:tc>
      </w:tr>
      <w:tr w:rsidR="00071F2B" w:rsidRPr="00821369" w:rsidTr="00071F2B">
        <w:tc>
          <w:tcPr>
            <w:tcW w:w="4508" w:type="dxa"/>
          </w:tcPr>
          <w:p w:rsidR="00071F2B" w:rsidRPr="00A17BBF" w:rsidRDefault="00071F2B" w:rsidP="00071F2B">
            <w:pPr>
              <w:keepNext/>
              <w:keepLines/>
              <w:spacing w:before="60" w:after="60"/>
            </w:pPr>
            <w:r w:rsidRPr="00A17BBF">
              <w:t>Adalimumab</w:t>
            </w:r>
          </w:p>
        </w:tc>
        <w:tc>
          <w:tcPr>
            <w:tcW w:w="4508" w:type="dxa"/>
          </w:tcPr>
          <w:p w:rsidR="00071F2B" w:rsidRPr="00A17BBF" w:rsidRDefault="00071F2B" w:rsidP="00071F2B">
            <w:pPr>
              <w:keepNext/>
              <w:keepLines/>
              <w:spacing w:before="60" w:after="60"/>
            </w:pPr>
            <w:r w:rsidRPr="00A17BBF">
              <w:t>9425C, 9426D, 9427E, 9428F</w:t>
            </w:r>
          </w:p>
        </w:tc>
      </w:tr>
      <w:tr w:rsidR="00071F2B" w:rsidRPr="00821369" w:rsidTr="00071F2B">
        <w:tc>
          <w:tcPr>
            <w:tcW w:w="4508" w:type="dxa"/>
          </w:tcPr>
          <w:p w:rsidR="00071F2B" w:rsidRPr="00394001" w:rsidRDefault="00071F2B" w:rsidP="00071F2B">
            <w:pPr>
              <w:keepNext/>
              <w:keepLines/>
              <w:spacing w:before="60" w:after="60"/>
            </w:pPr>
            <w:r w:rsidRPr="00394001">
              <w:t>Etanercept</w:t>
            </w:r>
          </w:p>
        </w:tc>
        <w:tc>
          <w:tcPr>
            <w:tcW w:w="4508" w:type="dxa"/>
          </w:tcPr>
          <w:p w:rsidR="002172BA" w:rsidRDefault="00071F2B" w:rsidP="002172BA">
            <w:pPr>
              <w:keepNext/>
              <w:keepLines/>
              <w:spacing w:before="60" w:after="60"/>
            </w:pPr>
            <w:r w:rsidRPr="00394001">
              <w:t>1954W, 1963H, 1964</w:t>
            </w:r>
            <w:r w:rsidR="002172BA">
              <w:t>J</w:t>
            </w:r>
            <w:r w:rsidRPr="00394001">
              <w:t xml:space="preserve">, 9037P, 9091L, 9429G, </w:t>
            </w:r>
          </w:p>
          <w:p w:rsidR="00071F2B" w:rsidRPr="00394001" w:rsidRDefault="00071F2B" w:rsidP="002172BA">
            <w:pPr>
              <w:keepNext/>
              <w:keepLines/>
              <w:spacing w:before="60" w:after="60"/>
            </w:pPr>
            <w:r w:rsidRPr="00394001">
              <w:t>943</w:t>
            </w:r>
            <w:r w:rsidR="002172BA">
              <w:t>1</w:t>
            </w:r>
            <w:r w:rsidRPr="00394001">
              <w:t>J, 9461Y, 9462B</w:t>
            </w:r>
          </w:p>
        </w:tc>
      </w:tr>
      <w:tr w:rsidR="00071F2B" w:rsidRPr="00821369" w:rsidTr="00071F2B">
        <w:tc>
          <w:tcPr>
            <w:tcW w:w="4508" w:type="dxa"/>
          </w:tcPr>
          <w:p w:rsidR="00071F2B" w:rsidRPr="00394001" w:rsidRDefault="00071F2B" w:rsidP="00071F2B">
            <w:pPr>
              <w:keepNext/>
              <w:keepLines/>
              <w:spacing w:before="60" w:after="60"/>
            </w:pPr>
            <w:r w:rsidRPr="00394001">
              <w:t>Infliximab</w:t>
            </w:r>
          </w:p>
        </w:tc>
        <w:tc>
          <w:tcPr>
            <w:tcW w:w="4508" w:type="dxa"/>
          </w:tcPr>
          <w:p w:rsidR="00071F2B" w:rsidRPr="00394001" w:rsidRDefault="00071F2B" w:rsidP="00071F2B">
            <w:pPr>
              <w:keepNext/>
              <w:keepLines/>
              <w:spacing w:before="60" w:after="60"/>
            </w:pPr>
            <w:r w:rsidRPr="00394001">
              <w:t>5758C, 9617E</w:t>
            </w:r>
          </w:p>
        </w:tc>
      </w:tr>
      <w:tr w:rsidR="00071F2B" w:rsidRPr="00821369" w:rsidTr="00071F2B">
        <w:tc>
          <w:tcPr>
            <w:tcW w:w="4508" w:type="dxa"/>
          </w:tcPr>
          <w:p w:rsidR="00071F2B" w:rsidRPr="00394001" w:rsidRDefault="00071F2B" w:rsidP="00071F2B">
            <w:pPr>
              <w:keepNext/>
              <w:keepLines/>
              <w:spacing w:before="60" w:after="60"/>
            </w:pPr>
            <w:r w:rsidRPr="00394001">
              <w:t>Ustekinumab</w:t>
            </w:r>
          </w:p>
        </w:tc>
        <w:tc>
          <w:tcPr>
            <w:tcW w:w="4508" w:type="dxa"/>
          </w:tcPr>
          <w:p w:rsidR="00071F2B" w:rsidRPr="00394001" w:rsidRDefault="00071F2B" w:rsidP="00071F2B">
            <w:pPr>
              <w:keepNext/>
              <w:keepLines/>
              <w:spacing w:before="60" w:after="60"/>
            </w:pPr>
            <w:r w:rsidRPr="00394001">
              <w:t>9304Q, 9305R</w:t>
            </w:r>
          </w:p>
        </w:tc>
      </w:tr>
      <w:tr w:rsidR="00071F2B" w:rsidRPr="00821369" w:rsidTr="00071F2B">
        <w:tc>
          <w:tcPr>
            <w:tcW w:w="4508" w:type="dxa"/>
          </w:tcPr>
          <w:p w:rsidR="00071F2B" w:rsidRPr="00394001" w:rsidRDefault="00071F2B" w:rsidP="00071F2B">
            <w:pPr>
              <w:keepNext/>
              <w:keepLines/>
              <w:spacing w:before="60" w:after="60"/>
            </w:pPr>
            <w:r w:rsidRPr="00394001">
              <w:t>Secukinumab</w:t>
            </w:r>
          </w:p>
        </w:tc>
        <w:tc>
          <w:tcPr>
            <w:tcW w:w="4508" w:type="dxa"/>
          </w:tcPr>
          <w:p w:rsidR="00071F2B" w:rsidRPr="00394001" w:rsidRDefault="00071F2B" w:rsidP="00071F2B">
            <w:pPr>
              <w:keepNext/>
              <w:keepLines/>
              <w:spacing w:before="60" w:after="60"/>
            </w:pPr>
            <w:r w:rsidRPr="00394001">
              <w:t>10425Q, 10494H, 10910F</w:t>
            </w:r>
          </w:p>
        </w:tc>
      </w:tr>
    </w:tbl>
    <w:p w:rsidR="00071F2B" w:rsidRDefault="00071F2B" w:rsidP="00071F2B">
      <w:pPr>
        <w:pStyle w:val="TableFootnote0"/>
      </w:pPr>
      <w:r>
        <w:t xml:space="preserve">Note: </w:t>
      </w:r>
      <w:r w:rsidRPr="00CC327F">
        <w:t>Ixekizumab was not listed until February 2017 and was there</w:t>
      </w:r>
      <w:r>
        <w:t xml:space="preserve">fore not included in the analysis. </w:t>
      </w:r>
    </w:p>
    <w:p w:rsidR="00071F2B" w:rsidRDefault="00071F2B" w:rsidP="00071F2B">
      <w:r w:rsidRPr="00FC6823">
        <w:t xml:space="preserve">The data also included the authority approval restriction from the DHS Authority approvals database. Prescriptions were matched to the authority approval based on the </w:t>
      </w:r>
      <w:r w:rsidRPr="003A20F9">
        <w:rPr>
          <w:noProof/>
        </w:rPr>
        <w:t>person specific</w:t>
      </w:r>
      <w:r w:rsidRPr="00FC6823">
        <w:t xml:space="preserve"> numbers.  The authority restriction code was available for 91% of </w:t>
      </w:r>
      <w:r w:rsidRPr="003A20F9">
        <w:rPr>
          <w:noProof/>
        </w:rPr>
        <w:t>prescriptions</w:t>
      </w:r>
      <w:r w:rsidRPr="00FC6823">
        <w:t xml:space="preserve">. </w:t>
      </w:r>
    </w:p>
    <w:p w:rsidR="00C47DFD" w:rsidRPr="00FC6823" w:rsidRDefault="00B274E7" w:rsidP="00071F2B">
      <w:r>
        <w:t>P</w:t>
      </w:r>
      <w:r w:rsidR="00C47DFD" w:rsidRPr="000309A3">
        <w:t>atient postcode data from 2016 was used to analyse utilisation by geograph</w:t>
      </w:r>
      <w:r w:rsidR="00011A3B">
        <w:t>ical location</w:t>
      </w:r>
      <w:r w:rsidR="00C47DFD" w:rsidRPr="000309A3">
        <w:t xml:space="preserve">. Patient postcode from the first biologic prescription they received in 2016 was mapped to ABS Statistical Areas Level 4 (SA4) using the ABS’s Postcode 2016 to Statistical Area Level 4 2016 correspondence table. </w:t>
      </w:r>
      <w:r w:rsidR="00C47DFD">
        <w:t>P</w:t>
      </w:r>
      <w:r w:rsidR="00C47DFD" w:rsidRPr="000309A3">
        <w:t xml:space="preserve">ostcodes to SA4s </w:t>
      </w:r>
      <w:r w:rsidR="00C47DFD">
        <w:t>mapping was</w:t>
      </w:r>
      <w:r w:rsidR="00C47DFD" w:rsidRPr="000309A3">
        <w:t xml:space="preserve"> considered</w:t>
      </w:r>
      <w:r w:rsidR="00C47DFD">
        <w:t xml:space="preserve"> appropriate as they are well correlated</w:t>
      </w:r>
      <w:r w:rsidR="00C47DFD" w:rsidRPr="000309A3">
        <w:t>.</w:t>
      </w:r>
      <w:r w:rsidR="00FB1688">
        <w:rPr>
          <w:noProof/>
        </w:rPr>
        <w:t>(</w:t>
      </w:r>
      <w:r w:rsidR="001B4738">
        <w:rPr>
          <w:noProof/>
        </w:rPr>
        <w:t>51</w:t>
      </w:r>
      <w:r w:rsidR="00FB1688">
        <w:rPr>
          <w:noProof/>
        </w:rPr>
        <w:t>)</w:t>
      </w:r>
      <w:r w:rsidR="00C47DFD" w:rsidRPr="000309A3">
        <w:t xml:space="preserve"> Where a postcode area was a part of more than one SA4, it was attributed to the SA4 to which the </w:t>
      </w:r>
      <w:r w:rsidR="00C47DFD" w:rsidRPr="003A20F9">
        <w:rPr>
          <w:noProof/>
        </w:rPr>
        <w:t>largest</w:t>
      </w:r>
      <w:r w:rsidR="00C47DFD" w:rsidRPr="000309A3">
        <w:t xml:space="preserve"> proportion of the postcode corresponded. </w:t>
      </w:r>
      <w:r w:rsidR="00C47DFD" w:rsidRPr="00EC18FC">
        <w:t xml:space="preserve">SA4s have populations of at least </w:t>
      </w:r>
      <w:r w:rsidR="00C47DFD" w:rsidRPr="003A20F9">
        <w:rPr>
          <w:noProof/>
        </w:rPr>
        <w:t>100,000</w:t>
      </w:r>
      <w:r w:rsidR="00C47DFD" w:rsidRPr="00EC18FC">
        <w:t xml:space="preserve"> and metropolitan SA4s have </w:t>
      </w:r>
      <w:r w:rsidR="00C47DFD" w:rsidRPr="003A20F9">
        <w:rPr>
          <w:noProof/>
        </w:rPr>
        <w:t>populations</w:t>
      </w:r>
      <w:r w:rsidR="00C47DFD" w:rsidRPr="00EC18FC">
        <w:t xml:space="preserve"> of up to 500,000. Whole SA4s aggregate to Greater Capital City Statistical Areas.</w:t>
      </w:r>
      <w:r w:rsidR="00FB1688">
        <w:rPr>
          <w:noProof/>
        </w:rPr>
        <w:t>(</w:t>
      </w:r>
      <w:r w:rsidR="001B4738">
        <w:rPr>
          <w:noProof/>
        </w:rPr>
        <w:t>52</w:t>
      </w:r>
      <w:r w:rsidR="00FB1688">
        <w:rPr>
          <w:noProof/>
        </w:rPr>
        <w:t>)</w:t>
      </w:r>
      <w:r w:rsidR="00C47DFD" w:rsidRPr="00EC18FC">
        <w:t xml:space="preserve"> A small number of postcodes corresponding to post office postcodes were reclassified to the postcode of the suburb in which the post office was located. The 2016 population of SA4s were derived from the ABS Regional Population Growth data for 2016 (March 2017 release). Analyses by geography were </w:t>
      </w:r>
      <w:r w:rsidR="0057161A">
        <w:t>a</w:t>
      </w:r>
      <w:r w:rsidR="003E6EB8">
        <w:t>ge</w:t>
      </w:r>
      <w:r w:rsidR="003E6EB8">
        <w:noBreakHyphen/>
        <w:t>a</w:t>
      </w:r>
      <w:r w:rsidR="0057161A">
        <w:t xml:space="preserve">djusted to the 2016 Australian population. </w:t>
      </w:r>
    </w:p>
    <w:p w:rsidR="009530C6" w:rsidRPr="00FD32F4" w:rsidRDefault="009530C6" w:rsidP="00AE33E4">
      <w:pPr>
        <w:pStyle w:val="MDsubHead3"/>
      </w:pPr>
      <w:r w:rsidRPr="00FD32F4">
        <w:t xml:space="preserve">Treatment persistence and rates of switching amongst </w:t>
      </w:r>
      <w:r w:rsidR="00675ED6">
        <w:t>new users</w:t>
      </w:r>
    </w:p>
    <w:p w:rsidR="00071F2B" w:rsidRPr="00C16E43" w:rsidRDefault="00071F2B" w:rsidP="00071F2B">
      <w:r w:rsidRPr="00C16E43">
        <w:t>Time-to-event analys</w:t>
      </w:r>
      <w:r w:rsidR="003A20F9">
        <w:t>es</w:t>
      </w:r>
      <w:r w:rsidRPr="00C16E43">
        <w:t xml:space="preserve"> (survival analys</w:t>
      </w:r>
      <w:r w:rsidR="003A20F9">
        <w:t>es</w:t>
      </w:r>
      <w:r w:rsidRPr="00C16E43">
        <w:t xml:space="preserve">) </w:t>
      </w:r>
      <w:r w:rsidRPr="003A20F9">
        <w:rPr>
          <w:noProof/>
        </w:rPr>
        <w:t>w</w:t>
      </w:r>
      <w:r w:rsidR="003A20F9">
        <w:rPr>
          <w:noProof/>
        </w:rPr>
        <w:t>ere</w:t>
      </w:r>
      <w:r w:rsidRPr="00C16E43">
        <w:t xml:space="preserve"> performed to analyse the length of time patients spend on continuous treatment </w:t>
      </w:r>
      <w:r>
        <w:t xml:space="preserve">with </w:t>
      </w:r>
      <w:r w:rsidRPr="00C16E43">
        <w:t xml:space="preserve">biologics prior to discontinuing </w:t>
      </w:r>
      <w:r w:rsidRPr="003A20F9">
        <w:rPr>
          <w:noProof/>
        </w:rPr>
        <w:t>treatment</w:t>
      </w:r>
      <w:r w:rsidRPr="00C16E43">
        <w:t xml:space="preserve"> or switching to a different biologic. These analyses were performed on a cohort of </w:t>
      </w:r>
      <w:r w:rsidR="00675ED6">
        <w:t>new users</w:t>
      </w:r>
      <w:r w:rsidRPr="00C16E43">
        <w:t xml:space="preserve"> and who had a minimum follow-up of 18 months in the data. This limited the </w:t>
      </w:r>
      <w:r w:rsidRPr="003A20F9">
        <w:rPr>
          <w:noProof/>
        </w:rPr>
        <w:t>eligible</w:t>
      </w:r>
      <w:r w:rsidRPr="00C16E43">
        <w:t xml:space="preserve"> patient cohort to patients who had their first biologic dispensing for severe CPP from 1 July 2014 and 30 June 2015.</w:t>
      </w:r>
    </w:p>
    <w:p w:rsidR="00071F2B" w:rsidRPr="00C16E43" w:rsidRDefault="00071F2B" w:rsidP="00071F2B">
      <w:r w:rsidRPr="00C16E43">
        <w:t xml:space="preserve">The analysis excluded a small number of patients (fewer than five) because they were supplied different biologics for severe CPP on the same day. The cohort analysed for the time-to-event analyses consisted of 778 patients. These patients were followed up for exactly 18 months. Supplementary </w:t>
      </w:r>
      <w:r w:rsidRPr="003A20F9">
        <w:rPr>
          <w:noProof/>
        </w:rPr>
        <w:t>analyses</w:t>
      </w:r>
      <w:r w:rsidRPr="00C16E43">
        <w:t xml:space="preserve"> that followed up patients until the end of the data period (31</w:t>
      </w:r>
      <w:r w:rsidRPr="00C16E43">
        <w:rPr>
          <w:vertAlign w:val="superscript"/>
        </w:rPr>
        <w:t xml:space="preserve"> </w:t>
      </w:r>
      <w:r w:rsidRPr="00C16E43">
        <w:t xml:space="preserve">December 2016) or the event of interest is presented in </w:t>
      </w:r>
      <w:r w:rsidR="0086184A" w:rsidRPr="004A1880">
        <w:t xml:space="preserve">Appendix </w:t>
      </w:r>
      <w:r w:rsidR="0086184A">
        <w:t>C</w:t>
      </w:r>
      <w:r w:rsidR="0086184A" w:rsidRPr="004A1880">
        <w:t xml:space="preserve"> – </w:t>
      </w:r>
      <w:r w:rsidR="0086184A">
        <w:t xml:space="preserve">ToR 3: </w:t>
      </w:r>
      <w:r w:rsidR="0086184A" w:rsidRPr="004A1880">
        <w:t>PBS utilisation analysis</w:t>
      </w:r>
      <w:r w:rsidRPr="00C16E43">
        <w:t xml:space="preserve">. There was little difference between the two methods. To avoid any bias in cohort comparison due to unequal follow-up, only the results where patients had </w:t>
      </w:r>
      <w:r w:rsidRPr="003A20F9">
        <w:rPr>
          <w:noProof/>
        </w:rPr>
        <w:t>an equal</w:t>
      </w:r>
      <w:r w:rsidRPr="00C16E43">
        <w:t xml:space="preserve"> follow-up of 18 months are presented in the main body.</w:t>
      </w:r>
    </w:p>
    <w:p w:rsidR="00071F2B" w:rsidRPr="00C964F3" w:rsidRDefault="0086184A" w:rsidP="00071F2B">
      <w:r>
        <w:t xml:space="preserve">Figure </w:t>
      </w:r>
      <w:r>
        <w:rPr>
          <w:noProof/>
        </w:rPr>
        <w:t>2</w:t>
      </w:r>
      <w:r w:rsidR="00071F2B" w:rsidRPr="00C964F3">
        <w:t xml:space="preserve"> summarises the </w:t>
      </w:r>
      <w:r w:rsidR="00071F2B" w:rsidRPr="003A20F9">
        <w:rPr>
          <w:noProof/>
        </w:rPr>
        <w:t>eligible</w:t>
      </w:r>
      <w:r w:rsidR="00071F2B" w:rsidRPr="00C964F3">
        <w:t xml:space="preserve"> patient criteria for the analysis.</w:t>
      </w:r>
    </w:p>
    <w:p w:rsidR="00071F2B" w:rsidRPr="00FC6823" w:rsidRDefault="00071F2B" w:rsidP="00071F2B">
      <w:pPr>
        <w:pStyle w:val="Figure"/>
      </w:pPr>
      <w:r w:rsidRPr="00813F58">
        <w:rPr>
          <w:noProof/>
        </w:rPr>
        <w:drawing>
          <wp:inline distT="0" distB="0" distL="0" distR="0" wp14:anchorId="2E7C49AA" wp14:editId="7122B7C7">
            <wp:extent cx="5731510" cy="3516630"/>
            <wp:effectExtent l="19050" t="19050" r="21590" b="26670"/>
            <wp:docPr id="17" name="Picture 17" title="The figures presents the eligible patient criteria for the analy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Biologics\Patient flow chart.tif"/>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31510" cy="3516630"/>
                    </a:xfrm>
                    <a:prstGeom prst="rect">
                      <a:avLst/>
                    </a:prstGeom>
                    <a:noFill/>
                    <a:ln>
                      <a:solidFill>
                        <a:schemeClr val="tx1"/>
                      </a:solidFill>
                    </a:ln>
                  </pic:spPr>
                </pic:pic>
              </a:graphicData>
            </a:graphic>
          </wp:inline>
        </w:drawing>
      </w:r>
    </w:p>
    <w:p w:rsidR="00071F2B" w:rsidRDefault="00071F2B" w:rsidP="00071F2B">
      <w:pPr>
        <w:pStyle w:val="Figure"/>
      </w:pPr>
      <w:bookmarkStart w:id="62" w:name="_Ref492985192"/>
      <w:bookmarkStart w:id="63" w:name="_Toc501632421"/>
      <w:r>
        <w:t xml:space="preserve">Figure </w:t>
      </w:r>
      <w:r w:rsidR="0086184A">
        <w:rPr>
          <w:noProof/>
        </w:rPr>
        <w:t>2</w:t>
      </w:r>
      <w:bookmarkEnd w:id="62"/>
      <w:r>
        <w:t xml:space="preserve">: </w:t>
      </w:r>
      <w:r w:rsidRPr="00BF073E">
        <w:t>Patient cohort flow diagram</w:t>
      </w:r>
      <w:bookmarkEnd w:id="63"/>
    </w:p>
    <w:p w:rsidR="00071F2B" w:rsidRPr="0068187D" w:rsidRDefault="00071F2B" w:rsidP="00071F2B">
      <w:r w:rsidRPr="0068187D">
        <w:t>Standard prescription coverage days (SCDs) were estimated to calculate the number of days of treatment coverage provided by a prescription for each biologic. SCDs were calculated using the median time-to-refill for each biologic using data for all biologics that were refilled between 1 July 2013 and 31 December 2016 (see</w:t>
      </w:r>
      <w:r>
        <w:t xml:space="preserve"> </w:t>
      </w:r>
      <w:r w:rsidR="0086184A">
        <w:t xml:space="preserve">Table </w:t>
      </w:r>
      <w:r w:rsidR="0086184A">
        <w:rPr>
          <w:noProof/>
        </w:rPr>
        <w:t>9</w:t>
      </w:r>
      <w:r w:rsidRPr="0068187D">
        <w:t>).</w:t>
      </w:r>
      <w:r>
        <w:t xml:space="preserve"> SCDs were </w:t>
      </w:r>
      <w:r w:rsidRPr="007F2442">
        <w:t xml:space="preserve">adjusted for </w:t>
      </w:r>
      <w:r w:rsidRPr="003A20F9">
        <w:rPr>
          <w:noProof/>
        </w:rPr>
        <w:t>stockpiling</w:t>
      </w:r>
      <w:r w:rsidRPr="007F2442">
        <w:t xml:space="preserve"> and switching between biologics</w:t>
      </w:r>
      <w:r>
        <w:t xml:space="preserve"> </w:t>
      </w:r>
    </w:p>
    <w:p w:rsidR="00071F2B" w:rsidRPr="00EC18FC" w:rsidRDefault="00071F2B" w:rsidP="00EE6582">
      <w:pPr>
        <w:pStyle w:val="MDTabCaption"/>
        <w:keepLines/>
      </w:pPr>
      <w:bookmarkStart w:id="64" w:name="_Ref492985633"/>
      <w:bookmarkStart w:id="65" w:name="_Ref492985627"/>
      <w:bookmarkStart w:id="66" w:name="_Toc501632403"/>
      <w:r>
        <w:t xml:space="preserve">Table </w:t>
      </w:r>
      <w:r w:rsidR="0086184A">
        <w:rPr>
          <w:noProof/>
        </w:rPr>
        <w:t>9</w:t>
      </w:r>
      <w:bookmarkEnd w:id="64"/>
      <w:r>
        <w:t xml:space="preserve">: </w:t>
      </w:r>
      <w:r w:rsidRPr="00982FA6">
        <w:t xml:space="preserve">Standard prescription coverage days calculated from the </w:t>
      </w:r>
      <w:bookmarkEnd w:id="65"/>
      <w:r w:rsidR="001615D7">
        <w:t>prescription data</w:t>
      </w:r>
      <w:bookmarkEnd w:id="66"/>
    </w:p>
    <w:tbl>
      <w:tblPr>
        <w:tblStyle w:val="TableGrid"/>
        <w:tblW w:w="8642" w:type="dxa"/>
        <w:tblLook w:val="04A0" w:firstRow="1" w:lastRow="0" w:firstColumn="1" w:lastColumn="0" w:noHBand="0" w:noVBand="1"/>
        <w:tblCaption w:val="Standard prescription coverage days calculated from the prescription data"/>
      </w:tblPr>
      <w:tblGrid>
        <w:gridCol w:w="2405"/>
        <w:gridCol w:w="2552"/>
        <w:gridCol w:w="3685"/>
      </w:tblGrid>
      <w:tr w:rsidR="00071F2B" w:rsidRPr="00245AA8" w:rsidTr="00EB283E">
        <w:trPr>
          <w:trHeight w:val="136"/>
          <w:tblHeader/>
        </w:trPr>
        <w:tc>
          <w:tcPr>
            <w:tcW w:w="2405" w:type="dxa"/>
            <w:shd w:val="clear" w:color="auto" w:fill="BFBFBF" w:themeFill="background1" w:themeFillShade="BF"/>
          </w:tcPr>
          <w:p w:rsidR="00071F2B" w:rsidRPr="00115DC0" w:rsidRDefault="00071F2B" w:rsidP="00EE6582">
            <w:pPr>
              <w:pStyle w:val="Tableheading-row"/>
              <w:keepNext/>
              <w:keepLines/>
              <w:rPr>
                <w:rFonts w:eastAsia="MS Mincho"/>
                <w:lang w:eastAsia="en-GB"/>
              </w:rPr>
            </w:pPr>
            <w:r w:rsidRPr="00115DC0">
              <w:rPr>
                <w:rFonts w:eastAsia="MS Mincho"/>
                <w:lang w:eastAsia="en-GB"/>
              </w:rPr>
              <w:t xml:space="preserve">Biologic </w:t>
            </w:r>
          </w:p>
        </w:tc>
        <w:tc>
          <w:tcPr>
            <w:tcW w:w="2552" w:type="dxa"/>
            <w:shd w:val="clear" w:color="auto" w:fill="BFBFBF" w:themeFill="background1" w:themeFillShade="BF"/>
          </w:tcPr>
          <w:p w:rsidR="00071F2B" w:rsidRPr="00115DC0" w:rsidRDefault="00071F2B" w:rsidP="00EE6582">
            <w:pPr>
              <w:pStyle w:val="Tableheading-row"/>
              <w:keepNext/>
              <w:keepLines/>
              <w:rPr>
                <w:rFonts w:eastAsia="MS Mincho"/>
                <w:lang w:eastAsia="en-GB"/>
              </w:rPr>
            </w:pPr>
            <w:r w:rsidRPr="00115DC0">
              <w:rPr>
                <w:rFonts w:eastAsia="MS Mincho"/>
                <w:lang w:eastAsia="en-GB"/>
              </w:rPr>
              <w:t>SCDs</w:t>
            </w:r>
            <w:r w:rsidR="001B5018" w:rsidRPr="00115DC0">
              <w:rPr>
                <w:rFonts w:eastAsia="MS Mincho"/>
                <w:lang w:eastAsia="en-GB"/>
              </w:rPr>
              <w:t xml:space="preserve"> (days)</w:t>
            </w:r>
          </w:p>
        </w:tc>
        <w:tc>
          <w:tcPr>
            <w:tcW w:w="3685" w:type="dxa"/>
            <w:shd w:val="clear" w:color="auto" w:fill="BFBFBF" w:themeFill="background1" w:themeFillShade="BF"/>
          </w:tcPr>
          <w:p w:rsidR="00071F2B" w:rsidRPr="00115DC0" w:rsidRDefault="00071F2B" w:rsidP="00EE6582">
            <w:pPr>
              <w:pStyle w:val="Tableheading-row"/>
              <w:keepNext/>
              <w:keepLines/>
              <w:rPr>
                <w:rFonts w:eastAsia="MS Mincho"/>
                <w:lang w:eastAsia="en-GB"/>
              </w:rPr>
            </w:pPr>
            <w:r w:rsidRPr="00115DC0">
              <w:rPr>
                <w:rFonts w:eastAsia="MS Mincho"/>
                <w:lang w:eastAsia="en-GB"/>
              </w:rPr>
              <w:t xml:space="preserve">2 x </w:t>
            </w:r>
            <w:r w:rsidRPr="00115DC0">
              <w:rPr>
                <w:rFonts w:eastAsia="MS Mincho"/>
              </w:rPr>
              <w:t>SCDs</w:t>
            </w:r>
            <w:r w:rsidR="001B5018" w:rsidRPr="00115DC0">
              <w:rPr>
                <w:rFonts w:eastAsia="MS Mincho"/>
              </w:rPr>
              <w:t xml:space="preserve"> (days)</w:t>
            </w:r>
          </w:p>
        </w:tc>
      </w:tr>
      <w:tr w:rsidR="00071F2B" w:rsidRPr="00245AA8" w:rsidTr="00071F2B">
        <w:trPr>
          <w:trHeight w:val="13"/>
        </w:trPr>
        <w:tc>
          <w:tcPr>
            <w:tcW w:w="2405" w:type="dxa"/>
          </w:tcPr>
          <w:p w:rsidR="00071F2B" w:rsidRPr="00EC18FC" w:rsidRDefault="00071F2B" w:rsidP="00EE6582">
            <w:pPr>
              <w:pStyle w:val="Tabletext0"/>
              <w:keepNext/>
              <w:keepLines/>
              <w:rPr>
                <w:rFonts w:eastAsia="MS Mincho"/>
                <w:lang w:eastAsia="en-GB"/>
              </w:rPr>
            </w:pPr>
            <w:r w:rsidRPr="00EC18FC">
              <w:t>Adalimumab</w:t>
            </w:r>
          </w:p>
        </w:tc>
        <w:tc>
          <w:tcPr>
            <w:tcW w:w="2552" w:type="dxa"/>
          </w:tcPr>
          <w:p w:rsidR="00071F2B" w:rsidRPr="00EC18FC" w:rsidRDefault="00071F2B" w:rsidP="00EE6582">
            <w:pPr>
              <w:pStyle w:val="Tabletext0"/>
              <w:keepNext/>
              <w:keepLines/>
              <w:rPr>
                <w:rFonts w:eastAsia="MS Mincho"/>
                <w:lang w:eastAsia="en-GB"/>
              </w:rPr>
            </w:pPr>
            <w:r w:rsidRPr="00EC18FC">
              <w:rPr>
                <w:rFonts w:eastAsia="MS Mincho"/>
                <w:lang w:eastAsia="en-GB"/>
              </w:rPr>
              <w:t>28</w:t>
            </w:r>
          </w:p>
        </w:tc>
        <w:tc>
          <w:tcPr>
            <w:tcW w:w="3685" w:type="dxa"/>
          </w:tcPr>
          <w:p w:rsidR="00071F2B" w:rsidRPr="00EC18FC" w:rsidRDefault="00071F2B" w:rsidP="00EE6582">
            <w:pPr>
              <w:pStyle w:val="Tabletext0"/>
              <w:keepNext/>
              <w:keepLines/>
              <w:rPr>
                <w:rFonts w:eastAsia="MS Mincho"/>
                <w:lang w:eastAsia="en-GB"/>
              </w:rPr>
            </w:pPr>
            <w:r w:rsidRPr="00EC18FC">
              <w:rPr>
                <w:rFonts w:eastAsia="MS Mincho"/>
                <w:lang w:eastAsia="en-GB"/>
              </w:rPr>
              <w:t>56</w:t>
            </w:r>
          </w:p>
        </w:tc>
      </w:tr>
      <w:tr w:rsidR="00071F2B" w:rsidRPr="00245AA8" w:rsidTr="00071F2B">
        <w:trPr>
          <w:trHeight w:val="13"/>
        </w:trPr>
        <w:tc>
          <w:tcPr>
            <w:tcW w:w="2405" w:type="dxa"/>
          </w:tcPr>
          <w:p w:rsidR="00071F2B" w:rsidRPr="00EC18FC" w:rsidRDefault="00071F2B" w:rsidP="00EE6582">
            <w:pPr>
              <w:pStyle w:val="Tabletext0"/>
              <w:keepNext/>
              <w:keepLines/>
              <w:rPr>
                <w:rFonts w:eastAsia="MS Mincho"/>
                <w:lang w:eastAsia="en-GB"/>
              </w:rPr>
            </w:pPr>
            <w:r w:rsidRPr="00EC18FC">
              <w:t>Etanercept</w:t>
            </w:r>
          </w:p>
        </w:tc>
        <w:tc>
          <w:tcPr>
            <w:tcW w:w="2552" w:type="dxa"/>
          </w:tcPr>
          <w:p w:rsidR="00071F2B" w:rsidRPr="00EC18FC" w:rsidRDefault="00071F2B" w:rsidP="00EE6582">
            <w:pPr>
              <w:pStyle w:val="Tabletext0"/>
              <w:keepNext/>
              <w:keepLines/>
              <w:rPr>
                <w:rFonts w:eastAsia="MS Mincho"/>
                <w:lang w:eastAsia="en-GB"/>
              </w:rPr>
            </w:pPr>
            <w:r w:rsidRPr="00EC18FC">
              <w:rPr>
                <w:rFonts w:eastAsia="MS Mincho"/>
                <w:lang w:eastAsia="en-GB"/>
              </w:rPr>
              <w:t>29</w:t>
            </w:r>
          </w:p>
        </w:tc>
        <w:tc>
          <w:tcPr>
            <w:tcW w:w="3685" w:type="dxa"/>
          </w:tcPr>
          <w:p w:rsidR="00071F2B" w:rsidRPr="00EC18FC" w:rsidRDefault="00071F2B" w:rsidP="00EE6582">
            <w:pPr>
              <w:pStyle w:val="Tabletext0"/>
              <w:keepNext/>
              <w:keepLines/>
              <w:rPr>
                <w:rFonts w:eastAsia="MS Mincho"/>
                <w:lang w:eastAsia="en-GB"/>
              </w:rPr>
            </w:pPr>
            <w:r w:rsidRPr="00EC18FC">
              <w:rPr>
                <w:rFonts w:eastAsia="MS Mincho"/>
                <w:lang w:eastAsia="en-GB"/>
              </w:rPr>
              <w:t>58</w:t>
            </w:r>
          </w:p>
        </w:tc>
      </w:tr>
      <w:tr w:rsidR="00071F2B" w:rsidRPr="00245AA8" w:rsidTr="00071F2B">
        <w:trPr>
          <w:trHeight w:val="13"/>
        </w:trPr>
        <w:tc>
          <w:tcPr>
            <w:tcW w:w="2405" w:type="dxa"/>
          </w:tcPr>
          <w:p w:rsidR="00071F2B" w:rsidRPr="00EC18FC" w:rsidRDefault="00071F2B" w:rsidP="00EE6582">
            <w:pPr>
              <w:pStyle w:val="Tabletext0"/>
              <w:keepNext/>
              <w:keepLines/>
              <w:rPr>
                <w:rFonts w:eastAsia="MS Mincho"/>
                <w:lang w:eastAsia="en-GB"/>
              </w:rPr>
            </w:pPr>
            <w:r w:rsidRPr="00EC18FC">
              <w:t>Infliximab</w:t>
            </w:r>
          </w:p>
        </w:tc>
        <w:tc>
          <w:tcPr>
            <w:tcW w:w="2552" w:type="dxa"/>
          </w:tcPr>
          <w:p w:rsidR="00071F2B" w:rsidRPr="00EC18FC" w:rsidRDefault="00071F2B" w:rsidP="00EE6582">
            <w:pPr>
              <w:pStyle w:val="Tabletext0"/>
              <w:keepNext/>
              <w:keepLines/>
              <w:rPr>
                <w:rFonts w:eastAsia="MS Mincho"/>
                <w:lang w:eastAsia="en-GB"/>
              </w:rPr>
            </w:pPr>
            <w:r w:rsidRPr="00EC18FC">
              <w:rPr>
                <w:rFonts w:eastAsia="MS Mincho"/>
                <w:lang w:eastAsia="en-GB"/>
              </w:rPr>
              <w:t>56</w:t>
            </w:r>
          </w:p>
        </w:tc>
        <w:tc>
          <w:tcPr>
            <w:tcW w:w="3685" w:type="dxa"/>
          </w:tcPr>
          <w:p w:rsidR="00071F2B" w:rsidRPr="00EC18FC" w:rsidRDefault="00071F2B" w:rsidP="00EE6582">
            <w:pPr>
              <w:pStyle w:val="Tabletext0"/>
              <w:keepNext/>
              <w:keepLines/>
              <w:rPr>
                <w:rFonts w:eastAsia="MS Mincho"/>
                <w:lang w:eastAsia="en-GB"/>
              </w:rPr>
            </w:pPr>
            <w:r w:rsidRPr="00EC18FC">
              <w:rPr>
                <w:rFonts w:eastAsia="MS Mincho"/>
                <w:lang w:eastAsia="en-GB"/>
              </w:rPr>
              <w:t>112</w:t>
            </w:r>
          </w:p>
        </w:tc>
      </w:tr>
      <w:tr w:rsidR="00071F2B" w:rsidRPr="00245AA8" w:rsidTr="00071F2B">
        <w:trPr>
          <w:trHeight w:val="13"/>
        </w:trPr>
        <w:tc>
          <w:tcPr>
            <w:tcW w:w="2405" w:type="dxa"/>
          </w:tcPr>
          <w:p w:rsidR="00071F2B" w:rsidRPr="00EC18FC" w:rsidRDefault="00071F2B" w:rsidP="00EE6582">
            <w:pPr>
              <w:pStyle w:val="Tabletext0"/>
              <w:keepNext/>
              <w:keepLines/>
              <w:rPr>
                <w:rFonts w:eastAsia="MS Mincho"/>
                <w:lang w:eastAsia="en-GB"/>
              </w:rPr>
            </w:pPr>
            <w:r w:rsidRPr="00EC18FC">
              <w:t>Secukinumab</w:t>
            </w:r>
          </w:p>
        </w:tc>
        <w:tc>
          <w:tcPr>
            <w:tcW w:w="2552" w:type="dxa"/>
          </w:tcPr>
          <w:p w:rsidR="00071F2B" w:rsidRPr="00EC18FC" w:rsidRDefault="00071F2B" w:rsidP="00EE6582">
            <w:pPr>
              <w:pStyle w:val="Tabletext0"/>
              <w:keepNext/>
              <w:keepLines/>
              <w:rPr>
                <w:rFonts w:eastAsia="MS Mincho"/>
                <w:lang w:eastAsia="en-GB"/>
              </w:rPr>
            </w:pPr>
            <w:r w:rsidRPr="00EC18FC">
              <w:rPr>
                <w:rFonts w:eastAsia="MS Mincho"/>
                <w:lang w:eastAsia="en-GB"/>
              </w:rPr>
              <w:t>25</w:t>
            </w:r>
          </w:p>
        </w:tc>
        <w:tc>
          <w:tcPr>
            <w:tcW w:w="3685" w:type="dxa"/>
          </w:tcPr>
          <w:p w:rsidR="00071F2B" w:rsidRPr="00EC18FC" w:rsidRDefault="00071F2B" w:rsidP="00EE6582">
            <w:pPr>
              <w:pStyle w:val="Tabletext0"/>
              <w:keepNext/>
              <w:keepLines/>
              <w:rPr>
                <w:rFonts w:eastAsia="MS Mincho"/>
                <w:lang w:eastAsia="en-GB"/>
              </w:rPr>
            </w:pPr>
            <w:r w:rsidRPr="00EC18FC">
              <w:rPr>
                <w:rFonts w:eastAsia="MS Mincho"/>
                <w:lang w:eastAsia="en-GB"/>
              </w:rPr>
              <w:t>50</w:t>
            </w:r>
          </w:p>
        </w:tc>
      </w:tr>
      <w:tr w:rsidR="00071F2B" w:rsidRPr="00245AA8" w:rsidTr="00071F2B">
        <w:trPr>
          <w:trHeight w:val="13"/>
        </w:trPr>
        <w:tc>
          <w:tcPr>
            <w:tcW w:w="2405" w:type="dxa"/>
          </w:tcPr>
          <w:p w:rsidR="00071F2B" w:rsidRPr="00EC18FC" w:rsidRDefault="00071F2B" w:rsidP="00EE6582">
            <w:pPr>
              <w:pStyle w:val="Tabletext0"/>
              <w:keepNext/>
              <w:keepLines/>
              <w:rPr>
                <w:rFonts w:eastAsia="MS Mincho"/>
                <w:lang w:eastAsia="en-GB"/>
              </w:rPr>
            </w:pPr>
            <w:r w:rsidRPr="00EC18FC">
              <w:t>Ustekinumab</w:t>
            </w:r>
          </w:p>
        </w:tc>
        <w:tc>
          <w:tcPr>
            <w:tcW w:w="2552" w:type="dxa"/>
          </w:tcPr>
          <w:p w:rsidR="00071F2B" w:rsidRPr="00EC18FC" w:rsidRDefault="00071F2B" w:rsidP="00EE6582">
            <w:pPr>
              <w:pStyle w:val="Tabletext0"/>
              <w:keepNext/>
              <w:keepLines/>
              <w:rPr>
                <w:rFonts w:eastAsia="MS Mincho"/>
                <w:lang w:eastAsia="en-GB"/>
              </w:rPr>
            </w:pPr>
            <w:r w:rsidRPr="00EC18FC">
              <w:rPr>
                <w:rFonts w:eastAsia="MS Mincho"/>
                <w:lang w:eastAsia="en-GB"/>
              </w:rPr>
              <w:t>85</w:t>
            </w:r>
          </w:p>
        </w:tc>
        <w:tc>
          <w:tcPr>
            <w:tcW w:w="3685" w:type="dxa"/>
          </w:tcPr>
          <w:p w:rsidR="00071F2B" w:rsidRPr="00EC18FC" w:rsidRDefault="00071F2B" w:rsidP="00EE6582">
            <w:pPr>
              <w:pStyle w:val="Tabletext0"/>
              <w:keepNext/>
              <w:keepLines/>
              <w:rPr>
                <w:rFonts w:eastAsia="MS Mincho"/>
                <w:lang w:eastAsia="en-GB"/>
              </w:rPr>
            </w:pPr>
            <w:r w:rsidRPr="00EC18FC">
              <w:rPr>
                <w:rFonts w:eastAsia="MS Mincho"/>
                <w:lang w:eastAsia="en-GB"/>
              </w:rPr>
              <w:t>170</w:t>
            </w:r>
          </w:p>
        </w:tc>
      </w:tr>
    </w:tbl>
    <w:p w:rsidR="00071F2B" w:rsidRPr="00F32C5D" w:rsidRDefault="00071F2B" w:rsidP="00071F2B">
      <w:pPr>
        <w:pStyle w:val="TableFootnote0"/>
        <w:spacing w:after="0"/>
      </w:pPr>
      <w:r w:rsidRPr="00F32C5D">
        <w:t>Source: DHS Supplied prescriptions database</w:t>
      </w:r>
      <w:r w:rsidR="002D4CD0">
        <w:t xml:space="preserve"> (date of supply)</w:t>
      </w:r>
      <w:r w:rsidRPr="00F32C5D">
        <w:t xml:space="preserve">, extracted May 2017 </w:t>
      </w:r>
    </w:p>
    <w:p w:rsidR="00071F2B" w:rsidRPr="00F32C5D" w:rsidRDefault="00071F2B" w:rsidP="00071F2B">
      <w:pPr>
        <w:pStyle w:val="TableFootnote0"/>
      </w:pPr>
      <w:r w:rsidRPr="00F32C5D">
        <w:t xml:space="preserve">DHS = Department of Human Services; DoH = Department of Health; </w:t>
      </w:r>
      <w:r w:rsidRPr="003A20F9">
        <w:rPr>
          <w:noProof/>
        </w:rPr>
        <w:t>SCD</w:t>
      </w:r>
      <w:r w:rsidRPr="00F32C5D">
        <w:t xml:space="preserve"> = standard coverage days</w:t>
      </w:r>
    </w:p>
    <w:p w:rsidR="004F5BBC" w:rsidRPr="00F93A44" w:rsidRDefault="004F5BBC" w:rsidP="009716A1">
      <w:pPr>
        <w:pStyle w:val="MDsubHead3"/>
      </w:pPr>
      <w:r w:rsidRPr="00F93A44">
        <w:t xml:space="preserve">Persistence with first biologic </w:t>
      </w:r>
    </w:p>
    <w:p w:rsidR="004F5BBC" w:rsidRPr="00F93A44" w:rsidRDefault="004F5BBC" w:rsidP="004F5BBC">
      <w:r w:rsidRPr="00F93A44">
        <w:t xml:space="preserve">Persistence with </w:t>
      </w:r>
      <w:r w:rsidRPr="003A20F9">
        <w:rPr>
          <w:noProof/>
        </w:rPr>
        <w:t>first</w:t>
      </w:r>
      <w:r w:rsidRPr="00F93A44">
        <w:t xml:space="preserve"> biologic for severe CPP was defined as the length of time patients spend on treatment with their first biologic prior to switching to a different biologic or discontinuing.</w:t>
      </w:r>
      <w:r w:rsidR="001650DE">
        <w:t xml:space="preserve"> </w:t>
      </w:r>
      <w:r w:rsidRPr="00F93A44">
        <w:t xml:space="preserve">In this </w:t>
      </w:r>
      <w:r w:rsidRPr="003A20F9">
        <w:rPr>
          <w:noProof/>
        </w:rPr>
        <w:t>analysis</w:t>
      </w:r>
      <w:r w:rsidRPr="00F93A44">
        <w:t xml:space="preserve"> the treatment episode begins at first dispensing and ends when the patient is supplied with a different biologic or had a gap in supply exceeding 2 x SCDs (i.e. discontinuation), </w:t>
      </w:r>
      <w:r w:rsidRPr="003A20F9">
        <w:rPr>
          <w:noProof/>
        </w:rPr>
        <w:t>which ever</w:t>
      </w:r>
      <w:r w:rsidRPr="00F93A44">
        <w:t xml:space="preserve"> event occurred first.  </w:t>
      </w:r>
    </w:p>
    <w:p w:rsidR="004F5BBC" w:rsidRPr="00F93A44" w:rsidRDefault="004F5BBC" w:rsidP="004F5BBC">
      <w:r w:rsidRPr="00F93A44">
        <w:t xml:space="preserve">Patients who switched biologics are considered to have ended treatment with their first biologic at the date they </w:t>
      </w:r>
      <w:r w:rsidR="00BE291F">
        <w:t>were</w:t>
      </w:r>
      <w:r w:rsidRPr="00F93A44">
        <w:t xml:space="preserve"> supplied with a different biologic. Patients who had gaps in supply exceeding 2 x SCDs are considered to have ended treatment one </w:t>
      </w:r>
      <w:r w:rsidRPr="003A20F9">
        <w:rPr>
          <w:noProof/>
        </w:rPr>
        <w:t>SCD</w:t>
      </w:r>
      <w:r w:rsidRPr="00F93A44">
        <w:t xml:space="preserve"> after their last dispensing immediately before the </w:t>
      </w:r>
      <w:r w:rsidRPr="003A20F9">
        <w:rPr>
          <w:noProof/>
        </w:rPr>
        <w:t>gap</w:t>
      </w:r>
      <w:r w:rsidRPr="00F93A44">
        <w:t xml:space="preserve"> in supply. Patients who do not switch biologics and do not have </w:t>
      </w:r>
      <w:r w:rsidRPr="003A20F9">
        <w:rPr>
          <w:noProof/>
        </w:rPr>
        <w:t>gaps</w:t>
      </w:r>
      <w:r w:rsidRPr="00F93A44">
        <w:t xml:space="preserve"> in supply exceeding 2 x SCDs are considered to be continuing treatment with their first biolog</w:t>
      </w:r>
      <w:r>
        <w:t xml:space="preserve">ic until the end of follow-up. </w:t>
      </w:r>
      <w:r w:rsidRPr="00F93A44">
        <w:t xml:space="preserve">As follow-up was 18 months, only the patient’s </w:t>
      </w:r>
      <w:r w:rsidRPr="003A20F9">
        <w:rPr>
          <w:noProof/>
        </w:rPr>
        <w:t>first</w:t>
      </w:r>
      <w:r w:rsidRPr="00F93A44">
        <w:t xml:space="preserve"> treatment episode was examined. </w:t>
      </w:r>
    </w:p>
    <w:p w:rsidR="00071F2B" w:rsidRDefault="00C41F66" w:rsidP="00AE33E4">
      <w:pPr>
        <w:pStyle w:val="MDsubHead3"/>
      </w:pPr>
      <w:r>
        <w:t>Overall p</w:t>
      </w:r>
      <w:r w:rsidR="00071F2B" w:rsidRPr="009232B7">
        <w:t>ersistence with</w:t>
      </w:r>
      <w:r w:rsidR="00C01DF9">
        <w:t xml:space="preserve"> </w:t>
      </w:r>
      <w:r w:rsidR="00071F2B" w:rsidRPr="009232B7">
        <w:t>biologics</w:t>
      </w:r>
      <w:r w:rsidR="00071F2B" w:rsidRPr="007F2442">
        <w:t xml:space="preserve"> </w:t>
      </w:r>
    </w:p>
    <w:p w:rsidR="00071F2B" w:rsidRDefault="00C41F66" w:rsidP="00071F2B">
      <w:r>
        <w:t>Overall p</w:t>
      </w:r>
      <w:r w:rsidR="00C01DF9">
        <w:t>ersistence</w:t>
      </w:r>
      <w:r w:rsidR="00071F2B" w:rsidRPr="00F93A44">
        <w:t xml:space="preserve"> </w:t>
      </w:r>
      <w:r w:rsidR="00B56104">
        <w:t>with biologic</w:t>
      </w:r>
      <w:r w:rsidR="005E1700">
        <w:t>s</w:t>
      </w:r>
      <w:r w:rsidR="00071F2B" w:rsidRPr="00F93A44">
        <w:t xml:space="preserve"> was defined as the length of time spent on continuous treatment with biologic</w:t>
      </w:r>
      <w:r w:rsidR="00C01DF9">
        <w:t>s</w:t>
      </w:r>
      <w:r w:rsidR="00071F2B">
        <w:t>.</w:t>
      </w:r>
      <w:r w:rsidR="00071F2B" w:rsidRPr="00F93A44">
        <w:t xml:space="preserve"> A treatment episode began when the patient had their first dispensing and ended when the patient had gaps in supply exceeding 2 x SCDs. When this occurred, the treatment episode was considered to have </w:t>
      </w:r>
      <w:r w:rsidR="00071F2B" w:rsidRPr="003A20F9">
        <w:rPr>
          <w:noProof/>
        </w:rPr>
        <w:t>ended</w:t>
      </w:r>
      <w:r w:rsidR="00071F2B" w:rsidRPr="00F93A44">
        <w:t xml:space="preserve"> one SCD after the patient’s last dispensing</w:t>
      </w:r>
      <w:r w:rsidR="00857988">
        <w:t>.</w:t>
      </w:r>
      <w:r w:rsidR="00071F2B" w:rsidRPr="00F93A44">
        <w:t xml:space="preserve"> The length of each treatment episode </w:t>
      </w:r>
      <w:r w:rsidR="00EB6556">
        <w:rPr>
          <w:noProof/>
        </w:rPr>
        <w:t>was</w:t>
      </w:r>
      <w:r w:rsidR="00071F2B" w:rsidRPr="00F93A44">
        <w:t xml:space="preserve"> adjusted for </w:t>
      </w:r>
      <w:r w:rsidR="00071F2B" w:rsidRPr="003A20F9">
        <w:rPr>
          <w:noProof/>
        </w:rPr>
        <w:t>stockpiling</w:t>
      </w:r>
      <w:r w:rsidR="00071F2B" w:rsidRPr="00F93A44">
        <w:t xml:space="preserve"> and switching between biologics. Patients who did not have gaps in supply exceeding 2 x SCDs were considered to be continuing on treatment until the end of follow-up. </w:t>
      </w:r>
    </w:p>
    <w:p w:rsidR="001B5018" w:rsidRDefault="00331EA2" w:rsidP="00071F2B">
      <w:r>
        <w:t xml:space="preserve">Overall continuation was also assessed using authority restriction codes. </w:t>
      </w:r>
      <w:r w:rsidR="007A512F">
        <w:t>P</w:t>
      </w:r>
      <w:r>
        <w:t xml:space="preserve">atients who started biologic treatment between </w:t>
      </w:r>
      <w:r w:rsidRPr="00331EA2">
        <w:t>1 July 2014 and 30 June 2015</w:t>
      </w:r>
      <w:r w:rsidR="007A512F">
        <w:t xml:space="preserve"> were assessed if they were supplied a biologic with an authority code for initial treatment followed by a biologic with a subsequent authority code for continuing treatment. Patients had to receive a biologic with a continuing authority code within 365 days of their first prescription being dispensed. There were 653 adult patients who started biologics during the aforementioned time period </w:t>
      </w:r>
      <w:r w:rsidR="00E97913">
        <w:t xml:space="preserve">who received a prescription with an initial treatment authority code. These patients are considered ‘assessable’. Patients whose first prescription was for a continuing treatment code, had no authority codes recorded or started treatment under a paediatric authority code were not included. </w:t>
      </w:r>
      <w:r w:rsidR="006071CE">
        <w:t xml:space="preserve">The analysis was conducted on the whole cohort and by the biologic with which patients started treatment. </w:t>
      </w:r>
    </w:p>
    <w:p w:rsidR="00071F2B" w:rsidRPr="00B75E38" w:rsidRDefault="00071F2B" w:rsidP="00AE33E4">
      <w:pPr>
        <w:pStyle w:val="MDsubHead3"/>
      </w:pPr>
      <w:r w:rsidRPr="00B75E38">
        <w:t xml:space="preserve">Treatment holidays </w:t>
      </w:r>
    </w:p>
    <w:p w:rsidR="00071F2B" w:rsidRPr="00F93A44" w:rsidRDefault="00071F2B" w:rsidP="00071F2B">
      <w:r w:rsidRPr="00F93A44">
        <w:t xml:space="preserve">The length of time patients persisted with biologics prior to having a treatment holiday from biologics was examined. Patients were considered to have had a treatment holiday if they had gaps in supply exceeding 2 x SCDs and the patient subsequently recommenced biologics during the 18 month follow-up period. </w:t>
      </w:r>
    </w:p>
    <w:p w:rsidR="00071F2B" w:rsidRPr="00F93A44" w:rsidRDefault="00071F2B" w:rsidP="00071F2B">
      <w:r w:rsidRPr="00F93A44">
        <w:t xml:space="preserve">The length of each treatment holiday was defined as the number of days between the date the patient stopped treatment and the </w:t>
      </w:r>
      <w:r w:rsidRPr="003A20F9">
        <w:rPr>
          <w:noProof/>
        </w:rPr>
        <w:t>date</w:t>
      </w:r>
      <w:r w:rsidRPr="00F93A44">
        <w:t xml:space="preserve"> the patient recommenced treatment. The </w:t>
      </w:r>
      <w:r w:rsidRPr="003A20F9">
        <w:rPr>
          <w:noProof/>
        </w:rPr>
        <w:t>date</w:t>
      </w:r>
      <w:r w:rsidRPr="00F93A44">
        <w:t xml:space="preserve"> a treatment holiday began was the date of the last dispensing immediately prior to the treatment holiday, plus the SCDs provided by the </w:t>
      </w:r>
      <w:r w:rsidRPr="003A20F9">
        <w:rPr>
          <w:noProof/>
        </w:rPr>
        <w:t>last</w:t>
      </w:r>
      <w:r w:rsidRPr="00F93A44">
        <w:t xml:space="preserve"> prescription. Time patients spend on treatment with biologics prior to the treatment holiday was defined as the number of days between the patients’ first dispensing and the estimated date the treatment holiday was commenced. </w:t>
      </w:r>
    </w:p>
    <w:p w:rsidR="00071F2B" w:rsidRPr="00F93A44" w:rsidRDefault="00071F2B" w:rsidP="009716A1">
      <w:pPr>
        <w:pStyle w:val="MDsubHead3"/>
      </w:pPr>
      <w:r w:rsidRPr="00F93A44">
        <w:t>Switching between biologics</w:t>
      </w:r>
    </w:p>
    <w:p w:rsidR="00AE33E4" w:rsidRPr="003F1A49" w:rsidRDefault="00AE33E4" w:rsidP="00AE33E4">
      <w:r w:rsidRPr="003F1A49">
        <w:t xml:space="preserve">An analysis of treatment switching was undertaken to understand the frequency and timing, of changes in the biologic medicines used to treat CPP. This analysis assumed that there was no co-administration of biologics. This is due to the limited evidence supporting the use of more than one biologic and because co-administration of biologics is not allowed under the PBS restrictions for CPP. Therefore, it was assumed that when patients were supplied with another biologic they had ceased treatment with their previous biologic and had started treatment with the new biologic (i.e. the patient had switched biologic’s). </w:t>
      </w:r>
    </w:p>
    <w:p w:rsidR="00AE33E4" w:rsidRPr="00755379" w:rsidRDefault="00AE33E4" w:rsidP="00AE33E4">
      <w:r w:rsidRPr="00755379">
        <w:t xml:space="preserve">A time to switching episode begins when the patient first initiates therapy with biologic medicines. The switching episode ends at the date the patient is supplied with a different biologic. Patients who had gaps in supply </w:t>
      </w:r>
      <w:r>
        <w:t>exceeding</w:t>
      </w:r>
      <w:r w:rsidRPr="00755379">
        <w:t xml:space="preserve"> 2</w:t>
      </w:r>
      <w:r>
        <w:t xml:space="preserve"> x SCDs but did not recommence </w:t>
      </w:r>
      <w:r w:rsidRPr="00755379">
        <w:t xml:space="preserve">treatment during the study period were censored one SCDs after their last observed dispensing in the data. This was to avoid misclassifying patients as remaining on treatment when they may have discontinued. </w:t>
      </w:r>
    </w:p>
    <w:p w:rsidR="00071F2B" w:rsidRPr="00F93A44" w:rsidRDefault="009716A1" w:rsidP="00DF0266">
      <w:pPr>
        <w:pStyle w:val="Heading3"/>
        <w:spacing w:before="240" w:after="200"/>
        <w:rPr>
          <w:lang w:eastAsia="en-GB"/>
        </w:rPr>
      </w:pPr>
      <w:bookmarkStart w:id="67" w:name="_Toc501632374"/>
      <w:r>
        <w:rPr>
          <w:lang w:eastAsia="en-GB"/>
        </w:rPr>
        <w:t xml:space="preserve">3.3.2 </w:t>
      </w:r>
      <w:r w:rsidR="00071F2B" w:rsidRPr="00F93A44">
        <w:rPr>
          <w:lang w:eastAsia="en-GB"/>
        </w:rPr>
        <w:t>Results</w:t>
      </w:r>
      <w:bookmarkEnd w:id="67"/>
      <w:r w:rsidR="00071F2B" w:rsidRPr="00F93A44">
        <w:rPr>
          <w:lang w:eastAsia="en-GB"/>
        </w:rPr>
        <w:t xml:space="preserve"> </w:t>
      </w:r>
    </w:p>
    <w:p w:rsidR="006D1964" w:rsidRPr="00214D13" w:rsidRDefault="00071F2B" w:rsidP="009716A1">
      <w:pPr>
        <w:pStyle w:val="MDsubHead3"/>
      </w:pPr>
      <w:bookmarkStart w:id="68" w:name="_Toc491765834"/>
      <w:bookmarkStart w:id="69" w:name="_Toc493156397"/>
      <w:r w:rsidRPr="00F93A44">
        <w:t>PBS utilisation of biologics for the treatment of severe CPP</w:t>
      </w:r>
      <w:bookmarkEnd w:id="68"/>
      <w:bookmarkEnd w:id="69"/>
    </w:p>
    <w:p w:rsidR="007B032A" w:rsidRPr="00EC18FC" w:rsidRDefault="0086184A" w:rsidP="00071F2B">
      <w:r w:rsidRPr="0086184A">
        <w:rPr>
          <w:rStyle w:val="MDFiguretitleChar"/>
          <w:noProof/>
        </w:rPr>
        <w:t>Figure</w:t>
      </w:r>
      <w:r w:rsidRPr="00991BB0">
        <w:t xml:space="preserve"> </w:t>
      </w:r>
      <w:r>
        <w:rPr>
          <w:noProof/>
        </w:rPr>
        <w:t>3</w:t>
      </w:r>
      <w:r w:rsidR="00071F2B">
        <w:t xml:space="preserve"> </w:t>
      </w:r>
      <w:r w:rsidR="00071F2B" w:rsidRPr="00EC18FC">
        <w:t xml:space="preserve">presents the number of patients </w:t>
      </w:r>
      <w:r w:rsidR="00DE5F11">
        <w:t>who received</w:t>
      </w:r>
      <w:r w:rsidR="00071F2B" w:rsidRPr="00EC18FC">
        <w:t xml:space="preserve"> biologics for severe </w:t>
      </w:r>
      <w:r w:rsidR="00071F2B">
        <w:t>CPP</w:t>
      </w:r>
      <w:r w:rsidR="00071F2B" w:rsidRPr="00EC18FC">
        <w:t xml:space="preserve"> from June 2013 to December 2016.</w:t>
      </w:r>
      <w:r w:rsidR="00865376">
        <w:t xml:space="preserve"> </w:t>
      </w:r>
      <w:r w:rsidR="007B032A">
        <w:t xml:space="preserve">The </w:t>
      </w:r>
      <w:r w:rsidR="00DE5F11">
        <w:t>total number of patients receiving biologics for</w:t>
      </w:r>
      <w:r w:rsidR="00366E3B">
        <w:t xml:space="preserve"> severe CPP increased during this</w:t>
      </w:r>
      <w:r w:rsidR="00DE5F11">
        <w:t xml:space="preserve"> period. </w:t>
      </w:r>
      <w:r w:rsidR="007B032A" w:rsidRPr="002E09D3">
        <w:t xml:space="preserve">The number of new patients starting treatment with biologics each quarter has been relatively </w:t>
      </w:r>
      <w:r w:rsidR="007B032A">
        <w:t xml:space="preserve">consistent since 2014. </w:t>
      </w:r>
      <w:r w:rsidR="007B032A" w:rsidRPr="002E09D3">
        <w:t xml:space="preserve"> </w:t>
      </w:r>
    </w:p>
    <w:p w:rsidR="00EE6582" w:rsidRDefault="00D32E13" w:rsidP="00DE5F11">
      <w:pPr>
        <w:keepNext/>
        <w:spacing w:after="60"/>
        <w:rPr>
          <w:rStyle w:val="MDFiguretitleChar"/>
        </w:rPr>
      </w:pPr>
      <w:bookmarkStart w:id="70" w:name="_Ref492985757"/>
      <w:bookmarkStart w:id="71" w:name="_Ref492985752"/>
      <w:r>
        <w:rPr>
          <w:rStyle w:val="MDFiguretitleChar"/>
          <w:noProof/>
          <w:lang w:val="en-AU"/>
        </w:rPr>
        <w:drawing>
          <wp:inline distT="0" distB="0" distL="0" distR="0" wp14:anchorId="5BF12FE6" wp14:editId="4EC765E4">
            <wp:extent cx="5742940" cy="2451100"/>
            <wp:effectExtent l="0" t="0" r="0" b="6350"/>
            <wp:docPr id="38" name="Picture 38" title="New and prevalent patients receiving biologics for severe CPP 2013-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42940" cy="2451100"/>
                    </a:xfrm>
                    <a:prstGeom prst="rect">
                      <a:avLst/>
                    </a:prstGeom>
                    <a:noFill/>
                  </pic:spPr>
                </pic:pic>
              </a:graphicData>
            </a:graphic>
          </wp:inline>
        </w:drawing>
      </w:r>
    </w:p>
    <w:p w:rsidR="00DE5F11" w:rsidRPr="00991BB0" w:rsidRDefault="00071F2B" w:rsidP="00991BB0">
      <w:pPr>
        <w:pStyle w:val="Figure"/>
      </w:pPr>
      <w:bookmarkStart w:id="72" w:name="_Toc501632422"/>
      <w:r w:rsidRPr="00991BB0">
        <w:t xml:space="preserve">Figure </w:t>
      </w:r>
      <w:r w:rsidR="0086184A">
        <w:rPr>
          <w:noProof/>
        </w:rPr>
        <w:t>3</w:t>
      </w:r>
      <w:bookmarkEnd w:id="70"/>
      <w:r w:rsidRPr="00991BB0">
        <w:t>: New and prevalent patients receiving biologics for severe CPP 2013-2016</w:t>
      </w:r>
      <w:bookmarkEnd w:id="71"/>
      <w:bookmarkEnd w:id="72"/>
    </w:p>
    <w:p w:rsidR="00071F2B" w:rsidRPr="00DE5F11" w:rsidRDefault="00071F2B" w:rsidP="00DE5F11">
      <w:pPr>
        <w:pStyle w:val="Figurecaption"/>
        <w:rPr>
          <w:rFonts w:cs="Calibri"/>
          <w:b/>
          <w:szCs w:val="24"/>
          <w:lang w:val="en-US"/>
        </w:rPr>
      </w:pPr>
      <w:r w:rsidRPr="000309A3">
        <w:t xml:space="preserve">Source: </w:t>
      </w:r>
      <w:r w:rsidR="002D4CD0" w:rsidRPr="00F32C5D">
        <w:t>DHS Supplied prescriptions database</w:t>
      </w:r>
      <w:r w:rsidR="002D4CD0">
        <w:t xml:space="preserve"> (date of supply)</w:t>
      </w:r>
      <w:r w:rsidR="002D4CD0" w:rsidRPr="00F32C5D">
        <w:t xml:space="preserve">, extracted May 2017 </w:t>
      </w:r>
    </w:p>
    <w:p w:rsidR="006D1964" w:rsidRDefault="00B06234" w:rsidP="00726E6A">
      <w:pPr>
        <w:pStyle w:val="Figurecaption"/>
      </w:pPr>
      <w:r>
        <w:rPr>
          <w:rFonts w:cs="Baskerville"/>
          <w:lang w:eastAsia="en-GB"/>
        </w:rPr>
        <w:t xml:space="preserve">CPP = chronic plaque psoriasis; </w:t>
      </w:r>
      <w:r w:rsidR="00071F2B" w:rsidRPr="000309A3">
        <w:t>Q = quarter</w:t>
      </w:r>
      <w:r w:rsidR="006D1964">
        <w:br/>
      </w:r>
    </w:p>
    <w:p w:rsidR="003A20F9" w:rsidRPr="00495A03" w:rsidRDefault="0086184A" w:rsidP="00C53D44">
      <w:pPr>
        <w:rPr>
          <w:rFonts w:eastAsiaTheme="minorEastAsia" w:cs="Calibri"/>
          <w:noProof/>
          <w:szCs w:val="24"/>
          <w:lang w:val="en-US"/>
        </w:rPr>
      </w:pPr>
      <w:r w:rsidRPr="0086184A">
        <w:rPr>
          <w:rStyle w:val="MDFiguretitleChar"/>
          <w:b w:val="0"/>
          <w:noProof/>
        </w:rPr>
        <w:t>Figure</w:t>
      </w:r>
      <w:r w:rsidRPr="00381F9B">
        <w:rPr>
          <w:rStyle w:val="MDFiguretitleChar"/>
        </w:rPr>
        <w:t xml:space="preserve"> </w:t>
      </w:r>
      <w:r>
        <w:rPr>
          <w:rStyle w:val="MDFiguretitleChar"/>
          <w:b w:val="0"/>
          <w:noProof/>
        </w:rPr>
        <w:t>4</w:t>
      </w:r>
      <w:r w:rsidR="002D4CD0">
        <w:t xml:space="preserve"> </w:t>
      </w:r>
      <w:r w:rsidR="00071F2B" w:rsidRPr="00C01DF9">
        <w:t>presents</w:t>
      </w:r>
      <w:r w:rsidR="00071F2B" w:rsidRPr="002E09D3">
        <w:t xml:space="preserve"> the number of patients supplied with each biologic for severe CPP by year. The</w:t>
      </w:r>
      <w:r w:rsidR="00366E3B">
        <w:t xml:space="preserve"> sum of the patients per year in this figure is greater than 100% of patients, as </w:t>
      </w:r>
      <w:r w:rsidR="00366E3B" w:rsidRPr="002E09D3">
        <w:t>patients</w:t>
      </w:r>
      <w:r w:rsidR="00071F2B" w:rsidRPr="002E09D3">
        <w:t xml:space="preserve"> </w:t>
      </w:r>
      <w:r w:rsidR="00DE5F11">
        <w:t>who</w:t>
      </w:r>
      <w:r w:rsidR="00071F2B" w:rsidRPr="002E09D3">
        <w:t xml:space="preserve"> switched biologics during the year</w:t>
      </w:r>
      <w:r w:rsidR="00DE5F11">
        <w:t xml:space="preserve"> </w:t>
      </w:r>
      <w:r w:rsidR="00366E3B">
        <w:t>can be</w:t>
      </w:r>
      <w:r w:rsidR="00DE5F11">
        <w:t xml:space="preserve"> presented </w:t>
      </w:r>
      <w:r w:rsidR="00366E3B">
        <w:t xml:space="preserve">in </w:t>
      </w:r>
      <w:r w:rsidR="00DE5F11">
        <w:t>more than one</w:t>
      </w:r>
      <w:r w:rsidR="00366E3B">
        <w:t xml:space="preserve"> treatment</w:t>
      </w:r>
      <w:r w:rsidR="00071F2B" w:rsidRPr="002E09D3">
        <w:t>.</w:t>
      </w:r>
      <w:r w:rsidR="007B032A">
        <w:t xml:space="preserve"> </w:t>
      </w:r>
    </w:p>
    <w:p w:rsidR="00C53D44" w:rsidRDefault="007B032A" w:rsidP="00071F2B">
      <w:r>
        <w:t>U</w:t>
      </w:r>
      <w:r w:rsidR="00C53D44" w:rsidRPr="000309A3">
        <w:t xml:space="preserve">stekinumab </w:t>
      </w:r>
      <w:r>
        <w:t>was</w:t>
      </w:r>
      <w:r w:rsidR="00C53D44" w:rsidRPr="000309A3">
        <w:t xml:space="preserve"> the most commonly used biologic, with 46% of patients having had at least one </w:t>
      </w:r>
      <w:r w:rsidR="00013DA8">
        <w:t>prescription</w:t>
      </w:r>
      <w:r w:rsidR="00C53D44" w:rsidRPr="000309A3">
        <w:t xml:space="preserve"> for this biologic in 2016. Adalimumab and secukinumab are the next most commonly </w:t>
      </w:r>
      <w:r w:rsidR="00013DA8">
        <w:t>used</w:t>
      </w:r>
      <w:r w:rsidR="00C53D44" w:rsidRPr="000309A3">
        <w:t xml:space="preserve"> biologics, with approximately 20% of patients having had at least one </w:t>
      </w:r>
      <w:r w:rsidR="00C53D44" w:rsidRPr="003A20F9">
        <w:rPr>
          <w:noProof/>
        </w:rPr>
        <w:t>dispensing</w:t>
      </w:r>
      <w:r w:rsidR="00C53D44" w:rsidRPr="000309A3">
        <w:t xml:space="preserve"> for adalimumab </w:t>
      </w:r>
      <w:r w:rsidR="00C53D44">
        <w:t>and/</w:t>
      </w:r>
      <w:r w:rsidR="00C53D44" w:rsidRPr="000309A3">
        <w:t xml:space="preserve">or secukinumab in 2016. Etanercept and infliximab have low patient numbers, with </w:t>
      </w:r>
      <w:r w:rsidR="001C29F6">
        <w:t>fewer</w:t>
      </w:r>
      <w:r w:rsidR="00C53D44" w:rsidRPr="000309A3">
        <w:t xml:space="preserve"> than 6% of patients having </w:t>
      </w:r>
      <w:r w:rsidR="00013DA8">
        <w:t>used</w:t>
      </w:r>
      <w:r w:rsidR="00C53D44" w:rsidRPr="000309A3">
        <w:t xml:space="preserve"> these biologics in 2016.</w:t>
      </w:r>
    </w:p>
    <w:p w:rsidR="00C070FF" w:rsidRDefault="00336E76" w:rsidP="00013DA8">
      <w:pPr>
        <w:pStyle w:val="Figure"/>
        <w:keepNext/>
        <w:rPr>
          <w:rStyle w:val="MDFiguretitleChar"/>
        </w:rPr>
      </w:pPr>
      <w:bookmarkStart w:id="73" w:name="_Ref492985892"/>
      <w:r>
        <w:rPr>
          <w:rStyle w:val="MDFiguretitleChar"/>
          <w:b/>
          <w:noProof/>
          <w:lang w:val="en-AU"/>
        </w:rPr>
        <w:drawing>
          <wp:inline distT="0" distB="0" distL="0" distR="0" wp14:anchorId="529CC5C7" wp14:editId="635C36FC">
            <wp:extent cx="5761990" cy="3181062"/>
            <wp:effectExtent l="0" t="0" r="0" b="635"/>
            <wp:docPr id="34" name="Picture 34" title="Patients receiving biologics for severe CPP by dru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69702" cy="3185319"/>
                    </a:xfrm>
                    <a:prstGeom prst="rect">
                      <a:avLst/>
                    </a:prstGeom>
                    <a:noFill/>
                  </pic:spPr>
                </pic:pic>
              </a:graphicData>
            </a:graphic>
          </wp:inline>
        </w:drawing>
      </w:r>
    </w:p>
    <w:p w:rsidR="00071F2B" w:rsidRPr="00381F9B" w:rsidRDefault="00071F2B" w:rsidP="00381F9B">
      <w:pPr>
        <w:pStyle w:val="MDFiguretitle"/>
        <w:rPr>
          <w:rStyle w:val="FigureDUSCChar"/>
          <w:b/>
        </w:rPr>
      </w:pPr>
      <w:bookmarkStart w:id="74" w:name="_Toc501632423"/>
      <w:r w:rsidRPr="00381F9B">
        <w:rPr>
          <w:rStyle w:val="MDFiguretitleChar"/>
          <w:b/>
        </w:rPr>
        <w:t xml:space="preserve">Figure </w:t>
      </w:r>
      <w:r w:rsidR="0086184A">
        <w:rPr>
          <w:rStyle w:val="MDFiguretitleChar"/>
          <w:b/>
          <w:noProof/>
        </w:rPr>
        <w:t>4</w:t>
      </w:r>
      <w:bookmarkEnd w:id="73"/>
      <w:r w:rsidRPr="00381F9B">
        <w:rPr>
          <w:rStyle w:val="MDFiguretitleChar"/>
          <w:b/>
        </w:rPr>
        <w:t>: Patients receiving biologics for severe CPP by drug</w:t>
      </w:r>
      <w:bookmarkEnd w:id="74"/>
    </w:p>
    <w:p w:rsidR="00071F2B" w:rsidRPr="00013DA8" w:rsidRDefault="00071F2B" w:rsidP="00013DA8">
      <w:pPr>
        <w:pStyle w:val="Figurecaption"/>
      </w:pPr>
      <w:r w:rsidRPr="00013DA8">
        <w:t xml:space="preserve">Source: </w:t>
      </w:r>
      <w:r w:rsidR="002D4CD0" w:rsidRPr="00F32C5D">
        <w:t>DHS Supplied prescriptions database</w:t>
      </w:r>
      <w:r w:rsidR="002D4CD0">
        <w:t xml:space="preserve"> (date of supply)</w:t>
      </w:r>
      <w:r w:rsidR="002D4CD0" w:rsidRPr="00F32C5D">
        <w:t xml:space="preserve">, extracted May 2017 </w:t>
      </w:r>
      <w:r w:rsidR="00336E76">
        <w:br/>
        <w:t xml:space="preserve">Note: Secukinumab was listed on the PBS on 1 September 2015. </w:t>
      </w:r>
    </w:p>
    <w:p w:rsidR="00071F2B" w:rsidRPr="00013DA8" w:rsidRDefault="001040FA" w:rsidP="00013DA8">
      <w:pPr>
        <w:pStyle w:val="Figurecaption"/>
      </w:pPr>
      <w:r>
        <w:t>CPP = chronic plaque psoriasis</w:t>
      </w:r>
    </w:p>
    <w:p w:rsidR="00071F2B" w:rsidRPr="000309A3" w:rsidRDefault="00071F2B" w:rsidP="009716A1">
      <w:pPr>
        <w:pStyle w:val="MDsubHead3"/>
      </w:pPr>
      <w:bookmarkStart w:id="75" w:name="_Toc491765835"/>
      <w:r w:rsidRPr="000309A3">
        <w:t>Number of prescriptions</w:t>
      </w:r>
      <w:bookmarkEnd w:id="75"/>
    </w:p>
    <w:p w:rsidR="00076987" w:rsidRDefault="0086184A" w:rsidP="00865376">
      <w:r>
        <w:t xml:space="preserve">Figure </w:t>
      </w:r>
      <w:r>
        <w:rPr>
          <w:noProof/>
        </w:rPr>
        <w:t>5</w:t>
      </w:r>
      <w:r w:rsidR="002D4CD0">
        <w:t xml:space="preserve"> </w:t>
      </w:r>
      <w:r w:rsidR="00013DA8">
        <w:t>shows</w:t>
      </w:r>
      <w:r w:rsidR="00071F2B" w:rsidRPr="000309A3">
        <w:t xml:space="preserve"> the total number of </w:t>
      </w:r>
      <w:r w:rsidR="00071F2B" w:rsidRPr="003A20F9">
        <w:rPr>
          <w:noProof/>
        </w:rPr>
        <w:t>prescriptions</w:t>
      </w:r>
      <w:r w:rsidR="00071F2B" w:rsidRPr="000309A3">
        <w:t xml:space="preserve"> dispensed for the five biologics listed on the PBS for </w:t>
      </w:r>
      <w:r w:rsidR="00071F2B">
        <w:t xml:space="preserve">severe </w:t>
      </w:r>
      <w:r w:rsidR="00071F2B" w:rsidRPr="000309A3">
        <w:t>CPP from June 2013 to 31 December 2016.</w:t>
      </w:r>
      <w:r w:rsidR="00071F2B" w:rsidRPr="000309A3">
        <w:rPr>
          <w:noProof/>
          <w:lang w:eastAsia="en-GB"/>
        </w:rPr>
        <w:t xml:space="preserve"> </w:t>
      </w:r>
      <w:r w:rsidR="00865376" w:rsidRPr="00900940">
        <w:t>The prescription numbers show</w:t>
      </w:r>
      <w:r w:rsidR="00865376">
        <w:t xml:space="preserve"> </w:t>
      </w:r>
      <w:r w:rsidR="00865376" w:rsidRPr="0064745B">
        <w:t xml:space="preserve">a rapid increase in the number of prescriptions for secukinumab since </w:t>
      </w:r>
      <w:r w:rsidR="00013DA8">
        <w:t>it was PBS-listed in</w:t>
      </w:r>
      <w:r w:rsidR="00865376" w:rsidRPr="0064745B">
        <w:t xml:space="preserve"> September 2015. </w:t>
      </w:r>
      <w:r w:rsidR="00865376" w:rsidRPr="003A20F9">
        <w:rPr>
          <w:noProof/>
        </w:rPr>
        <w:t>Prescriptions</w:t>
      </w:r>
      <w:r w:rsidR="00865376" w:rsidRPr="0064745B">
        <w:t xml:space="preserve"> for infliximab have remained relatively stable during the period</w:t>
      </w:r>
      <w:r w:rsidR="0086792D">
        <w:t>, while</w:t>
      </w:r>
      <w:r w:rsidR="00865376">
        <w:t xml:space="preserve"> </w:t>
      </w:r>
      <w:r w:rsidR="00865376" w:rsidRPr="003A20F9">
        <w:rPr>
          <w:noProof/>
        </w:rPr>
        <w:t>prescriptions</w:t>
      </w:r>
      <w:r w:rsidR="00865376" w:rsidRPr="0064745B">
        <w:t xml:space="preserve"> for adalimumab have</w:t>
      </w:r>
      <w:r w:rsidR="00865376">
        <w:t xml:space="preserve"> decreased slightly since 2015</w:t>
      </w:r>
      <w:r w:rsidR="00865376" w:rsidRPr="0064745B">
        <w:t xml:space="preserve">. </w:t>
      </w:r>
      <w:r w:rsidR="00865376" w:rsidRPr="003A20F9">
        <w:rPr>
          <w:noProof/>
        </w:rPr>
        <w:t>Prescriptions</w:t>
      </w:r>
      <w:r w:rsidR="00865376" w:rsidRPr="0064745B">
        <w:t xml:space="preserve"> for ustekinumab have steadily increased</w:t>
      </w:r>
      <w:r w:rsidR="00865376">
        <w:t xml:space="preserve"> since 2013</w:t>
      </w:r>
      <w:r w:rsidR="00865376" w:rsidRPr="0064745B">
        <w:t>, whil</w:t>
      </w:r>
      <w:r w:rsidR="0086792D">
        <w:t>e</w:t>
      </w:r>
      <w:r w:rsidR="00865376" w:rsidRPr="0064745B">
        <w:t xml:space="preserve"> </w:t>
      </w:r>
      <w:r w:rsidR="00865376" w:rsidRPr="005A56D9">
        <w:rPr>
          <w:noProof/>
        </w:rPr>
        <w:t>prescriptions</w:t>
      </w:r>
      <w:r w:rsidR="00865376" w:rsidRPr="0064745B">
        <w:t xml:space="preserve"> for etanercept have</w:t>
      </w:r>
      <w:r w:rsidR="00865376">
        <w:t xml:space="preserve"> steadily</w:t>
      </w:r>
      <w:r w:rsidR="00865376" w:rsidRPr="0064745B">
        <w:t xml:space="preserve"> declined. The</w:t>
      </w:r>
      <w:r w:rsidR="0086792D">
        <w:t xml:space="preserve"> total</w:t>
      </w:r>
      <w:r w:rsidR="00865376" w:rsidRPr="0064745B">
        <w:t xml:space="preserve"> number of </w:t>
      </w:r>
      <w:r w:rsidR="00865376" w:rsidRPr="005A56D9">
        <w:rPr>
          <w:noProof/>
        </w:rPr>
        <w:t>prescriptions</w:t>
      </w:r>
      <w:r w:rsidR="00865376" w:rsidRPr="0064745B">
        <w:t xml:space="preserve"> per quarter continues to </w:t>
      </w:r>
      <w:r w:rsidR="00865376" w:rsidRPr="005A56D9">
        <w:rPr>
          <w:noProof/>
        </w:rPr>
        <w:t>increase</w:t>
      </w:r>
      <w:r w:rsidR="00013DA8">
        <w:t>.</w:t>
      </w:r>
      <w:r w:rsidR="005A56D9">
        <w:t xml:space="preserve"> </w:t>
      </w:r>
    </w:p>
    <w:p w:rsidR="00741A4F" w:rsidRDefault="006054FE" w:rsidP="00FD32F4">
      <w:pPr>
        <w:keepNext/>
        <w:spacing w:after="60"/>
      </w:pPr>
      <w:r>
        <w:rPr>
          <w:noProof/>
          <w:lang w:val="en-AU"/>
        </w:rPr>
        <w:drawing>
          <wp:inline distT="0" distB="0" distL="0" distR="0" wp14:anchorId="63B65DA0" wp14:editId="6632BB88">
            <wp:extent cx="5648325" cy="3609340"/>
            <wp:effectExtent l="0" t="0" r="9525" b="0"/>
            <wp:docPr id="37" name="Picture 37" title="Biologic prescriptions for severe CPP, 2013-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648325" cy="3609340"/>
                    </a:xfrm>
                    <a:prstGeom prst="rect">
                      <a:avLst/>
                    </a:prstGeom>
                    <a:noFill/>
                  </pic:spPr>
                </pic:pic>
              </a:graphicData>
            </a:graphic>
          </wp:inline>
        </w:drawing>
      </w:r>
    </w:p>
    <w:p w:rsidR="00741A4F" w:rsidRPr="007F61E0" w:rsidRDefault="00741A4F" w:rsidP="00FD32F4">
      <w:pPr>
        <w:pStyle w:val="MDFiguretitle"/>
      </w:pPr>
      <w:bookmarkStart w:id="76" w:name="_Ref498436667"/>
      <w:bookmarkStart w:id="77" w:name="_Toc501632424"/>
      <w:r>
        <w:t xml:space="preserve">Figure </w:t>
      </w:r>
      <w:r w:rsidR="0086184A">
        <w:rPr>
          <w:noProof/>
        </w:rPr>
        <w:t>5</w:t>
      </w:r>
      <w:bookmarkEnd w:id="76"/>
      <w:r>
        <w:t>:</w:t>
      </w:r>
      <w:r w:rsidRPr="00741A4F">
        <w:t xml:space="preserve"> </w:t>
      </w:r>
      <w:r w:rsidRPr="007F61E0">
        <w:t>Biologic prescriptions for severe CPP, 2013-2016</w:t>
      </w:r>
      <w:bookmarkEnd w:id="77"/>
    </w:p>
    <w:p w:rsidR="00741A4F" w:rsidRDefault="00741A4F" w:rsidP="00FD32F4">
      <w:pPr>
        <w:pStyle w:val="Figurecaption"/>
      </w:pPr>
      <w:r w:rsidRPr="00E27EB7">
        <w:t xml:space="preserve">Source: </w:t>
      </w:r>
      <w:r w:rsidR="009D6075" w:rsidRPr="00F32C5D">
        <w:t>DHS Supplied prescriptions database</w:t>
      </w:r>
      <w:r w:rsidR="009D6075">
        <w:t xml:space="preserve"> (date of supply)</w:t>
      </w:r>
      <w:r w:rsidR="009D6075" w:rsidRPr="00F32C5D">
        <w:t xml:space="preserve">, extracted May 2017 </w:t>
      </w:r>
    </w:p>
    <w:p w:rsidR="00125C6D" w:rsidRPr="00E27EB7" w:rsidRDefault="00125C6D" w:rsidP="00FD32F4">
      <w:pPr>
        <w:pStyle w:val="Figurecaption"/>
      </w:pPr>
      <w:r>
        <w:t>Note: Secukinumab was listed on the PBS on 1 September 2015.</w:t>
      </w:r>
    </w:p>
    <w:p w:rsidR="00BC4BF6" w:rsidRDefault="00125C6D" w:rsidP="0086792D">
      <w:pPr>
        <w:pStyle w:val="Figurecaption"/>
        <w:rPr>
          <w:rFonts w:cs="Baskerville"/>
          <w:lang w:eastAsia="en-GB"/>
        </w:rPr>
      </w:pPr>
      <w:r>
        <w:rPr>
          <w:rFonts w:cs="Baskerville"/>
          <w:lang w:eastAsia="en-GB"/>
        </w:rPr>
        <w:t>CPP = chronic plaque psoriasis</w:t>
      </w:r>
      <w:r w:rsidR="006D1964">
        <w:rPr>
          <w:rFonts w:cs="Baskerville"/>
          <w:lang w:eastAsia="en-GB"/>
        </w:rPr>
        <w:br/>
      </w:r>
    </w:p>
    <w:p w:rsidR="0086184A" w:rsidRPr="0086184A" w:rsidRDefault="0086184A" w:rsidP="0086184A">
      <w:pPr>
        <w:rPr>
          <w:rStyle w:val="MDFiguretitleChar"/>
        </w:rPr>
      </w:pPr>
      <w:bookmarkStart w:id="78" w:name="_Ref491850189"/>
      <w:bookmarkStart w:id="79" w:name="_Ref492986171"/>
    </w:p>
    <w:p w:rsidR="005B5119" w:rsidRPr="00495A03" w:rsidRDefault="0086184A" w:rsidP="005B5119">
      <w:pPr>
        <w:rPr>
          <w:rFonts w:eastAsiaTheme="minorEastAsia" w:cs="Calibri"/>
          <w:b/>
          <w:szCs w:val="24"/>
          <w:lang w:val="en-US"/>
        </w:rPr>
      </w:pPr>
      <w:r w:rsidRPr="0086184A">
        <w:rPr>
          <w:rStyle w:val="MDFiguretitleChar"/>
          <w:b w:val="0"/>
          <w:noProof/>
        </w:rPr>
        <w:t>Figure</w:t>
      </w:r>
      <w:r w:rsidRPr="005C258D">
        <w:rPr>
          <w:rStyle w:val="MDFiguretitleChar"/>
        </w:rPr>
        <w:t xml:space="preserve"> </w:t>
      </w:r>
      <w:r>
        <w:rPr>
          <w:rStyle w:val="MDFiguretitleChar"/>
          <w:b w:val="0"/>
          <w:noProof/>
        </w:rPr>
        <w:t>6</w:t>
      </w:r>
      <w:r w:rsidR="00071F2B">
        <w:t xml:space="preserve"> presents the utilisation of biologics for CPP by capital city and latitude.</w:t>
      </w:r>
      <w:r w:rsidR="005B5119" w:rsidRPr="005B5119">
        <w:t xml:space="preserve"> </w:t>
      </w:r>
      <w:r w:rsidR="005B5119">
        <w:t>Across the state</w:t>
      </w:r>
      <w:r w:rsidR="00932085">
        <w:t>,</w:t>
      </w:r>
      <w:r w:rsidR="005B5119">
        <w:t xml:space="preserve"> and territory capital cities there appeared to be a trend towards higher biologic utilisation in cities further south of the equator. The rate of utilisation in Hobart was three times greater than Brisbane and twice the rate of Sydney. </w:t>
      </w:r>
      <w:r w:rsidR="00B61BD8">
        <w:t xml:space="preserve">It is unlikely this difference is due to better access to dermatologists in Hobart. </w:t>
      </w:r>
    </w:p>
    <w:bookmarkEnd w:id="78"/>
    <w:bookmarkEnd w:id="79"/>
    <w:p w:rsidR="00071F2B" w:rsidRPr="00494BE0" w:rsidRDefault="00494BE0" w:rsidP="00494BE0">
      <w:pPr>
        <w:spacing w:line="276" w:lineRule="auto"/>
        <w:rPr>
          <w:rFonts w:ascii="Times New Roman" w:hAnsi="Times New Roman" w:cstheme="minorBidi"/>
          <w:lang w:val="en-AU"/>
        </w:rPr>
      </w:pPr>
      <w:r>
        <w:br w:type="page"/>
      </w:r>
    </w:p>
    <w:p w:rsidR="00C070FF" w:rsidRDefault="00A81ECD" w:rsidP="003A1A69">
      <w:pPr>
        <w:pStyle w:val="Tableheading-row"/>
        <w:rPr>
          <w:rStyle w:val="MDFiguretitleChar"/>
          <w:b/>
          <w:sz w:val="24"/>
        </w:rPr>
      </w:pPr>
      <w:bookmarkStart w:id="80" w:name="_Ref492986441"/>
      <w:r>
        <w:rPr>
          <w:noProof/>
        </w:rPr>
        <w:drawing>
          <wp:inline distT="0" distB="0" distL="0" distR="0" wp14:anchorId="43514CA3" wp14:editId="20F5E933">
            <wp:extent cx="5428615" cy="2755900"/>
            <wp:effectExtent l="0" t="0" r="635" b="6350"/>
            <wp:docPr id="1" name="Picture 1" descr="Utilisation of biologics in capital cities by latitude " title="Utilisation of biologics in capital cities by latitud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428615" cy="2755900"/>
                    </a:xfrm>
                    <a:prstGeom prst="rect">
                      <a:avLst/>
                    </a:prstGeom>
                    <a:noFill/>
                  </pic:spPr>
                </pic:pic>
              </a:graphicData>
            </a:graphic>
          </wp:inline>
        </w:drawing>
      </w:r>
    </w:p>
    <w:p w:rsidR="00071F2B" w:rsidRPr="005C258D" w:rsidRDefault="00071F2B" w:rsidP="005C258D">
      <w:pPr>
        <w:pStyle w:val="MDFiguretitle"/>
        <w:rPr>
          <w:rStyle w:val="MDFiguretitleChar"/>
          <w:b/>
        </w:rPr>
      </w:pPr>
      <w:bookmarkStart w:id="81" w:name="_Toc501632425"/>
      <w:r w:rsidRPr="005C258D">
        <w:rPr>
          <w:rStyle w:val="MDFiguretitleChar"/>
          <w:b/>
        </w:rPr>
        <w:t xml:space="preserve">Figure </w:t>
      </w:r>
      <w:r w:rsidR="0086184A">
        <w:rPr>
          <w:rStyle w:val="MDFiguretitleChar"/>
          <w:b/>
          <w:noProof/>
        </w:rPr>
        <w:t>6</w:t>
      </w:r>
      <w:bookmarkEnd w:id="80"/>
      <w:r w:rsidRPr="005C258D">
        <w:rPr>
          <w:rStyle w:val="MDFiguretitleChar"/>
          <w:b/>
        </w:rPr>
        <w:t>: Utilisation by latitude for capital cities</w:t>
      </w:r>
      <w:r w:rsidR="00A81ECD" w:rsidRPr="005C258D">
        <w:rPr>
          <w:rStyle w:val="MDFiguretitleChar"/>
          <w:b/>
        </w:rPr>
        <w:t xml:space="preserve"> (age-adjusted)</w:t>
      </w:r>
      <w:bookmarkEnd w:id="81"/>
    </w:p>
    <w:p w:rsidR="00071F2B" w:rsidRDefault="00071F2B" w:rsidP="00932085">
      <w:pPr>
        <w:pStyle w:val="TableFooter"/>
      </w:pPr>
      <w:r>
        <w:t xml:space="preserve">Source: </w:t>
      </w:r>
      <w:r w:rsidR="009D6075" w:rsidRPr="00F32C5D">
        <w:t>DHS Supplied prescriptions database</w:t>
      </w:r>
      <w:r w:rsidR="009D6075">
        <w:t xml:space="preserve"> (date of supply), extracted May 2017</w:t>
      </w:r>
      <w:r>
        <w:t>, ABS Regional Population Growth, Australia (March 2017 release), ABS Postcode 2016 to SA4 2016 Correspondence table.</w:t>
      </w:r>
    </w:p>
    <w:p w:rsidR="00BC4BF6" w:rsidRPr="00606869" w:rsidRDefault="00071F2B" w:rsidP="00932085">
      <w:pPr>
        <w:pStyle w:val="TableFooter"/>
      </w:pPr>
      <w:r>
        <w:t>Note: The size of the circles represent the size of the g</w:t>
      </w:r>
      <w:r w:rsidR="00932085">
        <w:t>reater capital city population.</w:t>
      </w:r>
    </w:p>
    <w:p w:rsidR="00EA7F97" w:rsidRDefault="0086184A" w:rsidP="00932085">
      <w:pPr>
        <w:rPr>
          <w:i/>
        </w:rPr>
      </w:pPr>
      <w:r w:rsidRPr="005C258D">
        <w:t xml:space="preserve">Figure </w:t>
      </w:r>
      <w:r>
        <w:rPr>
          <w:noProof/>
        </w:rPr>
        <w:t>7</w:t>
      </w:r>
      <w:r w:rsidR="00071F2B">
        <w:t xml:space="preserve"> presents the utilisation of biologics for CPP by major centres (excluding capital cities) by latitude</w:t>
      </w:r>
      <w:r w:rsidR="00EA7F97">
        <w:t xml:space="preserve">. </w:t>
      </w:r>
      <w:r w:rsidR="00B61BD8">
        <w:t xml:space="preserve">Generally, biologics appeared to be more frequently used in areas that were further south. </w:t>
      </w:r>
      <w:r w:rsidR="00B61BD8" w:rsidRPr="0086792D">
        <w:t xml:space="preserve">The rates of biologic use for psoriasis may differ between areas based on the accessibility of dermatologists. </w:t>
      </w:r>
      <w:r w:rsidR="00E670C1" w:rsidRPr="0086792D">
        <w:t>Areas where people with severe psoriasis cannot easily access specialist dermatology treatment may have lower rates of biologic use.</w:t>
      </w:r>
      <w:r w:rsidR="00E670C1">
        <w:rPr>
          <w:i/>
        </w:rPr>
        <w:t xml:space="preserve"> </w:t>
      </w:r>
    </w:p>
    <w:p w:rsidR="00071F2B" w:rsidRDefault="00A81ECD" w:rsidP="00071F2B">
      <w:pPr>
        <w:keepNext/>
        <w:spacing w:after="0"/>
      </w:pPr>
      <w:r>
        <w:rPr>
          <w:noProof/>
          <w:lang w:val="en-AU"/>
        </w:rPr>
        <w:drawing>
          <wp:inline distT="0" distB="0" distL="0" distR="0" wp14:anchorId="15001728" wp14:editId="3F8513E7">
            <wp:extent cx="5766024" cy="2514600"/>
            <wp:effectExtent l="0" t="0" r="6350" b="0"/>
            <wp:docPr id="3" name="Picture 3" descr="Major centres included are Cairns, Townsville, Sunshine Coast, Gold Coast, Toowoomba, Newcastle, Woollongong, Ballarat, Geelong, and Launceston. " title="Utilisation of biologics by major latitude for major centres (age-adjus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82381" cy="2521733"/>
                    </a:xfrm>
                    <a:prstGeom prst="rect">
                      <a:avLst/>
                    </a:prstGeom>
                    <a:noFill/>
                  </pic:spPr>
                </pic:pic>
              </a:graphicData>
            </a:graphic>
          </wp:inline>
        </w:drawing>
      </w:r>
    </w:p>
    <w:p w:rsidR="00071F2B" w:rsidRPr="005C258D" w:rsidRDefault="00071F2B" w:rsidP="005C258D">
      <w:pPr>
        <w:pStyle w:val="MDFiguretitle"/>
      </w:pPr>
      <w:bookmarkStart w:id="82" w:name="_Ref492986717"/>
      <w:bookmarkStart w:id="83" w:name="_Toc501632426"/>
      <w:r w:rsidRPr="005C258D">
        <w:t xml:space="preserve">Figure </w:t>
      </w:r>
      <w:r w:rsidR="0086184A">
        <w:rPr>
          <w:noProof/>
        </w:rPr>
        <w:t>7</w:t>
      </w:r>
      <w:bookmarkEnd w:id="82"/>
      <w:r w:rsidRPr="005C258D">
        <w:t>:</w:t>
      </w:r>
      <w:r w:rsidRPr="005C258D">
        <w:rPr>
          <w:rStyle w:val="FigureChar"/>
          <w:rFonts w:asciiTheme="minorHAnsi" w:eastAsiaTheme="minorEastAsia" w:hAnsiTheme="minorHAnsi" w:cs="Calibri"/>
          <w:b/>
          <w:color w:val="auto"/>
        </w:rPr>
        <w:t xml:space="preserve"> Utilisation by major latitude for major centres</w:t>
      </w:r>
      <w:r w:rsidR="00A81ECD" w:rsidRPr="005C258D">
        <w:rPr>
          <w:rStyle w:val="FigureChar"/>
          <w:rFonts w:asciiTheme="minorHAnsi" w:eastAsiaTheme="minorEastAsia" w:hAnsiTheme="minorHAnsi" w:cs="Calibri"/>
          <w:b/>
          <w:color w:val="auto"/>
        </w:rPr>
        <w:t xml:space="preserve"> (age-adjusted)</w:t>
      </w:r>
      <w:bookmarkEnd w:id="83"/>
    </w:p>
    <w:p w:rsidR="00071F2B" w:rsidRDefault="00071F2B" w:rsidP="00FD32F4">
      <w:pPr>
        <w:pStyle w:val="Figurecaption"/>
      </w:pPr>
      <w:r w:rsidRPr="00C9683D">
        <w:t xml:space="preserve">Source: </w:t>
      </w:r>
      <w:r w:rsidR="009D6075" w:rsidRPr="00F32C5D">
        <w:t>DHS Supplied prescriptions database</w:t>
      </w:r>
      <w:r w:rsidR="009D6075">
        <w:t xml:space="preserve"> (date of supply), extracted May 2017</w:t>
      </w:r>
      <w:r w:rsidRPr="00C9683D">
        <w:t xml:space="preserve"> </w:t>
      </w:r>
    </w:p>
    <w:p w:rsidR="00C67B3E" w:rsidRPr="0086792D" w:rsidRDefault="00EB3597" w:rsidP="00C67B3E">
      <w:r w:rsidRPr="0086792D">
        <w:t xml:space="preserve">In capital cities and major centres, use of biologics appeared to be higher in more southern areas. </w:t>
      </w:r>
      <w:r w:rsidR="00C67B3E" w:rsidRPr="0086792D">
        <w:t xml:space="preserve">This may be </w:t>
      </w:r>
      <w:r w:rsidRPr="0086792D">
        <w:t xml:space="preserve">because psoriasis is more common in areas of Australia that are further away from the equator. </w:t>
      </w:r>
      <w:r w:rsidR="00932085">
        <w:t xml:space="preserve">This was in line with other research conducted internationally (see </w:t>
      </w:r>
      <w:r w:rsidR="0086184A">
        <w:rPr>
          <w:lang w:eastAsia="en-GB"/>
        </w:rPr>
        <w:t>3.2.1</w:t>
      </w:r>
      <w:r w:rsidR="0086184A">
        <w:rPr>
          <w:lang w:eastAsia="en-GB"/>
        </w:rPr>
        <w:tab/>
      </w:r>
      <w:r w:rsidR="0086184A" w:rsidRPr="00304385">
        <w:rPr>
          <w:lang w:eastAsia="en-GB"/>
        </w:rPr>
        <w:t>Prevalence of psoriasis in Australia</w:t>
      </w:r>
      <w:r w:rsidR="00932085">
        <w:t xml:space="preserve"> above).</w:t>
      </w:r>
    </w:p>
    <w:p w:rsidR="0086184A" w:rsidRDefault="0086792D" w:rsidP="0086184A">
      <w:pPr>
        <w:pStyle w:val="MDsubHead3"/>
      </w:pPr>
      <w:r>
        <w:t>Analysis of expenditure</w:t>
      </w:r>
    </w:p>
    <w:p w:rsidR="00071F2B" w:rsidRDefault="0086184A" w:rsidP="00071F2B">
      <w:pPr>
        <w:rPr>
          <w:sz w:val="23"/>
          <w:szCs w:val="23"/>
        </w:rPr>
      </w:pPr>
      <w:r>
        <w:t xml:space="preserve">Table </w:t>
      </w:r>
      <w:r>
        <w:rPr>
          <w:noProof/>
        </w:rPr>
        <w:t>10</w:t>
      </w:r>
      <w:r w:rsidR="00071F2B">
        <w:t xml:space="preserve"> </w:t>
      </w:r>
      <w:r w:rsidR="00071F2B" w:rsidRPr="002E09D3">
        <w:t>presents the total benefits paid</w:t>
      </w:r>
      <w:r w:rsidR="00CF10AE">
        <w:t xml:space="preserve"> (published prices)</w:t>
      </w:r>
      <w:r w:rsidR="00071F2B" w:rsidRPr="002E09D3">
        <w:t xml:space="preserve"> for biologics used for CPP per calendar year between 2013</w:t>
      </w:r>
      <w:r w:rsidR="00071F2B">
        <w:t xml:space="preserve"> and 2016</w:t>
      </w:r>
      <w:r w:rsidR="005B5119">
        <w:t xml:space="preserve">. </w:t>
      </w:r>
      <w:r w:rsidR="00A2513E">
        <w:t>Special</w:t>
      </w:r>
      <w:r w:rsidR="00663B7B">
        <w:t xml:space="preserve"> pricing arrangements </w:t>
      </w:r>
      <w:r w:rsidR="001F4B18">
        <w:t>apply for some</w:t>
      </w:r>
      <w:r w:rsidR="00A2513E">
        <w:t xml:space="preserve"> </w:t>
      </w:r>
      <w:r w:rsidR="00663B7B">
        <w:t>PBS</w:t>
      </w:r>
      <w:r w:rsidR="0086792D">
        <w:noBreakHyphen/>
      </w:r>
      <w:r w:rsidR="00663B7B">
        <w:t xml:space="preserve">listed biologics </w:t>
      </w:r>
      <w:r w:rsidR="00663B7B">
        <w:rPr>
          <w:sz w:val="23"/>
          <w:szCs w:val="23"/>
        </w:rPr>
        <w:t>for psoriasis, hence the figures in the table are only indicative of trends.</w:t>
      </w:r>
    </w:p>
    <w:p w:rsidR="001F4B18" w:rsidRDefault="0021066C" w:rsidP="00377494">
      <w:r w:rsidRPr="002E09D3">
        <w:t>Total expenditure on biologics for CPP has increased substantially from $79 million in 2014, (the first full year of data)</w:t>
      </w:r>
      <w:r>
        <w:t xml:space="preserve"> to over $121 million in 2016. </w:t>
      </w:r>
      <w:bookmarkStart w:id="84" w:name="_Ref492986884"/>
    </w:p>
    <w:p w:rsidR="00071F2B" w:rsidRDefault="00071F2B" w:rsidP="001040FA">
      <w:pPr>
        <w:pStyle w:val="MDTabCaption"/>
      </w:pPr>
      <w:bookmarkStart w:id="85" w:name="_Toc501632404"/>
      <w:r>
        <w:t xml:space="preserve">Table </w:t>
      </w:r>
      <w:r w:rsidR="0086184A">
        <w:rPr>
          <w:noProof/>
        </w:rPr>
        <w:t>10</w:t>
      </w:r>
      <w:bookmarkEnd w:id="84"/>
      <w:r>
        <w:t xml:space="preserve">: </w:t>
      </w:r>
      <w:r w:rsidRPr="002E09D3">
        <w:t xml:space="preserve">Biologic expenditure for </w:t>
      </w:r>
      <w:r w:rsidR="001040FA">
        <w:t xml:space="preserve">severe </w:t>
      </w:r>
      <w:r w:rsidR="00891E82">
        <w:t>CPP</w:t>
      </w:r>
      <w:bookmarkEnd w:id="85"/>
    </w:p>
    <w:tbl>
      <w:tblPr>
        <w:tblW w:w="902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0"/>
        <w:gridCol w:w="1466"/>
        <w:gridCol w:w="1466"/>
        <w:gridCol w:w="1466"/>
        <w:gridCol w:w="1643"/>
      </w:tblGrid>
      <w:tr w:rsidR="00071F2B" w:rsidRPr="00245AA8" w:rsidTr="00F35E2C">
        <w:trPr>
          <w:trHeight w:val="20"/>
        </w:trPr>
        <w:tc>
          <w:tcPr>
            <w:tcW w:w="2980" w:type="dxa"/>
            <w:shd w:val="clear" w:color="auto" w:fill="BFBFBF" w:themeFill="background1" w:themeFillShade="BF"/>
            <w:vAlign w:val="center"/>
          </w:tcPr>
          <w:p w:rsidR="00071F2B" w:rsidRPr="00977736" w:rsidRDefault="00071F2B" w:rsidP="00F35E2C">
            <w:pPr>
              <w:pStyle w:val="TableFootnote0"/>
              <w:keepLines/>
              <w:spacing w:after="60"/>
              <w:rPr>
                <w:b/>
              </w:rPr>
            </w:pPr>
            <w:r w:rsidRPr="00977736">
              <w:rPr>
                <w:b/>
              </w:rPr>
              <w:t>Listing years</w:t>
            </w:r>
          </w:p>
        </w:tc>
        <w:tc>
          <w:tcPr>
            <w:tcW w:w="1466" w:type="dxa"/>
            <w:shd w:val="clear" w:color="auto" w:fill="BFBFBF" w:themeFill="background1" w:themeFillShade="BF"/>
            <w:vAlign w:val="bottom"/>
          </w:tcPr>
          <w:p w:rsidR="00071F2B" w:rsidRPr="00977736" w:rsidRDefault="00071F2B" w:rsidP="00726E6A">
            <w:pPr>
              <w:pStyle w:val="TableFootnote0"/>
              <w:keepLines/>
              <w:spacing w:after="60"/>
              <w:rPr>
                <w:b/>
                <w:vertAlign w:val="superscript"/>
              </w:rPr>
            </w:pPr>
            <w:r w:rsidRPr="00977736">
              <w:rPr>
                <w:b/>
              </w:rPr>
              <w:t>2013</w:t>
            </w:r>
            <w:r w:rsidRPr="00977736">
              <w:rPr>
                <w:b/>
                <w:vertAlign w:val="superscript"/>
              </w:rPr>
              <w:t>a</w:t>
            </w:r>
          </w:p>
        </w:tc>
        <w:tc>
          <w:tcPr>
            <w:tcW w:w="1466" w:type="dxa"/>
            <w:shd w:val="clear" w:color="auto" w:fill="BFBFBF" w:themeFill="background1" w:themeFillShade="BF"/>
            <w:vAlign w:val="bottom"/>
          </w:tcPr>
          <w:p w:rsidR="00071F2B" w:rsidRPr="00977736" w:rsidRDefault="00071F2B" w:rsidP="00726E6A">
            <w:pPr>
              <w:pStyle w:val="TableFootnote0"/>
              <w:keepLines/>
              <w:spacing w:after="60"/>
              <w:rPr>
                <w:b/>
              </w:rPr>
            </w:pPr>
            <w:r w:rsidRPr="00977736">
              <w:rPr>
                <w:b/>
              </w:rPr>
              <w:t>2014</w:t>
            </w:r>
          </w:p>
        </w:tc>
        <w:tc>
          <w:tcPr>
            <w:tcW w:w="1466" w:type="dxa"/>
            <w:shd w:val="clear" w:color="auto" w:fill="BFBFBF" w:themeFill="background1" w:themeFillShade="BF"/>
            <w:vAlign w:val="bottom"/>
          </w:tcPr>
          <w:p w:rsidR="00071F2B" w:rsidRPr="00977736" w:rsidRDefault="00071F2B" w:rsidP="00726E6A">
            <w:pPr>
              <w:pStyle w:val="TableFootnote0"/>
              <w:keepLines/>
              <w:spacing w:after="60"/>
              <w:rPr>
                <w:b/>
              </w:rPr>
            </w:pPr>
            <w:r w:rsidRPr="00977736">
              <w:rPr>
                <w:b/>
              </w:rPr>
              <w:t>2015</w:t>
            </w:r>
          </w:p>
        </w:tc>
        <w:tc>
          <w:tcPr>
            <w:tcW w:w="1643" w:type="dxa"/>
            <w:shd w:val="clear" w:color="auto" w:fill="BFBFBF" w:themeFill="background1" w:themeFillShade="BF"/>
            <w:vAlign w:val="bottom"/>
          </w:tcPr>
          <w:p w:rsidR="00071F2B" w:rsidRPr="00977736" w:rsidRDefault="00071F2B" w:rsidP="00726E6A">
            <w:pPr>
              <w:pStyle w:val="TableFootnote0"/>
              <w:keepLines/>
              <w:spacing w:after="60"/>
              <w:rPr>
                <w:b/>
              </w:rPr>
            </w:pPr>
            <w:r w:rsidRPr="00977736">
              <w:rPr>
                <w:b/>
              </w:rPr>
              <w:t>2016</w:t>
            </w:r>
          </w:p>
        </w:tc>
      </w:tr>
      <w:tr w:rsidR="00071F2B" w:rsidRPr="00245AA8" w:rsidTr="00071F2B">
        <w:trPr>
          <w:trHeight w:val="20"/>
        </w:trPr>
        <w:tc>
          <w:tcPr>
            <w:tcW w:w="2980" w:type="dxa"/>
          </w:tcPr>
          <w:p w:rsidR="00071F2B" w:rsidRPr="00245AA8" w:rsidRDefault="00071F2B" w:rsidP="00071F2B">
            <w:pPr>
              <w:pStyle w:val="TableTextDusc"/>
              <w:keepNext/>
              <w:keepLines/>
              <w:rPr>
                <w:rFonts w:eastAsia="Times New Roman" w:cs="Times New Roman"/>
                <w:b/>
              </w:rPr>
            </w:pPr>
            <w:r>
              <w:t>Adalimumab</w:t>
            </w:r>
          </w:p>
        </w:tc>
        <w:tc>
          <w:tcPr>
            <w:tcW w:w="1466" w:type="dxa"/>
            <w:vAlign w:val="bottom"/>
          </w:tcPr>
          <w:p w:rsidR="00071F2B" w:rsidRPr="00245AA8" w:rsidRDefault="00071F2B" w:rsidP="00071F2B">
            <w:pPr>
              <w:pStyle w:val="TableTextDusc"/>
              <w:keepNext/>
              <w:keepLines/>
            </w:pPr>
            <w:r w:rsidRPr="00245AA8">
              <w:t>$11,724,985</w:t>
            </w:r>
            <w:r w:rsidR="000B674B" w:rsidRPr="000B674B">
              <w:rPr>
                <w:vertAlign w:val="superscript"/>
              </w:rPr>
              <w:t>b</w:t>
            </w:r>
          </w:p>
        </w:tc>
        <w:tc>
          <w:tcPr>
            <w:tcW w:w="1466" w:type="dxa"/>
            <w:vAlign w:val="bottom"/>
          </w:tcPr>
          <w:p w:rsidR="00071F2B" w:rsidRPr="00245AA8" w:rsidRDefault="00071F2B" w:rsidP="00071F2B">
            <w:pPr>
              <w:pStyle w:val="TableTextDusc"/>
              <w:keepNext/>
              <w:keepLines/>
              <w:rPr>
                <w:rFonts w:eastAsia="Times New Roman" w:cs="Times New Roman"/>
              </w:rPr>
            </w:pPr>
            <w:r w:rsidRPr="00245AA8">
              <w:t>$21,961,118</w:t>
            </w:r>
            <w:r w:rsidR="000B674B" w:rsidRPr="000B674B">
              <w:rPr>
                <w:vertAlign w:val="superscript"/>
              </w:rPr>
              <w:t>b</w:t>
            </w:r>
          </w:p>
        </w:tc>
        <w:tc>
          <w:tcPr>
            <w:tcW w:w="1466" w:type="dxa"/>
            <w:vAlign w:val="bottom"/>
          </w:tcPr>
          <w:p w:rsidR="00071F2B" w:rsidRPr="00245AA8" w:rsidRDefault="00071F2B" w:rsidP="00071F2B">
            <w:pPr>
              <w:pStyle w:val="TableTextDusc"/>
              <w:keepNext/>
              <w:keepLines/>
              <w:rPr>
                <w:rFonts w:eastAsia="Times New Roman" w:cs="Times New Roman"/>
              </w:rPr>
            </w:pPr>
            <w:r w:rsidRPr="00245AA8">
              <w:t>$24,103,684</w:t>
            </w:r>
            <w:r w:rsidR="000B674B" w:rsidRPr="000B674B">
              <w:rPr>
                <w:vertAlign w:val="superscript"/>
              </w:rPr>
              <w:t>b</w:t>
            </w:r>
          </w:p>
        </w:tc>
        <w:tc>
          <w:tcPr>
            <w:tcW w:w="1643" w:type="dxa"/>
            <w:vAlign w:val="bottom"/>
          </w:tcPr>
          <w:p w:rsidR="00071F2B" w:rsidRPr="00245AA8" w:rsidRDefault="00071F2B" w:rsidP="000B674B">
            <w:pPr>
              <w:pStyle w:val="TableTextDusc"/>
              <w:keepNext/>
              <w:keepLines/>
              <w:rPr>
                <w:rFonts w:eastAsia="Times New Roman" w:cs="Times New Roman"/>
              </w:rPr>
            </w:pPr>
            <w:r w:rsidRPr="00245AA8">
              <w:t>$24,530,716</w:t>
            </w:r>
            <w:r w:rsidR="000B674B" w:rsidRPr="000B674B">
              <w:rPr>
                <w:vertAlign w:val="superscript"/>
              </w:rPr>
              <w:t>b</w:t>
            </w:r>
          </w:p>
        </w:tc>
      </w:tr>
      <w:tr w:rsidR="00071F2B" w:rsidRPr="00245AA8" w:rsidTr="00071F2B">
        <w:trPr>
          <w:trHeight w:val="20"/>
        </w:trPr>
        <w:tc>
          <w:tcPr>
            <w:tcW w:w="2980" w:type="dxa"/>
          </w:tcPr>
          <w:p w:rsidR="00071F2B" w:rsidRPr="00245AA8" w:rsidRDefault="00071F2B" w:rsidP="00071F2B">
            <w:pPr>
              <w:pStyle w:val="TableTextDusc"/>
              <w:keepNext/>
              <w:keepLines/>
              <w:rPr>
                <w:rFonts w:eastAsia="Times New Roman" w:cs="Times New Roman"/>
                <w:b/>
              </w:rPr>
            </w:pPr>
            <w:r w:rsidRPr="00245AA8">
              <w:t>Etanercept</w:t>
            </w:r>
          </w:p>
        </w:tc>
        <w:tc>
          <w:tcPr>
            <w:tcW w:w="1466" w:type="dxa"/>
            <w:vAlign w:val="bottom"/>
          </w:tcPr>
          <w:p w:rsidR="00071F2B" w:rsidRPr="00245AA8" w:rsidRDefault="00071F2B" w:rsidP="00071F2B">
            <w:pPr>
              <w:pStyle w:val="TableTextDusc"/>
              <w:keepNext/>
              <w:keepLines/>
            </w:pPr>
            <w:r w:rsidRPr="00245AA8">
              <w:t>$3,408,964</w:t>
            </w:r>
            <w:r w:rsidR="000B674B" w:rsidRPr="000B674B">
              <w:rPr>
                <w:vertAlign w:val="superscript"/>
              </w:rPr>
              <w:t>b</w:t>
            </w:r>
          </w:p>
        </w:tc>
        <w:tc>
          <w:tcPr>
            <w:tcW w:w="1466" w:type="dxa"/>
            <w:vAlign w:val="bottom"/>
          </w:tcPr>
          <w:p w:rsidR="00071F2B" w:rsidRPr="00245AA8" w:rsidRDefault="00071F2B" w:rsidP="00071F2B">
            <w:pPr>
              <w:pStyle w:val="TableTextDusc"/>
              <w:keepNext/>
              <w:keepLines/>
              <w:rPr>
                <w:rFonts w:eastAsia="Times New Roman" w:cs="Times New Roman"/>
              </w:rPr>
            </w:pPr>
            <w:r w:rsidRPr="00245AA8">
              <w:t>$4,667,700</w:t>
            </w:r>
            <w:r w:rsidR="000B674B" w:rsidRPr="000B674B">
              <w:rPr>
                <w:vertAlign w:val="superscript"/>
              </w:rPr>
              <w:t>b</w:t>
            </w:r>
          </w:p>
        </w:tc>
        <w:tc>
          <w:tcPr>
            <w:tcW w:w="1466" w:type="dxa"/>
            <w:vAlign w:val="bottom"/>
          </w:tcPr>
          <w:p w:rsidR="00071F2B" w:rsidRPr="00245AA8" w:rsidRDefault="00071F2B" w:rsidP="00071F2B">
            <w:pPr>
              <w:pStyle w:val="TableTextDusc"/>
              <w:keepNext/>
              <w:keepLines/>
              <w:rPr>
                <w:rFonts w:eastAsia="Times New Roman" w:cs="Times New Roman"/>
              </w:rPr>
            </w:pPr>
            <w:r w:rsidRPr="00245AA8">
              <w:t>$5,909,870</w:t>
            </w:r>
            <w:r w:rsidR="000B674B" w:rsidRPr="000B674B">
              <w:rPr>
                <w:vertAlign w:val="superscript"/>
              </w:rPr>
              <w:t>b</w:t>
            </w:r>
          </w:p>
        </w:tc>
        <w:tc>
          <w:tcPr>
            <w:tcW w:w="1643" w:type="dxa"/>
            <w:vAlign w:val="bottom"/>
          </w:tcPr>
          <w:p w:rsidR="00071F2B" w:rsidRPr="00245AA8" w:rsidRDefault="00071F2B" w:rsidP="00071F2B">
            <w:pPr>
              <w:pStyle w:val="TableTextDusc"/>
              <w:keepNext/>
              <w:keepLines/>
              <w:rPr>
                <w:rFonts w:eastAsia="Times New Roman" w:cs="Times New Roman"/>
              </w:rPr>
            </w:pPr>
            <w:r w:rsidRPr="00245AA8">
              <w:t>$6,532,959</w:t>
            </w:r>
            <w:r w:rsidR="000B674B" w:rsidRPr="000B674B">
              <w:rPr>
                <w:vertAlign w:val="superscript"/>
              </w:rPr>
              <w:t>b</w:t>
            </w:r>
          </w:p>
        </w:tc>
      </w:tr>
      <w:tr w:rsidR="00071F2B" w:rsidRPr="00245AA8" w:rsidTr="00071F2B">
        <w:trPr>
          <w:trHeight w:val="20"/>
        </w:trPr>
        <w:tc>
          <w:tcPr>
            <w:tcW w:w="2980" w:type="dxa"/>
          </w:tcPr>
          <w:p w:rsidR="00071F2B" w:rsidRPr="00245AA8" w:rsidRDefault="00071F2B" w:rsidP="00071F2B">
            <w:pPr>
              <w:pStyle w:val="TableTextDusc"/>
              <w:keepNext/>
              <w:keepLines/>
              <w:rPr>
                <w:rFonts w:eastAsia="Times New Roman" w:cs="Times New Roman"/>
                <w:b/>
              </w:rPr>
            </w:pPr>
            <w:r w:rsidRPr="00245AA8">
              <w:t>Infliximab</w:t>
            </w:r>
          </w:p>
        </w:tc>
        <w:tc>
          <w:tcPr>
            <w:tcW w:w="1466" w:type="dxa"/>
            <w:vAlign w:val="bottom"/>
          </w:tcPr>
          <w:p w:rsidR="00071F2B" w:rsidRPr="00245AA8" w:rsidRDefault="00071F2B" w:rsidP="00071F2B">
            <w:pPr>
              <w:pStyle w:val="TableTextDusc"/>
              <w:keepNext/>
              <w:keepLines/>
            </w:pPr>
            <w:r w:rsidRPr="00245AA8">
              <w:t>$3,698,230</w:t>
            </w:r>
          </w:p>
        </w:tc>
        <w:tc>
          <w:tcPr>
            <w:tcW w:w="1466" w:type="dxa"/>
            <w:vAlign w:val="bottom"/>
          </w:tcPr>
          <w:p w:rsidR="00071F2B" w:rsidRPr="00245AA8" w:rsidRDefault="00071F2B" w:rsidP="00071F2B">
            <w:pPr>
              <w:pStyle w:val="TableTextDusc"/>
              <w:keepNext/>
              <w:keepLines/>
              <w:rPr>
                <w:rFonts w:eastAsia="Times New Roman" w:cs="Times New Roman"/>
              </w:rPr>
            </w:pPr>
            <w:r w:rsidRPr="00245AA8">
              <w:t>$5,307,585</w:t>
            </w:r>
          </w:p>
        </w:tc>
        <w:tc>
          <w:tcPr>
            <w:tcW w:w="1466" w:type="dxa"/>
            <w:vAlign w:val="bottom"/>
          </w:tcPr>
          <w:p w:rsidR="00071F2B" w:rsidRPr="00245AA8" w:rsidRDefault="00071F2B" w:rsidP="00071F2B">
            <w:pPr>
              <w:pStyle w:val="TableTextDusc"/>
              <w:keepNext/>
              <w:keepLines/>
              <w:rPr>
                <w:rFonts w:eastAsia="Times New Roman" w:cs="Times New Roman"/>
              </w:rPr>
            </w:pPr>
            <w:r w:rsidRPr="00245AA8">
              <w:t>$7,231,884</w:t>
            </w:r>
          </w:p>
        </w:tc>
        <w:tc>
          <w:tcPr>
            <w:tcW w:w="1643" w:type="dxa"/>
            <w:vAlign w:val="bottom"/>
          </w:tcPr>
          <w:p w:rsidR="00071F2B" w:rsidRPr="00245AA8" w:rsidRDefault="00071F2B" w:rsidP="00071F2B">
            <w:pPr>
              <w:pStyle w:val="TableTextDusc"/>
              <w:keepNext/>
              <w:keepLines/>
              <w:rPr>
                <w:rFonts w:eastAsia="Times New Roman" w:cs="Times New Roman"/>
              </w:rPr>
            </w:pPr>
            <w:r w:rsidRPr="00245AA8">
              <w:t>$7,357,199</w:t>
            </w:r>
          </w:p>
        </w:tc>
      </w:tr>
      <w:tr w:rsidR="00071F2B" w:rsidRPr="00245AA8" w:rsidTr="00071F2B">
        <w:trPr>
          <w:trHeight w:val="20"/>
        </w:trPr>
        <w:tc>
          <w:tcPr>
            <w:tcW w:w="2980" w:type="dxa"/>
          </w:tcPr>
          <w:p w:rsidR="00071F2B" w:rsidRPr="00245AA8" w:rsidRDefault="00071F2B" w:rsidP="00071F2B">
            <w:pPr>
              <w:pStyle w:val="TableTextDusc"/>
              <w:keepNext/>
              <w:keepLines/>
              <w:rPr>
                <w:rFonts w:eastAsia="Times New Roman" w:cs="Times New Roman"/>
              </w:rPr>
            </w:pPr>
            <w:r w:rsidRPr="00245AA8">
              <w:rPr>
                <w:rFonts w:eastAsia="Times New Roman" w:cs="Times New Roman"/>
              </w:rPr>
              <w:t>Secukinumab</w:t>
            </w:r>
          </w:p>
        </w:tc>
        <w:tc>
          <w:tcPr>
            <w:tcW w:w="1466" w:type="dxa"/>
            <w:vAlign w:val="bottom"/>
          </w:tcPr>
          <w:p w:rsidR="00071F2B" w:rsidRPr="00245AA8" w:rsidRDefault="00F76CA1" w:rsidP="00071F2B">
            <w:pPr>
              <w:pStyle w:val="TableTextDusc"/>
              <w:keepNext/>
              <w:keepLines/>
            </w:pPr>
            <w:r>
              <w:t>-</w:t>
            </w:r>
          </w:p>
        </w:tc>
        <w:tc>
          <w:tcPr>
            <w:tcW w:w="1466" w:type="dxa"/>
            <w:vAlign w:val="bottom"/>
          </w:tcPr>
          <w:p w:rsidR="00071F2B" w:rsidRPr="00245AA8" w:rsidRDefault="00F76CA1" w:rsidP="00071F2B">
            <w:pPr>
              <w:pStyle w:val="TableTextDusc"/>
              <w:keepNext/>
              <w:keepLines/>
              <w:rPr>
                <w:rFonts w:eastAsia="Times New Roman" w:cs="Times New Roman"/>
              </w:rPr>
            </w:pPr>
            <w:r>
              <w:t>-</w:t>
            </w:r>
          </w:p>
        </w:tc>
        <w:tc>
          <w:tcPr>
            <w:tcW w:w="1466" w:type="dxa"/>
            <w:vAlign w:val="bottom"/>
          </w:tcPr>
          <w:p w:rsidR="00071F2B" w:rsidRPr="00245AA8" w:rsidRDefault="00071F2B" w:rsidP="00071F2B">
            <w:pPr>
              <w:pStyle w:val="TableTextDusc"/>
              <w:keepNext/>
              <w:keepLines/>
              <w:rPr>
                <w:rFonts w:eastAsia="Times New Roman" w:cs="Times New Roman"/>
              </w:rPr>
            </w:pPr>
            <w:r w:rsidRPr="00245AA8">
              <w:t>$3,205,624</w:t>
            </w:r>
            <w:r w:rsidR="000B674B" w:rsidRPr="000B674B">
              <w:rPr>
                <w:vertAlign w:val="superscript"/>
              </w:rPr>
              <w:t>b</w:t>
            </w:r>
          </w:p>
        </w:tc>
        <w:tc>
          <w:tcPr>
            <w:tcW w:w="1643" w:type="dxa"/>
            <w:vAlign w:val="bottom"/>
          </w:tcPr>
          <w:p w:rsidR="00071F2B" w:rsidRPr="00245AA8" w:rsidRDefault="00071F2B" w:rsidP="00071F2B">
            <w:pPr>
              <w:pStyle w:val="TableTextDusc"/>
              <w:keepNext/>
              <w:keepLines/>
              <w:rPr>
                <w:rFonts w:eastAsia="Times New Roman" w:cs="Times New Roman"/>
              </w:rPr>
            </w:pPr>
            <w:r w:rsidRPr="00245AA8">
              <w:t>$20,144,662</w:t>
            </w:r>
            <w:r w:rsidR="000B674B" w:rsidRPr="000B674B">
              <w:rPr>
                <w:vertAlign w:val="superscript"/>
              </w:rPr>
              <w:t>b</w:t>
            </w:r>
          </w:p>
        </w:tc>
      </w:tr>
      <w:tr w:rsidR="00071F2B" w:rsidRPr="00245AA8" w:rsidTr="00071F2B">
        <w:trPr>
          <w:trHeight w:val="60"/>
        </w:trPr>
        <w:tc>
          <w:tcPr>
            <w:tcW w:w="2980" w:type="dxa"/>
          </w:tcPr>
          <w:p w:rsidR="00071F2B" w:rsidRPr="00245AA8" w:rsidRDefault="00071F2B" w:rsidP="00071F2B">
            <w:pPr>
              <w:pStyle w:val="TableTextDusc"/>
              <w:keepNext/>
              <w:keepLines/>
              <w:rPr>
                <w:rFonts w:eastAsia="Times New Roman" w:cs="Times New Roman"/>
              </w:rPr>
            </w:pPr>
            <w:r w:rsidRPr="00245AA8">
              <w:rPr>
                <w:rFonts w:eastAsia="Times New Roman" w:cs="Times New Roman"/>
              </w:rPr>
              <w:t>Ustekinumab</w:t>
            </w:r>
          </w:p>
        </w:tc>
        <w:tc>
          <w:tcPr>
            <w:tcW w:w="1466" w:type="dxa"/>
            <w:vAlign w:val="bottom"/>
          </w:tcPr>
          <w:p w:rsidR="00071F2B" w:rsidRPr="00245AA8" w:rsidRDefault="00071F2B" w:rsidP="00071F2B">
            <w:pPr>
              <w:pStyle w:val="TableTextDusc"/>
              <w:keepNext/>
              <w:keepLines/>
            </w:pPr>
            <w:r w:rsidRPr="00245AA8">
              <w:t>$19,358,908</w:t>
            </w:r>
            <w:r w:rsidR="000B674B" w:rsidRPr="000B674B">
              <w:rPr>
                <w:vertAlign w:val="superscript"/>
              </w:rPr>
              <w:t>b</w:t>
            </w:r>
          </w:p>
        </w:tc>
        <w:tc>
          <w:tcPr>
            <w:tcW w:w="1466" w:type="dxa"/>
            <w:vAlign w:val="bottom"/>
          </w:tcPr>
          <w:p w:rsidR="00071F2B" w:rsidRPr="00245AA8" w:rsidRDefault="00071F2B" w:rsidP="00071F2B">
            <w:pPr>
              <w:pStyle w:val="TableTextDusc"/>
              <w:keepNext/>
              <w:keepLines/>
              <w:rPr>
                <w:rFonts w:eastAsia="Times New Roman" w:cs="Times New Roman"/>
              </w:rPr>
            </w:pPr>
            <w:r w:rsidRPr="00245AA8">
              <w:t>$47,269,588</w:t>
            </w:r>
            <w:r w:rsidR="000B674B" w:rsidRPr="000B674B">
              <w:rPr>
                <w:vertAlign w:val="superscript"/>
              </w:rPr>
              <w:t>b</w:t>
            </w:r>
          </w:p>
        </w:tc>
        <w:tc>
          <w:tcPr>
            <w:tcW w:w="1466" w:type="dxa"/>
            <w:vAlign w:val="bottom"/>
          </w:tcPr>
          <w:p w:rsidR="00071F2B" w:rsidRPr="00245AA8" w:rsidRDefault="00071F2B" w:rsidP="00071F2B">
            <w:pPr>
              <w:pStyle w:val="TableTextDusc"/>
              <w:keepNext/>
              <w:keepLines/>
              <w:rPr>
                <w:rFonts w:eastAsia="Times New Roman" w:cs="Times New Roman"/>
              </w:rPr>
            </w:pPr>
            <w:r w:rsidRPr="00245AA8">
              <w:t>$57,396,604</w:t>
            </w:r>
            <w:r w:rsidR="000B674B" w:rsidRPr="000B674B">
              <w:rPr>
                <w:vertAlign w:val="superscript"/>
              </w:rPr>
              <w:t>b</w:t>
            </w:r>
          </w:p>
        </w:tc>
        <w:tc>
          <w:tcPr>
            <w:tcW w:w="1643" w:type="dxa"/>
            <w:vAlign w:val="bottom"/>
          </w:tcPr>
          <w:p w:rsidR="00071F2B" w:rsidRPr="00245AA8" w:rsidRDefault="00071F2B" w:rsidP="00071F2B">
            <w:pPr>
              <w:pStyle w:val="TableTextDusc"/>
              <w:keepNext/>
              <w:keepLines/>
              <w:rPr>
                <w:rFonts w:eastAsia="Times New Roman" w:cs="Times New Roman"/>
              </w:rPr>
            </w:pPr>
            <w:r w:rsidRPr="00245AA8">
              <w:t>$62,457,372</w:t>
            </w:r>
            <w:r w:rsidR="000B674B" w:rsidRPr="000B674B">
              <w:rPr>
                <w:vertAlign w:val="superscript"/>
              </w:rPr>
              <w:t>b</w:t>
            </w:r>
          </w:p>
        </w:tc>
      </w:tr>
      <w:tr w:rsidR="00071F2B" w:rsidRPr="00245AA8" w:rsidTr="00071F2B">
        <w:trPr>
          <w:trHeight w:val="20"/>
        </w:trPr>
        <w:tc>
          <w:tcPr>
            <w:tcW w:w="2980" w:type="dxa"/>
          </w:tcPr>
          <w:p w:rsidR="00071F2B" w:rsidRPr="00245AA8" w:rsidRDefault="00071F2B" w:rsidP="00071F2B">
            <w:pPr>
              <w:pStyle w:val="TableTextDusc"/>
              <w:keepNext/>
              <w:keepLines/>
              <w:rPr>
                <w:rFonts w:eastAsia="Times New Roman" w:cs="Times New Roman"/>
                <w:b/>
              </w:rPr>
            </w:pPr>
            <w:r w:rsidRPr="00245AA8">
              <w:rPr>
                <w:rFonts w:eastAsia="Times New Roman" w:cs="Times New Roman"/>
                <w:b/>
              </w:rPr>
              <w:t>Total</w:t>
            </w:r>
          </w:p>
        </w:tc>
        <w:tc>
          <w:tcPr>
            <w:tcW w:w="1466" w:type="dxa"/>
            <w:vAlign w:val="bottom"/>
          </w:tcPr>
          <w:p w:rsidR="00071F2B" w:rsidRPr="00245AA8" w:rsidRDefault="00071F2B" w:rsidP="00071F2B">
            <w:pPr>
              <w:pStyle w:val="TableTextDusc"/>
              <w:keepNext/>
              <w:keepLines/>
            </w:pPr>
            <w:r w:rsidRPr="00245AA8">
              <w:rPr>
                <w:b/>
                <w:bCs/>
              </w:rPr>
              <w:t>$38,191,087</w:t>
            </w:r>
          </w:p>
        </w:tc>
        <w:tc>
          <w:tcPr>
            <w:tcW w:w="1466" w:type="dxa"/>
            <w:vAlign w:val="bottom"/>
          </w:tcPr>
          <w:p w:rsidR="00071F2B" w:rsidRPr="00245AA8" w:rsidRDefault="00071F2B" w:rsidP="00071F2B">
            <w:pPr>
              <w:pStyle w:val="TableTextDusc"/>
              <w:keepNext/>
              <w:keepLines/>
            </w:pPr>
            <w:r w:rsidRPr="00245AA8">
              <w:rPr>
                <w:b/>
                <w:bCs/>
              </w:rPr>
              <w:t>$79,205,991</w:t>
            </w:r>
          </w:p>
        </w:tc>
        <w:tc>
          <w:tcPr>
            <w:tcW w:w="1466" w:type="dxa"/>
            <w:vAlign w:val="bottom"/>
          </w:tcPr>
          <w:p w:rsidR="00071F2B" w:rsidRPr="00245AA8" w:rsidRDefault="00071F2B" w:rsidP="00071F2B">
            <w:pPr>
              <w:pStyle w:val="TableTextDusc"/>
              <w:keepNext/>
              <w:keepLines/>
            </w:pPr>
            <w:r w:rsidRPr="00245AA8">
              <w:rPr>
                <w:b/>
                <w:bCs/>
              </w:rPr>
              <w:t>$97,847,666</w:t>
            </w:r>
          </w:p>
        </w:tc>
        <w:tc>
          <w:tcPr>
            <w:tcW w:w="1643" w:type="dxa"/>
            <w:vAlign w:val="bottom"/>
          </w:tcPr>
          <w:p w:rsidR="00071F2B" w:rsidRPr="00245AA8" w:rsidRDefault="00071F2B" w:rsidP="00071F2B">
            <w:pPr>
              <w:pStyle w:val="TableTextDusc"/>
              <w:keepNext/>
              <w:keepLines/>
            </w:pPr>
            <w:r w:rsidRPr="00245AA8">
              <w:rPr>
                <w:b/>
                <w:bCs/>
              </w:rPr>
              <w:t>$121,022,908</w:t>
            </w:r>
          </w:p>
        </w:tc>
      </w:tr>
    </w:tbl>
    <w:p w:rsidR="00071F2B" w:rsidRPr="000309A3" w:rsidRDefault="00071F2B" w:rsidP="00071F2B">
      <w:pPr>
        <w:pStyle w:val="TableFootnote0"/>
        <w:keepLines/>
        <w:spacing w:after="0"/>
      </w:pPr>
      <w:r w:rsidRPr="000309A3">
        <w:t xml:space="preserve">Source: </w:t>
      </w:r>
      <w:r w:rsidR="009D6075" w:rsidRPr="00F32C5D">
        <w:t>DHS Supplied prescriptions database</w:t>
      </w:r>
      <w:r w:rsidR="009D6075">
        <w:t xml:space="preserve"> (date of supply)</w:t>
      </w:r>
      <w:r w:rsidR="009D6075" w:rsidRPr="00F32C5D">
        <w:t xml:space="preserve">, extracted May 2017 </w:t>
      </w:r>
    </w:p>
    <w:p w:rsidR="00071F2B" w:rsidRDefault="00071F2B" w:rsidP="00071F2B">
      <w:pPr>
        <w:pStyle w:val="TableFootnote0"/>
        <w:keepLines/>
        <w:spacing w:after="0"/>
      </w:pPr>
      <w:r w:rsidRPr="00F35E2C">
        <w:rPr>
          <w:vertAlign w:val="superscript"/>
        </w:rPr>
        <w:t>a</w:t>
      </w:r>
      <w:r w:rsidRPr="000309A3">
        <w:t xml:space="preserve"> Th</w:t>
      </w:r>
      <w:r w:rsidR="001904D5">
        <w:t>ese</w:t>
      </w:r>
      <w:r w:rsidRPr="000309A3">
        <w:t xml:space="preserve"> </w:t>
      </w:r>
      <w:r w:rsidR="001904D5">
        <w:t>figures</w:t>
      </w:r>
      <w:r w:rsidRPr="000309A3">
        <w:t xml:space="preserve"> </w:t>
      </w:r>
      <w:r w:rsidR="001904D5">
        <w:t>are</w:t>
      </w:r>
      <w:r w:rsidRPr="000309A3">
        <w:t xml:space="preserve"> for </w:t>
      </w:r>
      <w:r w:rsidR="001904D5">
        <w:t>the months July to December only</w:t>
      </w:r>
    </w:p>
    <w:p w:rsidR="000B674B" w:rsidRPr="000309A3" w:rsidRDefault="000B674B" w:rsidP="00071F2B">
      <w:pPr>
        <w:pStyle w:val="TableFootnote0"/>
        <w:keepLines/>
        <w:spacing w:after="0"/>
      </w:pPr>
      <w:r w:rsidRPr="00F35E2C">
        <w:rPr>
          <w:vertAlign w:val="superscript"/>
        </w:rPr>
        <w:t>b</w:t>
      </w:r>
      <w:r>
        <w:t xml:space="preserve"> Special pricing arrangements</w:t>
      </w:r>
    </w:p>
    <w:p w:rsidR="0086184A" w:rsidRPr="0086184A" w:rsidRDefault="00071F2B" w:rsidP="0086184A">
      <w:pPr>
        <w:pStyle w:val="MDsubHead3"/>
        <w:rPr>
          <w:rStyle w:val="MDFiguretitleChar"/>
          <w:rFonts w:asciiTheme="majorHAnsi" w:eastAsiaTheme="majorEastAsia" w:hAnsiTheme="majorHAnsi" w:cstheme="majorBidi"/>
          <w:b/>
          <w:szCs w:val="22"/>
          <w:lang w:val="en-GB"/>
        </w:rPr>
      </w:pPr>
      <w:bookmarkStart w:id="86" w:name="_Toc491765838"/>
      <w:r w:rsidRPr="002E09D3">
        <w:t xml:space="preserve">Market share by </w:t>
      </w:r>
      <w:r w:rsidR="00F35E2C">
        <w:t>b</w:t>
      </w:r>
      <w:r w:rsidRPr="002E09D3">
        <w:t>iologic</w:t>
      </w:r>
      <w:bookmarkEnd w:id="86"/>
    </w:p>
    <w:p w:rsidR="00A061F0" w:rsidRDefault="0086184A" w:rsidP="00A061F0">
      <w:r w:rsidRPr="0086184A">
        <w:rPr>
          <w:rStyle w:val="MDFiguretitleChar"/>
          <w:b w:val="0"/>
        </w:rPr>
        <w:t>Figure</w:t>
      </w:r>
      <w:r w:rsidRPr="0086184A">
        <w:rPr>
          <w:rStyle w:val="MDFiguretitleChar"/>
          <w:b w:val="0"/>
          <w:noProof/>
        </w:rPr>
        <w:t xml:space="preserve"> </w:t>
      </w:r>
      <w:r>
        <w:rPr>
          <w:noProof/>
        </w:rPr>
        <w:t>8</w:t>
      </w:r>
      <w:r w:rsidR="00071F2B">
        <w:t xml:space="preserve"> </w:t>
      </w:r>
      <w:r w:rsidR="00071F2B" w:rsidRPr="002E09D3">
        <w:t>presents the market share of each biologic by year.</w:t>
      </w:r>
      <w:r w:rsidR="00A061F0">
        <w:t xml:space="preserve"> </w:t>
      </w:r>
      <w:r w:rsidR="00A061F0" w:rsidRPr="000309A3">
        <w:t>Prescriptions for ustekinumab accounted for over half of total expenditure in each year</w:t>
      </w:r>
      <w:r w:rsidR="00B26CD0">
        <w:t>. Ustekinumab</w:t>
      </w:r>
      <w:r w:rsidR="00A061F0" w:rsidRPr="000309A3">
        <w:t xml:space="preserve"> remained the biologic with the largest PBS expenditure in 2016. PBS expenditure on adalimumab, etanercept and infliximab have declined as a proportion of total PBS expenditure on biologics for CPP. Adalimumab expenditure as a proportion of PBS expenditure on CPP biologics has declined from 28% in 2014 to 20% in 2016. Etanercept and infliximab expenditure as a proportion of PBS expenditure on CPP biologics has declined by approximately 10% during the same period.</w:t>
      </w:r>
      <w:r w:rsidR="00932085">
        <w:t xml:space="preserve"> The</w:t>
      </w:r>
      <w:r w:rsidR="00A061F0" w:rsidRPr="000309A3">
        <w:t xml:space="preserve"> Secukinumab market has grown to 17% in 2016 since its listing in September 2015.</w:t>
      </w:r>
    </w:p>
    <w:p w:rsidR="00071F2B" w:rsidRPr="002E09D3" w:rsidRDefault="00071F2B" w:rsidP="00071F2B"/>
    <w:p w:rsidR="00C070FF" w:rsidRDefault="00071F2B" w:rsidP="00B26CD0">
      <w:pPr>
        <w:keepNext/>
        <w:keepLines/>
        <w:spacing w:after="60"/>
        <w:rPr>
          <w:rStyle w:val="MDFiguretitleChar"/>
        </w:rPr>
      </w:pPr>
      <w:r w:rsidRPr="002E09D3">
        <w:rPr>
          <w:noProof/>
          <w:bdr w:val="single" w:sz="4" w:space="0" w:color="auto"/>
          <w:lang w:val="en-AU"/>
        </w:rPr>
        <w:drawing>
          <wp:inline distT="0" distB="0" distL="0" distR="0" wp14:anchorId="6F594B7F" wp14:editId="4FB24B62">
            <wp:extent cx="5659755" cy="3140765"/>
            <wp:effectExtent l="0" t="0" r="17145" b="21590"/>
            <wp:docPr id="13" name="Chart 13" title="PBS expenditure on biologics by drug per year. "/>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bookmarkStart w:id="87" w:name="_Ref492987039"/>
    </w:p>
    <w:p w:rsidR="00071F2B" w:rsidRPr="003975EC" w:rsidRDefault="00071F2B" w:rsidP="003975EC">
      <w:pPr>
        <w:pStyle w:val="Figure"/>
      </w:pPr>
      <w:bookmarkStart w:id="88" w:name="_Toc501632427"/>
      <w:r w:rsidRPr="003975EC">
        <w:t xml:space="preserve">Figure </w:t>
      </w:r>
      <w:r w:rsidR="0086184A">
        <w:rPr>
          <w:noProof/>
        </w:rPr>
        <w:t>8</w:t>
      </w:r>
      <w:bookmarkEnd w:id="87"/>
      <w:r w:rsidRPr="003975EC">
        <w:t>: Market share of biologics by year (stacked)</w:t>
      </w:r>
      <w:bookmarkEnd w:id="88"/>
    </w:p>
    <w:p w:rsidR="00071F2B" w:rsidRDefault="00071F2B" w:rsidP="00071F2B">
      <w:pPr>
        <w:pStyle w:val="TableFootnote0"/>
        <w:keepLines/>
        <w:spacing w:after="0"/>
      </w:pPr>
      <w:r w:rsidRPr="00977736">
        <w:t xml:space="preserve">Source: </w:t>
      </w:r>
      <w:r w:rsidR="009D6075" w:rsidRPr="00F32C5D">
        <w:t>DHS Supplied prescriptions database</w:t>
      </w:r>
      <w:r w:rsidR="009D6075">
        <w:t xml:space="preserve"> (date of supply)</w:t>
      </w:r>
      <w:r w:rsidR="009D6075" w:rsidRPr="00F32C5D">
        <w:t xml:space="preserve">, extracted May 2017 </w:t>
      </w:r>
    </w:p>
    <w:p w:rsidR="00071F2B" w:rsidRPr="00977736" w:rsidRDefault="00071F2B" w:rsidP="00071F2B">
      <w:pPr>
        <w:pStyle w:val="TableFootnote0"/>
        <w:keepLines/>
        <w:spacing w:after="0"/>
      </w:pPr>
      <w:r>
        <w:t xml:space="preserve">Note: </w:t>
      </w:r>
      <w:r w:rsidRPr="00977736">
        <w:t>only data from June to December was available for 2013</w:t>
      </w:r>
    </w:p>
    <w:p w:rsidR="00FA300E" w:rsidRPr="005A6D02" w:rsidRDefault="00FA300E" w:rsidP="009716A1">
      <w:pPr>
        <w:pStyle w:val="MDsubHead3"/>
      </w:pPr>
      <w:r w:rsidRPr="005A6D02">
        <w:t>Persistence with first biologic</w:t>
      </w:r>
      <w:r>
        <w:t xml:space="preserve"> for </w:t>
      </w:r>
      <w:r w:rsidRPr="002E09D3">
        <w:t>severe CPP on the PBS</w:t>
      </w:r>
    </w:p>
    <w:p w:rsidR="00FA300E" w:rsidRPr="00B30599" w:rsidRDefault="0086184A" w:rsidP="00FA300E">
      <w:r w:rsidRPr="00B30599">
        <w:t xml:space="preserve">Table </w:t>
      </w:r>
      <w:r>
        <w:rPr>
          <w:noProof/>
        </w:rPr>
        <w:t>11</w:t>
      </w:r>
      <w:r w:rsidR="009D6075">
        <w:t xml:space="preserve"> </w:t>
      </w:r>
      <w:r w:rsidR="00FA300E" w:rsidRPr="00B30599">
        <w:t xml:space="preserve">summarises the number of patients who persisted with their first biologic at 6, 12 and 18 months. </w:t>
      </w:r>
      <w:r w:rsidR="007B032A">
        <w:t>T</w:t>
      </w:r>
      <w:r w:rsidR="006C3145" w:rsidRPr="0064745B">
        <w:t>reatment persistenc</w:t>
      </w:r>
      <w:r w:rsidR="0021066C">
        <w:t>e with first biologic was</w:t>
      </w:r>
      <w:r w:rsidR="006C3145" w:rsidRPr="0064745B">
        <w:t xml:space="preserve"> high at 6 months, with 83% (n</w:t>
      </w:r>
      <w:r w:rsidR="009D6075">
        <w:t> </w:t>
      </w:r>
      <w:r w:rsidR="006C3145" w:rsidRPr="0064745B">
        <w:t xml:space="preserve">= 649) of </w:t>
      </w:r>
      <w:r w:rsidR="006C3145">
        <w:t>patients</w:t>
      </w:r>
      <w:r w:rsidR="006C3145" w:rsidRPr="0064745B">
        <w:t xml:space="preserve"> having persisted (i.e. </w:t>
      </w:r>
      <w:r w:rsidR="00AC31BA">
        <w:t>stayed</w:t>
      </w:r>
      <w:r w:rsidR="006C3145" w:rsidRPr="0064745B">
        <w:t xml:space="preserve"> treatment</w:t>
      </w:r>
      <w:r w:rsidR="00AC31BA">
        <w:t xml:space="preserve"> without a break</w:t>
      </w:r>
      <w:r w:rsidR="006C3145" w:rsidRPr="0064745B">
        <w:t xml:space="preserve">) with their first biologic for at least 6 months.  At 12 month follow-up, 73% (n = 570) of </w:t>
      </w:r>
      <w:r w:rsidR="006C3145">
        <w:t>patients</w:t>
      </w:r>
      <w:r w:rsidR="006C3145" w:rsidRPr="0064745B">
        <w:t xml:space="preserve"> had persisted with their first biologic for at least 12 months. At 18 months follow-up, 61% (n</w:t>
      </w:r>
      <w:r w:rsidR="0086792D">
        <w:t> </w:t>
      </w:r>
      <w:r w:rsidR="006C3145" w:rsidRPr="0064745B">
        <w:t>=</w:t>
      </w:r>
      <w:r w:rsidR="0086792D">
        <w:t> </w:t>
      </w:r>
      <w:r w:rsidR="006C3145" w:rsidRPr="0064745B">
        <w:t>476) of</w:t>
      </w:r>
      <w:r w:rsidR="006C3145">
        <w:t xml:space="preserve"> patients </w:t>
      </w:r>
      <w:r w:rsidR="006C3145" w:rsidRPr="0064745B">
        <w:t>had persisted with their first biologic for at least 18 months.</w:t>
      </w:r>
    </w:p>
    <w:p w:rsidR="00FA300E" w:rsidRPr="00B30599" w:rsidRDefault="00FA300E" w:rsidP="00495A03">
      <w:pPr>
        <w:pStyle w:val="MDTabCaption"/>
      </w:pPr>
      <w:bookmarkStart w:id="89" w:name="_Ref498436820"/>
      <w:bookmarkStart w:id="90" w:name="_Ref498436814"/>
      <w:bookmarkStart w:id="91" w:name="_Toc501632405"/>
      <w:r w:rsidRPr="00B30599">
        <w:t xml:space="preserve">Table </w:t>
      </w:r>
      <w:r w:rsidR="0086184A">
        <w:rPr>
          <w:noProof/>
        </w:rPr>
        <w:t>11</w:t>
      </w:r>
      <w:bookmarkEnd w:id="89"/>
      <w:r w:rsidRPr="00B30599">
        <w:t>: Persistence with first biologic at 6, 12 and 18 months</w:t>
      </w:r>
      <w:bookmarkEnd w:id="90"/>
      <w:r w:rsidR="007C694E">
        <w:t xml:space="preserve">; </w:t>
      </w:r>
      <w:r w:rsidR="007C694E" w:rsidRPr="007C694E">
        <w:t>n (%) of patients persisting with first biologic for severe CPP</w:t>
      </w:r>
      <w:bookmarkEnd w:id="91"/>
      <w:r w:rsidR="007C694E">
        <w:t xml:space="preserve"> </w:t>
      </w:r>
    </w:p>
    <w:tbl>
      <w:tblPr>
        <w:tblStyle w:val="TableGrid"/>
        <w:tblW w:w="9174" w:type="dxa"/>
        <w:tblLook w:val="04A0" w:firstRow="1" w:lastRow="0" w:firstColumn="1" w:lastColumn="0" w:noHBand="0" w:noVBand="1"/>
        <w:tblCaption w:val="Persistence with first biologic at 6, 12 and 18 months"/>
      </w:tblPr>
      <w:tblGrid>
        <w:gridCol w:w="704"/>
        <w:gridCol w:w="2823"/>
        <w:gridCol w:w="2823"/>
        <w:gridCol w:w="2824"/>
      </w:tblGrid>
      <w:tr w:rsidR="00FA300E" w:rsidRPr="00245AA8" w:rsidTr="00B462E9">
        <w:trPr>
          <w:trHeight w:val="322"/>
          <w:tblHeader/>
        </w:trPr>
        <w:tc>
          <w:tcPr>
            <w:tcW w:w="704" w:type="dxa"/>
            <w:shd w:val="clear" w:color="auto" w:fill="BFBFBF" w:themeFill="background1" w:themeFillShade="BF"/>
          </w:tcPr>
          <w:p w:rsidR="00FA300E" w:rsidRPr="009C1295" w:rsidRDefault="007C694E" w:rsidP="006C3145">
            <w:pPr>
              <w:pStyle w:val="TableTextDusc"/>
              <w:rPr>
                <w:b/>
              </w:rPr>
            </w:pPr>
            <w:r w:rsidRPr="009C1295">
              <w:rPr>
                <w:b/>
              </w:rPr>
              <w:t>N</w:t>
            </w:r>
          </w:p>
        </w:tc>
        <w:tc>
          <w:tcPr>
            <w:tcW w:w="2823" w:type="dxa"/>
            <w:shd w:val="clear" w:color="auto" w:fill="BFBFBF" w:themeFill="background1" w:themeFillShade="BF"/>
          </w:tcPr>
          <w:p w:rsidR="00FA300E" w:rsidRPr="009C1295" w:rsidRDefault="00FA300E" w:rsidP="006C3145">
            <w:pPr>
              <w:pStyle w:val="TableTextDusc"/>
              <w:rPr>
                <w:b/>
              </w:rPr>
            </w:pPr>
            <w:r w:rsidRPr="009C1295">
              <w:rPr>
                <w:b/>
              </w:rPr>
              <w:t>6 months</w:t>
            </w:r>
          </w:p>
        </w:tc>
        <w:tc>
          <w:tcPr>
            <w:tcW w:w="2823" w:type="dxa"/>
            <w:shd w:val="clear" w:color="auto" w:fill="BFBFBF" w:themeFill="background1" w:themeFillShade="BF"/>
          </w:tcPr>
          <w:p w:rsidR="00FA300E" w:rsidRPr="009C1295" w:rsidRDefault="00FA300E" w:rsidP="006C3145">
            <w:pPr>
              <w:pStyle w:val="TableTextDusc"/>
              <w:rPr>
                <w:b/>
                <w:sz w:val="18"/>
              </w:rPr>
            </w:pPr>
            <w:r w:rsidRPr="009C1295">
              <w:rPr>
                <w:b/>
                <w:sz w:val="18"/>
              </w:rPr>
              <w:t>12 months</w:t>
            </w:r>
          </w:p>
        </w:tc>
        <w:tc>
          <w:tcPr>
            <w:tcW w:w="2824" w:type="dxa"/>
            <w:shd w:val="clear" w:color="auto" w:fill="BFBFBF" w:themeFill="background1" w:themeFillShade="BF"/>
          </w:tcPr>
          <w:p w:rsidR="00FA300E" w:rsidRPr="009C1295" w:rsidRDefault="00FA300E" w:rsidP="006C3145">
            <w:pPr>
              <w:pStyle w:val="TableTextDusc"/>
              <w:rPr>
                <w:b/>
              </w:rPr>
            </w:pPr>
            <w:r w:rsidRPr="009C1295">
              <w:rPr>
                <w:b/>
              </w:rPr>
              <w:t>18 months</w:t>
            </w:r>
          </w:p>
        </w:tc>
      </w:tr>
      <w:tr w:rsidR="00FA300E" w:rsidRPr="00245AA8" w:rsidTr="006C3145">
        <w:trPr>
          <w:trHeight w:val="81"/>
        </w:trPr>
        <w:tc>
          <w:tcPr>
            <w:tcW w:w="704" w:type="dxa"/>
          </w:tcPr>
          <w:p w:rsidR="00FA300E" w:rsidRPr="00284D42" w:rsidRDefault="00FA300E" w:rsidP="006C3145">
            <w:pPr>
              <w:pStyle w:val="TableTextDusc"/>
            </w:pPr>
            <w:r w:rsidRPr="00284D42">
              <w:t>778</w:t>
            </w:r>
          </w:p>
        </w:tc>
        <w:tc>
          <w:tcPr>
            <w:tcW w:w="2823" w:type="dxa"/>
          </w:tcPr>
          <w:p w:rsidR="00FA300E" w:rsidRPr="00284D42" w:rsidRDefault="00FA300E" w:rsidP="006C3145">
            <w:pPr>
              <w:pStyle w:val="TableTextDusc"/>
            </w:pPr>
            <w:r>
              <w:t>649 (83%)</w:t>
            </w:r>
          </w:p>
        </w:tc>
        <w:tc>
          <w:tcPr>
            <w:tcW w:w="2823" w:type="dxa"/>
          </w:tcPr>
          <w:p w:rsidR="00FA300E" w:rsidRPr="00284D42" w:rsidRDefault="00FA300E" w:rsidP="006C3145">
            <w:pPr>
              <w:pStyle w:val="TableTextDusc"/>
            </w:pPr>
            <w:r>
              <w:t>570 (73%)</w:t>
            </w:r>
          </w:p>
        </w:tc>
        <w:tc>
          <w:tcPr>
            <w:tcW w:w="2824" w:type="dxa"/>
          </w:tcPr>
          <w:p w:rsidR="00FA300E" w:rsidRPr="00284D42" w:rsidRDefault="00FA300E" w:rsidP="006C3145">
            <w:pPr>
              <w:pStyle w:val="TableTextDusc"/>
            </w:pPr>
            <w:r>
              <w:t>476 (61%)</w:t>
            </w:r>
          </w:p>
        </w:tc>
      </w:tr>
    </w:tbl>
    <w:p w:rsidR="00FA300E" w:rsidRPr="0092606C" w:rsidRDefault="00FA300E" w:rsidP="00FA300E">
      <w:pPr>
        <w:pStyle w:val="TableFootnote0"/>
        <w:keepLines/>
        <w:spacing w:after="0"/>
      </w:pPr>
      <w:r w:rsidRPr="0092606C">
        <w:t xml:space="preserve">Source: </w:t>
      </w:r>
      <w:r w:rsidR="009D6075" w:rsidRPr="00F32C5D">
        <w:t>DHS Supplied prescriptions database</w:t>
      </w:r>
      <w:r w:rsidR="009D6075">
        <w:t xml:space="preserve"> (date of supply)</w:t>
      </w:r>
      <w:r w:rsidR="009D6075" w:rsidRPr="00F32C5D">
        <w:t xml:space="preserve">, extracted May 2017 </w:t>
      </w:r>
    </w:p>
    <w:p w:rsidR="00FA300E" w:rsidRDefault="00B06234" w:rsidP="00FA300E">
      <w:pPr>
        <w:pStyle w:val="TableFootnote0"/>
        <w:keepLines/>
        <w:spacing w:after="0"/>
        <w:rPr>
          <w:rFonts w:cs="Baskerville"/>
          <w:lang w:eastAsia="en-GB"/>
        </w:rPr>
      </w:pPr>
      <w:r>
        <w:rPr>
          <w:rFonts w:cs="Baskerville"/>
          <w:lang w:eastAsia="en-GB"/>
        </w:rPr>
        <w:t>CPP = chronic plaque psoriasis</w:t>
      </w:r>
    </w:p>
    <w:p w:rsidR="0086792D" w:rsidRDefault="0086792D" w:rsidP="00FA300E">
      <w:pPr>
        <w:pStyle w:val="TableFootnote0"/>
        <w:keepLines/>
        <w:spacing w:after="0"/>
      </w:pPr>
    </w:p>
    <w:p w:rsidR="00FA300E" w:rsidRPr="0064745B" w:rsidRDefault="0086184A" w:rsidP="00FA300E">
      <w:r w:rsidRPr="0064745B">
        <w:t xml:space="preserve">Figure </w:t>
      </w:r>
      <w:r>
        <w:rPr>
          <w:noProof/>
        </w:rPr>
        <w:t>9</w:t>
      </w:r>
      <w:r w:rsidR="0086792D">
        <w:t xml:space="preserve"> </w:t>
      </w:r>
      <w:r w:rsidR="00FA300E" w:rsidRPr="0064745B">
        <w:t xml:space="preserve">presents the </w:t>
      </w:r>
      <w:r w:rsidR="0086792D">
        <w:t>time-to-event</w:t>
      </w:r>
      <w:r w:rsidR="00FA300E" w:rsidRPr="0064745B">
        <w:t xml:space="preserve"> curves </w:t>
      </w:r>
      <w:r w:rsidR="00FA300E" w:rsidRPr="0064745B">
        <w:rPr>
          <w:lang w:eastAsia="en-GB"/>
        </w:rPr>
        <w:t>for the proportion of patients persisting with their first biologic for severe CPP.</w:t>
      </w:r>
      <w:r w:rsidR="006C3145">
        <w:rPr>
          <w:lang w:eastAsia="en-GB"/>
        </w:rPr>
        <w:t xml:space="preserve"> </w:t>
      </w:r>
      <w:r w:rsidR="00C01DF9">
        <w:rPr>
          <w:lang w:eastAsia="en-GB"/>
        </w:rPr>
        <w:t>The figure shows that m</w:t>
      </w:r>
      <w:r w:rsidR="006C3145" w:rsidRPr="0064745B">
        <w:t>ost patients persisted with their first biologic for at least 6 months. However, as time on treatment increased, persistence rates with first biologic steadily decline.</w:t>
      </w:r>
      <w:r w:rsidR="00C22424" w:rsidRPr="0064745B">
        <w:t xml:space="preserve"> </w:t>
      </w:r>
    </w:p>
    <w:p w:rsidR="00FA300E" w:rsidRPr="0064745B" w:rsidRDefault="00FA300E" w:rsidP="005C3D73">
      <w:pPr>
        <w:keepNext/>
        <w:spacing w:after="0"/>
      </w:pPr>
      <w:r w:rsidRPr="0064745B">
        <w:rPr>
          <w:noProof/>
          <w:lang w:val="en-AU"/>
        </w:rPr>
        <w:drawing>
          <wp:inline distT="0" distB="0" distL="0" distR="0" wp14:anchorId="0602DF5F" wp14:editId="37400126">
            <wp:extent cx="5730875" cy="3295650"/>
            <wp:effectExtent l="19050" t="19050" r="22225" b="19050"/>
            <wp:docPr id="6" name="Picture 6" title="Persistance with the first biologic medicine for CP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732816" cy="3296766"/>
                    </a:xfrm>
                    <a:prstGeom prst="rect">
                      <a:avLst/>
                    </a:prstGeom>
                    <a:noFill/>
                    <a:ln>
                      <a:solidFill>
                        <a:schemeClr val="tx1"/>
                      </a:solidFill>
                    </a:ln>
                  </pic:spPr>
                </pic:pic>
              </a:graphicData>
            </a:graphic>
          </wp:inline>
        </w:drawing>
      </w:r>
    </w:p>
    <w:p w:rsidR="00FA300E" w:rsidRPr="0064745B" w:rsidRDefault="00FA300E" w:rsidP="00FA300E">
      <w:pPr>
        <w:pStyle w:val="Figure"/>
      </w:pPr>
      <w:bookmarkStart w:id="92" w:name="_Ref499218494"/>
      <w:bookmarkStart w:id="93" w:name="_Ref498436852"/>
      <w:bookmarkStart w:id="94" w:name="_Toc501632428"/>
      <w:r w:rsidRPr="0064745B">
        <w:t xml:space="preserve">Figure </w:t>
      </w:r>
      <w:r w:rsidR="0086184A">
        <w:rPr>
          <w:noProof/>
        </w:rPr>
        <w:t>9</w:t>
      </w:r>
      <w:bookmarkEnd w:id="92"/>
      <w:r w:rsidRPr="0064745B">
        <w:t>: Persistence with first biologic for severe CPP</w:t>
      </w:r>
      <w:bookmarkEnd w:id="93"/>
      <w:bookmarkEnd w:id="94"/>
    </w:p>
    <w:p w:rsidR="00FA300E" w:rsidRPr="0064745B" w:rsidRDefault="00FA300E" w:rsidP="00FA300E">
      <w:pPr>
        <w:pStyle w:val="TableFootnote0"/>
        <w:spacing w:after="0"/>
      </w:pPr>
      <w:r w:rsidRPr="0064745B">
        <w:t xml:space="preserve">Source: </w:t>
      </w:r>
      <w:r w:rsidR="008B2EB5" w:rsidRPr="00F32C5D">
        <w:t>DHS Supplied prescriptions database</w:t>
      </w:r>
      <w:r w:rsidR="008B2EB5">
        <w:t xml:space="preserve"> (date of supply)</w:t>
      </w:r>
      <w:r w:rsidR="008B2EB5" w:rsidRPr="00F32C5D">
        <w:t xml:space="preserve">, extracted May 2017 </w:t>
      </w:r>
    </w:p>
    <w:p w:rsidR="00B06234" w:rsidRDefault="00B06234" w:rsidP="00FA300E">
      <w:pPr>
        <w:pStyle w:val="TableFootnote0"/>
        <w:spacing w:after="0"/>
        <w:rPr>
          <w:rFonts w:cs="Baskerville"/>
          <w:lang w:eastAsia="en-GB"/>
        </w:rPr>
      </w:pPr>
      <w:r>
        <w:rPr>
          <w:rFonts w:cs="Baskerville"/>
          <w:lang w:eastAsia="en-GB"/>
        </w:rPr>
        <w:t>CPP = chronic plaque psoriasis</w:t>
      </w:r>
    </w:p>
    <w:p w:rsidR="009D6075" w:rsidRPr="0064745B" w:rsidRDefault="009D6075" w:rsidP="00FA300E">
      <w:pPr>
        <w:pStyle w:val="TableFootnote0"/>
        <w:spacing w:after="0"/>
      </w:pPr>
    </w:p>
    <w:p w:rsidR="00FA300E" w:rsidRPr="00B30599" w:rsidRDefault="0086184A" w:rsidP="00FA300E">
      <w:r>
        <w:t xml:space="preserve">Table </w:t>
      </w:r>
      <w:r>
        <w:rPr>
          <w:noProof/>
        </w:rPr>
        <w:t>12</w:t>
      </w:r>
      <w:r w:rsidR="00FA300E" w:rsidRPr="005C258D">
        <w:t xml:space="preserve"> summarises the number of patients who</w:t>
      </w:r>
      <w:r w:rsidR="00FA300E" w:rsidRPr="0064745B">
        <w:t xml:space="preserve"> persisted with their first biologic at 6, 12 and 18 months follow-up by biologic. </w:t>
      </w:r>
      <w:r w:rsidR="00C53D44">
        <w:t>P</w:t>
      </w:r>
      <w:r w:rsidR="00B62E2C">
        <w:t xml:space="preserve">atients who started </w:t>
      </w:r>
      <w:r w:rsidR="00C53D44" w:rsidRPr="0064745B">
        <w:t>biologic</w:t>
      </w:r>
      <w:r w:rsidR="00B62E2C">
        <w:t xml:space="preserve"> treatment</w:t>
      </w:r>
      <w:r w:rsidR="00C53D44" w:rsidRPr="0064745B">
        <w:t xml:space="preserve"> with etanercept had dramatically lower rates of treatment persistence than patients who had </w:t>
      </w:r>
      <w:r w:rsidR="00B62E2C">
        <w:t>started</w:t>
      </w:r>
      <w:r w:rsidR="00C53D44" w:rsidRPr="0064745B">
        <w:t xml:space="preserve"> treatment with other biologics. For example, only 21% of etanercept initiators were </w:t>
      </w:r>
      <w:r w:rsidR="00B62E2C">
        <w:t xml:space="preserve">continuing </w:t>
      </w:r>
      <w:r w:rsidR="00C53D44" w:rsidRPr="0064745B">
        <w:t>with this biologic at 6 months follow-up. In com</w:t>
      </w:r>
      <w:r w:rsidR="00B62E2C">
        <w:t>parison, persistence rates at 6 </w:t>
      </w:r>
      <w:r w:rsidR="00C53D44" w:rsidRPr="0064745B">
        <w:t xml:space="preserve">months were approximately 100% for ustekinumab and infliximab initiators and </w:t>
      </w:r>
      <w:r w:rsidR="00B62E2C">
        <w:t xml:space="preserve">77% for adalimumab initiators. </w:t>
      </w:r>
    </w:p>
    <w:p w:rsidR="00FA300E" w:rsidRDefault="00FA300E" w:rsidP="0086792D">
      <w:pPr>
        <w:pStyle w:val="MDTabCaption"/>
      </w:pPr>
      <w:bookmarkStart w:id="95" w:name="_Ref498436895"/>
      <w:bookmarkStart w:id="96" w:name="_Toc501632406"/>
      <w:r>
        <w:t xml:space="preserve">Table </w:t>
      </w:r>
      <w:r w:rsidR="0086184A">
        <w:rPr>
          <w:noProof/>
        </w:rPr>
        <w:t>12</w:t>
      </w:r>
      <w:bookmarkEnd w:id="95"/>
      <w:r>
        <w:t xml:space="preserve">: </w:t>
      </w:r>
      <w:r w:rsidRPr="00B30599">
        <w:t xml:space="preserve">Treatment persistence </w:t>
      </w:r>
      <w:r>
        <w:t xml:space="preserve">with first biologic </w:t>
      </w:r>
      <w:r w:rsidRPr="00B30599">
        <w:t>at 6</w:t>
      </w:r>
      <w:r>
        <w:t>, 12, and 18 months by biologi</w:t>
      </w:r>
      <w:r w:rsidR="00524C4C">
        <w:t>c</w:t>
      </w:r>
      <w:bookmarkEnd w:id="96"/>
    </w:p>
    <w:tbl>
      <w:tblPr>
        <w:tblStyle w:val="TableGrid"/>
        <w:tblW w:w="5000" w:type="pct"/>
        <w:tblLook w:val="04A0" w:firstRow="1" w:lastRow="0" w:firstColumn="1" w:lastColumn="0" w:noHBand="0" w:noVBand="1"/>
        <w:tblCaption w:val="Treatment persistence with first biologic at 6, 12, and 18 months by biologic"/>
      </w:tblPr>
      <w:tblGrid>
        <w:gridCol w:w="1800"/>
        <w:gridCol w:w="821"/>
        <w:gridCol w:w="2207"/>
        <w:gridCol w:w="2207"/>
        <w:gridCol w:w="2207"/>
      </w:tblGrid>
      <w:tr w:rsidR="00FA300E" w:rsidRPr="00245AA8" w:rsidTr="00381633">
        <w:trPr>
          <w:trHeight w:val="279"/>
          <w:tblHeader/>
        </w:trPr>
        <w:tc>
          <w:tcPr>
            <w:tcW w:w="974" w:type="pct"/>
            <w:shd w:val="clear" w:color="auto" w:fill="BFBFBF" w:themeFill="background1" w:themeFillShade="BF"/>
            <w:vAlign w:val="center"/>
          </w:tcPr>
          <w:p w:rsidR="00FA300E" w:rsidRPr="00245AA8" w:rsidRDefault="0044770E" w:rsidP="006C3145">
            <w:pPr>
              <w:keepNext/>
              <w:keepLines/>
              <w:autoSpaceDE w:val="0"/>
              <w:autoSpaceDN w:val="0"/>
              <w:adjustRightInd w:val="0"/>
              <w:spacing w:before="60" w:after="60"/>
              <w:rPr>
                <w:rFonts w:eastAsia="MS Mincho" w:cs="Calibri"/>
                <w:b/>
              </w:rPr>
            </w:pPr>
            <w:r w:rsidRPr="00284D42">
              <w:rPr>
                <w:rFonts w:eastAsia="MS Mincho" w:cs="Calibri"/>
                <w:b/>
              </w:rPr>
              <w:t>Biologic</w:t>
            </w:r>
          </w:p>
        </w:tc>
        <w:tc>
          <w:tcPr>
            <w:tcW w:w="444" w:type="pct"/>
            <w:shd w:val="clear" w:color="auto" w:fill="BFBFBF" w:themeFill="background1" w:themeFillShade="BF"/>
            <w:vAlign w:val="center"/>
          </w:tcPr>
          <w:p w:rsidR="00FA300E" w:rsidRPr="00245AA8" w:rsidRDefault="00524C4C" w:rsidP="006C3145">
            <w:pPr>
              <w:keepNext/>
              <w:keepLines/>
              <w:autoSpaceDE w:val="0"/>
              <w:autoSpaceDN w:val="0"/>
              <w:adjustRightInd w:val="0"/>
              <w:spacing w:before="60" w:after="60"/>
              <w:rPr>
                <w:rFonts w:eastAsia="MS Mincho" w:cs="Calibri"/>
                <w:b/>
              </w:rPr>
            </w:pPr>
            <w:r w:rsidRPr="00284D42">
              <w:rPr>
                <w:rFonts w:eastAsia="MS Mincho" w:cs="Calibri"/>
                <w:b/>
              </w:rPr>
              <w:t>N</w:t>
            </w:r>
          </w:p>
        </w:tc>
        <w:tc>
          <w:tcPr>
            <w:tcW w:w="1194" w:type="pct"/>
            <w:shd w:val="clear" w:color="auto" w:fill="BFBFBF" w:themeFill="background1" w:themeFillShade="BF"/>
          </w:tcPr>
          <w:p w:rsidR="00FA300E" w:rsidRPr="00284D42" w:rsidRDefault="00FA300E" w:rsidP="006C3145">
            <w:pPr>
              <w:keepNext/>
              <w:keepLines/>
              <w:autoSpaceDE w:val="0"/>
              <w:autoSpaceDN w:val="0"/>
              <w:adjustRightInd w:val="0"/>
              <w:spacing w:before="60" w:after="60"/>
              <w:rPr>
                <w:rFonts w:eastAsia="MS Mincho" w:cs="Calibri"/>
                <w:b/>
              </w:rPr>
            </w:pPr>
            <w:r w:rsidRPr="00284D42">
              <w:rPr>
                <w:rFonts w:eastAsia="MS Mincho" w:cs="Calibri"/>
                <w:b/>
              </w:rPr>
              <w:t>6 month</w:t>
            </w:r>
            <w:r>
              <w:rPr>
                <w:rFonts w:eastAsia="MS Mincho" w:cs="Calibri"/>
                <w:b/>
              </w:rPr>
              <w:t>s</w:t>
            </w:r>
            <w:r w:rsidR="00524C4C">
              <w:rPr>
                <w:rFonts w:eastAsia="MS Mincho" w:cs="Calibri"/>
                <w:b/>
              </w:rPr>
              <w:t>;</w:t>
            </w:r>
            <w:r w:rsidR="00524C4C">
              <w:t xml:space="preserve"> </w:t>
            </w:r>
            <w:r w:rsidR="00524C4C" w:rsidRPr="00524C4C">
              <w:rPr>
                <w:rFonts w:eastAsia="MS Mincho" w:cs="Calibri"/>
                <w:b/>
              </w:rPr>
              <w:t>n (%)</w:t>
            </w:r>
          </w:p>
        </w:tc>
        <w:tc>
          <w:tcPr>
            <w:tcW w:w="1194" w:type="pct"/>
            <w:shd w:val="clear" w:color="auto" w:fill="BFBFBF" w:themeFill="background1" w:themeFillShade="BF"/>
          </w:tcPr>
          <w:p w:rsidR="00FA300E" w:rsidRPr="00284D42" w:rsidRDefault="00FA300E" w:rsidP="006C3145">
            <w:pPr>
              <w:keepNext/>
              <w:keepLines/>
              <w:autoSpaceDE w:val="0"/>
              <w:autoSpaceDN w:val="0"/>
              <w:adjustRightInd w:val="0"/>
              <w:spacing w:before="60" w:after="60"/>
              <w:rPr>
                <w:rFonts w:eastAsia="MS Mincho" w:cs="Calibri"/>
                <w:b/>
              </w:rPr>
            </w:pPr>
            <w:r>
              <w:rPr>
                <w:rFonts w:eastAsia="MS Mincho" w:cs="Calibri"/>
                <w:b/>
              </w:rPr>
              <w:t>12 months</w:t>
            </w:r>
            <w:r w:rsidR="00524C4C">
              <w:rPr>
                <w:rFonts w:eastAsia="MS Mincho" w:cs="Calibri"/>
                <w:b/>
              </w:rPr>
              <w:t>;</w:t>
            </w:r>
            <w:r w:rsidR="00524C4C">
              <w:t xml:space="preserve"> </w:t>
            </w:r>
            <w:r w:rsidR="00524C4C" w:rsidRPr="00524C4C">
              <w:rPr>
                <w:rFonts w:eastAsia="MS Mincho" w:cs="Calibri"/>
                <w:b/>
              </w:rPr>
              <w:t>n (%)</w:t>
            </w:r>
          </w:p>
        </w:tc>
        <w:tc>
          <w:tcPr>
            <w:tcW w:w="1194" w:type="pct"/>
            <w:shd w:val="clear" w:color="auto" w:fill="BFBFBF" w:themeFill="background1" w:themeFillShade="BF"/>
          </w:tcPr>
          <w:p w:rsidR="00FA300E" w:rsidRPr="00284D42" w:rsidRDefault="00FA300E" w:rsidP="006C3145">
            <w:pPr>
              <w:keepNext/>
              <w:keepLines/>
              <w:autoSpaceDE w:val="0"/>
              <w:autoSpaceDN w:val="0"/>
              <w:adjustRightInd w:val="0"/>
              <w:spacing w:before="60" w:after="60"/>
              <w:rPr>
                <w:rFonts w:eastAsia="MS Mincho" w:cs="Calibri"/>
                <w:b/>
              </w:rPr>
            </w:pPr>
            <w:r w:rsidRPr="00284D42">
              <w:rPr>
                <w:rFonts w:eastAsia="MS Mincho" w:cs="Calibri"/>
                <w:b/>
              </w:rPr>
              <w:t>18 month</w:t>
            </w:r>
            <w:r>
              <w:rPr>
                <w:rFonts w:eastAsia="MS Mincho" w:cs="Calibri"/>
                <w:b/>
              </w:rPr>
              <w:t>s</w:t>
            </w:r>
            <w:r w:rsidR="00524C4C">
              <w:rPr>
                <w:rFonts w:eastAsia="MS Mincho" w:cs="Calibri"/>
                <w:b/>
              </w:rPr>
              <w:t>;</w:t>
            </w:r>
            <w:r w:rsidR="00524C4C">
              <w:t xml:space="preserve"> </w:t>
            </w:r>
            <w:r w:rsidR="00524C4C" w:rsidRPr="00524C4C">
              <w:rPr>
                <w:rFonts w:eastAsia="MS Mincho" w:cs="Calibri"/>
                <w:b/>
              </w:rPr>
              <w:t>n (%)</w:t>
            </w:r>
          </w:p>
        </w:tc>
      </w:tr>
      <w:tr w:rsidR="00FA300E" w:rsidRPr="007A31D1" w:rsidTr="0044770E">
        <w:trPr>
          <w:trHeight w:val="122"/>
        </w:trPr>
        <w:tc>
          <w:tcPr>
            <w:tcW w:w="974" w:type="pct"/>
          </w:tcPr>
          <w:p w:rsidR="00FA300E" w:rsidRPr="00245AA8" w:rsidRDefault="00FA300E" w:rsidP="006C3145">
            <w:pPr>
              <w:keepNext/>
              <w:keepLines/>
              <w:autoSpaceDE w:val="0"/>
              <w:autoSpaceDN w:val="0"/>
              <w:adjustRightInd w:val="0"/>
              <w:spacing w:before="60" w:after="60"/>
              <w:rPr>
                <w:rFonts w:eastAsia="MS Mincho" w:cs="Calibri"/>
              </w:rPr>
            </w:pPr>
            <w:r>
              <w:rPr>
                <w:color w:val="000000"/>
              </w:rPr>
              <w:t>Adalimumab</w:t>
            </w:r>
          </w:p>
        </w:tc>
        <w:tc>
          <w:tcPr>
            <w:tcW w:w="444" w:type="pct"/>
          </w:tcPr>
          <w:p w:rsidR="00FA300E" w:rsidRPr="007A31D1" w:rsidRDefault="00FA300E" w:rsidP="006C3145">
            <w:pPr>
              <w:keepNext/>
              <w:keepLines/>
              <w:autoSpaceDE w:val="0"/>
              <w:autoSpaceDN w:val="0"/>
              <w:adjustRightInd w:val="0"/>
              <w:spacing w:before="60" w:after="60"/>
              <w:rPr>
                <w:rFonts w:eastAsia="MS Mincho" w:cs="Calibri"/>
              </w:rPr>
            </w:pPr>
            <w:r>
              <w:rPr>
                <w:rFonts w:eastAsia="MS Mincho" w:cs="Calibri"/>
              </w:rPr>
              <w:t>237</w:t>
            </w:r>
          </w:p>
        </w:tc>
        <w:tc>
          <w:tcPr>
            <w:tcW w:w="1194" w:type="pct"/>
          </w:tcPr>
          <w:p w:rsidR="00FA300E" w:rsidRPr="007A31D1" w:rsidRDefault="00FA300E" w:rsidP="006C3145">
            <w:pPr>
              <w:keepNext/>
              <w:keepLines/>
              <w:autoSpaceDE w:val="0"/>
              <w:autoSpaceDN w:val="0"/>
              <w:adjustRightInd w:val="0"/>
              <w:spacing w:before="60" w:after="60"/>
              <w:rPr>
                <w:rFonts w:eastAsia="MS Mincho" w:cs="Calibri"/>
              </w:rPr>
            </w:pPr>
            <w:r>
              <w:rPr>
                <w:rFonts w:eastAsia="MS Mincho" w:cs="Calibri"/>
              </w:rPr>
              <w:t>181 (77%)</w:t>
            </w:r>
          </w:p>
        </w:tc>
        <w:tc>
          <w:tcPr>
            <w:tcW w:w="1194" w:type="pct"/>
          </w:tcPr>
          <w:p w:rsidR="00FA300E" w:rsidRPr="007A31D1" w:rsidRDefault="00FA300E" w:rsidP="006C3145">
            <w:pPr>
              <w:keepNext/>
              <w:keepLines/>
              <w:autoSpaceDE w:val="0"/>
              <w:autoSpaceDN w:val="0"/>
              <w:adjustRightInd w:val="0"/>
              <w:spacing w:before="60" w:after="60"/>
              <w:rPr>
                <w:rFonts w:eastAsia="MS Mincho" w:cs="Calibri"/>
              </w:rPr>
            </w:pPr>
            <w:r>
              <w:rPr>
                <w:rFonts w:eastAsia="MS Mincho" w:cs="Calibri"/>
              </w:rPr>
              <w:t>146 (62%)</w:t>
            </w:r>
          </w:p>
        </w:tc>
        <w:tc>
          <w:tcPr>
            <w:tcW w:w="1194" w:type="pct"/>
          </w:tcPr>
          <w:p w:rsidR="00FA300E" w:rsidRPr="007A31D1" w:rsidRDefault="00FA300E" w:rsidP="006C3145">
            <w:pPr>
              <w:keepNext/>
              <w:keepLines/>
              <w:autoSpaceDE w:val="0"/>
              <w:autoSpaceDN w:val="0"/>
              <w:adjustRightInd w:val="0"/>
              <w:spacing w:before="60" w:after="60"/>
              <w:rPr>
                <w:rFonts w:eastAsia="MS Mincho" w:cs="Calibri"/>
              </w:rPr>
            </w:pPr>
            <w:r>
              <w:rPr>
                <w:rFonts w:eastAsia="MS Mincho" w:cs="Calibri"/>
              </w:rPr>
              <w:t>110 (46%)</w:t>
            </w:r>
          </w:p>
        </w:tc>
      </w:tr>
      <w:tr w:rsidR="00FA300E" w:rsidRPr="007A31D1" w:rsidTr="0044770E">
        <w:trPr>
          <w:trHeight w:val="122"/>
        </w:trPr>
        <w:tc>
          <w:tcPr>
            <w:tcW w:w="974" w:type="pct"/>
          </w:tcPr>
          <w:p w:rsidR="00FA300E" w:rsidRPr="00245AA8" w:rsidRDefault="00FA300E" w:rsidP="006C3145">
            <w:pPr>
              <w:keepNext/>
              <w:keepLines/>
              <w:autoSpaceDE w:val="0"/>
              <w:autoSpaceDN w:val="0"/>
              <w:adjustRightInd w:val="0"/>
              <w:spacing w:before="60" w:after="60"/>
              <w:rPr>
                <w:rFonts w:eastAsia="MS Mincho" w:cs="Calibri"/>
              </w:rPr>
            </w:pPr>
            <w:r w:rsidRPr="00245AA8">
              <w:rPr>
                <w:color w:val="000000"/>
              </w:rPr>
              <w:t>Etanercept</w:t>
            </w:r>
          </w:p>
        </w:tc>
        <w:tc>
          <w:tcPr>
            <w:tcW w:w="444" w:type="pct"/>
          </w:tcPr>
          <w:p w:rsidR="00FA300E" w:rsidRPr="007A31D1" w:rsidRDefault="00FA300E" w:rsidP="006C3145">
            <w:pPr>
              <w:keepNext/>
              <w:keepLines/>
              <w:autoSpaceDE w:val="0"/>
              <w:autoSpaceDN w:val="0"/>
              <w:adjustRightInd w:val="0"/>
              <w:spacing w:before="60" w:after="60"/>
              <w:rPr>
                <w:rFonts w:eastAsia="MS Mincho" w:cs="Calibri"/>
              </w:rPr>
            </w:pPr>
            <w:r>
              <w:rPr>
                <w:rFonts w:eastAsia="MS Mincho" w:cs="Calibri"/>
              </w:rPr>
              <w:t>75</w:t>
            </w:r>
          </w:p>
        </w:tc>
        <w:tc>
          <w:tcPr>
            <w:tcW w:w="1194" w:type="pct"/>
          </w:tcPr>
          <w:p w:rsidR="00FA300E" w:rsidRPr="007A31D1" w:rsidRDefault="00FA300E" w:rsidP="006C3145">
            <w:pPr>
              <w:keepNext/>
              <w:keepLines/>
              <w:autoSpaceDE w:val="0"/>
              <w:autoSpaceDN w:val="0"/>
              <w:adjustRightInd w:val="0"/>
              <w:spacing w:before="60" w:after="60"/>
              <w:rPr>
                <w:rFonts w:eastAsia="MS Mincho" w:cs="Calibri"/>
              </w:rPr>
            </w:pPr>
            <w:r>
              <w:rPr>
                <w:rFonts w:eastAsia="MS Mincho" w:cs="Calibri"/>
              </w:rPr>
              <w:t>16 (21%)</w:t>
            </w:r>
          </w:p>
        </w:tc>
        <w:tc>
          <w:tcPr>
            <w:tcW w:w="1194" w:type="pct"/>
          </w:tcPr>
          <w:p w:rsidR="00FA300E" w:rsidRPr="007A31D1" w:rsidRDefault="00FA300E" w:rsidP="006C3145">
            <w:pPr>
              <w:keepNext/>
              <w:keepLines/>
              <w:autoSpaceDE w:val="0"/>
              <w:autoSpaceDN w:val="0"/>
              <w:adjustRightInd w:val="0"/>
              <w:spacing w:before="60" w:after="60"/>
              <w:rPr>
                <w:rFonts w:eastAsia="MS Mincho" w:cs="Calibri"/>
              </w:rPr>
            </w:pPr>
            <w:r>
              <w:rPr>
                <w:rFonts w:eastAsia="MS Mincho" w:cs="Calibri"/>
              </w:rPr>
              <w:t>12 (16%)</w:t>
            </w:r>
          </w:p>
        </w:tc>
        <w:tc>
          <w:tcPr>
            <w:tcW w:w="1194" w:type="pct"/>
          </w:tcPr>
          <w:p w:rsidR="00FA300E" w:rsidRPr="007A31D1" w:rsidRDefault="00FA300E" w:rsidP="006C3145">
            <w:pPr>
              <w:keepNext/>
              <w:keepLines/>
              <w:autoSpaceDE w:val="0"/>
              <w:autoSpaceDN w:val="0"/>
              <w:adjustRightInd w:val="0"/>
              <w:spacing w:before="60" w:after="60"/>
              <w:rPr>
                <w:rFonts w:eastAsia="MS Mincho" w:cs="Calibri"/>
              </w:rPr>
            </w:pPr>
            <w:r>
              <w:rPr>
                <w:rFonts w:eastAsia="MS Mincho" w:cs="Calibri"/>
              </w:rPr>
              <w:t>6 (8%)</w:t>
            </w:r>
          </w:p>
        </w:tc>
      </w:tr>
      <w:tr w:rsidR="00FA300E" w:rsidRPr="007A31D1" w:rsidTr="0044770E">
        <w:trPr>
          <w:trHeight w:val="122"/>
        </w:trPr>
        <w:tc>
          <w:tcPr>
            <w:tcW w:w="974" w:type="pct"/>
          </w:tcPr>
          <w:p w:rsidR="00FA300E" w:rsidRPr="00245AA8" w:rsidRDefault="00FA300E" w:rsidP="006C3145">
            <w:pPr>
              <w:keepNext/>
              <w:keepLines/>
              <w:autoSpaceDE w:val="0"/>
              <w:autoSpaceDN w:val="0"/>
              <w:adjustRightInd w:val="0"/>
              <w:spacing w:before="60" w:after="60"/>
              <w:rPr>
                <w:rFonts w:eastAsia="MS Mincho" w:cs="Calibri"/>
              </w:rPr>
            </w:pPr>
            <w:r w:rsidRPr="00245AA8">
              <w:rPr>
                <w:color w:val="000000"/>
              </w:rPr>
              <w:t>Infliximab</w:t>
            </w:r>
          </w:p>
        </w:tc>
        <w:tc>
          <w:tcPr>
            <w:tcW w:w="444" w:type="pct"/>
          </w:tcPr>
          <w:p w:rsidR="00FA300E" w:rsidRPr="007A31D1" w:rsidRDefault="00FA300E" w:rsidP="006C3145">
            <w:pPr>
              <w:keepNext/>
              <w:keepLines/>
              <w:autoSpaceDE w:val="0"/>
              <w:autoSpaceDN w:val="0"/>
              <w:adjustRightInd w:val="0"/>
              <w:spacing w:before="60" w:after="60"/>
              <w:rPr>
                <w:rFonts w:eastAsia="MS Mincho" w:cs="Calibri"/>
              </w:rPr>
            </w:pPr>
            <w:r>
              <w:rPr>
                <w:rFonts w:eastAsia="MS Mincho" w:cs="Calibri"/>
              </w:rPr>
              <w:t>15</w:t>
            </w:r>
          </w:p>
        </w:tc>
        <w:tc>
          <w:tcPr>
            <w:tcW w:w="1194" w:type="pct"/>
          </w:tcPr>
          <w:p w:rsidR="00FA300E" w:rsidRPr="007A31D1" w:rsidRDefault="00FA300E" w:rsidP="006C3145">
            <w:pPr>
              <w:keepNext/>
              <w:keepLines/>
              <w:autoSpaceDE w:val="0"/>
              <w:autoSpaceDN w:val="0"/>
              <w:adjustRightInd w:val="0"/>
              <w:spacing w:before="60" w:after="60"/>
              <w:rPr>
                <w:rFonts w:eastAsia="MS Mincho" w:cs="Calibri"/>
              </w:rPr>
            </w:pPr>
            <w:r>
              <w:rPr>
                <w:rFonts w:eastAsia="MS Mincho" w:cs="Calibri"/>
              </w:rPr>
              <w:t>15 (100%)</w:t>
            </w:r>
          </w:p>
        </w:tc>
        <w:tc>
          <w:tcPr>
            <w:tcW w:w="1194" w:type="pct"/>
          </w:tcPr>
          <w:p w:rsidR="00FA300E" w:rsidRPr="007A31D1" w:rsidRDefault="00FA300E" w:rsidP="006C3145">
            <w:pPr>
              <w:keepNext/>
              <w:keepLines/>
              <w:autoSpaceDE w:val="0"/>
              <w:autoSpaceDN w:val="0"/>
              <w:adjustRightInd w:val="0"/>
              <w:spacing w:before="60" w:after="60"/>
              <w:rPr>
                <w:rFonts w:eastAsia="MS Mincho" w:cs="Calibri"/>
              </w:rPr>
            </w:pPr>
            <w:r>
              <w:rPr>
                <w:rFonts w:eastAsia="MS Mincho" w:cs="Calibri"/>
              </w:rPr>
              <w:t>14 (93%)</w:t>
            </w:r>
          </w:p>
        </w:tc>
        <w:tc>
          <w:tcPr>
            <w:tcW w:w="1194" w:type="pct"/>
          </w:tcPr>
          <w:p w:rsidR="00FA300E" w:rsidRPr="007A31D1" w:rsidRDefault="00FA300E" w:rsidP="006C3145">
            <w:pPr>
              <w:keepNext/>
              <w:keepLines/>
              <w:autoSpaceDE w:val="0"/>
              <w:autoSpaceDN w:val="0"/>
              <w:adjustRightInd w:val="0"/>
              <w:spacing w:before="60" w:after="60"/>
              <w:rPr>
                <w:rFonts w:eastAsia="MS Mincho" w:cs="Calibri"/>
              </w:rPr>
            </w:pPr>
            <w:r>
              <w:rPr>
                <w:rFonts w:eastAsia="MS Mincho" w:cs="Calibri"/>
              </w:rPr>
              <w:t>10 (67%)</w:t>
            </w:r>
          </w:p>
        </w:tc>
      </w:tr>
      <w:tr w:rsidR="00FA300E" w:rsidRPr="007A31D1" w:rsidTr="0044770E">
        <w:trPr>
          <w:trHeight w:val="122"/>
        </w:trPr>
        <w:tc>
          <w:tcPr>
            <w:tcW w:w="974" w:type="pct"/>
          </w:tcPr>
          <w:p w:rsidR="00FA300E" w:rsidRPr="00245AA8" w:rsidRDefault="00FA300E" w:rsidP="006C3145">
            <w:pPr>
              <w:keepNext/>
              <w:keepLines/>
              <w:autoSpaceDE w:val="0"/>
              <w:autoSpaceDN w:val="0"/>
              <w:adjustRightInd w:val="0"/>
              <w:spacing w:before="60" w:after="60"/>
              <w:rPr>
                <w:rFonts w:eastAsia="MS Mincho" w:cs="Calibri"/>
              </w:rPr>
            </w:pPr>
            <w:r w:rsidRPr="00245AA8">
              <w:rPr>
                <w:color w:val="000000"/>
              </w:rPr>
              <w:t>Secukinumab</w:t>
            </w:r>
            <w:r>
              <w:rPr>
                <w:color w:val="000000"/>
                <w:vertAlign w:val="superscript"/>
              </w:rPr>
              <w:t>1</w:t>
            </w:r>
          </w:p>
        </w:tc>
        <w:tc>
          <w:tcPr>
            <w:tcW w:w="444" w:type="pct"/>
          </w:tcPr>
          <w:p w:rsidR="00FA300E" w:rsidRPr="007A31D1" w:rsidRDefault="00FA300E" w:rsidP="006C3145">
            <w:pPr>
              <w:keepNext/>
              <w:keepLines/>
              <w:autoSpaceDE w:val="0"/>
              <w:autoSpaceDN w:val="0"/>
              <w:adjustRightInd w:val="0"/>
              <w:spacing w:before="60" w:after="60"/>
              <w:rPr>
                <w:rFonts w:eastAsia="MS Mincho" w:cs="Calibri"/>
              </w:rPr>
            </w:pPr>
            <w:r>
              <w:rPr>
                <w:rFonts w:eastAsia="MS Mincho" w:cs="Calibri"/>
              </w:rPr>
              <w:t>-</w:t>
            </w:r>
          </w:p>
        </w:tc>
        <w:tc>
          <w:tcPr>
            <w:tcW w:w="1194" w:type="pct"/>
          </w:tcPr>
          <w:p w:rsidR="00FA300E" w:rsidRPr="007A31D1" w:rsidRDefault="00FA300E" w:rsidP="006C3145">
            <w:pPr>
              <w:keepNext/>
              <w:keepLines/>
              <w:autoSpaceDE w:val="0"/>
              <w:autoSpaceDN w:val="0"/>
              <w:adjustRightInd w:val="0"/>
              <w:spacing w:before="60" w:after="60"/>
              <w:rPr>
                <w:rFonts w:eastAsia="MS Mincho" w:cs="Calibri"/>
              </w:rPr>
            </w:pPr>
            <w:r>
              <w:rPr>
                <w:rFonts w:eastAsia="MS Mincho" w:cs="Calibri"/>
              </w:rPr>
              <w:t>-</w:t>
            </w:r>
          </w:p>
        </w:tc>
        <w:tc>
          <w:tcPr>
            <w:tcW w:w="1194" w:type="pct"/>
          </w:tcPr>
          <w:p w:rsidR="00FA300E" w:rsidRPr="007A31D1" w:rsidRDefault="00FA300E" w:rsidP="006C3145">
            <w:pPr>
              <w:keepNext/>
              <w:keepLines/>
              <w:autoSpaceDE w:val="0"/>
              <w:autoSpaceDN w:val="0"/>
              <w:adjustRightInd w:val="0"/>
              <w:spacing w:before="60" w:after="60"/>
              <w:rPr>
                <w:rFonts w:eastAsia="MS Mincho" w:cs="Calibri"/>
              </w:rPr>
            </w:pPr>
            <w:r>
              <w:rPr>
                <w:rFonts w:eastAsia="MS Mincho" w:cs="Calibri"/>
              </w:rPr>
              <w:t>-</w:t>
            </w:r>
          </w:p>
        </w:tc>
        <w:tc>
          <w:tcPr>
            <w:tcW w:w="1194" w:type="pct"/>
          </w:tcPr>
          <w:p w:rsidR="00FA300E" w:rsidRPr="007A31D1" w:rsidRDefault="00FA300E" w:rsidP="006C3145">
            <w:pPr>
              <w:keepNext/>
              <w:keepLines/>
              <w:autoSpaceDE w:val="0"/>
              <w:autoSpaceDN w:val="0"/>
              <w:adjustRightInd w:val="0"/>
              <w:spacing w:before="60" w:after="60"/>
              <w:rPr>
                <w:rFonts w:eastAsia="MS Mincho" w:cs="Calibri"/>
              </w:rPr>
            </w:pPr>
            <w:r>
              <w:rPr>
                <w:rFonts w:eastAsia="MS Mincho" w:cs="Calibri"/>
              </w:rPr>
              <w:t>-</w:t>
            </w:r>
          </w:p>
        </w:tc>
      </w:tr>
      <w:tr w:rsidR="00FA300E" w:rsidRPr="00284D42" w:rsidTr="0044770E">
        <w:trPr>
          <w:trHeight w:val="70"/>
        </w:trPr>
        <w:tc>
          <w:tcPr>
            <w:tcW w:w="974" w:type="pct"/>
          </w:tcPr>
          <w:p w:rsidR="00FA300E" w:rsidRPr="00284D42" w:rsidRDefault="00FA300E" w:rsidP="006C3145">
            <w:pPr>
              <w:keepNext/>
              <w:keepLines/>
              <w:spacing w:line="259" w:lineRule="auto"/>
            </w:pPr>
            <w:r w:rsidRPr="00245AA8">
              <w:rPr>
                <w:color w:val="000000"/>
              </w:rPr>
              <w:t>Ustekinumab</w:t>
            </w:r>
          </w:p>
        </w:tc>
        <w:tc>
          <w:tcPr>
            <w:tcW w:w="444" w:type="pct"/>
          </w:tcPr>
          <w:p w:rsidR="00FA300E" w:rsidRPr="00284D42" w:rsidRDefault="00FA300E" w:rsidP="006C3145">
            <w:pPr>
              <w:keepNext/>
              <w:keepLines/>
              <w:spacing w:line="259" w:lineRule="auto"/>
            </w:pPr>
            <w:r>
              <w:t>451</w:t>
            </w:r>
          </w:p>
        </w:tc>
        <w:tc>
          <w:tcPr>
            <w:tcW w:w="1194" w:type="pct"/>
          </w:tcPr>
          <w:p w:rsidR="00FA300E" w:rsidRPr="00284D42" w:rsidRDefault="00FA300E" w:rsidP="006C3145">
            <w:pPr>
              <w:keepNext/>
              <w:keepLines/>
              <w:spacing w:line="259" w:lineRule="auto"/>
            </w:pPr>
            <w:r>
              <w:t>437 (97%)</w:t>
            </w:r>
          </w:p>
        </w:tc>
        <w:tc>
          <w:tcPr>
            <w:tcW w:w="1194" w:type="pct"/>
          </w:tcPr>
          <w:p w:rsidR="00FA300E" w:rsidRPr="00284D42" w:rsidRDefault="00FA300E" w:rsidP="006C3145">
            <w:pPr>
              <w:keepNext/>
              <w:keepLines/>
              <w:spacing w:line="259" w:lineRule="auto"/>
            </w:pPr>
            <w:r>
              <w:t>398 (88%)</w:t>
            </w:r>
          </w:p>
        </w:tc>
        <w:tc>
          <w:tcPr>
            <w:tcW w:w="1194" w:type="pct"/>
          </w:tcPr>
          <w:p w:rsidR="00FA300E" w:rsidRPr="00284D42" w:rsidRDefault="00FA300E" w:rsidP="006C3145">
            <w:pPr>
              <w:keepNext/>
              <w:keepLines/>
              <w:spacing w:line="259" w:lineRule="auto"/>
            </w:pPr>
            <w:r>
              <w:t>350 (78%)</w:t>
            </w:r>
          </w:p>
        </w:tc>
      </w:tr>
    </w:tbl>
    <w:p w:rsidR="00FA300E" w:rsidRPr="009C1295" w:rsidRDefault="00FA300E" w:rsidP="00FA300E">
      <w:pPr>
        <w:pStyle w:val="TableFootnote0"/>
        <w:keepLines/>
        <w:spacing w:after="0"/>
      </w:pPr>
      <w:r w:rsidRPr="009C1295">
        <w:t xml:space="preserve">Source: </w:t>
      </w:r>
      <w:r w:rsidR="008B2EB5" w:rsidRPr="00F32C5D">
        <w:t>DHS Supplied prescriptions database</w:t>
      </w:r>
      <w:r w:rsidR="008B2EB5">
        <w:t xml:space="preserve"> (date of supply)</w:t>
      </w:r>
      <w:r w:rsidR="008B2EB5" w:rsidRPr="00F32C5D">
        <w:t xml:space="preserve">, extracted May 2017 </w:t>
      </w:r>
    </w:p>
    <w:p w:rsidR="00B06234" w:rsidRDefault="00B06234" w:rsidP="00FA300E">
      <w:pPr>
        <w:pStyle w:val="TableFootnote0"/>
        <w:keepLines/>
        <w:spacing w:after="0"/>
        <w:rPr>
          <w:rFonts w:cs="Baskerville"/>
          <w:lang w:eastAsia="en-GB"/>
        </w:rPr>
      </w:pPr>
      <w:r>
        <w:rPr>
          <w:rFonts w:cs="Baskerville"/>
          <w:lang w:eastAsia="en-GB"/>
        </w:rPr>
        <w:t xml:space="preserve">CPP = chronic plaque psoriasis </w:t>
      </w:r>
    </w:p>
    <w:p w:rsidR="00FA300E" w:rsidRDefault="00FA300E" w:rsidP="00FA300E">
      <w:pPr>
        <w:pStyle w:val="TableFootnote0"/>
        <w:keepLines/>
        <w:spacing w:after="0"/>
        <w:rPr>
          <w:lang w:eastAsia="en-GB"/>
        </w:rPr>
      </w:pPr>
      <w:r w:rsidRPr="0020119A">
        <w:rPr>
          <w:vertAlign w:val="superscript"/>
          <w:lang w:eastAsia="en-GB"/>
        </w:rPr>
        <w:t xml:space="preserve">1 </w:t>
      </w:r>
      <w:r w:rsidRPr="00ED0047">
        <w:rPr>
          <w:lang w:eastAsia="en-GB"/>
        </w:rPr>
        <w:t xml:space="preserve">Secukinumab was </w:t>
      </w:r>
      <w:r>
        <w:rPr>
          <w:lang w:eastAsia="en-GB"/>
        </w:rPr>
        <w:t xml:space="preserve">listed on listed the PBS schedule on 1 September 2015, which was after the 30 June 2015 cut-off for treatment initiation in this study. </w:t>
      </w:r>
    </w:p>
    <w:p w:rsidR="0020119A" w:rsidRDefault="0020119A" w:rsidP="00FA300E">
      <w:pPr>
        <w:pStyle w:val="TableFootnote0"/>
        <w:keepLines/>
        <w:spacing w:after="0"/>
        <w:rPr>
          <w:lang w:eastAsia="en-GB"/>
        </w:rPr>
      </w:pPr>
    </w:p>
    <w:p w:rsidR="00FA300E" w:rsidRPr="0064745B" w:rsidRDefault="0086184A" w:rsidP="00FA300E">
      <w:r w:rsidRPr="0020119A">
        <w:t xml:space="preserve">Figure </w:t>
      </w:r>
      <w:r>
        <w:rPr>
          <w:noProof/>
        </w:rPr>
        <w:t>10</w:t>
      </w:r>
      <w:r w:rsidR="009D6075">
        <w:t xml:space="preserve"> </w:t>
      </w:r>
      <w:r w:rsidR="00FA300E" w:rsidRPr="0064745B">
        <w:t xml:space="preserve">presents the Kaplan Meier curves </w:t>
      </w:r>
      <w:r w:rsidR="00FA300E" w:rsidRPr="0064745B">
        <w:rPr>
          <w:lang w:eastAsia="en-GB"/>
        </w:rPr>
        <w:t>for the proportion of patients persisting with their first biologic for severe CPP, by biologic.</w:t>
      </w:r>
      <w:r w:rsidR="00E52287">
        <w:t xml:space="preserve"> </w:t>
      </w:r>
      <w:r w:rsidR="007B032A">
        <w:t>The rates</w:t>
      </w:r>
      <w:r w:rsidR="00E52287" w:rsidRPr="0064745B">
        <w:t xml:space="preserve"> of persistence with first biologic were highest for patients who </w:t>
      </w:r>
      <w:r w:rsidR="0020119A">
        <w:t>started</w:t>
      </w:r>
      <w:r w:rsidR="00E52287" w:rsidRPr="0064745B">
        <w:t xml:space="preserve"> treatment with ustekinumab and infliximab and lowest for patients who had </w:t>
      </w:r>
      <w:r w:rsidR="0020119A">
        <w:t xml:space="preserve">started </w:t>
      </w:r>
      <w:r w:rsidR="00E52287" w:rsidRPr="0064745B">
        <w:t xml:space="preserve">treatment with etanercept. </w:t>
      </w:r>
      <w:r w:rsidR="003526C3">
        <w:t>The etanercept group also included children who use episodic treatment.</w:t>
      </w:r>
      <w:r w:rsidR="00174EAD">
        <w:t>.</w:t>
      </w:r>
      <w:r w:rsidR="003526C3">
        <w:t xml:space="preserve"> </w:t>
      </w:r>
      <w:r w:rsidR="00E52287" w:rsidRPr="0064745B">
        <w:t xml:space="preserve">Patients who </w:t>
      </w:r>
      <w:r w:rsidR="0020119A">
        <w:t xml:space="preserve">started </w:t>
      </w:r>
      <w:r w:rsidR="00E52287" w:rsidRPr="0064745B">
        <w:t>treatment with adalimumab had the second lowest rates of treatment persistence.</w:t>
      </w:r>
    </w:p>
    <w:p w:rsidR="00FA300E" w:rsidRPr="0064745B" w:rsidRDefault="00FA300E" w:rsidP="0020119A">
      <w:pPr>
        <w:spacing w:after="60"/>
      </w:pPr>
      <w:r w:rsidRPr="0064745B">
        <w:rPr>
          <w:noProof/>
          <w:lang w:val="en-AU"/>
        </w:rPr>
        <w:drawing>
          <wp:inline distT="0" distB="0" distL="0" distR="0" wp14:anchorId="2D78ED24" wp14:editId="132E4BDB">
            <wp:extent cx="5568203" cy="4203865"/>
            <wp:effectExtent l="19050" t="19050" r="13970" b="25400"/>
            <wp:docPr id="7" name="Picture 7" title="Persistence with first biologic for severe CPP by biologic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571632" cy="4206454"/>
                    </a:xfrm>
                    <a:prstGeom prst="rect">
                      <a:avLst/>
                    </a:prstGeom>
                    <a:noFill/>
                    <a:ln>
                      <a:solidFill>
                        <a:schemeClr val="tx1"/>
                      </a:solidFill>
                    </a:ln>
                  </pic:spPr>
                </pic:pic>
              </a:graphicData>
            </a:graphic>
          </wp:inline>
        </w:drawing>
      </w:r>
    </w:p>
    <w:p w:rsidR="00FA300E" w:rsidRPr="0020119A" w:rsidRDefault="00FA300E" w:rsidP="0020119A">
      <w:pPr>
        <w:pStyle w:val="MDFiguretitle"/>
      </w:pPr>
      <w:bookmarkStart w:id="97" w:name="_Ref498436911"/>
      <w:bookmarkStart w:id="98" w:name="_Toc501632429"/>
      <w:r w:rsidRPr="0020119A">
        <w:t xml:space="preserve">Figure </w:t>
      </w:r>
      <w:r w:rsidR="0086184A">
        <w:rPr>
          <w:noProof/>
        </w:rPr>
        <w:t>10</w:t>
      </w:r>
      <w:bookmarkEnd w:id="97"/>
      <w:r w:rsidRPr="0020119A">
        <w:t>: Persistence with first biologic for severe CPP by biologic</w:t>
      </w:r>
      <w:bookmarkEnd w:id="98"/>
      <w:r w:rsidRPr="0020119A">
        <w:t xml:space="preserve"> </w:t>
      </w:r>
    </w:p>
    <w:p w:rsidR="00B03457" w:rsidRDefault="00FA300E" w:rsidP="00B03457">
      <w:pPr>
        <w:pStyle w:val="Figurecaption"/>
      </w:pPr>
      <w:r w:rsidRPr="0064745B">
        <w:t xml:space="preserve">Source: </w:t>
      </w:r>
      <w:r w:rsidR="008B2EB5" w:rsidRPr="00F32C5D">
        <w:t>DHS Supplied prescriptions database</w:t>
      </w:r>
      <w:r w:rsidR="008B2EB5">
        <w:t xml:space="preserve"> (date of supply)</w:t>
      </w:r>
      <w:r w:rsidR="008B2EB5" w:rsidRPr="00F32C5D">
        <w:t xml:space="preserve">, extracted May 2017 </w:t>
      </w:r>
    </w:p>
    <w:p w:rsidR="00B03457" w:rsidRDefault="00B03457" w:rsidP="00B03457">
      <w:pPr>
        <w:pStyle w:val="Figurecaption"/>
      </w:pPr>
    </w:p>
    <w:p w:rsidR="00B03457" w:rsidRPr="00B03457" w:rsidRDefault="0086184A" w:rsidP="00B03457">
      <w:pPr>
        <w:rPr>
          <w:szCs w:val="24"/>
        </w:rPr>
      </w:pPr>
      <w:r w:rsidRPr="0086184A">
        <w:rPr>
          <w:rFonts w:ascii="Calibri" w:eastAsia="Times New Roman" w:hAnsi="Calibri" w:cs="Calibri"/>
          <w:szCs w:val="24"/>
          <w:lang w:val="en-US" w:eastAsia="en-US"/>
        </w:rPr>
        <w:t xml:space="preserve">Table </w:t>
      </w:r>
      <w:r w:rsidRPr="0086184A">
        <w:rPr>
          <w:rFonts w:ascii="Calibri" w:eastAsia="Times New Roman" w:hAnsi="Calibri" w:cs="Calibri"/>
          <w:noProof/>
          <w:szCs w:val="24"/>
          <w:lang w:val="en-US" w:eastAsia="en-US"/>
        </w:rPr>
        <w:t>13</w:t>
      </w:r>
      <w:r w:rsidR="00B03457" w:rsidRPr="00495A03">
        <w:rPr>
          <w:rFonts w:eastAsiaTheme="minorEastAsia" w:cstheme="minorBidi"/>
          <w:szCs w:val="24"/>
          <w:lang w:val="en-AU" w:eastAsia="en-US"/>
        </w:rPr>
        <w:t xml:space="preserve"> presents the persistence on etanercept as a first biologic for adults and children.</w:t>
      </w:r>
      <w:r w:rsidR="005D42A3" w:rsidRPr="00C44462">
        <w:rPr>
          <w:rFonts w:eastAsiaTheme="minorEastAsia" w:cstheme="minorBidi"/>
          <w:szCs w:val="24"/>
          <w:lang w:val="en-AU" w:eastAsia="en-US"/>
        </w:rPr>
        <w:t xml:space="preserve"> </w:t>
      </w:r>
      <w:r w:rsidR="00B03457" w:rsidRPr="00495A03">
        <w:rPr>
          <w:rFonts w:eastAsiaTheme="minorEastAsia" w:cstheme="minorBidi"/>
          <w:szCs w:val="24"/>
          <w:lang w:val="en-AU" w:eastAsia="en-US"/>
        </w:rPr>
        <w:t xml:space="preserve">Children treated with etanercept are treated episodically. </w:t>
      </w:r>
      <w:r w:rsidR="00B03457">
        <w:rPr>
          <w:rFonts w:eastAsiaTheme="minorEastAsia" w:cstheme="minorBidi"/>
          <w:szCs w:val="24"/>
          <w:lang w:val="en-AU" w:eastAsia="en-US"/>
        </w:rPr>
        <w:t>Children</w:t>
      </w:r>
      <w:r w:rsidR="00B03457" w:rsidRPr="00495A03">
        <w:rPr>
          <w:rFonts w:eastAsiaTheme="minorEastAsia" w:cstheme="minorBidi"/>
          <w:szCs w:val="24"/>
          <w:lang w:val="en-AU" w:eastAsia="en-US"/>
        </w:rPr>
        <w:t xml:space="preserve"> can have an initial treat</w:t>
      </w:r>
      <w:r w:rsidR="00B03457" w:rsidRPr="00B03457">
        <w:rPr>
          <w:rFonts w:eastAsiaTheme="minorEastAsia" w:cstheme="minorBidi"/>
          <w:szCs w:val="24"/>
          <w:lang w:val="en-AU" w:eastAsia="en-US"/>
        </w:rPr>
        <w:t xml:space="preserve">ment period of 16 weeks. </w:t>
      </w:r>
      <w:r w:rsidR="00B03457">
        <w:rPr>
          <w:rFonts w:eastAsiaTheme="minorEastAsia" w:cstheme="minorBidi"/>
          <w:szCs w:val="24"/>
          <w:lang w:val="en-AU" w:eastAsia="en-US"/>
        </w:rPr>
        <w:t xml:space="preserve">If they demonstrate an adequate response, they can have a further eight weeks treatment for a total treatment course of 24 weeks. </w:t>
      </w:r>
      <w:r w:rsidR="005D42A3">
        <w:rPr>
          <w:rFonts w:eastAsiaTheme="minorEastAsia" w:cstheme="minorBidi"/>
          <w:szCs w:val="24"/>
          <w:lang w:val="en-AU" w:eastAsia="en-US"/>
        </w:rPr>
        <w:t xml:space="preserve">Children can be re-treated within 12 months if they experience a disease flare. After a break of at least 12 months, children have to requalify for initial treatment. </w:t>
      </w:r>
      <w:r w:rsidR="005D42A3" w:rsidRPr="007C2789">
        <w:rPr>
          <w:rFonts w:eastAsiaTheme="minorEastAsia" w:cstheme="minorBidi"/>
          <w:szCs w:val="24"/>
          <w:lang w:val="en-AU" w:eastAsia="en-US"/>
        </w:rPr>
        <w:t>There were 22 patients who started etanercept who were aged 17 years or younger when they had their first prescription</w:t>
      </w:r>
      <w:r w:rsidR="005D42A3">
        <w:rPr>
          <w:rFonts w:eastAsiaTheme="minorEastAsia" w:cstheme="minorBidi"/>
          <w:szCs w:val="24"/>
          <w:lang w:val="en-AU" w:eastAsia="en-US"/>
        </w:rPr>
        <w:t xml:space="preserve">. The results in presented in </w:t>
      </w:r>
      <w:r w:rsidRPr="0086184A">
        <w:rPr>
          <w:rFonts w:ascii="Calibri" w:eastAsia="Times New Roman" w:hAnsi="Calibri" w:cs="Calibri"/>
          <w:szCs w:val="24"/>
          <w:lang w:val="en-US" w:eastAsia="en-US"/>
        </w:rPr>
        <w:t xml:space="preserve">Table </w:t>
      </w:r>
      <w:r w:rsidRPr="0086184A">
        <w:rPr>
          <w:rFonts w:ascii="Calibri" w:eastAsia="Times New Roman" w:hAnsi="Calibri" w:cs="Calibri"/>
          <w:noProof/>
          <w:szCs w:val="24"/>
          <w:lang w:val="en-US" w:eastAsia="en-US"/>
        </w:rPr>
        <w:t>13</w:t>
      </w:r>
      <w:r w:rsidR="005D42A3">
        <w:rPr>
          <w:rFonts w:eastAsiaTheme="minorEastAsia" w:cstheme="minorBidi"/>
          <w:szCs w:val="24"/>
          <w:lang w:val="en-AU" w:eastAsia="en-US"/>
        </w:rPr>
        <w:t xml:space="preserve"> show that children who started etanercept had higher rates of persistence compare with adults who started etanercept. </w:t>
      </w:r>
    </w:p>
    <w:p w:rsidR="00B03457" w:rsidRDefault="00B03457" w:rsidP="00B03457">
      <w:pPr>
        <w:pStyle w:val="Figurecaption"/>
      </w:pPr>
    </w:p>
    <w:p w:rsidR="00890483" w:rsidRDefault="00890483" w:rsidP="00991BB0">
      <w:pPr>
        <w:pStyle w:val="MDTabCaption"/>
        <w:rPr>
          <w:rFonts w:eastAsia="Times New Roman"/>
        </w:rPr>
      </w:pPr>
      <w:bookmarkStart w:id="99" w:name="_Ref501551191"/>
      <w:bookmarkStart w:id="100" w:name="_Toc501632407"/>
      <w:bookmarkStart w:id="101" w:name="_Toc493156398"/>
      <w:r>
        <w:rPr>
          <w:rFonts w:eastAsia="Times New Roman"/>
        </w:rPr>
        <w:t xml:space="preserve">Table </w:t>
      </w:r>
      <w:r w:rsidR="0086184A">
        <w:rPr>
          <w:rFonts w:eastAsia="Times New Roman"/>
          <w:noProof/>
        </w:rPr>
        <w:t>13</w:t>
      </w:r>
      <w:bookmarkEnd w:id="99"/>
      <w:r>
        <w:rPr>
          <w:rFonts w:eastAsia="Times New Roman"/>
        </w:rPr>
        <w:t xml:space="preserve">: Treatment </w:t>
      </w:r>
      <w:r>
        <w:t>persistence</w:t>
      </w:r>
      <w:r>
        <w:rPr>
          <w:rFonts w:eastAsia="Times New Roman"/>
        </w:rPr>
        <w:t xml:space="preserve"> with </w:t>
      </w:r>
      <w:r w:rsidR="005D42A3">
        <w:rPr>
          <w:rFonts w:eastAsia="Times New Roman"/>
        </w:rPr>
        <w:t>etanercept as a first biologic (adults vs. children)</w:t>
      </w:r>
      <w:bookmarkEnd w:id="100"/>
    </w:p>
    <w:tbl>
      <w:tblPr>
        <w:tblStyle w:val="TableGrid"/>
        <w:tblW w:w="5000" w:type="pct"/>
        <w:tblLook w:val="04A0" w:firstRow="1" w:lastRow="0" w:firstColumn="1" w:lastColumn="0" w:noHBand="0" w:noVBand="1"/>
        <w:tblCaption w:val="Treatment persistence with etanercept as a first biologic "/>
      </w:tblPr>
      <w:tblGrid>
        <w:gridCol w:w="3193"/>
        <w:gridCol w:w="580"/>
        <w:gridCol w:w="1891"/>
        <w:gridCol w:w="1743"/>
        <w:gridCol w:w="1835"/>
      </w:tblGrid>
      <w:tr w:rsidR="00890483" w:rsidTr="00495A03">
        <w:trPr>
          <w:trHeight w:val="279"/>
          <w:tblHeader/>
        </w:trPr>
        <w:tc>
          <w:tcPr>
            <w:tcW w:w="1727" w:type="pct"/>
            <w:tcBorders>
              <w:top w:val="single" w:sz="4" w:space="0" w:color="auto"/>
              <w:left w:val="single" w:sz="4" w:space="0" w:color="auto"/>
              <w:bottom w:val="single" w:sz="4" w:space="0" w:color="auto"/>
              <w:right w:val="single" w:sz="4" w:space="0" w:color="auto"/>
            </w:tcBorders>
            <w:shd w:val="clear" w:color="auto" w:fill="BFBFBF"/>
            <w:vAlign w:val="center"/>
            <w:hideMark/>
          </w:tcPr>
          <w:p w:rsidR="00890483" w:rsidRDefault="00890483">
            <w:pPr>
              <w:keepNext/>
              <w:keepLines/>
              <w:autoSpaceDE w:val="0"/>
              <w:autoSpaceDN w:val="0"/>
              <w:adjustRightInd w:val="0"/>
              <w:spacing w:before="60" w:after="60"/>
              <w:rPr>
                <w:rFonts w:ascii="Calibri" w:eastAsia="MS Mincho" w:hAnsi="Calibri" w:cs="Calibri"/>
                <w:b/>
                <w:lang w:val="en-AU"/>
              </w:rPr>
            </w:pPr>
            <w:r>
              <w:rPr>
                <w:rFonts w:eastAsia="MS Mincho" w:cs="Calibri"/>
                <w:b/>
                <w:lang w:val="en-AU"/>
              </w:rPr>
              <w:t>Patient group</w:t>
            </w:r>
          </w:p>
        </w:tc>
        <w:tc>
          <w:tcPr>
            <w:tcW w:w="314" w:type="pct"/>
            <w:tcBorders>
              <w:top w:val="single" w:sz="4" w:space="0" w:color="auto"/>
              <w:left w:val="single" w:sz="4" w:space="0" w:color="auto"/>
              <w:bottom w:val="single" w:sz="4" w:space="0" w:color="auto"/>
              <w:right w:val="single" w:sz="4" w:space="0" w:color="auto"/>
            </w:tcBorders>
            <w:shd w:val="clear" w:color="auto" w:fill="BFBFBF"/>
            <w:vAlign w:val="center"/>
            <w:hideMark/>
          </w:tcPr>
          <w:p w:rsidR="00890483" w:rsidRDefault="00890483">
            <w:pPr>
              <w:keepNext/>
              <w:keepLines/>
              <w:autoSpaceDE w:val="0"/>
              <w:autoSpaceDN w:val="0"/>
              <w:adjustRightInd w:val="0"/>
              <w:spacing w:before="60" w:after="60"/>
              <w:rPr>
                <w:rFonts w:eastAsia="MS Mincho" w:cs="Calibri"/>
                <w:b/>
                <w:lang w:val="en-AU"/>
              </w:rPr>
            </w:pPr>
            <w:r>
              <w:rPr>
                <w:rFonts w:eastAsia="MS Mincho" w:cs="Calibri"/>
                <w:b/>
                <w:lang w:val="en-AU"/>
              </w:rPr>
              <w:t>N</w:t>
            </w:r>
          </w:p>
        </w:tc>
        <w:tc>
          <w:tcPr>
            <w:tcW w:w="1023" w:type="pct"/>
            <w:tcBorders>
              <w:top w:val="single" w:sz="4" w:space="0" w:color="auto"/>
              <w:left w:val="single" w:sz="4" w:space="0" w:color="auto"/>
              <w:bottom w:val="single" w:sz="4" w:space="0" w:color="auto"/>
              <w:right w:val="single" w:sz="4" w:space="0" w:color="auto"/>
            </w:tcBorders>
            <w:shd w:val="clear" w:color="auto" w:fill="BFBFBF"/>
            <w:hideMark/>
          </w:tcPr>
          <w:p w:rsidR="00890483" w:rsidRDefault="00890483">
            <w:pPr>
              <w:keepNext/>
              <w:keepLines/>
              <w:autoSpaceDE w:val="0"/>
              <w:autoSpaceDN w:val="0"/>
              <w:adjustRightInd w:val="0"/>
              <w:spacing w:before="60" w:after="60"/>
              <w:rPr>
                <w:rFonts w:eastAsia="MS Mincho" w:cs="Calibri"/>
                <w:b/>
                <w:lang w:val="en-AU"/>
              </w:rPr>
            </w:pPr>
            <w:r>
              <w:rPr>
                <w:rFonts w:eastAsia="MS Mincho" w:cs="Calibri"/>
                <w:b/>
                <w:lang w:val="en-AU"/>
              </w:rPr>
              <w:t>6 months;</w:t>
            </w:r>
            <w:r>
              <w:rPr>
                <w:rFonts w:cs="Calibri"/>
                <w:lang w:val="en-AU"/>
              </w:rPr>
              <w:t xml:space="preserve"> </w:t>
            </w:r>
            <w:r>
              <w:rPr>
                <w:rFonts w:eastAsia="MS Mincho" w:cs="Calibri"/>
                <w:b/>
                <w:lang w:val="en-AU"/>
              </w:rPr>
              <w:t>n (%)</w:t>
            </w:r>
          </w:p>
        </w:tc>
        <w:tc>
          <w:tcPr>
            <w:tcW w:w="943" w:type="pct"/>
            <w:tcBorders>
              <w:top w:val="single" w:sz="4" w:space="0" w:color="auto"/>
              <w:left w:val="single" w:sz="4" w:space="0" w:color="auto"/>
              <w:bottom w:val="single" w:sz="4" w:space="0" w:color="auto"/>
              <w:right w:val="single" w:sz="4" w:space="0" w:color="auto"/>
            </w:tcBorders>
            <w:shd w:val="clear" w:color="auto" w:fill="BFBFBF"/>
            <w:hideMark/>
          </w:tcPr>
          <w:p w:rsidR="00890483" w:rsidRDefault="00890483">
            <w:pPr>
              <w:keepNext/>
              <w:keepLines/>
              <w:autoSpaceDE w:val="0"/>
              <w:autoSpaceDN w:val="0"/>
              <w:adjustRightInd w:val="0"/>
              <w:spacing w:before="60" w:after="60"/>
              <w:rPr>
                <w:rFonts w:eastAsia="MS Mincho" w:cs="Calibri"/>
                <w:b/>
                <w:lang w:val="en-AU"/>
              </w:rPr>
            </w:pPr>
            <w:r>
              <w:rPr>
                <w:rFonts w:eastAsia="MS Mincho" w:cs="Calibri"/>
                <w:b/>
                <w:lang w:val="en-AU"/>
              </w:rPr>
              <w:t>12 months;</w:t>
            </w:r>
            <w:r>
              <w:rPr>
                <w:rFonts w:cs="Calibri"/>
                <w:lang w:val="en-AU"/>
              </w:rPr>
              <w:t xml:space="preserve"> </w:t>
            </w:r>
            <w:r>
              <w:rPr>
                <w:rFonts w:eastAsia="MS Mincho" w:cs="Calibri"/>
                <w:b/>
                <w:lang w:val="en-AU"/>
              </w:rPr>
              <w:t>n (%)</w:t>
            </w:r>
          </w:p>
        </w:tc>
        <w:tc>
          <w:tcPr>
            <w:tcW w:w="993" w:type="pct"/>
            <w:tcBorders>
              <w:top w:val="single" w:sz="4" w:space="0" w:color="auto"/>
              <w:left w:val="single" w:sz="4" w:space="0" w:color="auto"/>
              <w:bottom w:val="single" w:sz="4" w:space="0" w:color="auto"/>
              <w:right w:val="single" w:sz="4" w:space="0" w:color="auto"/>
            </w:tcBorders>
            <w:shd w:val="clear" w:color="auto" w:fill="BFBFBF"/>
            <w:hideMark/>
          </w:tcPr>
          <w:p w:rsidR="00890483" w:rsidRDefault="00890483">
            <w:pPr>
              <w:keepNext/>
              <w:keepLines/>
              <w:autoSpaceDE w:val="0"/>
              <w:autoSpaceDN w:val="0"/>
              <w:adjustRightInd w:val="0"/>
              <w:spacing w:before="60" w:after="60"/>
              <w:rPr>
                <w:rFonts w:eastAsia="MS Mincho" w:cs="Calibri"/>
                <w:b/>
                <w:lang w:val="en-AU"/>
              </w:rPr>
            </w:pPr>
            <w:r>
              <w:rPr>
                <w:rFonts w:eastAsia="MS Mincho" w:cs="Calibri"/>
                <w:b/>
                <w:lang w:val="en-AU"/>
              </w:rPr>
              <w:t>18 months;</w:t>
            </w:r>
            <w:r>
              <w:rPr>
                <w:rFonts w:cs="Calibri"/>
                <w:lang w:val="en-AU"/>
              </w:rPr>
              <w:t xml:space="preserve"> </w:t>
            </w:r>
            <w:r>
              <w:rPr>
                <w:rFonts w:eastAsia="MS Mincho" w:cs="Calibri"/>
                <w:b/>
                <w:lang w:val="en-AU"/>
              </w:rPr>
              <w:t>n (%)</w:t>
            </w:r>
          </w:p>
        </w:tc>
      </w:tr>
      <w:tr w:rsidR="00890483" w:rsidTr="00495A03">
        <w:trPr>
          <w:trHeight w:val="122"/>
        </w:trPr>
        <w:tc>
          <w:tcPr>
            <w:tcW w:w="1727" w:type="pct"/>
            <w:tcBorders>
              <w:top w:val="single" w:sz="4" w:space="0" w:color="auto"/>
              <w:left w:val="single" w:sz="4" w:space="0" w:color="auto"/>
              <w:bottom w:val="single" w:sz="4" w:space="0" w:color="auto"/>
              <w:right w:val="single" w:sz="4" w:space="0" w:color="auto"/>
            </w:tcBorders>
            <w:hideMark/>
          </w:tcPr>
          <w:p w:rsidR="00890483" w:rsidRDefault="00890483">
            <w:pPr>
              <w:keepNext/>
              <w:keepLines/>
              <w:autoSpaceDE w:val="0"/>
              <w:autoSpaceDN w:val="0"/>
              <w:adjustRightInd w:val="0"/>
              <w:spacing w:before="60" w:after="60"/>
              <w:rPr>
                <w:rFonts w:eastAsia="MS Mincho" w:cs="Calibri"/>
                <w:lang w:val="en-AU"/>
              </w:rPr>
            </w:pPr>
            <w:r>
              <w:rPr>
                <w:rFonts w:cs="Calibri"/>
                <w:color w:val="000000"/>
                <w:lang w:val="en-AU"/>
              </w:rPr>
              <w:t>Children (&lt;18</w:t>
            </w:r>
            <w:r w:rsidR="005D42A3">
              <w:rPr>
                <w:rFonts w:cs="Calibri"/>
                <w:color w:val="000000"/>
                <w:lang w:val="en-AU"/>
              </w:rPr>
              <w:t xml:space="preserve"> years</w:t>
            </w:r>
            <w:r>
              <w:rPr>
                <w:rFonts w:cs="Calibri"/>
                <w:color w:val="000000"/>
                <w:lang w:val="en-AU"/>
              </w:rPr>
              <w:t>)</w:t>
            </w:r>
          </w:p>
        </w:tc>
        <w:tc>
          <w:tcPr>
            <w:tcW w:w="314" w:type="pct"/>
            <w:tcBorders>
              <w:top w:val="single" w:sz="4" w:space="0" w:color="auto"/>
              <w:left w:val="single" w:sz="4" w:space="0" w:color="auto"/>
              <w:bottom w:val="single" w:sz="4" w:space="0" w:color="auto"/>
              <w:right w:val="single" w:sz="4" w:space="0" w:color="auto"/>
            </w:tcBorders>
            <w:hideMark/>
          </w:tcPr>
          <w:p w:rsidR="00890483" w:rsidRDefault="00890483">
            <w:pPr>
              <w:keepNext/>
              <w:keepLines/>
              <w:autoSpaceDE w:val="0"/>
              <w:autoSpaceDN w:val="0"/>
              <w:adjustRightInd w:val="0"/>
              <w:spacing w:before="60" w:after="60"/>
              <w:rPr>
                <w:rFonts w:eastAsia="MS Mincho" w:cs="Calibri"/>
                <w:lang w:val="en-AU"/>
              </w:rPr>
            </w:pPr>
            <w:r>
              <w:rPr>
                <w:rFonts w:eastAsia="MS Mincho" w:cs="Calibri"/>
                <w:lang w:val="en-AU"/>
              </w:rPr>
              <w:t xml:space="preserve">22 </w:t>
            </w:r>
          </w:p>
        </w:tc>
        <w:tc>
          <w:tcPr>
            <w:tcW w:w="1023" w:type="pct"/>
            <w:tcBorders>
              <w:top w:val="single" w:sz="4" w:space="0" w:color="auto"/>
              <w:left w:val="single" w:sz="4" w:space="0" w:color="auto"/>
              <w:bottom w:val="single" w:sz="4" w:space="0" w:color="auto"/>
              <w:right w:val="single" w:sz="4" w:space="0" w:color="auto"/>
            </w:tcBorders>
            <w:hideMark/>
          </w:tcPr>
          <w:p w:rsidR="00890483" w:rsidRDefault="00890483">
            <w:pPr>
              <w:keepNext/>
              <w:keepLines/>
              <w:autoSpaceDE w:val="0"/>
              <w:autoSpaceDN w:val="0"/>
              <w:adjustRightInd w:val="0"/>
              <w:spacing w:before="60" w:after="60"/>
              <w:rPr>
                <w:rFonts w:eastAsia="MS Mincho" w:cs="Calibri"/>
                <w:lang w:val="en-AU"/>
              </w:rPr>
            </w:pPr>
            <w:r>
              <w:rPr>
                <w:rFonts w:eastAsia="MS Mincho" w:cs="Calibri"/>
                <w:lang w:val="en-AU"/>
              </w:rPr>
              <w:t>6 (27%)</w:t>
            </w:r>
          </w:p>
        </w:tc>
        <w:tc>
          <w:tcPr>
            <w:tcW w:w="943" w:type="pct"/>
            <w:tcBorders>
              <w:top w:val="single" w:sz="4" w:space="0" w:color="auto"/>
              <w:left w:val="single" w:sz="4" w:space="0" w:color="auto"/>
              <w:bottom w:val="single" w:sz="4" w:space="0" w:color="auto"/>
              <w:right w:val="single" w:sz="4" w:space="0" w:color="auto"/>
            </w:tcBorders>
            <w:hideMark/>
          </w:tcPr>
          <w:p w:rsidR="00890483" w:rsidRDefault="00890483">
            <w:pPr>
              <w:keepNext/>
              <w:keepLines/>
              <w:autoSpaceDE w:val="0"/>
              <w:autoSpaceDN w:val="0"/>
              <w:adjustRightInd w:val="0"/>
              <w:spacing w:before="60" w:after="60"/>
              <w:rPr>
                <w:rFonts w:eastAsia="MS Mincho" w:cs="Calibri"/>
                <w:lang w:val="en-AU"/>
              </w:rPr>
            </w:pPr>
            <w:r>
              <w:rPr>
                <w:rFonts w:eastAsia="MS Mincho" w:cs="Calibri"/>
                <w:lang w:val="en-AU"/>
              </w:rPr>
              <w:t>6 (27%)</w:t>
            </w:r>
          </w:p>
        </w:tc>
        <w:tc>
          <w:tcPr>
            <w:tcW w:w="993" w:type="pct"/>
            <w:tcBorders>
              <w:top w:val="single" w:sz="4" w:space="0" w:color="auto"/>
              <w:left w:val="single" w:sz="4" w:space="0" w:color="auto"/>
              <w:bottom w:val="single" w:sz="4" w:space="0" w:color="auto"/>
              <w:right w:val="single" w:sz="4" w:space="0" w:color="auto"/>
            </w:tcBorders>
            <w:hideMark/>
          </w:tcPr>
          <w:p w:rsidR="00890483" w:rsidRDefault="000278BE">
            <w:pPr>
              <w:keepNext/>
              <w:keepLines/>
              <w:autoSpaceDE w:val="0"/>
              <w:autoSpaceDN w:val="0"/>
              <w:adjustRightInd w:val="0"/>
              <w:spacing w:before="60" w:after="60"/>
              <w:rPr>
                <w:rFonts w:eastAsia="MS Mincho" w:cs="Calibri"/>
                <w:lang w:val="en-AU"/>
              </w:rPr>
            </w:pPr>
            <w:r>
              <w:rPr>
                <w:rFonts w:eastAsia="MS Mincho" w:cs="Calibri"/>
                <w:lang w:val="en-AU"/>
              </w:rPr>
              <w:t>&lt;6</w:t>
            </w:r>
          </w:p>
        </w:tc>
      </w:tr>
      <w:tr w:rsidR="00890483" w:rsidTr="00495A03">
        <w:trPr>
          <w:trHeight w:val="122"/>
        </w:trPr>
        <w:tc>
          <w:tcPr>
            <w:tcW w:w="1727" w:type="pct"/>
            <w:tcBorders>
              <w:top w:val="single" w:sz="4" w:space="0" w:color="auto"/>
              <w:left w:val="single" w:sz="4" w:space="0" w:color="auto"/>
              <w:bottom w:val="single" w:sz="4" w:space="0" w:color="auto"/>
              <w:right w:val="single" w:sz="4" w:space="0" w:color="auto"/>
            </w:tcBorders>
            <w:hideMark/>
          </w:tcPr>
          <w:p w:rsidR="00890483" w:rsidRDefault="00890483" w:rsidP="00C44462">
            <w:pPr>
              <w:keepNext/>
              <w:keepLines/>
              <w:autoSpaceDE w:val="0"/>
              <w:autoSpaceDN w:val="0"/>
              <w:adjustRightInd w:val="0"/>
              <w:spacing w:before="60" w:after="60"/>
              <w:rPr>
                <w:rFonts w:eastAsia="MS Mincho" w:cs="Calibri"/>
                <w:lang w:val="en-AU"/>
              </w:rPr>
            </w:pPr>
            <w:r>
              <w:rPr>
                <w:rFonts w:cs="Calibri"/>
                <w:color w:val="000000"/>
                <w:lang w:val="en-AU"/>
              </w:rPr>
              <w:t>Adults (18</w:t>
            </w:r>
            <w:r w:rsidR="005D42A3">
              <w:rPr>
                <w:rFonts w:cs="Calibri"/>
                <w:color w:val="000000"/>
                <w:lang w:val="en-AU"/>
              </w:rPr>
              <w:t xml:space="preserve"> years and older</w:t>
            </w:r>
            <w:r>
              <w:rPr>
                <w:rFonts w:cs="Calibri"/>
                <w:color w:val="000000"/>
                <w:lang w:val="en-AU"/>
              </w:rPr>
              <w:t>)</w:t>
            </w:r>
          </w:p>
        </w:tc>
        <w:tc>
          <w:tcPr>
            <w:tcW w:w="314" w:type="pct"/>
            <w:tcBorders>
              <w:top w:val="single" w:sz="4" w:space="0" w:color="auto"/>
              <w:left w:val="single" w:sz="4" w:space="0" w:color="auto"/>
              <w:bottom w:val="single" w:sz="4" w:space="0" w:color="auto"/>
              <w:right w:val="single" w:sz="4" w:space="0" w:color="auto"/>
            </w:tcBorders>
            <w:hideMark/>
          </w:tcPr>
          <w:p w:rsidR="00890483" w:rsidRDefault="00890483">
            <w:pPr>
              <w:keepNext/>
              <w:keepLines/>
              <w:autoSpaceDE w:val="0"/>
              <w:autoSpaceDN w:val="0"/>
              <w:adjustRightInd w:val="0"/>
              <w:spacing w:before="60" w:after="60"/>
              <w:rPr>
                <w:rFonts w:eastAsia="MS Mincho" w:cs="Calibri"/>
                <w:lang w:val="en-AU"/>
              </w:rPr>
            </w:pPr>
            <w:r>
              <w:rPr>
                <w:rFonts w:eastAsia="MS Mincho" w:cs="Calibri"/>
                <w:lang w:val="en-AU"/>
              </w:rPr>
              <w:t>53</w:t>
            </w:r>
          </w:p>
        </w:tc>
        <w:tc>
          <w:tcPr>
            <w:tcW w:w="1023" w:type="pct"/>
            <w:tcBorders>
              <w:top w:val="single" w:sz="4" w:space="0" w:color="auto"/>
              <w:left w:val="single" w:sz="4" w:space="0" w:color="auto"/>
              <w:bottom w:val="single" w:sz="4" w:space="0" w:color="auto"/>
              <w:right w:val="single" w:sz="4" w:space="0" w:color="auto"/>
            </w:tcBorders>
            <w:hideMark/>
          </w:tcPr>
          <w:p w:rsidR="00890483" w:rsidRDefault="00890483">
            <w:pPr>
              <w:keepNext/>
              <w:keepLines/>
              <w:autoSpaceDE w:val="0"/>
              <w:autoSpaceDN w:val="0"/>
              <w:adjustRightInd w:val="0"/>
              <w:spacing w:before="60" w:after="60"/>
              <w:rPr>
                <w:rFonts w:eastAsia="MS Mincho" w:cs="Calibri"/>
                <w:lang w:val="en-AU"/>
              </w:rPr>
            </w:pPr>
            <w:r>
              <w:rPr>
                <w:rFonts w:eastAsia="MS Mincho" w:cs="Calibri"/>
                <w:lang w:val="en-AU"/>
              </w:rPr>
              <w:t>10 (19%)</w:t>
            </w:r>
          </w:p>
        </w:tc>
        <w:tc>
          <w:tcPr>
            <w:tcW w:w="943" w:type="pct"/>
            <w:tcBorders>
              <w:top w:val="single" w:sz="4" w:space="0" w:color="auto"/>
              <w:left w:val="single" w:sz="4" w:space="0" w:color="auto"/>
              <w:bottom w:val="single" w:sz="4" w:space="0" w:color="auto"/>
              <w:right w:val="single" w:sz="4" w:space="0" w:color="auto"/>
            </w:tcBorders>
            <w:hideMark/>
          </w:tcPr>
          <w:p w:rsidR="00890483" w:rsidRDefault="00890483">
            <w:pPr>
              <w:keepNext/>
              <w:keepLines/>
              <w:autoSpaceDE w:val="0"/>
              <w:autoSpaceDN w:val="0"/>
              <w:adjustRightInd w:val="0"/>
              <w:spacing w:before="60" w:after="60"/>
              <w:rPr>
                <w:rFonts w:eastAsia="MS Mincho" w:cs="Calibri"/>
                <w:lang w:val="en-AU"/>
              </w:rPr>
            </w:pPr>
            <w:r>
              <w:rPr>
                <w:rFonts w:eastAsia="MS Mincho" w:cs="Calibri"/>
                <w:lang w:val="en-AU"/>
              </w:rPr>
              <w:t>7 (13%)</w:t>
            </w:r>
          </w:p>
        </w:tc>
        <w:tc>
          <w:tcPr>
            <w:tcW w:w="993" w:type="pct"/>
            <w:tcBorders>
              <w:top w:val="single" w:sz="4" w:space="0" w:color="auto"/>
              <w:left w:val="single" w:sz="4" w:space="0" w:color="auto"/>
              <w:bottom w:val="single" w:sz="4" w:space="0" w:color="auto"/>
              <w:right w:val="single" w:sz="4" w:space="0" w:color="auto"/>
            </w:tcBorders>
            <w:hideMark/>
          </w:tcPr>
          <w:p w:rsidR="00890483" w:rsidRDefault="000278BE">
            <w:pPr>
              <w:keepNext/>
              <w:keepLines/>
              <w:autoSpaceDE w:val="0"/>
              <w:autoSpaceDN w:val="0"/>
              <w:adjustRightInd w:val="0"/>
              <w:spacing w:before="60" w:after="60"/>
              <w:rPr>
                <w:rFonts w:eastAsia="MS Mincho" w:cs="Calibri"/>
                <w:lang w:val="en-AU"/>
              </w:rPr>
            </w:pPr>
            <w:r>
              <w:rPr>
                <w:rFonts w:eastAsia="MS Mincho" w:cs="Calibri"/>
                <w:lang w:val="en-AU"/>
              </w:rPr>
              <w:t>&lt; 6</w:t>
            </w:r>
          </w:p>
        </w:tc>
      </w:tr>
      <w:tr w:rsidR="00890483" w:rsidTr="00495A03">
        <w:trPr>
          <w:trHeight w:val="122"/>
        </w:trPr>
        <w:tc>
          <w:tcPr>
            <w:tcW w:w="1727" w:type="pct"/>
            <w:tcBorders>
              <w:top w:val="single" w:sz="4" w:space="0" w:color="auto"/>
              <w:left w:val="single" w:sz="4" w:space="0" w:color="auto"/>
              <w:bottom w:val="single" w:sz="4" w:space="0" w:color="auto"/>
              <w:right w:val="single" w:sz="4" w:space="0" w:color="auto"/>
            </w:tcBorders>
            <w:hideMark/>
          </w:tcPr>
          <w:p w:rsidR="00890483" w:rsidRDefault="00890483">
            <w:pPr>
              <w:keepNext/>
              <w:keepLines/>
              <w:autoSpaceDE w:val="0"/>
              <w:autoSpaceDN w:val="0"/>
              <w:adjustRightInd w:val="0"/>
              <w:spacing w:before="60" w:after="60"/>
              <w:rPr>
                <w:rFonts w:cs="Calibri"/>
                <w:color w:val="000000"/>
                <w:lang w:val="en-AU"/>
              </w:rPr>
            </w:pPr>
            <w:r>
              <w:rPr>
                <w:rFonts w:cs="Calibri"/>
                <w:color w:val="000000"/>
                <w:lang w:val="en-AU"/>
              </w:rPr>
              <w:t>Overall</w:t>
            </w:r>
          </w:p>
        </w:tc>
        <w:tc>
          <w:tcPr>
            <w:tcW w:w="314" w:type="pct"/>
            <w:tcBorders>
              <w:top w:val="single" w:sz="4" w:space="0" w:color="auto"/>
              <w:left w:val="single" w:sz="4" w:space="0" w:color="auto"/>
              <w:bottom w:val="single" w:sz="4" w:space="0" w:color="auto"/>
              <w:right w:val="single" w:sz="4" w:space="0" w:color="auto"/>
            </w:tcBorders>
            <w:hideMark/>
          </w:tcPr>
          <w:p w:rsidR="00890483" w:rsidRDefault="00890483">
            <w:pPr>
              <w:keepNext/>
              <w:keepLines/>
              <w:autoSpaceDE w:val="0"/>
              <w:autoSpaceDN w:val="0"/>
              <w:adjustRightInd w:val="0"/>
              <w:spacing w:before="60" w:after="60"/>
              <w:rPr>
                <w:rFonts w:eastAsia="MS Mincho" w:cs="Calibri"/>
                <w:lang w:val="en-AU"/>
              </w:rPr>
            </w:pPr>
            <w:r>
              <w:rPr>
                <w:rFonts w:eastAsia="MS Mincho" w:cs="Calibri"/>
                <w:lang w:val="en-AU"/>
              </w:rPr>
              <w:t>75</w:t>
            </w:r>
          </w:p>
        </w:tc>
        <w:tc>
          <w:tcPr>
            <w:tcW w:w="1023" w:type="pct"/>
            <w:tcBorders>
              <w:top w:val="single" w:sz="4" w:space="0" w:color="auto"/>
              <w:left w:val="single" w:sz="4" w:space="0" w:color="auto"/>
              <w:bottom w:val="single" w:sz="4" w:space="0" w:color="auto"/>
              <w:right w:val="single" w:sz="4" w:space="0" w:color="auto"/>
            </w:tcBorders>
            <w:hideMark/>
          </w:tcPr>
          <w:p w:rsidR="00890483" w:rsidRDefault="00890483">
            <w:pPr>
              <w:keepNext/>
              <w:keepLines/>
              <w:autoSpaceDE w:val="0"/>
              <w:autoSpaceDN w:val="0"/>
              <w:adjustRightInd w:val="0"/>
              <w:spacing w:before="60" w:after="60"/>
              <w:rPr>
                <w:rFonts w:eastAsia="MS Mincho" w:cs="Calibri"/>
                <w:lang w:val="en-AU"/>
              </w:rPr>
            </w:pPr>
            <w:r>
              <w:rPr>
                <w:rFonts w:eastAsia="MS Mincho" w:cs="Calibri"/>
                <w:lang w:val="en-AU"/>
              </w:rPr>
              <w:t>16 (21%)</w:t>
            </w:r>
          </w:p>
        </w:tc>
        <w:tc>
          <w:tcPr>
            <w:tcW w:w="943" w:type="pct"/>
            <w:tcBorders>
              <w:top w:val="single" w:sz="4" w:space="0" w:color="auto"/>
              <w:left w:val="single" w:sz="4" w:space="0" w:color="auto"/>
              <w:bottom w:val="single" w:sz="4" w:space="0" w:color="auto"/>
              <w:right w:val="single" w:sz="4" w:space="0" w:color="auto"/>
            </w:tcBorders>
            <w:hideMark/>
          </w:tcPr>
          <w:p w:rsidR="00890483" w:rsidRDefault="00890483">
            <w:pPr>
              <w:keepNext/>
              <w:keepLines/>
              <w:autoSpaceDE w:val="0"/>
              <w:autoSpaceDN w:val="0"/>
              <w:adjustRightInd w:val="0"/>
              <w:spacing w:before="60" w:after="60"/>
              <w:rPr>
                <w:rFonts w:eastAsia="MS Mincho" w:cs="Calibri"/>
                <w:lang w:val="en-AU"/>
              </w:rPr>
            </w:pPr>
            <w:r>
              <w:rPr>
                <w:rFonts w:eastAsia="MS Mincho" w:cs="Calibri"/>
                <w:lang w:val="en-AU"/>
              </w:rPr>
              <w:t>13 (17%)</w:t>
            </w:r>
          </w:p>
        </w:tc>
        <w:tc>
          <w:tcPr>
            <w:tcW w:w="993" w:type="pct"/>
            <w:tcBorders>
              <w:top w:val="single" w:sz="4" w:space="0" w:color="auto"/>
              <w:left w:val="single" w:sz="4" w:space="0" w:color="auto"/>
              <w:bottom w:val="single" w:sz="4" w:space="0" w:color="auto"/>
              <w:right w:val="single" w:sz="4" w:space="0" w:color="auto"/>
            </w:tcBorders>
            <w:hideMark/>
          </w:tcPr>
          <w:p w:rsidR="00890483" w:rsidRDefault="00890483">
            <w:pPr>
              <w:keepNext/>
              <w:keepLines/>
              <w:autoSpaceDE w:val="0"/>
              <w:autoSpaceDN w:val="0"/>
              <w:adjustRightInd w:val="0"/>
              <w:spacing w:before="60" w:after="60"/>
              <w:rPr>
                <w:rFonts w:eastAsia="MS Mincho" w:cs="Calibri"/>
                <w:lang w:val="en-AU"/>
              </w:rPr>
            </w:pPr>
            <w:r>
              <w:rPr>
                <w:rFonts w:eastAsia="MS Mincho" w:cs="Calibri"/>
                <w:lang w:val="en-AU"/>
              </w:rPr>
              <w:t>6 (8%)</w:t>
            </w:r>
          </w:p>
        </w:tc>
      </w:tr>
    </w:tbl>
    <w:p w:rsidR="005D42A3" w:rsidRPr="0092606C" w:rsidRDefault="005D42A3" w:rsidP="005D42A3">
      <w:pPr>
        <w:pStyle w:val="TableFootnote0"/>
        <w:keepLines/>
        <w:spacing w:after="0"/>
      </w:pPr>
      <w:r w:rsidRPr="0092606C">
        <w:t xml:space="preserve">Source: </w:t>
      </w:r>
      <w:r w:rsidRPr="00F32C5D">
        <w:t>DHS Supplied prescriptions database</w:t>
      </w:r>
      <w:r>
        <w:t xml:space="preserve"> (date of supply)</w:t>
      </w:r>
      <w:r w:rsidRPr="00F32C5D">
        <w:t xml:space="preserve">, extracted May 2017 </w:t>
      </w:r>
    </w:p>
    <w:p w:rsidR="005D42A3" w:rsidRDefault="005D42A3" w:rsidP="005D42A3">
      <w:pPr>
        <w:pStyle w:val="TableFootnote0"/>
        <w:keepLines/>
        <w:spacing w:after="0"/>
        <w:rPr>
          <w:rFonts w:cs="Baskerville"/>
          <w:lang w:eastAsia="en-GB"/>
        </w:rPr>
      </w:pPr>
      <w:r>
        <w:rPr>
          <w:rFonts w:cs="Baskerville"/>
          <w:lang w:eastAsia="en-GB"/>
        </w:rPr>
        <w:t>CPP = chronic plaque psoriasis</w:t>
      </w:r>
    </w:p>
    <w:p w:rsidR="004345EC" w:rsidRPr="00495A03" w:rsidRDefault="0086184A" w:rsidP="004345EC">
      <w:pPr>
        <w:keepNext/>
        <w:keepLines/>
        <w:spacing w:before="200" w:after="120"/>
        <w:outlineLvl w:val="3"/>
      </w:pPr>
      <w:r>
        <w:t xml:space="preserve">Figure </w:t>
      </w:r>
      <w:r>
        <w:rPr>
          <w:noProof/>
        </w:rPr>
        <w:t>11</w:t>
      </w:r>
      <w:r w:rsidR="005D42A3">
        <w:rPr>
          <w:rFonts w:ascii="Cambria" w:eastAsia="Times New Roman" w:hAnsi="Cambria" w:cs="Times New Roman"/>
          <w:b/>
          <w:bCs/>
          <w:i/>
          <w:iCs/>
          <w:color w:val="4F81BD"/>
        </w:rPr>
        <w:t xml:space="preserve"> </w:t>
      </w:r>
      <w:r w:rsidR="005D42A3" w:rsidRPr="00495A03">
        <w:t>presents the Kaplan Meier curves for the proportion of patients persisting with</w:t>
      </w:r>
      <w:r w:rsidR="005D42A3">
        <w:t xml:space="preserve"> etanercept as first biologic. The graph shows that children who started etanercept were more likely to continue with etanercept than adults at every point in time.</w:t>
      </w:r>
    </w:p>
    <w:p w:rsidR="00890483" w:rsidRDefault="00890483" w:rsidP="00495A03">
      <w:pPr>
        <w:spacing w:after="60"/>
      </w:pPr>
      <w:r>
        <w:rPr>
          <w:noProof/>
          <w:lang w:val="en-AU"/>
        </w:rPr>
        <w:drawing>
          <wp:inline distT="0" distB="0" distL="0" distR="0" wp14:anchorId="7220D8DD" wp14:editId="712C7AFC">
            <wp:extent cx="5922645" cy="3657600"/>
            <wp:effectExtent l="19050" t="19050" r="20955" b="19050"/>
            <wp:docPr id="2" name="Picture 2" title="Persistence with etanercept as a first biologic (adults vs. childr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947281" cy="3672814"/>
                    </a:xfrm>
                    <a:prstGeom prst="rect">
                      <a:avLst/>
                    </a:prstGeom>
                    <a:noFill/>
                    <a:ln w="9525" cmpd="sng">
                      <a:solidFill>
                        <a:srgbClr val="000000"/>
                      </a:solidFill>
                      <a:miter lim="800000"/>
                      <a:headEnd/>
                      <a:tailEnd/>
                    </a:ln>
                    <a:effectLst/>
                  </pic:spPr>
                </pic:pic>
              </a:graphicData>
            </a:graphic>
          </wp:inline>
        </w:drawing>
      </w:r>
    </w:p>
    <w:p w:rsidR="00890483" w:rsidRDefault="005D42A3" w:rsidP="00495A03">
      <w:pPr>
        <w:pStyle w:val="Caption"/>
        <w:spacing w:after="60"/>
      </w:pPr>
      <w:bookmarkStart w:id="102" w:name="_Ref501551926"/>
      <w:bookmarkStart w:id="103" w:name="_Ref501551922"/>
      <w:bookmarkStart w:id="104" w:name="_Toc501632430"/>
      <w:r>
        <w:t xml:space="preserve">Figure </w:t>
      </w:r>
      <w:r w:rsidR="0086184A">
        <w:rPr>
          <w:noProof/>
        </w:rPr>
        <w:t>11</w:t>
      </w:r>
      <w:bookmarkEnd w:id="102"/>
      <w:r>
        <w:t xml:space="preserve">: </w:t>
      </w:r>
      <w:r w:rsidR="00890483">
        <w:t xml:space="preserve">Persistence with etanercept </w:t>
      </w:r>
      <w:r>
        <w:t xml:space="preserve">as a </w:t>
      </w:r>
      <w:r w:rsidR="00890483">
        <w:t xml:space="preserve">first biologic </w:t>
      </w:r>
      <w:r>
        <w:t>(adults vs. children)</w:t>
      </w:r>
      <w:bookmarkEnd w:id="103"/>
      <w:bookmarkEnd w:id="104"/>
    </w:p>
    <w:p w:rsidR="00890483" w:rsidRDefault="00890483" w:rsidP="00890483">
      <w:pPr>
        <w:pStyle w:val="TableFootnote0"/>
        <w:spacing w:after="0"/>
      </w:pPr>
      <w:r>
        <w:t xml:space="preserve">Source: DHS Supplied prescriptions database (date of supply), extracted May 2017 </w:t>
      </w:r>
    </w:p>
    <w:p w:rsidR="005D42A3" w:rsidRDefault="00890483" w:rsidP="00495A03">
      <w:pPr>
        <w:pStyle w:val="TableFootnote0"/>
        <w:spacing w:after="0"/>
      </w:pPr>
      <w:r>
        <w:rPr>
          <w:rFonts w:cs="Baskerville"/>
          <w:lang w:eastAsia="en-GB"/>
        </w:rPr>
        <w:t>CPP = chronic plaque psoriasis; yrs = years</w:t>
      </w:r>
    </w:p>
    <w:p w:rsidR="00071F2B" w:rsidRPr="002E09D3" w:rsidRDefault="00C01DF9" w:rsidP="009716A1">
      <w:pPr>
        <w:pStyle w:val="MDsubHead3"/>
      </w:pPr>
      <w:r>
        <w:t>Overall p</w:t>
      </w:r>
      <w:r w:rsidR="00970DA9">
        <w:t>ersistenc</w:t>
      </w:r>
      <w:r>
        <w:t>e with</w:t>
      </w:r>
      <w:r w:rsidR="00970DA9">
        <w:t xml:space="preserve"> biologic</w:t>
      </w:r>
      <w:r>
        <w:t>s</w:t>
      </w:r>
      <w:r w:rsidR="00071F2B" w:rsidRPr="002E09D3">
        <w:t xml:space="preserve"> for severe CPP on the PBS</w:t>
      </w:r>
      <w:bookmarkEnd w:id="101"/>
      <w:r w:rsidR="00071F2B" w:rsidRPr="002E09D3">
        <w:t xml:space="preserve"> </w:t>
      </w:r>
    </w:p>
    <w:p w:rsidR="0021066C" w:rsidRPr="00DA1B79" w:rsidRDefault="00B76ECF" w:rsidP="00DA1B79">
      <w:pPr>
        <w:spacing w:line="276" w:lineRule="auto"/>
        <w:rPr>
          <w:rFonts w:eastAsiaTheme="minorEastAsia" w:cs="Calibri"/>
          <w:b/>
          <w:szCs w:val="24"/>
          <w:lang w:val="en-US" w:eastAsia="en-US"/>
        </w:rPr>
      </w:pPr>
      <w:r>
        <w:t>Overall</w:t>
      </w:r>
      <w:r w:rsidR="00C01DF9">
        <w:t xml:space="preserve"> persistence</w:t>
      </w:r>
      <w:r w:rsidR="0021066C" w:rsidRPr="0085022D">
        <w:t xml:space="preserve"> </w:t>
      </w:r>
      <w:r w:rsidR="00C41F66">
        <w:t>with biologics</w:t>
      </w:r>
      <w:r w:rsidR="00C01DF9">
        <w:t xml:space="preserve"> </w:t>
      </w:r>
      <w:r w:rsidR="0021066C">
        <w:t>was</w:t>
      </w:r>
      <w:r w:rsidR="0021066C" w:rsidRPr="0085022D">
        <w:t xml:space="preserve"> high, with 88%</w:t>
      </w:r>
      <w:r w:rsidR="00D45344">
        <w:t xml:space="preserve"> </w:t>
      </w:r>
      <w:r w:rsidR="0021066C" w:rsidRPr="0085022D">
        <w:t xml:space="preserve">of </w:t>
      </w:r>
      <w:r w:rsidR="0021066C">
        <w:t xml:space="preserve">patients having remained on continuous treatment </w:t>
      </w:r>
      <w:r w:rsidR="0021066C" w:rsidRPr="0085022D">
        <w:t>with biologics for at least 6 months. A</w:t>
      </w:r>
      <w:r w:rsidR="001D304B">
        <w:t>fter</w:t>
      </w:r>
      <w:r w:rsidR="0021066C" w:rsidRPr="0085022D">
        <w:t xml:space="preserve"> 12 months 83%</w:t>
      </w:r>
      <w:r w:rsidR="00D45344">
        <w:t xml:space="preserve"> </w:t>
      </w:r>
      <w:r w:rsidR="0021066C" w:rsidRPr="0085022D">
        <w:t xml:space="preserve">of </w:t>
      </w:r>
      <w:r w:rsidR="0021066C">
        <w:t>patients</w:t>
      </w:r>
      <w:r w:rsidR="0021066C" w:rsidRPr="0085022D">
        <w:t xml:space="preserve"> </w:t>
      </w:r>
      <w:r w:rsidR="00B62E2C">
        <w:t xml:space="preserve">were continuing biologic treatment and 80% of patients were continuing treatment at 18 months. </w:t>
      </w:r>
      <w:r w:rsidR="001D304B">
        <w:t xml:space="preserve">These results are presented in </w:t>
      </w:r>
      <w:r w:rsidR="0086184A">
        <w:t xml:space="preserve">Table </w:t>
      </w:r>
      <w:r w:rsidR="0086184A">
        <w:rPr>
          <w:noProof/>
        </w:rPr>
        <w:t>14</w:t>
      </w:r>
      <w:r w:rsidR="001D304B">
        <w:t>.</w:t>
      </w:r>
    </w:p>
    <w:p w:rsidR="0048473E" w:rsidRDefault="0048473E">
      <w:pPr>
        <w:spacing w:line="276" w:lineRule="auto"/>
        <w:rPr>
          <w:rFonts w:eastAsiaTheme="minorEastAsia" w:cs="Calibri"/>
          <w:b/>
          <w:szCs w:val="24"/>
          <w:lang w:val="en-US" w:eastAsia="en-US"/>
        </w:rPr>
      </w:pPr>
      <w:bookmarkStart w:id="105" w:name="_Ref492987147"/>
      <w:bookmarkStart w:id="106" w:name="_Toc500345910"/>
      <w:r>
        <w:br w:type="page"/>
      </w:r>
    </w:p>
    <w:p w:rsidR="002101E5" w:rsidRPr="00F44DBC" w:rsidRDefault="002101E5" w:rsidP="002101E5">
      <w:pPr>
        <w:pStyle w:val="MDTabCaption"/>
        <w:rPr>
          <w:rFonts w:eastAsia="Times New Roman" w:cs="Times New Roman"/>
          <w:bCs/>
          <w:szCs w:val="18"/>
        </w:rPr>
      </w:pPr>
      <w:bookmarkStart w:id="107" w:name="_Toc501632408"/>
      <w:r>
        <w:t xml:space="preserve">Table </w:t>
      </w:r>
      <w:r w:rsidR="0086184A">
        <w:rPr>
          <w:noProof/>
        </w:rPr>
        <w:t>14</w:t>
      </w:r>
      <w:bookmarkEnd w:id="105"/>
      <w:r w:rsidRPr="00CA2A55">
        <w:t>: Persistence with biologics for severe CPP</w:t>
      </w:r>
      <w:bookmarkEnd w:id="107"/>
      <w:r w:rsidRPr="00CA2A55">
        <w:t xml:space="preserve"> </w:t>
      </w:r>
      <w:bookmarkEnd w:id="106"/>
    </w:p>
    <w:tbl>
      <w:tblPr>
        <w:tblStyle w:val="TableGrid"/>
        <w:tblW w:w="8926" w:type="dxa"/>
        <w:tblLook w:val="04A0" w:firstRow="1" w:lastRow="0" w:firstColumn="1" w:lastColumn="0" w:noHBand="0" w:noVBand="1"/>
        <w:tblCaption w:val="Persistence with biologics for severe CPP at 6, 12 and 18 months"/>
        <w:tblDescription w:val="Persistence with biologics was 88% at six months, 83% at 12 months and 80% at 18 months. "/>
      </w:tblPr>
      <w:tblGrid>
        <w:gridCol w:w="704"/>
        <w:gridCol w:w="2740"/>
        <w:gridCol w:w="2741"/>
        <w:gridCol w:w="2741"/>
      </w:tblGrid>
      <w:tr w:rsidR="002101E5" w:rsidRPr="00245AA8" w:rsidTr="002101E5">
        <w:trPr>
          <w:trHeight w:val="322"/>
          <w:tblHeader/>
        </w:trPr>
        <w:tc>
          <w:tcPr>
            <w:tcW w:w="704" w:type="dxa"/>
            <w:shd w:val="clear" w:color="auto" w:fill="D9D9D9" w:themeFill="background1" w:themeFillShade="D9"/>
          </w:tcPr>
          <w:p w:rsidR="002101E5" w:rsidRPr="006F290D" w:rsidRDefault="002101E5" w:rsidP="002101E5">
            <w:pPr>
              <w:pStyle w:val="TableTextDusc"/>
              <w:rPr>
                <w:b/>
              </w:rPr>
            </w:pPr>
            <w:r w:rsidRPr="00CA2A55">
              <w:rPr>
                <w:b/>
              </w:rPr>
              <w:t>N</w:t>
            </w:r>
          </w:p>
        </w:tc>
        <w:tc>
          <w:tcPr>
            <w:tcW w:w="2740" w:type="dxa"/>
            <w:shd w:val="clear" w:color="auto" w:fill="D9D9D9" w:themeFill="background1" w:themeFillShade="D9"/>
          </w:tcPr>
          <w:p w:rsidR="002101E5" w:rsidRPr="00CA2A55" w:rsidRDefault="002101E5" w:rsidP="002101E5">
            <w:pPr>
              <w:pStyle w:val="TableTextDusc"/>
              <w:rPr>
                <w:b/>
              </w:rPr>
            </w:pPr>
            <w:r w:rsidRPr="00CA2A55">
              <w:rPr>
                <w:b/>
              </w:rPr>
              <w:t>6 months</w:t>
            </w:r>
          </w:p>
        </w:tc>
        <w:tc>
          <w:tcPr>
            <w:tcW w:w="2741" w:type="dxa"/>
            <w:shd w:val="clear" w:color="auto" w:fill="D9D9D9" w:themeFill="background1" w:themeFillShade="D9"/>
          </w:tcPr>
          <w:p w:rsidR="002101E5" w:rsidRPr="00CA2A55" w:rsidRDefault="002101E5" w:rsidP="002101E5">
            <w:pPr>
              <w:pStyle w:val="TableTextDusc"/>
              <w:rPr>
                <w:b/>
                <w:sz w:val="18"/>
              </w:rPr>
            </w:pPr>
            <w:r w:rsidRPr="00CA2A55">
              <w:rPr>
                <w:b/>
                <w:sz w:val="18"/>
              </w:rPr>
              <w:t>12 months</w:t>
            </w:r>
          </w:p>
        </w:tc>
        <w:tc>
          <w:tcPr>
            <w:tcW w:w="2741" w:type="dxa"/>
            <w:shd w:val="clear" w:color="auto" w:fill="D9D9D9" w:themeFill="background1" w:themeFillShade="D9"/>
          </w:tcPr>
          <w:p w:rsidR="002101E5" w:rsidRPr="00CA2A55" w:rsidRDefault="002101E5" w:rsidP="002101E5">
            <w:pPr>
              <w:pStyle w:val="TableTextDusc"/>
              <w:rPr>
                <w:b/>
              </w:rPr>
            </w:pPr>
            <w:r w:rsidRPr="00CA2A55">
              <w:rPr>
                <w:b/>
              </w:rPr>
              <w:t>18 months</w:t>
            </w:r>
          </w:p>
        </w:tc>
      </w:tr>
      <w:tr w:rsidR="002101E5" w:rsidRPr="00245AA8" w:rsidTr="002101E5">
        <w:trPr>
          <w:trHeight w:val="81"/>
        </w:trPr>
        <w:tc>
          <w:tcPr>
            <w:tcW w:w="704" w:type="dxa"/>
          </w:tcPr>
          <w:p w:rsidR="002101E5" w:rsidRPr="00CA2A55" w:rsidRDefault="002101E5" w:rsidP="002101E5">
            <w:pPr>
              <w:pStyle w:val="TableTextDusc"/>
            </w:pPr>
            <w:r w:rsidRPr="00CA2A55">
              <w:t>778</w:t>
            </w:r>
          </w:p>
        </w:tc>
        <w:tc>
          <w:tcPr>
            <w:tcW w:w="2740" w:type="dxa"/>
          </w:tcPr>
          <w:p w:rsidR="002101E5" w:rsidRPr="00CA2A55" w:rsidRDefault="002101E5" w:rsidP="002101E5">
            <w:pPr>
              <w:pStyle w:val="TableTextDusc"/>
            </w:pPr>
            <w:r w:rsidRPr="00CA2A55">
              <w:t>683 (88%)</w:t>
            </w:r>
          </w:p>
        </w:tc>
        <w:tc>
          <w:tcPr>
            <w:tcW w:w="2741" w:type="dxa"/>
          </w:tcPr>
          <w:p w:rsidR="002101E5" w:rsidRPr="00CA2A55" w:rsidRDefault="002101E5" w:rsidP="002101E5">
            <w:pPr>
              <w:pStyle w:val="TableTextDusc"/>
            </w:pPr>
            <w:r w:rsidRPr="00CA2A55">
              <w:t>645 (83%)</w:t>
            </w:r>
          </w:p>
        </w:tc>
        <w:tc>
          <w:tcPr>
            <w:tcW w:w="2741" w:type="dxa"/>
          </w:tcPr>
          <w:p w:rsidR="002101E5" w:rsidRPr="00CA2A55" w:rsidRDefault="002101E5" w:rsidP="002101E5">
            <w:pPr>
              <w:pStyle w:val="TableTextDusc"/>
            </w:pPr>
            <w:r w:rsidRPr="00CA2A55">
              <w:t>619 (80%)</w:t>
            </w:r>
          </w:p>
        </w:tc>
      </w:tr>
    </w:tbl>
    <w:p w:rsidR="002101E5" w:rsidRPr="00CA2A55" w:rsidRDefault="002101E5" w:rsidP="002101E5">
      <w:pPr>
        <w:pStyle w:val="TableFootnote0"/>
        <w:spacing w:after="0"/>
      </w:pPr>
      <w:r w:rsidRPr="00CA2A55">
        <w:t xml:space="preserve">Source: </w:t>
      </w:r>
      <w:r w:rsidRPr="00F32C5D">
        <w:t>DHS Supplied prescriptions database</w:t>
      </w:r>
      <w:r>
        <w:t xml:space="preserve"> (date of supply)</w:t>
      </w:r>
      <w:r w:rsidRPr="00F32C5D">
        <w:t xml:space="preserve">, extracted May 2017 </w:t>
      </w:r>
    </w:p>
    <w:p w:rsidR="002101E5" w:rsidRDefault="002101E5" w:rsidP="001D304B">
      <w:pPr>
        <w:pStyle w:val="TableFootnote0"/>
        <w:spacing w:after="0"/>
      </w:pPr>
      <w:r>
        <w:t>CPP = chronic</w:t>
      </w:r>
      <w:r w:rsidR="001D304B">
        <w:t xml:space="preserve"> plaque psoriasis</w:t>
      </w:r>
    </w:p>
    <w:p w:rsidR="001D304B" w:rsidRPr="0085022D" w:rsidRDefault="001D304B" w:rsidP="001D304B">
      <w:pPr>
        <w:pStyle w:val="TableFootnote0"/>
        <w:spacing w:after="0"/>
      </w:pPr>
    </w:p>
    <w:p w:rsidR="00400A94" w:rsidRPr="00724653" w:rsidRDefault="0086184A" w:rsidP="00377494">
      <w:r>
        <w:t xml:space="preserve">Table </w:t>
      </w:r>
      <w:r>
        <w:rPr>
          <w:noProof/>
        </w:rPr>
        <w:t>15</w:t>
      </w:r>
      <w:r w:rsidR="003C5202">
        <w:t xml:space="preserve"> presents the proportion of adult patients who started biologic treatment and received a</w:t>
      </w:r>
      <w:r w:rsidR="00724653">
        <w:t xml:space="preserve"> continuing authority approval within one year of starting biologic treatment. The continuing approval could be for the same biologic or a different biologic. The analysis found that 94% (614/653) of assessable adult patients who started a biologic for CPP received a prescription for continuing treatment. This was higher than the 83% of patients persisting with biologics at 12 months. This may be due to missed doses (and prescriptions), use of lower doses, and the use of intermittent therapy in children. </w:t>
      </w:r>
    </w:p>
    <w:p w:rsidR="00743FD3" w:rsidRDefault="00743FD3" w:rsidP="00377494">
      <w:pPr>
        <w:pStyle w:val="MDTabCaption"/>
      </w:pPr>
      <w:bookmarkStart w:id="108" w:name="_Ref499134741"/>
      <w:bookmarkStart w:id="109" w:name="_Toc501632409"/>
      <w:r>
        <w:t xml:space="preserve">Table </w:t>
      </w:r>
      <w:r w:rsidR="0086184A">
        <w:rPr>
          <w:noProof/>
        </w:rPr>
        <w:t>15</w:t>
      </w:r>
      <w:bookmarkEnd w:id="108"/>
      <w:r>
        <w:t>: Patients with a continuing authority approval</w:t>
      </w:r>
      <w:bookmarkEnd w:id="109"/>
      <w:r w:rsidR="0011616E">
        <w:t xml:space="preserve"> </w:t>
      </w:r>
    </w:p>
    <w:tbl>
      <w:tblPr>
        <w:tblStyle w:val="TableGrid"/>
        <w:tblW w:w="0" w:type="auto"/>
        <w:tblLook w:val="04A0" w:firstRow="1" w:lastRow="0" w:firstColumn="1" w:lastColumn="0" w:noHBand="0" w:noVBand="1"/>
        <w:tblCaption w:val="Patients with a continuing authority approval"/>
      </w:tblPr>
      <w:tblGrid>
        <w:gridCol w:w="4077"/>
        <w:gridCol w:w="709"/>
        <w:gridCol w:w="4253"/>
      </w:tblGrid>
      <w:tr w:rsidR="00724653" w:rsidRPr="00671CCA" w:rsidTr="00D1443C">
        <w:trPr>
          <w:tblHeader/>
        </w:trPr>
        <w:tc>
          <w:tcPr>
            <w:tcW w:w="4077" w:type="dxa"/>
            <w:shd w:val="clear" w:color="auto" w:fill="D9D9D9" w:themeFill="background1" w:themeFillShade="D9"/>
          </w:tcPr>
          <w:p w:rsidR="003C5202" w:rsidRPr="000E46BE" w:rsidRDefault="00D1443C" w:rsidP="00AA1D0C">
            <w:pPr>
              <w:pStyle w:val="TableTextDusc"/>
              <w:keepNext/>
              <w:keepLines/>
              <w:rPr>
                <w:b/>
              </w:rPr>
            </w:pPr>
            <w:r>
              <w:rPr>
                <w:b/>
              </w:rPr>
              <w:t>Group</w:t>
            </w:r>
          </w:p>
        </w:tc>
        <w:tc>
          <w:tcPr>
            <w:tcW w:w="709" w:type="dxa"/>
            <w:shd w:val="clear" w:color="auto" w:fill="D9D9D9" w:themeFill="background1" w:themeFillShade="D9"/>
          </w:tcPr>
          <w:p w:rsidR="003C5202" w:rsidRPr="00671CCA" w:rsidRDefault="003C5202" w:rsidP="00AA1D0C">
            <w:pPr>
              <w:pStyle w:val="TableTextDusc"/>
              <w:keepNext/>
              <w:keepLines/>
              <w:rPr>
                <w:b/>
              </w:rPr>
            </w:pPr>
            <w:r w:rsidRPr="00671CCA">
              <w:rPr>
                <w:b/>
              </w:rPr>
              <w:t>N</w:t>
            </w:r>
          </w:p>
        </w:tc>
        <w:tc>
          <w:tcPr>
            <w:tcW w:w="4253" w:type="dxa"/>
            <w:shd w:val="clear" w:color="auto" w:fill="D9D9D9" w:themeFill="background1" w:themeFillShade="D9"/>
          </w:tcPr>
          <w:p w:rsidR="003C5202" w:rsidRPr="00671CCA" w:rsidRDefault="003C5202" w:rsidP="00AA1D0C">
            <w:pPr>
              <w:pStyle w:val="TableTextDusc"/>
              <w:keepNext/>
              <w:keepLines/>
              <w:rPr>
                <w:b/>
              </w:rPr>
            </w:pPr>
            <w:r>
              <w:rPr>
                <w:b/>
              </w:rPr>
              <w:t>Proportion with continuing authority (n,</w:t>
            </w:r>
            <w:r w:rsidRPr="00671CCA">
              <w:rPr>
                <w:b/>
              </w:rPr>
              <w:t xml:space="preserve"> %</w:t>
            </w:r>
            <w:r>
              <w:rPr>
                <w:b/>
              </w:rPr>
              <w:t>)</w:t>
            </w:r>
          </w:p>
        </w:tc>
      </w:tr>
      <w:tr w:rsidR="00724653" w:rsidRPr="00671CCA" w:rsidTr="00377494">
        <w:tc>
          <w:tcPr>
            <w:tcW w:w="4077" w:type="dxa"/>
          </w:tcPr>
          <w:p w:rsidR="003C5202" w:rsidRPr="00671CCA" w:rsidRDefault="003C5202" w:rsidP="00AA1D0C">
            <w:pPr>
              <w:pStyle w:val="TableTextDusc"/>
              <w:keepNext/>
              <w:keepLines/>
            </w:pPr>
            <w:r>
              <w:t xml:space="preserve">All assessable patients </w:t>
            </w:r>
          </w:p>
        </w:tc>
        <w:tc>
          <w:tcPr>
            <w:tcW w:w="709" w:type="dxa"/>
          </w:tcPr>
          <w:p w:rsidR="003C5202" w:rsidRPr="00671CCA" w:rsidRDefault="00724653" w:rsidP="00AA1D0C">
            <w:pPr>
              <w:pStyle w:val="TableTextDusc"/>
              <w:keepNext/>
              <w:keepLines/>
            </w:pPr>
            <w:r>
              <w:t>653</w:t>
            </w:r>
          </w:p>
        </w:tc>
        <w:tc>
          <w:tcPr>
            <w:tcW w:w="4253" w:type="dxa"/>
            <w:vAlign w:val="center"/>
          </w:tcPr>
          <w:p w:rsidR="003C5202" w:rsidRPr="00671CCA" w:rsidRDefault="00724653" w:rsidP="00AA1D0C">
            <w:pPr>
              <w:pStyle w:val="TableTextDusc"/>
              <w:keepNext/>
              <w:keepLines/>
            </w:pPr>
            <w:r>
              <w:t>599 (92%)</w:t>
            </w:r>
          </w:p>
        </w:tc>
      </w:tr>
      <w:tr w:rsidR="00724653" w:rsidRPr="00671CCA" w:rsidTr="00377494">
        <w:tc>
          <w:tcPr>
            <w:tcW w:w="4077" w:type="dxa"/>
          </w:tcPr>
          <w:p w:rsidR="003C5202" w:rsidRPr="00671CCA" w:rsidRDefault="00724653" w:rsidP="00AA1D0C">
            <w:pPr>
              <w:pStyle w:val="TableTextDusc"/>
              <w:keepNext/>
              <w:keepLines/>
            </w:pPr>
            <w:r>
              <w:t>Adalimumab</w:t>
            </w:r>
          </w:p>
        </w:tc>
        <w:tc>
          <w:tcPr>
            <w:tcW w:w="709" w:type="dxa"/>
          </w:tcPr>
          <w:p w:rsidR="003C5202" w:rsidRPr="00671CCA" w:rsidRDefault="00724653" w:rsidP="00AA1D0C">
            <w:pPr>
              <w:pStyle w:val="TableTextDusc"/>
              <w:keepNext/>
              <w:keepLines/>
            </w:pPr>
            <w:r>
              <w:t>203</w:t>
            </w:r>
          </w:p>
        </w:tc>
        <w:tc>
          <w:tcPr>
            <w:tcW w:w="4253" w:type="dxa"/>
            <w:vAlign w:val="center"/>
          </w:tcPr>
          <w:p w:rsidR="003C5202" w:rsidRPr="00671CCA" w:rsidRDefault="00724653" w:rsidP="00AA1D0C">
            <w:pPr>
              <w:pStyle w:val="TableTextDusc"/>
              <w:keepNext/>
              <w:keepLines/>
            </w:pPr>
            <w:r>
              <w:t>188 (93%)</w:t>
            </w:r>
          </w:p>
        </w:tc>
      </w:tr>
      <w:tr w:rsidR="00724653" w:rsidRPr="00671CCA" w:rsidTr="00377494">
        <w:tc>
          <w:tcPr>
            <w:tcW w:w="4077" w:type="dxa"/>
          </w:tcPr>
          <w:p w:rsidR="00724653" w:rsidRDefault="00724653" w:rsidP="00AA1D0C">
            <w:pPr>
              <w:pStyle w:val="TableTextDusc"/>
              <w:keepNext/>
              <w:keepLines/>
            </w:pPr>
            <w:r>
              <w:t>Etanercept</w:t>
            </w:r>
          </w:p>
        </w:tc>
        <w:tc>
          <w:tcPr>
            <w:tcW w:w="709" w:type="dxa"/>
          </w:tcPr>
          <w:p w:rsidR="00724653" w:rsidRPr="00671CCA" w:rsidRDefault="00724653" w:rsidP="00AA1D0C">
            <w:pPr>
              <w:pStyle w:val="TableTextDusc"/>
              <w:keepNext/>
              <w:keepLines/>
            </w:pPr>
            <w:r>
              <w:t>14</w:t>
            </w:r>
          </w:p>
        </w:tc>
        <w:tc>
          <w:tcPr>
            <w:tcW w:w="4253" w:type="dxa"/>
            <w:vAlign w:val="center"/>
          </w:tcPr>
          <w:p w:rsidR="00724653" w:rsidRPr="00671CCA" w:rsidRDefault="00724653" w:rsidP="00AA1D0C">
            <w:pPr>
              <w:pStyle w:val="TableTextDusc"/>
              <w:keepNext/>
              <w:keepLines/>
            </w:pPr>
            <w:r>
              <w:t>11 (79%)</w:t>
            </w:r>
          </w:p>
        </w:tc>
      </w:tr>
      <w:tr w:rsidR="00724653" w:rsidRPr="00671CCA" w:rsidTr="00377494">
        <w:tc>
          <w:tcPr>
            <w:tcW w:w="4077" w:type="dxa"/>
          </w:tcPr>
          <w:p w:rsidR="00724653" w:rsidRDefault="00724653" w:rsidP="00AA1D0C">
            <w:pPr>
              <w:pStyle w:val="TableTextDusc"/>
              <w:keepNext/>
              <w:keepLines/>
            </w:pPr>
            <w:r>
              <w:t>Infliximab</w:t>
            </w:r>
          </w:p>
        </w:tc>
        <w:tc>
          <w:tcPr>
            <w:tcW w:w="709" w:type="dxa"/>
          </w:tcPr>
          <w:p w:rsidR="00724653" w:rsidRPr="00671CCA" w:rsidRDefault="00724653" w:rsidP="00AA1D0C">
            <w:pPr>
              <w:pStyle w:val="TableTextDusc"/>
              <w:keepNext/>
              <w:keepLines/>
            </w:pPr>
            <w:r>
              <w:t>12</w:t>
            </w:r>
          </w:p>
        </w:tc>
        <w:tc>
          <w:tcPr>
            <w:tcW w:w="4253" w:type="dxa"/>
            <w:vAlign w:val="center"/>
          </w:tcPr>
          <w:p w:rsidR="00724653" w:rsidRPr="00671CCA" w:rsidRDefault="00724653" w:rsidP="00AA1D0C">
            <w:pPr>
              <w:pStyle w:val="TableTextDusc"/>
              <w:keepNext/>
              <w:keepLines/>
            </w:pPr>
            <w:r>
              <w:t>10 (83%)</w:t>
            </w:r>
          </w:p>
        </w:tc>
      </w:tr>
      <w:tr w:rsidR="00724653" w:rsidRPr="00671CCA" w:rsidTr="00377494">
        <w:tc>
          <w:tcPr>
            <w:tcW w:w="4077" w:type="dxa"/>
          </w:tcPr>
          <w:p w:rsidR="003C5202" w:rsidRPr="00671CCA" w:rsidRDefault="00724653" w:rsidP="00AA1D0C">
            <w:pPr>
              <w:pStyle w:val="TableTextDusc"/>
              <w:keepNext/>
              <w:keepLines/>
            </w:pPr>
            <w:r>
              <w:t>Ustekinumab</w:t>
            </w:r>
            <w:r w:rsidR="003C5202" w:rsidRPr="00671CCA">
              <w:t xml:space="preserve"> </w:t>
            </w:r>
          </w:p>
        </w:tc>
        <w:tc>
          <w:tcPr>
            <w:tcW w:w="709" w:type="dxa"/>
          </w:tcPr>
          <w:p w:rsidR="003C5202" w:rsidRPr="00671CCA" w:rsidRDefault="00724653" w:rsidP="00AA1D0C">
            <w:pPr>
              <w:pStyle w:val="TableTextDusc"/>
              <w:keepNext/>
              <w:keepLines/>
            </w:pPr>
            <w:r>
              <w:t>424</w:t>
            </w:r>
          </w:p>
        </w:tc>
        <w:tc>
          <w:tcPr>
            <w:tcW w:w="4253" w:type="dxa"/>
            <w:vAlign w:val="center"/>
          </w:tcPr>
          <w:p w:rsidR="003C5202" w:rsidRPr="00671CCA" w:rsidRDefault="00724653" w:rsidP="00AA1D0C">
            <w:pPr>
              <w:pStyle w:val="TableTextDusc"/>
              <w:keepNext/>
              <w:keepLines/>
            </w:pPr>
            <w:r>
              <w:t>390 (92%)</w:t>
            </w:r>
          </w:p>
        </w:tc>
      </w:tr>
    </w:tbl>
    <w:p w:rsidR="003C5202" w:rsidRDefault="003C5202" w:rsidP="001E2447">
      <w:r w:rsidRPr="00E14705">
        <w:rPr>
          <w:rStyle w:val="FootnotesChar"/>
        </w:rPr>
        <w:t>Source: DHS Supplied prescriptions database (date of supply), extracted May 2017</w:t>
      </w:r>
      <w:r w:rsidR="00724653" w:rsidRPr="00E14705">
        <w:rPr>
          <w:rStyle w:val="FootnotesChar"/>
        </w:rPr>
        <w:br/>
        <w:t xml:space="preserve">Note: Analysis </w:t>
      </w:r>
      <w:r w:rsidR="00743FD3" w:rsidRPr="00E14705">
        <w:rPr>
          <w:rStyle w:val="FootnotesChar"/>
        </w:rPr>
        <w:t>excluded patients who started treatment with a continuing authority code or an authority code for patients aged under 18 years and patients whose prescriptions had  no authority codes</w:t>
      </w:r>
      <w:r w:rsidR="00743FD3">
        <w:t xml:space="preserve">.  </w:t>
      </w:r>
    </w:p>
    <w:p w:rsidR="006733F3" w:rsidRDefault="00724653" w:rsidP="001E2447">
      <w:r w:rsidRPr="00377494">
        <w:t xml:space="preserve">Continuation </w:t>
      </w:r>
      <w:r>
        <w:t xml:space="preserve">based on authority approvals for patients who started treatment </w:t>
      </w:r>
      <w:r w:rsidRPr="00377494">
        <w:t xml:space="preserve">with etanercept and </w:t>
      </w:r>
      <w:r>
        <w:t xml:space="preserve">infliximab was lower than for patients who started adalimumab or ustekinumab. </w:t>
      </w:r>
      <w:r w:rsidR="00743FD3">
        <w:t xml:space="preserve">However, there were only a small number of assessable patients who started treatment with etanercept or infliximab. </w:t>
      </w:r>
    </w:p>
    <w:p w:rsidR="00071F2B" w:rsidRPr="003F1A49" w:rsidRDefault="00071F2B" w:rsidP="00EB6556">
      <w:pPr>
        <w:pStyle w:val="MDsubHead3"/>
      </w:pPr>
      <w:bookmarkStart w:id="110" w:name="_Toc493156399"/>
      <w:r w:rsidRPr="003F1A49">
        <w:t>Treatment holidays from biologic treatment on the PBS</w:t>
      </w:r>
      <w:bookmarkEnd w:id="110"/>
    </w:p>
    <w:p w:rsidR="0086184A" w:rsidRPr="00E14705" w:rsidRDefault="0021066C" w:rsidP="00E14705">
      <w:r w:rsidRPr="000E46BE">
        <w:t>During the 18 month follow-up period, 40 patients (5%) had at least one treatment holiday</w:t>
      </w:r>
      <w:r w:rsidR="000A0A0D">
        <w:t xml:space="preserve"> from </w:t>
      </w:r>
      <w:r w:rsidR="000A0A0D" w:rsidRPr="000E46BE">
        <w:t>PBS subsidised biologics for severe CPP</w:t>
      </w:r>
      <w:r w:rsidRPr="000E46BE">
        <w:t xml:space="preserve">. It was uncommon for patients to have had two or more treatment holidays (&lt;1%). Therefore, this analysis only examined the patient’s first treatment holiday. </w:t>
      </w:r>
    </w:p>
    <w:p w:rsidR="0086184A" w:rsidRDefault="0086184A">
      <w:pPr>
        <w:spacing w:line="276" w:lineRule="auto"/>
        <w:rPr>
          <w:rFonts w:eastAsiaTheme="minorEastAsia" w:cs="Calibri"/>
          <w:b/>
          <w:szCs w:val="24"/>
          <w:lang w:val="en-US" w:eastAsia="en-US"/>
        </w:rPr>
      </w:pPr>
      <w:r>
        <w:br w:type="page"/>
      </w:r>
    </w:p>
    <w:p w:rsidR="00330DD4" w:rsidRPr="00E14705" w:rsidRDefault="0086184A" w:rsidP="00E14705">
      <w:r>
        <w:t xml:space="preserve">Table </w:t>
      </w:r>
      <w:r>
        <w:rPr>
          <w:noProof/>
        </w:rPr>
        <w:t>16</w:t>
      </w:r>
      <w:r w:rsidR="00071F2B" w:rsidRPr="0064745B">
        <w:t xml:space="preserve"> summarises the median length of time patients spend on biologics prior to having their first treatment holiday and the median duration each treatment holiday lasted. Fewer than five patients had a treatment holiday on infliximab, secukinumab and ustekinumab and are therefore not presented.</w:t>
      </w:r>
      <w:bookmarkStart w:id="111" w:name="_Ref492988859"/>
    </w:p>
    <w:p w:rsidR="00071F2B" w:rsidRDefault="00071F2B" w:rsidP="003208CE">
      <w:pPr>
        <w:pStyle w:val="MDTabCaption"/>
      </w:pPr>
      <w:bookmarkStart w:id="112" w:name="_Toc501632410"/>
      <w:r>
        <w:t xml:space="preserve">Table </w:t>
      </w:r>
      <w:r w:rsidR="0086184A">
        <w:rPr>
          <w:noProof/>
        </w:rPr>
        <w:t>16</w:t>
      </w:r>
      <w:bookmarkEnd w:id="111"/>
      <w:r>
        <w:t xml:space="preserve">: </w:t>
      </w:r>
      <w:r w:rsidRPr="00B70460">
        <w:t>Median time spent on biologics prior to the treatment holiday and the median duration of the treatment holiday (sub-analysis: patients who had treatment holidays)</w:t>
      </w:r>
      <w:bookmarkEnd w:id="112"/>
    </w:p>
    <w:tbl>
      <w:tblPr>
        <w:tblStyle w:val="TableGrid"/>
        <w:tblW w:w="8787" w:type="dxa"/>
        <w:tblLayout w:type="fixed"/>
        <w:tblLook w:val="04A0" w:firstRow="1" w:lastRow="0" w:firstColumn="1" w:lastColumn="0" w:noHBand="0" w:noVBand="1"/>
        <w:tblCaption w:val="Median time spent on biologics prior to the treatment holiday and the median duration of the treatment holiday (sub-analysis: patients who had treatment holidays)"/>
      </w:tblPr>
      <w:tblGrid>
        <w:gridCol w:w="1555"/>
        <w:gridCol w:w="1842"/>
        <w:gridCol w:w="2940"/>
        <w:gridCol w:w="2450"/>
      </w:tblGrid>
      <w:tr w:rsidR="00071F2B" w:rsidRPr="00245AA8" w:rsidTr="00D1443C">
        <w:trPr>
          <w:trHeight w:val="40"/>
          <w:tblHeader/>
        </w:trPr>
        <w:tc>
          <w:tcPr>
            <w:tcW w:w="1555" w:type="dxa"/>
            <w:shd w:val="clear" w:color="auto" w:fill="BFBFBF" w:themeFill="background1" w:themeFillShade="BF"/>
          </w:tcPr>
          <w:p w:rsidR="00071F2B" w:rsidRPr="00671CCA" w:rsidRDefault="00071F2B" w:rsidP="00D845DC">
            <w:pPr>
              <w:pStyle w:val="TableTextDusc"/>
              <w:rPr>
                <w:b/>
              </w:rPr>
            </w:pPr>
            <w:r w:rsidRPr="00671CCA">
              <w:rPr>
                <w:b/>
              </w:rPr>
              <w:t>Biologic</w:t>
            </w:r>
          </w:p>
        </w:tc>
        <w:tc>
          <w:tcPr>
            <w:tcW w:w="1842" w:type="dxa"/>
            <w:shd w:val="clear" w:color="auto" w:fill="BFBFBF" w:themeFill="background1" w:themeFillShade="BF"/>
          </w:tcPr>
          <w:p w:rsidR="00071F2B" w:rsidRPr="00671CCA" w:rsidRDefault="00071F2B" w:rsidP="00071F2B">
            <w:pPr>
              <w:pStyle w:val="TableTextDusc"/>
              <w:rPr>
                <w:b/>
              </w:rPr>
            </w:pPr>
            <w:r w:rsidRPr="00671CCA">
              <w:rPr>
                <w:b/>
              </w:rPr>
              <w:t xml:space="preserve">Number of patients who had a treatment holiday </w:t>
            </w:r>
          </w:p>
        </w:tc>
        <w:tc>
          <w:tcPr>
            <w:tcW w:w="2940" w:type="dxa"/>
            <w:shd w:val="clear" w:color="auto" w:fill="BFBFBF" w:themeFill="background1" w:themeFillShade="BF"/>
          </w:tcPr>
          <w:p w:rsidR="00071F2B" w:rsidRPr="00671CCA" w:rsidRDefault="00071F2B" w:rsidP="00071F2B">
            <w:pPr>
              <w:pStyle w:val="TableTextDusc"/>
              <w:rPr>
                <w:b/>
              </w:rPr>
            </w:pPr>
            <w:r w:rsidRPr="00671CCA">
              <w:rPr>
                <w:b/>
              </w:rPr>
              <w:t xml:space="preserve">Median time spent on treatment prior to treatment holiday </w:t>
            </w:r>
          </w:p>
        </w:tc>
        <w:tc>
          <w:tcPr>
            <w:tcW w:w="2450" w:type="dxa"/>
            <w:shd w:val="clear" w:color="auto" w:fill="BFBFBF" w:themeFill="background1" w:themeFillShade="BF"/>
          </w:tcPr>
          <w:p w:rsidR="00071F2B" w:rsidRPr="00671CCA" w:rsidRDefault="00071F2B" w:rsidP="00071F2B">
            <w:pPr>
              <w:pStyle w:val="TableTextDusc"/>
              <w:rPr>
                <w:b/>
              </w:rPr>
            </w:pPr>
            <w:r w:rsidRPr="00671CCA">
              <w:rPr>
                <w:b/>
              </w:rPr>
              <w:t xml:space="preserve">Median duration of the treatment holiday </w:t>
            </w:r>
          </w:p>
        </w:tc>
      </w:tr>
      <w:tr w:rsidR="00071F2B" w:rsidRPr="00245AA8" w:rsidTr="00071F2B">
        <w:trPr>
          <w:trHeight w:val="9"/>
        </w:trPr>
        <w:tc>
          <w:tcPr>
            <w:tcW w:w="1555" w:type="dxa"/>
          </w:tcPr>
          <w:p w:rsidR="00071F2B" w:rsidRPr="00121CAE" w:rsidRDefault="00071F2B" w:rsidP="00071F2B">
            <w:pPr>
              <w:pStyle w:val="TableTextDusc"/>
            </w:pPr>
            <w:r w:rsidRPr="00121CAE">
              <w:t>All</w:t>
            </w:r>
          </w:p>
        </w:tc>
        <w:tc>
          <w:tcPr>
            <w:tcW w:w="1842" w:type="dxa"/>
          </w:tcPr>
          <w:p w:rsidR="00071F2B" w:rsidRPr="00121CAE" w:rsidRDefault="00071F2B" w:rsidP="00071F2B">
            <w:pPr>
              <w:pStyle w:val="TableTextDusc"/>
            </w:pPr>
            <w:r w:rsidRPr="00121CAE">
              <w:t>40</w:t>
            </w:r>
          </w:p>
        </w:tc>
        <w:tc>
          <w:tcPr>
            <w:tcW w:w="2940" w:type="dxa"/>
          </w:tcPr>
          <w:p w:rsidR="00071F2B" w:rsidRPr="00121CAE" w:rsidRDefault="00071F2B" w:rsidP="00071F2B">
            <w:pPr>
              <w:pStyle w:val="TableTextDusc"/>
            </w:pPr>
            <w:r w:rsidRPr="00121CAE">
              <w:t>6 months</w:t>
            </w:r>
          </w:p>
        </w:tc>
        <w:tc>
          <w:tcPr>
            <w:tcW w:w="2450" w:type="dxa"/>
          </w:tcPr>
          <w:p w:rsidR="00071F2B" w:rsidRPr="00121CAE" w:rsidRDefault="00071F2B" w:rsidP="00071F2B">
            <w:pPr>
              <w:pStyle w:val="TableTextDusc"/>
            </w:pPr>
            <w:r w:rsidRPr="00121CAE">
              <w:t>5 months</w:t>
            </w:r>
          </w:p>
        </w:tc>
      </w:tr>
      <w:tr w:rsidR="00071F2B" w:rsidRPr="00245AA8" w:rsidTr="00071F2B">
        <w:trPr>
          <w:trHeight w:val="9"/>
        </w:trPr>
        <w:tc>
          <w:tcPr>
            <w:tcW w:w="1555" w:type="dxa"/>
          </w:tcPr>
          <w:p w:rsidR="00071F2B" w:rsidRPr="00245AA8" w:rsidRDefault="00071F2B" w:rsidP="00071F2B">
            <w:pPr>
              <w:pStyle w:val="TableTextDusc"/>
            </w:pPr>
            <w:r>
              <w:rPr>
                <w:color w:val="000000"/>
              </w:rPr>
              <w:t>Adalimumab</w:t>
            </w:r>
          </w:p>
        </w:tc>
        <w:tc>
          <w:tcPr>
            <w:tcW w:w="1842" w:type="dxa"/>
          </w:tcPr>
          <w:p w:rsidR="00071F2B" w:rsidRPr="00245AA8" w:rsidRDefault="00071F2B" w:rsidP="00071F2B">
            <w:pPr>
              <w:pStyle w:val="TableTextDusc"/>
            </w:pPr>
            <w:r>
              <w:t>28</w:t>
            </w:r>
          </w:p>
        </w:tc>
        <w:tc>
          <w:tcPr>
            <w:tcW w:w="2940" w:type="dxa"/>
          </w:tcPr>
          <w:p w:rsidR="00071F2B" w:rsidRPr="00245AA8" w:rsidRDefault="00071F2B" w:rsidP="00071F2B">
            <w:pPr>
              <w:pStyle w:val="TableTextDusc"/>
            </w:pPr>
            <w:r>
              <w:t>7 months</w:t>
            </w:r>
          </w:p>
        </w:tc>
        <w:tc>
          <w:tcPr>
            <w:tcW w:w="2450" w:type="dxa"/>
          </w:tcPr>
          <w:p w:rsidR="00071F2B" w:rsidRPr="00245AA8" w:rsidRDefault="00071F2B" w:rsidP="00071F2B">
            <w:pPr>
              <w:pStyle w:val="TableTextDusc"/>
            </w:pPr>
            <w:r>
              <w:t>5 months</w:t>
            </w:r>
          </w:p>
        </w:tc>
      </w:tr>
      <w:tr w:rsidR="00071F2B" w:rsidRPr="00245AA8" w:rsidTr="00071F2B">
        <w:trPr>
          <w:trHeight w:val="9"/>
        </w:trPr>
        <w:tc>
          <w:tcPr>
            <w:tcW w:w="1555" w:type="dxa"/>
          </w:tcPr>
          <w:p w:rsidR="00071F2B" w:rsidRPr="00245AA8" w:rsidRDefault="00071F2B" w:rsidP="00071F2B">
            <w:pPr>
              <w:pStyle w:val="TableTextDusc"/>
            </w:pPr>
            <w:r w:rsidRPr="00245AA8">
              <w:rPr>
                <w:color w:val="000000"/>
              </w:rPr>
              <w:t>Etanercept</w:t>
            </w:r>
          </w:p>
        </w:tc>
        <w:tc>
          <w:tcPr>
            <w:tcW w:w="1842" w:type="dxa"/>
          </w:tcPr>
          <w:p w:rsidR="00071F2B" w:rsidRPr="00245AA8" w:rsidRDefault="00071F2B" w:rsidP="00071F2B">
            <w:pPr>
              <w:pStyle w:val="TableTextDusc"/>
            </w:pPr>
            <w:r>
              <w:t>8</w:t>
            </w:r>
          </w:p>
        </w:tc>
        <w:tc>
          <w:tcPr>
            <w:tcW w:w="2940" w:type="dxa"/>
          </w:tcPr>
          <w:p w:rsidR="00071F2B" w:rsidRPr="00245AA8" w:rsidRDefault="00071F2B" w:rsidP="00071F2B">
            <w:pPr>
              <w:pStyle w:val="TableTextDusc"/>
            </w:pPr>
            <w:r>
              <w:t>3 months</w:t>
            </w:r>
          </w:p>
        </w:tc>
        <w:tc>
          <w:tcPr>
            <w:tcW w:w="2450" w:type="dxa"/>
          </w:tcPr>
          <w:p w:rsidR="00071F2B" w:rsidRPr="00245AA8" w:rsidRDefault="00071F2B" w:rsidP="00071F2B">
            <w:pPr>
              <w:pStyle w:val="TableTextDusc"/>
            </w:pPr>
            <w:r>
              <w:t>5 months</w:t>
            </w:r>
          </w:p>
        </w:tc>
      </w:tr>
    </w:tbl>
    <w:p w:rsidR="00071F2B" w:rsidRPr="0092606C" w:rsidRDefault="00071F2B" w:rsidP="00071F2B">
      <w:pPr>
        <w:pStyle w:val="TableFootnote0"/>
        <w:keepLines/>
        <w:spacing w:after="0"/>
      </w:pPr>
      <w:r w:rsidRPr="0092606C">
        <w:t xml:space="preserve">Source: </w:t>
      </w:r>
      <w:r w:rsidR="008B2EB5" w:rsidRPr="00F32C5D">
        <w:t>DHS Supplied prescriptions database</w:t>
      </w:r>
      <w:r w:rsidR="008B2EB5">
        <w:t xml:space="preserve"> (date of supply)</w:t>
      </w:r>
      <w:r w:rsidR="008B2EB5" w:rsidRPr="00F32C5D">
        <w:t xml:space="preserve">, extracted May 2017 </w:t>
      </w:r>
    </w:p>
    <w:p w:rsidR="00B06234" w:rsidRDefault="00B06234" w:rsidP="00071F2B">
      <w:pPr>
        <w:pStyle w:val="TableFootnote0"/>
        <w:keepLines/>
        <w:spacing w:after="0"/>
        <w:rPr>
          <w:rFonts w:cs="Baskerville"/>
          <w:lang w:eastAsia="en-GB"/>
        </w:rPr>
      </w:pPr>
      <w:r>
        <w:rPr>
          <w:rFonts w:cs="Baskerville"/>
          <w:lang w:eastAsia="en-GB"/>
        </w:rPr>
        <w:t>CPP = chronic plaque psoriasis</w:t>
      </w:r>
    </w:p>
    <w:p w:rsidR="007B230B" w:rsidRPr="0092606C" w:rsidRDefault="007B230B" w:rsidP="00071F2B">
      <w:pPr>
        <w:pStyle w:val="TableFootnote0"/>
        <w:keepLines/>
        <w:spacing w:after="0"/>
      </w:pPr>
    </w:p>
    <w:p w:rsidR="007B230B" w:rsidRPr="000F6570" w:rsidRDefault="007B230B" w:rsidP="007B230B">
      <w:pPr>
        <w:rPr>
          <w:i/>
        </w:rPr>
      </w:pPr>
      <w:r w:rsidRPr="00863C7A">
        <w:t>The tab</w:t>
      </w:r>
      <w:r w:rsidR="005C21B1">
        <w:t>le shows that patients who had treatment holidays within the first 18 months of treatment</w:t>
      </w:r>
      <w:r w:rsidRPr="00863C7A">
        <w:t xml:space="preserve"> generally spend about 5 months on treatment with biologics prior to taking a treatment holiday. </w:t>
      </w:r>
      <w:r w:rsidRPr="000F6570">
        <w:t>Overall these treatment holidays lasted approximately 5 months. Examining treatment holidays</w:t>
      </w:r>
      <w:r w:rsidR="00BD7E1E">
        <w:t>,</w:t>
      </w:r>
      <w:r w:rsidRPr="000F6570">
        <w:t xml:space="preserve"> by the biologic the patient was taking immediately before the treatment holiday</w:t>
      </w:r>
      <w:r w:rsidR="00BD7E1E">
        <w:t>,</w:t>
      </w:r>
      <w:r w:rsidRPr="000F6570">
        <w:t xml:space="preserve"> shows that patients who were taking etanercept generally spend less time on treatment prior to having a treatment holiday than patients taking other biologics. </w:t>
      </w:r>
      <w:r w:rsidRPr="005C21B1">
        <w:t>These values should be interpreted with caution because the cohort had only 18 months of follow-up. Therefore patients included in the analysis had to stop treatment and recommence treatment during this period. Therefore, the true number and length of treatment holidays was likely to be underestimated in this analysis.</w:t>
      </w:r>
      <w:r w:rsidRPr="000F6570">
        <w:rPr>
          <w:i/>
        </w:rPr>
        <w:t xml:space="preserve">  </w:t>
      </w:r>
    </w:p>
    <w:p w:rsidR="007B230B" w:rsidRPr="005C21B1" w:rsidRDefault="007B230B" w:rsidP="00FD32F4">
      <w:r w:rsidRPr="005C21B1">
        <w:t>Additionally, it was not possible to determine why the patient had taken a treatment holiday. The patient may have taken a treatment holiday because of drug toxicity</w:t>
      </w:r>
      <w:r w:rsidR="005C21B1">
        <w:t>,</w:t>
      </w:r>
      <w:r w:rsidRPr="005C21B1">
        <w:t xml:space="preserve"> </w:t>
      </w:r>
      <w:r w:rsidR="005C21B1" w:rsidRPr="005C21B1">
        <w:t xml:space="preserve">sustained remission of CPP, </w:t>
      </w:r>
      <w:r w:rsidRPr="005C21B1">
        <w:t>or for other reasons. However, this could not be determined from the data.</w:t>
      </w:r>
    </w:p>
    <w:p w:rsidR="00C41F66" w:rsidRPr="00E36C84" w:rsidRDefault="0086184A" w:rsidP="00C41F66">
      <w:r w:rsidRPr="00E36C84">
        <w:rPr>
          <w:rFonts w:eastAsia="Times New Roman"/>
        </w:rPr>
        <w:t xml:space="preserve">Table </w:t>
      </w:r>
      <w:r>
        <w:rPr>
          <w:rFonts w:eastAsia="Times New Roman"/>
          <w:noProof/>
        </w:rPr>
        <w:t>17</w:t>
      </w:r>
      <w:r w:rsidR="00071F2B">
        <w:t xml:space="preserve"> </w:t>
      </w:r>
      <w:r w:rsidR="00071F2B" w:rsidRPr="00E36C84">
        <w:t>summarises the rates of treatment holidays from biologic medicines for severe CPP at 6, 12, and 18 months follow-up.</w:t>
      </w:r>
      <w:r w:rsidR="00C41F66">
        <w:t xml:space="preserve"> A</w:t>
      </w:r>
      <w:r w:rsidR="00C41F66" w:rsidRPr="00E36C84">
        <w:t xml:space="preserve">t 6 months follow-up, 3% (n =20) of patients had a treatment holiday. At 12 months follow-up this number increased to 4% (n= 33) and at 18 months follow-up, 5% (n = 40) of patients had a treatment holiday. </w:t>
      </w:r>
    </w:p>
    <w:p w:rsidR="00071F2B" w:rsidRPr="00E36C84" w:rsidRDefault="00071F2B" w:rsidP="003208CE">
      <w:pPr>
        <w:pStyle w:val="MDTabCaption"/>
        <w:rPr>
          <w:rFonts w:eastAsia="Times New Roman"/>
        </w:rPr>
      </w:pPr>
      <w:bookmarkStart w:id="113" w:name="_Ref486578096"/>
      <w:bookmarkStart w:id="114" w:name="_Toc501632411"/>
      <w:r w:rsidRPr="00E36C84">
        <w:rPr>
          <w:rFonts w:eastAsia="Times New Roman"/>
        </w:rPr>
        <w:t xml:space="preserve">Table </w:t>
      </w:r>
      <w:r w:rsidR="0086184A">
        <w:rPr>
          <w:rFonts w:eastAsia="Times New Roman"/>
          <w:noProof/>
        </w:rPr>
        <w:t>17</w:t>
      </w:r>
      <w:bookmarkEnd w:id="113"/>
      <w:r w:rsidRPr="00E36C84">
        <w:rPr>
          <w:rFonts w:eastAsia="Times New Roman"/>
        </w:rPr>
        <w:t>: Number of patients who had a treatment holiday from biologics</w:t>
      </w:r>
      <w:bookmarkEnd w:id="114"/>
      <w:r w:rsidRPr="00E36C84">
        <w:rPr>
          <w:rFonts w:eastAsia="Times New Roman"/>
        </w:rPr>
        <w:t xml:space="preserve"> </w:t>
      </w:r>
    </w:p>
    <w:tbl>
      <w:tblPr>
        <w:tblStyle w:val="TableGrid"/>
        <w:tblW w:w="8805" w:type="dxa"/>
        <w:tblLook w:val="04A0" w:firstRow="1" w:lastRow="0" w:firstColumn="1" w:lastColumn="0" w:noHBand="0" w:noVBand="1"/>
        <w:tblCaption w:val="Number of patients who had a treatment holiday from biologics for severe CPP at 6, 12, and 18 months"/>
      </w:tblPr>
      <w:tblGrid>
        <w:gridCol w:w="1460"/>
        <w:gridCol w:w="2447"/>
        <w:gridCol w:w="2642"/>
        <w:gridCol w:w="2256"/>
      </w:tblGrid>
      <w:tr w:rsidR="00071F2B" w:rsidRPr="00245AA8" w:rsidTr="00377494">
        <w:trPr>
          <w:cantSplit/>
          <w:trHeight w:val="53"/>
          <w:tblHeader/>
        </w:trPr>
        <w:tc>
          <w:tcPr>
            <w:tcW w:w="1460" w:type="dxa"/>
            <w:shd w:val="clear" w:color="auto" w:fill="BFBFBF" w:themeFill="background1" w:themeFillShade="BF"/>
          </w:tcPr>
          <w:p w:rsidR="00071F2B" w:rsidRPr="00671CCA" w:rsidRDefault="007C694E" w:rsidP="00071F2B">
            <w:pPr>
              <w:pStyle w:val="TableTextDusc"/>
              <w:rPr>
                <w:b/>
              </w:rPr>
            </w:pPr>
            <w:r w:rsidRPr="00E36C84">
              <w:rPr>
                <w:b/>
              </w:rPr>
              <w:t>N</w:t>
            </w:r>
          </w:p>
        </w:tc>
        <w:tc>
          <w:tcPr>
            <w:tcW w:w="2447" w:type="dxa"/>
            <w:shd w:val="clear" w:color="auto" w:fill="BFBFBF" w:themeFill="background1" w:themeFillShade="BF"/>
          </w:tcPr>
          <w:p w:rsidR="00071F2B" w:rsidRPr="00E36C84" w:rsidRDefault="00071F2B" w:rsidP="00071F2B">
            <w:pPr>
              <w:pStyle w:val="TableTextDusc"/>
              <w:rPr>
                <w:b/>
              </w:rPr>
            </w:pPr>
            <w:r w:rsidRPr="00E36C84">
              <w:rPr>
                <w:b/>
              </w:rPr>
              <w:t>6 months</w:t>
            </w:r>
          </w:p>
        </w:tc>
        <w:tc>
          <w:tcPr>
            <w:tcW w:w="2642" w:type="dxa"/>
            <w:shd w:val="clear" w:color="auto" w:fill="BFBFBF" w:themeFill="background1" w:themeFillShade="BF"/>
          </w:tcPr>
          <w:p w:rsidR="00071F2B" w:rsidRPr="00E36C84" w:rsidRDefault="00071F2B" w:rsidP="00071F2B">
            <w:pPr>
              <w:pStyle w:val="TableTextDusc"/>
              <w:rPr>
                <w:b/>
              </w:rPr>
            </w:pPr>
            <w:r w:rsidRPr="00E36C84">
              <w:rPr>
                <w:b/>
              </w:rPr>
              <w:t>12 months</w:t>
            </w:r>
          </w:p>
        </w:tc>
        <w:tc>
          <w:tcPr>
            <w:tcW w:w="2256" w:type="dxa"/>
            <w:shd w:val="clear" w:color="auto" w:fill="BFBFBF" w:themeFill="background1" w:themeFillShade="BF"/>
          </w:tcPr>
          <w:p w:rsidR="00071F2B" w:rsidRPr="00671CCA" w:rsidRDefault="00071F2B" w:rsidP="00071F2B">
            <w:pPr>
              <w:pStyle w:val="TableTextDusc"/>
              <w:rPr>
                <w:b/>
              </w:rPr>
            </w:pPr>
            <w:r w:rsidRPr="00671CCA">
              <w:rPr>
                <w:b/>
              </w:rPr>
              <w:t>18 months</w:t>
            </w:r>
          </w:p>
        </w:tc>
      </w:tr>
      <w:tr w:rsidR="00071F2B" w:rsidRPr="00245AA8" w:rsidTr="00377494">
        <w:trPr>
          <w:cantSplit/>
          <w:trHeight w:val="13"/>
          <w:tblHeader/>
        </w:trPr>
        <w:tc>
          <w:tcPr>
            <w:tcW w:w="1460" w:type="dxa"/>
          </w:tcPr>
          <w:p w:rsidR="00071F2B" w:rsidRPr="00245AA8" w:rsidRDefault="00071F2B" w:rsidP="00071F2B">
            <w:pPr>
              <w:pStyle w:val="TableTextDusc"/>
            </w:pPr>
            <w:r>
              <w:t xml:space="preserve">778 </w:t>
            </w:r>
          </w:p>
        </w:tc>
        <w:tc>
          <w:tcPr>
            <w:tcW w:w="2447" w:type="dxa"/>
          </w:tcPr>
          <w:p w:rsidR="00071F2B" w:rsidRPr="00245AA8" w:rsidRDefault="00071F2B" w:rsidP="00071F2B">
            <w:pPr>
              <w:pStyle w:val="TableTextDusc"/>
            </w:pPr>
            <w:r>
              <w:t>20 (3%)</w:t>
            </w:r>
          </w:p>
        </w:tc>
        <w:tc>
          <w:tcPr>
            <w:tcW w:w="2642" w:type="dxa"/>
          </w:tcPr>
          <w:p w:rsidR="00071F2B" w:rsidRPr="00245AA8" w:rsidRDefault="00071F2B" w:rsidP="00071F2B">
            <w:pPr>
              <w:pStyle w:val="TableTextDusc"/>
            </w:pPr>
            <w:r>
              <w:t>33 (4%)</w:t>
            </w:r>
          </w:p>
        </w:tc>
        <w:tc>
          <w:tcPr>
            <w:tcW w:w="2256" w:type="dxa"/>
          </w:tcPr>
          <w:p w:rsidR="00071F2B" w:rsidRPr="00245AA8" w:rsidRDefault="00071F2B" w:rsidP="00071F2B">
            <w:pPr>
              <w:pStyle w:val="TableTextDusc"/>
            </w:pPr>
            <w:r>
              <w:t>40 (5%)</w:t>
            </w:r>
          </w:p>
        </w:tc>
      </w:tr>
    </w:tbl>
    <w:p w:rsidR="00071F2B" w:rsidRPr="0092606C" w:rsidRDefault="00071F2B" w:rsidP="00071F2B">
      <w:pPr>
        <w:pStyle w:val="TableFootnote0"/>
        <w:keepLines/>
        <w:spacing w:after="0"/>
      </w:pPr>
      <w:r w:rsidRPr="0092606C">
        <w:t xml:space="preserve">Source: </w:t>
      </w:r>
      <w:r w:rsidR="008B2EB5" w:rsidRPr="00F32C5D">
        <w:t>DHS Supplied prescriptions database</w:t>
      </w:r>
      <w:r w:rsidR="008B2EB5">
        <w:t xml:space="preserve"> (date of supply)</w:t>
      </w:r>
      <w:r w:rsidR="008B2EB5" w:rsidRPr="00F32C5D">
        <w:t xml:space="preserve">, extracted May 2017 </w:t>
      </w:r>
    </w:p>
    <w:p w:rsidR="00B06234" w:rsidRDefault="00B06234" w:rsidP="00071F2B">
      <w:pPr>
        <w:pStyle w:val="TableFootnote0"/>
        <w:keepLines/>
        <w:spacing w:after="0"/>
        <w:rPr>
          <w:rFonts w:cs="Baskerville"/>
          <w:lang w:eastAsia="en-GB"/>
        </w:rPr>
      </w:pPr>
      <w:r>
        <w:rPr>
          <w:rFonts w:cs="Baskerville"/>
          <w:lang w:eastAsia="en-GB"/>
        </w:rPr>
        <w:t>CPP = chronic plaque psoriasis</w:t>
      </w:r>
    </w:p>
    <w:p w:rsidR="00071F2B" w:rsidRDefault="00071F2B" w:rsidP="00071F2B">
      <w:pPr>
        <w:pStyle w:val="TableFootnote0"/>
        <w:keepLines/>
        <w:spacing w:after="0"/>
      </w:pPr>
    </w:p>
    <w:p w:rsidR="00071F2B" w:rsidRPr="00E36C84" w:rsidRDefault="00071F2B" w:rsidP="00071F2B">
      <w:r w:rsidRPr="00E36C84">
        <w:t xml:space="preserve">The above table also shows that of patients who had treatment holidays, half (n = 20/40) experienced these events within the first 6 months. </w:t>
      </w:r>
      <w:r w:rsidRPr="00E36C84">
        <w:rPr>
          <w:i/>
        </w:rPr>
        <w:t>This suggested treatment holidays most commonly occur within</w:t>
      </w:r>
      <w:r>
        <w:rPr>
          <w:i/>
        </w:rPr>
        <w:t xml:space="preserve"> the first</w:t>
      </w:r>
      <w:r w:rsidRPr="00E36C84">
        <w:rPr>
          <w:i/>
        </w:rPr>
        <w:t xml:space="preserve"> 6 months of starting treatment with biologics, when only 18 months of treatment was considered.</w:t>
      </w:r>
      <w:r w:rsidRPr="00E36C84">
        <w:t xml:space="preserve"> </w:t>
      </w:r>
    </w:p>
    <w:p w:rsidR="00071F2B" w:rsidRDefault="0086184A" w:rsidP="00071F2B">
      <w:r>
        <w:t xml:space="preserve">Table </w:t>
      </w:r>
      <w:r>
        <w:rPr>
          <w:noProof/>
        </w:rPr>
        <w:t>18</w:t>
      </w:r>
      <w:r w:rsidR="00071F2B">
        <w:t xml:space="preserve"> </w:t>
      </w:r>
      <w:r w:rsidR="00071F2B" w:rsidRPr="00E36C84">
        <w:t>summarises the rates of treatment holidays at 6, 12, and 18 months follow-up</w:t>
      </w:r>
      <w:r w:rsidR="00071F2B">
        <w:t xml:space="preserve"> by biologic</w:t>
      </w:r>
      <w:r w:rsidR="00071F2B" w:rsidRPr="00E36C84">
        <w:t>. Patients were classified according to the biologic they were taking prior to experiencing the treatment holiday or at the end of follow-up. Ustekinumab and secukinumab are not presented due to the small numbers of patients who had treatment holidays.</w:t>
      </w:r>
    </w:p>
    <w:p w:rsidR="00C41F66" w:rsidRPr="00E36C84" w:rsidRDefault="00C41F66" w:rsidP="00C41F66">
      <w:r w:rsidRPr="00E36C84">
        <w:t xml:space="preserve">The table shows that patients taking adalimumab and etanercept were more likely to have had a treatment holidays at 6, 12 and 18 months follow-up than patients taking other biologics. </w:t>
      </w:r>
    </w:p>
    <w:p w:rsidR="00071F2B" w:rsidRDefault="00071F2B" w:rsidP="005E6397">
      <w:pPr>
        <w:pStyle w:val="MDTabCaption"/>
      </w:pPr>
      <w:bookmarkStart w:id="115" w:name="_Ref492989260"/>
      <w:bookmarkStart w:id="116" w:name="_Toc501632412"/>
      <w:r>
        <w:t xml:space="preserve">Table </w:t>
      </w:r>
      <w:r w:rsidR="0086184A">
        <w:rPr>
          <w:noProof/>
        </w:rPr>
        <w:t>18</w:t>
      </w:r>
      <w:bookmarkEnd w:id="115"/>
      <w:r>
        <w:t>:</w:t>
      </w:r>
      <w:r w:rsidRPr="006B56C5">
        <w:t xml:space="preserve"> </w:t>
      </w:r>
      <w:r w:rsidRPr="00E36C84">
        <w:t>Number</w:t>
      </w:r>
      <w:r w:rsidRPr="007C694E">
        <w:t xml:space="preserve"> </w:t>
      </w:r>
      <w:r w:rsidR="007C694E" w:rsidRPr="007C694E">
        <w:t xml:space="preserve">(%) </w:t>
      </w:r>
      <w:r w:rsidRPr="00E36C84">
        <w:t xml:space="preserve">of patients who </w:t>
      </w:r>
      <w:r>
        <w:t>had</w:t>
      </w:r>
      <w:r w:rsidRPr="00E36C84">
        <w:t xml:space="preserve"> a treatment holiday by biologic</w:t>
      </w:r>
      <w:bookmarkEnd w:id="116"/>
    </w:p>
    <w:tbl>
      <w:tblPr>
        <w:tblStyle w:val="TableGrid"/>
        <w:tblW w:w="8950" w:type="dxa"/>
        <w:tblLayout w:type="fixed"/>
        <w:tblLook w:val="04A0" w:firstRow="1" w:lastRow="0" w:firstColumn="1" w:lastColumn="0" w:noHBand="0" w:noVBand="1"/>
        <w:tblCaption w:val="Number of patients who had a treatment holiday from biologics at 6, 12, and 18 months by biologic"/>
      </w:tblPr>
      <w:tblGrid>
        <w:gridCol w:w="1744"/>
        <w:gridCol w:w="794"/>
        <w:gridCol w:w="2136"/>
        <w:gridCol w:w="2137"/>
        <w:gridCol w:w="2139"/>
      </w:tblGrid>
      <w:tr w:rsidR="007C694E" w:rsidRPr="00245AA8" w:rsidTr="00D1443C">
        <w:trPr>
          <w:trHeight w:val="275"/>
          <w:tblHeader/>
        </w:trPr>
        <w:tc>
          <w:tcPr>
            <w:tcW w:w="1744" w:type="dxa"/>
            <w:shd w:val="clear" w:color="auto" w:fill="BFBFBF" w:themeFill="background1" w:themeFillShade="BF"/>
            <w:vAlign w:val="center"/>
          </w:tcPr>
          <w:p w:rsidR="007C694E" w:rsidRPr="008335C1" w:rsidRDefault="007C694E" w:rsidP="007C694E">
            <w:pPr>
              <w:pStyle w:val="TableTextDusc"/>
              <w:keepNext/>
              <w:keepLines/>
              <w:spacing w:before="0" w:after="0"/>
              <w:rPr>
                <w:b/>
              </w:rPr>
            </w:pPr>
            <w:r w:rsidRPr="00E36C84">
              <w:rPr>
                <w:b/>
              </w:rPr>
              <w:t>Biologic</w:t>
            </w:r>
          </w:p>
        </w:tc>
        <w:tc>
          <w:tcPr>
            <w:tcW w:w="794" w:type="dxa"/>
            <w:shd w:val="clear" w:color="auto" w:fill="BFBFBF" w:themeFill="background1" w:themeFillShade="BF"/>
            <w:vAlign w:val="center"/>
          </w:tcPr>
          <w:p w:rsidR="007C694E" w:rsidRPr="008335C1" w:rsidRDefault="007C694E" w:rsidP="007C694E">
            <w:pPr>
              <w:pStyle w:val="TableTextDusc"/>
              <w:keepNext/>
              <w:keepLines/>
              <w:spacing w:before="0" w:after="0"/>
              <w:rPr>
                <w:b/>
              </w:rPr>
            </w:pPr>
            <w:r w:rsidRPr="00E36C84">
              <w:rPr>
                <w:b/>
              </w:rPr>
              <w:t xml:space="preserve">N </w:t>
            </w:r>
          </w:p>
        </w:tc>
        <w:tc>
          <w:tcPr>
            <w:tcW w:w="2136" w:type="dxa"/>
            <w:shd w:val="clear" w:color="auto" w:fill="BFBFBF" w:themeFill="background1" w:themeFillShade="BF"/>
          </w:tcPr>
          <w:p w:rsidR="007C694E" w:rsidRPr="00E36C84" w:rsidRDefault="007C694E" w:rsidP="007C694E">
            <w:pPr>
              <w:pStyle w:val="TableTextDusc"/>
              <w:keepNext/>
              <w:keepLines/>
              <w:spacing w:before="0" w:after="0"/>
              <w:rPr>
                <w:b/>
              </w:rPr>
            </w:pPr>
            <w:r w:rsidRPr="00E36C84">
              <w:rPr>
                <w:b/>
              </w:rPr>
              <w:t>6 months</w:t>
            </w:r>
          </w:p>
        </w:tc>
        <w:tc>
          <w:tcPr>
            <w:tcW w:w="2137" w:type="dxa"/>
            <w:shd w:val="clear" w:color="auto" w:fill="BFBFBF" w:themeFill="background1" w:themeFillShade="BF"/>
          </w:tcPr>
          <w:p w:rsidR="007C694E" w:rsidRPr="008335C1" w:rsidRDefault="007C694E" w:rsidP="007C694E">
            <w:pPr>
              <w:pStyle w:val="TableTextDusc"/>
              <w:keepNext/>
              <w:keepLines/>
              <w:spacing w:before="0" w:after="0"/>
              <w:rPr>
                <w:b/>
              </w:rPr>
            </w:pPr>
            <w:r w:rsidRPr="008335C1">
              <w:rPr>
                <w:b/>
              </w:rPr>
              <w:t>12 months</w:t>
            </w:r>
          </w:p>
        </w:tc>
        <w:tc>
          <w:tcPr>
            <w:tcW w:w="2139" w:type="dxa"/>
            <w:shd w:val="clear" w:color="auto" w:fill="BFBFBF" w:themeFill="background1" w:themeFillShade="BF"/>
          </w:tcPr>
          <w:p w:rsidR="007C694E" w:rsidRPr="008335C1" w:rsidRDefault="007C694E" w:rsidP="007C694E">
            <w:pPr>
              <w:pStyle w:val="TableTextDusc"/>
              <w:keepNext/>
              <w:keepLines/>
              <w:spacing w:before="0" w:after="0"/>
              <w:rPr>
                <w:b/>
              </w:rPr>
            </w:pPr>
            <w:r w:rsidRPr="008335C1">
              <w:rPr>
                <w:b/>
              </w:rPr>
              <w:t>18 months</w:t>
            </w:r>
          </w:p>
        </w:tc>
      </w:tr>
      <w:tr w:rsidR="007C694E" w:rsidRPr="00245AA8" w:rsidTr="00071F2B">
        <w:trPr>
          <w:trHeight w:val="120"/>
        </w:trPr>
        <w:tc>
          <w:tcPr>
            <w:tcW w:w="1744" w:type="dxa"/>
          </w:tcPr>
          <w:p w:rsidR="007C694E" w:rsidRPr="00245AA8" w:rsidRDefault="007C694E" w:rsidP="007C694E">
            <w:pPr>
              <w:pStyle w:val="TableTextDusc"/>
              <w:keepNext/>
              <w:keepLines/>
              <w:spacing w:before="0" w:after="0"/>
            </w:pPr>
            <w:r>
              <w:rPr>
                <w:color w:val="000000"/>
              </w:rPr>
              <w:t>Adalimumab</w:t>
            </w:r>
          </w:p>
        </w:tc>
        <w:tc>
          <w:tcPr>
            <w:tcW w:w="794" w:type="dxa"/>
          </w:tcPr>
          <w:p w:rsidR="007C694E" w:rsidRPr="007A31D1" w:rsidRDefault="007C694E" w:rsidP="007C694E">
            <w:pPr>
              <w:pStyle w:val="TableTextDusc"/>
              <w:keepNext/>
              <w:keepLines/>
              <w:spacing w:before="0" w:after="0"/>
            </w:pPr>
            <w:r w:rsidRPr="007A31D1">
              <w:t>179</w:t>
            </w:r>
          </w:p>
        </w:tc>
        <w:tc>
          <w:tcPr>
            <w:tcW w:w="2136" w:type="dxa"/>
          </w:tcPr>
          <w:p w:rsidR="007C694E" w:rsidRPr="007A31D1" w:rsidRDefault="007C694E" w:rsidP="007C694E">
            <w:pPr>
              <w:pStyle w:val="TableTextDusc"/>
              <w:keepNext/>
              <w:keepLines/>
              <w:spacing w:before="0" w:after="0"/>
            </w:pPr>
            <w:r>
              <w:t>14 (8%)</w:t>
            </w:r>
          </w:p>
        </w:tc>
        <w:tc>
          <w:tcPr>
            <w:tcW w:w="2137" w:type="dxa"/>
          </w:tcPr>
          <w:p w:rsidR="007C694E" w:rsidRPr="007A31D1" w:rsidRDefault="007C694E" w:rsidP="007C694E">
            <w:pPr>
              <w:pStyle w:val="TableTextDusc"/>
              <w:keepNext/>
              <w:keepLines/>
              <w:spacing w:before="0" w:after="0"/>
            </w:pPr>
            <w:r>
              <w:t>23 (13%)</w:t>
            </w:r>
          </w:p>
        </w:tc>
        <w:tc>
          <w:tcPr>
            <w:tcW w:w="2139" w:type="dxa"/>
          </w:tcPr>
          <w:p w:rsidR="007C694E" w:rsidRPr="007A31D1" w:rsidRDefault="007C694E" w:rsidP="007C694E">
            <w:pPr>
              <w:pStyle w:val="TableTextDusc"/>
              <w:keepNext/>
              <w:keepLines/>
              <w:spacing w:before="0" w:after="0"/>
            </w:pPr>
            <w:r>
              <w:t>28 (16%)</w:t>
            </w:r>
          </w:p>
        </w:tc>
      </w:tr>
      <w:tr w:rsidR="007C694E" w:rsidRPr="00245AA8" w:rsidTr="00071F2B">
        <w:trPr>
          <w:trHeight w:val="120"/>
        </w:trPr>
        <w:tc>
          <w:tcPr>
            <w:tcW w:w="1744" w:type="dxa"/>
          </w:tcPr>
          <w:p w:rsidR="007C694E" w:rsidRPr="00245AA8" w:rsidRDefault="007C694E" w:rsidP="007C694E">
            <w:pPr>
              <w:pStyle w:val="TableTextDusc"/>
              <w:keepNext/>
              <w:keepLines/>
              <w:spacing w:before="0" w:after="0"/>
            </w:pPr>
            <w:r w:rsidRPr="00245AA8">
              <w:rPr>
                <w:color w:val="000000"/>
              </w:rPr>
              <w:t>Etanercept</w:t>
            </w:r>
          </w:p>
        </w:tc>
        <w:tc>
          <w:tcPr>
            <w:tcW w:w="794" w:type="dxa"/>
          </w:tcPr>
          <w:p w:rsidR="007C694E" w:rsidRPr="007A31D1" w:rsidRDefault="007C694E" w:rsidP="007C694E">
            <w:pPr>
              <w:pStyle w:val="TableTextDusc"/>
              <w:keepNext/>
              <w:keepLines/>
              <w:spacing w:before="0" w:after="0"/>
            </w:pPr>
            <w:r w:rsidRPr="007A31D1">
              <w:t>67</w:t>
            </w:r>
          </w:p>
        </w:tc>
        <w:tc>
          <w:tcPr>
            <w:tcW w:w="2136" w:type="dxa"/>
          </w:tcPr>
          <w:p w:rsidR="007C694E" w:rsidRPr="007A31D1" w:rsidRDefault="007C694E" w:rsidP="007C694E">
            <w:pPr>
              <w:pStyle w:val="TableTextDusc"/>
              <w:keepNext/>
              <w:keepLines/>
              <w:spacing w:before="0" w:after="0"/>
            </w:pPr>
            <w:r>
              <w:t>6 (9%)</w:t>
            </w:r>
          </w:p>
        </w:tc>
        <w:tc>
          <w:tcPr>
            <w:tcW w:w="2137" w:type="dxa"/>
          </w:tcPr>
          <w:p w:rsidR="007C694E" w:rsidRPr="007A31D1" w:rsidRDefault="007C694E" w:rsidP="007C694E">
            <w:pPr>
              <w:pStyle w:val="TableTextDusc"/>
              <w:keepNext/>
              <w:keepLines/>
              <w:spacing w:before="0" w:after="0"/>
            </w:pPr>
            <w:r>
              <w:t>7 (11%)</w:t>
            </w:r>
          </w:p>
        </w:tc>
        <w:tc>
          <w:tcPr>
            <w:tcW w:w="2139" w:type="dxa"/>
          </w:tcPr>
          <w:p w:rsidR="007C694E" w:rsidRPr="007A31D1" w:rsidRDefault="007C694E" w:rsidP="007C694E">
            <w:pPr>
              <w:pStyle w:val="TableTextDusc"/>
              <w:keepNext/>
              <w:keepLines/>
              <w:spacing w:before="0" w:after="0"/>
            </w:pPr>
            <w:r>
              <w:t>8 (12%)</w:t>
            </w:r>
          </w:p>
        </w:tc>
      </w:tr>
      <w:tr w:rsidR="007C694E" w:rsidRPr="00245AA8" w:rsidTr="00071F2B">
        <w:trPr>
          <w:trHeight w:val="120"/>
        </w:trPr>
        <w:tc>
          <w:tcPr>
            <w:tcW w:w="1744" w:type="dxa"/>
          </w:tcPr>
          <w:p w:rsidR="007C694E" w:rsidRPr="00245AA8" w:rsidRDefault="007C694E" w:rsidP="007C694E">
            <w:pPr>
              <w:pStyle w:val="TableTextDusc"/>
              <w:keepNext/>
              <w:keepLines/>
              <w:spacing w:before="0" w:after="0"/>
            </w:pPr>
            <w:r w:rsidRPr="00245AA8">
              <w:rPr>
                <w:color w:val="000000"/>
              </w:rPr>
              <w:t>Infliximab</w:t>
            </w:r>
          </w:p>
        </w:tc>
        <w:tc>
          <w:tcPr>
            <w:tcW w:w="794" w:type="dxa"/>
          </w:tcPr>
          <w:p w:rsidR="007C694E" w:rsidRPr="007A31D1" w:rsidRDefault="007C694E" w:rsidP="007C694E">
            <w:pPr>
              <w:pStyle w:val="TableTextDusc"/>
              <w:keepNext/>
              <w:keepLines/>
              <w:spacing w:before="0" w:after="0"/>
            </w:pPr>
            <w:r w:rsidRPr="007A31D1">
              <w:t>15</w:t>
            </w:r>
          </w:p>
        </w:tc>
        <w:tc>
          <w:tcPr>
            <w:tcW w:w="2136" w:type="dxa"/>
          </w:tcPr>
          <w:p w:rsidR="007C694E" w:rsidRPr="007A31D1" w:rsidRDefault="007C694E" w:rsidP="007C694E">
            <w:pPr>
              <w:pStyle w:val="TableTextDusc"/>
              <w:keepNext/>
              <w:keepLines/>
              <w:spacing w:before="0" w:after="0"/>
            </w:pPr>
            <w:r>
              <w:t>-</w:t>
            </w:r>
          </w:p>
        </w:tc>
        <w:tc>
          <w:tcPr>
            <w:tcW w:w="2137" w:type="dxa"/>
          </w:tcPr>
          <w:p w:rsidR="007C694E" w:rsidRPr="007A31D1" w:rsidRDefault="007C694E" w:rsidP="007C694E">
            <w:pPr>
              <w:pStyle w:val="TableTextDusc"/>
              <w:keepNext/>
              <w:keepLines/>
              <w:spacing w:before="0" w:after="0"/>
            </w:pPr>
            <w:r>
              <w:t>-</w:t>
            </w:r>
          </w:p>
        </w:tc>
        <w:tc>
          <w:tcPr>
            <w:tcW w:w="2139" w:type="dxa"/>
          </w:tcPr>
          <w:p w:rsidR="007C694E" w:rsidRPr="007A31D1" w:rsidRDefault="007C694E" w:rsidP="007C694E">
            <w:pPr>
              <w:pStyle w:val="TableTextDusc"/>
              <w:keepNext/>
              <w:keepLines/>
              <w:spacing w:before="0" w:after="0"/>
            </w:pPr>
            <w:r>
              <w:t>-</w:t>
            </w:r>
          </w:p>
        </w:tc>
      </w:tr>
      <w:tr w:rsidR="007C694E" w:rsidRPr="00245AA8" w:rsidTr="00071F2B">
        <w:trPr>
          <w:trHeight w:val="120"/>
        </w:trPr>
        <w:tc>
          <w:tcPr>
            <w:tcW w:w="1744" w:type="dxa"/>
          </w:tcPr>
          <w:p w:rsidR="007C694E" w:rsidRPr="00245AA8" w:rsidRDefault="007C694E" w:rsidP="007C694E">
            <w:pPr>
              <w:pStyle w:val="TableTextDusc"/>
              <w:keepNext/>
              <w:keepLines/>
              <w:spacing w:before="0" w:after="0"/>
            </w:pPr>
            <w:r w:rsidRPr="00245AA8">
              <w:rPr>
                <w:rFonts w:eastAsia="Times New Roman" w:cs="Times New Roman"/>
                <w:color w:val="000000"/>
              </w:rPr>
              <w:t>Secukinumab</w:t>
            </w:r>
          </w:p>
        </w:tc>
        <w:tc>
          <w:tcPr>
            <w:tcW w:w="794" w:type="dxa"/>
          </w:tcPr>
          <w:p w:rsidR="007C694E" w:rsidRPr="007A31D1" w:rsidRDefault="007C694E" w:rsidP="007C694E">
            <w:pPr>
              <w:pStyle w:val="TableTextDusc"/>
              <w:keepNext/>
              <w:keepLines/>
              <w:spacing w:before="0" w:after="0"/>
            </w:pPr>
            <w:r w:rsidRPr="007A31D1">
              <w:t>89</w:t>
            </w:r>
          </w:p>
        </w:tc>
        <w:tc>
          <w:tcPr>
            <w:tcW w:w="2136" w:type="dxa"/>
          </w:tcPr>
          <w:p w:rsidR="007C694E" w:rsidRPr="007A31D1" w:rsidRDefault="007C694E" w:rsidP="007C694E">
            <w:pPr>
              <w:pStyle w:val="TableTextDusc"/>
              <w:keepNext/>
              <w:keepLines/>
              <w:spacing w:before="0" w:after="0"/>
            </w:pPr>
            <w:r>
              <w:t>-</w:t>
            </w:r>
          </w:p>
        </w:tc>
        <w:tc>
          <w:tcPr>
            <w:tcW w:w="2137" w:type="dxa"/>
          </w:tcPr>
          <w:p w:rsidR="007C694E" w:rsidRPr="007A31D1" w:rsidRDefault="007C694E" w:rsidP="007C694E">
            <w:pPr>
              <w:pStyle w:val="TableTextDusc"/>
              <w:keepNext/>
              <w:keepLines/>
              <w:spacing w:before="0" w:after="0"/>
            </w:pPr>
            <w:r>
              <w:t>&lt;5</w:t>
            </w:r>
            <w:r>
              <w:rPr>
                <w:vertAlign w:val="superscript"/>
              </w:rPr>
              <w:t xml:space="preserve"> 1</w:t>
            </w:r>
          </w:p>
        </w:tc>
        <w:tc>
          <w:tcPr>
            <w:tcW w:w="2139" w:type="dxa"/>
          </w:tcPr>
          <w:p w:rsidR="007C694E" w:rsidRPr="007A31D1" w:rsidRDefault="007C694E" w:rsidP="007C694E">
            <w:pPr>
              <w:pStyle w:val="TableTextDusc"/>
              <w:keepNext/>
              <w:keepLines/>
              <w:spacing w:before="0" w:after="0"/>
            </w:pPr>
            <w:r>
              <w:t>&lt;5</w:t>
            </w:r>
            <w:r>
              <w:rPr>
                <w:vertAlign w:val="superscript"/>
              </w:rPr>
              <w:t xml:space="preserve"> 1</w:t>
            </w:r>
          </w:p>
        </w:tc>
      </w:tr>
      <w:tr w:rsidR="007C694E" w:rsidRPr="00245AA8" w:rsidTr="00071F2B">
        <w:trPr>
          <w:trHeight w:val="59"/>
        </w:trPr>
        <w:tc>
          <w:tcPr>
            <w:tcW w:w="1744" w:type="dxa"/>
          </w:tcPr>
          <w:p w:rsidR="007C694E" w:rsidRPr="00245AA8" w:rsidRDefault="007C694E" w:rsidP="007C694E">
            <w:pPr>
              <w:pStyle w:val="TableTextDusc"/>
              <w:keepNext/>
              <w:keepLines/>
              <w:spacing w:before="0" w:after="0"/>
            </w:pPr>
            <w:r w:rsidRPr="00245AA8">
              <w:rPr>
                <w:rFonts w:eastAsia="Times New Roman" w:cs="Times New Roman"/>
                <w:color w:val="000000"/>
              </w:rPr>
              <w:t>Ustekinumab</w:t>
            </w:r>
          </w:p>
        </w:tc>
        <w:tc>
          <w:tcPr>
            <w:tcW w:w="794" w:type="dxa"/>
          </w:tcPr>
          <w:p w:rsidR="007C694E" w:rsidRPr="007A31D1" w:rsidRDefault="007C694E" w:rsidP="007C694E">
            <w:pPr>
              <w:pStyle w:val="TableTextDusc"/>
              <w:keepNext/>
              <w:keepLines/>
              <w:spacing w:before="0" w:after="0"/>
            </w:pPr>
            <w:r w:rsidRPr="007A31D1">
              <w:t>428</w:t>
            </w:r>
          </w:p>
        </w:tc>
        <w:tc>
          <w:tcPr>
            <w:tcW w:w="2136" w:type="dxa"/>
          </w:tcPr>
          <w:p w:rsidR="007C694E" w:rsidRPr="007A31D1" w:rsidRDefault="007C694E" w:rsidP="007C694E">
            <w:pPr>
              <w:pStyle w:val="TableTextDusc"/>
              <w:keepNext/>
              <w:keepLines/>
              <w:spacing w:before="0" w:after="0"/>
            </w:pPr>
            <w:r>
              <w:t>-</w:t>
            </w:r>
          </w:p>
        </w:tc>
        <w:tc>
          <w:tcPr>
            <w:tcW w:w="2137" w:type="dxa"/>
          </w:tcPr>
          <w:p w:rsidR="007C694E" w:rsidRPr="007A31D1" w:rsidRDefault="007C694E" w:rsidP="007C694E">
            <w:pPr>
              <w:pStyle w:val="TableTextDusc"/>
              <w:keepNext/>
              <w:keepLines/>
              <w:spacing w:before="0" w:after="0"/>
            </w:pPr>
            <w:r>
              <w:t>&lt;5</w:t>
            </w:r>
            <w:r>
              <w:rPr>
                <w:vertAlign w:val="superscript"/>
              </w:rPr>
              <w:t xml:space="preserve"> 1</w:t>
            </w:r>
          </w:p>
        </w:tc>
        <w:tc>
          <w:tcPr>
            <w:tcW w:w="2139" w:type="dxa"/>
          </w:tcPr>
          <w:p w:rsidR="007C694E" w:rsidRPr="007A31D1" w:rsidRDefault="007C694E" w:rsidP="007C694E">
            <w:pPr>
              <w:pStyle w:val="TableTextDusc"/>
              <w:keepNext/>
              <w:keepLines/>
              <w:spacing w:before="0" w:after="0"/>
            </w:pPr>
            <w:r>
              <w:t>&lt;5</w:t>
            </w:r>
            <w:r>
              <w:rPr>
                <w:vertAlign w:val="superscript"/>
              </w:rPr>
              <w:t xml:space="preserve"> 1</w:t>
            </w:r>
          </w:p>
        </w:tc>
      </w:tr>
    </w:tbl>
    <w:p w:rsidR="00071F2B" w:rsidRPr="0092606C" w:rsidRDefault="00071F2B" w:rsidP="00071F2B">
      <w:pPr>
        <w:pStyle w:val="TableFootnote0"/>
        <w:keepLines/>
        <w:spacing w:after="0"/>
      </w:pPr>
      <w:r w:rsidRPr="0092606C">
        <w:t xml:space="preserve">Source: </w:t>
      </w:r>
      <w:r w:rsidR="008B2EB5" w:rsidRPr="00F32C5D">
        <w:t>DHS Supplied prescriptions database</w:t>
      </w:r>
      <w:r w:rsidR="008B2EB5">
        <w:t xml:space="preserve"> (date of supply)</w:t>
      </w:r>
      <w:r w:rsidR="008B2EB5" w:rsidRPr="00F32C5D">
        <w:t xml:space="preserve">, extracted May 2017 </w:t>
      </w:r>
    </w:p>
    <w:p w:rsidR="00071F2B" w:rsidRDefault="00B06234" w:rsidP="00071F2B">
      <w:pPr>
        <w:pStyle w:val="TableFootnote0"/>
        <w:keepLines/>
        <w:spacing w:after="0"/>
      </w:pPr>
      <w:r>
        <w:rPr>
          <w:rFonts w:cs="Baskerville"/>
          <w:lang w:eastAsia="en-GB"/>
        </w:rPr>
        <w:t>CPP = chronic plaque psoriasis</w:t>
      </w:r>
    </w:p>
    <w:p w:rsidR="00071F2B" w:rsidRDefault="00071F2B" w:rsidP="00AE33E4">
      <w:pPr>
        <w:pStyle w:val="TableFooter"/>
        <w:rPr>
          <w:lang w:eastAsia="en-GB"/>
        </w:rPr>
      </w:pPr>
      <w:r w:rsidRPr="00377494">
        <w:rPr>
          <w:vertAlign w:val="superscript"/>
          <w:lang w:eastAsia="en-GB"/>
        </w:rPr>
        <w:t>1</w:t>
      </w:r>
      <w:r>
        <w:rPr>
          <w:lang w:eastAsia="en-GB"/>
        </w:rPr>
        <w:t xml:space="preserve"> Patient numbers lower than five were suppressed to protect patient privacy. </w:t>
      </w:r>
    </w:p>
    <w:p w:rsidR="00EE6B1C" w:rsidRDefault="00EE6B1C" w:rsidP="00EE6B1C">
      <w:pPr>
        <w:pStyle w:val="MDsubHead3"/>
      </w:pPr>
      <w:bookmarkStart w:id="117" w:name="_Toc493156400"/>
      <w:r>
        <w:t>Switching between biologic medicines on the PBS</w:t>
      </w:r>
    </w:p>
    <w:bookmarkEnd w:id="117"/>
    <w:p w:rsidR="005E6397" w:rsidRPr="005C21B1" w:rsidRDefault="0086184A" w:rsidP="00EE6B1C">
      <w:pPr>
        <w:keepNext/>
      </w:pPr>
      <w:r>
        <w:t xml:space="preserve">Table </w:t>
      </w:r>
      <w:r>
        <w:rPr>
          <w:noProof/>
        </w:rPr>
        <w:t>19</w:t>
      </w:r>
      <w:r w:rsidR="00071F2B">
        <w:t xml:space="preserve"> </w:t>
      </w:r>
      <w:r w:rsidR="00071F2B" w:rsidRPr="00755379">
        <w:t xml:space="preserve">summarises the rates switching between biologics </w:t>
      </w:r>
      <w:r w:rsidR="005C21B1">
        <w:t>for severe CPP at 6, 12, and 18 </w:t>
      </w:r>
      <w:r w:rsidR="00071F2B" w:rsidRPr="00755379">
        <w:t>months follow-up.</w:t>
      </w:r>
      <w:r w:rsidR="008D602D" w:rsidRPr="008D602D">
        <w:t xml:space="preserve"> </w:t>
      </w:r>
      <w:r w:rsidR="008D602D">
        <w:t>A</w:t>
      </w:r>
      <w:r w:rsidR="008D602D" w:rsidRPr="00602500">
        <w:t>t 6 months follow-up, 5% (n=36) of the cohort had switched from their first biologic. At 12 months follow-up, this number had increased to 11% (n = 88) and by 18 months follow-up, 22% (171) of pat</w:t>
      </w:r>
      <w:bookmarkStart w:id="118" w:name="_Ref492995779"/>
      <w:r w:rsidR="005C21B1">
        <w:t xml:space="preserve">ients had switched biologics.  </w:t>
      </w:r>
    </w:p>
    <w:p w:rsidR="00071F2B" w:rsidRDefault="00071F2B" w:rsidP="003208CE">
      <w:pPr>
        <w:pStyle w:val="MDTabCaption"/>
      </w:pPr>
      <w:bookmarkStart w:id="119" w:name="_Toc501632413"/>
      <w:r>
        <w:t xml:space="preserve">Table </w:t>
      </w:r>
      <w:r w:rsidR="0086184A">
        <w:rPr>
          <w:noProof/>
        </w:rPr>
        <w:t>19</w:t>
      </w:r>
      <w:bookmarkEnd w:id="118"/>
      <w:r w:rsidRPr="00755379">
        <w:t xml:space="preserve">: Number </w:t>
      </w:r>
      <w:r w:rsidR="007C694E">
        <w:t xml:space="preserve">(%) </w:t>
      </w:r>
      <w:r w:rsidRPr="00755379">
        <w:t>of patients who switched between biologics for severe CPP</w:t>
      </w:r>
      <w:bookmarkEnd w:id="119"/>
    </w:p>
    <w:tbl>
      <w:tblPr>
        <w:tblStyle w:val="TableGrid"/>
        <w:tblpPr w:leftFromText="180" w:rightFromText="180" w:vertAnchor="text" w:horzAnchor="margin" w:tblpY="12"/>
        <w:tblW w:w="8985" w:type="dxa"/>
        <w:tblLook w:val="04A0" w:firstRow="1" w:lastRow="0" w:firstColumn="1" w:lastColumn="0" w:noHBand="0" w:noVBand="1"/>
        <w:tblCaption w:val="Number of patients who switched between biologics for severe CPP"/>
      </w:tblPr>
      <w:tblGrid>
        <w:gridCol w:w="2213"/>
        <w:gridCol w:w="2226"/>
        <w:gridCol w:w="2317"/>
        <w:gridCol w:w="2229"/>
      </w:tblGrid>
      <w:tr w:rsidR="00071F2B" w:rsidRPr="00245AA8" w:rsidTr="00D1443C">
        <w:trPr>
          <w:trHeight w:val="243"/>
          <w:tblHeader/>
        </w:trPr>
        <w:tc>
          <w:tcPr>
            <w:tcW w:w="2213" w:type="dxa"/>
            <w:shd w:val="clear" w:color="auto" w:fill="BFBFBF" w:themeFill="background1" w:themeFillShade="BF"/>
          </w:tcPr>
          <w:p w:rsidR="00071F2B" w:rsidRPr="00245AA8" w:rsidRDefault="007C694E" w:rsidP="00071F2B">
            <w:pPr>
              <w:pStyle w:val="TableTextDusc"/>
              <w:rPr>
                <w:b/>
              </w:rPr>
            </w:pPr>
            <w:r>
              <w:rPr>
                <w:b/>
              </w:rPr>
              <w:t>N</w:t>
            </w:r>
          </w:p>
        </w:tc>
        <w:tc>
          <w:tcPr>
            <w:tcW w:w="2226" w:type="dxa"/>
            <w:shd w:val="clear" w:color="auto" w:fill="BFBFBF" w:themeFill="background1" w:themeFillShade="BF"/>
          </w:tcPr>
          <w:p w:rsidR="00071F2B" w:rsidRPr="00245AA8" w:rsidRDefault="00071F2B" w:rsidP="00071F2B">
            <w:pPr>
              <w:pStyle w:val="TableTextDusc"/>
              <w:rPr>
                <w:b/>
              </w:rPr>
            </w:pPr>
            <w:r>
              <w:rPr>
                <w:b/>
              </w:rPr>
              <w:t>6 month</w:t>
            </w:r>
          </w:p>
        </w:tc>
        <w:tc>
          <w:tcPr>
            <w:tcW w:w="2317" w:type="dxa"/>
            <w:shd w:val="clear" w:color="auto" w:fill="BFBFBF" w:themeFill="background1" w:themeFillShade="BF"/>
          </w:tcPr>
          <w:p w:rsidR="00071F2B" w:rsidRPr="00245AA8" w:rsidRDefault="00071F2B" w:rsidP="00071F2B">
            <w:pPr>
              <w:pStyle w:val="TableTextDusc"/>
              <w:rPr>
                <w:b/>
              </w:rPr>
            </w:pPr>
            <w:r>
              <w:rPr>
                <w:b/>
              </w:rPr>
              <w:t>12 months</w:t>
            </w:r>
          </w:p>
        </w:tc>
        <w:tc>
          <w:tcPr>
            <w:tcW w:w="2229" w:type="dxa"/>
            <w:shd w:val="clear" w:color="auto" w:fill="BFBFBF" w:themeFill="background1" w:themeFillShade="BF"/>
          </w:tcPr>
          <w:p w:rsidR="00071F2B" w:rsidRPr="00245AA8" w:rsidRDefault="00071F2B" w:rsidP="00071F2B">
            <w:pPr>
              <w:pStyle w:val="TableTextDusc"/>
              <w:rPr>
                <w:b/>
              </w:rPr>
            </w:pPr>
            <w:r>
              <w:rPr>
                <w:b/>
              </w:rPr>
              <w:t>18 months</w:t>
            </w:r>
          </w:p>
        </w:tc>
      </w:tr>
      <w:tr w:rsidR="00071F2B" w:rsidRPr="00FB4571" w:rsidTr="00071F2B">
        <w:trPr>
          <w:trHeight w:val="61"/>
        </w:trPr>
        <w:tc>
          <w:tcPr>
            <w:tcW w:w="2213" w:type="dxa"/>
          </w:tcPr>
          <w:p w:rsidR="00071F2B" w:rsidRPr="00FB4571" w:rsidRDefault="00071F2B" w:rsidP="00071F2B">
            <w:pPr>
              <w:pStyle w:val="TableTextDusc"/>
            </w:pPr>
            <w:r w:rsidRPr="00FB4571">
              <w:t>778</w:t>
            </w:r>
          </w:p>
        </w:tc>
        <w:tc>
          <w:tcPr>
            <w:tcW w:w="2226" w:type="dxa"/>
          </w:tcPr>
          <w:p w:rsidR="00071F2B" w:rsidRPr="00FB4571" w:rsidRDefault="00071F2B" w:rsidP="00071F2B">
            <w:pPr>
              <w:pStyle w:val="TableTextDusc"/>
            </w:pPr>
            <w:r w:rsidRPr="00FB4571">
              <w:t xml:space="preserve">36 </w:t>
            </w:r>
            <w:r>
              <w:t>(5%)</w:t>
            </w:r>
          </w:p>
        </w:tc>
        <w:tc>
          <w:tcPr>
            <w:tcW w:w="2317" w:type="dxa"/>
          </w:tcPr>
          <w:p w:rsidR="00071F2B" w:rsidRPr="00FB4571" w:rsidRDefault="00071F2B" w:rsidP="00071F2B">
            <w:pPr>
              <w:pStyle w:val="TableTextDusc"/>
            </w:pPr>
            <w:r>
              <w:t>88 (11%)</w:t>
            </w:r>
          </w:p>
        </w:tc>
        <w:tc>
          <w:tcPr>
            <w:tcW w:w="2229" w:type="dxa"/>
          </w:tcPr>
          <w:p w:rsidR="00071F2B" w:rsidRPr="00FB4571" w:rsidRDefault="00071F2B" w:rsidP="00071F2B">
            <w:pPr>
              <w:pStyle w:val="TableTextDusc"/>
            </w:pPr>
            <w:r>
              <w:t>171 (22%)</w:t>
            </w:r>
          </w:p>
        </w:tc>
      </w:tr>
    </w:tbl>
    <w:p w:rsidR="00071F2B" w:rsidRPr="0092606C" w:rsidRDefault="00071F2B" w:rsidP="00071F2B">
      <w:pPr>
        <w:pStyle w:val="TableFootnote0"/>
        <w:keepLines/>
        <w:spacing w:after="0"/>
      </w:pPr>
      <w:r w:rsidRPr="0092606C">
        <w:t xml:space="preserve">Source: </w:t>
      </w:r>
      <w:r w:rsidR="008B2EB5" w:rsidRPr="00F32C5D">
        <w:t>DHS Supplied prescriptions database</w:t>
      </w:r>
      <w:r w:rsidR="008B2EB5">
        <w:t xml:space="preserve"> (date of supply)</w:t>
      </w:r>
      <w:r w:rsidR="008B2EB5" w:rsidRPr="00F32C5D">
        <w:t xml:space="preserve">, extracted May 2017 </w:t>
      </w:r>
    </w:p>
    <w:p w:rsidR="00071F2B" w:rsidRDefault="00B06234" w:rsidP="00071F2B">
      <w:pPr>
        <w:pStyle w:val="TableFootnote0"/>
        <w:keepLines/>
        <w:spacing w:after="0"/>
      </w:pPr>
      <w:r>
        <w:t>CPP = chronic plaque psoriasis</w:t>
      </w:r>
    </w:p>
    <w:p w:rsidR="005C21B1" w:rsidRDefault="005C21B1" w:rsidP="00071F2B">
      <w:pPr>
        <w:pStyle w:val="TableFootnote0"/>
        <w:keepLines/>
        <w:spacing w:after="0"/>
      </w:pPr>
    </w:p>
    <w:p w:rsidR="00071F2B" w:rsidRPr="005C21B1" w:rsidRDefault="00071F2B" w:rsidP="00071F2B">
      <w:pPr>
        <w:rPr>
          <w:i/>
        </w:rPr>
      </w:pPr>
      <w:r w:rsidRPr="005A6D02">
        <w:t xml:space="preserve">Of the patients who switched biologics, almost half (n = 83/171; 49%) switched between 12 and 18 months after treatment initiation. </w:t>
      </w:r>
      <w:r w:rsidR="005C21B1" w:rsidRPr="005C21B1">
        <w:t>This suggests</w:t>
      </w:r>
      <w:r w:rsidRPr="005C21B1">
        <w:t xml:space="preserve"> that patients tend to remain on treatment with their first biologic for at least 12 months prior to switc</w:t>
      </w:r>
      <w:r w:rsidR="005C21B1" w:rsidRPr="005C21B1">
        <w:t xml:space="preserve">hing to a different biologic.  </w:t>
      </w:r>
      <w:r w:rsidRPr="005C21B1">
        <w:t>Alternatively, the increased rates of switching observed at 12 to 18 months follow-up could be due to secukinumab being listed on the PBS.</w:t>
      </w:r>
      <w:r w:rsidRPr="005A6D02">
        <w:rPr>
          <w:i/>
        </w:rPr>
        <w:t xml:space="preserve"> </w:t>
      </w:r>
    </w:p>
    <w:p w:rsidR="00071F2B" w:rsidRPr="0097721A" w:rsidRDefault="0086184A" w:rsidP="0097721A">
      <w:pPr>
        <w:tabs>
          <w:tab w:val="left" w:pos="3843"/>
        </w:tabs>
      </w:pPr>
      <w:r>
        <w:t xml:space="preserve">Figure </w:t>
      </w:r>
      <w:r>
        <w:rPr>
          <w:noProof/>
        </w:rPr>
        <w:t>12</w:t>
      </w:r>
      <w:r w:rsidR="00071F2B">
        <w:t xml:space="preserve"> </w:t>
      </w:r>
      <w:r w:rsidR="00071F2B" w:rsidRPr="005A6D02">
        <w:t xml:space="preserve">presents the Kaplan Meier curve for the length of time patients spend on treatment with their first biologic prior to switching to a different biologic. </w:t>
      </w:r>
      <w:r w:rsidR="008D602D">
        <w:t>M</w:t>
      </w:r>
      <w:r w:rsidR="008D602D" w:rsidRPr="005A6D02">
        <w:rPr>
          <w:lang w:eastAsia="en-GB"/>
        </w:rPr>
        <w:t xml:space="preserve">ost patients (approximately 75%) continue treatment with their first biologic for at least 18 months. </w:t>
      </w:r>
    </w:p>
    <w:p w:rsidR="00071F2B" w:rsidRDefault="00071F2B" w:rsidP="005E6397">
      <w:pPr>
        <w:keepNext/>
        <w:spacing w:after="0"/>
      </w:pPr>
      <w:r w:rsidRPr="00C53197">
        <w:rPr>
          <w:noProof/>
          <w:lang w:val="en-AU"/>
        </w:rPr>
        <w:drawing>
          <wp:inline distT="0" distB="0" distL="0" distR="0" wp14:anchorId="52771A8B" wp14:editId="3E423038">
            <wp:extent cx="5704840" cy="3238500"/>
            <wp:effectExtent l="19050" t="19050" r="10160" b="19050"/>
            <wp:docPr id="30" name="Picture 30" title="Length of time spent on treatment with first biologic prior to switching to a different biolog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716673" cy="3245217"/>
                    </a:xfrm>
                    <a:prstGeom prst="rect">
                      <a:avLst/>
                    </a:prstGeom>
                    <a:noFill/>
                    <a:ln w="3175">
                      <a:solidFill>
                        <a:schemeClr val="tx1"/>
                      </a:solidFill>
                    </a:ln>
                  </pic:spPr>
                </pic:pic>
              </a:graphicData>
            </a:graphic>
          </wp:inline>
        </w:drawing>
      </w:r>
    </w:p>
    <w:p w:rsidR="00071F2B" w:rsidRPr="00C53197" w:rsidRDefault="00071F2B" w:rsidP="00B33701">
      <w:pPr>
        <w:pStyle w:val="MDFiguretitle"/>
      </w:pPr>
      <w:bookmarkStart w:id="120" w:name="_Ref492995902"/>
      <w:bookmarkStart w:id="121" w:name="_Toc501632431"/>
      <w:r>
        <w:t xml:space="preserve">Figure </w:t>
      </w:r>
      <w:r w:rsidR="0086184A">
        <w:rPr>
          <w:noProof/>
        </w:rPr>
        <w:t>12</w:t>
      </w:r>
      <w:bookmarkEnd w:id="120"/>
      <w:r>
        <w:t xml:space="preserve">: </w:t>
      </w:r>
      <w:r w:rsidRPr="00C53197">
        <w:t xml:space="preserve">Length of time spent on treatment with first biologic prior to switching to a different </w:t>
      </w:r>
      <w:r>
        <w:t>biologic</w:t>
      </w:r>
      <w:bookmarkEnd w:id="121"/>
    </w:p>
    <w:p w:rsidR="00071F2B" w:rsidRPr="0092606C" w:rsidRDefault="00071F2B" w:rsidP="00071F2B">
      <w:pPr>
        <w:pStyle w:val="TableFootnote0"/>
        <w:keepLines/>
        <w:spacing w:after="0"/>
      </w:pPr>
      <w:r w:rsidRPr="0092606C">
        <w:t xml:space="preserve">Source: </w:t>
      </w:r>
      <w:r w:rsidR="008B2EB5" w:rsidRPr="00F32C5D">
        <w:t>DHS Supplied prescriptions database</w:t>
      </w:r>
      <w:r w:rsidR="008B2EB5">
        <w:t xml:space="preserve"> (date of supply)</w:t>
      </w:r>
      <w:r w:rsidR="008B2EB5" w:rsidRPr="00F32C5D">
        <w:t xml:space="preserve">, extracted May 2017 </w:t>
      </w:r>
    </w:p>
    <w:p w:rsidR="00071F2B" w:rsidRDefault="00B06234" w:rsidP="00071F2B">
      <w:pPr>
        <w:pStyle w:val="TableFootnote0"/>
        <w:keepLines/>
        <w:spacing w:after="0"/>
      </w:pPr>
      <w:r>
        <w:t>CPP = chronic plaque psoriasis</w:t>
      </w:r>
    </w:p>
    <w:p w:rsidR="005E6397" w:rsidRDefault="005E6397" w:rsidP="00071F2B">
      <w:pPr>
        <w:pStyle w:val="TableFootnote0"/>
        <w:keepLines/>
        <w:spacing w:after="0"/>
      </w:pPr>
    </w:p>
    <w:p w:rsidR="00AA3623" w:rsidRDefault="0086184A" w:rsidP="00071F2B">
      <w:r>
        <w:t xml:space="preserve">Table </w:t>
      </w:r>
      <w:r>
        <w:rPr>
          <w:noProof/>
        </w:rPr>
        <w:t>20</w:t>
      </w:r>
      <w:r w:rsidR="00071F2B">
        <w:t xml:space="preserve"> </w:t>
      </w:r>
      <w:r w:rsidR="00071F2B" w:rsidRPr="005A6D02">
        <w:t>summarises the rates of switching between biologic for severe CPP at 6, 12, and 18</w:t>
      </w:r>
      <w:r w:rsidR="005C21B1">
        <w:t> </w:t>
      </w:r>
      <w:r w:rsidR="00071F2B" w:rsidRPr="005A6D02">
        <w:t xml:space="preserve">months by biologic. Patients were classified according to the biologic </w:t>
      </w:r>
      <w:r w:rsidR="005C21B1">
        <w:t>with which they started treatment.</w:t>
      </w:r>
    </w:p>
    <w:p w:rsidR="00AA3623" w:rsidRPr="005A6D02" w:rsidRDefault="00AA3623" w:rsidP="00AA3623">
      <w:r>
        <w:t>The table shows p</w:t>
      </w:r>
      <w:r w:rsidRPr="005A6D02">
        <w:t>atients who</w:t>
      </w:r>
      <w:r>
        <w:t xml:space="preserve"> had </w:t>
      </w:r>
      <w:r w:rsidRPr="005A6D02">
        <w:t>initiated treatment with adalimumab and etanercept had higher rates of switching than patients who had initiated treatment with other biologics.</w:t>
      </w:r>
    </w:p>
    <w:p w:rsidR="00071F2B" w:rsidRDefault="00071F2B" w:rsidP="003208CE">
      <w:pPr>
        <w:pStyle w:val="MDTabCaption"/>
      </w:pPr>
      <w:bookmarkStart w:id="122" w:name="_Ref492996062"/>
      <w:bookmarkStart w:id="123" w:name="_Toc501632414"/>
      <w:r>
        <w:t xml:space="preserve">Table </w:t>
      </w:r>
      <w:r w:rsidR="0086184A">
        <w:rPr>
          <w:noProof/>
        </w:rPr>
        <w:t>20</w:t>
      </w:r>
      <w:bookmarkEnd w:id="122"/>
      <w:r>
        <w:t xml:space="preserve">: </w:t>
      </w:r>
      <w:r w:rsidRPr="00755379">
        <w:t>Number of patients who switched between biologics for severe CPP</w:t>
      </w:r>
      <w:r w:rsidR="009716A1">
        <w:t xml:space="preserve">; </w:t>
      </w:r>
      <w:r w:rsidR="009716A1" w:rsidRPr="009716A1">
        <w:t>n (%) patients who switched between biologics for severe CPP</w:t>
      </w:r>
      <w:bookmarkEnd w:id="123"/>
    </w:p>
    <w:tbl>
      <w:tblPr>
        <w:tblStyle w:val="TableGrid"/>
        <w:tblW w:w="9208" w:type="dxa"/>
        <w:tblLayout w:type="fixed"/>
        <w:tblLook w:val="04A0" w:firstRow="1" w:lastRow="0" w:firstColumn="1" w:lastColumn="0" w:noHBand="0" w:noVBand="1"/>
        <w:tblCaption w:val="Number of patients who switched between biologics for severe CPP"/>
      </w:tblPr>
      <w:tblGrid>
        <w:gridCol w:w="1696"/>
        <w:gridCol w:w="916"/>
        <w:gridCol w:w="2198"/>
        <w:gridCol w:w="2199"/>
        <w:gridCol w:w="2199"/>
      </w:tblGrid>
      <w:tr w:rsidR="009716A1" w:rsidRPr="00245AA8" w:rsidTr="00381633">
        <w:trPr>
          <w:trHeight w:val="283"/>
          <w:tblHeader/>
        </w:trPr>
        <w:tc>
          <w:tcPr>
            <w:tcW w:w="1696" w:type="dxa"/>
            <w:shd w:val="clear" w:color="auto" w:fill="A6A6A6" w:themeFill="background1" w:themeFillShade="A6"/>
            <w:vAlign w:val="center"/>
          </w:tcPr>
          <w:p w:rsidR="009716A1" w:rsidRPr="00581746" w:rsidRDefault="009716A1" w:rsidP="009716A1">
            <w:pPr>
              <w:keepNext/>
              <w:keepLines/>
              <w:autoSpaceDE w:val="0"/>
              <w:autoSpaceDN w:val="0"/>
              <w:adjustRightInd w:val="0"/>
              <w:spacing w:before="60" w:after="60"/>
              <w:rPr>
                <w:rFonts w:eastAsia="MS Mincho" w:cs="Calibri"/>
                <w:b/>
              </w:rPr>
            </w:pPr>
            <w:r w:rsidRPr="00581746">
              <w:rPr>
                <w:rFonts w:eastAsia="MS Mincho" w:cs="Calibri"/>
                <w:b/>
              </w:rPr>
              <w:t>Biologic</w:t>
            </w:r>
          </w:p>
        </w:tc>
        <w:tc>
          <w:tcPr>
            <w:tcW w:w="916" w:type="dxa"/>
            <w:shd w:val="clear" w:color="auto" w:fill="A6A6A6" w:themeFill="background1" w:themeFillShade="A6"/>
            <w:vAlign w:val="center"/>
          </w:tcPr>
          <w:p w:rsidR="009716A1" w:rsidRPr="00581746" w:rsidRDefault="009716A1" w:rsidP="009716A1">
            <w:pPr>
              <w:keepNext/>
              <w:keepLines/>
              <w:autoSpaceDE w:val="0"/>
              <w:autoSpaceDN w:val="0"/>
              <w:adjustRightInd w:val="0"/>
              <w:spacing w:before="60" w:after="60"/>
              <w:rPr>
                <w:rFonts w:eastAsia="MS Mincho" w:cs="Calibri"/>
                <w:b/>
              </w:rPr>
            </w:pPr>
            <w:r w:rsidRPr="00581746">
              <w:rPr>
                <w:rFonts w:eastAsia="MS Mincho" w:cs="Calibri"/>
                <w:b/>
              </w:rPr>
              <w:t xml:space="preserve">N </w:t>
            </w:r>
          </w:p>
        </w:tc>
        <w:tc>
          <w:tcPr>
            <w:tcW w:w="2198" w:type="dxa"/>
            <w:shd w:val="clear" w:color="auto" w:fill="A6A6A6" w:themeFill="background1" w:themeFillShade="A6"/>
          </w:tcPr>
          <w:p w:rsidR="009716A1" w:rsidRPr="00581746" w:rsidRDefault="009716A1" w:rsidP="009716A1">
            <w:pPr>
              <w:keepNext/>
              <w:keepLines/>
              <w:autoSpaceDE w:val="0"/>
              <w:autoSpaceDN w:val="0"/>
              <w:adjustRightInd w:val="0"/>
              <w:spacing w:before="60" w:after="60"/>
              <w:rPr>
                <w:rFonts w:eastAsia="MS Mincho" w:cs="Calibri"/>
                <w:b/>
              </w:rPr>
            </w:pPr>
            <w:r w:rsidRPr="00581746">
              <w:rPr>
                <w:rFonts w:eastAsia="MS Mincho" w:cs="Calibri"/>
                <w:b/>
              </w:rPr>
              <w:t>6 month</w:t>
            </w:r>
          </w:p>
        </w:tc>
        <w:tc>
          <w:tcPr>
            <w:tcW w:w="2199" w:type="dxa"/>
            <w:shd w:val="clear" w:color="auto" w:fill="A6A6A6" w:themeFill="background1" w:themeFillShade="A6"/>
          </w:tcPr>
          <w:p w:rsidR="009716A1" w:rsidRPr="00581746" w:rsidRDefault="009716A1" w:rsidP="009716A1">
            <w:pPr>
              <w:keepNext/>
              <w:keepLines/>
              <w:autoSpaceDE w:val="0"/>
              <w:autoSpaceDN w:val="0"/>
              <w:adjustRightInd w:val="0"/>
              <w:spacing w:before="60" w:after="60"/>
              <w:rPr>
                <w:rFonts w:eastAsia="MS Mincho" w:cs="Calibri"/>
                <w:b/>
              </w:rPr>
            </w:pPr>
            <w:r w:rsidRPr="00581746">
              <w:rPr>
                <w:rFonts w:eastAsia="MS Mincho" w:cs="Calibri"/>
                <w:b/>
              </w:rPr>
              <w:t>12 months</w:t>
            </w:r>
          </w:p>
        </w:tc>
        <w:tc>
          <w:tcPr>
            <w:tcW w:w="2199" w:type="dxa"/>
            <w:shd w:val="clear" w:color="auto" w:fill="A6A6A6" w:themeFill="background1" w:themeFillShade="A6"/>
          </w:tcPr>
          <w:p w:rsidR="009716A1" w:rsidRPr="00581746" w:rsidRDefault="009716A1" w:rsidP="009716A1">
            <w:pPr>
              <w:keepNext/>
              <w:keepLines/>
              <w:autoSpaceDE w:val="0"/>
              <w:autoSpaceDN w:val="0"/>
              <w:adjustRightInd w:val="0"/>
              <w:spacing w:before="60" w:after="60"/>
              <w:rPr>
                <w:rFonts w:eastAsia="MS Mincho" w:cs="Calibri"/>
                <w:b/>
              </w:rPr>
            </w:pPr>
            <w:r w:rsidRPr="00581746">
              <w:rPr>
                <w:rFonts w:eastAsia="MS Mincho" w:cs="Calibri"/>
                <w:b/>
              </w:rPr>
              <w:t>18 month</w:t>
            </w:r>
          </w:p>
        </w:tc>
      </w:tr>
      <w:tr w:rsidR="009716A1" w:rsidRPr="007A31D1" w:rsidTr="009716A1">
        <w:trPr>
          <w:trHeight w:val="123"/>
        </w:trPr>
        <w:tc>
          <w:tcPr>
            <w:tcW w:w="1696" w:type="dxa"/>
          </w:tcPr>
          <w:p w:rsidR="009716A1" w:rsidRPr="00245AA8" w:rsidRDefault="009716A1" w:rsidP="009716A1">
            <w:pPr>
              <w:keepNext/>
              <w:keepLines/>
              <w:autoSpaceDE w:val="0"/>
              <w:autoSpaceDN w:val="0"/>
              <w:adjustRightInd w:val="0"/>
              <w:spacing w:before="60" w:after="60"/>
              <w:rPr>
                <w:rFonts w:eastAsia="MS Mincho" w:cs="Calibri"/>
              </w:rPr>
            </w:pPr>
            <w:r>
              <w:rPr>
                <w:color w:val="000000"/>
              </w:rPr>
              <w:t>Adalimumab</w:t>
            </w:r>
          </w:p>
        </w:tc>
        <w:tc>
          <w:tcPr>
            <w:tcW w:w="916" w:type="dxa"/>
          </w:tcPr>
          <w:p w:rsidR="009716A1" w:rsidRPr="007A31D1" w:rsidRDefault="009716A1" w:rsidP="009716A1">
            <w:pPr>
              <w:keepNext/>
              <w:keepLines/>
              <w:autoSpaceDE w:val="0"/>
              <w:autoSpaceDN w:val="0"/>
              <w:adjustRightInd w:val="0"/>
              <w:spacing w:before="60" w:after="60"/>
              <w:rPr>
                <w:rFonts w:eastAsia="MS Mincho" w:cs="Calibri"/>
              </w:rPr>
            </w:pPr>
            <w:r w:rsidRPr="00923CF0">
              <w:rPr>
                <w:rFonts w:eastAsia="MS Mincho" w:cs="Calibri"/>
              </w:rPr>
              <w:t>237</w:t>
            </w:r>
          </w:p>
        </w:tc>
        <w:tc>
          <w:tcPr>
            <w:tcW w:w="2198" w:type="dxa"/>
          </w:tcPr>
          <w:p w:rsidR="009716A1" w:rsidRPr="007A31D1" w:rsidRDefault="009716A1" w:rsidP="009716A1">
            <w:pPr>
              <w:keepNext/>
              <w:keepLines/>
              <w:autoSpaceDE w:val="0"/>
              <w:autoSpaceDN w:val="0"/>
              <w:adjustRightInd w:val="0"/>
              <w:spacing w:before="60" w:after="60"/>
              <w:rPr>
                <w:rFonts w:eastAsia="MS Mincho" w:cs="Calibri"/>
              </w:rPr>
            </w:pPr>
            <w:r>
              <w:rPr>
                <w:rFonts w:eastAsia="MS Mincho" w:cs="Calibri"/>
              </w:rPr>
              <w:t>29 (12%)</w:t>
            </w:r>
          </w:p>
        </w:tc>
        <w:tc>
          <w:tcPr>
            <w:tcW w:w="2199" w:type="dxa"/>
          </w:tcPr>
          <w:p w:rsidR="009716A1" w:rsidRPr="007A31D1" w:rsidRDefault="009716A1" w:rsidP="009716A1">
            <w:pPr>
              <w:keepNext/>
              <w:keepLines/>
              <w:autoSpaceDE w:val="0"/>
              <w:autoSpaceDN w:val="0"/>
              <w:adjustRightInd w:val="0"/>
              <w:spacing w:before="60" w:after="60"/>
              <w:rPr>
                <w:rFonts w:eastAsia="MS Mincho" w:cs="Calibri"/>
              </w:rPr>
            </w:pPr>
            <w:r>
              <w:rPr>
                <w:rFonts w:eastAsia="MS Mincho" w:cs="Calibri"/>
              </w:rPr>
              <w:t>55 (23%)</w:t>
            </w:r>
          </w:p>
        </w:tc>
        <w:tc>
          <w:tcPr>
            <w:tcW w:w="2199" w:type="dxa"/>
          </w:tcPr>
          <w:p w:rsidR="009716A1" w:rsidRPr="007A31D1" w:rsidRDefault="009716A1" w:rsidP="009716A1">
            <w:pPr>
              <w:keepNext/>
              <w:keepLines/>
              <w:autoSpaceDE w:val="0"/>
              <w:autoSpaceDN w:val="0"/>
              <w:adjustRightInd w:val="0"/>
              <w:spacing w:before="60" w:after="60"/>
              <w:rPr>
                <w:rFonts w:eastAsia="MS Mincho" w:cs="Calibri"/>
              </w:rPr>
            </w:pPr>
            <w:r>
              <w:rPr>
                <w:rFonts w:eastAsia="MS Mincho" w:cs="Calibri"/>
              </w:rPr>
              <w:t>83 (35%)</w:t>
            </w:r>
          </w:p>
        </w:tc>
      </w:tr>
      <w:tr w:rsidR="009716A1" w:rsidRPr="007A31D1" w:rsidTr="009716A1">
        <w:trPr>
          <w:trHeight w:val="123"/>
        </w:trPr>
        <w:tc>
          <w:tcPr>
            <w:tcW w:w="1696" w:type="dxa"/>
          </w:tcPr>
          <w:p w:rsidR="009716A1" w:rsidRPr="00245AA8" w:rsidRDefault="009716A1" w:rsidP="009716A1">
            <w:pPr>
              <w:keepNext/>
              <w:keepLines/>
              <w:autoSpaceDE w:val="0"/>
              <w:autoSpaceDN w:val="0"/>
              <w:adjustRightInd w:val="0"/>
              <w:spacing w:before="60" w:after="60"/>
              <w:rPr>
                <w:rFonts w:eastAsia="MS Mincho" w:cs="Calibri"/>
              </w:rPr>
            </w:pPr>
            <w:r w:rsidRPr="00245AA8">
              <w:rPr>
                <w:color w:val="000000"/>
              </w:rPr>
              <w:t>Etanercept</w:t>
            </w:r>
          </w:p>
        </w:tc>
        <w:tc>
          <w:tcPr>
            <w:tcW w:w="916" w:type="dxa"/>
          </w:tcPr>
          <w:p w:rsidR="009716A1" w:rsidRPr="007A31D1" w:rsidRDefault="009716A1" w:rsidP="009716A1">
            <w:pPr>
              <w:keepNext/>
              <w:keepLines/>
              <w:autoSpaceDE w:val="0"/>
              <w:autoSpaceDN w:val="0"/>
              <w:adjustRightInd w:val="0"/>
              <w:spacing w:before="60" w:after="60"/>
              <w:rPr>
                <w:rFonts w:eastAsia="MS Mincho" w:cs="Calibri"/>
              </w:rPr>
            </w:pPr>
            <w:r>
              <w:rPr>
                <w:rFonts w:eastAsia="MS Mincho" w:cs="Calibri"/>
              </w:rPr>
              <w:t>75</w:t>
            </w:r>
          </w:p>
        </w:tc>
        <w:tc>
          <w:tcPr>
            <w:tcW w:w="2198" w:type="dxa"/>
          </w:tcPr>
          <w:p w:rsidR="009716A1" w:rsidRPr="007A31D1" w:rsidRDefault="009716A1" w:rsidP="009716A1">
            <w:pPr>
              <w:keepNext/>
              <w:keepLines/>
              <w:autoSpaceDE w:val="0"/>
              <w:autoSpaceDN w:val="0"/>
              <w:adjustRightInd w:val="0"/>
              <w:spacing w:before="60" w:after="60"/>
              <w:rPr>
                <w:rFonts w:eastAsia="MS Mincho" w:cs="Calibri"/>
              </w:rPr>
            </w:pPr>
            <w:r>
              <w:rPr>
                <w:rFonts w:eastAsia="MS Mincho" w:cs="Calibri"/>
              </w:rPr>
              <w:t>&lt; 5</w:t>
            </w:r>
          </w:p>
        </w:tc>
        <w:tc>
          <w:tcPr>
            <w:tcW w:w="2199" w:type="dxa"/>
          </w:tcPr>
          <w:p w:rsidR="009716A1" w:rsidRPr="007A31D1" w:rsidRDefault="009716A1" w:rsidP="009716A1">
            <w:pPr>
              <w:keepNext/>
              <w:keepLines/>
              <w:autoSpaceDE w:val="0"/>
              <w:autoSpaceDN w:val="0"/>
              <w:adjustRightInd w:val="0"/>
              <w:spacing w:before="60" w:after="60"/>
              <w:rPr>
                <w:rFonts w:eastAsia="MS Mincho" w:cs="Calibri"/>
              </w:rPr>
            </w:pPr>
            <w:r>
              <w:rPr>
                <w:rFonts w:eastAsia="MS Mincho" w:cs="Calibri"/>
              </w:rPr>
              <w:t>6 (8%)</w:t>
            </w:r>
          </w:p>
        </w:tc>
        <w:tc>
          <w:tcPr>
            <w:tcW w:w="2199" w:type="dxa"/>
          </w:tcPr>
          <w:p w:rsidR="009716A1" w:rsidRPr="007A31D1" w:rsidRDefault="009716A1" w:rsidP="009716A1">
            <w:pPr>
              <w:keepNext/>
              <w:keepLines/>
              <w:autoSpaceDE w:val="0"/>
              <w:autoSpaceDN w:val="0"/>
              <w:adjustRightInd w:val="0"/>
              <w:spacing w:before="60" w:after="60"/>
              <w:rPr>
                <w:rFonts w:eastAsia="MS Mincho" w:cs="Calibri"/>
              </w:rPr>
            </w:pPr>
            <w:r>
              <w:rPr>
                <w:rFonts w:eastAsia="MS Mincho" w:cs="Calibri"/>
              </w:rPr>
              <w:t>10 (13%)</w:t>
            </w:r>
          </w:p>
        </w:tc>
      </w:tr>
      <w:tr w:rsidR="009716A1" w:rsidRPr="007A31D1" w:rsidTr="009716A1">
        <w:trPr>
          <w:trHeight w:val="123"/>
        </w:trPr>
        <w:tc>
          <w:tcPr>
            <w:tcW w:w="1696" w:type="dxa"/>
          </w:tcPr>
          <w:p w:rsidR="009716A1" w:rsidRPr="00245AA8" w:rsidRDefault="009716A1" w:rsidP="009716A1">
            <w:pPr>
              <w:keepNext/>
              <w:keepLines/>
              <w:autoSpaceDE w:val="0"/>
              <w:autoSpaceDN w:val="0"/>
              <w:adjustRightInd w:val="0"/>
              <w:spacing w:before="60" w:after="60"/>
              <w:rPr>
                <w:rFonts w:eastAsia="MS Mincho" w:cs="Calibri"/>
              </w:rPr>
            </w:pPr>
            <w:r w:rsidRPr="00245AA8">
              <w:rPr>
                <w:color w:val="000000"/>
              </w:rPr>
              <w:t>Infliximab</w:t>
            </w:r>
          </w:p>
        </w:tc>
        <w:tc>
          <w:tcPr>
            <w:tcW w:w="916" w:type="dxa"/>
          </w:tcPr>
          <w:p w:rsidR="009716A1" w:rsidRPr="007A31D1" w:rsidRDefault="009716A1" w:rsidP="009716A1">
            <w:pPr>
              <w:keepNext/>
              <w:keepLines/>
              <w:autoSpaceDE w:val="0"/>
              <w:autoSpaceDN w:val="0"/>
              <w:adjustRightInd w:val="0"/>
              <w:spacing w:before="60" w:after="60"/>
              <w:rPr>
                <w:rFonts w:eastAsia="MS Mincho" w:cs="Calibri"/>
              </w:rPr>
            </w:pPr>
            <w:r w:rsidRPr="007A31D1">
              <w:rPr>
                <w:rFonts w:eastAsia="MS Mincho" w:cs="Calibri"/>
              </w:rPr>
              <w:t>15</w:t>
            </w:r>
          </w:p>
        </w:tc>
        <w:tc>
          <w:tcPr>
            <w:tcW w:w="2198" w:type="dxa"/>
          </w:tcPr>
          <w:p w:rsidR="009716A1" w:rsidRPr="007A31D1" w:rsidRDefault="009716A1" w:rsidP="009716A1">
            <w:pPr>
              <w:keepNext/>
              <w:keepLines/>
              <w:autoSpaceDE w:val="0"/>
              <w:autoSpaceDN w:val="0"/>
              <w:adjustRightInd w:val="0"/>
              <w:spacing w:before="60" w:after="60"/>
              <w:rPr>
                <w:rFonts w:eastAsia="MS Mincho" w:cs="Calibri"/>
              </w:rPr>
            </w:pPr>
            <w:r>
              <w:rPr>
                <w:rFonts w:eastAsia="MS Mincho" w:cs="Calibri"/>
              </w:rPr>
              <w:t>-</w:t>
            </w:r>
          </w:p>
        </w:tc>
        <w:tc>
          <w:tcPr>
            <w:tcW w:w="2199" w:type="dxa"/>
          </w:tcPr>
          <w:p w:rsidR="009716A1" w:rsidRPr="00911883" w:rsidRDefault="009716A1" w:rsidP="009716A1">
            <w:pPr>
              <w:keepNext/>
              <w:keepLines/>
              <w:autoSpaceDE w:val="0"/>
              <w:autoSpaceDN w:val="0"/>
              <w:adjustRightInd w:val="0"/>
              <w:spacing w:before="60" w:after="60"/>
              <w:rPr>
                <w:rFonts w:eastAsia="MS Mincho" w:cs="Calibri"/>
                <w:vertAlign w:val="superscript"/>
              </w:rPr>
            </w:pPr>
            <w:r>
              <w:rPr>
                <w:rFonts w:eastAsia="MS Mincho" w:cs="Calibri"/>
              </w:rPr>
              <w:t>&lt; 5</w:t>
            </w:r>
            <w:r>
              <w:rPr>
                <w:rFonts w:eastAsia="MS Mincho" w:cs="Calibri"/>
                <w:vertAlign w:val="superscript"/>
              </w:rPr>
              <w:t>2</w:t>
            </w:r>
          </w:p>
        </w:tc>
        <w:tc>
          <w:tcPr>
            <w:tcW w:w="2199" w:type="dxa"/>
          </w:tcPr>
          <w:p w:rsidR="009716A1" w:rsidRPr="00911883" w:rsidRDefault="009716A1" w:rsidP="009716A1">
            <w:pPr>
              <w:keepNext/>
              <w:keepLines/>
              <w:autoSpaceDE w:val="0"/>
              <w:autoSpaceDN w:val="0"/>
              <w:adjustRightInd w:val="0"/>
              <w:spacing w:before="60" w:after="60"/>
              <w:rPr>
                <w:rFonts w:eastAsia="MS Mincho" w:cs="Calibri"/>
                <w:vertAlign w:val="superscript"/>
              </w:rPr>
            </w:pPr>
            <w:r>
              <w:rPr>
                <w:rFonts w:eastAsia="MS Mincho" w:cs="Calibri"/>
              </w:rPr>
              <w:t>&lt; 5</w:t>
            </w:r>
            <w:r>
              <w:rPr>
                <w:rFonts w:eastAsia="MS Mincho" w:cs="Calibri"/>
                <w:vertAlign w:val="superscript"/>
              </w:rPr>
              <w:t>2</w:t>
            </w:r>
          </w:p>
        </w:tc>
      </w:tr>
      <w:tr w:rsidR="009716A1" w:rsidRPr="007A31D1" w:rsidTr="009716A1">
        <w:trPr>
          <w:trHeight w:val="123"/>
        </w:trPr>
        <w:tc>
          <w:tcPr>
            <w:tcW w:w="1696" w:type="dxa"/>
          </w:tcPr>
          <w:p w:rsidR="009716A1" w:rsidRPr="003C2F6B" w:rsidRDefault="009716A1" w:rsidP="009716A1">
            <w:pPr>
              <w:keepNext/>
              <w:keepLines/>
              <w:autoSpaceDE w:val="0"/>
              <w:autoSpaceDN w:val="0"/>
              <w:adjustRightInd w:val="0"/>
              <w:spacing w:before="60" w:after="60"/>
              <w:rPr>
                <w:rFonts w:eastAsia="MS Mincho" w:cs="Calibri"/>
                <w:vertAlign w:val="superscript"/>
              </w:rPr>
            </w:pPr>
            <w:r w:rsidRPr="00245AA8">
              <w:rPr>
                <w:color w:val="000000"/>
              </w:rPr>
              <w:t>Secukinumab</w:t>
            </w:r>
            <w:r>
              <w:rPr>
                <w:color w:val="000000"/>
                <w:vertAlign w:val="superscript"/>
              </w:rPr>
              <w:t>1</w:t>
            </w:r>
          </w:p>
        </w:tc>
        <w:tc>
          <w:tcPr>
            <w:tcW w:w="916" w:type="dxa"/>
          </w:tcPr>
          <w:p w:rsidR="009716A1" w:rsidRPr="007A31D1" w:rsidRDefault="009716A1" w:rsidP="009716A1">
            <w:pPr>
              <w:keepNext/>
              <w:keepLines/>
              <w:autoSpaceDE w:val="0"/>
              <w:autoSpaceDN w:val="0"/>
              <w:adjustRightInd w:val="0"/>
              <w:spacing w:before="60" w:after="60"/>
              <w:rPr>
                <w:rFonts w:eastAsia="MS Mincho" w:cs="Calibri"/>
              </w:rPr>
            </w:pPr>
            <w:r>
              <w:rPr>
                <w:rFonts w:eastAsia="MS Mincho" w:cs="Calibri"/>
              </w:rPr>
              <w:t>-</w:t>
            </w:r>
          </w:p>
        </w:tc>
        <w:tc>
          <w:tcPr>
            <w:tcW w:w="2198" w:type="dxa"/>
          </w:tcPr>
          <w:p w:rsidR="009716A1" w:rsidRPr="007A31D1" w:rsidRDefault="009716A1" w:rsidP="009716A1">
            <w:pPr>
              <w:keepNext/>
              <w:keepLines/>
              <w:autoSpaceDE w:val="0"/>
              <w:autoSpaceDN w:val="0"/>
              <w:adjustRightInd w:val="0"/>
              <w:spacing w:before="60" w:after="60"/>
              <w:rPr>
                <w:rFonts w:eastAsia="MS Mincho" w:cs="Calibri"/>
              </w:rPr>
            </w:pPr>
            <w:r>
              <w:rPr>
                <w:rFonts w:eastAsia="MS Mincho" w:cs="Calibri"/>
              </w:rPr>
              <w:t>-</w:t>
            </w:r>
          </w:p>
        </w:tc>
        <w:tc>
          <w:tcPr>
            <w:tcW w:w="2199" w:type="dxa"/>
          </w:tcPr>
          <w:p w:rsidR="009716A1" w:rsidRPr="007A31D1" w:rsidRDefault="009716A1" w:rsidP="009716A1">
            <w:pPr>
              <w:keepNext/>
              <w:keepLines/>
              <w:autoSpaceDE w:val="0"/>
              <w:autoSpaceDN w:val="0"/>
              <w:adjustRightInd w:val="0"/>
              <w:spacing w:before="60" w:after="60"/>
              <w:rPr>
                <w:rFonts w:eastAsia="MS Mincho" w:cs="Calibri"/>
              </w:rPr>
            </w:pPr>
            <w:r>
              <w:rPr>
                <w:rFonts w:eastAsia="MS Mincho" w:cs="Calibri"/>
              </w:rPr>
              <w:t>-</w:t>
            </w:r>
          </w:p>
        </w:tc>
        <w:tc>
          <w:tcPr>
            <w:tcW w:w="2199" w:type="dxa"/>
          </w:tcPr>
          <w:p w:rsidR="009716A1" w:rsidRPr="007A31D1" w:rsidRDefault="009716A1" w:rsidP="009716A1">
            <w:pPr>
              <w:keepNext/>
              <w:keepLines/>
              <w:autoSpaceDE w:val="0"/>
              <w:autoSpaceDN w:val="0"/>
              <w:adjustRightInd w:val="0"/>
              <w:spacing w:before="60" w:after="60"/>
              <w:rPr>
                <w:rFonts w:eastAsia="MS Mincho" w:cs="Calibri"/>
              </w:rPr>
            </w:pPr>
            <w:r>
              <w:rPr>
                <w:rFonts w:eastAsia="MS Mincho" w:cs="Calibri"/>
              </w:rPr>
              <w:t>-</w:t>
            </w:r>
          </w:p>
        </w:tc>
      </w:tr>
      <w:tr w:rsidR="009716A1" w:rsidRPr="007A31D1" w:rsidTr="009716A1">
        <w:trPr>
          <w:trHeight w:val="60"/>
        </w:trPr>
        <w:tc>
          <w:tcPr>
            <w:tcW w:w="1696" w:type="dxa"/>
          </w:tcPr>
          <w:p w:rsidR="009716A1" w:rsidRPr="00245AA8" w:rsidRDefault="009716A1" w:rsidP="009716A1">
            <w:pPr>
              <w:keepNext/>
              <w:keepLines/>
              <w:spacing w:line="259" w:lineRule="auto"/>
            </w:pPr>
            <w:r w:rsidRPr="00245AA8">
              <w:rPr>
                <w:color w:val="000000"/>
              </w:rPr>
              <w:t>Ustekinumab</w:t>
            </w:r>
          </w:p>
        </w:tc>
        <w:tc>
          <w:tcPr>
            <w:tcW w:w="916" w:type="dxa"/>
          </w:tcPr>
          <w:p w:rsidR="009716A1" w:rsidRPr="007A31D1" w:rsidRDefault="009716A1" w:rsidP="009716A1">
            <w:pPr>
              <w:keepNext/>
              <w:keepLines/>
              <w:spacing w:line="259" w:lineRule="auto"/>
            </w:pPr>
            <w:r>
              <w:t>451</w:t>
            </w:r>
          </w:p>
        </w:tc>
        <w:tc>
          <w:tcPr>
            <w:tcW w:w="2198" w:type="dxa"/>
          </w:tcPr>
          <w:p w:rsidR="009716A1" w:rsidRPr="00911883" w:rsidRDefault="009716A1" w:rsidP="009716A1">
            <w:pPr>
              <w:keepNext/>
              <w:keepLines/>
              <w:spacing w:line="259" w:lineRule="auto"/>
              <w:rPr>
                <w:vertAlign w:val="superscript"/>
              </w:rPr>
            </w:pPr>
            <w:r>
              <w:t>&lt; 5</w:t>
            </w:r>
            <w:r>
              <w:rPr>
                <w:vertAlign w:val="superscript"/>
              </w:rPr>
              <w:t>2</w:t>
            </w:r>
          </w:p>
        </w:tc>
        <w:tc>
          <w:tcPr>
            <w:tcW w:w="2199" w:type="dxa"/>
          </w:tcPr>
          <w:p w:rsidR="009716A1" w:rsidRPr="007A31D1" w:rsidRDefault="009716A1" w:rsidP="009716A1">
            <w:pPr>
              <w:keepNext/>
              <w:keepLines/>
              <w:spacing w:line="259" w:lineRule="auto"/>
            </w:pPr>
            <w:r>
              <w:t>26 (6%)</w:t>
            </w:r>
          </w:p>
        </w:tc>
        <w:tc>
          <w:tcPr>
            <w:tcW w:w="2199" w:type="dxa"/>
          </w:tcPr>
          <w:p w:rsidR="009716A1" w:rsidRPr="007A31D1" w:rsidRDefault="009716A1" w:rsidP="009716A1">
            <w:pPr>
              <w:keepNext/>
              <w:keepLines/>
              <w:spacing w:line="259" w:lineRule="auto"/>
            </w:pPr>
            <w:r>
              <w:t>73 (16%)</w:t>
            </w:r>
          </w:p>
        </w:tc>
      </w:tr>
    </w:tbl>
    <w:p w:rsidR="00071F2B" w:rsidRPr="0092606C" w:rsidRDefault="00071F2B" w:rsidP="00071F2B">
      <w:pPr>
        <w:pStyle w:val="TableFootnote0"/>
        <w:keepLines/>
        <w:spacing w:after="0"/>
      </w:pPr>
      <w:r w:rsidRPr="0092606C">
        <w:t xml:space="preserve">Source: </w:t>
      </w:r>
      <w:r w:rsidR="008B2EB5" w:rsidRPr="00F32C5D">
        <w:t>DHS Supplied prescriptions database</w:t>
      </w:r>
      <w:r w:rsidR="008B2EB5">
        <w:t xml:space="preserve"> (date of supply)</w:t>
      </w:r>
      <w:r w:rsidR="008B2EB5" w:rsidRPr="00F32C5D">
        <w:t xml:space="preserve">, extracted May 2017 </w:t>
      </w:r>
    </w:p>
    <w:p w:rsidR="00071F2B" w:rsidRDefault="00B06234" w:rsidP="00071F2B">
      <w:pPr>
        <w:pStyle w:val="TableFootnote0"/>
        <w:keepLines/>
        <w:spacing w:after="0"/>
      </w:pPr>
      <w:r>
        <w:t>CPP = chronic plaque psoriasis</w:t>
      </w:r>
    </w:p>
    <w:p w:rsidR="00071F2B" w:rsidRDefault="00071F2B" w:rsidP="00071F2B">
      <w:pPr>
        <w:keepNext/>
        <w:keepLines/>
        <w:spacing w:after="0"/>
        <w:rPr>
          <w:sz w:val="20"/>
          <w:szCs w:val="20"/>
          <w:lang w:eastAsia="en-GB"/>
        </w:rPr>
      </w:pPr>
      <w:r w:rsidRPr="00F06648">
        <w:rPr>
          <w:sz w:val="20"/>
          <w:szCs w:val="20"/>
          <w:vertAlign w:val="superscript"/>
          <w:lang w:eastAsia="en-GB"/>
        </w:rPr>
        <w:t>1</w:t>
      </w:r>
      <w:r w:rsidRPr="00ED0047">
        <w:rPr>
          <w:sz w:val="20"/>
          <w:szCs w:val="20"/>
          <w:lang w:eastAsia="en-GB"/>
        </w:rPr>
        <w:t xml:space="preserve"> </w:t>
      </w:r>
      <w:bookmarkStart w:id="124" w:name="OLE_LINK4"/>
      <w:r w:rsidRPr="00ED0047">
        <w:rPr>
          <w:sz w:val="20"/>
          <w:szCs w:val="20"/>
          <w:lang w:eastAsia="en-GB"/>
        </w:rPr>
        <w:t xml:space="preserve">Secukinumab was </w:t>
      </w:r>
      <w:r>
        <w:rPr>
          <w:sz w:val="20"/>
          <w:szCs w:val="20"/>
          <w:lang w:eastAsia="en-GB"/>
        </w:rPr>
        <w:t>listed on listed the PBS schedule on 1 September 2015, which was after the 30 June 2015 cut-off for treatment initiation in this study</w:t>
      </w:r>
      <w:bookmarkEnd w:id="124"/>
    </w:p>
    <w:p w:rsidR="00071F2B" w:rsidRDefault="00071F2B" w:rsidP="00071F2B">
      <w:pPr>
        <w:keepNext/>
        <w:keepLines/>
        <w:spacing w:after="0"/>
        <w:rPr>
          <w:sz w:val="20"/>
          <w:szCs w:val="20"/>
          <w:lang w:eastAsia="en-GB"/>
        </w:rPr>
      </w:pPr>
      <w:r w:rsidRPr="00F06648">
        <w:rPr>
          <w:sz w:val="20"/>
          <w:szCs w:val="20"/>
          <w:vertAlign w:val="superscript"/>
          <w:lang w:eastAsia="en-GB"/>
        </w:rPr>
        <w:t>2</w:t>
      </w:r>
      <w:r>
        <w:rPr>
          <w:sz w:val="20"/>
          <w:szCs w:val="20"/>
          <w:lang w:eastAsia="en-GB"/>
        </w:rPr>
        <w:t xml:space="preserve"> Patient numbers lower than five were suppressed to protect patient privacy</w:t>
      </w:r>
    </w:p>
    <w:p w:rsidR="00F06648" w:rsidRDefault="00F06648" w:rsidP="00071F2B">
      <w:pPr>
        <w:keepNext/>
        <w:keepLines/>
        <w:spacing w:after="0"/>
        <w:rPr>
          <w:sz w:val="20"/>
          <w:szCs w:val="20"/>
          <w:lang w:eastAsia="en-GB"/>
        </w:rPr>
      </w:pPr>
    </w:p>
    <w:p w:rsidR="00394CC6" w:rsidRDefault="0086184A" w:rsidP="00071F2B">
      <w:r w:rsidRPr="006B56C5">
        <w:t>F</w:t>
      </w:r>
      <w:r w:rsidRPr="0086184A">
        <w:t>igure 13</w:t>
      </w:r>
      <w:r w:rsidR="00071F2B">
        <w:t xml:space="preserve"> </w:t>
      </w:r>
      <w:r w:rsidR="00071F2B" w:rsidRPr="005A6D02">
        <w:t xml:space="preserve">presents the Kaplan Meier curves for the length of time patients spend on treatment with their first biologic </w:t>
      </w:r>
      <w:r w:rsidR="00F06648">
        <w:t>before</w:t>
      </w:r>
      <w:r w:rsidR="00071F2B" w:rsidRPr="005A6D02">
        <w:t xml:space="preserve"> switching </w:t>
      </w:r>
      <w:r w:rsidR="00071F2B">
        <w:t xml:space="preserve">to different biologic </w:t>
      </w:r>
      <w:r w:rsidR="00071F2B" w:rsidRPr="005A6D02">
        <w:t xml:space="preserve">by </w:t>
      </w:r>
      <w:r w:rsidR="00F06648">
        <w:t>drug</w:t>
      </w:r>
      <w:r w:rsidR="00071F2B" w:rsidRPr="005A6D02">
        <w:t>.</w:t>
      </w:r>
      <w:r w:rsidR="00D93664" w:rsidRPr="00D93664">
        <w:t xml:space="preserve"> </w:t>
      </w:r>
      <w:r w:rsidR="00D93664">
        <w:t xml:space="preserve">Patients who </w:t>
      </w:r>
      <w:r w:rsidR="00F06648">
        <w:t>started</w:t>
      </w:r>
      <w:r w:rsidR="00D93664">
        <w:t xml:space="preserve"> treatment with adalimumab and etanercept had the higher rates of switching than patients who initiated treatment with </w:t>
      </w:r>
      <w:r w:rsidR="00D93664" w:rsidRPr="005A6D02">
        <w:t>ustekinumab and infliximab</w:t>
      </w:r>
      <w:r w:rsidR="00D93664">
        <w:t xml:space="preserve">. </w:t>
      </w:r>
    </w:p>
    <w:p w:rsidR="00071F2B" w:rsidRDefault="00071F2B" w:rsidP="003208CE">
      <w:pPr>
        <w:keepNext/>
        <w:spacing w:after="0"/>
      </w:pPr>
      <w:r w:rsidRPr="005A6D02">
        <w:rPr>
          <w:noProof/>
          <w:lang w:val="en-AU"/>
        </w:rPr>
        <w:drawing>
          <wp:inline distT="0" distB="0" distL="0" distR="0" wp14:anchorId="0C40B980" wp14:editId="2A191F38">
            <wp:extent cx="5731155" cy="3914775"/>
            <wp:effectExtent l="19050" t="19050" r="22225" b="9525"/>
            <wp:docPr id="19" name="Picture 19" title="Length of time spent on treatment with first biologic prior to switching by dru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734870" cy="3917313"/>
                    </a:xfrm>
                    <a:prstGeom prst="rect">
                      <a:avLst/>
                    </a:prstGeom>
                    <a:noFill/>
                    <a:ln>
                      <a:solidFill>
                        <a:schemeClr val="tx1"/>
                      </a:solidFill>
                    </a:ln>
                  </pic:spPr>
                </pic:pic>
              </a:graphicData>
            </a:graphic>
          </wp:inline>
        </w:drawing>
      </w:r>
    </w:p>
    <w:p w:rsidR="00071F2B" w:rsidRDefault="00071F2B" w:rsidP="00B33701">
      <w:pPr>
        <w:pStyle w:val="MDFiguretitle"/>
      </w:pPr>
      <w:bookmarkStart w:id="125" w:name="_Ref492989414"/>
      <w:bookmarkStart w:id="126" w:name="_Toc501632432"/>
      <w:r w:rsidRPr="006B56C5">
        <w:t>F</w:t>
      </w:r>
      <w:r w:rsidRPr="006B56C5">
        <w:rPr>
          <w:rStyle w:val="FigureChar"/>
          <w:rFonts w:eastAsiaTheme="minorEastAsia"/>
          <w:b/>
        </w:rPr>
        <w:t xml:space="preserve">igure </w:t>
      </w:r>
      <w:r w:rsidR="0086184A">
        <w:rPr>
          <w:rStyle w:val="FigureChar"/>
          <w:rFonts w:eastAsiaTheme="minorEastAsia"/>
          <w:b/>
          <w:noProof/>
        </w:rPr>
        <w:t>13</w:t>
      </w:r>
      <w:bookmarkStart w:id="127" w:name="_Ref486579043"/>
      <w:bookmarkEnd w:id="125"/>
      <w:r>
        <w:t>:</w:t>
      </w:r>
      <w:r w:rsidRPr="00830F48">
        <w:t xml:space="preserve"> Length of time spent on treatment with first biologic prior to switching</w:t>
      </w:r>
      <w:bookmarkEnd w:id="126"/>
      <w:bookmarkEnd w:id="127"/>
    </w:p>
    <w:p w:rsidR="00071F2B" w:rsidRDefault="00071F2B" w:rsidP="00071F2B">
      <w:pPr>
        <w:pStyle w:val="TableFootnote0"/>
        <w:keepLines/>
        <w:spacing w:after="0"/>
      </w:pPr>
      <w:r w:rsidRPr="0092606C">
        <w:t xml:space="preserve">Source: </w:t>
      </w:r>
      <w:r w:rsidR="008B2EB5" w:rsidRPr="00F32C5D">
        <w:t>DHS Supplied prescriptions database</w:t>
      </w:r>
      <w:r w:rsidR="008B2EB5">
        <w:t xml:space="preserve"> (date of supply)</w:t>
      </w:r>
      <w:r w:rsidR="008B2EB5" w:rsidRPr="00F32C5D">
        <w:t xml:space="preserve">, extracted May 2017 </w:t>
      </w:r>
    </w:p>
    <w:p w:rsidR="00C365BD" w:rsidRDefault="00071F2B" w:rsidP="00C365BD">
      <w:pPr>
        <w:pStyle w:val="TableFootnote0"/>
        <w:keepLines/>
        <w:spacing w:after="0"/>
        <w:rPr>
          <w:lang w:eastAsia="en-GB"/>
        </w:rPr>
      </w:pPr>
      <w:r>
        <w:rPr>
          <w:lang w:eastAsia="en-GB"/>
        </w:rPr>
        <w:t xml:space="preserve">Note: </w:t>
      </w:r>
      <w:r w:rsidRPr="00ED0047">
        <w:rPr>
          <w:lang w:eastAsia="en-GB"/>
        </w:rPr>
        <w:t xml:space="preserve">Secukinumab was </w:t>
      </w:r>
      <w:r>
        <w:rPr>
          <w:lang w:eastAsia="en-GB"/>
        </w:rPr>
        <w:t>listed on listed the PBS schedule on 1 September 2015, which was after the 30 June 2015 cut-off for treatment initiation in this study</w:t>
      </w:r>
    </w:p>
    <w:p w:rsidR="00C365BD" w:rsidRPr="00C365BD" w:rsidRDefault="00C365BD" w:rsidP="00C365BD">
      <w:pPr>
        <w:pStyle w:val="TableFootnote0"/>
        <w:keepLines/>
        <w:spacing w:after="0"/>
      </w:pPr>
    </w:p>
    <w:p w:rsidR="008D602D" w:rsidRPr="005A6D02" w:rsidRDefault="0086184A" w:rsidP="008D602D">
      <w:r>
        <w:t xml:space="preserve">Table </w:t>
      </w:r>
      <w:r>
        <w:rPr>
          <w:noProof/>
        </w:rPr>
        <w:t>21</w:t>
      </w:r>
      <w:r w:rsidR="00071F2B">
        <w:rPr>
          <w:szCs w:val="24"/>
        </w:rPr>
        <w:t xml:space="preserve"> </w:t>
      </w:r>
      <w:r w:rsidR="00071F2B" w:rsidRPr="005A6D02">
        <w:rPr>
          <w:szCs w:val="24"/>
        </w:rPr>
        <w:t>summarises the most common patterns of biologic use and switching in the pa</w:t>
      </w:r>
      <w:r w:rsidR="00071F2B">
        <w:rPr>
          <w:szCs w:val="24"/>
        </w:rPr>
        <w:t>tient cohort.</w:t>
      </w:r>
      <w:r w:rsidR="008D602D" w:rsidRPr="008D602D">
        <w:t xml:space="preserve"> </w:t>
      </w:r>
      <w:r w:rsidR="008D602D">
        <w:t>The</w:t>
      </w:r>
      <w:r w:rsidR="008D602D" w:rsidRPr="005A6D02">
        <w:t xml:space="preserve"> most common pattern of biologic utilisation was for patients to </w:t>
      </w:r>
      <w:r w:rsidR="00F06648">
        <w:t xml:space="preserve">start </w:t>
      </w:r>
      <w:r w:rsidR="008D602D" w:rsidRPr="005A6D02">
        <w:t xml:space="preserve">and remain on treatment with ustekinumab (n=378; 49%), followed by </w:t>
      </w:r>
      <w:r w:rsidR="00F06648">
        <w:t>starting</w:t>
      </w:r>
      <w:r w:rsidR="008D602D" w:rsidRPr="005A6D02">
        <w:t xml:space="preserve"> and remaining on treatment with adalimumab (n = 154; 20%) or etanercept (n = 65; 8%).</w:t>
      </w:r>
    </w:p>
    <w:p w:rsidR="008D602D" w:rsidRPr="005A6D02" w:rsidRDefault="008D602D" w:rsidP="008D602D">
      <w:pPr>
        <w:rPr>
          <w:rFonts w:asciiTheme="majorHAnsi" w:eastAsiaTheme="majorEastAsia" w:hAnsiTheme="majorHAnsi" w:cstheme="majorBidi"/>
          <w:b/>
          <w:bCs/>
          <w:color w:val="4F81BD" w:themeColor="accent1"/>
          <w:sz w:val="32"/>
          <w:szCs w:val="26"/>
        </w:rPr>
      </w:pPr>
      <w:r w:rsidRPr="005A6D02">
        <w:t xml:space="preserve">The three most common patterns of switching were for patients to </w:t>
      </w:r>
      <w:r w:rsidR="00F06648">
        <w:t>start</w:t>
      </w:r>
      <w:r w:rsidRPr="005A6D02">
        <w:t xml:space="preserve"> treatment with ustekinumab and later switch to secukinumab (n = 53; 7%), followed by </w:t>
      </w:r>
      <w:r w:rsidR="00F06648">
        <w:t>starting</w:t>
      </w:r>
      <w:r w:rsidRPr="005A6D02">
        <w:t xml:space="preserve"> treatment with adalimumab and later switching to ustekinu</w:t>
      </w:r>
      <w:r w:rsidR="00F06648">
        <w:t xml:space="preserve">mab (n = 42; 5%) or secukinumab </w:t>
      </w:r>
      <w:r w:rsidRPr="005A6D02">
        <w:t>(n</w:t>
      </w:r>
      <w:r w:rsidR="00F06648">
        <w:t> </w:t>
      </w:r>
      <w:r w:rsidRPr="005A6D02">
        <w:t>=</w:t>
      </w:r>
      <w:r w:rsidR="00F06648">
        <w:t> </w:t>
      </w:r>
      <w:r w:rsidRPr="005A6D02">
        <w:t>27;</w:t>
      </w:r>
      <w:r w:rsidR="00F06648">
        <w:t> </w:t>
      </w:r>
      <w:r w:rsidRPr="005A6D02">
        <w:t xml:space="preserve">3%). </w:t>
      </w:r>
    </w:p>
    <w:p w:rsidR="00071F2B" w:rsidRDefault="00071F2B" w:rsidP="003208CE">
      <w:pPr>
        <w:pStyle w:val="MDTabCaption"/>
      </w:pPr>
      <w:bookmarkStart w:id="128" w:name="_Ref492996192"/>
      <w:bookmarkStart w:id="129" w:name="_Toc501632415"/>
      <w:r>
        <w:t xml:space="preserve">Table </w:t>
      </w:r>
      <w:r w:rsidR="0086184A">
        <w:rPr>
          <w:noProof/>
        </w:rPr>
        <w:t>21</w:t>
      </w:r>
      <w:bookmarkEnd w:id="128"/>
      <w:r>
        <w:t xml:space="preserve">: </w:t>
      </w:r>
      <w:r w:rsidRPr="005A6D02">
        <w:t>Most common biologic sequenc</w:t>
      </w:r>
      <w:r>
        <w:t xml:space="preserve">es for </w:t>
      </w:r>
      <w:r w:rsidR="00891E82">
        <w:t>CPP</w:t>
      </w:r>
      <w:bookmarkEnd w:id="129"/>
    </w:p>
    <w:tbl>
      <w:tblPr>
        <w:tblStyle w:val="TableGrid"/>
        <w:tblW w:w="8849" w:type="dxa"/>
        <w:tblLook w:val="04A0" w:firstRow="1" w:lastRow="0" w:firstColumn="1" w:lastColumn="0" w:noHBand="0" w:noVBand="1"/>
        <w:tblCaption w:val="Most common biologic sequences for CPP"/>
      </w:tblPr>
      <w:tblGrid>
        <w:gridCol w:w="817"/>
        <w:gridCol w:w="6597"/>
        <w:gridCol w:w="1435"/>
      </w:tblGrid>
      <w:tr w:rsidR="00F06648" w:rsidRPr="004A41C7" w:rsidTr="00F06648">
        <w:trPr>
          <w:trHeight w:val="314"/>
          <w:tblHeader/>
        </w:trPr>
        <w:tc>
          <w:tcPr>
            <w:tcW w:w="817" w:type="dxa"/>
            <w:shd w:val="clear" w:color="auto" w:fill="BFBFBF" w:themeFill="background1" w:themeFillShade="BF"/>
          </w:tcPr>
          <w:p w:rsidR="00F06648" w:rsidRPr="005A6D02" w:rsidRDefault="00F06648" w:rsidP="00F06648">
            <w:pPr>
              <w:pStyle w:val="TableTextDusc"/>
              <w:keepNext/>
              <w:keepLines/>
              <w:jc w:val="center"/>
              <w:rPr>
                <w:b/>
              </w:rPr>
            </w:pPr>
            <w:r w:rsidRPr="00C81BE1">
              <w:rPr>
                <w:b/>
              </w:rPr>
              <w:t>Rank</w:t>
            </w:r>
          </w:p>
        </w:tc>
        <w:tc>
          <w:tcPr>
            <w:tcW w:w="6597" w:type="dxa"/>
            <w:shd w:val="clear" w:color="auto" w:fill="BFBFBF" w:themeFill="background1" w:themeFillShade="BF"/>
          </w:tcPr>
          <w:p w:rsidR="00F06648" w:rsidRPr="005A6D02" w:rsidRDefault="00F06648" w:rsidP="00F06648">
            <w:pPr>
              <w:pStyle w:val="TableTextDusc"/>
              <w:keepNext/>
              <w:keepLines/>
              <w:rPr>
                <w:b/>
              </w:rPr>
            </w:pPr>
            <w:r w:rsidRPr="005A6D02">
              <w:rPr>
                <w:b/>
              </w:rPr>
              <w:t xml:space="preserve">Biologic Sequence </w:t>
            </w:r>
          </w:p>
        </w:tc>
        <w:tc>
          <w:tcPr>
            <w:tcW w:w="1435" w:type="dxa"/>
            <w:shd w:val="clear" w:color="auto" w:fill="BFBFBF" w:themeFill="background1" w:themeFillShade="BF"/>
          </w:tcPr>
          <w:p w:rsidR="00F06648" w:rsidRPr="00C81BE1" w:rsidRDefault="00F06648" w:rsidP="00F06648">
            <w:pPr>
              <w:pStyle w:val="TableTextDusc"/>
              <w:keepNext/>
              <w:keepLines/>
              <w:rPr>
                <w:b/>
              </w:rPr>
            </w:pPr>
            <w:r>
              <w:rPr>
                <w:b/>
              </w:rPr>
              <w:t>n</w:t>
            </w:r>
            <w:r w:rsidRPr="00C81BE1">
              <w:rPr>
                <w:b/>
              </w:rPr>
              <w:t xml:space="preserve"> (%)</w:t>
            </w:r>
          </w:p>
        </w:tc>
      </w:tr>
      <w:tr w:rsidR="00F06648" w:rsidRPr="004A41C7" w:rsidTr="00F06648">
        <w:trPr>
          <w:trHeight w:val="323"/>
        </w:trPr>
        <w:tc>
          <w:tcPr>
            <w:tcW w:w="817" w:type="dxa"/>
          </w:tcPr>
          <w:p w:rsidR="00F06648" w:rsidRPr="00245AA8" w:rsidRDefault="00F06648" w:rsidP="00F06648">
            <w:pPr>
              <w:pStyle w:val="TableTextDusc"/>
              <w:keepNext/>
              <w:keepLines/>
              <w:jc w:val="center"/>
              <w:rPr>
                <w:rFonts w:eastAsia="Times New Roman" w:cs="Times New Roman"/>
                <w:color w:val="000000"/>
              </w:rPr>
            </w:pPr>
            <w:r>
              <w:t>1</w:t>
            </w:r>
          </w:p>
        </w:tc>
        <w:tc>
          <w:tcPr>
            <w:tcW w:w="6597" w:type="dxa"/>
          </w:tcPr>
          <w:p w:rsidR="00F06648" w:rsidRPr="00C910CB" w:rsidRDefault="00F06648" w:rsidP="00F06648">
            <w:pPr>
              <w:pStyle w:val="TableTextDusc"/>
              <w:keepNext/>
              <w:keepLines/>
            </w:pPr>
            <w:r w:rsidRPr="00245AA8">
              <w:rPr>
                <w:rFonts w:eastAsia="Times New Roman" w:cs="Times New Roman"/>
                <w:color w:val="000000"/>
              </w:rPr>
              <w:t>Ustekinumab</w:t>
            </w:r>
            <w:r w:rsidRPr="00794060">
              <w:t xml:space="preserve"> only</w:t>
            </w:r>
          </w:p>
        </w:tc>
        <w:tc>
          <w:tcPr>
            <w:tcW w:w="1435" w:type="dxa"/>
          </w:tcPr>
          <w:p w:rsidR="00F06648" w:rsidRPr="00C910CB" w:rsidRDefault="00F06648" w:rsidP="00F06648">
            <w:pPr>
              <w:pStyle w:val="TableTextDusc"/>
              <w:keepNext/>
              <w:keepLines/>
            </w:pPr>
            <w:r w:rsidRPr="00794060">
              <w:t>378</w:t>
            </w:r>
            <w:r>
              <w:t xml:space="preserve"> (49%)</w:t>
            </w:r>
          </w:p>
        </w:tc>
      </w:tr>
      <w:tr w:rsidR="00F06648" w:rsidRPr="004A41C7" w:rsidTr="00F06648">
        <w:trPr>
          <w:trHeight w:val="314"/>
        </w:trPr>
        <w:tc>
          <w:tcPr>
            <w:tcW w:w="817" w:type="dxa"/>
          </w:tcPr>
          <w:p w:rsidR="00F06648" w:rsidRDefault="00F06648" w:rsidP="00F06648">
            <w:pPr>
              <w:pStyle w:val="TableTextDusc"/>
              <w:keepNext/>
              <w:keepLines/>
              <w:jc w:val="center"/>
              <w:rPr>
                <w:color w:val="000000"/>
              </w:rPr>
            </w:pPr>
            <w:r>
              <w:t>2</w:t>
            </w:r>
          </w:p>
        </w:tc>
        <w:tc>
          <w:tcPr>
            <w:tcW w:w="6597" w:type="dxa"/>
          </w:tcPr>
          <w:p w:rsidR="00F06648" w:rsidRPr="00C910CB" w:rsidRDefault="00F06648" w:rsidP="00F06648">
            <w:pPr>
              <w:pStyle w:val="TableTextDusc"/>
              <w:keepNext/>
              <w:keepLines/>
            </w:pPr>
            <w:r>
              <w:rPr>
                <w:color w:val="000000"/>
              </w:rPr>
              <w:t>Adalimumab</w:t>
            </w:r>
            <w:r w:rsidRPr="00794060">
              <w:t xml:space="preserve"> only</w:t>
            </w:r>
          </w:p>
        </w:tc>
        <w:tc>
          <w:tcPr>
            <w:tcW w:w="1435" w:type="dxa"/>
          </w:tcPr>
          <w:p w:rsidR="00F06648" w:rsidRPr="00C910CB" w:rsidRDefault="00F06648" w:rsidP="00F06648">
            <w:pPr>
              <w:pStyle w:val="TableTextDusc"/>
              <w:keepNext/>
              <w:keepLines/>
            </w:pPr>
            <w:r w:rsidRPr="00794060">
              <w:t>154</w:t>
            </w:r>
            <w:r>
              <w:t xml:space="preserve"> (20%)</w:t>
            </w:r>
          </w:p>
        </w:tc>
      </w:tr>
      <w:tr w:rsidR="00F06648" w:rsidRPr="004A41C7" w:rsidTr="00F06648">
        <w:trPr>
          <w:trHeight w:val="323"/>
        </w:trPr>
        <w:tc>
          <w:tcPr>
            <w:tcW w:w="817" w:type="dxa"/>
          </w:tcPr>
          <w:p w:rsidR="00F06648" w:rsidRPr="00245AA8" w:rsidRDefault="00F06648" w:rsidP="00F06648">
            <w:pPr>
              <w:pStyle w:val="TableTextDusc"/>
              <w:keepNext/>
              <w:keepLines/>
              <w:jc w:val="center"/>
              <w:rPr>
                <w:color w:val="000000"/>
              </w:rPr>
            </w:pPr>
            <w:r>
              <w:t>3</w:t>
            </w:r>
          </w:p>
        </w:tc>
        <w:tc>
          <w:tcPr>
            <w:tcW w:w="6597" w:type="dxa"/>
          </w:tcPr>
          <w:p w:rsidR="00F06648" w:rsidRPr="00C910CB" w:rsidRDefault="00F06648" w:rsidP="00F06648">
            <w:pPr>
              <w:pStyle w:val="TableTextDusc"/>
              <w:keepNext/>
              <w:keepLines/>
            </w:pPr>
            <w:r w:rsidRPr="00245AA8">
              <w:rPr>
                <w:color w:val="000000"/>
              </w:rPr>
              <w:t>Etanercept</w:t>
            </w:r>
            <w:r w:rsidRPr="00794060">
              <w:t xml:space="preserve"> only</w:t>
            </w:r>
          </w:p>
        </w:tc>
        <w:tc>
          <w:tcPr>
            <w:tcW w:w="1435" w:type="dxa"/>
          </w:tcPr>
          <w:p w:rsidR="00F06648" w:rsidRPr="00C910CB" w:rsidRDefault="00F06648" w:rsidP="00F06648">
            <w:pPr>
              <w:pStyle w:val="TableTextDusc"/>
              <w:keepNext/>
              <w:keepLines/>
            </w:pPr>
            <w:r w:rsidRPr="00794060">
              <w:t>65</w:t>
            </w:r>
            <w:r>
              <w:t xml:space="preserve"> (8%)</w:t>
            </w:r>
          </w:p>
        </w:tc>
      </w:tr>
      <w:tr w:rsidR="00F06648" w:rsidRPr="004A41C7" w:rsidTr="00F06648">
        <w:trPr>
          <w:trHeight w:val="314"/>
        </w:trPr>
        <w:tc>
          <w:tcPr>
            <w:tcW w:w="817" w:type="dxa"/>
          </w:tcPr>
          <w:p w:rsidR="00F06648" w:rsidRPr="00245AA8" w:rsidRDefault="00F06648" w:rsidP="00F06648">
            <w:pPr>
              <w:pStyle w:val="TableTextDusc"/>
              <w:keepNext/>
              <w:keepLines/>
              <w:jc w:val="center"/>
              <w:rPr>
                <w:rFonts w:eastAsia="Times New Roman" w:cs="Times New Roman"/>
                <w:color w:val="000000"/>
              </w:rPr>
            </w:pPr>
            <w:r>
              <w:t>4</w:t>
            </w:r>
          </w:p>
        </w:tc>
        <w:tc>
          <w:tcPr>
            <w:tcW w:w="6597" w:type="dxa"/>
          </w:tcPr>
          <w:p w:rsidR="00F06648" w:rsidRPr="00C910CB" w:rsidRDefault="00F06648" w:rsidP="00F06648">
            <w:pPr>
              <w:pStyle w:val="TableTextDusc"/>
              <w:keepNext/>
              <w:keepLines/>
            </w:pPr>
            <w:r w:rsidRPr="00245AA8">
              <w:rPr>
                <w:rFonts w:eastAsia="Times New Roman" w:cs="Times New Roman"/>
                <w:color w:val="000000"/>
              </w:rPr>
              <w:t>Ustekinumab</w:t>
            </w:r>
            <w:r w:rsidRPr="00794060">
              <w:t xml:space="preserve"> -&gt; </w:t>
            </w:r>
            <w:r w:rsidRPr="00245AA8">
              <w:rPr>
                <w:rFonts w:eastAsia="Times New Roman" w:cs="Times New Roman"/>
                <w:color w:val="000000"/>
              </w:rPr>
              <w:t>Secukinumab</w:t>
            </w:r>
          </w:p>
        </w:tc>
        <w:tc>
          <w:tcPr>
            <w:tcW w:w="1435" w:type="dxa"/>
          </w:tcPr>
          <w:p w:rsidR="00F06648" w:rsidRPr="00C910CB" w:rsidRDefault="00F06648" w:rsidP="00F06648">
            <w:pPr>
              <w:pStyle w:val="TableTextDusc"/>
              <w:keepNext/>
              <w:keepLines/>
            </w:pPr>
            <w:r w:rsidRPr="00794060">
              <w:t>53</w:t>
            </w:r>
            <w:r>
              <w:t xml:space="preserve"> (7%)</w:t>
            </w:r>
          </w:p>
        </w:tc>
      </w:tr>
      <w:tr w:rsidR="00F06648" w:rsidRPr="004A41C7" w:rsidTr="00F06648">
        <w:trPr>
          <w:trHeight w:val="314"/>
        </w:trPr>
        <w:tc>
          <w:tcPr>
            <w:tcW w:w="817" w:type="dxa"/>
          </w:tcPr>
          <w:p w:rsidR="00F06648" w:rsidRDefault="00F06648" w:rsidP="00F06648">
            <w:pPr>
              <w:pStyle w:val="TableTextDusc"/>
              <w:keepNext/>
              <w:keepLines/>
              <w:jc w:val="center"/>
              <w:rPr>
                <w:color w:val="000000"/>
              </w:rPr>
            </w:pPr>
            <w:r>
              <w:t>5</w:t>
            </w:r>
          </w:p>
        </w:tc>
        <w:tc>
          <w:tcPr>
            <w:tcW w:w="6597" w:type="dxa"/>
          </w:tcPr>
          <w:p w:rsidR="00F06648" w:rsidRPr="00C910CB" w:rsidRDefault="00F06648" w:rsidP="00F06648">
            <w:pPr>
              <w:pStyle w:val="TableTextDusc"/>
              <w:keepNext/>
              <w:keepLines/>
            </w:pPr>
            <w:r>
              <w:rPr>
                <w:color w:val="000000"/>
              </w:rPr>
              <w:t>Adalimumab</w:t>
            </w:r>
            <w:r w:rsidRPr="00794060">
              <w:t xml:space="preserve"> -&gt; </w:t>
            </w:r>
            <w:r w:rsidRPr="00245AA8">
              <w:rPr>
                <w:rFonts w:eastAsia="Times New Roman" w:cs="Times New Roman"/>
                <w:color w:val="000000"/>
              </w:rPr>
              <w:t>Ustekinumab</w:t>
            </w:r>
          </w:p>
        </w:tc>
        <w:tc>
          <w:tcPr>
            <w:tcW w:w="1435" w:type="dxa"/>
          </w:tcPr>
          <w:p w:rsidR="00F06648" w:rsidRPr="00C910CB" w:rsidRDefault="00F06648" w:rsidP="00F06648">
            <w:pPr>
              <w:pStyle w:val="TableTextDusc"/>
              <w:keepNext/>
              <w:keepLines/>
            </w:pPr>
            <w:r w:rsidRPr="00794060">
              <w:t>42</w:t>
            </w:r>
            <w:r>
              <w:t xml:space="preserve"> (5%)</w:t>
            </w:r>
          </w:p>
        </w:tc>
      </w:tr>
      <w:tr w:rsidR="00F06648" w:rsidRPr="004A41C7" w:rsidTr="00F06648">
        <w:trPr>
          <w:trHeight w:val="323"/>
        </w:trPr>
        <w:tc>
          <w:tcPr>
            <w:tcW w:w="817" w:type="dxa"/>
          </w:tcPr>
          <w:p w:rsidR="00F06648" w:rsidRDefault="00F06648" w:rsidP="00F06648">
            <w:pPr>
              <w:pStyle w:val="TableTextDusc"/>
              <w:keepNext/>
              <w:keepLines/>
              <w:jc w:val="center"/>
              <w:rPr>
                <w:color w:val="000000"/>
              </w:rPr>
            </w:pPr>
            <w:r>
              <w:t>6</w:t>
            </w:r>
          </w:p>
        </w:tc>
        <w:tc>
          <w:tcPr>
            <w:tcW w:w="6597" w:type="dxa"/>
          </w:tcPr>
          <w:p w:rsidR="00F06648" w:rsidRPr="00C910CB" w:rsidRDefault="00F06648" w:rsidP="00F06648">
            <w:pPr>
              <w:pStyle w:val="TableTextDusc"/>
              <w:keepNext/>
              <w:keepLines/>
            </w:pPr>
            <w:r>
              <w:rPr>
                <w:color w:val="000000"/>
              </w:rPr>
              <w:t>Adalimumab</w:t>
            </w:r>
            <w:r w:rsidRPr="00794060">
              <w:t xml:space="preserve"> -&gt; </w:t>
            </w:r>
            <w:r w:rsidRPr="00245AA8">
              <w:rPr>
                <w:rFonts w:eastAsia="Times New Roman" w:cs="Times New Roman"/>
                <w:color w:val="000000"/>
              </w:rPr>
              <w:t>Secukinumab</w:t>
            </w:r>
          </w:p>
        </w:tc>
        <w:tc>
          <w:tcPr>
            <w:tcW w:w="1435" w:type="dxa"/>
          </w:tcPr>
          <w:p w:rsidR="00F06648" w:rsidRPr="00C910CB" w:rsidRDefault="00F06648" w:rsidP="00F06648">
            <w:pPr>
              <w:pStyle w:val="TableTextDusc"/>
              <w:keepNext/>
              <w:keepLines/>
            </w:pPr>
            <w:r w:rsidRPr="00794060">
              <w:t>27</w:t>
            </w:r>
            <w:r>
              <w:t xml:space="preserve"> (3%)</w:t>
            </w:r>
          </w:p>
        </w:tc>
      </w:tr>
      <w:tr w:rsidR="00F06648" w:rsidRPr="004A41C7" w:rsidTr="00F06648">
        <w:trPr>
          <w:trHeight w:val="323"/>
        </w:trPr>
        <w:tc>
          <w:tcPr>
            <w:tcW w:w="817" w:type="dxa"/>
          </w:tcPr>
          <w:p w:rsidR="00F06648" w:rsidRPr="00794060" w:rsidRDefault="00F06648" w:rsidP="00F06648">
            <w:pPr>
              <w:pStyle w:val="TableTextDusc"/>
              <w:keepNext/>
              <w:keepLines/>
              <w:jc w:val="center"/>
            </w:pPr>
            <w:r>
              <w:t>7</w:t>
            </w:r>
          </w:p>
        </w:tc>
        <w:tc>
          <w:tcPr>
            <w:tcW w:w="6597" w:type="dxa"/>
          </w:tcPr>
          <w:p w:rsidR="00F06648" w:rsidRPr="00C910CB" w:rsidRDefault="00F06648" w:rsidP="00F06648">
            <w:pPr>
              <w:pStyle w:val="TableTextDusc"/>
              <w:keepNext/>
              <w:keepLines/>
            </w:pPr>
            <w:r w:rsidRPr="00794060">
              <w:t>Any 3 biologics</w:t>
            </w:r>
          </w:p>
        </w:tc>
        <w:tc>
          <w:tcPr>
            <w:tcW w:w="1435" w:type="dxa"/>
          </w:tcPr>
          <w:p w:rsidR="00F06648" w:rsidRPr="00C910CB" w:rsidRDefault="00F06648" w:rsidP="00F06648">
            <w:pPr>
              <w:pStyle w:val="TableTextDusc"/>
              <w:keepNext/>
              <w:keepLines/>
            </w:pPr>
            <w:r w:rsidRPr="00794060">
              <w:t>20</w:t>
            </w:r>
            <w:r>
              <w:t xml:space="preserve"> (3%)</w:t>
            </w:r>
          </w:p>
        </w:tc>
      </w:tr>
      <w:tr w:rsidR="00F06648" w:rsidRPr="004A41C7" w:rsidTr="00F06648">
        <w:trPr>
          <w:trHeight w:val="323"/>
        </w:trPr>
        <w:tc>
          <w:tcPr>
            <w:tcW w:w="817" w:type="dxa"/>
          </w:tcPr>
          <w:p w:rsidR="00F06648" w:rsidRPr="00245AA8" w:rsidRDefault="00F06648" w:rsidP="00F06648">
            <w:pPr>
              <w:pStyle w:val="TableTextDusc"/>
              <w:keepNext/>
              <w:keepLines/>
              <w:jc w:val="center"/>
              <w:rPr>
                <w:color w:val="000000"/>
              </w:rPr>
            </w:pPr>
            <w:r>
              <w:t>8</w:t>
            </w:r>
          </w:p>
        </w:tc>
        <w:tc>
          <w:tcPr>
            <w:tcW w:w="6597" w:type="dxa"/>
          </w:tcPr>
          <w:p w:rsidR="00F06648" w:rsidRPr="00C910CB" w:rsidRDefault="00F06648" w:rsidP="00F06648">
            <w:pPr>
              <w:pStyle w:val="TableTextDusc"/>
              <w:keepNext/>
              <w:keepLines/>
            </w:pPr>
            <w:r w:rsidRPr="00245AA8">
              <w:rPr>
                <w:color w:val="000000"/>
              </w:rPr>
              <w:t>Infliximab</w:t>
            </w:r>
            <w:r w:rsidRPr="00794060">
              <w:t xml:space="preserve"> only</w:t>
            </w:r>
          </w:p>
        </w:tc>
        <w:tc>
          <w:tcPr>
            <w:tcW w:w="1435" w:type="dxa"/>
          </w:tcPr>
          <w:p w:rsidR="00F06648" w:rsidRPr="00C910CB" w:rsidRDefault="00F06648" w:rsidP="00F06648">
            <w:pPr>
              <w:pStyle w:val="TableTextDusc"/>
              <w:keepNext/>
              <w:keepLines/>
            </w:pPr>
            <w:r w:rsidRPr="00794060">
              <w:t>10</w:t>
            </w:r>
            <w:r>
              <w:t xml:space="preserve"> (1%)</w:t>
            </w:r>
          </w:p>
        </w:tc>
      </w:tr>
      <w:tr w:rsidR="00F06648" w:rsidRPr="004A41C7" w:rsidTr="00F06648">
        <w:trPr>
          <w:trHeight w:val="323"/>
        </w:trPr>
        <w:tc>
          <w:tcPr>
            <w:tcW w:w="817" w:type="dxa"/>
          </w:tcPr>
          <w:p w:rsidR="00F06648" w:rsidRPr="00245AA8" w:rsidRDefault="00F06648" w:rsidP="00F06648">
            <w:pPr>
              <w:pStyle w:val="TableTextDusc"/>
              <w:keepNext/>
              <w:keepLines/>
              <w:jc w:val="center"/>
              <w:rPr>
                <w:rFonts w:eastAsia="Times New Roman" w:cs="Times New Roman"/>
                <w:color w:val="000000"/>
              </w:rPr>
            </w:pPr>
            <w:r>
              <w:t>9</w:t>
            </w:r>
          </w:p>
        </w:tc>
        <w:tc>
          <w:tcPr>
            <w:tcW w:w="6597" w:type="dxa"/>
          </w:tcPr>
          <w:p w:rsidR="00F06648" w:rsidRPr="00794060" w:rsidRDefault="00F06648" w:rsidP="00F06648">
            <w:pPr>
              <w:pStyle w:val="TableTextDusc"/>
              <w:keepNext/>
              <w:keepLines/>
            </w:pPr>
            <w:r w:rsidRPr="00245AA8">
              <w:rPr>
                <w:rFonts w:eastAsia="Times New Roman" w:cs="Times New Roman"/>
                <w:color w:val="000000"/>
              </w:rPr>
              <w:t>Ustekinumab</w:t>
            </w:r>
            <w:r w:rsidRPr="008823DD">
              <w:t xml:space="preserve"> -&gt; </w:t>
            </w:r>
            <w:r>
              <w:rPr>
                <w:color w:val="000000"/>
              </w:rPr>
              <w:t>Adalimumab</w:t>
            </w:r>
          </w:p>
        </w:tc>
        <w:tc>
          <w:tcPr>
            <w:tcW w:w="1435" w:type="dxa"/>
          </w:tcPr>
          <w:p w:rsidR="00F06648" w:rsidRPr="00794060" w:rsidRDefault="00F06648" w:rsidP="00F06648">
            <w:pPr>
              <w:pStyle w:val="TableTextDusc"/>
              <w:keepNext/>
              <w:keepLines/>
            </w:pPr>
            <w:r>
              <w:t>9 (1%)</w:t>
            </w:r>
          </w:p>
        </w:tc>
      </w:tr>
      <w:tr w:rsidR="00F06648" w:rsidRPr="004A41C7" w:rsidTr="00F06648">
        <w:trPr>
          <w:trHeight w:val="323"/>
        </w:trPr>
        <w:tc>
          <w:tcPr>
            <w:tcW w:w="817" w:type="dxa"/>
          </w:tcPr>
          <w:p w:rsidR="00F06648" w:rsidRPr="00245AA8" w:rsidRDefault="00F06648" w:rsidP="00F06648">
            <w:pPr>
              <w:pStyle w:val="TableTextDusc"/>
              <w:keepNext/>
              <w:keepLines/>
              <w:jc w:val="center"/>
              <w:rPr>
                <w:color w:val="000000"/>
              </w:rPr>
            </w:pPr>
            <w:r>
              <w:t>10</w:t>
            </w:r>
          </w:p>
        </w:tc>
        <w:tc>
          <w:tcPr>
            <w:tcW w:w="6597" w:type="dxa"/>
          </w:tcPr>
          <w:p w:rsidR="00F06648" w:rsidRPr="00794060" w:rsidRDefault="00F06648" w:rsidP="00F06648">
            <w:pPr>
              <w:pStyle w:val="TableTextDusc"/>
              <w:keepNext/>
              <w:keepLines/>
            </w:pPr>
            <w:r w:rsidRPr="00245AA8">
              <w:rPr>
                <w:color w:val="000000"/>
              </w:rPr>
              <w:t>Etanercept</w:t>
            </w:r>
            <w:r w:rsidRPr="008823DD">
              <w:t xml:space="preserve"> -&gt; </w:t>
            </w:r>
            <w:r w:rsidRPr="00245AA8">
              <w:rPr>
                <w:rFonts w:eastAsia="Times New Roman" w:cs="Times New Roman"/>
                <w:color w:val="000000"/>
              </w:rPr>
              <w:t>Ustekinumab</w:t>
            </w:r>
          </w:p>
        </w:tc>
        <w:tc>
          <w:tcPr>
            <w:tcW w:w="1435" w:type="dxa"/>
          </w:tcPr>
          <w:p w:rsidR="00F06648" w:rsidRPr="00794060" w:rsidRDefault="00F06648" w:rsidP="00F06648">
            <w:pPr>
              <w:pStyle w:val="TableTextDusc"/>
              <w:keepNext/>
              <w:keepLines/>
            </w:pPr>
            <w:r>
              <w:t>5 (1%)</w:t>
            </w:r>
          </w:p>
        </w:tc>
      </w:tr>
      <w:tr w:rsidR="00F06648" w:rsidRPr="004A41C7" w:rsidTr="00F06648">
        <w:trPr>
          <w:trHeight w:val="323"/>
        </w:trPr>
        <w:tc>
          <w:tcPr>
            <w:tcW w:w="817" w:type="dxa"/>
          </w:tcPr>
          <w:p w:rsidR="00F06648" w:rsidRPr="00245AA8" w:rsidRDefault="00F06648" w:rsidP="00F06648">
            <w:pPr>
              <w:pStyle w:val="TableTextDusc"/>
              <w:keepNext/>
              <w:keepLines/>
              <w:jc w:val="center"/>
              <w:rPr>
                <w:color w:val="000000"/>
              </w:rPr>
            </w:pPr>
            <w:r>
              <w:t>11</w:t>
            </w:r>
          </w:p>
        </w:tc>
        <w:tc>
          <w:tcPr>
            <w:tcW w:w="6597" w:type="dxa"/>
          </w:tcPr>
          <w:p w:rsidR="00F06648" w:rsidRPr="00C910CB" w:rsidRDefault="00F06648" w:rsidP="00F06648">
            <w:pPr>
              <w:pStyle w:val="TableTextDusc"/>
              <w:keepNext/>
              <w:keepLines/>
            </w:pPr>
            <w:r w:rsidRPr="00245AA8">
              <w:rPr>
                <w:color w:val="000000"/>
              </w:rPr>
              <w:t>Infliximab</w:t>
            </w:r>
            <w:r w:rsidRPr="008823DD">
              <w:t xml:space="preserve"> -&gt; </w:t>
            </w:r>
            <w:r w:rsidRPr="00245AA8">
              <w:rPr>
                <w:rFonts w:eastAsia="Times New Roman" w:cs="Times New Roman"/>
                <w:color w:val="000000"/>
              </w:rPr>
              <w:t>Ustekinumab</w:t>
            </w:r>
          </w:p>
        </w:tc>
        <w:tc>
          <w:tcPr>
            <w:tcW w:w="1435" w:type="dxa"/>
          </w:tcPr>
          <w:p w:rsidR="00F06648" w:rsidRPr="00C910CB" w:rsidRDefault="00F06648" w:rsidP="00F06648">
            <w:pPr>
              <w:pStyle w:val="TableTextDusc"/>
              <w:keepNext/>
              <w:keepLines/>
            </w:pPr>
            <w:r>
              <w:t>5 (1%)</w:t>
            </w:r>
          </w:p>
        </w:tc>
      </w:tr>
      <w:tr w:rsidR="00F06648" w:rsidRPr="004A41C7" w:rsidTr="00F06648">
        <w:trPr>
          <w:trHeight w:val="323"/>
        </w:trPr>
        <w:tc>
          <w:tcPr>
            <w:tcW w:w="817" w:type="dxa"/>
          </w:tcPr>
          <w:p w:rsidR="00F06648" w:rsidRPr="00794060" w:rsidRDefault="00F06648" w:rsidP="00F06648">
            <w:pPr>
              <w:pStyle w:val="TableTextDusc"/>
              <w:keepNext/>
              <w:keepLines/>
              <w:jc w:val="center"/>
            </w:pPr>
            <w:r>
              <w:t>12</w:t>
            </w:r>
          </w:p>
        </w:tc>
        <w:tc>
          <w:tcPr>
            <w:tcW w:w="6597" w:type="dxa"/>
          </w:tcPr>
          <w:p w:rsidR="00F06648" w:rsidRPr="00C910CB" w:rsidRDefault="00F06648" w:rsidP="00F06648">
            <w:pPr>
              <w:pStyle w:val="TableTextDusc"/>
              <w:keepNext/>
              <w:keepLines/>
            </w:pPr>
            <w:r w:rsidRPr="00794060">
              <w:t>Any 4 or more biologics</w:t>
            </w:r>
          </w:p>
        </w:tc>
        <w:tc>
          <w:tcPr>
            <w:tcW w:w="1435" w:type="dxa"/>
          </w:tcPr>
          <w:p w:rsidR="00F06648" w:rsidRPr="00581746" w:rsidRDefault="00F06648" w:rsidP="00F06648">
            <w:pPr>
              <w:pStyle w:val="TableTextDusc"/>
              <w:keepNext/>
              <w:keepLines/>
              <w:rPr>
                <w:vertAlign w:val="superscript"/>
              </w:rPr>
            </w:pPr>
            <w:r>
              <w:t>&lt;5</w:t>
            </w:r>
            <w:r>
              <w:rPr>
                <w:vertAlign w:val="superscript"/>
              </w:rPr>
              <w:t>1</w:t>
            </w:r>
          </w:p>
        </w:tc>
      </w:tr>
    </w:tbl>
    <w:p w:rsidR="00071F2B" w:rsidRPr="0092606C" w:rsidRDefault="00071F2B" w:rsidP="00071F2B">
      <w:pPr>
        <w:pStyle w:val="TableFootnote0"/>
        <w:keepLines/>
        <w:spacing w:after="0"/>
      </w:pPr>
      <w:r w:rsidRPr="0092606C">
        <w:t xml:space="preserve">Source: </w:t>
      </w:r>
      <w:r w:rsidR="008B2EB5" w:rsidRPr="00F32C5D">
        <w:t>DHS Supplied prescriptions database</w:t>
      </w:r>
      <w:r w:rsidR="008B2EB5">
        <w:t xml:space="preserve"> (date of supply)</w:t>
      </w:r>
      <w:r w:rsidR="008B2EB5" w:rsidRPr="00F32C5D">
        <w:t xml:space="preserve">, extracted May 2017 </w:t>
      </w:r>
    </w:p>
    <w:p w:rsidR="00071F2B" w:rsidRDefault="00071F2B" w:rsidP="00071F2B">
      <w:pPr>
        <w:pStyle w:val="TableFootnote0"/>
        <w:keepLines/>
        <w:spacing w:after="0"/>
      </w:pPr>
      <w:r>
        <w:t>Note: Values in the table do not add to 100%</w:t>
      </w:r>
    </w:p>
    <w:p w:rsidR="00071F2B" w:rsidRPr="005A6D02" w:rsidRDefault="00071F2B" w:rsidP="00071F2B">
      <w:pPr>
        <w:keepNext/>
        <w:keepLines/>
        <w:spacing w:after="0"/>
        <w:rPr>
          <w:sz w:val="20"/>
          <w:szCs w:val="20"/>
          <w:lang w:eastAsia="en-GB"/>
        </w:rPr>
      </w:pPr>
      <w:r w:rsidRPr="0020119A">
        <w:rPr>
          <w:sz w:val="20"/>
          <w:szCs w:val="20"/>
          <w:vertAlign w:val="superscript"/>
          <w:lang w:eastAsia="en-GB"/>
        </w:rPr>
        <w:t>1</w:t>
      </w:r>
      <w:r w:rsidRPr="005A6D02">
        <w:rPr>
          <w:sz w:val="20"/>
          <w:szCs w:val="20"/>
          <w:lang w:eastAsia="en-GB"/>
        </w:rPr>
        <w:t xml:space="preserve"> Patient numbers lower than five were suppressed to protect patient privacy</w:t>
      </w:r>
    </w:p>
    <w:p w:rsidR="00071F2B" w:rsidRDefault="00071F2B" w:rsidP="00D1443C">
      <w:pPr>
        <w:pStyle w:val="MDSubheading"/>
      </w:pPr>
      <w:bookmarkStart w:id="130" w:name="_Toc501632375"/>
      <w:r w:rsidRPr="0010179E">
        <w:t>3.</w:t>
      </w:r>
      <w:r>
        <w:t>4</w:t>
      </w:r>
      <w:r w:rsidRPr="0010179E">
        <w:tab/>
      </w:r>
      <w:bookmarkStart w:id="131" w:name="_Toc493156402"/>
      <w:r>
        <w:t>Prior use of non-biologic treatments</w:t>
      </w:r>
      <w:bookmarkEnd w:id="130"/>
      <w:bookmarkEnd w:id="131"/>
      <w:r>
        <w:t xml:space="preserve"> </w:t>
      </w:r>
    </w:p>
    <w:p w:rsidR="00071F2B" w:rsidRPr="00485C7C" w:rsidRDefault="00071F2B" w:rsidP="00071F2B">
      <w:r>
        <w:t>The Reference Group considered p</w:t>
      </w:r>
      <w:r w:rsidRPr="00485C7C">
        <w:t xml:space="preserve">hototherapy </w:t>
      </w:r>
      <w:r>
        <w:t>to be</w:t>
      </w:r>
      <w:r w:rsidRPr="00485C7C">
        <w:t xml:space="preserve"> the first systemic therapy that is typically used. The clinicians in the group considered that phototherapy results in a decrease in symptoms after six to twelve weeks treatment. Use of phototherapy may be limited by patient comorbidities</w:t>
      </w:r>
      <w:r>
        <w:t>, such as melanoma</w:t>
      </w:r>
      <w:r w:rsidRPr="00485C7C">
        <w:t xml:space="preserve">. It was noted that some patients </w:t>
      </w:r>
      <w:r>
        <w:t>we</w:t>
      </w:r>
      <w:r w:rsidRPr="00485C7C">
        <w:t>re unable</w:t>
      </w:r>
      <w:r w:rsidRPr="00F525C8">
        <w:t xml:space="preserve"> </w:t>
      </w:r>
      <w:r w:rsidRPr="00485C7C">
        <w:t>to access phototherapy in areas that are far away from a phototherapy service, particularly patients residing in rural or remote areas.</w:t>
      </w:r>
      <w:r>
        <w:t xml:space="preserve"> Some p</w:t>
      </w:r>
      <w:r w:rsidRPr="00485C7C">
        <w:t xml:space="preserve">atients are also unable to use phototherapy because they </w:t>
      </w:r>
      <w:r>
        <w:t>we</w:t>
      </w:r>
      <w:r w:rsidRPr="00485C7C">
        <w:t xml:space="preserve">re unable to fit in the phototherapy box due to obesity, a common comorbidity in patients with psoriasis. </w:t>
      </w:r>
    </w:p>
    <w:p w:rsidR="00071F2B" w:rsidRPr="00485C7C" w:rsidRDefault="00071F2B" w:rsidP="00071F2B">
      <w:r w:rsidRPr="00485C7C">
        <w:t>The Reference Group clinicians considered cyclosporin to be an effective treatment but considered that its use was limited by toxicity</w:t>
      </w:r>
      <w:r>
        <w:t>, particularly renal toxicity</w:t>
      </w:r>
      <w:r w:rsidRPr="00485C7C">
        <w:t>. A dose of 2.5 mg/kg daily was considered to be commonly used in practice. Acitretin was considered to have a fast onset of action. The Reference Group clinicians considered that acitretin could not be used for very long, with the six week duration of treatment in the biologic restrictions not commonly used in practice. Acitretin was not considered an appropriate treatment for women of childbearing age. Acitretin was considered a good treatment option for patients with remitting</w:t>
      </w:r>
      <w:r w:rsidRPr="00485C7C">
        <w:noBreakHyphen/>
        <w:t xml:space="preserve">relapsing forms of psoriasis. The Reference Group clinicians considered that response to methotrexate treatment is evident at 12 weeks. It was noted that the PBS restrictions for biologics required only six weeks treatment, which was considered too short to </w:t>
      </w:r>
      <w:r>
        <w:t xml:space="preserve">determine the full effectiveness of methotrexate. </w:t>
      </w:r>
    </w:p>
    <w:p w:rsidR="00071F2B" w:rsidRDefault="00071F2B" w:rsidP="00071F2B">
      <w:r>
        <w:t>The clinicians on the Reference group noted there may be differences in the use of prior therapies based on the site/s affected by psoriasis. P</w:t>
      </w:r>
      <w:r w:rsidRPr="00BA1D4D">
        <w:t xml:space="preserve">soriasis of the palms of the hands and soles of the feet cannot be well treated with topical therapy due to the thickness of the skin. </w:t>
      </w:r>
      <w:r>
        <w:t xml:space="preserve">Genital psoriasis also usually cannot be treated with topical therapy. </w:t>
      </w:r>
      <w:r w:rsidRPr="00BA1D4D">
        <w:t xml:space="preserve">Nail psoriasis is usually on the nail plate, making topical therapy not useful. Methotrexate </w:t>
      </w:r>
      <w:r>
        <w:t xml:space="preserve">was </w:t>
      </w:r>
      <w:r w:rsidRPr="00BA1D4D">
        <w:t>also</w:t>
      </w:r>
      <w:r>
        <w:t xml:space="preserve"> considered</w:t>
      </w:r>
      <w:r w:rsidRPr="00BA1D4D">
        <w:t xml:space="preserve"> not </w:t>
      </w:r>
      <w:r>
        <w:t xml:space="preserve">to be </w:t>
      </w:r>
      <w:r w:rsidRPr="00BA1D4D">
        <w:t xml:space="preserve">useful for nail psoriasis. </w:t>
      </w:r>
    </w:p>
    <w:p w:rsidR="00071F2B" w:rsidRDefault="00071F2B" w:rsidP="00071F2B">
      <w:r>
        <w:t>The Reference Group noted that the persistence with prior therapies is often lower than observed in clinical trials. Some of the prior therapies</w:t>
      </w:r>
      <w:r w:rsidR="001F7621">
        <w:t>, such as phototherapy and topical treatments,</w:t>
      </w:r>
      <w:r>
        <w:t xml:space="preserve"> can be very time consuming. It was considered, that in practice, prior therapies are used at a lower dose and for a lower duration than in clinical trials. </w:t>
      </w:r>
    </w:p>
    <w:p w:rsidR="00071F2B" w:rsidRPr="0010179E" w:rsidRDefault="00071F2B" w:rsidP="00D1443C">
      <w:pPr>
        <w:pStyle w:val="MDSubheading"/>
      </w:pPr>
      <w:bookmarkStart w:id="132" w:name="_Toc493156403"/>
      <w:bookmarkStart w:id="133" w:name="_Toc501632376"/>
      <w:r w:rsidRPr="0010179E">
        <w:t>3.</w:t>
      </w:r>
      <w:r>
        <w:t>5</w:t>
      </w:r>
      <w:r w:rsidRPr="0010179E">
        <w:tab/>
      </w:r>
      <w:r w:rsidRPr="007777E8">
        <w:t>Comparison</w:t>
      </w:r>
      <w:r w:rsidRPr="0010179E">
        <w:t xml:space="preserve"> of PBS utilisation of biologics with PBS restrictions</w:t>
      </w:r>
      <w:r w:rsidR="0020119A">
        <w:t xml:space="preserve">, guidelines, </w:t>
      </w:r>
      <w:r w:rsidR="0020119A" w:rsidRPr="0010179E">
        <w:t>and</w:t>
      </w:r>
      <w:r w:rsidRPr="0010179E">
        <w:t xml:space="preserve"> clinical </w:t>
      </w:r>
      <w:bookmarkEnd w:id="132"/>
      <w:r w:rsidR="0020119A">
        <w:t>evidence</w:t>
      </w:r>
      <w:bookmarkEnd w:id="133"/>
    </w:p>
    <w:p w:rsidR="00071F2B" w:rsidRDefault="0030083E" w:rsidP="00DF0266">
      <w:pPr>
        <w:pStyle w:val="Heading3"/>
        <w:spacing w:before="240" w:after="200"/>
        <w:rPr>
          <w:lang w:eastAsia="en-GB"/>
        </w:rPr>
      </w:pPr>
      <w:bookmarkStart w:id="134" w:name="_Toc493156404"/>
      <w:bookmarkStart w:id="135" w:name="_Toc501632377"/>
      <w:r>
        <w:rPr>
          <w:lang w:eastAsia="en-GB"/>
        </w:rPr>
        <w:t xml:space="preserve">3.5.1 </w:t>
      </w:r>
      <w:r w:rsidR="00071F2B">
        <w:rPr>
          <w:lang w:eastAsia="en-GB"/>
        </w:rPr>
        <w:t>Comparison of PBS utilisation with PBS restrictions</w:t>
      </w:r>
      <w:bookmarkEnd w:id="134"/>
      <w:bookmarkEnd w:id="135"/>
    </w:p>
    <w:p w:rsidR="0020119A" w:rsidRPr="0085778C" w:rsidRDefault="00071F2B" w:rsidP="0030083E">
      <w:pPr>
        <w:rPr>
          <w:lang w:eastAsia="en-GB"/>
        </w:rPr>
      </w:pPr>
      <w:bookmarkStart w:id="136" w:name="_Toc493156407"/>
      <w:r w:rsidRPr="0085778C">
        <w:rPr>
          <w:lang w:eastAsia="en-GB"/>
        </w:rPr>
        <w:t>The majority of patients appeared to be using biologics chronically. Over 18 months follow</w:t>
      </w:r>
      <w:r w:rsidRPr="0085778C">
        <w:rPr>
          <w:lang w:eastAsia="en-GB"/>
        </w:rPr>
        <w:noBreakHyphen/>
        <w:t xml:space="preserve">up, only 5% of patients had a treatment break. </w:t>
      </w:r>
    </w:p>
    <w:p w:rsidR="00071F2B" w:rsidRPr="0085778C" w:rsidRDefault="00071F2B" w:rsidP="0030083E">
      <w:pPr>
        <w:rPr>
          <w:lang w:eastAsia="en-GB"/>
        </w:rPr>
      </w:pPr>
      <w:r w:rsidRPr="0085778C">
        <w:rPr>
          <w:lang w:eastAsia="en-GB"/>
        </w:rPr>
        <w:t>The PBS restrictions allow patients to fail to achieve a PASI 75 response with three biologicals before they are deemed to have completed the PBS treatment cycle and are not eligible for PBS-subsidised biological treatment. In the group of patients who started biologics between 1 July 2014 and 30 June 2015, fewer than 1% (&lt;5/778) patients had four or more biologics over 18 months follow-up. However, the PBS dispensing data cannot be used to determine whether patients had failed to achieve a PASI 75 response or whether treatment was switched for other reasons. Patients are able to switch to an alternate biologic without having to meet t</w:t>
      </w:r>
      <w:r w:rsidR="0030083E">
        <w:rPr>
          <w:lang w:eastAsia="en-GB"/>
        </w:rPr>
        <w:t xml:space="preserve">he initial treatment criteria. </w:t>
      </w:r>
    </w:p>
    <w:p w:rsidR="00C0529A" w:rsidRPr="0085778C" w:rsidRDefault="00071F2B" w:rsidP="0030083E">
      <w:pPr>
        <w:rPr>
          <w:lang w:eastAsia="en-GB"/>
        </w:rPr>
      </w:pPr>
      <w:r w:rsidRPr="0085778C">
        <w:rPr>
          <w:lang w:eastAsia="en-GB"/>
        </w:rPr>
        <w:t xml:space="preserve">Insufficient data were available to assess the proportion of patients who had prolonged treatment breaks, such as the five year break required by the PBS restrictions for patients who have failed to demonstrate treatment with three biologic agents.  </w:t>
      </w:r>
    </w:p>
    <w:p w:rsidR="00C0529A" w:rsidRDefault="0030083E" w:rsidP="00DF0266">
      <w:pPr>
        <w:pStyle w:val="Heading3"/>
        <w:spacing w:before="240" w:after="200"/>
        <w:rPr>
          <w:lang w:eastAsia="en-GB"/>
        </w:rPr>
      </w:pPr>
      <w:bookmarkStart w:id="137" w:name="_Toc501632378"/>
      <w:r>
        <w:rPr>
          <w:lang w:eastAsia="en-GB"/>
        </w:rPr>
        <w:t xml:space="preserve">3.5.2 </w:t>
      </w:r>
      <w:r w:rsidR="00C0529A">
        <w:rPr>
          <w:lang w:eastAsia="en-GB"/>
        </w:rPr>
        <w:t xml:space="preserve">Comparison of PBS utilisation with </w:t>
      </w:r>
      <w:r w:rsidR="00854D3D">
        <w:rPr>
          <w:lang w:eastAsia="en-GB"/>
        </w:rPr>
        <w:t>clinical guidelines</w:t>
      </w:r>
      <w:bookmarkEnd w:id="137"/>
    </w:p>
    <w:p w:rsidR="00C0529A" w:rsidRPr="00C0529A" w:rsidRDefault="00CE557E" w:rsidP="00C0529A">
      <w:r>
        <w:t>Overall c</w:t>
      </w:r>
      <w:r w:rsidR="00C0529A">
        <w:t xml:space="preserve">ontinuation with biologics was high, with 80% of patients </w:t>
      </w:r>
      <w:r w:rsidR="00D75EE7">
        <w:t>remain</w:t>
      </w:r>
      <w:r w:rsidR="001F7621">
        <w:t>ed</w:t>
      </w:r>
      <w:r w:rsidR="00D75EE7">
        <w:t xml:space="preserve"> on continuous treatment with</w:t>
      </w:r>
      <w:r w:rsidR="00C0529A">
        <w:t xml:space="preserve"> biologic</w:t>
      </w:r>
      <w:r w:rsidR="00D75EE7">
        <w:t>s</w:t>
      </w:r>
      <w:r w:rsidR="009E4531">
        <w:t xml:space="preserve"> at</w:t>
      </w:r>
      <w:r w:rsidR="00C0529A">
        <w:t xml:space="preserve"> 18 months</w:t>
      </w:r>
      <w:r w:rsidR="001F7621">
        <w:t>, either with their first biologic or switching to another one</w:t>
      </w:r>
      <w:r w:rsidR="00C0529A">
        <w:t xml:space="preserve">. </w:t>
      </w:r>
      <w:r w:rsidR="00C0529A" w:rsidRPr="00C0529A">
        <w:t>This was broadly consistent with treatment guidelines that recommend continued treatment if an adequate response is achieved. The definition of an adequate response differed between the guidelines.</w:t>
      </w:r>
      <w:r w:rsidR="0086364F">
        <w:t xml:space="preserve"> PBS prescription dispensing data could not be used to verify whether patients used other therapies prior to starting biologics, met psoriasis severity criteria for biologic treatment, or had an adequate response to continue treatment. </w:t>
      </w:r>
    </w:p>
    <w:p w:rsidR="00DF0266" w:rsidRDefault="0030083E" w:rsidP="00DF0266">
      <w:pPr>
        <w:pStyle w:val="Heading3"/>
        <w:keepNext w:val="0"/>
        <w:keepLines w:val="0"/>
        <w:widowControl w:val="0"/>
        <w:spacing w:before="240" w:after="200"/>
        <w:rPr>
          <w:lang w:eastAsia="en-GB"/>
        </w:rPr>
      </w:pPr>
      <w:bookmarkStart w:id="138" w:name="_Toc501632379"/>
      <w:r>
        <w:rPr>
          <w:lang w:eastAsia="en-GB"/>
        </w:rPr>
        <w:t xml:space="preserve">3.5.3 </w:t>
      </w:r>
      <w:r w:rsidR="00C0529A">
        <w:rPr>
          <w:lang w:eastAsia="en-GB"/>
        </w:rPr>
        <w:t>C</w:t>
      </w:r>
      <w:r w:rsidR="00071F2B">
        <w:rPr>
          <w:lang w:eastAsia="en-GB"/>
        </w:rPr>
        <w:t>omparison of PBS utilisation with clinical evidence</w:t>
      </w:r>
      <w:bookmarkEnd w:id="136"/>
      <w:bookmarkEnd w:id="138"/>
    </w:p>
    <w:p w:rsidR="00071F2B" w:rsidRPr="00350982" w:rsidRDefault="0086184A" w:rsidP="00350982">
      <w:r>
        <w:t xml:space="preserve">Table </w:t>
      </w:r>
      <w:r>
        <w:rPr>
          <w:noProof/>
        </w:rPr>
        <w:t>22</w:t>
      </w:r>
      <w:r w:rsidR="00071F2B" w:rsidRPr="00350982">
        <w:t xml:space="preserve"> compares the rate of biologic continuation at six months with the proportion of patients who achieved a PAS</w:t>
      </w:r>
      <w:r w:rsidR="0030083E" w:rsidRPr="00350982">
        <w:t xml:space="preserve"> </w:t>
      </w:r>
      <w:r w:rsidR="00071F2B" w:rsidRPr="00350982">
        <w:t xml:space="preserve">I75 response from the key clinical trials. </w:t>
      </w:r>
    </w:p>
    <w:p w:rsidR="00594A47" w:rsidRDefault="00594A47">
      <w:pPr>
        <w:spacing w:line="276" w:lineRule="auto"/>
        <w:rPr>
          <w:rFonts w:eastAsiaTheme="minorEastAsia" w:cs="Calibri"/>
          <w:b/>
          <w:szCs w:val="24"/>
          <w:lang w:val="en-US" w:eastAsia="en-US"/>
        </w:rPr>
      </w:pPr>
      <w:bookmarkStart w:id="139" w:name="_Ref492996687"/>
      <w:r>
        <w:br w:type="page"/>
      </w:r>
    </w:p>
    <w:p w:rsidR="00071F2B" w:rsidRDefault="00071F2B" w:rsidP="00594A47">
      <w:pPr>
        <w:pStyle w:val="MDTabCaption"/>
        <w:keepLines/>
      </w:pPr>
      <w:bookmarkStart w:id="140" w:name="_Toc501632416"/>
      <w:r>
        <w:t xml:space="preserve">Table </w:t>
      </w:r>
      <w:r w:rsidR="0086184A">
        <w:rPr>
          <w:noProof/>
        </w:rPr>
        <w:t>22</w:t>
      </w:r>
      <w:bookmarkEnd w:id="139"/>
      <w:r>
        <w:t>:</w:t>
      </w:r>
      <w:r w:rsidRPr="00184080">
        <w:t xml:space="preserve"> </w:t>
      </w:r>
      <w:r w:rsidR="00AE3959">
        <w:t xml:space="preserve">Continuation of </w:t>
      </w:r>
      <w:r w:rsidR="00D57098">
        <w:t xml:space="preserve">first </w:t>
      </w:r>
      <w:r w:rsidR="00AE3959">
        <w:t>biologics compared with trial PASI 75 outcomes</w:t>
      </w:r>
      <w:bookmarkEnd w:id="140"/>
    </w:p>
    <w:tbl>
      <w:tblPr>
        <w:tblStyle w:val="TableGrid72"/>
        <w:tblpPr w:leftFromText="180" w:rightFromText="180" w:vertAnchor="text" w:horzAnchor="margin" w:tblpY="43"/>
        <w:tblW w:w="5000" w:type="pct"/>
        <w:tblLook w:val="04A0" w:firstRow="1" w:lastRow="0" w:firstColumn="1" w:lastColumn="0" w:noHBand="0" w:noVBand="1"/>
        <w:tblCaption w:val="Continuation of biologics compared with trial PASI 75 outcomes"/>
      </w:tblPr>
      <w:tblGrid>
        <w:gridCol w:w="1406"/>
        <w:gridCol w:w="1787"/>
        <w:gridCol w:w="2033"/>
        <w:gridCol w:w="2035"/>
        <w:gridCol w:w="1981"/>
      </w:tblGrid>
      <w:tr w:rsidR="008E108D" w:rsidRPr="0085778C" w:rsidTr="003526C3">
        <w:trPr>
          <w:cantSplit/>
          <w:trHeight w:val="353"/>
          <w:tblHeader/>
        </w:trPr>
        <w:tc>
          <w:tcPr>
            <w:tcW w:w="760" w:type="pct"/>
            <w:tcBorders>
              <w:bottom w:val="single" w:sz="4" w:space="0" w:color="auto"/>
            </w:tcBorders>
            <w:shd w:val="clear" w:color="auto" w:fill="BFBFBF"/>
            <w:vAlign w:val="center"/>
          </w:tcPr>
          <w:p w:rsidR="008E108D" w:rsidRPr="00B13FFE" w:rsidRDefault="008E108D" w:rsidP="00594A47">
            <w:pPr>
              <w:pStyle w:val="Tableheading-row"/>
              <w:keepNext/>
              <w:keepLines/>
              <w:rPr>
                <w:rFonts w:eastAsia="Times New Roman" w:cs="Times New Roman"/>
                <w:szCs w:val="20"/>
              </w:rPr>
            </w:pPr>
            <w:r>
              <w:rPr>
                <w:szCs w:val="20"/>
              </w:rPr>
              <w:t>Biologic</w:t>
            </w:r>
          </w:p>
        </w:tc>
        <w:tc>
          <w:tcPr>
            <w:tcW w:w="967" w:type="pct"/>
            <w:tcBorders>
              <w:bottom w:val="single" w:sz="4" w:space="0" w:color="auto"/>
            </w:tcBorders>
            <w:shd w:val="clear" w:color="auto" w:fill="BFBFBF"/>
            <w:vAlign w:val="center"/>
          </w:tcPr>
          <w:p w:rsidR="008E108D" w:rsidRDefault="008E108D" w:rsidP="00594A47">
            <w:pPr>
              <w:keepNext/>
              <w:keepLines/>
              <w:autoSpaceDE w:val="0"/>
              <w:autoSpaceDN w:val="0"/>
              <w:adjustRightInd w:val="0"/>
              <w:spacing w:beforeLines="60" w:before="144" w:afterLines="60" w:after="144"/>
              <w:contextualSpacing/>
              <w:jc w:val="center"/>
              <w:rPr>
                <w:rFonts w:cs="Calibri"/>
                <w:b/>
                <w:sz w:val="20"/>
                <w:szCs w:val="20"/>
              </w:rPr>
            </w:pPr>
            <w:r w:rsidRPr="0085778C">
              <w:rPr>
                <w:rFonts w:cs="Calibri"/>
                <w:b/>
                <w:sz w:val="20"/>
                <w:szCs w:val="20"/>
              </w:rPr>
              <w:t xml:space="preserve">PBS continuation </w:t>
            </w:r>
            <w:r w:rsidRPr="0085778C">
              <w:rPr>
                <w:rFonts w:cs="Calibri"/>
                <w:b/>
                <w:sz w:val="20"/>
                <w:szCs w:val="20"/>
              </w:rPr>
              <w:br/>
              <w:t>(6 months</w:t>
            </w:r>
            <w:r>
              <w:rPr>
                <w:rFonts w:cs="Calibri"/>
                <w:b/>
                <w:sz w:val="20"/>
                <w:szCs w:val="20"/>
              </w:rPr>
              <w:t xml:space="preserve"> </w:t>
            </w:r>
          </w:p>
          <w:p w:rsidR="008E108D" w:rsidRPr="0085778C" w:rsidRDefault="008E108D" w:rsidP="00594A47">
            <w:pPr>
              <w:keepNext/>
              <w:keepLines/>
              <w:autoSpaceDE w:val="0"/>
              <w:autoSpaceDN w:val="0"/>
              <w:adjustRightInd w:val="0"/>
              <w:spacing w:beforeLines="60" w:before="144" w:afterLines="60" w:after="144"/>
              <w:contextualSpacing/>
              <w:jc w:val="center"/>
              <w:rPr>
                <w:rFonts w:cs="Calibri"/>
                <w:b/>
                <w:sz w:val="20"/>
                <w:szCs w:val="20"/>
              </w:rPr>
            </w:pPr>
            <w:r>
              <w:rPr>
                <w:rFonts w:cs="Calibri"/>
                <w:b/>
                <w:sz w:val="20"/>
                <w:szCs w:val="20"/>
              </w:rPr>
              <w:t>≈ 24 weeks</w:t>
            </w:r>
            <w:r w:rsidRPr="0085778C">
              <w:rPr>
                <w:rFonts w:cs="Calibri"/>
                <w:b/>
                <w:sz w:val="20"/>
                <w:szCs w:val="20"/>
              </w:rPr>
              <w:t>)</w:t>
            </w:r>
          </w:p>
        </w:tc>
        <w:tc>
          <w:tcPr>
            <w:tcW w:w="1100" w:type="pct"/>
            <w:tcBorders>
              <w:bottom w:val="single" w:sz="4" w:space="0" w:color="auto"/>
            </w:tcBorders>
            <w:shd w:val="clear" w:color="auto" w:fill="BFBFBF"/>
            <w:vAlign w:val="center"/>
          </w:tcPr>
          <w:p w:rsidR="008E108D" w:rsidRPr="0085778C" w:rsidRDefault="008E108D" w:rsidP="00594A47">
            <w:pPr>
              <w:keepNext/>
              <w:keepLines/>
              <w:autoSpaceDE w:val="0"/>
              <w:autoSpaceDN w:val="0"/>
              <w:adjustRightInd w:val="0"/>
              <w:spacing w:beforeLines="60" w:before="144" w:afterLines="60" w:after="144"/>
              <w:contextualSpacing/>
              <w:jc w:val="center"/>
              <w:rPr>
                <w:rFonts w:cs="Calibri"/>
                <w:b/>
                <w:sz w:val="20"/>
                <w:szCs w:val="20"/>
              </w:rPr>
            </w:pPr>
            <w:r w:rsidRPr="0085778C">
              <w:rPr>
                <w:rFonts w:cs="Calibri"/>
                <w:b/>
                <w:sz w:val="20"/>
                <w:szCs w:val="20"/>
              </w:rPr>
              <w:t xml:space="preserve">PASI 75 response </w:t>
            </w:r>
            <w:r w:rsidRPr="0085778C">
              <w:rPr>
                <w:rFonts w:cs="Calibri"/>
                <w:b/>
                <w:sz w:val="20"/>
                <w:szCs w:val="20"/>
              </w:rPr>
              <w:br/>
              <w:t>(time)</w:t>
            </w:r>
          </w:p>
        </w:tc>
        <w:tc>
          <w:tcPr>
            <w:tcW w:w="1101" w:type="pct"/>
            <w:tcBorders>
              <w:bottom w:val="single" w:sz="4" w:space="0" w:color="auto"/>
            </w:tcBorders>
            <w:shd w:val="clear" w:color="auto" w:fill="BFBFBF"/>
            <w:vAlign w:val="center"/>
          </w:tcPr>
          <w:p w:rsidR="008E108D" w:rsidRDefault="008E108D" w:rsidP="00594A47">
            <w:pPr>
              <w:keepNext/>
              <w:keepLines/>
              <w:autoSpaceDE w:val="0"/>
              <w:autoSpaceDN w:val="0"/>
              <w:adjustRightInd w:val="0"/>
              <w:spacing w:beforeLines="60" w:before="144" w:afterLines="60" w:after="144"/>
              <w:contextualSpacing/>
              <w:jc w:val="center"/>
              <w:rPr>
                <w:rFonts w:cs="Calibri"/>
                <w:b/>
                <w:sz w:val="20"/>
                <w:szCs w:val="20"/>
              </w:rPr>
            </w:pPr>
            <w:r w:rsidRPr="0085778C">
              <w:rPr>
                <w:rFonts w:cs="Calibri"/>
                <w:b/>
                <w:sz w:val="20"/>
                <w:szCs w:val="20"/>
              </w:rPr>
              <w:t xml:space="preserve">PBS continuation </w:t>
            </w:r>
            <w:r w:rsidRPr="0085778C">
              <w:rPr>
                <w:rFonts w:cs="Calibri"/>
                <w:b/>
                <w:sz w:val="20"/>
                <w:szCs w:val="20"/>
              </w:rPr>
              <w:br/>
              <w:t>(12 months</w:t>
            </w:r>
          </w:p>
          <w:p w:rsidR="008E108D" w:rsidRPr="0085778C" w:rsidRDefault="008E108D" w:rsidP="00594A47">
            <w:pPr>
              <w:keepNext/>
              <w:keepLines/>
              <w:autoSpaceDE w:val="0"/>
              <w:autoSpaceDN w:val="0"/>
              <w:adjustRightInd w:val="0"/>
              <w:spacing w:beforeLines="60" w:before="144" w:afterLines="60" w:after="144"/>
              <w:contextualSpacing/>
              <w:jc w:val="center"/>
              <w:rPr>
                <w:rFonts w:cs="Calibri"/>
                <w:b/>
                <w:sz w:val="20"/>
                <w:szCs w:val="20"/>
              </w:rPr>
            </w:pPr>
            <w:r>
              <w:rPr>
                <w:rFonts w:cs="Calibri"/>
                <w:b/>
                <w:sz w:val="20"/>
                <w:szCs w:val="20"/>
              </w:rPr>
              <w:t>≈52 weeks</w:t>
            </w:r>
            <w:r w:rsidRPr="0085778C">
              <w:rPr>
                <w:rFonts w:cs="Calibri"/>
                <w:b/>
                <w:sz w:val="20"/>
                <w:szCs w:val="20"/>
              </w:rPr>
              <w:t>)</w:t>
            </w:r>
          </w:p>
        </w:tc>
        <w:tc>
          <w:tcPr>
            <w:tcW w:w="1072" w:type="pct"/>
            <w:tcBorders>
              <w:bottom w:val="single" w:sz="4" w:space="0" w:color="auto"/>
            </w:tcBorders>
            <w:shd w:val="clear" w:color="auto" w:fill="BFBFBF"/>
            <w:vAlign w:val="center"/>
          </w:tcPr>
          <w:p w:rsidR="008E108D" w:rsidRPr="0085778C" w:rsidRDefault="008E108D" w:rsidP="00594A47">
            <w:pPr>
              <w:keepNext/>
              <w:keepLines/>
              <w:autoSpaceDE w:val="0"/>
              <w:autoSpaceDN w:val="0"/>
              <w:adjustRightInd w:val="0"/>
              <w:spacing w:beforeLines="60" w:before="144" w:afterLines="60" w:after="144"/>
              <w:contextualSpacing/>
              <w:jc w:val="center"/>
              <w:rPr>
                <w:rFonts w:cs="Calibri"/>
                <w:b/>
                <w:sz w:val="20"/>
                <w:szCs w:val="20"/>
              </w:rPr>
            </w:pPr>
            <w:r w:rsidRPr="0085778C">
              <w:rPr>
                <w:rFonts w:cs="Calibri"/>
                <w:b/>
                <w:sz w:val="20"/>
                <w:szCs w:val="20"/>
              </w:rPr>
              <w:t>PASI 75 response (time)</w:t>
            </w:r>
          </w:p>
        </w:tc>
      </w:tr>
      <w:tr w:rsidR="008E108D" w:rsidRPr="0085778C" w:rsidTr="003526C3">
        <w:trPr>
          <w:cantSplit/>
          <w:trHeight w:val="353"/>
          <w:tblHeader/>
        </w:trPr>
        <w:tc>
          <w:tcPr>
            <w:tcW w:w="760" w:type="pct"/>
            <w:vAlign w:val="center"/>
          </w:tcPr>
          <w:p w:rsidR="008E108D" w:rsidRPr="0085778C" w:rsidRDefault="008E108D" w:rsidP="00594A47">
            <w:pPr>
              <w:keepNext/>
              <w:keepLines/>
              <w:shd w:val="clear" w:color="auto" w:fill="FFFFFF"/>
              <w:spacing w:before="60" w:after="60"/>
              <w:rPr>
                <w:rFonts w:cs="Arial"/>
                <w:sz w:val="20"/>
                <w:szCs w:val="20"/>
              </w:rPr>
            </w:pPr>
            <w:r w:rsidRPr="0085778C">
              <w:rPr>
                <w:rFonts w:cs="Arial"/>
                <w:sz w:val="20"/>
                <w:szCs w:val="20"/>
              </w:rPr>
              <w:t>Adalimumab</w:t>
            </w:r>
          </w:p>
        </w:tc>
        <w:tc>
          <w:tcPr>
            <w:tcW w:w="967" w:type="pct"/>
            <w:vAlign w:val="center"/>
          </w:tcPr>
          <w:p w:rsidR="008E108D" w:rsidRPr="0085778C" w:rsidRDefault="008E108D" w:rsidP="00594A47">
            <w:pPr>
              <w:keepNext/>
              <w:keepLines/>
              <w:autoSpaceDE w:val="0"/>
              <w:autoSpaceDN w:val="0"/>
              <w:adjustRightInd w:val="0"/>
              <w:spacing w:before="60" w:after="60"/>
              <w:jc w:val="center"/>
              <w:rPr>
                <w:rFonts w:eastAsia="MS Mincho" w:cs="Calibri"/>
                <w:sz w:val="20"/>
                <w:szCs w:val="20"/>
              </w:rPr>
            </w:pPr>
            <w:r w:rsidRPr="0085778C">
              <w:rPr>
                <w:rFonts w:eastAsia="MS Mincho" w:cs="Calibri"/>
                <w:sz w:val="20"/>
                <w:szCs w:val="20"/>
              </w:rPr>
              <w:t>77%</w:t>
            </w:r>
          </w:p>
        </w:tc>
        <w:tc>
          <w:tcPr>
            <w:tcW w:w="1100" w:type="pct"/>
            <w:vAlign w:val="center"/>
          </w:tcPr>
          <w:p w:rsidR="008E108D" w:rsidRPr="0085778C" w:rsidRDefault="008E108D" w:rsidP="00594A47">
            <w:pPr>
              <w:keepNext/>
              <w:keepLines/>
              <w:autoSpaceDE w:val="0"/>
              <w:autoSpaceDN w:val="0"/>
              <w:adjustRightInd w:val="0"/>
              <w:spacing w:before="60" w:after="60"/>
              <w:jc w:val="center"/>
              <w:rPr>
                <w:rFonts w:eastAsia="MS Mincho" w:cs="Calibri"/>
                <w:sz w:val="20"/>
                <w:szCs w:val="20"/>
              </w:rPr>
            </w:pPr>
            <w:r w:rsidRPr="0085778C">
              <w:rPr>
                <w:rFonts w:eastAsia="MS Mincho" w:cs="Calibri"/>
                <w:sz w:val="20"/>
                <w:szCs w:val="20"/>
              </w:rPr>
              <w:t>67%</w:t>
            </w:r>
            <w:r w:rsidRPr="0085778C">
              <w:rPr>
                <w:rFonts w:eastAsia="MS Mincho" w:cs="Calibri"/>
                <w:sz w:val="20"/>
                <w:szCs w:val="20"/>
                <w:vertAlign w:val="superscript"/>
              </w:rPr>
              <w:t xml:space="preserve"> a </w:t>
            </w:r>
            <w:r w:rsidRPr="0085778C">
              <w:rPr>
                <w:rFonts w:eastAsia="MS Mincho" w:cs="Calibri"/>
                <w:sz w:val="20"/>
                <w:szCs w:val="20"/>
              </w:rPr>
              <w:t>-70%</w:t>
            </w:r>
            <w:r w:rsidRPr="0085778C">
              <w:rPr>
                <w:rFonts w:eastAsia="MS Mincho" w:cs="Calibri"/>
                <w:sz w:val="20"/>
                <w:szCs w:val="20"/>
                <w:vertAlign w:val="superscript"/>
              </w:rPr>
              <w:t>b</w:t>
            </w:r>
            <w:r w:rsidRPr="0085778C">
              <w:rPr>
                <w:rFonts w:eastAsia="MS Mincho" w:cs="Calibri"/>
                <w:sz w:val="20"/>
                <w:szCs w:val="20"/>
              </w:rPr>
              <w:t xml:space="preserve"> </w:t>
            </w:r>
            <w:r w:rsidRPr="0085778C">
              <w:rPr>
                <w:rFonts w:eastAsia="MS Mincho" w:cs="Calibri"/>
                <w:sz w:val="20"/>
                <w:szCs w:val="20"/>
                <w:vertAlign w:val="superscript"/>
              </w:rPr>
              <w:br/>
            </w:r>
            <w:r w:rsidRPr="0085778C">
              <w:rPr>
                <w:rFonts w:eastAsia="MS Mincho" w:cs="Calibri"/>
                <w:sz w:val="20"/>
                <w:szCs w:val="20"/>
              </w:rPr>
              <w:t>(24 weeks)</w:t>
            </w:r>
          </w:p>
        </w:tc>
        <w:tc>
          <w:tcPr>
            <w:tcW w:w="1101" w:type="pct"/>
            <w:vAlign w:val="center"/>
          </w:tcPr>
          <w:p w:rsidR="008E108D" w:rsidRPr="0085778C" w:rsidRDefault="008E108D" w:rsidP="00594A47">
            <w:pPr>
              <w:keepNext/>
              <w:keepLines/>
              <w:autoSpaceDE w:val="0"/>
              <w:autoSpaceDN w:val="0"/>
              <w:adjustRightInd w:val="0"/>
              <w:spacing w:before="60" w:after="60"/>
              <w:jc w:val="center"/>
              <w:rPr>
                <w:rFonts w:eastAsia="MS Mincho" w:cs="Calibri"/>
                <w:sz w:val="20"/>
                <w:szCs w:val="20"/>
              </w:rPr>
            </w:pPr>
            <w:r w:rsidRPr="0085778C">
              <w:rPr>
                <w:rFonts w:eastAsia="MS Mincho" w:cs="Calibri"/>
                <w:sz w:val="20"/>
                <w:szCs w:val="20"/>
              </w:rPr>
              <w:t>62%</w:t>
            </w:r>
          </w:p>
        </w:tc>
        <w:tc>
          <w:tcPr>
            <w:tcW w:w="1072" w:type="pct"/>
          </w:tcPr>
          <w:p w:rsidR="008E108D" w:rsidRPr="0085778C" w:rsidRDefault="008E108D" w:rsidP="00594A47">
            <w:pPr>
              <w:keepNext/>
              <w:keepLines/>
              <w:autoSpaceDE w:val="0"/>
              <w:autoSpaceDN w:val="0"/>
              <w:adjustRightInd w:val="0"/>
              <w:spacing w:before="60" w:after="60"/>
              <w:jc w:val="center"/>
              <w:rPr>
                <w:rFonts w:eastAsia="MS Mincho" w:cs="Calibri"/>
                <w:sz w:val="20"/>
                <w:szCs w:val="20"/>
              </w:rPr>
            </w:pPr>
            <w:r w:rsidRPr="0085778C">
              <w:rPr>
                <w:rFonts w:eastAsia="MS Mincho" w:cs="Calibri"/>
                <w:sz w:val="20"/>
                <w:szCs w:val="20"/>
              </w:rPr>
              <w:t xml:space="preserve">67% </w:t>
            </w:r>
            <w:r w:rsidRPr="0085778C">
              <w:rPr>
                <w:rFonts w:eastAsia="MS Mincho" w:cs="Calibri"/>
                <w:sz w:val="20"/>
                <w:szCs w:val="20"/>
                <w:vertAlign w:val="superscript"/>
              </w:rPr>
              <w:t xml:space="preserve">a </w:t>
            </w:r>
            <w:r w:rsidRPr="0085778C">
              <w:rPr>
                <w:rFonts w:eastAsia="MS Mincho" w:cs="Calibri"/>
                <w:sz w:val="20"/>
                <w:szCs w:val="20"/>
                <w:vertAlign w:val="superscript"/>
              </w:rPr>
              <w:br/>
            </w:r>
            <w:r w:rsidRPr="0085778C">
              <w:rPr>
                <w:rFonts w:eastAsia="MS Mincho" w:cs="Calibri"/>
                <w:sz w:val="20"/>
                <w:szCs w:val="20"/>
              </w:rPr>
              <w:t>(48 weeks)</w:t>
            </w:r>
          </w:p>
        </w:tc>
      </w:tr>
      <w:tr w:rsidR="008E108D" w:rsidRPr="0085778C" w:rsidTr="003526C3">
        <w:trPr>
          <w:cantSplit/>
          <w:trHeight w:val="353"/>
          <w:tblHeader/>
        </w:trPr>
        <w:tc>
          <w:tcPr>
            <w:tcW w:w="760" w:type="pct"/>
            <w:vAlign w:val="center"/>
          </w:tcPr>
          <w:p w:rsidR="008E108D" w:rsidRPr="0085778C" w:rsidRDefault="008E108D" w:rsidP="00594A47">
            <w:pPr>
              <w:keepNext/>
              <w:keepLines/>
              <w:shd w:val="clear" w:color="auto" w:fill="FFFFFF"/>
              <w:spacing w:before="60" w:after="60"/>
              <w:rPr>
                <w:rFonts w:cs="Arial"/>
                <w:sz w:val="20"/>
                <w:szCs w:val="20"/>
              </w:rPr>
            </w:pPr>
            <w:r w:rsidRPr="0085778C">
              <w:rPr>
                <w:rFonts w:cs="Arial"/>
                <w:sz w:val="20"/>
                <w:szCs w:val="20"/>
              </w:rPr>
              <w:t>Etanercept</w:t>
            </w:r>
            <w:r w:rsidR="00112E28">
              <w:rPr>
                <w:rFonts w:cs="Arial"/>
                <w:sz w:val="20"/>
                <w:szCs w:val="20"/>
              </w:rPr>
              <w:t xml:space="preserve"> (adults only)</w:t>
            </w:r>
          </w:p>
        </w:tc>
        <w:tc>
          <w:tcPr>
            <w:tcW w:w="967" w:type="pct"/>
            <w:vAlign w:val="center"/>
          </w:tcPr>
          <w:p w:rsidR="008E108D" w:rsidRPr="0085778C" w:rsidRDefault="00112E28" w:rsidP="00594A47">
            <w:pPr>
              <w:keepNext/>
              <w:keepLines/>
              <w:autoSpaceDE w:val="0"/>
              <w:autoSpaceDN w:val="0"/>
              <w:adjustRightInd w:val="0"/>
              <w:spacing w:before="60" w:after="60"/>
              <w:jc w:val="center"/>
              <w:rPr>
                <w:rFonts w:eastAsia="MS Mincho" w:cs="Calibri"/>
                <w:sz w:val="20"/>
                <w:szCs w:val="20"/>
              </w:rPr>
            </w:pPr>
            <w:r>
              <w:rPr>
                <w:rFonts w:eastAsia="MS Mincho" w:cs="Calibri"/>
                <w:sz w:val="20"/>
                <w:szCs w:val="20"/>
              </w:rPr>
              <w:t>19</w:t>
            </w:r>
            <w:r w:rsidR="008E108D" w:rsidRPr="0085778C">
              <w:rPr>
                <w:rFonts w:eastAsia="MS Mincho" w:cs="Calibri"/>
                <w:sz w:val="20"/>
                <w:szCs w:val="20"/>
              </w:rPr>
              <w:t>%</w:t>
            </w:r>
          </w:p>
        </w:tc>
        <w:tc>
          <w:tcPr>
            <w:tcW w:w="1100" w:type="pct"/>
          </w:tcPr>
          <w:p w:rsidR="008E108D" w:rsidRPr="0085778C" w:rsidRDefault="008E108D" w:rsidP="00594A47">
            <w:pPr>
              <w:keepNext/>
              <w:keepLines/>
              <w:autoSpaceDE w:val="0"/>
              <w:autoSpaceDN w:val="0"/>
              <w:adjustRightInd w:val="0"/>
              <w:spacing w:before="60" w:after="60"/>
              <w:jc w:val="center"/>
              <w:rPr>
                <w:rFonts w:eastAsia="MS Mincho" w:cs="Calibri"/>
                <w:sz w:val="20"/>
                <w:szCs w:val="20"/>
              </w:rPr>
            </w:pPr>
            <w:r w:rsidRPr="0085778C">
              <w:rPr>
                <w:rFonts w:eastAsia="MS Mincho" w:cs="Calibri"/>
                <w:sz w:val="20"/>
                <w:szCs w:val="20"/>
              </w:rPr>
              <w:t>44% - 62%</w:t>
            </w:r>
          </w:p>
          <w:p w:rsidR="008E108D" w:rsidRPr="0085778C" w:rsidRDefault="008E108D" w:rsidP="00594A47">
            <w:pPr>
              <w:keepNext/>
              <w:keepLines/>
              <w:autoSpaceDE w:val="0"/>
              <w:autoSpaceDN w:val="0"/>
              <w:adjustRightInd w:val="0"/>
              <w:spacing w:before="60" w:after="60"/>
              <w:jc w:val="center"/>
              <w:rPr>
                <w:rFonts w:eastAsia="MS Mincho" w:cs="Calibri"/>
                <w:sz w:val="20"/>
                <w:szCs w:val="20"/>
                <w:vertAlign w:val="superscript"/>
              </w:rPr>
            </w:pPr>
            <w:r w:rsidRPr="0085778C">
              <w:rPr>
                <w:rFonts w:eastAsia="MS Mincho" w:cs="Calibri"/>
                <w:sz w:val="20"/>
                <w:szCs w:val="20"/>
              </w:rPr>
              <w:t xml:space="preserve">(24 weeks) </w:t>
            </w:r>
            <w:r w:rsidRPr="0085778C">
              <w:rPr>
                <w:rFonts w:eastAsia="MS Mincho" w:cs="Calibri"/>
                <w:sz w:val="20"/>
                <w:szCs w:val="20"/>
                <w:vertAlign w:val="superscript"/>
              </w:rPr>
              <w:t>c</w:t>
            </w:r>
          </w:p>
        </w:tc>
        <w:tc>
          <w:tcPr>
            <w:tcW w:w="1101" w:type="pct"/>
            <w:vAlign w:val="center"/>
          </w:tcPr>
          <w:p w:rsidR="008E108D" w:rsidRPr="0085778C" w:rsidRDefault="00C44462" w:rsidP="00594A47">
            <w:pPr>
              <w:keepNext/>
              <w:keepLines/>
              <w:autoSpaceDE w:val="0"/>
              <w:autoSpaceDN w:val="0"/>
              <w:adjustRightInd w:val="0"/>
              <w:spacing w:before="60" w:after="60"/>
              <w:jc w:val="center"/>
              <w:rPr>
                <w:rFonts w:eastAsia="MS Mincho" w:cs="Calibri"/>
                <w:sz w:val="20"/>
                <w:szCs w:val="20"/>
              </w:rPr>
            </w:pPr>
            <w:r>
              <w:rPr>
                <w:rFonts w:eastAsia="MS Mincho" w:cs="Calibri"/>
                <w:sz w:val="20"/>
                <w:szCs w:val="20"/>
              </w:rPr>
              <w:t>13</w:t>
            </w:r>
            <w:r w:rsidR="008E108D" w:rsidRPr="0085778C">
              <w:rPr>
                <w:rFonts w:eastAsia="MS Mincho" w:cs="Calibri"/>
                <w:sz w:val="20"/>
                <w:szCs w:val="20"/>
              </w:rPr>
              <w:t>%</w:t>
            </w:r>
          </w:p>
        </w:tc>
        <w:tc>
          <w:tcPr>
            <w:tcW w:w="1072" w:type="pct"/>
            <w:vAlign w:val="center"/>
          </w:tcPr>
          <w:p w:rsidR="008E108D" w:rsidRPr="0085778C" w:rsidRDefault="008E108D" w:rsidP="00594A47">
            <w:pPr>
              <w:keepNext/>
              <w:keepLines/>
              <w:autoSpaceDE w:val="0"/>
              <w:autoSpaceDN w:val="0"/>
              <w:adjustRightInd w:val="0"/>
              <w:spacing w:before="60" w:after="60"/>
              <w:jc w:val="center"/>
              <w:rPr>
                <w:rFonts w:eastAsia="MS Mincho" w:cs="Calibri"/>
                <w:sz w:val="20"/>
                <w:szCs w:val="20"/>
              </w:rPr>
            </w:pPr>
            <w:r w:rsidRPr="0085778C">
              <w:rPr>
                <w:rFonts w:eastAsia="MS Mincho" w:cs="Calibri"/>
                <w:sz w:val="20"/>
                <w:szCs w:val="20"/>
              </w:rPr>
              <w:t>-</w:t>
            </w:r>
          </w:p>
        </w:tc>
      </w:tr>
      <w:tr w:rsidR="008E108D" w:rsidRPr="0085778C" w:rsidTr="003526C3">
        <w:trPr>
          <w:cantSplit/>
          <w:trHeight w:val="353"/>
          <w:tblHeader/>
        </w:trPr>
        <w:tc>
          <w:tcPr>
            <w:tcW w:w="760" w:type="pct"/>
            <w:vAlign w:val="center"/>
          </w:tcPr>
          <w:p w:rsidR="008E108D" w:rsidRPr="0085778C" w:rsidRDefault="008E108D" w:rsidP="00594A47">
            <w:pPr>
              <w:keepNext/>
              <w:keepLines/>
              <w:shd w:val="clear" w:color="auto" w:fill="FFFFFF"/>
              <w:spacing w:before="60" w:after="60"/>
              <w:rPr>
                <w:rFonts w:cs="Arial"/>
                <w:sz w:val="20"/>
                <w:szCs w:val="20"/>
              </w:rPr>
            </w:pPr>
            <w:r w:rsidRPr="0085778C">
              <w:rPr>
                <w:rFonts w:cs="Arial"/>
                <w:sz w:val="20"/>
                <w:szCs w:val="20"/>
              </w:rPr>
              <w:t>Infliximab</w:t>
            </w:r>
          </w:p>
        </w:tc>
        <w:tc>
          <w:tcPr>
            <w:tcW w:w="967" w:type="pct"/>
            <w:vAlign w:val="center"/>
          </w:tcPr>
          <w:p w:rsidR="008E108D" w:rsidRPr="0085778C" w:rsidRDefault="008E108D" w:rsidP="00594A47">
            <w:pPr>
              <w:keepNext/>
              <w:keepLines/>
              <w:autoSpaceDE w:val="0"/>
              <w:autoSpaceDN w:val="0"/>
              <w:adjustRightInd w:val="0"/>
              <w:spacing w:before="60" w:after="60"/>
              <w:jc w:val="center"/>
              <w:rPr>
                <w:rFonts w:eastAsia="MS Mincho" w:cs="Calibri"/>
                <w:sz w:val="20"/>
                <w:szCs w:val="20"/>
              </w:rPr>
            </w:pPr>
            <w:r w:rsidRPr="0085778C">
              <w:rPr>
                <w:rFonts w:eastAsia="MS Mincho" w:cs="Calibri"/>
                <w:sz w:val="20"/>
                <w:szCs w:val="20"/>
              </w:rPr>
              <w:t>100%</w:t>
            </w:r>
          </w:p>
        </w:tc>
        <w:tc>
          <w:tcPr>
            <w:tcW w:w="1100" w:type="pct"/>
          </w:tcPr>
          <w:p w:rsidR="008E108D" w:rsidRPr="0085778C" w:rsidRDefault="008E108D" w:rsidP="00594A47">
            <w:pPr>
              <w:keepNext/>
              <w:keepLines/>
              <w:autoSpaceDE w:val="0"/>
              <w:autoSpaceDN w:val="0"/>
              <w:adjustRightInd w:val="0"/>
              <w:spacing w:before="60" w:after="60"/>
              <w:jc w:val="center"/>
              <w:rPr>
                <w:rFonts w:eastAsia="MS Mincho" w:cs="Calibri"/>
                <w:sz w:val="20"/>
                <w:szCs w:val="20"/>
                <w:vertAlign w:val="superscript"/>
              </w:rPr>
            </w:pPr>
            <w:r w:rsidRPr="0085778C">
              <w:rPr>
                <w:rFonts w:eastAsia="MS Mincho" w:cs="Calibri"/>
                <w:sz w:val="20"/>
                <w:szCs w:val="20"/>
              </w:rPr>
              <w:t xml:space="preserve">77%- 82% </w:t>
            </w:r>
            <w:r w:rsidRPr="0085778C">
              <w:rPr>
                <w:rFonts w:eastAsia="MS Mincho" w:cs="Calibri"/>
                <w:sz w:val="20"/>
                <w:szCs w:val="20"/>
              </w:rPr>
              <w:br/>
              <w:t xml:space="preserve">(24 weeks) </w:t>
            </w:r>
            <w:r w:rsidRPr="0085778C">
              <w:rPr>
                <w:rFonts w:eastAsia="MS Mincho" w:cs="Calibri"/>
                <w:sz w:val="20"/>
                <w:szCs w:val="20"/>
                <w:vertAlign w:val="superscript"/>
              </w:rPr>
              <w:t>d</w:t>
            </w:r>
          </w:p>
        </w:tc>
        <w:tc>
          <w:tcPr>
            <w:tcW w:w="1101" w:type="pct"/>
            <w:vAlign w:val="center"/>
          </w:tcPr>
          <w:p w:rsidR="008E108D" w:rsidRPr="0085778C" w:rsidRDefault="008E108D" w:rsidP="00594A47">
            <w:pPr>
              <w:keepNext/>
              <w:keepLines/>
              <w:autoSpaceDE w:val="0"/>
              <w:autoSpaceDN w:val="0"/>
              <w:adjustRightInd w:val="0"/>
              <w:spacing w:before="60" w:after="60"/>
              <w:jc w:val="center"/>
              <w:rPr>
                <w:rFonts w:eastAsia="MS Mincho" w:cs="Calibri"/>
                <w:sz w:val="20"/>
                <w:szCs w:val="20"/>
              </w:rPr>
            </w:pPr>
            <w:r w:rsidRPr="0085778C">
              <w:rPr>
                <w:rFonts w:eastAsia="MS Mincho" w:cs="Calibri"/>
                <w:sz w:val="20"/>
                <w:szCs w:val="20"/>
              </w:rPr>
              <w:t>93%</w:t>
            </w:r>
          </w:p>
        </w:tc>
        <w:tc>
          <w:tcPr>
            <w:tcW w:w="1072" w:type="pct"/>
            <w:vAlign w:val="center"/>
          </w:tcPr>
          <w:p w:rsidR="008E108D" w:rsidRPr="0085778C" w:rsidRDefault="008E108D" w:rsidP="00594A47">
            <w:pPr>
              <w:keepNext/>
              <w:keepLines/>
              <w:autoSpaceDE w:val="0"/>
              <w:autoSpaceDN w:val="0"/>
              <w:adjustRightInd w:val="0"/>
              <w:spacing w:before="60" w:after="60"/>
              <w:jc w:val="center"/>
              <w:rPr>
                <w:rFonts w:eastAsia="MS Mincho" w:cs="Calibri"/>
                <w:sz w:val="20"/>
                <w:szCs w:val="20"/>
              </w:rPr>
            </w:pPr>
            <w:r w:rsidRPr="0085778C">
              <w:rPr>
                <w:rFonts w:eastAsia="MS Mincho" w:cs="Calibri"/>
                <w:sz w:val="20"/>
                <w:szCs w:val="20"/>
              </w:rPr>
              <w:t>55%</w:t>
            </w:r>
          </w:p>
          <w:p w:rsidR="008E108D" w:rsidRPr="0085778C" w:rsidRDefault="008E108D" w:rsidP="00594A47">
            <w:pPr>
              <w:keepNext/>
              <w:keepLines/>
              <w:autoSpaceDE w:val="0"/>
              <w:autoSpaceDN w:val="0"/>
              <w:adjustRightInd w:val="0"/>
              <w:spacing w:before="60" w:after="60"/>
              <w:jc w:val="center"/>
              <w:rPr>
                <w:rFonts w:eastAsia="MS Mincho" w:cs="Calibri"/>
                <w:sz w:val="20"/>
                <w:szCs w:val="20"/>
                <w:vertAlign w:val="superscript"/>
              </w:rPr>
            </w:pPr>
            <w:r w:rsidRPr="0085778C">
              <w:rPr>
                <w:rFonts w:eastAsia="MS Mincho" w:cs="Calibri"/>
                <w:sz w:val="20"/>
                <w:szCs w:val="20"/>
              </w:rPr>
              <w:t xml:space="preserve">(50 weeks) </w:t>
            </w:r>
            <w:r w:rsidRPr="0085778C">
              <w:rPr>
                <w:rFonts w:eastAsia="MS Mincho" w:cs="Calibri"/>
                <w:sz w:val="20"/>
                <w:szCs w:val="20"/>
                <w:vertAlign w:val="superscript"/>
              </w:rPr>
              <w:t>e</w:t>
            </w:r>
          </w:p>
        </w:tc>
      </w:tr>
      <w:tr w:rsidR="008E108D" w:rsidRPr="0085778C" w:rsidTr="003526C3">
        <w:trPr>
          <w:cantSplit/>
          <w:trHeight w:val="353"/>
          <w:tblHeader/>
        </w:trPr>
        <w:tc>
          <w:tcPr>
            <w:tcW w:w="760" w:type="pct"/>
            <w:vAlign w:val="center"/>
          </w:tcPr>
          <w:p w:rsidR="008E108D" w:rsidRPr="0085778C" w:rsidRDefault="008E108D" w:rsidP="00594A47">
            <w:pPr>
              <w:keepNext/>
              <w:keepLines/>
              <w:shd w:val="clear" w:color="auto" w:fill="FFFFFF"/>
              <w:spacing w:before="60" w:after="60"/>
              <w:rPr>
                <w:rFonts w:cs="Arial"/>
                <w:sz w:val="20"/>
                <w:szCs w:val="20"/>
              </w:rPr>
            </w:pPr>
            <w:r w:rsidRPr="0085778C">
              <w:rPr>
                <w:rFonts w:cs="Arial"/>
                <w:sz w:val="20"/>
                <w:szCs w:val="20"/>
              </w:rPr>
              <w:t>Ustekinumab</w:t>
            </w:r>
          </w:p>
        </w:tc>
        <w:tc>
          <w:tcPr>
            <w:tcW w:w="967" w:type="pct"/>
            <w:vAlign w:val="center"/>
          </w:tcPr>
          <w:p w:rsidR="008E108D" w:rsidRPr="0085778C" w:rsidRDefault="008E108D" w:rsidP="00594A47">
            <w:pPr>
              <w:keepNext/>
              <w:keepLines/>
              <w:autoSpaceDE w:val="0"/>
              <w:autoSpaceDN w:val="0"/>
              <w:adjustRightInd w:val="0"/>
              <w:spacing w:before="60" w:after="60"/>
              <w:jc w:val="center"/>
              <w:rPr>
                <w:rFonts w:eastAsia="MS Mincho" w:cs="Calibri"/>
                <w:sz w:val="20"/>
                <w:szCs w:val="20"/>
              </w:rPr>
            </w:pPr>
            <w:r w:rsidRPr="0085778C">
              <w:rPr>
                <w:rFonts w:eastAsia="MS Mincho" w:cs="Calibri"/>
                <w:sz w:val="20"/>
                <w:szCs w:val="20"/>
              </w:rPr>
              <w:t>97%</w:t>
            </w:r>
          </w:p>
        </w:tc>
        <w:tc>
          <w:tcPr>
            <w:tcW w:w="1100" w:type="pct"/>
          </w:tcPr>
          <w:p w:rsidR="008E108D" w:rsidRPr="0085778C" w:rsidRDefault="008E108D" w:rsidP="00594A47">
            <w:pPr>
              <w:keepNext/>
              <w:keepLines/>
              <w:autoSpaceDE w:val="0"/>
              <w:autoSpaceDN w:val="0"/>
              <w:adjustRightInd w:val="0"/>
              <w:spacing w:before="60" w:after="60"/>
              <w:jc w:val="center"/>
              <w:rPr>
                <w:rFonts w:eastAsia="MS Mincho" w:cs="Calibri"/>
                <w:sz w:val="20"/>
                <w:szCs w:val="20"/>
                <w:vertAlign w:val="superscript"/>
              </w:rPr>
            </w:pPr>
            <w:r w:rsidRPr="0085778C">
              <w:rPr>
                <w:rFonts w:eastAsia="MS Mincho" w:cs="Calibri"/>
                <w:sz w:val="20"/>
                <w:szCs w:val="20"/>
              </w:rPr>
              <w:t xml:space="preserve">≈80% </w:t>
            </w:r>
            <w:r w:rsidRPr="0085778C">
              <w:rPr>
                <w:rFonts w:eastAsia="MS Mincho" w:cs="Calibri"/>
                <w:sz w:val="20"/>
                <w:szCs w:val="20"/>
                <w:vertAlign w:val="superscript"/>
              </w:rPr>
              <w:t>f</w:t>
            </w:r>
          </w:p>
          <w:p w:rsidR="008E108D" w:rsidRPr="0085778C" w:rsidRDefault="008E108D" w:rsidP="00594A47">
            <w:pPr>
              <w:keepNext/>
              <w:keepLines/>
              <w:autoSpaceDE w:val="0"/>
              <w:autoSpaceDN w:val="0"/>
              <w:adjustRightInd w:val="0"/>
              <w:spacing w:before="60" w:after="60"/>
              <w:jc w:val="center"/>
              <w:rPr>
                <w:rFonts w:eastAsia="MS Mincho" w:cs="Calibri"/>
                <w:sz w:val="20"/>
                <w:szCs w:val="20"/>
              </w:rPr>
            </w:pPr>
            <w:r w:rsidRPr="0085778C">
              <w:rPr>
                <w:rFonts w:eastAsia="MS Mincho" w:cs="Calibri"/>
                <w:sz w:val="20"/>
                <w:szCs w:val="20"/>
              </w:rPr>
              <w:t>(24 weeks)</w:t>
            </w:r>
          </w:p>
        </w:tc>
        <w:tc>
          <w:tcPr>
            <w:tcW w:w="1101" w:type="pct"/>
            <w:vAlign w:val="center"/>
          </w:tcPr>
          <w:p w:rsidR="008E108D" w:rsidRPr="0085778C" w:rsidRDefault="008E108D" w:rsidP="00594A47">
            <w:pPr>
              <w:keepNext/>
              <w:keepLines/>
              <w:autoSpaceDE w:val="0"/>
              <w:autoSpaceDN w:val="0"/>
              <w:adjustRightInd w:val="0"/>
              <w:spacing w:before="60" w:after="60"/>
              <w:jc w:val="center"/>
              <w:rPr>
                <w:rFonts w:eastAsia="MS Mincho" w:cs="Calibri"/>
                <w:sz w:val="20"/>
                <w:szCs w:val="20"/>
              </w:rPr>
            </w:pPr>
            <w:r w:rsidRPr="0085778C">
              <w:rPr>
                <w:rFonts w:eastAsia="MS Mincho" w:cs="Calibri"/>
                <w:sz w:val="20"/>
                <w:szCs w:val="20"/>
              </w:rPr>
              <w:t>88%</w:t>
            </w:r>
          </w:p>
        </w:tc>
        <w:tc>
          <w:tcPr>
            <w:tcW w:w="1072" w:type="pct"/>
            <w:vAlign w:val="center"/>
          </w:tcPr>
          <w:p w:rsidR="008E108D" w:rsidRPr="0085778C" w:rsidRDefault="008E108D" w:rsidP="00594A47">
            <w:pPr>
              <w:keepNext/>
              <w:keepLines/>
              <w:autoSpaceDE w:val="0"/>
              <w:autoSpaceDN w:val="0"/>
              <w:adjustRightInd w:val="0"/>
              <w:spacing w:before="60" w:after="60"/>
              <w:jc w:val="center"/>
              <w:rPr>
                <w:rFonts w:eastAsia="MS Mincho" w:cs="Calibri"/>
                <w:sz w:val="20"/>
                <w:szCs w:val="20"/>
                <w:vertAlign w:val="superscript"/>
              </w:rPr>
            </w:pPr>
            <w:r w:rsidRPr="0085778C">
              <w:rPr>
                <w:rFonts w:eastAsia="MS Mincho" w:cs="Calibri"/>
                <w:sz w:val="20"/>
                <w:szCs w:val="20"/>
              </w:rPr>
              <w:t>≈70%</w:t>
            </w:r>
            <w:r w:rsidRPr="0085778C">
              <w:rPr>
                <w:rFonts w:eastAsia="MS Mincho" w:cs="Calibri"/>
                <w:sz w:val="20"/>
                <w:szCs w:val="20"/>
                <w:vertAlign w:val="superscript"/>
              </w:rPr>
              <w:t xml:space="preserve"> f</w:t>
            </w:r>
          </w:p>
          <w:p w:rsidR="008E108D" w:rsidRPr="0085778C" w:rsidRDefault="008E108D" w:rsidP="00594A47">
            <w:pPr>
              <w:keepNext/>
              <w:keepLines/>
              <w:autoSpaceDE w:val="0"/>
              <w:autoSpaceDN w:val="0"/>
              <w:adjustRightInd w:val="0"/>
              <w:spacing w:before="60" w:after="60"/>
              <w:jc w:val="center"/>
              <w:rPr>
                <w:rFonts w:eastAsia="MS Mincho" w:cs="Calibri"/>
                <w:sz w:val="20"/>
                <w:szCs w:val="20"/>
              </w:rPr>
            </w:pPr>
            <w:r w:rsidRPr="0085778C">
              <w:rPr>
                <w:rFonts w:eastAsia="MS Mincho" w:cs="Calibri"/>
                <w:sz w:val="20"/>
                <w:szCs w:val="20"/>
              </w:rPr>
              <w:t>(40 weeks)</w:t>
            </w:r>
          </w:p>
        </w:tc>
      </w:tr>
    </w:tbl>
    <w:p w:rsidR="008E108D" w:rsidRPr="0085778C" w:rsidRDefault="008E108D" w:rsidP="00594A47">
      <w:pPr>
        <w:keepNext/>
        <w:keepLines/>
        <w:autoSpaceDE w:val="0"/>
        <w:autoSpaceDN w:val="0"/>
        <w:adjustRightInd w:val="0"/>
        <w:spacing w:after="0"/>
        <w:rPr>
          <w:rFonts w:eastAsia="Times New Roman" w:cs="Calibri"/>
          <w:color w:val="000000"/>
          <w:sz w:val="20"/>
          <w:szCs w:val="20"/>
        </w:rPr>
      </w:pPr>
      <w:r w:rsidRPr="0085778C">
        <w:rPr>
          <w:rFonts w:eastAsia="Times New Roman" w:cs="Calibri"/>
          <w:color w:val="000000"/>
          <w:sz w:val="20"/>
          <w:szCs w:val="20"/>
        </w:rPr>
        <w:t xml:space="preserve">Source: </w:t>
      </w:r>
      <w:r w:rsidRPr="008B2EB5">
        <w:rPr>
          <w:rFonts w:eastAsia="Times New Roman" w:cs="Calibri"/>
          <w:color w:val="000000"/>
          <w:sz w:val="20"/>
          <w:szCs w:val="20"/>
        </w:rPr>
        <w:t>DHS Supplied prescriptions database (date of supply), extracted May 2017</w:t>
      </w:r>
      <w:r>
        <w:rPr>
          <w:rFonts w:eastAsia="Times New Roman" w:cs="Calibri"/>
          <w:color w:val="000000"/>
          <w:sz w:val="20"/>
          <w:szCs w:val="20"/>
        </w:rPr>
        <w:t>; e</w:t>
      </w:r>
      <w:r w:rsidRPr="0085778C">
        <w:rPr>
          <w:rFonts w:eastAsia="Times New Roman" w:cs="Calibri"/>
          <w:color w:val="000000"/>
          <w:sz w:val="20"/>
          <w:szCs w:val="20"/>
        </w:rPr>
        <w:t>ffectiveness data from Term of Reference 2</w:t>
      </w:r>
      <w:r w:rsidRPr="008B2EB5">
        <w:t xml:space="preserve"> </w:t>
      </w:r>
    </w:p>
    <w:p w:rsidR="008E108D" w:rsidRPr="0085778C" w:rsidRDefault="008E108D" w:rsidP="00594A47">
      <w:pPr>
        <w:keepNext/>
        <w:keepLines/>
        <w:autoSpaceDE w:val="0"/>
        <w:autoSpaceDN w:val="0"/>
        <w:adjustRightInd w:val="0"/>
        <w:spacing w:after="0"/>
        <w:rPr>
          <w:rFonts w:eastAsia="Times New Roman" w:cs="Calibri"/>
          <w:color w:val="000000"/>
          <w:sz w:val="20"/>
          <w:szCs w:val="20"/>
        </w:rPr>
      </w:pPr>
      <w:r w:rsidRPr="0085778C">
        <w:rPr>
          <w:rFonts w:eastAsia="Times New Roman" w:cs="Calibri"/>
          <w:color w:val="000000"/>
          <w:sz w:val="20"/>
          <w:szCs w:val="20"/>
          <w:lang w:eastAsia="en-GB"/>
        </w:rPr>
        <w:t>Note:</w:t>
      </w:r>
      <w:r w:rsidRPr="0085778C">
        <w:rPr>
          <w:rFonts w:eastAsia="Times New Roman" w:cs="Calibri"/>
          <w:color w:val="000000"/>
          <w:sz w:val="20"/>
          <w:szCs w:val="20"/>
          <w:vertAlign w:val="superscript"/>
          <w:lang w:eastAsia="en-GB"/>
        </w:rPr>
        <w:t xml:space="preserve"> </w:t>
      </w:r>
      <w:r w:rsidRPr="0085778C">
        <w:rPr>
          <w:rFonts w:eastAsia="Times New Roman" w:cs="Calibri"/>
          <w:color w:val="000000"/>
          <w:sz w:val="20"/>
          <w:szCs w:val="20"/>
          <w:lang w:eastAsia="en-GB"/>
        </w:rPr>
        <w:t xml:space="preserve">Secukinumab was listed on listed the PBS schedule on 1 September 2015, which was after the 30 June 2015 cut-off for treatment initiation in this study. </w:t>
      </w:r>
      <w:r w:rsidRPr="0085778C">
        <w:rPr>
          <w:rFonts w:eastAsia="Times New Roman" w:cs="Calibri"/>
          <w:color w:val="000000"/>
          <w:sz w:val="20"/>
          <w:szCs w:val="20"/>
        </w:rPr>
        <w:br/>
        <w:t>PASI 75 = 75% reduction in the Psoriasis Area and Severity Index score</w:t>
      </w:r>
    </w:p>
    <w:p w:rsidR="008E108D" w:rsidRPr="0085778C" w:rsidRDefault="008E108D" w:rsidP="00594A47">
      <w:pPr>
        <w:keepNext/>
        <w:keepLines/>
        <w:autoSpaceDE w:val="0"/>
        <w:autoSpaceDN w:val="0"/>
        <w:adjustRightInd w:val="0"/>
        <w:spacing w:after="0"/>
        <w:rPr>
          <w:rFonts w:eastAsia="Times New Roman" w:cs="Calibri"/>
          <w:color w:val="000000"/>
          <w:sz w:val="20"/>
          <w:szCs w:val="20"/>
        </w:rPr>
      </w:pPr>
      <w:r w:rsidRPr="0085778C">
        <w:rPr>
          <w:rFonts w:eastAsia="Times New Roman" w:cs="Calibri"/>
          <w:color w:val="000000"/>
          <w:sz w:val="20"/>
          <w:szCs w:val="20"/>
          <w:vertAlign w:val="superscript"/>
        </w:rPr>
        <w:t xml:space="preserve">a </w:t>
      </w:r>
      <w:r w:rsidRPr="0085778C">
        <w:rPr>
          <w:rFonts w:eastAsia="Times New Roman" w:cs="Calibri"/>
          <w:color w:val="000000"/>
          <w:sz w:val="20"/>
          <w:szCs w:val="20"/>
        </w:rPr>
        <w:t>Gordon (2012) Cohort D</w:t>
      </w:r>
    </w:p>
    <w:p w:rsidR="008E108D" w:rsidRPr="0085778C" w:rsidRDefault="008E108D" w:rsidP="00594A47">
      <w:pPr>
        <w:keepNext/>
        <w:keepLines/>
        <w:autoSpaceDE w:val="0"/>
        <w:autoSpaceDN w:val="0"/>
        <w:adjustRightInd w:val="0"/>
        <w:spacing w:after="0"/>
        <w:rPr>
          <w:rFonts w:eastAsia="Times New Roman" w:cs="Calibri"/>
          <w:color w:val="000000"/>
          <w:sz w:val="20"/>
          <w:szCs w:val="20"/>
        </w:rPr>
      </w:pPr>
      <w:r w:rsidRPr="0085778C">
        <w:rPr>
          <w:rFonts w:eastAsia="Times New Roman" w:cs="Calibri"/>
          <w:color w:val="000000"/>
          <w:sz w:val="20"/>
          <w:szCs w:val="20"/>
          <w:vertAlign w:val="superscript"/>
        </w:rPr>
        <w:t>b</w:t>
      </w:r>
      <w:r w:rsidRPr="0085778C">
        <w:rPr>
          <w:rFonts w:eastAsia="Times New Roman" w:cs="Calibri"/>
          <w:color w:val="000000"/>
          <w:sz w:val="20"/>
          <w:szCs w:val="20"/>
        </w:rPr>
        <w:t xml:space="preserve"> Ashina (2010)</w:t>
      </w:r>
    </w:p>
    <w:p w:rsidR="008E108D" w:rsidRPr="0085778C" w:rsidRDefault="008E108D" w:rsidP="00594A47">
      <w:pPr>
        <w:keepNext/>
        <w:keepLines/>
        <w:autoSpaceDE w:val="0"/>
        <w:autoSpaceDN w:val="0"/>
        <w:adjustRightInd w:val="0"/>
        <w:spacing w:after="0"/>
        <w:rPr>
          <w:rFonts w:eastAsia="Times New Roman" w:cs="Calibri"/>
          <w:color w:val="000000"/>
          <w:sz w:val="20"/>
          <w:szCs w:val="20"/>
        </w:rPr>
      </w:pPr>
      <w:r w:rsidRPr="0085778C">
        <w:rPr>
          <w:rFonts w:eastAsia="Times New Roman" w:cs="Calibri"/>
          <w:color w:val="000000"/>
          <w:sz w:val="20"/>
          <w:szCs w:val="20"/>
          <w:vertAlign w:val="superscript"/>
        </w:rPr>
        <w:t xml:space="preserve">c </w:t>
      </w:r>
      <w:r w:rsidRPr="0085778C">
        <w:rPr>
          <w:rFonts w:eastAsia="Times New Roman" w:cs="Calibri"/>
          <w:color w:val="000000"/>
          <w:sz w:val="20"/>
          <w:szCs w:val="20"/>
        </w:rPr>
        <w:t>Leonardi (2003) and PRESTA trial</w:t>
      </w:r>
    </w:p>
    <w:p w:rsidR="008E108D" w:rsidRPr="0085778C" w:rsidRDefault="008E108D" w:rsidP="00594A47">
      <w:pPr>
        <w:keepNext/>
        <w:keepLines/>
        <w:autoSpaceDE w:val="0"/>
        <w:autoSpaceDN w:val="0"/>
        <w:adjustRightInd w:val="0"/>
        <w:spacing w:after="0"/>
        <w:rPr>
          <w:rFonts w:eastAsia="Times New Roman" w:cs="Calibri"/>
          <w:color w:val="000000"/>
          <w:sz w:val="20"/>
          <w:szCs w:val="20"/>
        </w:rPr>
      </w:pPr>
      <w:r w:rsidRPr="0085778C">
        <w:rPr>
          <w:rFonts w:eastAsia="Times New Roman" w:cs="Calibri"/>
          <w:color w:val="000000"/>
          <w:sz w:val="20"/>
          <w:szCs w:val="20"/>
          <w:vertAlign w:val="superscript"/>
        </w:rPr>
        <w:t xml:space="preserve">d </w:t>
      </w:r>
      <w:r w:rsidRPr="0085778C">
        <w:rPr>
          <w:rFonts w:eastAsia="Times New Roman" w:cs="Calibri"/>
          <w:color w:val="000000"/>
          <w:sz w:val="20"/>
          <w:szCs w:val="20"/>
        </w:rPr>
        <w:t>EXPRESS and RESTORE trials</w:t>
      </w:r>
    </w:p>
    <w:p w:rsidR="008E108D" w:rsidRPr="0085778C" w:rsidRDefault="008E108D" w:rsidP="00594A47">
      <w:pPr>
        <w:keepNext/>
        <w:keepLines/>
        <w:autoSpaceDE w:val="0"/>
        <w:autoSpaceDN w:val="0"/>
        <w:adjustRightInd w:val="0"/>
        <w:spacing w:after="0"/>
        <w:rPr>
          <w:rFonts w:eastAsia="Times New Roman" w:cs="Calibri"/>
          <w:color w:val="000000"/>
          <w:sz w:val="20"/>
          <w:szCs w:val="20"/>
        </w:rPr>
      </w:pPr>
      <w:r w:rsidRPr="0085778C">
        <w:rPr>
          <w:rFonts w:eastAsia="Times New Roman" w:cs="Calibri"/>
          <w:color w:val="000000"/>
          <w:sz w:val="20"/>
          <w:szCs w:val="20"/>
          <w:vertAlign w:val="superscript"/>
        </w:rPr>
        <w:t xml:space="preserve">e  </w:t>
      </w:r>
      <w:r w:rsidRPr="0085778C">
        <w:rPr>
          <w:rFonts w:eastAsia="Times New Roman" w:cs="Calibri"/>
          <w:color w:val="000000"/>
          <w:sz w:val="20"/>
          <w:szCs w:val="20"/>
        </w:rPr>
        <w:t>Menter (2007) (5mg/kg every 8 weeks dosing)</w:t>
      </w:r>
    </w:p>
    <w:p w:rsidR="008E108D" w:rsidRDefault="008E108D" w:rsidP="00594A47">
      <w:pPr>
        <w:keepNext/>
        <w:keepLines/>
        <w:autoSpaceDE w:val="0"/>
        <w:autoSpaceDN w:val="0"/>
        <w:adjustRightInd w:val="0"/>
        <w:spacing w:after="0"/>
        <w:rPr>
          <w:rFonts w:eastAsia="Times New Roman" w:cs="Calibri"/>
          <w:color w:val="000000"/>
          <w:sz w:val="20"/>
          <w:szCs w:val="20"/>
        </w:rPr>
      </w:pPr>
      <w:r w:rsidRPr="0085778C">
        <w:rPr>
          <w:rFonts w:eastAsia="Times New Roman" w:cs="Calibri"/>
          <w:color w:val="000000"/>
          <w:sz w:val="20"/>
          <w:szCs w:val="20"/>
          <w:vertAlign w:val="superscript"/>
        </w:rPr>
        <w:t xml:space="preserve">f </w:t>
      </w:r>
      <w:r w:rsidRPr="0085778C">
        <w:rPr>
          <w:rFonts w:eastAsia="Times New Roman" w:cs="Calibri"/>
          <w:color w:val="000000"/>
          <w:sz w:val="20"/>
          <w:szCs w:val="20"/>
        </w:rPr>
        <w:t>Kimball (2012)</w:t>
      </w:r>
    </w:p>
    <w:p w:rsidR="003208CE" w:rsidRPr="0085778C" w:rsidRDefault="003208CE" w:rsidP="00594A47">
      <w:pPr>
        <w:keepNext/>
        <w:keepLines/>
        <w:autoSpaceDE w:val="0"/>
        <w:autoSpaceDN w:val="0"/>
        <w:adjustRightInd w:val="0"/>
        <w:spacing w:after="0"/>
        <w:rPr>
          <w:rFonts w:eastAsia="Times New Roman" w:cs="Calibri"/>
          <w:color w:val="000000"/>
          <w:sz w:val="20"/>
          <w:szCs w:val="20"/>
        </w:rPr>
      </w:pPr>
    </w:p>
    <w:p w:rsidR="00071F2B" w:rsidRDefault="00071F2B" w:rsidP="00071F2B">
      <w:pPr>
        <w:rPr>
          <w:rFonts w:eastAsia="Calibri" w:cs="Times New Roman"/>
        </w:rPr>
      </w:pPr>
      <w:r w:rsidRPr="0085778C">
        <w:rPr>
          <w:rFonts w:eastAsia="Calibri" w:cs="Times New Roman"/>
        </w:rPr>
        <w:t xml:space="preserve">The proportion of </w:t>
      </w:r>
      <w:r w:rsidRPr="00196C94">
        <w:rPr>
          <w:rFonts w:eastAsia="Calibri" w:cs="Times New Roman"/>
        </w:rPr>
        <w:t xml:space="preserve">patients who continue biologic treatment for CPP with ustekinumab </w:t>
      </w:r>
      <w:r w:rsidR="00573D2B" w:rsidRPr="00196C94">
        <w:rPr>
          <w:rFonts w:eastAsia="Calibri" w:cs="Times New Roman"/>
        </w:rPr>
        <w:t xml:space="preserve">(97%) </w:t>
      </w:r>
      <w:r w:rsidRPr="00196C94">
        <w:rPr>
          <w:rFonts w:eastAsia="Calibri" w:cs="Times New Roman"/>
        </w:rPr>
        <w:t xml:space="preserve">and infliximab </w:t>
      </w:r>
      <w:r w:rsidR="00573D2B" w:rsidRPr="00196C94">
        <w:rPr>
          <w:rFonts w:eastAsia="Calibri" w:cs="Times New Roman"/>
        </w:rPr>
        <w:t xml:space="preserve">(100%) </w:t>
      </w:r>
      <w:r w:rsidRPr="00196C94">
        <w:rPr>
          <w:rFonts w:eastAsia="Calibri" w:cs="Times New Roman"/>
        </w:rPr>
        <w:t>were higher than the proportion of patients in the clinical trials who had a PASI</w:t>
      </w:r>
      <w:r w:rsidR="0030083E" w:rsidRPr="00196C94">
        <w:rPr>
          <w:rFonts w:eastAsia="Calibri" w:cs="Times New Roman"/>
        </w:rPr>
        <w:t xml:space="preserve"> </w:t>
      </w:r>
      <w:r w:rsidRPr="00196C94">
        <w:rPr>
          <w:rFonts w:eastAsia="Calibri" w:cs="Times New Roman"/>
        </w:rPr>
        <w:t xml:space="preserve">75 response at both six months and one year. </w:t>
      </w:r>
      <w:r w:rsidR="000A72A2" w:rsidRPr="00196C94">
        <w:rPr>
          <w:rFonts w:eastAsia="Calibri" w:cs="Times New Roman"/>
        </w:rPr>
        <w:t xml:space="preserve">Continuation at six months for infliximab and ustekinumab may be slightly overestimated compared to the other biologics. Patients had to be without an infliximab or ustekinumab prescription for a longer period of time (112 days for infliximab and 170 days for ustekinumab) before they were considered to have stopped treatment (refer to </w:t>
      </w:r>
      <w:r w:rsidR="0086184A">
        <w:t xml:space="preserve">Table </w:t>
      </w:r>
      <w:r w:rsidR="0086184A">
        <w:rPr>
          <w:noProof/>
        </w:rPr>
        <w:t>9</w:t>
      </w:r>
      <w:r w:rsidR="000A72A2" w:rsidRPr="00196C94">
        <w:rPr>
          <w:rFonts w:eastAsia="Calibri" w:cs="Times New Roman"/>
        </w:rPr>
        <w:t xml:space="preserve"> in the methods). </w:t>
      </w:r>
      <w:r w:rsidRPr="00196C94">
        <w:rPr>
          <w:rFonts w:eastAsia="Calibri" w:cs="Times New Roman"/>
        </w:rPr>
        <w:t>The proport</w:t>
      </w:r>
      <w:r w:rsidR="001904D5" w:rsidRPr="00196C94">
        <w:rPr>
          <w:rFonts w:eastAsia="Calibri" w:cs="Times New Roman"/>
        </w:rPr>
        <w:t>ion of patients who continued e</w:t>
      </w:r>
      <w:r w:rsidRPr="00196C94">
        <w:rPr>
          <w:rFonts w:eastAsia="Calibri" w:cs="Times New Roman"/>
        </w:rPr>
        <w:t xml:space="preserve">tanercept </w:t>
      </w:r>
      <w:r w:rsidR="00573D2B" w:rsidRPr="00196C94">
        <w:rPr>
          <w:rFonts w:eastAsia="Calibri" w:cs="Times New Roman"/>
        </w:rPr>
        <w:t>(</w:t>
      </w:r>
      <w:r w:rsidR="00C44462" w:rsidRPr="00196C94">
        <w:rPr>
          <w:rFonts w:eastAsia="Calibri" w:cs="Times New Roman"/>
        </w:rPr>
        <w:t>19</w:t>
      </w:r>
      <w:r w:rsidR="00573D2B" w:rsidRPr="00196C94">
        <w:rPr>
          <w:rFonts w:eastAsia="Calibri" w:cs="Times New Roman"/>
        </w:rPr>
        <w:t xml:space="preserve">%) </w:t>
      </w:r>
      <w:r w:rsidRPr="00196C94">
        <w:rPr>
          <w:rFonts w:eastAsia="Calibri" w:cs="Times New Roman"/>
        </w:rPr>
        <w:t>was substantially lower than the proportion of patients who had a PASI</w:t>
      </w:r>
      <w:r w:rsidR="0030083E" w:rsidRPr="00196C94">
        <w:rPr>
          <w:rFonts w:eastAsia="Calibri" w:cs="Times New Roman"/>
        </w:rPr>
        <w:t xml:space="preserve"> </w:t>
      </w:r>
      <w:r w:rsidRPr="00196C94">
        <w:rPr>
          <w:rFonts w:eastAsia="Calibri" w:cs="Times New Roman"/>
        </w:rPr>
        <w:t xml:space="preserve">75 response </w:t>
      </w:r>
      <w:r w:rsidR="00573D2B" w:rsidRPr="00196C94">
        <w:rPr>
          <w:rFonts w:eastAsia="Calibri" w:cs="Times New Roman"/>
        </w:rPr>
        <w:t xml:space="preserve">at 24 weeks </w:t>
      </w:r>
      <w:r w:rsidRPr="00196C94">
        <w:rPr>
          <w:rFonts w:eastAsia="Calibri" w:cs="Times New Roman"/>
        </w:rPr>
        <w:t xml:space="preserve">in the clinical trials. The proportion of patients who continued adalimumab </w:t>
      </w:r>
      <w:r w:rsidR="00573D2B" w:rsidRPr="00196C94">
        <w:rPr>
          <w:rFonts w:eastAsia="Calibri" w:cs="Times New Roman"/>
        </w:rPr>
        <w:t xml:space="preserve">(77%) </w:t>
      </w:r>
      <w:r w:rsidRPr="00196C94">
        <w:rPr>
          <w:rFonts w:eastAsia="Calibri" w:cs="Times New Roman"/>
        </w:rPr>
        <w:t>was similar to the rates</w:t>
      </w:r>
      <w:r w:rsidRPr="0085778C">
        <w:rPr>
          <w:rFonts w:eastAsia="Calibri" w:cs="Times New Roman"/>
        </w:rPr>
        <w:t xml:space="preserve"> of PASI</w:t>
      </w:r>
      <w:r w:rsidR="0030083E">
        <w:rPr>
          <w:rFonts w:eastAsia="Calibri" w:cs="Times New Roman"/>
        </w:rPr>
        <w:t xml:space="preserve"> </w:t>
      </w:r>
      <w:r w:rsidRPr="0085778C">
        <w:rPr>
          <w:rFonts w:eastAsia="Calibri" w:cs="Times New Roman"/>
        </w:rPr>
        <w:t xml:space="preserve">75 response in the clinical trials. </w:t>
      </w:r>
    </w:p>
    <w:p w:rsidR="0013548F" w:rsidRDefault="00071F2B" w:rsidP="00E7072A">
      <w:pPr>
        <w:rPr>
          <w:rFonts w:eastAsia="Calibri" w:cs="Times New Roman"/>
        </w:rPr>
      </w:pPr>
      <w:r w:rsidRPr="0085778C">
        <w:rPr>
          <w:rFonts w:eastAsia="Calibri" w:cs="Times New Roman"/>
        </w:rPr>
        <w:t xml:space="preserve">The best estimate of the prevalence of severe </w:t>
      </w:r>
      <w:r w:rsidR="00891E82">
        <w:rPr>
          <w:rFonts w:eastAsia="Calibri" w:cs="Times New Roman"/>
        </w:rPr>
        <w:t>CPP</w:t>
      </w:r>
      <w:r w:rsidR="00F12AC8">
        <w:rPr>
          <w:rFonts w:eastAsia="Calibri" w:cs="Times New Roman"/>
        </w:rPr>
        <w:t xml:space="preserve"> (PASI &gt; 15)</w:t>
      </w:r>
      <w:r w:rsidRPr="0085778C">
        <w:rPr>
          <w:rFonts w:eastAsia="Calibri" w:cs="Times New Roman"/>
        </w:rPr>
        <w:t xml:space="preserve"> in Australia was 19,223; however, only 5,144 patients were receiving biologics on the PBS. Biologics are PBS</w:t>
      </w:r>
      <w:r w:rsidRPr="0085778C">
        <w:rPr>
          <w:rFonts w:eastAsia="Calibri" w:cs="Times New Roman"/>
        </w:rPr>
        <w:noBreakHyphen/>
        <w:t xml:space="preserve">listed for severe psoriasis that is refractory to at least three treatments (phototherapy, methotrexate, cyclosporin and acitretin). Many patients may achieve an adequate response to </w:t>
      </w:r>
      <w:r w:rsidR="0013548F">
        <w:rPr>
          <w:rFonts w:eastAsia="Calibri" w:cs="Times New Roman"/>
        </w:rPr>
        <w:t>these therapies and may not need to be prescribed biologicals, which may account for some of this discrepancy</w:t>
      </w:r>
      <w:r w:rsidRPr="0085778C">
        <w:rPr>
          <w:rFonts w:eastAsia="Calibri" w:cs="Times New Roman"/>
        </w:rPr>
        <w:t>.</w:t>
      </w:r>
      <w:r w:rsidR="0013548F">
        <w:rPr>
          <w:rFonts w:eastAsia="Calibri" w:cs="Times New Roman"/>
        </w:rPr>
        <w:t xml:space="preserve"> </w:t>
      </w:r>
      <w:r w:rsidRPr="0085778C">
        <w:rPr>
          <w:rFonts w:eastAsia="Calibri" w:cs="Times New Roman"/>
        </w:rPr>
        <w:t xml:space="preserve"> The Reference Group noted many patients can achieve good psoriasis clearance with a combination of phototherapy and topical therapy. </w:t>
      </w:r>
    </w:p>
    <w:p w:rsidR="003564BF" w:rsidRDefault="00071F2B" w:rsidP="00E7072A">
      <w:pPr>
        <w:rPr>
          <w:rFonts w:eastAsia="Calibri" w:cs="Times New Roman"/>
        </w:rPr>
      </w:pPr>
      <w:r w:rsidRPr="0085778C">
        <w:rPr>
          <w:rFonts w:eastAsia="Calibri" w:cs="Times New Roman"/>
        </w:rPr>
        <w:t>There may be reluctance to use some of the prior therapies due to toxicity. The Reference Group noted that cyclosporin can cause renal toxicity and can cause hypertension which is problematic in many patients with psoriasis who have comorbid metabolic disease. Acitretin is contraindicated in pregnancy and women who may become pregnant within three years of treatment cessation</w:t>
      </w:r>
      <w:r w:rsidR="00957BD9">
        <w:rPr>
          <w:rFonts w:eastAsia="Calibri" w:cs="Times New Roman"/>
        </w:rPr>
        <w:t xml:space="preserve">. </w:t>
      </w:r>
      <w:r w:rsidRPr="0085778C">
        <w:rPr>
          <w:rFonts w:eastAsia="Calibri" w:cs="Times New Roman"/>
        </w:rPr>
        <w:t>As a result, acitretin treatment may be considered unacceptable by some women of childbearing age. Difficulty accessing specialist treatment and fulfilling monitoring requirements of some of the prior therapies may result in fewer patients with severe psoriasis being eligible for biologics. Use of biologics on private prescriptions may also contribute to the difference between the estimated prevalence of severe CPP and PBS utilisation of biologics for CPP.</w:t>
      </w:r>
      <w:bookmarkStart w:id="141" w:name="_Toc388453130"/>
      <w:bookmarkEnd w:id="19"/>
    </w:p>
    <w:p w:rsidR="00C32759" w:rsidRPr="00D62530" w:rsidRDefault="00F73F7C" w:rsidP="00D62530">
      <w:pPr>
        <w:spacing w:after="160" w:line="259" w:lineRule="auto"/>
        <w:rPr>
          <w:rFonts w:ascii="Calibri" w:eastAsia="Calibri" w:hAnsi="Calibri" w:cs="Times New Roman"/>
          <w:szCs w:val="24"/>
          <w:lang w:val="en-AU" w:eastAsia="en-US"/>
        </w:rPr>
      </w:pPr>
      <w:r>
        <w:br w:type="page"/>
      </w:r>
      <w:bookmarkEnd w:id="141"/>
    </w:p>
    <w:p w:rsidR="003564BF" w:rsidRPr="00C32759" w:rsidRDefault="003564BF" w:rsidP="00E7072A">
      <w:pPr>
        <w:sectPr w:rsidR="003564BF" w:rsidRPr="00C32759" w:rsidSect="006356D2">
          <w:pgSz w:w="11906" w:h="16838"/>
          <w:pgMar w:top="1440" w:right="1440" w:bottom="1440" w:left="1440" w:header="708" w:footer="708" w:gutter="0"/>
          <w:cols w:space="708"/>
          <w:titlePg/>
          <w:docGrid w:linePitch="360"/>
        </w:sectPr>
      </w:pPr>
    </w:p>
    <w:p w:rsidR="00923556" w:rsidRPr="00A41970" w:rsidRDefault="00923556" w:rsidP="00E7072A">
      <w:pPr>
        <w:pStyle w:val="Heading1"/>
      </w:pPr>
      <w:bookmarkStart w:id="142" w:name="_Toc501632380"/>
      <w:r w:rsidRPr="00A41970">
        <w:t>References</w:t>
      </w:r>
      <w:bookmarkEnd w:id="142"/>
    </w:p>
    <w:p w:rsidR="001B4738" w:rsidRPr="001B4738" w:rsidRDefault="001B4738" w:rsidP="001B4738">
      <w:pPr>
        <w:pStyle w:val="EndNoteBibliography"/>
        <w:spacing w:after="0"/>
      </w:pPr>
      <w:bookmarkStart w:id="143" w:name="_ENREF_1"/>
      <w:r w:rsidRPr="001B4738">
        <w:t>1.</w:t>
      </w:r>
      <w:r w:rsidRPr="001B4738">
        <w:tab/>
        <w:t>Quirk CJ. Skin disease in the Busselton population survey. The Medical journal of Australia. 1979;1(12):569-70.</w:t>
      </w:r>
      <w:bookmarkEnd w:id="143"/>
    </w:p>
    <w:p w:rsidR="001B4738" w:rsidRPr="001B4738" w:rsidRDefault="001B4738" w:rsidP="001B4738">
      <w:pPr>
        <w:pStyle w:val="EndNoteBibliography"/>
        <w:spacing w:after="0"/>
      </w:pPr>
      <w:bookmarkStart w:id="144" w:name="_ENREF_2"/>
      <w:r w:rsidRPr="001B4738">
        <w:t>2.</w:t>
      </w:r>
      <w:r w:rsidRPr="001B4738">
        <w:tab/>
        <w:t>Plunkett A, Merlin K, Gill D, Zuo Y, Jolley D, Marks R. The frequency of common nonmalignant skin conditions in adults in central Victoria, Australia. International Journal of Dermatology. 1999;38(12):901-8.</w:t>
      </w:r>
      <w:bookmarkEnd w:id="144"/>
    </w:p>
    <w:p w:rsidR="001B4738" w:rsidRPr="001B4738" w:rsidRDefault="001B4738" w:rsidP="001B4738">
      <w:pPr>
        <w:pStyle w:val="EndNoteBibliography"/>
        <w:spacing w:after="0"/>
      </w:pPr>
      <w:bookmarkStart w:id="145" w:name="_ENREF_3"/>
      <w:r w:rsidRPr="001B4738">
        <w:t>3.</w:t>
      </w:r>
      <w:r w:rsidRPr="001B4738">
        <w:tab/>
        <w:t>Kilkenny M, Stathakis V, Jolley D, Marks R. Maryborough skin health survey: Prevalence and sources of advice for skin conditions. Australasian Journal of Dermatology. 1998;39(4):233-7.</w:t>
      </w:r>
      <w:bookmarkEnd w:id="145"/>
    </w:p>
    <w:p w:rsidR="001B4738" w:rsidRPr="001B4738" w:rsidRDefault="001B4738" w:rsidP="001B4738">
      <w:pPr>
        <w:pStyle w:val="EndNoteBibliography"/>
        <w:spacing w:after="0"/>
      </w:pPr>
      <w:bookmarkStart w:id="146" w:name="_ENREF_4"/>
      <w:r w:rsidRPr="001B4738">
        <w:t>4.</w:t>
      </w:r>
      <w:r w:rsidRPr="001B4738">
        <w:tab/>
        <w:t xml:space="preserve">Australian Bureau of Statistics. Australian Health Survey, National Health Survey, 2011-12: TableBuilder. Findings based on use of ABS TableBuilder data; 2011-12 [cited 2017 7 June]. Available from: </w:t>
      </w:r>
      <w:r w:rsidRPr="00E6177E">
        <w:t>https://secure.abs.gov.au/</w:t>
      </w:r>
      <w:r w:rsidRPr="001B4738">
        <w:t>.</w:t>
      </w:r>
      <w:bookmarkEnd w:id="146"/>
    </w:p>
    <w:p w:rsidR="001B4738" w:rsidRPr="001B4738" w:rsidRDefault="001B4738" w:rsidP="001B4738">
      <w:pPr>
        <w:pStyle w:val="EndNoteBibliography"/>
        <w:spacing w:after="0"/>
      </w:pPr>
      <w:bookmarkStart w:id="147" w:name="_ENREF_5"/>
      <w:r w:rsidRPr="001B4738">
        <w:t>5.</w:t>
      </w:r>
      <w:r w:rsidRPr="001B4738">
        <w:tab/>
        <w:t xml:space="preserve">Australian Bureau of Statistics. National Health Survey, 2014-15: TableBuilder. Findings based on use of ABS TableBuilder data; 2014-15 [cited 2017 7 June]. Available from: </w:t>
      </w:r>
      <w:r w:rsidRPr="00E6177E">
        <w:t>https://secure.abs.gov.au/</w:t>
      </w:r>
      <w:r w:rsidRPr="001B4738">
        <w:t>.</w:t>
      </w:r>
      <w:bookmarkEnd w:id="147"/>
    </w:p>
    <w:p w:rsidR="001B4738" w:rsidRPr="001B4738" w:rsidRDefault="001B4738" w:rsidP="001B4738">
      <w:pPr>
        <w:pStyle w:val="EndNoteBibliography"/>
        <w:spacing w:after="0"/>
      </w:pPr>
      <w:bookmarkStart w:id="148" w:name="_ENREF_6"/>
      <w:r w:rsidRPr="001B4738">
        <w:t>6.</w:t>
      </w:r>
      <w:r w:rsidRPr="001B4738">
        <w:tab/>
        <w:t xml:space="preserve">Australian Bureau of Statistics. Australian Aboriginal and Torres Strait Islander Health Survey, Detailed Conditions and Other Health Data, 2012-13: TableBuilder. Findings based on use of ABS TableBuilder data; 2012-13 [cited 2017 7 June]. Available from: </w:t>
      </w:r>
      <w:r w:rsidRPr="00E6177E">
        <w:t>https://secure.abs.gov.au/</w:t>
      </w:r>
      <w:r w:rsidRPr="001B4738">
        <w:t>.</w:t>
      </w:r>
      <w:bookmarkEnd w:id="148"/>
    </w:p>
    <w:p w:rsidR="001B4738" w:rsidRPr="001B4738" w:rsidRDefault="001B4738" w:rsidP="001B4738">
      <w:pPr>
        <w:pStyle w:val="EndNoteBibliography"/>
        <w:spacing w:after="0"/>
      </w:pPr>
      <w:bookmarkStart w:id="149" w:name="_ENREF_7"/>
      <w:r w:rsidRPr="001B4738">
        <w:t>7.</w:t>
      </w:r>
      <w:r w:rsidRPr="001B4738">
        <w:tab/>
        <w:t xml:space="preserve">Australian Bureau of Statistics. Estimates and Projections, Aboriginal and Torres Strait Islander Australians, 2001 to 2026: cat.no. 3238.0; 2014 [cited 2017 9 June]. Available from: </w:t>
      </w:r>
      <w:r w:rsidRPr="00E6177E">
        <w:t>www.abs.gov.au/ausstats/abs@.nsf/mf/3238.0</w:t>
      </w:r>
      <w:r w:rsidRPr="001B4738">
        <w:t>.</w:t>
      </w:r>
      <w:bookmarkEnd w:id="149"/>
    </w:p>
    <w:p w:rsidR="001B4738" w:rsidRPr="001B4738" w:rsidRDefault="001B4738" w:rsidP="001B4738">
      <w:pPr>
        <w:pStyle w:val="EndNoteBibliography"/>
        <w:spacing w:after="0"/>
      </w:pPr>
      <w:bookmarkStart w:id="150" w:name="_ENREF_8"/>
      <w:r w:rsidRPr="001B4738">
        <w:t>8.</w:t>
      </w:r>
      <w:r w:rsidRPr="001B4738">
        <w:tab/>
        <w:t>Parisi R, Symmons DP, Griffiths CE, Ashcroft DM, Identification, Management of P, et al. Global epidemiology of psoriasis: a systematic review of incidence and prevalence. Journal of Investigative Dermatology. 2013;133(2):377-85.</w:t>
      </w:r>
      <w:bookmarkEnd w:id="150"/>
    </w:p>
    <w:p w:rsidR="001B4738" w:rsidRPr="001B4738" w:rsidRDefault="001B4738" w:rsidP="001B4738">
      <w:pPr>
        <w:pStyle w:val="EndNoteBibliography"/>
        <w:spacing w:after="0"/>
      </w:pPr>
      <w:bookmarkStart w:id="151" w:name="_ENREF_9"/>
      <w:r w:rsidRPr="001B4738">
        <w:t>9.</w:t>
      </w:r>
      <w:r w:rsidRPr="001B4738">
        <w:tab/>
        <w:t>Michalek IM, Loring B, John SM. A systematic review of worldwide epidemiology of psoriasis. Journal of the European Academy of Dermatology &amp; Venereology. 2017;31(2):205-12.</w:t>
      </w:r>
      <w:bookmarkEnd w:id="151"/>
    </w:p>
    <w:p w:rsidR="001B4738" w:rsidRPr="001B4738" w:rsidRDefault="001B4738" w:rsidP="001B4738">
      <w:pPr>
        <w:pStyle w:val="EndNoteBibliography"/>
        <w:spacing w:after="0"/>
      </w:pPr>
      <w:bookmarkStart w:id="152" w:name="_ENREF_10"/>
      <w:r w:rsidRPr="001B4738">
        <w:t>10.</w:t>
      </w:r>
      <w:r w:rsidRPr="001B4738">
        <w:tab/>
        <w:t>World Health Organization. Global Report on Psoriasis. 2016.</w:t>
      </w:r>
      <w:bookmarkEnd w:id="152"/>
    </w:p>
    <w:p w:rsidR="001B4738" w:rsidRPr="001B4738" w:rsidRDefault="001B4738" w:rsidP="001B4738">
      <w:pPr>
        <w:pStyle w:val="EndNoteBibliography"/>
        <w:spacing w:after="0"/>
      </w:pPr>
      <w:bookmarkStart w:id="153" w:name="_ENREF_11"/>
      <w:r w:rsidRPr="001B4738">
        <w:t>11.</w:t>
      </w:r>
      <w:r w:rsidRPr="001B4738">
        <w:tab/>
        <w:t>Danielsen K, Olsen AO, Wilsgaard T, Furberg AS. Is the prevalence of psoriasis increasing? A 30-year follow-up of a population-based cohort. Br J Dermatol. 2013;168(6):1303-10.</w:t>
      </w:r>
      <w:bookmarkEnd w:id="153"/>
    </w:p>
    <w:p w:rsidR="001B4738" w:rsidRPr="001B4738" w:rsidRDefault="001B4738" w:rsidP="001B4738">
      <w:pPr>
        <w:pStyle w:val="EndNoteBibliography"/>
        <w:spacing w:after="0"/>
      </w:pPr>
      <w:bookmarkStart w:id="154" w:name="_ENREF_12"/>
      <w:r w:rsidRPr="001B4738">
        <w:t>12.</w:t>
      </w:r>
      <w:r w:rsidRPr="001B4738">
        <w:tab/>
        <w:t>Tollefson MM, Crowson CS, McEvoy MT, Maradit Kremers H. Incidence of psoriasis in children: A population-based study. Journal of the American Academy of Dermatology. 2010;62(6):979-87.</w:t>
      </w:r>
      <w:bookmarkEnd w:id="154"/>
    </w:p>
    <w:p w:rsidR="001B4738" w:rsidRPr="001B4738" w:rsidRDefault="001B4738" w:rsidP="001B4738">
      <w:pPr>
        <w:pStyle w:val="EndNoteBibliography"/>
        <w:spacing w:after="0"/>
      </w:pPr>
      <w:bookmarkStart w:id="155" w:name="_ENREF_13"/>
      <w:r w:rsidRPr="001B4738">
        <w:t>13.</w:t>
      </w:r>
      <w:r w:rsidRPr="001B4738">
        <w:tab/>
        <w:t>Icen M, Crowson CS, McEvoy MT, Dann FJ, Gabriel SE, Maradit Kremers H. Trends in incidence of adult-onset psoriasis over three decades: A population-based study. Journal of the American Academy of Dermatology. 2009;60(3):394-401.</w:t>
      </w:r>
      <w:bookmarkEnd w:id="155"/>
    </w:p>
    <w:p w:rsidR="001B4738" w:rsidRPr="001B4738" w:rsidRDefault="001B4738" w:rsidP="001B4738">
      <w:pPr>
        <w:pStyle w:val="EndNoteBibliography"/>
        <w:spacing w:after="0"/>
      </w:pPr>
      <w:bookmarkStart w:id="156" w:name="_ENREF_14"/>
      <w:r w:rsidRPr="001B4738">
        <w:t>14.</w:t>
      </w:r>
      <w:r w:rsidRPr="001B4738">
        <w:tab/>
        <w:t>Huerta C, Rivero E, Rodríguez L. Incidence and risk factors for psoriasis in the general population. Arch Dermatol. 2007;143(12):1559-65.</w:t>
      </w:r>
      <w:bookmarkEnd w:id="156"/>
    </w:p>
    <w:p w:rsidR="001B4738" w:rsidRPr="001B4738" w:rsidRDefault="001B4738" w:rsidP="001B4738">
      <w:pPr>
        <w:pStyle w:val="EndNoteBibliography"/>
        <w:spacing w:after="0"/>
      </w:pPr>
      <w:bookmarkStart w:id="157" w:name="_ENREF_15"/>
      <w:r w:rsidRPr="001B4738">
        <w:t>15.</w:t>
      </w:r>
      <w:r w:rsidRPr="001B4738">
        <w:tab/>
        <w:t>Springate DA, Parisi R, Kontopantelis E, Reeves D, Griffiths CEM, Ashcroft DM. Incidence, prevalence and mortality of patients with psoriasis: a U.K. population-based cohort study. Br J Dermatol. 2017;176(3):650-8.</w:t>
      </w:r>
      <w:bookmarkEnd w:id="157"/>
    </w:p>
    <w:p w:rsidR="001B4738" w:rsidRPr="001B4738" w:rsidRDefault="001B4738" w:rsidP="001B4738">
      <w:pPr>
        <w:pStyle w:val="EndNoteBibliography"/>
        <w:spacing w:after="0"/>
      </w:pPr>
      <w:bookmarkStart w:id="158" w:name="_ENREF_16"/>
      <w:r w:rsidRPr="001B4738">
        <w:t>16.</w:t>
      </w:r>
      <w:r w:rsidRPr="001B4738">
        <w:tab/>
        <w:t>Schafer I, Rustenbach SJ, Radtke M, Augustin J, Glaeske G, Augustin M. Epidemiology of psoriasis in Germany--analysis of secondary health insurance data. Gesundheitswesen (Bundesverband der Arzte des Offentlichen Gesundheitsdienstes (Germany)). 2011;73(5):308-13.</w:t>
      </w:r>
      <w:bookmarkEnd w:id="158"/>
    </w:p>
    <w:p w:rsidR="001B4738" w:rsidRPr="001B4738" w:rsidRDefault="001B4738" w:rsidP="001B4738">
      <w:pPr>
        <w:pStyle w:val="EndNoteBibliography"/>
        <w:spacing w:after="0"/>
      </w:pPr>
      <w:bookmarkStart w:id="159" w:name="_ENREF_17"/>
      <w:r w:rsidRPr="001B4738">
        <w:t>17.</w:t>
      </w:r>
      <w:r w:rsidRPr="001B4738">
        <w:tab/>
        <w:t>Merola JF, Li T, Li WQ, Cho E, Qureshi AA. Prevalence of psoriasis phenotypes among men and women in the USA. Clinical and experimental dermatology. 2016;41(5):486-9.</w:t>
      </w:r>
      <w:bookmarkEnd w:id="159"/>
    </w:p>
    <w:p w:rsidR="001B4738" w:rsidRPr="001B4738" w:rsidRDefault="001B4738" w:rsidP="001B4738">
      <w:pPr>
        <w:pStyle w:val="EndNoteBibliography"/>
        <w:spacing w:after="0"/>
      </w:pPr>
      <w:bookmarkStart w:id="160" w:name="_ENREF_18"/>
      <w:r w:rsidRPr="001B4738">
        <w:t>18.</w:t>
      </w:r>
      <w:r w:rsidRPr="001B4738">
        <w:tab/>
        <w:t>Baker CS, Foley PA, Braue A. Psoriasis uncovered – measuring burden of disease impact in a survey of Australians with psoriasis. Australasian Journal of Dermatology. 2013;54:1-6.</w:t>
      </w:r>
      <w:bookmarkEnd w:id="160"/>
    </w:p>
    <w:p w:rsidR="001B4738" w:rsidRPr="001B4738" w:rsidRDefault="001B4738" w:rsidP="001B4738">
      <w:pPr>
        <w:pStyle w:val="EndNoteBibliography"/>
        <w:spacing w:after="0"/>
      </w:pPr>
      <w:bookmarkStart w:id="161" w:name="_ENREF_19"/>
      <w:r w:rsidRPr="001B4738">
        <w:t>19.</w:t>
      </w:r>
      <w:r w:rsidRPr="001B4738">
        <w:tab/>
        <w:t>Mallbris L, Larsson P, Bergqvist S, Vingård E, Granath F, Ståhle M. Psoriasis Phenotype at Disease Onset: Clinical Characterization of 400 Adult Cases. Journal of Investigative Dermatology. 2005;124(3):499-504.</w:t>
      </w:r>
      <w:bookmarkEnd w:id="161"/>
    </w:p>
    <w:p w:rsidR="001B4738" w:rsidRPr="001B4738" w:rsidRDefault="001B4738" w:rsidP="001B4738">
      <w:pPr>
        <w:pStyle w:val="EndNoteBibliography"/>
        <w:spacing w:after="0"/>
      </w:pPr>
      <w:bookmarkStart w:id="162" w:name="_ENREF_20"/>
      <w:r w:rsidRPr="001B4738">
        <w:t>20.</w:t>
      </w:r>
      <w:r w:rsidRPr="001B4738">
        <w:tab/>
        <w:t>Phan C, Sigal ML, Estève E, Reguiai Z, Barthélémy H, Beneton N, et al. Psoriasis in the elderly: Epidemiological and clinical aspects, and evaluation of patients with very late onset psoriasis. Journal of the European Academy of Dermatology and Venereology. 2016;30(1):78-82.</w:t>
      </w:r>
      <w:bookmarkEnd w:id="162"/>
    </w:p>
    <w:p w:rsidR="001B4738" w:rsidRPr="001B4738" w:rsidRDefault="001B4738" w:rsidP="001B4738">
      <w:pPr>
        <w:pStyle w:val="EndNoteBibliography"/>
        <w:spacing w:after="0"/>
      </w:pPr>
      <w:bookmarkStart w:id="163" w:name="_ENREF_21"/>
      <w:r w:rsidRPr="001B4738">
        <w:t>21.</w:t>
      </w:r>
      <w:r w:rsidRPr="001B4738">
        <w:tab/>
        <w:t>Lopez Estebaranz JL, Zarco-Montejo P, Samaniego ML, Garcia-Calvo C, Group PS. Prevalence and clinical features of psoriatic arthritis in psoriasis patients in Spain. Limitations of PASE as a screening tool. European Journal of Dermatology. 2015;25(1):57-63.</w:t>
      </w:r>
      <w:bookmarkEnd w:id="163"/>
    </w:p>
    <w:p w:rsidR="001B4738" w:rsidRPr="001B4738" w:rsidRDefault="001B4738" w:rsidP="001B4738">
      <w:pPr>
        <w:pStyle w:val="EndNoteBibliography"/>
        <w:spacing w:after="0"/>
      </w:pPr>
      <w:bookmarkStart w:id="164" w:name="_ENREF_22"/>
      <w:r w:rsidRPr="001B4738">
        <w:t>22.</w:t>
      </w:r>
      <w:r w:rsidRPr="001B4738">
        <w:tab/>
        <w:t>Norris D, Photiou L, Tacey M, Dolianitis C, Varigos G, Foley P, et al. Biologics and dermatology life quality index (DLQI) in the Australasian psoriasis population. J Dermatolog Treat. 2017:1-6.</w:t>
      </w:r>
      <w:bookmarkEnd w:id="164"/>
    </w:p>
    <w:p w:rsidR="001B4738" w:rsidRPr="001B4738" w:rsidRDefault="001B4738" w:rsidP="001B4738">
      <w:pPr>
        <w:pStyle w:val="EndNoteBibliography"/>
        <w:spacing w:after="0"/>
      </w:pPr>
      <w:bookmarkStart w:id="165" w:name="_ENREF_23"/>
      <w:r w:rsidRPr="001B4738">
        <w:t>23.</w:t>
      </w:r>
      <w:r w:rsidRPr="001B4738">
        <w:tab/>
        <w:t>Theodorakopoulou E, Yiu ZZN, Bundy C, Chularojanamontri L, Gittins M, Jamieson LA, et al. Early- and late-onset psoriasis: a cross-sectional clinical and immunocytochemical investigation. Br J Dermatol. 2016;175(5):1038-44.</w:t>
      </w:r>
      <w:bookmarkEnd w:id="165"/>
    </w:p>
    <w:p w:rsidR="001B4738" w:rsidRPr="001B4738" w:rsidRDefault="001B4738" w:rsidP="001B4738">
      <w:pPr>
        <w:pStyle w:val="EndNoteBibliography"/>
        <w:spacing w:after="0"/>
      </w:pPr>
      <w:bookmarkStart w:id="166" w:name="_ENREF_24"/>
      <w:r w:rsidRPr="001B4738">
        <w:t>24.</w:t>
      </w:r>
      <w:r w:rsidRPr="001B4738">
        <w:tab/>
        <w:t>Papadavid E, Katsimbri P, Kapniari I, Koumaki D, Karamparpa A, Dalamaga M, et al. Prevalence of psoriatic arthritis and its correlates among patients with psoriasis in Greece: results from a large retrospective study. Journal of the European Academy of Dermatology &amp; Venereology. 2016;30(10):1749-52.</w:t>
      </w:r>
      <w:bookmarkEnd w:id="166"/>
    </w:p>
    <w:p w:rsidR="001B4738" w:rsidRPr="001B4738" w:rsidRDefault="001B4738" w:rsidP="001B4738">
      <w:pPr>
        <w:pStyle w:val="EndNoteBibliography"/>
        <w:spacing w:after="0"/>
      </w:pPr>
      <w:bookmarkStart w:id="167" w:name="_ENREF_25"/>
      <w:r w:rsidRPr="001B4738">
        <w:t>25.</w:t>
      </w:r>
      <w:r w:rsidRPr="001B4738">
        <w:tab/>
        <w:t>Papadavid E, Rompoti N, Theodoropoulos K, Katsimbri P, Boumpas D, Rigopoulos D. Data from psoriasis clinic in a Greek university hospital during the first semester of 2016. Journal of the American Academy of Dermatology. 2017;76(6):AB92.</w:t>
      </w:r>
      <w:bookmarkEnd w:id="167"/>
    </w:p>
    <w:p w:rsidR="001B4738" w:rsidRPr="001B4738" w:rsidRDefault="001B4738" w:rsidP="001B4738">
      <w:pPr>
        <w:pStyle w:val="EndNoteBibliography"/>
        <w:spacing w:after="0"/>
      </w:pPr>
      <w:bookmarkStart w:id="168" w:name="_ENREF_26"/>
      <w:r w:rsidRPr="001B4738">
        <w:t>26.</w:t>
      </w:r>
      <w:r w:rsidRPr="001B4738">
        <w:tab/>
        <w:t>Burns T, Breathnach S, Cox N, Griffiths C, (ed). Rook's Textbook of Dermatology. 7th ed: Blackwell Publishing; 2004.</w:t>
      </w:r>
      <w:bookmarkEnd w:id="168"/>
    </w:p>
    <w:p w:rsidR="001B4738" w:rsidRPr="001B4738" w:rsidRDefault="001B4738" w:rsidP="001B4738">
      <w:pPr>
        <w:pStyle w:val="EndNoteBibliography"/>
        <w:spacing w:after="0"/>
      </w:pPr>
      <w:bookmarkStart w:id="169" w:name="_ENREF_27"/>
      <w:r w:rsidRPr="001B4738">
        <w:t>27.</w:t>
      </w:r>
      <w:r w:rsidRPr="001B4738">
        <w:tab/>
        <w:t>Bonigen J, Phan A, Hadj-Rabia S, Boralévi F, Bursztejn AC, Bodemer C, et al. Impact of sex and age on the clinical and epidemiological aspects of childhood psoriasis: Data from a French cross-sectional multicentre study. Annales de Dermatologie et de Venereologie. 2016;143(5):354-63.</w:t>
      </w:r>
      <w:bookmarkEnd w:id="169"/>
    </w:p>
    <w:p w:rsidR="001B4738" w:rsidRPr="001B4738" w:rsidRDefault="001B4738" w:rsidP="001B4738">
      <w:pPr>
        <w:pStyle w:val="EndNoteBibliography"/>
        <w:spacing w:after="0"/>
      </w:pPr>
      <w:bookmarkStart w:id="170" w:name="_ENREF_28"/>
      <w:r w:rsidRPr="001B4738">
        <w:t>28.</w:t>
      </w:r>
      <w:r w:rsidRPr="001B4738">
        <w:tab/>
        <w:t>Pourchot D, Bodemer C, Phan A, Bursztejn AC, Hadj-Rabia S, Boralevi F, et al. Nail Psoriasis: A Systematic Evaluation in 313 Children with Psoriasis. Pediatric Dermatology. 2017;34(1):58-63.</w:t>
      </w:r>
      <w:bookmarkEnd w:id="170"/>
    </w:p>
    <w:p w:rsidR="001B4738" w:rsidRPr="001B4738" w:rsidRDefault="001B4738" w:rsidP="001B4738">
      <w:pPr>
        <w:pStyle w:val="EndNoteBibliography"/>
        <w:spacing w:after="0"/>
      </w:pPr>
      <w:bookmarkStart w:id="171" w:name="_ENREF_29"/>
      <w:r w:rsidRPr="001B4738">
        <w:t>29.</w:t>
      </w:r>
      <w:r w:rsidRPr="001B4738">
        <w:tab/>
        <w:t>Morris A, Rogers M, Fischer G, Williams K. Childhood psoriasis: a clinical review of 1262 cases. Pediatric dermatology. 2001;18(3):188-98.</w:t>
      </w:r>
      <w:bookmarkEnd w:id="171"/>
    </w:p>
    <w:p w:rsidR="001B4738" w:rsidRPr="001B4738" w:rsidRDefault="001B4738" w:rsidP="001B4738">
      <w:pPr>
        <w:pStyle w:val="EndNoteBibliography"/>
        <w:spacing w:after="0"/>
      </w:pPr>
      <w:bookmarkStart w:id="172" w:name="_ENREF_30"/>
      <w:r w:rsidRPr="001B4738">
        <w:t>30.</w:t>
      </w:r>
      <w:r w:rsidRPr="001B4738">
        <w:tab/>
        <w:t xml:space="preserve">American Academy of Dermatology. Psoriasis (stats and facts) n.d. [cited 9 June 2017]. Available from: </w:t>
      </w:r>
      <w:r w:rsidRPr="00E6177E">
        <w:t>https://www.aad.org/media/stats/conditions/psoriasis</w:t>
      </w:r>
      <w:r w:rsidRPr="001B4738">
        <w:t>.</w:t>
      </w:r>
      <w:bookmarkEnd w:id="172"/>
    </w:p>
    <w:p w:rsidR="001B4738" w:rsidRPr="001B4738" w:rsidRDefault="001B4738" w:rsidP="001B4738">
      <w:pPr>
        <w:pStyle w:val="EndNoteBibliography"/>
        <w:spacing w:after="0"/>
      </w:pPr>
      <w:bookmarkStart w:id="173" w:name="_ENREF_31"/>
      <w:r w:rsidRPr="001B4738">
        <w:t>31.</w:t>
      </w:r>
      <w:r w:rsidRPr="001B4738">
        <w:tab/>
        <w:t>Menter A, Gottlieb A, Feldman SR, Van Voorhees AS, Leonardi CL, Gordon KB, et al. Guidelines of care for the management of psoriasis and psoriatic arthritis: Section 1. Overview of psoriasis and guidelines of care for the treatment of psoriasis with biologics. Journal of the American Academy of Dermatology. 2008;58(5):826-50.</w:t>
      </w:r>
      <w:bookmarkEnd w:id="173"/>
    </w:p>
    <w:p w:rsidR="001B4738" w:rsidRPr="001B4738" w:rsidRDefault="001B4738" w:rsidP="001B4738">
      <w:pPr>
        <w:pStyle w:val="EndNoteBibliography"/>
        <w:spacing w:after="0"/>
      </w:pPr>
      <w:bookmarkStart w:id="174" w:name="_ENREF_32"/>
      <w:r w:rsidRPr="001B4738">
        <w:t>32.</w:t>
      </w:r>
      <w:r w:rsidRPr="001B4738">
        <w:tab/>
        <w:t>Griffiths CEM, Barker JNWN. Pathogenesis and clinical features of psoriasis. The Lancet. 2007;370(9583):263-71.</w:t>
      </w:r>
      <w:bookmarkEnd w:id="174"/>
    </w:p>
    <w:p w:rsidR="001B4738" w:rsidRPr="001B4738" w:rsidRDefault="001B4738" w:rsidP="001B4738">
      <w:pPr>
        <w:pStyle w:val="EndNoteBibliography"/>
        <w:spacing w:after="0"/>
      </w:pPr>
      <w:bookmarkStart w:id="175" w:name="_ENREF_33"/>
      <w:r w:rsidRPr="001B4738">
        <w:t>33.</w:t>
      </w:r>
      <w:r w:rsidRPr="001B4738">
        <w:tab/>
        <w:t>Augustin M, Krüger K, Radtke MA, Schwippl I, Reich K. Disease Severity, Quality of Life and Health Care in Plaque-Type Psoriasis: A Multicenter Cross-Sectional Study in Germany. Dermatology. 2008;216(4):366-72.</w:t>
      </w:r>
      <w:bookmarkEnd w:id="175"/>
    </w:p>
    <w:p w:rsidR="001B4738" w:rsidRPr="001B4738" w:rsidRDefault="001B4738" w:rsidP="001B4738">
      <w:pPr>
        <w:pStyle w:val="EndNoteBibliography"/>
        <w:spacing w:after="0"/>
      </w:pPr>
      <w:bookmarkStart w:id="176" w:name="_ENREF_34"/>
      <w:r w:rsidRPr="001B4738">
        <w:t>34.</w:t>
      </w:r>
      <w:r w:rsidRPr="001B4738">
        <w:tab/>
        <w:t>Meeuwis KAP, de Hullu JA, Massuger LFAG, van de Kerkhof PCM, van Rossum MM. Genital psoriasis: A systematic literature review on this hidden skin disease. Acta Dermato-Venereologica. 2011;91(1):5-11.</w:t>
      </w:r>
      <w:bookmarkEnd w:id="176"/>
    </w:p>
    <w:p w:rsidR="001B4738" w:rsidRPr="001B4738" w:rsidRDefault="001B4738" w:rsidP="001B4738">
      <w:pPr>
        <w:pStyle w:val="EndNoteBibliography"/>
        <w:spacing w:after="0"/>
      </w:pPr>
      <w:bookmarkStart w:id="177" w:name="_ENREF_35"/>
      <w:r w:rsidRPr="001B4738">
        <w:t>35.</w:t>
      </w:r>
      <w:r w:rsidRPr="001B4738">
        <w:tab/>
        <w:t>Piaserico S, Gisondi P, Amerio P, Amoruso G, Campanati A, Conti A, et al. Validation and field performance of the Italian version of the psoriatic arthritis screening and evaluation (PASE) questionnaire. Acta Dermato-Venereologica. 2016;96:96-101.</w:t>
      </w:r>
      <w:bookmarkEnd w:id="177"/>
    </w:p>
    <w:p w:rsidR="001B4738" w:rsidRPr="001B4738" w:rsidRDefault="001B4738" w:rsidP="001B4738">
      <w:pPr>
        <w:pStyle w:val="EndNoteBibliography"/>
        <w:spacing w:after="0"/>
      </w:pPr>
      <w:bookmarkStart w:id="178" w:name="_ENREF_36"/>
      <w:r w:rsidRPr="001B4738">
        <w:t>36.</w:t>
      </w:r>
      <w:r w:rsidRPr="001B4738">
        <w:tab/>
        <w:t>Langenbruch A, Radtke MA, Jacobi A, Purwins S, Haack K, Reich K, et al. Quality of psoriasis care in Germany: results of the national health care study “PsoHealth3”. Archives of Dermatological Research. 2016;308(6):401-8.</w:t>
      </w:r>
      <w:bookmarkEnd w:id="178"/>
    </w:p>
    <w:p w:rsidR="001B4738" w:rsidRPr="001B4738" w:rsidRDefault="001B4738" w:rsidP="001B4738">
      <w:pPr>
        <w:pStyle w:val="EndNoteBibliography"/>
        <w:spacing w:after="0"/>
      </w:pPr>
      <w:bookmarkStart w:id="179" w:name="_ENREF_37"/>
      <w:r w:rsidRPr="001B4738">
        <w:t>37.</w:t>
      </w:r>
      <w:r w:rsidRPr="001B4738">
        <w:tab/>
        <w:t>Eder L, Haddad A, Rosen CF, Lee KA, Chandran V, Cook R, et al. The Incidence and Risk Factors for Psoriatic Arthritis in Patients with Psoriasis: A Prospective Cohort Study. Arthritis and Rheumatology. 2016;68(4):915-23.</w:t>
      </w:r>
      <w:bookmarkEnd w:id="179"/>
    </w:p>
    <w:p w:rsidR="001B4738" w:rsidRPr="001B4738" w:rsidRDefault="001B4738" w:rsidP="001B4738">
      <w:pPr>
        <w:pStyle w:val="EndNoteBibliography"/>
        <w:spacing w:after="0"/>
      </w:pPr>
      <w:bookmarkStart w:id="180" w:name="_ENREF_38"/>
      <w:r w:rsidRPr="001B4738">
        <w:t>38.</w:t>
      </w:r>
      <w:r w:rsidRPr="001B4738">
        <w:tab/>
        <w:t>Jenner N, Campbell J, Plunkett A, Marks R. Cost of psoriasis: A study on the morbidity and financial effects of having psoriasis in Australia. Australasian Journal of Dermatology. 2002;43(4):255-61.</w:t>
      </w:r>
      <w:bookmarkEnd w:id="180"/>
    </w:p>
    <w:p w:rsidR="001B4738" w:rsidRPr="001B4738" w:rsidRDefault="001B4738" w:rsidP="001B4738">
      <w:pPr>
        <w:pStyle w:val="EndNoteBibliography"/>
        <w:spacing w:after="0"/>
      </w:pPr>
      <w:bookmarkStart w:id="181" w:name="_ENREF_39"/>
      <w:r w:rsidRPr="001B4738">
        <w:t>39.</w:t>
      </w:r>
      <w:r w:rsidRPr="001B4738">
        <w:tab/>
        <w:t>Singh P, Soyer HP, Wu J, Salmhofer W, Gilmore S. Tele-assessment of Psoriasis Area and Severity Index: A study of the accuracy of digital image capture. Australasian Journal of Dermatology. 2011;52(4):259-63.</w:t>
      </w:r>
      <w:bookmarkEnd w:id="181"/>
    </w:p>
    <w:p w:rsidR="001B4738" w:rsidRPr="001B4738" w:rsidRDefault="001B4738" w:rsidP="001B4738">
      <w:pPr>
        <w:pStyle w:val="EndNoteBibliography"/>
        <w:spacing w:after="0"/>
      </w:pPr>
      <w:bookmarkStart w:id="182" w:name="_ENREF_40"/>
      <w:r w:rsidRPr="001B4738">
        <w:t>40.</w:t>
      </w:r>
      <w:r w:rsidRPr="001B4738">
        <w:tab/>
        <w:t>Urbancek S, Sutka R, Kmecova Z, Salkovska J, Vano I, Rovensky J. Screening of psoriatic arthritis in Slovakia. Journal of the European Academy of Dermatology and Venereology. 2016;30:34.</w:t>
      </w:r>
      <w:bookmarkEnd w:id="182"/>
    </w:p>
    <w:p w:rsidR="001B4738" w:rsidRPr="001B4738" w:rsidRDefault="001B4738" w:rsidP="001B4738">
      <w:pPr>
        <w:pStyle w:val="EndNoteBibliography"/>
        <w:spacing w:after="0"/>
      </w:pPr>
      <w:bookmarkStart w:id="183" w:name="_ENREF_41"/>
      <w:r w:rsidRPr="001B4738">
        <w:t>41.</w:t>
      </w:r>
      <w:r w:rsidRPr="001B4738">
        <w:tab/>
        <w:t>Puig L, van de Kerkhof PCM, Reich K, Bachelez H, Barker J, Girolomoni G, et al. A European subset analysis from the population-based Multinational Assessment of Psoriasis and Psoriatic Arthritis shows country-specific features: results from psoriasis patients in Spain. Journal of the European Academy of Dermatology and Venereology. 2017;31(7):1176-82.</w:t>
      </w:r>
      <w:bookmarkEnd w:id="183"/>
    </w:p>
    <w:p w:rsidR="001B4738" w:rsidRPr="001B4738" w:rsidRDefault="001B4738" w:rsidP="001B4738">
      <w:pPr>
        <w:pStyle w:val="EndNoteBibliography"/>
        <w:spacing w:after="0"/>
      </w:pPr>
      <w:bookmarkStart w:id="184" w:name="_ENREF_42"/>
      <w:r w:rsidRPr="001B4738">
        <w:t>42.</w:t>
      </w:r>
      <w:r w:rsidRPr="001B4738">
        <w:tab/>
        <w:t>Taylor W, Gladman D, Helliwell P, Marchesoni A, Mease P, Mielants H. Classification criteria for psoriatic arthritis: Development of new criteria from a large international study. Arthritis &amp; Rheumatism. 2006;54(8):2665-73.</w:t>
      </w:r>
      <w:bookmarkEnd w:id="184"/>
    </w:p>
    <w:p w:rsidR="001B4738" w:rsidRPr="001B4738" w:rsidRDefault="001B4738" w:rsidP="001B4738">
      <w:pPr>
        <w:pStyle w:val="EndNoteBibliography"/>
        <w:spacing w:after="0"/>
      </w:pPr>
      <w:bookmarkStart w:id="185" w:name="_ENREF_43"/>
      <w:r w:rsidRPr="001B4738">
        <w:t>43.</w:t>
      </w:r>
      <w:r w:rsidRPr="001B4738">
        <w:tab/>
        <w:t>Prey S, Paul C, Bronsard V, Puzenat E, Gourraud PA, Aractingi S, et al. Assessment of risk of psoriatic arthritis in patients with plaque psoriasis: a systematic review of the literature. Journal of the European Academy of Dermatology &amp; Venereology. 2010;24 Suppl 2:31-5.</w:t>
      </w:r>
      <w:bookmarkEnd w:id="185"/>
    </w:p>
    <w:p w:rsidR="001B4738" w:rsidRPr="001B4738" w:rsidRDefault="001B4738" w:rsidP="001B4738">
      <w:pPr>
        <w:pStyle w:val="EndNoteBibliography"/>
        <w:spacing w:after="0"/>
      </w:pPr>
      <w:bookmarkStart w:id="186" w:name="_ENREF_44"/>
      <w:r w:rsidRPr="001B4738">
        <w:t>44.</w:t>
      </w:r>
      <w:r w:rsidRPr="001B4738">
        <w:tab/>
        <w:t>Ágh T, Vokó Z, Heisel O, Chiva-Razavi S, Barbeau M, Szilberhorn L, et al. A systematic literature review of the prevalence of psoriatic arthritis. Annals of the Rheumatic Diseases. 2016;75:657.</w:t>
      </w:r>
      <w:bookmarkEnd w:id="186"/>
    </w:p>
    <w:p w:rsidR="001B4738" w:rsidRPr="001B4738" w:rsidRDefault="001B4738" w:rsidP="001B4738">
      <w:pPr>
        <w:pStyle w:val="EndNoteBibliography"/>
        <w:spacing w:after="0"/>
      </w:pPr>
      <w:bookmarkStart w:id="187" w:name="_ENREF_45"/>
      <w:r w:rsidRPr="001B4738">
        <w:t>45.</w:t>
      </w:r>
      <w:r w:rsidRPr="001B4738">
        <w:tab/>
        <w:t>Ogdie A, Weiss P. The Epidemiology of Psoriatic Arthritis. Rheumatic Diseases Clinics of North America. 2015;41(4):545-68.</w:t>
      </w:r>
      <w:bookmarkEnd w:id="187"/>
    </w:p>
    <w:p w:rsidR="001B4738" w:rsidRPr="001B4738" w:rsidRDefault="001B4738" w:rsidP="001B4738">
      <w:pPr>
        <w:pStyle w:val="EndNoteBibliography"/>
        <w:spacing w:after="0"/>
      </w:pPr>
      <w:bookmarkStart w:id="188" w:name="_ENREF_46"/>
      <w:r w:rsidRPr="001B4738">
        <w:t>46.</w:t>
      </w:r>
      <w:r w:rsidRPr="001B4738">
        <w:tab/>
        <w:t>Spelman L, Su JC, Fernandez-Penas P, Varigos GA, Cooper AJ, Baker CS, et al. Frequency of undiagnosed psoriatic arthritis among psoriasis patients in Australian dermatology practice. Journal of the European Academy of Dermatology &amp; Venereology. 2015;29(11):2184-91.</w:t>
      </w:r>
      <w:bookmarkEnd w:id="188"/>
    </w:p>
    <w:p w:rsidR="001B4738" w:rsidRPr="001B4738" w:rsidRDefault="001B4738" w:rsidP="001B4738">
      <w:pPr>
        <w:pStyle w:val="EndNoteBibliography"/>
        <w:spacing w:after="0"/>
      </w:pPr>
      <w:bookmarkStart w:id="189" w:name="_ENREF_47"/>
      <w:r w:rsidRPr="001B4738">
        <w:t>47.</w:t>
      </w:r>
      <w:r w:rsidRPr="001B4738">
        <w:tab/>
        <w:t>Mease PJ, Gladman DD, Papp KA, Khraishi MM, Thaçi D, Behrens F, et al. Prevalence of rheumatologist-diagnosed psoriatic arthritis in patients with psoriasis in European/North American dermatology clinics. Journal of the American Academy of Dermatology. 2013;69(5):729-35.</w:t>
      </w:r>
      <w:bookmarkEnd w:id="189"/>
    </w:p>
    <w:p w:rsidR="001B4738" w:rsidRPr="001B4738" w:rsidRDefault="001B4738" w:rsidP="001B4738">
      <w:pPr>
        <w:pStyle w:val="EndNoteBibliography"/>
        <w:spacing w:after="0"/>
      </w:pPr>
      <w:bookmarkStart w:id="190" w:name="_ENREF_48"/>
      <w:r w:rsidRPr="001B4738">
        <w:t>48.</w:t>
      </w:r>
      <w:r w:rsidRPr="001B4738">
        <w:tab/>
        <w:t>Hoff M, Gulati AM, Romundstad PR, Kavanaugh A, Haugeberg G. Prevalence and incidence rates of psoriatic arthritis in central Norway: data from the Nord-Trondelag health study (HUNT). Annals of the Rheumatic Diseases. 2015;74(1):60-4.</w:t>
      </w:r>
      <w:bookmarkEnd w:id="190"/>
    </w:p>
    <w:p w:rsidR="001B4738" w:rsidRPr="001B4738" w:rsidRDefault="001B4738" w:rsidP="001B4738">
      <w:pPr>
        <w:pStyle w:val="EndNoteBibliography"/>
        <w:spacing w:after="0"/>
      </w:pPr>
      <w:bookmarkStart w:id="191" w:name="_ENREF_49"/>
      <w:r w:rsidRPr="001B4738">
        <w:t>49.</w:t>
      </w:r>
      <w:r w:rsidRPr="001B4738">
        <w:tab/>
        <w:t>Karreman MC, Weel AEAM, Ven MVD, Vis M, Tchetverikov I, Nijsten TEC, et al. Performance of screening tools for psoriatic arthritis: A cross-sectional study in primary care. Rheumatology (United Kingdom). 2017;56(4):597-602.</w:t>
      </w:r>
      <w:bookmarkEnd w:id="191"/>
    </w:p>
    <w:p w:rsidR="001B4738" w:rsidRPr="001B4738" w:rsidRDefault="001B4738" w:rsidP="001B4738">
      <w:pPr>
        <w:pStyle w:val="EndNoteBibliography"/>
        <w:spacing w:after="0"/>
      </w:pPr>
      <w:bookmarkStart w:id="192" w:name="_ENREF_50"/>
      <w:r w:rsidRPr="001B4738">
        <w:t>50.</w:t>
      </w:r>
      <w:r w:rsidRPr="001B4738">
        <w:tab/>
        <w:t>Wilson FC, Icen M, Crowson CS, McEvoy MT, Gabriel SE, Kremers HM. Incidence and clinical predictors of psoriatic arthritis in patients with psoriasis: A population-based study. Arthritis Care &amp; Research. 2009;61(2):233-9.</w:t>
      </w:r>
      <w:bookmarkEnd w:id="192"/>
    </w:p>
    <w:p w:rsidR="001B4738" w:rsidRPr="001B4738" w:rsidRDefault="001B4738" w:rsidP="001B4738">
      <w:pPr>
        <w:pStyle w:val="EndNoteBibliography"/>
        <w:spacing w:after="0"/>
      </w:pPr>
      <w:bookmarkStart w:id="193" w:name="_ENREF_51"/>
      <w:r w:rsidRPr="001B4738">
        <w:t>51.</w:t>
      </w:r>
      <w:r w:rsidRPr="001B4738">
        <w:tab/>
        <w:t xml:space="preserve">Australian Bureau of Statistics. Australian Statistical Geography Standard (ASGS) Correspondences: cat.no. 1270.0.55.006; 2016 [cited 2017 9 June]. Available from: </w:t>
      </w:r>
      <w:r w:rsidRPr="00E6177E">
        <w:t>http://www.abs.gov.au/websitedbs/D3310114.nsf/home/Correspondences</w:t>
      </w:r>
      <w:r w:rsidRPr="001B4738">
        <w:t xml:space="preserve"> (requested by email).</w:t>
      </w:r>
      <w:bookmarkEnd w:id="193"/>
    </w:p>
    <w:p w:rsidR="001B4738" w:rsidRPr="001B4738" w:rsidRDefault="001B4738" w:rsidP="001B4738">
      <w:pPr>
        <w:pStyle w:val="EndNoteBibliography"/>
        <w:spacing w:after="0"/>
      </w:pPr>
      <w:bookmarkStart w:id="194" w:name="_ENREF_52"/>
      <w:r w:rsidRPr="001B4738">
        <w:t>52.</w:t>
      </w:r>
      <w:r w:rsidRPr="001B4738">
        <w:tab/>
        <w:t xml:space="preserve">Australian Bureau of Statistics. Australian Statistical Geography Standard (ASGS) 2017 [updated 1 June 2017; cited 2017 9 June]. Available from: </w:t>
      </w:r>
      <w:r w:rsidRPr="00E6177E">
        <w:t>http://www.abs.gov.au/websitedbs/d3310114.nsf/home/australian+statistical+geography+standard+%28asgs%29</w:t>
      </w:r>
      <w:r w:rsidRPr="001B4738">
        <w:t>.</w:t>
      </w:r>
      <w:bookmarkEnd w:id="194"/>
    </w:p>
    <w:p w:rsidR="001B4738" w:rsidRPr="001B4738" w:rsidRDefault="001B4738" w:rsidP="001B4738">
      <w:pPr>
        <w:pStyle w:val="EndNoteBibliography"/>
        <w:spacing w:after="0"/>
      </w:pPr>
      <w:bookmarkStart w:id="195" w:name="_ENREF_53"/>
      <w:r w:rsidRPr="001B4738">
        <w:t>53.</w:t>
      </w:r>
      <w:r w:rsidRPr="001B4738">
        <w:tab/>
        <w:t>Hoy D, Brooks P, Woolf A, Blyth F, March L, Bain C, et al. Assessing risk of bias in prevalence studies: modification of an existing tool and evidence of interrater agreement. Journal of Clinical Epidemiology. 2012;65(9):934-9.</w:t>
      </w:r>
      <w:bookmarkEnd w:id="195"/>
    </w:p>
    <w:p w:rsidR="001B4738" w:rsidRPr="001B4738" w:rsidRDefault="001B4738" w:rsidP="001B4738">
      <w:pPr>
        <w:pStyle w:val="EndNoteBibliography"/>
        <w:spacing w:after="0"/>
      </w:pPr>
      <w:bookmarkStart w:id="196" w:name="_ENREF_54"/>
      <w:r w:rsidRPr="001B4738">
        <w:t>54.</w:t>
      </w:r>
      <w:r w:rsidRPr="001B4738">
        <w:tab/>
        <w:t>Chamurlieva M, Korotaeva T, Loginova E. High prevalence of psoriatic arthritis misdiagnoses in psoriasis patients in russian dermatological clinics based on psoriasis epidemiology screening tool (PEST), rheumatological evaluation and the CASPAR Criteria. Annals of the Rheumatic Diseases. 2016;75:355-6.</w:t>
      </w:r>
      <w:bookmarkEnd w:id="196"/>
    </w:p>
    <w:p w:rsidR="001B4738" w:rsidRPr="001B4738" w:rsidRDefault="001B4738" w:rsidP="001B4738">
      <w:pPr>
        <w:pStyle w:val="EndNoteBibliography"/>
        <w:spacing w:after="0"/>
      </w:pPr>
      <w:bookmarkStart w:id="197" w:name="_ENREF_55"/>
      <w:r w:rsidRPr="001B4738">
        <w:t>55.</w:t>
      </w:r>
      <w:r w:rsidRPr="001B4738">
        <w:tab/>
        <w:t>Lebwohl MG, Kavanaugh A, Armstrong AW, Van Voorhees AS. US Perspectives in the Management of Psoriasis and Psoriatic Arthritis: Patient and Physician Results from the Population-Based Multinational Assessment of Psoriasis and Psoriatic Arthritis (MAPP) Survey. American Journal of Clinical Dermatology. 2016;17(1):87-97.</w:t>
      </w:r>
      <w:bookmarkEnd w:id="197"/>
    </w:p>
    <w:p w:rsidR="001B4738" w:rsidRPr="001B4738" w:rsidRDefault="001B4738" w:rsidP="001B4738">
      <w:pPr>
        <w:pStyle w:val="EndNoteBibliography"/>
        <w:spacing w:after="0"/>
      </w:pPr>
      <w:bookmarkStart w:id="198" w:name="_ENREF_56"/>
      <w:r w:rsidRPr="001B4738">
        <w:t>56.</w:t>
      </w:r>
      <w:r w:rsidRPr="001B4738">
        <w:tab/>
        <w:t>Coates LC, Savage L, Waxman R, Moverley AR, Worthington S, Helliwell PS. Comparison of screening questionnaires to identify psoriatic arthritis in a primary-care population: a cross-sectional study. Br J Dermatol. 2016;175(3):542-8.</w:t>
      </w:r>
      <w:bookmarkEnd w:id="198"/>
    </w:p>
    <w:p w:rsidR="001B4738" w:rsidRPr="001B4738" w:rsidRDefault="001B4738" w:rsidP="001B4738">
      <w:pPr>
        <w:pStyle w:val="EndNoteBibliography"/>
        <w:spacing w:after="0"/>
      </w:pPr>
      <w:bookmarkStart w:id="199" w:name="_ENREF_57"/>
      <w:r w:rsidRPr="001B4738">
        <w:t>57.</w:t>
      </w:r>
      <w:r w:rsidRPr="001B4738">
        <w:tab/>
        <w:t>Korman NJ, Zhao Y, Lu J, Tran MH. Psoriasis disease severity affects patient satisfaction with treatment. Dermatology Online Journal. 2015;21(7).</w:t>
      </w:r>
      <w:bookmarkEnd w:id="199"/>
    </w:p>
    <w:p w:rsidR="001B4738" w:rsidRPr="001B4738" w:rsidRDefault="001B4738" w:rsidP="001B4738">
      <w:pPr>
        <w:pStyle w:val="EndNoteBibliography"/>
        <w:spacing w:after="0"/>
      </w:pPr>
      <w:bookmarkStart w:id="200" w:name="_ENREF_58"/>
      <w:r w:rsidRPr="001B4738">
        <w:t>58.</w:t>
      </w:r>
      <w:r w:rsidRPr="001B4738">
        <w:tab/>
        <w:t>Dini V, Martini P, Bellini M, Bagnoni G, Marsili F, Lancia U. Psoriatic arthritis prevalence in the clinical practice of dermatologists in North-West Tuscany centers of excellence: A screening experience. Giornale Italiano di Dermatologia e Venereologia. 2017;152(1):24-7.</w:t>
      </w:r>
      <w:bookmarkEnd w:id="200"/>
    </w:p>
    <w:p w:rsidR="001B4738" w:rsidRPr="001B4738" w:rsidRDefault="001B4738" w:rsidP="001B4738">
      <w:pPr>
        <w:pStyle w:val="EndNoteBibliography"/>
        <w:spacing w:after="0"/>
      </w:pPr>
      <w:bookmarkStart w:id="201" w:name="_ENREF_59"/>
      <w:r w:rsidRPr="001B4738">
        <w:t>59.</w:t>
      </w:r>
      <w:r w:rsidRPr="001B4738">
        <w:tab/>
        <w:t>Edson-Heredia E, Zhu B, Guo J, Maeda-Chubachi T, Lebwohl M. Disease burden and quality of life in psoriasis patients with and without comorbid psoriatic arthritis: results from National Psoriasis Foundation panel surveys. Cutis. 2015;95(3):173-8.</w:t>
      </w:r>
      <w:bookmarkEnd w:id="201"/>
    </w:p>
    <w:p w:rsidR="001B4738" w:rsidRPr="001B4738" w:rsidRDefault="001B4738" w:rsidP="001B4738">
      <w:pPr>
        <w:pStyle w:val="EndNoteBibliography"/>
        <w:spacing w:after="0"/>
      </w:pPr>
      <w:bookmarkStart w:id="202" w:name="_ENREF_60"/>
      <w:r w:rsidRPr="001B4738">
        <w:t>60.</w:t>
      </w:r>
      <w:r w:rsidRPr="001B4738">
        <w:tab/>
        <w:t>Truong B, Rich-Garg N, Ehst BD, Deodhar AA, Ku JH, Vakil-Gilani K, et al. Demographics, clinical disease characteristics, and quality of life in a large cohort of psoriasis patients with and without psoriatic arthritis. Clinical, Cosmetic and Investigational Dermatology. 2015;8:563-9.</w:t>
      </w:r>
      <w:bookmarkEnd w:id="202"/>
    </w:p>
    <w:p w:rsidR="00294174" w:rsidRDefault="001B4738" w:rsidP="00673144">
      <w:pPr>
        <w:pStyle w:val="EndNoteBibliography"/>
        <w:rPr>
          <w:rFonts w:asciiTheme="majorHAnsi" w:eastAsiaTheme="majorEastAsia" w:hAnsiTheme="majorHAnsi" w:cstheme="majorBidi"/>
          <w:b/>
          <w:bCs/>
          <w:color w:val="4F81BD" w:themeColor="accent1"/>
          <w:sz w:val="32"/>
          <w:szCs w:val="26"/>
        </w:rPr>
      </w:pPr>
      <w:bookmarkStart w:id="203" w:name="_ENREF_61"/>
      <w:r w:rsidRPr="001B4738">
        <w:t>61.</w:t>
      </w:r>
      <w:r w:rsidRPr="001B4738">
        <w:tab/>
        <w:t>De Marco G, Cattaneo A, Carrera CG, Gibertini P, Battafarano N, Marchesoni A. The EPIPSOFIRE project: A Preliminary Report. Drug Development Research. 2014;75:S85-S7.</w:t>
      </w:r>
      <w:bookmarkEnd w:id="203"/>
    </w:p>
    <w:p w:rsidR="00795D8D" w:rsidRDefault="00795D8D" w:rsidP="00E7072A">
      <w:pPr>
        <w:sectPr w:rsidR="00795D8D" w:rsidSect="00071F2B">
          <w:headerReference w:type="even" r:id="rId29"/>
          <w:headerReference w:type="default" r:id="rId30"/>
          <w:footerReference w:type="default" r:id="rId31"/>
          <w:headerReference w:type="first" r:id="rId32"/>
          <w:pgSz w:w="11906" w:h="16838"/>
          <w:pgMar w:top="1440" w:right="1440" w:bottom="1440" w:left="1440" w:header="708" w:footer="708" w:gutter="0"/>
          <w:cols w:space="708"/>
          <w:titlePg/>
          <w:docGrid w:linePitch="360"/>
        </w:sectPr>
      </w:pPr>
      <w:bookmarkStart w:id="204" w:name="_Appendix_A_-"/>
      <w:bookmarkStart w:id="205" w:name="_Appendix_A_–"/>
      <w:bookmarkEnd w:id="204"/>
      <w:bookmarkEnd w:id="205"/>
    </w:p>
    <w:p w:rsidR="00071F2B" w:rsidRPr="00BD08D3" w:rsidRDefault="00071F2B" w:rsidP="00071F2B">
      <w:pPr>
        <w:pStyle w:val="Heading1"/>
      </w:pPr>
      <w:bookmarkStart w:id="206" w:name="_Ref497319976"/>
      <w:bookmarkStart w:id="207" w:name="_Toc501632381"/>
      <w:r w:rsidRPr="004A1880">
        <w:t xml:space="preserve">Appendix </w:t>
      </w:r>
      <w:r w:rsidR="00154617">
        <w:t>A</w:t>
      </w:r>
      <w:r w:rsidRPr="004A1880">
        <w:t xml:space="preserve"> –</w:t>
      </w:r>
      <w:r w:rsidRPr="005F1BE1">
        <w:t xml:space="preserve"> </w:t>
      </w:r>
      <w:r w:rsidRPr="00BD08D3">
        <w:t>ToR 3</w:t>
      </w:r>
      <w:r w:rsidR="00C0168F">
        <w:t>:</w:t>
      </w:r>
      <w:r w:rsidRPr="00BD08D3">
        <w:t xml:space="preserve"> Methods</w:t>
      </w:r>
      <w:bookmarkEnd w:id="206"/>
      <w:bookmarkEnd w:id="207"/>
    </w:p>
    <w:p w:rsidR="00FB1688" w:rsidRPr="00CA7470" w:rsidRDefault="00FB1688" w:rsidP="00731E5B">
      <w:pPr>
        <w:rPr>
          <w:lang w:eastAsia="en-GB"/>
        </w:rPr>
      </w:pPr>
      <w:r w:rsidRPr="00CA7470">
        <w:rPr>
          <w:lang w:eastAsia="en-GB"/>
        </w:rPr>
        <w:t>A systematic literature review was undertaken to identify estimates of the incidence and prevalence of severe CPP</w:t>
      </w:r>
      <w:r>
        <w:rPr>
          <w:lang w:eastAsia="en-GB"/>
        </w:rPr>
        <w:t xml:space="preserve"> (PASI ≥ 15)</w:t>
      </w:r>
      <w:r w:rsidRPr="00CA7470">
        <w:rPr>
          <w:lang w:eastAsia="en-GB"/>
        </w:rPr>
        <w:t xml:space="preserve"> in the Australian population. The systematic review searched the databases Medline and Embase. The </w:t>
      </w:r>
      <w:r w:rsidRPr="003A20F9">
        <w:rPr>
          <w:noProof/>
          <w:lang w:eastAsia="en-GB"/>
        </w:rPr>
        <w:t>review</w:t>
      </w:r>
      <w:r w:rsidRPr="00CA7470">
        <w:rPr>
          <w:lang w:eastAsia="en-GB"/>
        </w:rPr>
        <w:t xml:space="preserve"> was performed in two parts. The first aimed to identify existing systematic reviews of the epidemiology of psoriasis and psoriatic arthritis from inception. T</w:t>
      </w:r>
      <w:r>
        <w:rPr>
          <w:lang w:eastAsia="en-GB"/>
        </w:rPr>
        <w:t xml:space="preserve">he search </w:t>
      </w:r>
      <w:r w:rsidRPr="00CA7470">
        <w:rPr>
          <w:lang w:eastAsia="en-GB"/>
        </w:rPr>
        <w:t>found two systematic reviews of the epidemiology of psoriasis</w:t>
      </w:r>
      <w:r>
        <w:rPr>
          <w:lang w:eastAsia="en-GB"/>
        </w:rPr>
        <w:t xml:space="preserve"> </w:t>
      </w:r>
      <w:r>
        <w:rPr>
          <w:noProof/>
          <w:lang w:eastAsia="en-GB"/>
        </w:rPr>
        <w:t>(</w:t>
      </w:r>
      <w:r w:rsidR="001B4738">
        <w:rPr>
          <w:noProof/>
          <w:lang w:eastAsia="en-GB"/>
        </w:rPr>
        <w:t>8</w:t>
      </w:r>
      <w:r>
        <w:rPr>
          <w:noProof/>
          <w:lang w:eastAsia="en-GB"/>
        </w:rPr>
        <w:t xml:space="preserve">, </w:t>
      </w:r>
      <w:r w:rsidR="001B4738">
        <w:rPr>
          <w:noProof/>
          <w:lang w:eastAsia="en-GB"/>
        </w:rPr>
        <w:t>9</w:t>
      </w:r>
      <w:r>
        <w:rPr>
          <w:noProof/>
          <w:lang w:eastAsia="en-GB"/>
        </w:rPr>
        <w:t>)</w:t>
      </w:r>
      <w:r w:rsidRPr="00CA7470">
        <w:rPr>
          <w:lang w:eastAsia="en-GB"/>
        </w:rPr>
        <w:t xml:space="preserve"> and two systematic reviews of the prevalence of </w:t>
      </w:r>
      <w:r w:rsidR="001803C6">
        <w:rPr>
          <w:lang w:eastAsia="en-GB"/>
        </w:rPr>
        <w:t>PsA</w:t>
      </w:r>
      <w:r w:rsidR="00391744">
        <w:rPr>
          <w:noProof/>
          <w:lang w:eastAsia="en-GB"/>
        </w:rPr>
        <w:t>(</w:t>
      </w:r>
      <w:r w:rsidR="001B4738">
        <w:rPr>
          <w:noProof/>
          <w:lang w:eastAsia="en-GB"/>
        </w:rPr>
        <w:t>43</w:t>
      </w:r>
      <w:r w:rsidR="00391744">
        <w:rPr>
          <w:noProof/>
          <w:lang w:eastAsia="en-GB"/>
        </w:rPr>
        <w:t>)</w:t>
      </w:r>
      <w:r w:rsidRPr="00CA7470">
        <w:rPr>
          <w:lang w:eastAsia="en-GB"/>
        </w:rPr>
        <w:t>, one of which was in abstract form only</w:t>
      </w:r>
      <w:r>
        <w:rPr>
          <w:lang w:eastAsia="en-GB"/>
        </w:rPr>
        <w:t>.</w:t>
      </w:r>
      <w:r>
        <w:rPr>
          <w:noProof/>
          <w:lang w:eastAsia="en-GB"/>
        </w:rPr>
        <w:t>(</w:t>
      </w:r>
      <w:r w:rsidR="001B4738">
        <w:rPr>
          <w:noProof/>
          <w:lang w:eastAsia="en-GB"/>
        </w:rPr>
        <w:t>44</w:t>
      </w:r>
      <w:r>
        <w:rPr>
          <w:noProof/>
          <w:lang w:eastAsia="en-GB"/>
        </w:rPr>
        <w:t>)</w:t>
      </w:r>
      <w:r w:rsidRPr="00CA7470">
        <w:rPr>
          <w:lang w:eastAsia="en-GB"/>
        </w:rPr>
        <w:t xml:space="preserve">  These reviews were complete to 2015. The second part of the literature search identified studies published since 2015. The risk of bias of the included studies </w:t>
      </w:r>
      <w:r w:rsidRPr="003A20F9">
        <w:rPr>
          <w:noProof/>
          <w:lang w:eastAsia="en-GB"/>
        </w:rPr>
        <w:t>were</w:t>
      </w:r>
      <w:r w:rsidRPr="00CA7470">
        <w:rPr>
          <w:lang w:eastAsia="en-GB"/>
        </w:rPr>
        <w:t xml:space="preserve"> assessed using the tool for assessing risk of bias in prevalence studies by </w:t>
      </w:r>
      <w:r>
        <w:rPr>
          <w:noProof/>
          <w:lang w:eastAsia="en-GB"/>
        </w:rPr>
        <w:t>Hoy (2012).(</w:t>
      </w:r>
      <w:r w:rsidR="001B4738">
        <w:rPr>
          <w:noProof/>
          <w:lang w:eastAsia="en-GB"/>
        </w:rPr>
        <w:t>53</w:t>
      </w:r>
      <w:r>
        <w:rPr>
          <w:noProof/>
          <w:lang w:eastAsia="en-GB"/>
        </w:rPr>
        <w:t>)</w:t>
      </w:r>
      <w:r w:rsidRPr="00CA7470">
        <w:rPr>
          <w:lang w:eastAsia="en-GB"/>
        </w:rPr>
        <w:t xml:space="preserve"> </w:t>
      </w:r>
    </w:p>
    <w:p w:rsidR="00071F2B" w:rsidRPr="007B1B63" w:rsidRDefault="00071F2B" w:rsidP="00071F2B">
      <w:r w:rsidRPr="007B1B63">
        <w:t xml:space="preserve">The following sources </w:t>
      </w:r>
      <w:r>
        <w:t>were</w:t>
      </w:r>
      <w:r w:rsidRPr="007B1B63">
        <w:t xml:space="preserve"> used:</w:t>
      </w:r>
    </w:p>
    <w:p w:rsidR="00071F2B" w:rsidRPr="007B1B63" w:rsidRDefault="00071F2B" w:rsidP="00820673">
      <w:pPr>
        <w:numPr>
          <w:ilvl w:val="0"/>
          <w:numId w:val="12"/>
        </w:numPr>
        <w:spacing w:before="240"/>
      </w:pPr>
      <w:r w:rsidRPr="007B1B63">
        <w:t xml:space="preserve">Medline </w:t>
      </w:r>
    </w:p>
    <w:p w:rsidR="00071F2B" w:rsidRPr="007B1B63" w:rsidRDefault="00071F2B" w:rsidP="00820673">
      <w:pPr>
        <w:numPr>
          <w:ilvl w:val="0"/>
          <w:numId w:val="12"/>
        </w:numPr>
        <w:spacing w:before="240"/>
      </w:pPr>
      <w:r w:rsidRPr="007B1B63">
        <w:t>Embase</w:t>
      </w:r>
    </w:p>
    <w:p w:rsidR="00071F2B" w:rsidRDefault="00071F2B" w:rsidP="00071F2B">
      <w:r w:rsidRPr="007B1B63">
        <w:t xml:space="preserve">The bibliographies of all included studies </w:t>
      </w:r>
      <w:r>
        <w:t>were</w:t>
      </w:r>
      <w:r w:rsidRPr="007B1B63">
        <w:t xml:space="preserve"> searched for any relevant studies not identified in the database searches. The relevant PBS Public Summary Documents </w:t>
      </w:r>
      <w:r>
        <w:t>were</w:t>
      </w:r>
      <w:r w:rsidRPr="007B1B63">
        <w:t xml:space="preserve"> identified and obtained (</w:t>
      </w:r>
      <w:r w:rsidRPr="00945EB3">
        <w:t>www.pbs.gov.au</w:t>
      </w:r>
      <w:r w:rsidRPr="007B1B63">
        <w:t xml:space="preserve">). </w:t>
      </w:r>
      <w:r>
        <w:t>We</w:t>
      </w:r>
      <w:r w:rsidRPr="007B1B63">
        <w:t xml:space="preserve"> search</w:t>
      </w:r>
      <w:r>
        <w:t>ed</w:t>
      </w:r>
      <w:r w:rsidRPr="007B1B63">
        <w:t xml:space="preserve"> publications from the Australian Bureau of Statistics and the Australian Institute of Health and Welfare for data on psoriasis. </w:t>
      </w:r>
    </w:p>
    <w:p w:rsidR="00071F2B" w:rsidRPr="00394001" w:rsidRDefault="00071F2B" w:rsidP="007C694E">
      <w:pPr>
        <w:pStyle w:val="MDSubheading"/>
      </w:pPr>
      <w:bookmarkStart w:id="208" w:name="_Toc501632382"/>
      <w:r w:rsidRPr="00394001">
        <w:t>Search strategy</w:t>
      </w:r>
      <w:bookmarkEnd w:id="208"/>
    </w:p>
    <w:p w:rsidR="00071F2B" w:rsidRPr="001E4A3C" w:rsidRDefault="00071F2B" w:rsidP="001E4A3C">
      <w:pPr>
        <w:rPr>
          <w:b/>
          <w:i/>
        </w:rPr>
      </w:pPr>
      <w:r w:rsidRPr="001E4A3C">
        <w:rPr>
          <w:b/>
          <w:i/>
        </w:rPr>
        <w:t>Search strategy: Identification of systematic reviews (Medline OVID and Embase)</w:t>
      </w:r>
    </w:p>
    <w:p w:rsidR="00071F2B" w:rsidRPr="00F0232E" w:rsidRDefault="00071F2B" w:rsidP="00820673">
      <w:pPr>
        <w:numPr>
          <w:ilvl w:val="0"/>
          <w:numId w:val="10"/>
        </w:numPr>
        <w:autoSpaceDE w:val="0"/>
        <w:autoSpaceDN w:val="0"/>
        <w:adjustRightInd w:val="0"/>
        <w:spacing w:before="120" w:after="120" w:line="360" w:lineRule="auto"/>
        <w:contextualSpacing/>
        <w:rPr>
          <w:rFonts w:eastAsia="Times New Roman" w:cs="Arial"/>
          <w:color w:val="000000"/>
          <w:szCs w:val="24"/>
        </w:rPr>
      </w:pPr>
      <w:r w:rsidRPr="00F0232E">
        <w:rPr>
          <w:rFonts w:eastAsia="Times New Roman" w:cs="Arial"/>
          <w:color w:val="000000"/>
          <w:szCs w:val="24"/>
        </w:rPr>
        <w:t>psoriasis.mp. or exp Psoriasis/</w:t>
      </w:r>
    </w:p>
    <w:p w:rsidR="00071F2B" w:rsidRDefault="00071F2B" w:rsidP="00820673">
      <w:pPr>
        <w:numPr>
          <w:ilvl w:val="0"/>
          <w:numId w:val="10"/>
        </w:numPr>
        <w:autoSpaceDE w:val="0"/>
        <w:autoSpaceDN w:val="0"/>
        <w:adjustRightInd w:val="0"/>
        <w:spacing w:before="120" w:after="120" w:line="360" w:lineRule="auto"/>
        <w:contextualSpacing/>
        <w:rPr>
          <w:rFonts w:eastAsia="Times New Roman" w:cs="Arial"/>
          <w:color w:val="000000"/>
          <w:szCs w:val="24"/>
        </w:rPr>
      </w:pPr>
      <w:r>
        <w:rPr>
          <w:rFonts w:eastAsia="Times New Roman" w:cs="Arial"/>
          <w:color w:val="000000"/>
          <w:szCs w:val="24"/>
        </w:rPr>
        <w:t xml:space="preserve">exp </w:t>
      </w:r>
      <w:r w:rsidR="001904D5">
        <w:rPr>
          <w:rFonts w:eastAsia="Times New Roman" w:cs="Arial"/>
          <w:color w:val="000000"/>
          <w:szCs w:val="24"/>
        </w:rPr>
        <w:t>Arthritis</w:t>
      </w:r>
      <w:r>
        <w:rPr>
          <w:rFonts w:eastAsia="Times New Roman" w:cs="Arial"/>
          <w:color w:val="000000"/>
          <w:szCs w:val="24"/>
        </w:rPr>
        <w:t>, Psoriatic/ or psoriatic.mp</w:t>
      </w:r>
    </w:p>
    <w:p w:rsidR="00071F2B" w:rsidRDefault="00071F2B" w:rsidP="00820673">
      <w:pPr>
        <w:numPr>
          <w:ilvl w:val="0"/>
          <w:numId w:val="10"/>
        </w:numPr>
        <w:autoSpaceDE w:val="0"/>
        <w:autoSpaceDN w:val="0"/>
        <w:adjustRightInd w:val="0"/>
        <w:spacing w:before="120" w:after="120" w:line="360" w:lineRule="auto"/>
        <w:contextualSpacing/>
        <w:rPr>
          <w:rFonts w:eastAsia="Times New Roman" w:cs="Arial"/>
          <w:color w:val="000000"/>
          <w:szCs w:val="24"/>
        </w:rPr>
      </w:pPr>
      <w:r>
        <w:rPr>
          <w:rFonts w:eastAsia="Times New Roman" w:cs="Arial"/>
          <w:color w:val="000000"/>
          <w:szCs w:val="24"/>
        </w:rPr>
        <w:t>Psorias?s.mp</w:t>
      </w:r>
    </w:p>
    <w:p w:rsidR="00071F2B" w:rsidRDefault="00071F2B" w:rsidP="00820673">
      <w:pPr>
        <w:numPr>
          <w:ilvl w:val="0"/>
          <w:numId w:val="10"/>
        </w:numPr>
        <w:autoSpaceDE w:val="0"/>
        <w:autoSpaceDN w:val="0"/>
        <w:adjustRightInd w:val="0"/>
        <w:spacing w:before="120" w:after="120" w:line="360" w:lineRule="auto"/>
        <w:contextualSpacing/>
        <w:rPr>
          <w:rFonts w:eastAsia="Times New Roman" w:cs="Arial"/>
          <w:color w:val="000000"/>
          <w:szCs w:val="24"/>
        </w:rPr>
      </w:pPr>
      <w:r>
        <w:rPr>
          <w:rFonts w:eastAsia="Times New Roman" w:cs="Arial"/>
          <w:color w:val="000000"/>
          <w:szCs w:val="24"/>
        </w:rPr>
        <w:t>epidemiology.mp or epidemiology/</w:t>
      </w:r>
    </w:p>
    <w:p w:rsidR="00071F2B" w:rsidRDefault="00071F2B" w:rsidP="00820673">
      <w:pPr>
        <w:numPr>
          <w:ilvl w:val="0"/>
          <w:numId w:val="10"/>
        </w:numPr>
        <w:autoSpaceDE w:val="0"/>
        <w:autoSpaceDN w:val="0"/>
        <w:adjustRightInd w:val="0"/>
        <w:spacing w:before="120" w:after="120" w:line="360" w:lineRule="auto"/>
        <w:contextualSpacing/>
        <w:rPr>
          <w:rFonts w:eastAsia="Times New Roman" w:cs="Arial"/>
          <w:color w:val="000000"/>
          <w:szCs w:val="24"/>
        </w:rPr>
      </w:pPr>
      <w:r>
        <w:rPr>
          <w:rFonts w:eastAsia="Times New Roman" w:cs="Arial"/>
          <w:color w:val="000000"/>
          <w:szCs w:val="24"/>
        </w:rPr>
        <w:t>incidence.mp or incidence/</w:t>
      </w:r>
    </w:p>
    <w:p w:rsidR="00071F2B" w:rsidRPr="00CF1E20" w:rsidRDefault="00071F2B" w:rsidP="00820673">
      <w:pPr>
        <w:numPr>
          <w:ilvl w:val="0"/>
          <w:numId w:val="10"/>
        </w:numPr>
        <w:autoSpaceDE w:val="0"/>
        <w:autoSpaceDN w:val="0"/>
        <w:adjustRightInd w:val="0"/>
        <w:spacing w:before="120" w:after="120" w:line="360" w:lineRule="auto"/>
        <w:contextualSpacing/>
        <w:rPr>
          <w:rFonts w:eastAsia="Times New Roman" w:cs="Arial"/>
          <w:color w:val="000000"/>
          <w:szCs w:val="24"/>
        </w:rPr>
      </w:pPr>
      <w:r>
        <w:rPr>
          <w:rFonts w:eastAsia="Times New Roman" w:cs="Arial"/>
          <w:color w:val="000000"/>
          <w:szCs w:val="24"/>
        </w:rPr>
        <w:t>prevalence.mp or prevalence/</w:t>
      </w:r>
    </w:p>
    <w:p w:rsidR="00071F2B" w:rsidRDefault="00071F2B" w:rsidP="00820673">
      <w:pPr>
        <w:numPr>
          <w:ilvl w:val="0"/>
          <w:numId w:val="10"/>
        </w:numPr>
        <w:autoSpaceDE w:val="0"/>
        <w:autoSpaceDN w:val="0"/>
        <w:adjustRightInd w:val="0"/>
        <w:spacing w:before="120" w:after="120" w:line="360" w:lineRule="auto"/>
        <w:contextualSpacing/>
        <w:rPr>
          <w:rFonts w:eastAsia="Times New Roman" w:cs="Arial"/>
          <w:color w:val="000000"/>
          <w:szCs w:val="24"/>
        </w:rPr>
      </w:pPr>
      <w:r w:rsidRPr="00F0232E">
        <w:rPr>
          <w:rFonts w:eastAsia="Times New Roman" w:cs="Arial"/>
          <w:color w:val="000000"/>
          <w:szCs w:val="24"/>
        </w:rPr>
        <w:t xml:space="preserve">1 </w:t>
      </w:r>
      <w:r>
        <w:rPr>
          <w:rFonts w:eastAsia="Times New Roman" w:cs="Arial"/>
          <w:color w:val="000000"/>
          <w:szCs w:val="24"/>
        </w:rPr>
        <w:t>or</w:t>
      </w:r>
      <w:r w:rsidRPr="00F0232E">
        <w:rPr>
          <w:rFonts w:eastAsia="Times New Roman" w:cs="Arial"/>
          <w:color w:val="000000"/>
          <w:szCs w:val="24"/>
        </w:rPr>
        <w:t xml:space="preserve"> 2</w:t>
      </w:r>
      <w:r>
        <w:rPr>
          <w:rFonts w:eastAsia="Times New Roman" w:cs="Arial"/>
          <w:color w:val="000000"/>
          <w:szCs w:val="24"/>
        </w:rPr>
        <w:t xml:space="preserve"> or 3</w:t>
      </w:r>
    </w:p>
    <w:p w:rsidR="00071F2B" w:rsidRDefault="00071F2B" w:rsidP="00820673">
      <w:pPr>
        <w:numPr>
          <w:ilvl w:val="0"/>
          <w:numId w:val="10"/>
        </w:numPr>
        <w:autoSpaceDE w:val="0"/>
        <w:autoSpaceDN w:val="0"/>
        <w:adjustRightInd w:val="0"/>
        <w:spacing w:before="120" w:after="120" w:line="360" w:lineRule="auto"/>
        <w:contextualSpacing/>
        <w:rPr>
          <w:rFonts w:eastAsia="Times New Roman" w:cs="Arial"/>
          <w:color w:val="000000"/>
          <w:szCs w:val="24"/>
        </w:rPr>
      </w:pPr>
      <w:r>
        <w:rPr>
          <w:rFonts w:eastAsia="Times New Roman" w:cs="Arial"/>
          <w:color w:val="000000"/>
          <w:szCs w:val="24"/>
        </w:rPr>
        <w:t>4</w:t>
      </w:r>
      <w:r w:rsidRPr="00F0232E">
        <w:rPr>
          <w:rFonts w:eastAsia="Times New Roman" w:cs="Arial"/>
          <w:color w:val="000000"/>
          <w:szCs w:val="24"/>
        </w:rPr>
        <w:t xml:space="preserve"> </w:t>
      </w:r>
      <w:r>
        <w:rPr>
          <w:rFonts w:eastAsia="Times New Roman" w:cs="Arial"/>
          <w:color w:val="000000"/>
          <w:szCs w:val="24"/>
        </w:rPr>
        <w:t>or</w:t>
      </w:r>
      <w:r w:rsidRPr="00F0232E">
        <w:rPr>
          <w:rFonts w:eastAsia="Times New Roman" w:cs="Arial"/>
          <w:color w:val="000000"/>
          <w:szCs w:val="24"/>
        </w:rPr>
        <w:t xml:space="preserve"> </w:t>
      </w:r>
      <w:r>
        <w:rPr>
          <w:rFonts w:eastAsia="Times New Roman" w:cs="Arial"/>
          <w:color w:val="000000"/>
          <w:szCs w:val="24"/>
        </w:rPr>
        <w:t>5 or 6</w:t>
      </w:r>
    </w:p>
    <w:p w:rsidR="00071F2B" w:rsidRDefault="00071F2B" w:rsidP="00820673">
      <w:pPr>
        <w:numPr>
          <w:ilvl w:val="0"/>
          <w:numId w:val="10"/>
        </w:numPr>
        <w:autoSpaceDE w:val="0"/>
        <w:autoSpaceDN w:val="0"/>
        <w:adjustRightInd w:val="0"/>
        <w:spacing w:before="120" w:after="120" w:line="360" w:lineRule="auto"/>
        <w:contextualSpacing/>
        <w:rPr>
          <w:rFonts w:eastAsia="Times New Roman" w:cs="Arial"/>
          <w:color w:val="000000"/>
          <w:szCs w:val="24"/>
        </w:rPr>
      </w:pPr>
      <w:r>
        <w:rPr>
          <w:rFonts w:eastAsia="Times New Roman" w:cs="Arial"/>
          <w:color w:val="000000"/>
          <w:szCs w:val="24"/>
        </w:rPr>
        <w:t>7 and 8</w:t>
      </w:r>
    </w:p>
    <w:p w:rsidR="00071F2B" w:rsidRDefault="00071F2B" w:rsidP="00820673">
      <w:pPr>
        <w:numPr>
          <w:ilvl w:val="0"/>
          <w:numId w:val="10"/>
        </w:numPr>
        <w:autoSpaceDE w:val="0"/>
        <w:autoSpaceDN w:val="0"/>
        <w:adjustRightInd w:val="0"/>
        <w:spacing w:before="120" w:after="120" w:line="360" w:lineRule="auto"/>
        <w:contextualSpacing/>
        <w:rPr>
          <w:rFonts w:eastAsia="Times New Roman" w:cs="Arial"/>
          <w:color w:val="000000"/>
          <w:szCs w:val="24"/>
        </w:rPr>
      </w:pPr>
      <w:r>
        <w:rPr>
          <w:rFonts w:eastAsia="Times New Roman" w:cs="Arial"/>
          <w:color w:val="000000"/>
          <w:szCs w:val="24"/>
        </w:rPr>
        <w:t>Systematic review.m-titl.</w:t>
      </w:r>
    </w:p>
    <w:p w:rsidR="00071F2B" w:rsidRPr="00F0232E" w:rsidRDefault="00071F2B" w:rsidP="00820673">
      <w:pPr>
        <w:numPr>
          <w:ilvl w:val="0"/>
          <w:numId w:val="10"/>
        </w:numPr>
        <w:autoSpaceDE w:val="0"/>
        <w:autoSpaceDN w:val="0"/>
        <w:adjustRightInd w:val="0"/>
        <w:spacing w:before="120" w:after="120" w:line="360" w:lineRule="auto"/>
        <w:contextualSpacing/>
        <w:rPr>
          <w:rFonts w:eastAsia="Times New Roman" w:cs="Arial"/>
          <w:color w:val="000000"/>
          <w:szCs w:val="24"/>
        </w:rPr>
      </w:pPr>
      <w:r>
        <w:rPr>
          <w:rFonts w:eastAsia="Times New Roman" w:cs="Arial"/>
          <w:color w:val="000000"/>
          <w:szCs w:val="24"/>
        </w:rPr>
        <w:t>9 and 10</w:t>
      </w:r>
    </w:p>
    <w:p w:rsidR="00071F2B" w:rsidRPr="00F0232E" w:rsidRDefault="00071F2B" w:rsidP="00820673">
      <w:pPr>
        <w:numPr>
          <w:ilvl w:val="0"/>
          <w:numId w:val="10"/>
        </w:numPr>
        <w:autoSpaceDE w:val="0"/>
        <w:autoSpaceDN w:val="0"/>
        <w:adjustRightInd w:val="0"/>
        <w:spacing w:before="120" w:after="120" w:line="360" w:lineRule="auto"/>
        <w:contextualSpacing/>
        <w:rPr>
          <w:rFonts w:eastAsia="Times New Roman" w:cs="Arial"/>
          <w:color w:val="000000"/>
          <w:szCs w:val="24"/>
        </w:rPr>
      </w:pPr>
      <w:r w:rsidRPr="00F0232E">
        <w:rPr>
          <w:rFonts w:eastAsia="Times New Roman" w:cs="Arial"/>
          <w:color w:val="000000"/>
          <w:szCs w:val="24"/>
        </w:rPr>
        <w:t xml:space="preserve">limit </w:t>
      </w:r>
      <w:r>
        <w:rPr>
          <w:rFonts w:eastAsia="Times New Roman" w:cs="Arial"/>
          <w:color w:val="000000"/>
          <w:szCs w:val="24"/>
        </w:rPr>
        <w:t>11</w:t>
      </w:r>
      <w:r w:rsidRPr="00F0232E">
        <w:rPr>
          <w:rFonts w:eastAsia="Times New Roman" w:cs="Arial"/>
          <w:color w:val="000000"/>
          <w:szCs w:val="24"/>
        </w:rPr>
        <w:t xml:space="preserve"> to yr="2007 -Current"</w:t>
      </w:r>
    </w:p>
    <w:p w:rsidR="00071F2B" w:rsidRPr="001E4A3C" w:rsidRDefault="00071F2B" w:rsidP="001E4A3C">
      <w:pPr>
        <w:keepNext/>
        <w:keepLines/>
        <w:rPr>
          <w:b/>
          <w:i/>
        </w:rPr>
      </w:pPr>
      <w:r w:rsidRPr="001E4A3C">
        <w:rPr>
          <w:b/>
          <w:i/>
        </w:rPr>
        <w:t xml:space="preserve">Search strategy: Identification of </w:t>
      </w:r>
      <w:r w:rsidR="00FB1688" w:rsidRPr="001E4A3C">
        <w:rPr>
          <w:b/>
          <w:i/>
        </w:rPr>
        <w:t>updated studies</w:t>
      </w:r>
      <w:r w:rsidRPr="001E4A3C">
        <w:rPr>
          <w:b/>
          <w:i/>
        </w:rPr>
        <w:t xml:space="preserve"> (Medline OVID and Embase)</w:t>
      </w:r>
    </w:p>
    <w:p w:rsidR="00071F2B" w:rsidRDefault="00071F2B" w:rsidP="001E4A3C">
      <w:pPr>
        <w:keepNext/>
        <w:keepLines/>
        <w:numPr>
          <w:ilvl w:val="0"/>
          <w:numId w:val="11"/>
        </w:numPr>
        <w:autoSpaceDE w:val="0"/>
        <w:autoSpaceDN w:val="0"/>
        <w:adjustRightInd w:val="0"/>
        <w:spacing w:before="120" w:after="120" w:line="360" w:lineRule="auto"/>
        <w:contextualSpacing/>
        <w:rPr>
          <w:rFonts w:eastAsia="Times New Roman" w:cs="Arial"/>
          <w:color w:val="000000"/>
          <w:szCs w:val="24"/>
        </w:rPr>
      </w:pPr>
      <w:r w:rsidRPr="00F0232E">
        <w:rPr>
          <w:rFonts w:eastAsia="Times New Roman" w:cs="Arial"/>
          <w:color w:val="000000"/>
          <w:szCs w:val="24"/>
        </w:rPr>
        <w:t>psoriasis.mp. or exp Psoriasis/</w:t>
      </w:r>
    </w:p>
    <w:p w:rsidR="00071F2B" w:rsidRDefault="00071F2B" w:rsidP="001E4A3C">
      <w:pPr>
        <w:keepNext/>
        <w:keepLines/>
        <w:numPr>
          <w:ilvl w:val="0"/>
          <w:numId w:val="11"/>
        </w:numPr>
        <w:autoSpaceDE w:val="0"/>
        <w:autoSpaceDN w:val="0"/>
        <w:adjustRightInd w:val="0"/>
        <w:spacing w:before="120" w:after="120" w:line="360" w:lineRule="auto"/>
        <w:contextualSpacing/>
        <w:rPr>
          <w:rFonts w:eastAsia="Times New Roman" w:cs="Arial"/>
          <w:color w:val="000000"/>
          <w:szCs w:val="24"/>
        </w:rPr>
      </w:pPr>
      <w:r>
        <w:rPr>
          <w:rFonts w:eastAsia="Times New Roman" w:cs="Arial"/>
          <w:color w:val="000000"/>
          <w:szCs w:val="24"/>
        </w:rPr>
        <w:t>exp Arthritis, Psoriatic/ or psoriatic.mp</w:t>
      </w:r>
    </w:p>
    <w:p w:rsidR="00071F2B" w:rsidRDefault="00071F2B" w:rsidP="001E4A3C">
      <w:pPr>
        <w:keepNext/>
        <w:keepLines/>
        <w:numPr>
          <w:ilvl w:val="0"/>
          <w:numId w:val="11"/>
        </w:numPr>
        <w:autoSpaceDE w:val="0"/>
        <w:autoSpaceDN w:val="0"/>
        <w:adjustRightInd w:val="0"/>
        <w:spacing w:before="120" w:after="120" w:line="360" w:lineRule="auto"/>
        <w:contextualSpacing/>
        <w:rPr>
          <w:rFonts w:eastAsia="Times New Roman" w:cs="Arial"/>
          <w:color w:val="000000"/>
          <w:szCs w:val="24"/>
        </w:rPr>
      </w:pPr>
      <w:r>
        <w:rPr>
          <w:rFonts w:eastAsia="Times New Roman" w:cs="Arial"/>
          <w:color w:val="000000"/>
          <w:szCs w:val="24"/>
        </w:rPr>
        <w:t>epidemiology.mp or epidemiology/</w:t>
      </w:r>
    </w:p>
    <w:p w:rsidR="00071F2B" w:rsidRDefault="00071F2B" w:rsidP="001E4A3C">
      <w:pPr>
        <w:keepNext/>
        <w:keepLines/>
        <w:numPr>
          <w:ilvl w:val="0"/>
          <w:numId w:val="11"/>
        </w:numPr>
        <w:autoSpaceDE w:val="0"/>
        <w:autoSpaceDN w:val="0"/>
        <w:adjustRightInd w:val="0"/>
        <w:spacing w:before="120" w:after="120" w:line="360" w:lineRule="auto"/>
        <w:contextualSpacing/>
        <w:rPr>
          <w:rFonts w:eastAsia="Times New Roman" w:cs="Arial"/>
          <w:color w:val="000000"/>
          <w:szCs w:val="24"/>
        </w:rPr>
      </w:pPr>
      <w:r>
        <w:rPr>
          <w:rFonts w:eastAsia="Times New Roman" w:cs="Arial"/>
          <w:color w:val="000000"/>
          <w:szCs w:val="24"/>
        </w:rPr>
        <w:t>incidence.mp or incidence/</w:t>
      </w:r>
    </w:p>
    <w:p w:rsidR="00071F2B" w:rsidRPr="00CF1E20" w:rsidRDefault="00071F2B" w:rsidP="001E4A3C">
      <w:pPr>
        <w:keepNext/>
        <w:keepLines/>
        <w:numPr>
          <w:ilvl w:val="0"/>
          <w:numId w:val="11"/>
        </w:numPr>
        <w:autoSpaceDE w:val="0"/>
        <w:autoSpaceDN w:val="0"/>
        <w:adjustRightInd w:val="0"/>
        <w:spacing w:before="120" w:after="120" w:line="360" w:lineRule="auto"/>
        <w:contextualSpacing/>
        <w:rPr>
          <w:rFonts w:eastAsia="Times New Roman" w:cs="Arial"/>
          <w:color w:val="000000"/>
          <w:szCs w:val="24"/>
        </w:rPr>
      </w:pPr>
      <w:r>
        <w:rPr>
          <w:rFonts w:eastAsia="Times New Roman" w:cs="Arial"/>
          <w:color w:val="000000"/>
          <w:szCs w:val="24"/>
        </w:rPr>
        <w:t>prevalence.mp or prevalence/</w:t>
      </w:r>
    </w:p>
    <w:p w:rsidR="00071F2B" w:rsidRPr="00F0232E" w:rsidRDefault="00071F2B" w:rsidP="001E4A3C">
      <w:pPr>
        <w:keepNext/>
        <w:keepLines/>
        <w:numPr>
          <w:ilvl w:val="0"/>
          <w:numId w:val="11"/>
        </w:numPr>
        <w:autoSpaceDE w:val="0"/>
        <w:autoSpaceDN w:val="0"/>
        <w:adjustRightInd w:val="0"/>
        <w:spacing w:before="120" w:after="120" w:line="360" w:lineRule="auto"/>
        <w:contextualSpacing/>
        <w:rPr>
          <w:rFonts w:eastAsia="Times New Roman" w:cs="Arial"/>
          <w:color w:val="000000"/>
          <w:szCs w:val="24"/>
        </w:rPr>
      </w:pPr>
      <w:r w:rsidRPr="00CF1E20">
        <w:rPr>
          <w:rFonts w:eastAsia="Times New Roman" w:cs="Arial"/>
          <w:color w:val="000000"/>
          <w:szCs w:val="24"/>
        </w:rPr>
        <w:t>[16-11-2015]/sd NOT [17-8-2017]/sd</w:t>
      </w:r>
    </w:p>
    <w:p w:rsidR="00071F2B" w:rsidRPr="0087395B" w:rsidRDefault="00071F2B" w:rsidP="001E4A3C">
      <w:pPr>
        <w:keepNext/>
        <w:keepLines/>
        <w:numPr>
          <w:ilvl w:val="0"/>
          <w:numId w:val="11"/>
        </w:numPr>
        <w:autoSpaceDE w:val="0"/>
        <w:autoSpaceDN w:val="0"/>
        <w:adjustRightInd w:val="0"/>
        <w:spacing w:before="120" w:after="120" w:line="360" w:lineRule="auto"/>
        <w:contextualSpacing/>
        <w:rPr>
          <w:rFonts w:eastAsia="Times New Roman" w:cs="Arial"/>
          <w:color w:val="000000"/>
          <w:szCs w:val="24"/>
        </w:rPr>
      </w:pPr>
      <w:r>
        <w:rPr>
          <w:rFonts w:eastAsia="Times New Roman" w:cs="Helvetica"/>
          <w:color w:val="2D2D2D"/>
          <w:szCs w:val="24"/>
          <w:shd w:val="clear" w:color="auto" w:fill="FFFFFF"/>
        </w:rPr>
        <w:t>1 or 2</w:t>
      </w:r>
    </w:p>
    <w:p w:rsidR="00071F2B" w:rsidRPr="0087395B" w:rsidRDefault="00071F2B" w:rsidP="001E4A3C">
      <w:pPr>
        <w:keepNext/>
        <w:keepLines/>
        <w:numPr>
          <w:ilvl w:val="0"/>
          <w:numId w:val="11"/>
        </w:numPr>
        <w:autoSpaceDE w:val="0"/>
        <w:autoSpaceDN w:val="0"/>
        <w:adjustRightInd w:val="0"/>
        <w:spacing w:before="120" w:after="120" w:line="360" w:lineRule="auto"/>
        <w:contextualSpacing/>
        <w:rPr>
          <w:rFonts w:eastAsia="Times New Roman" w:cs="Arial"/>
          <w:color w:val="000000"/>
          <w:szCs w:val="24"/>
        </w:rPr>
      </w:pPr>
      <w:r>
        <w:rPr>
          <w:rFonts w:eastAsia="Times New Roman" w:cs="Helvetica"/>
          <w:color w:val="2D2D2D"/>
          <w:szCs w:val="24"/>
          <w:shd w:val="clear" w:color="auto" w:fill="FFFFFF"/>
        </w:rPr>
        <w:t>3 or 4 or 5</w:t>
      </w:r>
    </w:p>
    <w:p w:rsidR="00071F2B" w:rsidRPr="0087395B" w:rsidRDefault="00071F2B" w:rsidP="001E4A3C">
      <w:pPr>
        <w:keepNext/>
        <w:keepLines/>
        <w:numPr>
          <w:ilvl w:val="0"/>
          <w:numId w:val="11"/>
        </w:numPr>
        <w:autoSpaceDE w:val="0"/>
        <w:autoSpaceDN w:val="0"/>
        <w:adjustRightInd w:val="0"/>
        <w:spacing w:before="120" w:after="120" w:line="360" w:lineRule="auto"/>
        <w:contextualSpacing/>
        <w:rPr>
          <w:rFonts w:eastAsia="Times New Roman" w:cs="Arial"/>
          <w:color w:val="000000"/>
          <w:szCs w:val="24"/>
        </w:rPr>
      </w:pPr>
      <w:r>
        <w:rPr>
          <w:rFonts w:eastAsia="Times New Roman" w:cs="Helvetica"/>
          <w:color w:val="2D2D2D"/>
          <w:szCs w:val="24"/>
          <w:shd w:val="clear" w:color="auto" w:fill="FFFFFF"/>
        </w:rPr>
        <w:t>7 and 8</w:t>
      </w:r>
    </w:p>
    <w:p w:rsidR="00071F2B" w:rsidRPr="00F0232E" w:rsidRDefault="00071F2B" w:rsidP="001E4A3C">
      <w:pPr>
        <w:keepNext/>
        <w:keepLines/>
        <w:numPr>
          <w:ilvl w:val="0"/>
          <w:numId w:val="11"/>
        </w:numPr>
        <w:autoSpaceDE w:val="0"/>
        <w:autoSpaceDN w:val="0"/>
        <w:adjustRightInd w:val="0"/>
        <w:spacing w:before="120" w:after="120" w:line="360" w:lineRule="auto"/>
        <w:contextualSpacing/>
        <w:rPr>
          <w:rFonts w:eastAsia="Times New Roman" w:cs="Arial"/>
          <w:color w:val="000000"/>
          <w:szCs w:val="24"/>
        </w:rPr>
      </w:pPr>
      <w:r>
        <w:rPr>
          <w:rFonts w:eastAsia="Times New Roman" w:cs="Helvetica"/>
          <w:color w:val="2D2D2D"/>
          <w:szCs w:val="24"/>
          <w:shd w:val="clear" w:color="auto" w:fill="FFFFFF"/>
        </w:rPr>
        <w:t>9 and 6</w:t>
      </w:r>
    </w:p>
    <w:p w:rsidR="00071F2B" w:rsidRPr="00F0232E" w:rsidRDefault="00071F2B" w:rsidP="001E4A3C">
      <w:pPr>
        <w:keepNext/>
        <w:keepLines/>
        <w:numPr>
          <w:ilvl w:val="0"/>
          <w:numId w:val="11"/>
        </w:numPr>
        <w:autoSpaceDE w:val="0"/>
        <w:autoSpaceDN w:val="0"/>
        <w:adjustRightInd w:val="0"/>
        <w:spacing w:before="120" w:after="120" w:line="360" w:lineRule="auto"/>
        <w:contextualSpacing/>
        <w:rPr>
          <w:rFonts w:eastAsia="Times New Roman" w:cs="Arial"/>
          <w:color w:val="000000"/>
          <w:szCs w:val="24"/>
        </w:rPr>
      </w:pPr>
      <w:r w:rsidRPr="00F0232E">
        <w:rPr>
          <w:rFonts w:eastAsia="Times New Roman" w:cs="Arial"/>
          <w:color w:val="000000"/>
          <w:szCs w:val="24"/>
        </w:rPr>
        <w:t>1 and 2</w:t>
      </w:r>
    </w:p>
    <w:p w:rsidR="00071F2B" w:rsidRPr="009228F9" w:rsidRDefault="00071F2B" w:rsidP="001E4A3C">
      <w:pPr>
        <w:keepNext/>
        <w:keepLines/>
        <w:numPr>
          <w:ilvl w:val="0"/>
          <w:numId w:val="11"/>
        </w:numPr>
        <w:autoSpaceDE w:val="0"/>
        <w:autoSpaceDN w:val="0"/>
        <w:adjustRightInd w:val="0"/>
        <w:spacing w:before="120" w:after="120" w:line="360" w:lineRule="auto"/>
        <w:contextualSpacing/>
        <w:rPr>
          <w:rFonts w:eastAsia="Times New Roman" w:cs="Arial"/>
          <w:color w:val="000000"/>
          <w:szCs w:val="24"/>
        </w:rPr>
      </w:pPr>
      <w:r w:rsidRPr="00F0232E">
        <w:rPr>
          <w:rFonts w:eastAsia="Times New Roman" w:cs="Arial"/>
          <w:color w:val="000000"/>
          <w:szCs w:val="24"/>
        </w:rPr>
        <w:t xml:space="preserve">limit </w:t>
      </w:r>
      <w:r>
        <w:rPr>
          <w:rFonts w:eastAsia="Times New Roman" w:cs="Arial"/>
          <w:color w:val="000000"/>
          <w:szCs w:val="24"/>
        </w:rPr>
        <w:t>11</w:t>
      </w:r>
      <w:r w:rsidRPr="00F0232E">
        <w:rPr>
          <w:rFonts w:eastAsia="Times New Roman" w:cs="Arial"/>
          <w:color w:val="000000"/>
          <w:szCs w:val="24"/>
        </w:rPr>
        <w:t xml:space="preserve"> to </w:t>
      </w:r>
      <w:r>
        <w:rPr>
          <w:rFonts w:eastAsia="Times New Roman" w:cs="Arial"/>
          <w:color w:val="000000"/>
          <w:szCs w:val="24"/>
        </w:rPr>
        <w:t>English language and humans</w:t>
      </w:r>
    </w:p>
    <w:p w:rsidR="00071F2B" w:rsidRPr="007B1B63" w:rsidRDefault="00071F2B" w:rsidP="007C694E">
      <w:pPr>
        <w:pStyle w:val="MDSubheading"/>
      </w:pPr>
      <w:bookmarkStart w:id="209" w:name="_Toc501632383"/>
      <w:r w:rsidRPr="007B1B63">
        <w:t>Selection of studies</w:t>
      </w:r>
      <w:bookmarkEnd w:id="209"/>
    </w:p>
    <w:p w:rsidR="00071F2B" w:rsidRPr="007B1B63" w:rsidRDefault="00071F2B" w:rsidP="00071F2B">
      <w:r w:rsidRPr="007B1B63">
        <w:t xml:space="preserve">Relevant studies will be identified by the titles and abstracts and then full papers will be obtained to determine relevance using a priori developed inclusion and exclusion criteria. All papers will be independently appraised by two reviewers (DV &amp; AC) in order to achieve an acceptable level of agreement of eligible papers. Any disagreement between the eligibility and relevance of papers will be adjudicated by a third reviewer (MD). </w:t>
      </w:r>
    </w:p>
    <w:p w:rsidR="00071F2B" w:rsidRPr="007B1B63" w:rsidRDefault="00071F2B" w:rsidP="00532023">
      <w:r w:rsidRPr="007B1B63">
        <w:t>The key inclusion criteria are:</w:t>
      </w:r>
    </w:p>
    <w:p w:rsidR="00071F2B" w:rsidRPr="007B1B63" w:rsidRDefault="00071F2B" w:rsidP="00820673">
      <w:pPr>
        <w:numPr>
          <w:ilvl w:val="0"/>
          <w:numId w:val="13"/>
        </w:numPr>
        <w:spacing w:before="240"/>
      </w:pPr>
      <w:r w:rsidRPr="007B1B63">
        <w:t xml:space="preserve">Studies examining the epidemiology of psoriasis or patients with both psoriasis and </w:t>
      </w:r>
      <w:r w:rsidR="001803C6">
        <w:t>PsA</w:t>
      </w:r>
      <w:r w:rsidRPr="007B1B63">
        <w:t>.</w:t>
      </w:r>
    </w:p>
    <w:p w:rsidR="00071F2B" w:rsidRPr="007B1B63" w:rsidRDefault="00071F2B" w:rsidP="00820673">
      <w:pPr>
        <w:numPr>
          <w:ilvl w:val="0"/>
          <w:numId w:val="13"/>
        </w:numPr>
        <w:spacing w:before="240"/>
      </w:pPr>
      <w:r w:rsidRPr="007B1B63">
        <w:t>Studies examining the rate of psoriasis treatment</w:t>
      </w:r>
    </w:p>
    <w:p w:rsidR="00071F2B" w:rsidRPr="007B1B63" w:rsidRDefault="00071F2B" w:rsidP="00532023">
      <w:r w:rsidRPr="007B1B63">
        <w:t>The key exclusion criteria are:</w:t>
      </w:r>
    </w:p>
    <w:p w:rsidR="00071F2B" w:rsidRPr="007B1B63" w:rsidRDefault="00071F2B" w:rsidP="00820673">
      <w:pPr>
        <w:numPr>
          <w:ilvl w:val="0"/>
          <w:numId w:val="14"/>
        </w:numPr>
        <w:spacing w:before="240"/>
      </w:pPr>
      <w:r w:rsidRPr="007B1B63">
        <w:t xml:space="preserve">Studies examining  the epidemiology of the following in patients with psoriasis patients with both psoriasis and </w:t>
      </w:r>
      <w:r w:rsidR="001803C6">
        <w:t>PsA</w:t>
      </w:r>
      <w:r w:rsidRPr="007B1B63">
        <w:t>:</w:t>
      </w:r>
    </w:p>
    <w:p w:rsidR="00071F2B" w:rsidRPr="007B1B63" w:rsidRDefault="00071F2B" w:rsidP="00820673">
      <w:pPr>
        <w:numPr>
          <w:ilvl w:val="1"/>
          <w:numId w:val="14"/>
        </w:numPr>
        <w:spacing w:before="240"/>
      </w:pPr>
      <w:r w:rsidRPr="007B1B63">
        <w:t xml:space="preserve">other diseases  </w:t>
      </w:r>
    </w:p>
    <w:p w:rsidR="00071F2B" w:rsidRPr="007B1B63" w:rsidRDefault="00071F2B" w:rsidP="00820673">
      <w:pPr>
        <w:numPr>
          <w:ilvl w:val="1"/>
          <w:numId w:val="14"/>
        </w:numPr>
        <w:spacing w:before="240"/>
      </w:pPr>
      <w:r w:rsidRPr="007B1B63">
        <w:t xml:space="preserve">biomarkers </w:t>
      </w:r>
    </w:p>
    <w:p w:rsidR="00071F2B" w:rsidRPr="007B1B63" w:rsidRDefault="00071F2B" w:rsidP="00820673">
      <w:pPr>
        <w:numPr>
          <w:ilvl w:val="1"/>
          <w:numId w:val="14"/>
        </w:numPr>
        <w:spacing w:before="240"/>
      </w:pPr>
      <w:r w:rsidRPr="007B1B63">
        <w:t>genetic markers</w:t>
      </w:r>
    </w:p>
    <w:p w:rsidR="00071F2B" w:rsidRPr="007B1B63" w:rsidRDefault="00071F2B" w:rsidP="00820673">
      <w:pPr>
        <w:numPr>
          <w:ilvl w:val="0"/>
          <w:numId w:val="14"/>
        </w:numPr>
        <w:spacing w:before="240"/>
      </w:pPr>
      <w:r w:rsidRPr="007B1B63">
        <w:t>Studies examining the efficacy of a treatment or intervention</w:t>
      </w:r>
    </w:p>
    <w:p w:rsidR="00071F2B" w:rsidRDefault="00071F2B" w:rsidP="00820673">
      <w:pPr>
        <w:pStyle w:val="ListParagraph"/>
        <w:numPr>
          <w:ilvl w:val="0"/>
          <w:numId w:val="9"/>
        </w:numPr>
        <w:spacing w:before="240"/>
      </w:pPr>
      <w:r>
        <w:t>All articles that were searched full text or included in the review were screened for potentially relevant articles</w:t>
      </w:r>
    </w:p>
    <w:p w:rsidR="00071F2B" w:rsidRDefault="00071F2B" w:rsidP="00820673">
      <w:pPr>
        <w:pStyle w:val="ListParagraph"/>
        <w:numPr>
          <w:ilvl w:val="0"/>
          <w:numId w:val="9"/>
        </w:numPr>
        <w:spacing w:before="240"/>
      </w:pPr>
      <w:r>
        <w:t xml:space="preserve">The AIHW website was searched for literature on 25 May 2017. The </w:t>
      </w:r>
      <w:r w:rsidRPr="008863A6">
        <w:t>Australian Burden of Disease Study 2011</w:t>
      </w:r>
      <w:r>
        <w:t xml:space="preserve"> did not include epidemiological estimates but referenced to the AHS 2011-12 and the </w:t>
      </w:r>
      <w:r w:rsidR="001904D5">
        <w:t xml:space="preserve">Jenner </w:t>
      </w:r>
      <w:r w:rsidR="001904D5">
        <w:rPr>
          <w:i/>
        </w:rPr>
        <w:t>2002</w:t>
      </w:r>
      <w:r>
        <w:t xml:space="preserve"> which were included in the report. </w:t>
      </w:r>
      <w:r w:rsidRPr="00EE04C3">
        <w:t>Australian Burden of Disease Study: impact and causes of illness and death in Aboriginal and Torres Strait Islander people 2011</w:t>
      </w:r>
      <w:r>
        <w:t xml:space="preserve"> did not include epidemiology estimates. </w:t>
      </w:r>
    </w:p>
    <w:p w:rsidR="00071F2B" w:rsidRDefault="00071F2B" w:rsidP="00C22424">
      <w:pPr>
        <w:pStyle w:val="ListParagraph"/>
        <w:numPr>
          <w:ilvl w:val="0"/>
          <w:numId w:val="9"/>
        </w:numPr>
        <w:spacing w:before="240"/>
        <w:sectPr w:rsidR="00071F2B" w:rsidSect="00071F2B">
          <w:pgSz w:w="11906" w:h="16838"/>
          <w:pgMar w:top="1440" w:right="1440" w:bottom="1440" w:left="1440" w:header="708" w:footer="708" w:gutter="0"/>
          <w:cols w:space="708"/>
          <w:titlePg/>
          <w:docGrid w:linePitch="360"/>
        </w:sectPr>
      </w:pPr>
      <w:r>
        <w:t>The WHO global report was screened for potential relevant articles.</w:t>
      </w:r>
      <w:r w:rsidR="00C22424">
        <w:t xml:space="preserve"> </w:t>
      </w:r>
    </w:p>
    <w:p w:rsidR="00071F2B" w:rsidRPr="004A1880" w:rsidRDefault="00071F2B" w:rsidP="00071F2B">
      <w:pPr>
        <w:pStyle w:val="Heading1"/>
      </w:pPr>
      <w:bookmarkStart w:id="210" w:name="_Ref496692185"/>
      <w:bookmarkStart w:id="211" w:name="_Ref496692191"/>
      <w:bookmarkStart w:id="212" w:name="_Ref496784948"/>
      <w:bookmarkStart w:id="213" w:name="_Toc501632384"/>
      <w:r w:rsidRPr="004A1880">
        <w:t xml:space="preserve">Appendix </w:t>
      </w:r>
      <w:r w:rsidR="00154617">
        <w:t>B</w:t>
      </w:r>
      <w:r w:rsidRPr="004A1880">
        <w:t xml:space="preserve"> – </w:t>
      </w:r>
      <w:r w:rsidR="00C0168F">
        <w:t xml:space="preserve">ToR 3: </w:t>
      </w:r>
      <w:r w:rsidRPr="004A1880">
        <w:t>Epidemiology results</w:t>
      </w:r>
      <w:bookmarkEnd w:id="210"/>
      <w:bookmarkEnd w:id="211"/>
      <w:bookmarkEnd w:id="212"/>
      <w:bookmarkEnd w:id="213"/>
    </w:p>
    <w:p w:rsidR="007C694E" w:rsidRDefault="007C694E" w:rsidP="007C694E">
      <w:pPr>
        <w:pStyle w:val="MDSubheading"/>
      </w:pPr>
      <w:bookmarkStart w:id="214" w:name="_Toc501632385"/>
      <w:r>
        <w:t>Risk of Bias</w:t>
      </w:r>
      <w:bookmarkEnd w:id="214"/>
    </w:p>
    <w:p w:rsidR="00D135DD" w:rsidRPr="001A3E21" w:rsidRDefault="00D135DD" w:rsidP="00AE3959">
      <w:pPr>
        <w:pStyle w:val="MDTabCaption"/>
      </w:pPr>
      <w:bookmarkStart w:id="215" w:name="_Toc501632417"/>
      <w:r>
        <w:t xml:space="preserve">Table </w:t>
      </w:r>
      <w:r w:rsidR="0086184A">
        <w:rPr>
          <w:noProof/>
        </w:rPr>
        <w:t>23</w:t>
      </w:r>
      <w:r>
        <w:t>: Risk of bias of included studies</w:t>
      </w:r>
      <w:bookmarkEnd w:id="215"/>
    </w:p>
    <w:tbl>
      <w:tblPr>
        <w:tblStyle w:val="TableGrid71"/>
        <w:tblW w:w="5000" w:type="pct"/>
        <w:tblInd w:w="0" w:type="dxa"/>
        <w:tblLayout w:type="fixed"/>
        <w:tblLook w:val="04A0" w:firstRow="1" w:lastRow="0" w:firstColumn="1" w:lastColumn="0" w:noHBand="0" w:noVBand="1"/>
        <w:tblCaption w:val="Continuation of biologics compared with trial PASI 75 outcomes"/>
      </w:tblPr>
      <w:tblGrid>
        <w:gridCol w:w="1436"/>
        <w:gridCol w:w="1296"/>
        <w:gridCol w:w="1009"/>
        <w:gridCol w:w="1009"/>
        <w:gridCol w:w="1006"/>
        <w:gridCol w:w="1154"/>
        <w:gridCol w:w="1151"/>
        <w:gridCol w:w="1296"/>
        <w:gridCol w:w="1154"/>
        <w:gridCol w:w="1151"/>
        <w:gridCol w:w="1446"/>
        <w:gridCol w:w="1066"/>
      </w:tblGrid>
      <w:tr w:rsidR="002F143B" w:rsidRPr="001A3E21" w:rsidTr="002F143B">
        <w:trPr>
          <w:cantSplit/>
          <w:trHeight w:val="416"/>
          <w:tblHeader/>
        </w:trPr>
        <w:tc>
          <w:tcPr>
            <w:tcW w:w="507" w:type="pct"/>
            <w:tcBorders>
              <w:left w:val="single" w:sz="4" w:space="0" w:color="auto"/>
              <w:bottom w:val="single" w:sz="4" w:space="0" w:color="auto"/>
              <w:right w:val="single" w:sz="4" w:space="0" w:color="auto"/>
            </w:tcBorders>
            <w:shd w:val="clear" w:color="auto" w:fill="BFBFBF" w:themeFill="background1" w:themeFillShade="BF"/>
            <w:vAlign w:val="center"/>
          </w:tcPr>
          <w:p w:rsidR="00D135DD" w:rsidRPr="001A3E21" w:rsidRDefault="00D135DD" w:rsidP="00D135DD">
            <w:pPr>
              <w:autoSpaceDE w:val="0"/>
              <w:autoSpaceDN w:val="0"/>
              <w:adjustRightInd w:val="0"/>
              <w:spacing w:before="60" w:after="60"/>
              <w:rPr>
                <w:rFonts w:eastAsia="Calibri" w:cs="Calibri"/>
                <w:b/>
                <w:sz w:val="20"/>
                <w:szCs w:val="20"/>
              </w:rPr>
            </w:pPr>
            <w:r w:rsidRPr="001A3E21">
              <w:rPr>
                <w:rFonts w:eastAsia="Calibri" w:cs="Calibri"/>
                <w:b/>
                <w:sz w:val="20"/>
                <w:szCs w:val="20"/>
              </w:rPr>
              <w:t>Study</w:t>
            </w:r>
          </w:p>
        </w:tc>
        <w:tc>
          <w:tcPr>
            <w:tcW w:w="457"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D135DD" w:rsidRPr="00EC5153" w:rsidRDefault="00D135DD" w:rsidP="00D135DD">
            <w:pPr>
              <w:autoSpaceDE w:val="0"/>
              <w:autoSpaceDN w:val="0"/>
              <w:adjustRightInd w:val="0"/>
              <w:spacing w:before="60" w:after="60"/>
              <w:jc w:val="center"/>
              <w:rPr>
                <w:rFonts w:eastAsia="Calibri" w:cs="Calibri"/>
                <w:b/>
                <w:sz w:val="20"/>
                <w:szCs w:val="20"/>
                <w:vertAlign w:val="superscript"/>
              </w:rPr>
            </w:pPr>
            <w:r>
              <w:rPr>
                <w:rFonts w:eastAsia="Calibri" w:cs="Calibri"/>
                <w:b/>
                <w:sz w:val="20"/>
                <w:szCs w:val="20"/>
              </w:rPr>
              <w:t>Applicability</w:t>
            </w:r>
          </w:p>
        </w:tc>
        <w:tc>
          <w:tcPr>
            <w:tcW w:w="356"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D135DD" w:rsidRDefault="00D135DD" w:rsidP="00D135DD">
            <w:pPr>
              <w:autoSpaceDE w:val="0"/>
              <w:autoSpaceDN w:val="0"/>
              <w:adjustRightInd w:val="0"/>
              <w:spacing w:before="60" w:after="60"/>
              <w:jc w:val="center"/>
              <w:rPr>
                <w:rFonts w:eastAsia="Calibri" w:cs="Calibri"/>
                <w:b/>
                <w:sz w:val="20"/>
                <w:szCs w:val="20"/>
              </w:rPr>
            </w:pPr>
            <w:r>
              <w:rPr>
                <w:rFonts w:eastAsia="Calibri" w:cs="Calibri"/>
                <w:b/>
                <w:sz w:val="20"/>
                <w:szCs w:val="20"/>
              </w:rPr>
              <w:t>Sampling frame</w:t>
            </w:r>
          </w:p>
        </w:tc>
        <w:tc>
          <w:tcPr>
            <w:tcW w:w="356"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D135DD" w:rsidRDefault="00D135DD" w:rsidP="00D135DD">
            <w:pPr>
              <w:autoSpaceDE w:val="0"/>
              <w:autoSpaceDN w:val="0"/>
              <w:adjustRightInd w:val="0"/>
              <w:spacing w:before="60" w:after="60"/>
              <w:jc w:val="center"/>
              <w:rPr>
                <w:rFonts w:eastAsia="Calibri" w:cs="Calibri"/>
                <w:b/>
                <w:sz w:val="20"/>
                <w:szCs w:val="20"/>
              </w:rPr>
            </w:pPr>
            <w:r>
              <w:rPr>
                <w:rFonts w:eastAsia="Calibri" w:cs="Calibri"/>
                <w:b/>
                <w:sz w:val="20"/>
                <w:szCs w:val="20"/>
              </w:rPr>
              <w:t>Sample selection</w:t>
            </w:r>
          </w:p>
        </w:tc>
        <w:tc>
          <w:tcPr>
            <w:tcW w:w="355"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D135DD" w:rsidRDefault="00D135DD" w:rsidP="00D135DD">
            <w:pPr>
              <w:autoSpaceDE w:val="0"/>
              <w:autoSpaceDN w:val="0"/>
              <w:adjustRightInd w:val="0"/>
              <w:spacing w:before="60" w:after="60"/>
              <w:jc w:val="center"/>
              <w:rPr>
                <w:rFonts w:eastAsia="Calibri" w:cs="Calibri"/>
                <w:b/>
                <w:sz w:val="20"/>
                <w:szCs w:val="20"/>
              </w:rPr>
            </w:pPr>
            <w:r>
              <w:rPr>
                <w:rFonts w:eastAsia="Calibri" w:cs="Calibri"/>
                <w:b/>
                <w:sz w:val="20"/>
                <w:szCs w:val="20"/>
              </w:rPr>
              <w:t>Non-response bias</w:t>
            </w:r>
          </w:p>
        </w:tc>
        <w:tc>
          <w:tcPr>
            <w:tcW w:w="407"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D135DD" w:rsidRDefault="00D135DD" w:rsidP="00D135DD">
            <w:pPr>
              <w:autoSpaceDE w:val="0"/>
              <w:autoSpaceDN w:val="0"/>
              <w:adjustRightInd w:val="0"/>
              <w:spacing w:before="60" w:after="60"/>
              <w:jc w:val="center"/>
              <w:rPr>
                <w:rFonts w:eastAsia="Calibri" w:cs="Calibri"/>
                <w:b/>
                <w:sz w:val="20"/>
                <w:szCs w:val="20"/>
              </w:rPr>
            </w:pPr>
            <w:r>
              <w:rPr>
                <w:rFonts w:eastAsia="Calibri" w:cs="Calibri"/>
                <w:b/>
                <w:sz w:val="20"/>
                <w:szCs w:val="20"/>
              </w:rPr>
              <w:t>Direct data collection</w:t>
            </w:r>
          </w:p>
        </w:tc>
        <w:tc>
          <w:tcPr>
            <w:tcW w:w="406"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D135DD" w:rsidRDefault="00D135DD" w:rsidP="00D135DD">
            <w:pPr>
              <w:autoSpaceDE w:val="0"/>
              <w:autoSpaceDN w:val="0"/>
              <w:adjustRightInd w:val="0"/>
              <w:spacing w:before="60" w:after="60"/>
              <w:jc w:val="center"/>
              <w:rPr>
                <w:rFonts w:eastAsia="Calibri" w:cs="Calibri"/>
                <w:b/>
                <w:sz w:val="20"/>
                <w:szCs w:val="20"/>
              </w:rPr>
            </w:pPr>
            <w:r>
              <w:rPr>
                <w:rFonts w:eastAsia="Calibri" w:cs="Calibri"/>
                <w:b/>
                <w:sz w:val="20"/>
                <w:szCs w:val="20"/>
              </w:rPr>
              <w:t>Case definition</w:t>
            </w:r>
          </w:p>
        </w:tc>
        <w:tc>
          <w:tcPr>
            <w:tcW w:w="457"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D135DD" w:rsidRDefault="00D135DD" w:rsidP="00D135DD">
            <w:pPr>
              <w:autoSpaceDE w:val="0"/>
              <w:autoSpaceDN w:val="0"/>
              <w:adjustRightInd w:val="0"/>
              <w:spacing w:before="60" w:after="60"/>
              <w:jc w:val="center"/>
              <w:rPr>
                <w:rFonts w:eastAsia="Calibri" w:cs="Calibri"/>
                <w:b/>
                <w:sz w:val="20"/>
                <w:szCs w:val="20"/>
              </w:rPr>
            </w:pPr>
            <w:r>
              <w:rPr>
                <w:rFonts w:eastAsia="Calibri" w:cs="Calibri"/>
                <w:b/>
                <w:sz w:val="20"/>
                <w:szCs w:val="20"/>
              </w:rPr>
              <w:t>Instrument validity and reliability</w:t>
            </w:r>
          </w:p>
        </w:tc>
        <w:tc>
          <w:tcPr>
            <w:tcW w:w="407"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D135DD" w:rsidRDefault="00D135DD" w:rsidP="00D135DD">
            <w:pPr>
              <w:autoSpaceDE w:val="0"/>
              <w:autoSpaceDN w:val="0"/>
              <w:adjustRightInd w:val="0"/>
              <w:spacing w:before="60" w:after="60"/>
              <w:jc w:val="center"/>
              <w:rPr>
                <w:rFonts w:eastAsia="Calibri" w:cs="Calibri"/>
                <w:b/>
                <w:sz w:val="20"/>
                <w:szCs w:val="20"/>
              </w:rPr>
            </w:pPr>
            <w:r>
              <w:rPr>
                <w:rFonts w:eastAsia="Calibri" w:cs="Calibri"/>
                <w:b/>
                <w:sz w:val="20"/>
                <w:szCs w:val="20"/>
              </w:rPr>
              <w:t>Consistent data collection</w:t>
            </w:r>
          </w:p>
        </w:tc>
        <w:tc>
          <w:tcPr>
            <w:tcW w:w="406"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D135DD" w:rsidRDefault="00D135DD" w:rsidP="00D135DD">
            <w:pPr>
              <w:autoSpaceDE w:val="0"/>
              <w:autoSpaceDN w:val="0"/>
              <w:adjustRightInd w:val="0"/>
              <w:spacing w:before="60" w:after="60"/>
              <w:jc w:val="center"/>
              <w:rPr>
                <w:rFonts w:eastAsia="Calibri" w:cs="Calibri"/>
                <w:b/>
                <w:sz w:val="20"/>
                <w:szCs w:val="20"/>
              </w:rPr>
            </w:pPr>
            <w:r>
              <w:rPr>
                <w:rFonts w:eastAsia="Calibri" w:cs="Calibri"/>
                <w:b/>
                <w:sz w:val="20"/>
                <w:szCs w:val="20"/>
              </w:rPr>
              <w:t>Length of prevalence period</w:t>
            </w:r>
          </w:p>
        </w:tc>
        <w:tc>
          <w:tcPr>
            <w:tcW w:w="510"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D135DD" w:rsidRDefault="00D135DD" w:rsidP="002F143B">
            <w:pPr>
              <w:autoSpaceDE w:val="0"/>
              <w:autoSpaceDN w:val="0"/>
              <w:adjustRightInd w:val="0"/>
              <w:spacing w:before="60" w:after="60"/>
              <w:jc w:val="center"/>
              <w:rPr>
                <w:rFonts w:eastAsia="Calibri" w:cs="Calibri"/>
                <w:b/>
                <w:sz w:val="20"/>
                <w:szCs w:val="20"/>
              </w:rPr>
            </w:pPr>
            <w:r>
              <w:rPr>
                <w:rFonts w:eastAsia="Calibri" w:cs="Calibri"/>
                <w:b/>
                <w:sz w:val="20"/>
                <w:szCs w:val="20"/>
              </w:rPr>
              <w:t>Appropriate numerator denominator</w:t>
            </w:r>
          </w:p>
        </w:tc>
        <w:tc>
          <w:tcPr>
            <w:tcW w:w="376" w:type="pct"/>
            <w:tcBorders>
              <w:left w:val="single" w:sz="4" w:space="0" w:color="auto"/>
              <w:bottom w:val="single" w:sz="4" w:space="0" w:color="auto"/>
              <w:right w:val="single" w:sz="4" w:space="0" w:color="auto"/>
            </w:tcBorders>
            <w:shd w:val="clear" w:color="auto" w:fill="BFBFBF" w:themeFill="background1" w:themeFillShade="BF"/>
            <w:vAlign w:val="center"/>
          </w:tcPr>
          <w:p w:rsidR="00D135DD" w:rsidRPr="001A3E21" w:rsidRDefault="00D135DD" w:rsidP="00D135DD">
            <w:pPr>
              <w:autoSpaceDE w:val="0"/>
              <w:autoSpaceDN w:val="0"/>
              <w:adjustRightInd w:val="0"/>
              <w:spacing w:before="60" w:after="60"/>
              <w:jc w:val="center"/>
              <w:rPr>
                <w:rFonts w:eastAsia="Calibri" w:cs="Calibri"/>
                <w:b/>
                <w:sz w:val="20"/>
                <w:szCs w:val="20"/>
              </w:rPr>
            </w:pPr>
            <w:r>
              <w:rPr>
                <w:rFonts w:eastAsia="Calibri" w:cs="Calibri"/>
                <w:b/>
                <w:sz w:val="20"/>
                <w:szCs w:val="20"/>
              </w:rPr>
              <w:t>Overall risk of bias</w:t>
            </w:r>
          </w:p>
        </w:tc>
      </w:tr>
      <w:tr w:rsidR="002F143B" w:rsidRPr="001A3E21" w:rsidTr="002F143B">
        <w:trPr>
          <w:cantSplit/>
          <w:trHeight w:val="353"/>
        </w:trPr>
        <w:tc>
          <w:tcPr>
            <w:tcW w:w="507" w:type="pct"/>
            <w:tcBorders>
              <w:top w:val="single" w:sz="4" w:space="0" w:color="auto"/>
              <w:left w:val="single" w:sz="4" w:space="0" w:color="auto"/>
              <w:bottom w:val="single" w:sz="4" w:space="0" w:color="auto"/>
              <w:right w:val="single" w:sz="4" w:space="0" w:color="auto"/>
            </w:tcBorders>
          </w:tcPr>
          <w:p w:rsidR="00D135DD" w:rsidRDefault="00D135DD" w:rsidP="00D135DD">
            <w:pPr>
              <w:spacing w:beforeLines="60" w:before="144" w:afterLines="60" w:after="144"/>
              <w:contextualSpacing/>
              <w:rPr>
                <w:sz w:val="20"/>
                <w:szCs w:val="20"/>
              </w:rPr>
            </w:pPr>
            <w:r>
              <w:rPr>
                <w:sz w:val="20"/>
                <w:szCs w:val="20"/>
              </w:rPr>
              <w:t>ABS NHS</w:t>
            </w:r>
          </w:p>
          <w:p w:rsidR="00D135DD" w:rsidRPr="001A3E21" w:rsidRDefault="00D135DD" w:rsidP="00D135DD">
            <w:pPr>
              <w:spacing w:beforeLines="60" w:before="144" w:afterLines="60" w:after="144"/>
              <w:contextualSpacing/>
              <w:rPr>
                <w:rFonts w:eastAsia="Calibri"/>
                <w:sz w:val="20"/>
                <w:szCs w:val="20"/>
              </w:rPr>
            </w:pPr>
            <w:r>
              <w:rPr>
                <w:sz w:val="20"/>
                <w:szCs w:val="20"/>
              </w:rPr>
              <w:t>2011-12</w:t>
            </w:r>
          </w:p>
        </w:tc>
        <w:tc>
          <w:tcPr>
            <w:tcW w:w="457"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356"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356"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355"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407"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High</w:t>
            </w:r>
          </w:p>
        </w:tc>
        <w:tc>
          <w:tcPr>
            <w:tcW w:w="406"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457"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High</w:t>
            </w:r>
          </w:p>
        </w:tc>
        <w:tc>
          <w:tcPr>
            <w:tcW w:w="407"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406"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510"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376"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r>
      <w:tr w:rsidR="002F143B" w:rsidRPr="001A3E21" w:rsidTr="002F143B">
        <w:trPr>
          <w:cantSplit/>
          <w:trHeight w:val="353"/>
        </w:trPr>
        <w:tc>
          <w:tcPr>
            <w:tcW w:w="507" w:type="pct"/>
            <w:tcBorders>
              <w:top w:val="single" w:sz="4" w:space="0" w:color="auto"/>
              <w:left w:val="single" w:sz="4" w:space="0" w:color="auto"/>
              <w:bottom w:val="single" w:sz="4" w:space="0" w:color="auto"/>
              <w:right w:val="single" w:sz="4" w:space="0" w:color="auto"/>
            </w:tcBorders>
          </w:tcPr>
          <w:p w:rsidR="00D135DD" w:rsidRDefault="00D135DD" w:rsidP="00D135DD">
            <w:pPr>
              <w:spacing w:beforeLines="60" w:before="144" w:afterLines="60" w:after="144"/>
              <w:contextualSpacing/>
              <w:rPr>
                <w:sz w:val="20"/>
                <w:szCs w:val="20"/>
              </w:rPr>
            </w:pPr>
            <w:r>
              <w:rPr>
                <w:sz w:val="20"/>
                <w:szCs w:val="20"/>
              </w:rPr>
              <w:t>ABS NHS</w:t>
            </w:r>
          </w:p>
          <w:p w:rsidR="00D135DD" w:rsidRPr="001A3E21" w:rsidRDefault="00D135DD" w:rsidP="00D135DD">
            <w:pPr>
              <w:spacing w:beforeLines="60" w:before="144" w:afterLines="60" w:after="144"/>
              <w:contextualSpacing/>
              <w:rPr>
                <w:rFonts w:eastAsia="Calibri"/>
                <w:sz w:val="20"/>
                <w:szCs w:val="20"/>
              </w:rPr>
            </w:pPr>
            <w:r>
              <w:rPr>
                <w:sz w:val="20"/>
                <w:szCs w:val="20"/>
              </w:rPr>
              <w:t>2014-15</w:t>
            </w:r>
          </w:p>
        </w:tc>
        <w:tc>
          <w:tcPr>
            <w:tcW w:w="457"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356"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356"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355"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407"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High</w:t>
            </w:r>
          </w:p>
        </w:tc>
        <w:tc>
          <w:tcPr>
            <w:tcW w:w="406"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457"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High</w:t>
            </w:r>
          </w:p>
        </w:tc>
        <w:tc>
          <w:tcPr>
            <w:tcW w:w="407"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406"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510"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376"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r>
      <w:tr w:rsidR="002F143B" w:rsidRPr="001A3E21" w:rsidTr="002F143B">
        <w:trPr>
          <w:cantSplit/>
          <w:trHeight w:val="353"/>
        </w:trPr>
        <w:tc>
          <w:tcPr>
            <w:tcW w:w="507" w:type="pct"/>
            <w:tcBorders>
              <w:top w:val="single" w:sz="4" w:space="0" w:color="auto"/>
              <w:left w:val="single" w:sz="4" w:space="0" w:color="auto"/>
              <w:bottom w:val="single" w:sz="4" w:space="0" w:color="auto"/>
              <w:right w:val="single" w:sz="4" w:space="0" w:color="auto"/>
            </w:tcBorders>
          </w:tcPr>
          <w:p w:rsidR="00D135DD" w:rsidRDefault="00D135DD" w:rsidP="00D135DD">
            <w:pPr>
              <w:spacing w:beforeLines="60" w:before="144" w:afterLines="60" w:after="144"/>
              <w:contextualSpacing/>
              <w:rPr>
                <w:sz w:val="20"/>
                <w:szCs w:val="20"/>
              </w:rPr>
            </w:pPr>
            <w:r>
              <w:rPr>
                <w:sz w:val="20"/>
                <w:szCs w:val="20"/>
              </w:rPr>
              <w:t xml:space="preserve">ABS ATSI Health survey </w:t>
            </w:r>
            <w:r>
              <w:rPr>
                <w:sz w:val="20"/>
                <w:szCs w:val="20"/>
              </w:rPr>
              <w:br/>
              <w:t>2012-13</w:t>
            </w:r>
          </w:p>
        </w:tc>
        <w:tc>
          <w:tcPr>
            <w:tcW w:w="457"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356"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356"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355"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407"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High</w:t>
            </w:r>
          </w:p>
        </w:tc>
        <w:tc>
          <w:tcPr>
            <w:tcW w:w="406"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457"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High</w:t>
            </w:r>
          </w:p>
        </w:tc>
        <w:tc>
          <w:tcPr>
            <w:tcW w:w="407"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406"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510"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376"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r>
      <w:tr w:rsidR="002F143B" w:rsidRPr="001A3E21" w:rsidTr="002F143B">
        <w:trPr>
          <w:cantSplit/>
          <w:trHeight w:val="353"/>
        </w:trPr>
        <w:tc>
          <w:tcPr>
            <w:tcW w:w="507" w:type="pct"/>
            <w:tcBorders>
              <w:top w:val="single" w:sz="4" w:space="0" w:color="auto"/>
              <w:left w:val="single" w:sz="4" w:space="0" w:color="auto"/>
              <w:bottom w:val="single" w:sz="4" w:space="0" w:color="auto"/>
              <w:right w:val="single" w:sz="4" w:space="0" w:color="auto"/>
            </w:tcBorders>
          </w:tcPr>
          <w:p w:rsidR="00D135DD" w:rsidRDefault="00D135DD" w:rsidP="00D135DD">
            <w:pPr>
              <w:spacing w:beforeLines="60" w:before="144" w:afterLines="60" w:after="144"/>
              <w:contextualSpacing/>
              <w:rPr>
                <w:sz w:val="20"/>
                <w:szCs w:val="20"/>
              </w:rPr>
            </w:pPr>
            <w:r w:rsidRPr="00B609BB">
              <w:rPr>
                <w:sz w:val="20"/>
                <w:szCs w:val="20"/>
              </w:rPr>
              <w:t>Augustin (2008)</w:t>
            </w:r>
          </w:p>
        </w:tc>
        <w:tc>
          <w:tcPr>
            <w:tcW w:w="457"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High</w:t>
            </w:r>
          </w:p>
        </w:tc>
        <w:tc>
          <w:tcPr>
            <w:tcW w:w="356"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356"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High</w:t>
            </w:r>
          </w:p>
        </w:tc>
        <w:tc>
          <w:tcPr>
            <w:tcW w:w="355"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407"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406"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457"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407"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406"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510"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376"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r>
      <w:tr w:rsidR="002F143B" w:rsidRPr="001A3E21" w:rsidTr="002F143B">
        <w:trPr>
          <w:cantSplit/>
          <w:trHeight w:val="353"/>
        </w:trPr>
        <w:tc>
          <w:tcPr>
            <w:tcW w:w="507" w:type="pct"/>
            <w:tcBorders>
              <w:top w:val="single" w:sz="4" w:space="0" w:color="auto"/>
              <w:left w:val="single" w:sz="4" w:space="0" w:color="auto"/>
              <w:bottom w:val="single" w:sz="4" w:space="0" w:color="auto"/>
              <w:right w:val="single" w:sz="4" w:space="0" w:color="auto"/>
            </w:tcBorders>
          </w:tcPr>
          <w:p w:rsidR="00D135DD" w:rsidRDefault="00D135DD" w:rsidP="00D135DD">
            <w:pPr>
              <w:spacing w:beforeLines="60" w:before="144" w:afterLines="60" w:after="144"/>
              <w:contextualSpacing/>
              <w:rPr>
                <w:sz w:val="20"/>
                <w:szCs w:val="20"/>
              </w:rPr>
            </w:pPr>
            <w:r w:rsidRPr="00C873D4">
              <w:rPr>
                <w:sz w:val="20"/>
                <w:szCs w:val="20"/>
              </w:rPr>
              <w:t>Baker</w:t>
            </w:r>
            <w:r>
              <w:rPr>
                <w:sz w:val="20"/>
                <w:szCs w:val="20"/>
              </w:rPr>
              <w:t xml:space="preserve"> (</w:t>
            </w:r>
            <w:r w:rsidRPr="00C873D4">
              <w:rPr>
                <w:sz w:val="20"/>
                <w:szCs w:val="20"/>
              </w:rPr>
              <w:t>2013)</w:t>
            </w:r>
          </w:p>
        </w:tc>
        <w:tc>
          <w:tcPr>
            <w:tcW w:w="457"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High</w:t>
            </w:r>
          </w:p>
        </w:tc>
        <w:tc>
          <w:tcPr>
            <w:tcW w:w="356"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356"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High</w:t>
            </w:r>
          </w:p>
        </w:tc>
        <w:tc>
          <w:tcPr>
            <w:tcW w:w="355"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High</w:t>
            </w:r>
          </w:p>
        </w:tc>
        <w:tc>
          <w:tcPr>
            <w:tcW w:w="407"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406"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457"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High</w:t>
            </w:r>
          </w:p>
        </w:tc>
        <w:tc>
          <w:tcPr>
            <w:tcW w:w="407"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406"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510"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376"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High</w:t>
            </w:r>
          </w:p>
        </w:tc>
      </w:tr>
      <w:tr w:rsidR="002F143B" w:rsidRPr="001A3E21" w:rsidTr="002F143B">
        <w:trPr>
          <w:cantSplit/>
          <w:trHeight w:val="353"/>
        </w:trPr>
        <w:tc>
          <w:tcPr>
            <w:tcW w:w="507" w:type="pct"/>
            <w:tcBorders>
              <w:top w:val="single" w:sz="4" w:space="0" w:color="auto"/>
              <w:left w:val="single" w:sz="4" w:space="0" w:color="auto"/>
              <w:bottom w:val="single" w:sz="4" w:space="0" w:color="auto"/>
              <w:right w:val="single" w:sz="4" w:space="0" w:color="auto"/>
            </w:tcBorders>
          </w:tcPr>
          <w:p w:rsidR="00D135DD" w:rsidRPr="00C873D4" w:rsidRDefault="00D135DD" w:rsidP="00D135DD">
            <w:pPr>
              <w:spacing w:beforeLines="60" w:before="144" w:afterLines="60" w:after="144"/>
              <w:contextualSpacing/>
              <w:rPr>
                <w:sz w:val="20"/>
                <w:szCs w:val="20"/>
              </w:rPr>
            </w:pPr>
            <w:r w:rsidRPr="00C873D4">
              <w:rPr>
                <w:sz w:val="20"/>
                <w:szCs w:val="20"/>
              </w:rPr>
              <w:t xml:space="preserve">Bonigen </w:t>
            </w:r>
            <w:r>
              <w:rPr>
                <w:sz w:val="20"/>
                <w:szCs w:val="20"/>
              </w:rPr>
              <w:t>(</w:t>
            </w:r>
            <w:r w:rsidRPr="00C873D4">
              <w:rPr>
                <w:sz w:val="20"/>
                <w:szCs w:val="20"/>
              </w:rPr>
              <w:t>2016</w:t>
            </w:r>
            <w:r>
              <w:rPr>
                <w:sz w:val="20"/>
                <w:szCs w:val="20"/>
              </w:rPr>
              <w:t>)</w:t>
            </w:r>
          </w:p>
        </w:tc>
        <w:tc>
          <w:tcPr>
            <w:tcW w:w="457"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356"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356"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355"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407"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406"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457"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407"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406"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510"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376"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r>
      <w:tr w:rsidR="002F143B" w:rsidRPr="001A3E21" w:rsidTr="002F143B">
        <w:trPr>
          <w:cantSplit/>
          <w:trHeight w:val="353"/>
        </w:trPr>
        <w:tc>
          <w:tcPr>
            <w:tcW w:w="507" w:type="pct"/>
            <w:tcBorders>
              <w:top w:val="single" w:sz="4" w:space="0" w:color="auto"/>
              <w:left w:val="single" w:sz="4" w:space="0" w:color="auto"/>
              <w:bottom w:val="single" w:sz="4" w:space="0" w:color="auto"/>
              <w:right w:val="single" w:sz="4" w:space="0" w:color="auto"/>
            </w:tcBorders>
          </w:tcPr>
          <w:p w:rsidR="00D135DD" w:rsidRPr="00C873D4" w:rsidRDefault="00D135DD" w:rsidP="00D135DD">
            <w:pPr>
              <w:spacing w:beforeLines="60" w:before="144" w:afterLines="60" w:after="144"/>
              <w:contextualSpacing/>
              <w:rPr>
                <w:sz w:val="20"/>
                <w:szCs w:val="20"/>
              </w:rPr>
            </w:pPr>
            <w:r w:rsidRPr="003E055C">
              <w:rPr>
                <w:sz w:val="20"/>
                <w:szCs w:val="20"/>
              </w:rPr>
              <w:t xml:space="preserve">Chamurlieva </w:t>
            </w:r>
            <w:r>
              <w:rPr>
                <w:sz w:val="20"/>
                <w:szCs w:val="20"/>
              </w:rPr>
              <w:t>(</w:t>
            </w:r>
            <w:r w:rsidRPr="003E055C">
              <w:rPr>
                <w:sz w:val="20"/>
                <w:szCs w:val="20"/>
              </w:rPr>
              <w:t>2016</w:t>
            </w:r>
            <w:r>
              <w:rPr>
                <w:sz w:val="20"/>
                <w:szCs w:val="20"/>
              </w:rPr>
              <w:t>)</w:t>
            </w:r>
          </w:p>
        </w:tc>
        <w:tc>
          <w:tcPr>
            <w:tcW w:w="457"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High</w:t>
            </w:r>
          </w:p>
        </w:tc>
        <w:tc>
          <w:tcPr>
            <w:tcW w:w="356"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356"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High</w:t>
            </w:r>
          </w:p>
        </w:tc>
        <w:tc>
          <w:tcPr>
            <w:tcW w:w="355"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407"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406"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457"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 xml:space="preserve">Low </w:t>
            </w:r>
          </w:p>
        </w:tc>
        <w:tc>
          <w:tcPr>
            <w:tcW w:w="407"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 xml:space="preserve">Low </w:t>
            </w:r>
          </w:p>
        </w:tc>
        <w:tc>
          <w:tcPr>
            <w:tcW w:w="406"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 xml:space="preserve">Low </w:t>
            </w:r>
          </w:p>
        </w:tc>
        <w:tc>
          <w:tcPr>
            <w:tcW w:w="510"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376"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High</w:t>
            </w:r>
          </w:p>
        </w:tc>
      </w:tr>
      <w:tr w:rsidR="002F143B" w:rsidRPr="001A3E21" w:rsidTr="002F143B">
        <w:trPr>
          <w:cantSplit/>
          <w:trHeight w:val="353"/>
        </w:trPr>
        <w:tc>
          <w:tcPr>
            <w:tcW w:w="507" w:type="pct"/>
            <w:tcBorders>
              <w:top w:val="single" w:sz="4" w:space="0" w:color="auto"/>
              <w:left w:val="single" w:sz="4" w:space="0" w:color="auto"/>
              <w:bottom w:val="single" w:sz="4" w:space="0" w:color="auto"/>
              <w:right w:val="single" w:sz="4" w:space="0" w:color="auto"/>
            </w:tcBorders>
          </w:tcPr>
          <w:p w:rsidR="00D135DD" w:rsidRPr="003E055C" w:rsidRDefault="00D135DD" w:rsidP="00D135DD">
            <w:pPr>
              <w:spacing w:beforeLines="60" w:before="144" w:afterLines="60" w:after="144"/>
              <w:contextualSpacing/>
              <w:rPr>
                <w:sz w:val="20"/>
                <w:szCs w:val="20"/>
              </w:rPr>
            </w:pPr>
            <w:r w:rsidRPr="003E055C">
              <w:rPr>
                <w:sz w:val="20"/>
                <w:szCs w:val="20"/>
              </w:rPr>
              <w:t xml:space="preserve">Coates </w:t>
            </w:r>
            <w:r>
              <w:rPr>
                <w:sz w:val="20"/>
                <w:szCs w:val="20"/>
              </w:rPr>
              <w:t>(</w:t>
            </w:r>
            <w:r w:rsidRPr="003E055C">
              <w:rPr>
                <w:sz w:val="20"/>
                <w:szCs w:val="20"/>
              </w:rPr>
              <w:t>2016</w:t>
            </w:r>
            <w:r>
              <w:rPr>
                <w:sz w:val="20"/>
                <w:szCs w:val="20"/>
              </w:rPr>
              <w:t>)</w:t>
            </w:r>
          </w:p>
        </w:tc>
        <w:tc>
          <w:tcPr>
            <w:tcW w:w="457"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356"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356"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High</w:t>
            </w:r>
          </w:p>
        </w:tc>
        <w:tc>
          <w:tcPr>
            <w:tcW w:w="355"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407"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406"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457"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High</w:t>
            </w:r>
          </w:p>
        </w:tc>
        <w:tc>
          <w:tcPr>
            <w:tcW w:w="407"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406"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510"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376"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Moderate</w:t>
            </w:r>
          </w:p>
        </w:tc>
      </w:tr>
      <w:tr w:rsidR="002F143B" w:rsidRPr="001A3E21" w:rsidTr="002F143B">
        <w:trPr>
          <w:cantSplit/>
          <w:trHeight w:val="353"/>
        </w:trPr>
        <w:tc>
          <w:tcPr>
            <w:tcW w:w="507" w:type="pct"/>
            <w:tcBorders>
              <w:top w:val="single" w:sz="4" w:space="0" w:color="auto"/>
              <w:left w:val="single" w:sz="4" w:space="0" w:color="auto"/>
              <w:bottom w:val="single" w:sz="4" w:space="0" w:color="auto"/>
              <w:right w:val="single" w:sz="4" w:space="0" w:color="auto"/>
            </w:tcBorders>
          </w:tcPr>
          <w:p w:rsidR="00D135DD" w:rsidRDefault="00D135DD" w:rsidP="00D135DD">
            <w:pPr>
              <w:spacing w:beforeLines="60" w:before="144" w:afterLines="60" w:after="144"/>
              <w:contextualSpacing/>
              <w:rPr>
                <w:sz w:val="20"/>
                <w:szCs w:val="20"/>
              </w:rPr>
            </w:pPr>
            <w:r>
              <w:rPr>
                <w:sz w:val="20"/>
                <w:szCs w:val="20"/>
              </w:rPr>
              <w:t>Danielsen  (2013)</w:t>
            </w:r>
          </w:p>
        </w:tc>
        <w:tc>
          <w:tcPr>
            <w:tcW w:w="457"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High</w:t>
            </w:r>
          </w:p>
        </w:tc>
        <w:tc>
          <w:tcPr>
            <w:tcW w:w="356"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356"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355"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407"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406"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457"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407"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High</w:t>
            </w:r>
          </w:p>
        </w:tc>
        <w:tc>
          <w:tcPr>
            <w:tcW w:w="406"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510"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376"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High</w:t>
            </w:r>
          </w:p>
        </w:tc>
      </w:tr>
      <w:tr w:rsidR="002F143B" w:rsidRPr="001A3E21" w:rsidTr="002F143B">
        <w:trPr>
          <w:cantSplit/>
          <w:trHeight w:val="353"/>
        </w:trPr>
        <w:tc>
          <w:tcPr>
            <w:tcW w:w="507" w:type="pct"/>
            <w:tcBorders>
              <w:top w:val="single" w:sz="4" w:space="0" w:color="auto"/>
              <w:left w:val="single" w:sz="4" w:space="0" w:color="auto"/>
              <w:bottom w:val="single" w:sz="4" w:space="0" w:color="auto"/>
              <w:right w:val="single" w:sz="4" w:space="0" w:color="auto"/>
            </w:tcBorders>
          </w:tcPr>
          <w:p w:rsidR="00D135DD" w:rsidRDefault="00D135DD" w:rsidP="00D135DD">
            <w:pPr>
              <w:spacing w:beforeLines="60" w:before="144" w:afterLines="60" w:after="144"/>
              <w:contextualSpacing/>
              <w:rPr>
                <w:sz w:val="20"/>
                <w:szCs w:val="20"/>
              </w:rPr>
            </w:pPr>
            <w:r w:rsidRPr="003E055C">
              <w:rPr>
                <w:sz w:val="20"/>
                <w:szCs w:val="20"/>
              </w:rPr>
              <w:t xml:space="preserve">de Marco </w:t>
            </w:r>
            <w:r>
              <w:rPr>
                <w:sz w:val="20"/>
                <w:szCs w:val="20"/>
              </w:rPr>
              <w:t>(</w:t>
            </w:r>
            <w:r w:rsidRPr="003E055C">
              <w:rPr>
                <w:sz w:val="20"/>
                <w:szCs w:val="20"/>
              </w:rPr>
              <w:t>2014</w:t>
            </w:r>
            <w:r>
              <w:rPr>
                <w:sz w:val="20"/>
                <w:szCs w:val="20"/>
              </w:rPr>
              <w:t>)</w:t>
            </w:r>
          </w:p>
        </w:tc>
        <w:tc>
          <w:tcPr>
            <w:tcW w:w="457"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High</w:t>
            </w:r>
          </w:p>
        </w:tc>
        <w:tc>
          <w:tcPr>
            <w:tcW w:w="356"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356"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High</w:t>
            </w:r>
          </w:p>
        </w:tc>
        <w:tc>
          <w:tcPr>
            <w:tcW w:w="355"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407"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406"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457"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407"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406"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510"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376"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High</w:t>
            </w:r>
          </w:p>
        </w:tc>
      </w:tr>
      <w:tr w:rsidR="002F143B" w:rsidRPr="001A3E21" w:rsidTr="002F143B">
        <w:trPr>
          <w:cantSplit/>
          <w:trHeight w:val="353"/>
        </w:trPr>
        <w:tc>
          <w:tcPr>
            <w:tcW w:w="507" w:type="pct"/>
            <w:tcBorders>
              <w:top w:val="single" w:sz="4" w:space="0" w:color="auto"/>
              <w:left w:val="single" w:sz="4" w:space="0" w:color="auto"/>
              <w:bottom w:val="single" w:sz="4" w:space="0" w:color="auto"/>
              <w:right w:val="single" w:sz="4" w:space="0" w:color="auto"/>
            </w:tcBorders>
          </w:tcPr>
          <w:p w:rsidR="00D135DD" w:rsidRDefault="00D135DD" w:rsidP="00D135DD">
            <w:pPr>
              <w:spacing w:beforeLines="60" w:before="144" w:afterLines="60" w:after="144"/>
              <w:contextualSpacing/>
              <w:rPr>
                <w:sz w:val="20"/>
                <w:szCs w:val="20"/>
              </w:rPr>
            </w:pPr>
            <w:r w:rsidRPr="003E055C">
              <w:rPr>
                <w:sz w:val="20"/>
                <w:szCs w:val="20"/>
              </w:rPr>
              <w:t xml:space="preserve">Dini </w:t>
            </w:r>
            <w:r>
              <w:rPr>
                <w:sz w:val="20"/>
                <w:szCs w:val="20"/>
              </w:rPr>
              <w:t>(</w:t>
            </w:r>
            <w:r w:rsidRPr="003E055C">
              <w:rPr>
                <w:sz w:val="20"/>
                <w:szCs w:val="20"/>
              </w:rPr>
              <w:t>2017</w:t>
            </w:r>
            <w:r>
              <w:rPr>
                <w:sz w:val="20"/>
                <w:szCs w:val="20"/>
              </w:rPr>
              <w:t>)</w:t>
            </w:r>
          </w:p>
        </w:tc>
        <w:tc>
          <w:tcPr>
            <w:tcW w:w="457"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High</w:t>
            </w:r>
          </w:p>
        </w:tc>
        <w:tc>
          <w:tcPr>
            <w:tcW w:w="356"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356"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355"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407"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406"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457"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High</w:t>
            </w:r>
          </w:p>
        </w:tc>
        <w:tc>
          <w:tcPr>
            <w:tcW w:w="407"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406"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510"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376"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Moderate</w:t>
            </w:r>
          </w:p>
        </w:tc>
      </w:tr>
      <w:tr w:rsidR="002F143B" w:rsidRPr="001A3E21" w:rsidTr="002F143B">
        <w:trPr>
          <w:cantSplit/>
          <w:trHeight w:val="353"/>
        </w:trPr>
        <w:tc>
          <w:tcPr>
            <w:tcW w:w="507" w:type="pct"/>
            <w:tcBorders>
              <w:top w:val="single" w:sz="4" w:space="0" w:color="auto"/>
              <w:left w:val="single" w:sz="4" w:space="0" w:color="auto"/>
              <w:bottom w:val="single" w:sz="4" w:space="0" w:color="auto"/>
              <w:right w:val="single" w:sz="4" w:space="0" w:color="auto"/>
            </w:tcBorders>
          </w:tcPr>
          <w:p w:rsidR="00D135DD" w:rsidRDefault="00D135DD" w:rsidP="00D135DD">
            <w:pPr>
              <w:spacing w:beforeLines="60" w:before="144" w:afterLines="60" w:after="144"/>
              <w:contextualSpacing/>
              <w:rPr>
                <w:sz w:val="20"/>
                <w:szCs w:val="20"/>
              </w:rPr>
            </w:pPr>
            <w:r w:rsidRPr="008C324D">
              <w:rPr>
                <w:sz w:val="20"/>
                <w:szCs w:val="20"/>
              </w:rPr>
              <w:t xml:space="preserve">Eder </w:t>
            </w:r>
            <w:r>
              <w:rPr>
                <w:sz w:val="20"/>
                <w:szCs w:val="20"/>
              </w:rPr>
              <w:t>(</w:t>
            </w:r>
            <w:r w:rsidRPr="008C324D">
              <w:rPr>
                <w:sz w:val="20"/>
                <w:szCs w:val="20"/>
              </w:rPr>
              <w:t>2016</w:t>
            </w:r>
            <w:r>
              <w:rPr>
                <w:sz w:val="20"/>
                <w:szCs w:val="20"/>
              </w:rPr>
              <w:t>)</w:t>
            </w:r>
          </w:p>
        </w:tc>
        <w:tc>
          <w:tcPr>
            <w:tcW w:w="457"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356"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356"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355"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407"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406"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457"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407"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406"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510"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376"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sidRPr="00BB0AC0">
              <w:rPr>
                <w:rFonts w:eastAsia="Calibri" w:cs="Calibri"/>
                <w:sz w:val="20"/>
                <w:szCs w:val="20"/>
              </w:rPr>
              <w:t>Low</w:t>
            </w:r>
          </w:p>
        </w:tc>
      </w:tr>
      <w:tr w:rsidR="002F143B" w:rsidRPr="001A3E21" w:rsidTr="002F143B">
        <w:trPr>
          <w:cantSplit/>
          <w:trHeight w:val="353"/>
        </w:trPr>
        <w:tc>
          <w:tcPr>
            <w:tcW w:w="507" w:type="pct"/>
            <w:tcBorders>
              <w:top w:val="single" w:sz="4" w:space="0" w:color="auto"/>
              <w:left w:val="single" w:sz="4" w:space="0" w:color="auto"/>
              <w:bottom w:val="single" w:sz="4" w:space="0" w:color="auto"/>
              <w:right w:val="single" w:sz="4" w:space="0" w:color="auto"/>
            </w:tcBorders>
          </w:tcPr>
          <w:p w:rsidR="00D135DD" w:rsidRPr="008C324D" w:rsidRDefault="00D135DD" w:rsidP="00D135DD">
            <w:pPr>
              <w:spacing w:beforeLines="60" w:before="144" w:afterLines="60" w:after="144"/>
              <w:contextualSpacing/>
              <w:rPr>
                <w:sz w:val="20"/>
                <w:szCs w:val="20"/>
              </w:rPr>
            </w:pPr>
            <w:r w:rsidRPr="003E055C">
              <w:rPr>
                <w:sz w:val="20"/>
                <w:szCs w:val="20"/>
              </w:rPr>
              <w:t xml:space="preserve">Edson-Heredia </w:t>
            </w:r>
            <w:r>
              <w:rPr>
                <w:sz w:val="20"/>
                <w:szCs w:val="20"/>
              </w:rPr>
              <w:t>(</w:t>
            </w:r>
            <w:r w:rsidRPr="003E055C">
              <w:rPr>
                <w:sz w:val="20"/>
                <w:szCs w:val="20"/>
              </w:rPr>
              <w:t>2015</w:t>
            </w:r>
            <w:r>
              <w:rPr>
                <w:sz w:val="20"/>
                <w:szCs w:val="20"/>
              </w:rPr>
              <w:t>)</w:t>
            </w:r>
          </w:p>
        </w:tc>
        <w:tc>
          <w:tcPr>
            <w:tcW w:w="457"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High</w:t>
            </w:r>
          </w:p>
        </w:tc>
        <w:tc>
          <w:tcPr>
            <w:tcW w:w="356"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356"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High</w:t>
            </w:r>
          </w:p>
        </w:tc>
        <w:tc>
          <w:tcPr>
            <w:tcW w:w="355"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407"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406"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457"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High</w:t>
            </w:r>
          </w:p>
        </w:tc>
        <w:tc>
          <w:tcPr>
            <w:tcW w:w="407"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406"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510"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376"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High</w:t>
            </w:r>
          </w:p>
        </w:tc>
      </w:tr>
      <w:tr w:rsidR="002F143B" w:rsidRPr="001A3E21" w:rsidTr="002F143B">
        <w:trPr>
          <w:cantSplit/>
          <w:trHeight w:val="353"/>
        </w:trPr>
        <w:tc>
          <w:tcPr>
            <w:tcW w:w="507" w:type="pct"/>
            <w:tcBorders>
              <w:top w:val="single" w:sz="4" w:space="0" w:color="auto"/>
              <w:left w:val="single" w:sz="4" w:space="0" w:color="auto"/>
              <w:bottom w:val="single" w:sz="4" w:space="0" w:color="auto"/>
              <w:right w:val="single" w:sz="4" w:space="0" w:color="auto"/>
            </w:tcBorders>
          </w:tcPr>
          <w:p w:rsidR="00D135DD" w:rsidRDefault="00D135DD" w:rsidP="00D135DD">
            <w:pPr>
              <w:spacing w:beforeLines="60" w:before="144" w:afterLines="60" w:after="144"/>
              <w:contextualSpacing/>
              <w:rPr>
                <w:sz w:val="20"/>
                <w:szCs w:val="20"/>
              </w:rPr>
            </w:pPr>
            <w:r w:rsidRPr="003E055C">
              <w:rPr>
                <w:sz w:val="20"/>
                <w:szCs w:val="20"/>
              </w:rPr>
              <w:t xml:space="preserve">Hoff </w:t>
            </w:r>
            <w:r>
              <w:rPr>
                <w:sz w:val="20"/>
                <w:szCs w:val="20"/>
              </w:rPr>
              <w:t>(</w:t>
            </w:r>
            <w:r w:rsidRPr="003E055C">
              <w:rPr>
                <w:sz w:val="20"/>
                <w:szCs w:val="20"/>
              </w:rPr>
              <w:t>2015</w:t>
            </w:r>
            <w:r>
              <w:rPr>
                <w:sz w:val="20"/>
                <w:szCs w:val="20"/>
              </w:rPr>
              <w:t>)</w:t>
            </w:r>
          </w:p>
        </w:tc>
        <w:tc>
          <w:tcPr>
            <w:tcW w:w="457"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356"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356"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355"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407"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406"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457"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407"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406"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510"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376"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r>
      <w:tr w:rsidR="002F143B" w:rsidRPr="001A3E21" w:rsidTr="002F143B">
        <w:trPr>
          <w:cantSplit/>
          <w:trHeight w:val="353"/>
        </w:trPr>
        <w:tc>
          <w:tcPr>
            <w:tcW w:w="507" w:type="pct"/>
            <w:tcBorders>
              <w:top w:val="single" w:sz="4" w:space="0" w:color="auto"/>
              <w:left w:val="single" w:sz="4" w:space="0" w:color="auto"/>
              <w:bottom w:val="single" w:sz="4" w:space="0" w:color="auto"/>
              <w:right w:val="single" w:sz="4" w:space="0" w:color="auto"/>
            </w:tcBorders>
          </w:tcPr>
          <w:p w:rsidR="00D135DD" w:rsidRPr="00CF00E1" w:rsidRDefault="00D135DD" w:rsidP="00D135DD">
            <w:pPr>
              <w:spacing w:beforeLines="60" w:before="144" w:afterLines="60" w:after="144"/>
              <w:contextualSpacing/>
              <w:rPr>
                <w:sz w:val="20"/>
                <w:szCs w:val="20"/>
              </w:rPr>
            </w:pPr>
            <w:r>
              <w:rPr>
                <w:sz w:val="20"/>
                <w:szCs w:val="20"/>
              </w:rPr>
              <w:t>Huerta</w:t>
            </w:r>
            <w:r>
              <w:rPr>
                <w:i/>
                <w:sz w:val="20"/>
                <w:szCs w:val="20"/>
              </w:rPr>
              <w:t xml:space="preserve"> </w:t>
            </w:r>
            <w:r>
              <w:rPr>
                <w:sz w:val="20"/>
                <w:szCs w:val="20"/>
              </w:rPr>
              <w:t>(2007)</w:t>
            </w:r>
          </w:p>
        </w:tc>
        <w:tc>
          <w:tcPr>
            <w:tcW w:w="457"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356"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High</w:t>
            </w:r>
          </w:p>
        </w:tc>
        <w:tc>
          <w:tcPr>
            <w:tcW w:w="356"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High</w:t>
            </w:r>
          </w:p>
        </w:tc>
        <w:tc>
          <w:tcPr>
            <w:tcW w:w="355"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407"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High</w:t>
            </w:r>
          </w:p>
        </w:tc>
        <w:tc>
          <w:tcPr>
            <w:tcW w:w="406"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High</w:t>
            </w:r>
          </w:p>
        </w:tc>
        <w:tc>
          <w:tcPr>
            <w:tcW w:w="457"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407"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High</w:t>
            </w:r>
          </w:p>
        </w:tc>
        <w:tc>
          <w:tcPr>
            <w:tcW w:w="406"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510"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376"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High</w:t>
            </w:r>
          </w:p>
        </w:tc>
      </w:tr>
      <w:tr w:rsidR="002F143B" w:rsidRPr="001A3E21" w:rsidTr="002F143B">
        <w:trPr>
          <w:cantSplit/>
          <w:trHeight w:val="353"/>
        </w:trPr>
        <w:tc>
          <w:tcPr>
            <w:tcW w:w="507" w:type="pct"/>
            <w:tcBorders>
              <w:top w:val="single" w:sz="4" w:space="0" w:color="auto"/>
              <w:left w:val="single" w:sz="4" w:space="0" w:color="auto"/>
              <w:bottom w:val="single" w:sz="4" w:space="0" w:color="auto"/>
              <w:right w:val="single" w:sz="4" w:space="0" w:color="auto"/>
            </w:tcBorders>
          </w:tcPr>
          <w:p w:rsidR="00D135DD" w:rsidRDefault="00D135DD" w:rsidP="00D135DD">
            <w:pPr>
              <w:spacing w:beforeLines="60" w:before="144" w:afterLines="60" w:after="144"/>
              <w:contextualSpacing/>
              <w:rPr>
                <w:sz w:val="20"/>
                <w:szCs w:val="20"/>
              </w:rPr>
            </w:pPr>
            <w:r>
              <w:rPr>
                <w:sz w:val="20"/>
                <w:szCs w:val="20"/>
              </w:rPr>
              <w:t>Icen</w:t>
            </w:r>
            <w:r w:rsidRPr="00CF00E1">
              <w:rPr>
                <w:sz w:val="20"/>
                <w:szCs w:val="20"/>
              </w:rPr>
              <w:t xml:space="preserve"> </w:t>
            </w:r>
            <w:r>
              <w:rPr>
                <w:sz w:val="20"/>
                <w:szCs w:val="20"/>
              </w:rPr>
              <w:t>(</w:t>
            </w:r>
            <w:r w:rsidRPr="00CF00E1">
              <w:rPr>
                <w:sz w:val="20"/>
                <w:szCs w:val="20"/>
              </w:rPr>
              <w:t>2009</w:t>
            </w:r>
            <w:r>
              <w:rPr>
                <w:sz w:val="20"/>
                <w:szCs w:val="20"/>
              </w:rPr>
              <w:t>)</w:t>
            </w:r>
            <w:r w:rsidRPr="00CF00E1">
              <w:rPr>
                <w:sz w:val="20"/>
                <w:szCs w:val="20"/>
              </w:rPr>
              <w:t xml:space="preserve"> </w:t>
            </w:r>
          </w:p>
        </w:tc>
        <w:tc>
          <w:tcPr>
            <w:tcW w:w="457"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356"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356"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355"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407"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406"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457"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407"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High</w:t>
            </w:r>
          </w:p>
        </w:tc>
        <w:tc>
          <w:tcPr>
            <w:tcW w:w="406"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510"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376"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r>
      <w:tr w:rsidR="002F143B" w:rsidRPr="001A3E21" w:rsidTr="002F143B">
        <w:trPr>
          <w:cantSplit/>
          <w:trHeight w:val="353"/>
        </w:trPr>
        <w:tc>
          <w:tcPr>
            <w:tcW w:w="507"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spacing w:beforeLines="60" w:before="144" w:afterLines="60" w:after="144"/>
              <w:contextualSpacing/>
              <w:rPr>
                <w:rFonts w:eastAsia="Calibri"/>
                <w:sz w:val="20"/>
                <w:szCs w:val="20"/>
              </w:rPr>
            </w:pPr>
            <w:r w:rsidRPr="00CF00E1">
              <w:rPr>
                <w:rFonts w:eastAsia="Calibri"/>
                <w:sz w:val="20"/>
                <w:szCs w:val="20"/>
              </w:rPr>
              <w:t>Kilkenny</w:t>
            </w:r>
            <w:r>
              <w:rPr>
                <w:rFonts w:eastAsia="Calibri"/>
                <w:sz w:val="20"/>
                <w:szCs w:val="20"/>
              </w:rPr>
              <w:t xml:space="preserve"> (</w:t>
            </w:r>
            <w:r w:rsidRPr="00CF00E1">
              <w:rPr>
                <w:rFonts w:eastAsia="Calibri"/>
                <w:sz w:val="20"/>
                <w:szCs w:val="20"/>
              </w:rPr>
              <w:t>1998</w:t>
            </w:r>
            <w:r>
              <w:rPr>
                <w:rFonts w:eastAsia="Calibri"/>
                <w:sz w:val="20"/>
                <w:szCs w:val="20"/>
              </w:rPr>
              <w:t>)</w:t>
            </w:r>
          </w:p>
        </w:tc>
        <w:tc>
          <w:tcPr>
            <w:tcW w:w="457"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High</w:t>
            </w:r>
          </w:p>
        </w:tc>
        <w:tc>
          <w:tcPr>
            <w:tcW w:w="356"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356"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355"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407"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406"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High</w:t>
            </w:r>
          </w:p>
        </w:tc>
        <w:tc>
          <w:tcPr>
            <w:tcW w:w="457"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High</w:t>
            </w:r>
          </w:p>
        </w:tc>
        <w:tc>
          <w:tcPr>
            <w:tcW w:w="407"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406"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510"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376"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Moderate</w:t>
            </w:r>
          </w:p>
        </w:tc>
      </w:tr>
      <w:tr w:rsidR="002F143B" w:rsidRPr="001A3E21" w:rsidTr="002F143B">
        <w:trPr>
          <w:cantSplit/>
          <w:trHeight w:val="353"/>
        </w:trPr>
        <w:tc>
          <w:tcPr>
            <w:tcW w:w="507" w:type="pct"/>
            <w:tcBorders>
              <w:top w:val="single" w:sz="4" w:space="0" w:color="auto"/>
              <w:left w:val="single" w:sz="4" w:space="0" w:color="auto"/>
              <w:bottom w:val="single" w:sz="4" w:space="0" w:color="auto"/>
              <w:right w:val="single" w:sz="4" w:space="0" w:color="auto"/>
            </w:tcBorders>
            <w:vAlign w:val="center"/>
          </w:tcPr>
          <w:p w:rsidR="00D135DD" w:rsidRPr="00CF00E1" w:rsidRDefault="00D135DD" w:rsidP="00D135DD">
            <w:pPr>
              <w:spacing w:beforeLines="60" w:before="144" w:afterLines="60" w:after="144"/>
              <w:contextualSpacing/>
              <w:rPr>
                <w:rFonts w:eastAsia="Calibri"/>
                <w:sz w:val="20"/>
                <w:szCs w:val="20"/>
              </w:rPr>
            </w:pPr>
            <w:r w:rsidRPr="008C324D">
              <w:rPr>
                <w:rFonts w:eastAsia="Calibri"/>
                <w:sz w:val="20"/>
                <w:szCs w:val="20"/>
              </w:rPr>
              <w:t>Jenner (2002)</w:t>
            </w:r>
          </w:p>
        </w:tc>
        <w:tc>
          <w:tcPr>
            <w:tcW w:w="457"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High</w:t>
            </w:r>
          </w:p>
        </w:tc>
        <w:tc>
          <w:tcPr>
            <w:tcW w:w="356"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356"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High</w:t>
            </w:r>
          </w:p>
        </w:tc>
        <w:tc>
          <w:tcPr>
            <w:tcW w:w="355"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High</w:t>
            </w:r>
          </w:p>
        </w:tc>
        <w:tc>
          <w:tcPr>
            <w:tcW w:w="407"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406"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457"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407"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406"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510"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376"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Moderate</w:t>
            </w:r>
          </w:p>
        </w:tc>
      </w:tr>
      <w:tr w:rsidR="002F143B" w:rsidRPr="001A3E21" w:rsidTr="002F143B">
        <w:trPr>
          <w:cantSplit/>
          <w:trHeight w:val="353"/>
        </w:trPr>
        <w:tc>
          <w:tcPr>
            <w:tcW w:w="507" w:type="pct"/>
            <w:tcBorders>
              <w:top w:val="single" w:sz="4" w:space="0" w:color="auto"/>
              <w:left w:val="single" w:sz="4" w:space="0" w:color="auto"/>
              <w:bottom w:val="single" w:sz="4" w:space="0" w:color="auto"/>
              <w:right w:val="single" w:sz="4" w:space="0" w:color="auto"/>
            </w:tcBorders>
            <w:vAlign w:val="center"/>
          </w:tcPr>
          <w:p w:rsidR="00D135DD" w:rsidRPr="00C873D4" w:rsidRDefault="00D135DD" w:rsidP="00D135DD">
            <w:pPr>
              <w:spacing w:beforeLines="60" w:before="144" w:afterLines="60" w:after="144"/>
              <w:contextualSpacing/>
              <w:rPr>
                <w:rFonts w:eastAsia="Calibri"/>
                <w:sz w:val="20"/>
                <w:szCs w:val="20"/>
              </w:rPr>
            </w:pPr>
            <w:r w:rsidRPr="008C324D">
              <w:rPr>
                <w:rFonts w:eastAsia="Calibri"/>
                <w:sz w:val="20"/>
                <w:szCs w:val="20"/>
              </w:rPr>
              <w:t xml:space="preserve">Langenbruc </w:t>
            </w:r>
            <w:r>
              <w:rPr>
                <w:rFonts w:eastAsia="Calibri"/>
                <w:sz w:val="20"/>
                <w:szCs w:val="20"/>
              </w:rPr>
              <w:t>(</w:t>
            </w:r>
            <w:r w:rsidRPr="008C324D">
              <w:rPr>
                <w:rFonts w:eastAsia="Calibri"/>
                <w:sz w:val="20"/>
                <w:szCs w:val="20"/>
              </w:rPr>
              <w:t>2016</w:t>
            </w:r>
            <w:r>
              <w:rPr>
                <w:rFonts w:eastAsia="Calibri"/>
                <w:sz w:val="20"/>
                <w:szCs w:val="20"/>
              </w:rPr>
              <w:t>)</w:t>
            </w:r>
          </w:p>
        </w:tc>
        <w:tc>
          <w:tcPr>
            <w:tcW w:w="457"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356"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356"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355"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407"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406"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457"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407"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406"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510"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376"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r>
      <w:tr w:rsidR="002F143B" w:rsidRPr="001A3E21" w:rsidTr="002F143B">
        <w:trPr>
          <w:cantSplit/>
          <w:trHeight w:val="353"/>
        </w:trPr>
        <w:tc>
          <w:tcPr>
            <w:tcW w:w="507" w:type="pct"/>
            <w:tcBorders>
              <w:top w:val="single" w:sz="4" w:space="0" w:color="auto"/>
              <w:left w:val="single" w:sz="4" w:space="0" w:color="auto"/>
              <w:bottom w:val="single" w:sz="4" w:space="0" w:color="auto"/>
              <w:right w:val="single" w:sz="4" w:space="0" w:color="auto"/>
            </w:tcBorders>
            <w:vAlign w:val="center"/>
          </w:tcPr>
          <w:p w:rsidR="00D135DD" w:rsidRPr="008C324D" w:rsidRDefault="00D135DD" w:rsidP="00D135DD">
            <w:pPr>
              <w:spacing w:beforeLines="60" w:before="144" w:afterLines="60" w:after="144"/>
              <w:contextualSpacing/>
              <w:rPr>
                <w:rFonts w:eastAsia="Calibri"/>
                <w:sz w:val="20"/>
                <w:szCs w:val="20"/>
              </w:rPr>
            </w:pPr>
            <w:r w:rsidRPr="003E055C">
              <w:rPr>
                <w:rFonts w:eastAsia="Calibri"/>
                <w:sz w:val="20"/>
                <w:szCs w:val="20"/>
              </w:rPr>
              <w:t xml:space="preserve">Lebwohl </w:t>
            </w:r>
            <w:r>
              <w:rPr>
                <w:rFonts w:eastAsia="Calibri"/>
                <w:sz w:val="20"/>
                <w:szCs w:val="20"/>
              </w:rPr>
              <w:t>(</w:t>
            </w:r>
            <w:r w:rsidRPr="003E055C">
              <w:rPr>
                <w:rFonts w:eastAsia="Calibri"/>
                <w:sz w:val="20"/>
                <w:szCs w:val="20"/>
              </w:rPr>
              <w:t>2016</w:t>
            </w:r>
            <w:r>
              <w:rPr>
                <w:rFonts w:eastAsia="Calibri"/>
                <w:sz w:val="20"/>
                <w:szCs w:val="20"/>
              </w:rPr>
              <w:t>)</w:t>
            </w:r>
          </w:p>
        </w:tc>
        <w:tc>
          <w:tcPr>
            <w:tcW w:w="457"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356"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356"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High</w:t>
            </w:r>
          </w:p>
        </w:tc>
        <w:tc>
          <w:tcPr>
            <w:tcW w:w="355"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High</w:t>
            </w:r>
          </w:p>
        </w:tc>
        <w:tc>
          <w:tcPr>
            <w:tcW w:w="407"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406"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457"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High</w:t>
            </w:r>
          </w:p>
        </w:tc>
        <w:tc>
          <w:tcPr>
            <w:tcW w:w="407"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406"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510"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High</w:t>
            </w:r>
          </w:p>
        </w:tc>
        <w:tc>
          <w:tcPr>
            <w:tcW w:w="376"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Moderate</w:t>
            </w:r>
          </w:p>
        </w:tc>
      </w:tr>
      <w:tr w:rsidR="002F143B" w:rsidRPr="001A3E21" w:rsidTr="002F143B">
        <w:trPr>
          <w:cantSplit/>
          <w:trHeight w:val="353"/>
        </w:trPr>
        <w:tc>
          <w:tcPr>
            <w:tcW w:w="507" w:type="pct"/>
            <w:tcBorders>
              <w:top w:val="single" w:sz="4" w:space="0" w:color="auto"/>
              <w:left w:val="single" w:sz="4" w:space="0" w:color="auto"/>
              <w:bottom w:val="single" w:sz="4" w:space="0" w:color="auto"/>
              <w:right w:val="single" w:sz="4" w:space="0" w:color="auto"/>
            </w:tcBorders>
            <w:vAlign w:val="center"/>
          </w:tcPr>
          <w:p w:rsidR="00D135DD" w:rsidRPr="00CF00E1" w:rsidRDefault="00D135DD" w:rsidP="00D135DD">
            <w:pPr>
              <w:spacing w:beforeLines="60" w:before="144" w:afterLines="60" w:after="144"/>
              <w:contextualSpacing/>
              <w:rPr>
                <w:rFonts w:eastAsia="Calibri"/>
                <w:sz w:val="20"/>
                <w:szCs w:val="20"/>
              </w:rPr>
            </w:pPr>
            <w:r w:rsidRPr="00C873D4">
              <w:rPr>
                <w:rFonts w:eastAsia="Calibri"/>
                <w:sz w:val="20"/>
                <w:szCs w:val="20"/>
              </w:rPr>
              <w:t xml:space="preserve">Lopez </w:t>
            </w:r>
            <w:r>
              <w:rPr>
                <w:rFonts w:eastAsia="Calibri"/>
                <w:sz w:val="20"/>
                <w:szCs w:val="20"/>
              </w:rPr>
              <w:t>(</w:t>
            </w:r>
            <w:r w:rsidRPr="00C873D4">
              <w:rPr>
                <w:rFonts w:eastAsia="Calibri"/>
                <w:sz w:val="20"/>
                <w:szCs w:val="20"/>
              </w:rPr>
              <w:t>2015</w:t>
            </w:r>
            <w:r>
              <w:rPr>
                <w:rFonts w:eastAsia="Calibri"/>
                <w:sz w:val="20"/>
                <w:szCs w:val="20"/>
              </w:rPr>
              <w:t>)</w:t>
            </w:r>
          </w:p>
        </w:tc>
        <w:tc>
          <w:tcPr>
            <w:tcW w:w="457"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356"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356"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High</w:t>
            </w:r>
          </w:p>
        </w:tc>
        <w:tc>
          <w:tcPr>
            <w:tcW w:w="355"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407"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406"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457"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407"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High</w:t>
            </w:r>
          </w:p>
        </w:tc>
        <w:tc>
          <w:tcPr>
            <w:tcW w:w="406"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510"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376"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r>
      <w:tr w:rsidR="002F143B" w:rsidRPr="001A3E21" w:rsidTr="002F143B">
        <w:trPr>
          <w:cantSplit/>
          <w:trHeight w:val="353"/>
        </w:trPr>
        <w:tc>
          <w:tcPr>
            <w:tcW w:w="507" w:type="pct"/>
            <w:tcBorders>
              <w:top w:val="single" w:sz="4" w:space="0" w:color="auto"/>
              <w:left w:val="single" w:sz="4" w:space="0" w:color="auto"/>
              <w:bottom w:val="single" w:sz="4" w:space="0" w:color="auto"/>
              <w:right w:val="single" w:sz="4" w:space="0" w:color="auto"/>
            </w:tcBorders>
            <w:vAlign w:val="center"/>
          </w:tcPr>
          <w:p w:rsidR="00D135DD" w:rsidRPr="00C873D4" w:rsidRDefault="00D135DD" w:rsidP="00D135DD">
            <w:pPr>
              <w:spacing w:beforeLines="60" w:before="144" w:afterLines="60" w:after="144"/>
              <w:contextualSpacing/>
              <w:rPr>
                <w:rFonts w:eastAsia="Calibri"/>
                <w:sz w:val="20"/>
                <w:szCs w:val="20"/>
              </w:rPr>
            </w:pPr>
            <w:r w:rsidRPr="003E055C">
              <w:rPr>
                <w:rFonts w:eastAsia="Calibri"/>
                <w:sz w:val="20"/>
                <w:szCs w:val="20"/>
              </w:rPr>
              <w:t xml:space="preserve">Karreman </w:t>
            </w:r>
            <w:r>
              <w:rPr>
                <w:rFonts w:eastAsia="Calibri"/>
                <w:sz w:val="20"/>
                <w:szCs w:val="20"/>
              </w:rPr>
              <w:t>(</w:t>
            </w:r>
            <w:r w:rsidRPr="003E055C">
              <w:rPr>
                <w:rFonts w:eastAsia="Calibri"/>
                <w:sz w:val="20"/>
                <w:szCs w:val="20"/>
              </w:rPr>
              <w:t>2017</w:t>
            </w:r>
            <w:r>
              <w:rPr>
                <w:rFonts w:eastAsia="Calibri"/>
                <w:sz w:val="20"/>
                <w:szCs w:val="20"/>
              </w:rPr>
              <w:t>)</w:t>
            </w:r>
          </w:p>
        </w:tc>
        <w:tc>
          <w:tcPr>
            <w:tcW w:w="457"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356"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356"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High</w:t>
            </w:r>
          </w:p>
        </w:tc>
        <w:tc>
          <w:tcPr>
            <w:tcW w:w="355"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407"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406"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457"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407"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406"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510"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376"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r>
      <w:tr w:rsidR="002F143B" w:rsidRPr="001A3E21" w:rsidTr="002F143B">
        <w:trPr>
          <w:cantSplit/>
          <w:trHeight w:val="353"/>
        </w:trPr>
        <w:tc>
          <w:tcPr>
            <w:tcW w:w="507" w:type="pct"/>
            <w:tcBorders>
              <w:top w:val="single" w:sz="4" w:space="0" w:color="auto"/>
              <w:left w:val="single" w:sz="4" w:space="0" w:color="auto"/>
              <w:bottom w:val="single" w:sz="4" w:space="0" w:color="auto"/>
              <w:right w:val="single" w:sz="4" w:space="0" w:color="auto"/>
            </w:tcBorders>
            <w:vAlign w:val="center"/>
          </w:tcPr>
          <w:p w:rsidR="00D135DD" w:rsidRPr="00C873D4" w:rsidRDefault="00D135DD" w:rsidP="00D135DD">
            <w:pPr>
              <w:spacing w:beforeLines="60" w:before="144" w:afterLines="60" w:after="144"/>
              <w:contextualSpacing/>
              <w:rPr>
                <w:rFonts w:eastAsia="Calibri"/>
                <w:sz w:val="20"/>
                <w:szCs w:val="20"/>
              </w:rPr>
            </w:pPr>
            <w:r w:rsidRPr="003E055C">
              <w:rPr>
                <w:rFonts w:eastAsia="Calibri"/>
                <w:sz w:val="20"/>
                <w:szCs w:val="20"/>
              </w:rPr>
              <w:t xml:space="preserve">Korman </w:t>
            </w:r>
            <w:r>
              <w:rPr>
                <w:rFonts w:eastAsia="Calibri"/>
                <w:sz w:val="20"/>
                <w:szCs w:val="20"/>
              </w:rPr>
              <w:t>(</w:t>
            </w:r>
            <w:r w:rsidRPr="003E055C">
              <w:rPr>
                <w:rFonts w:eastAsia="Calibri"/>
                <w:sz w:val="20"/>
                <w:szCs w:val="20"/>
              </w:rPr>
              <w:t>2015</w:t>
            </w:r>
            <w:r>
              <w:rPr>
                <w:rFonts w:eastAsia="Calibri"/>
                <w:sz w:val="20"/>
                <w:szCs w:val="20"/>
              </w:rPr>
              <w:t>)</w:t>
            </w:r>
          </w:p>
        </w:tc>
        <w:tc>
          <w:tcPr>
            <w:tcW w:w="457"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High</w:t>
            </w:r>
          </w:p>
        </w:tc>
        <w:tc>
          <w:tcPr>
            <w:tcW w:w="356"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High</w:t>
            </w:r>
          </w:p>
        </w:tc>
        <w:tc>
          <w:tcPr>
            <w:tcW w:w="356"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High</w:t>
            </w:r>
          </w:p>
        </w:tc>
        <w:tc>
          <w:tcPr>
            <w:tcW w:w="355"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407"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406"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457"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407"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406"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510"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376"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Moderate</w:t>
            </w:r>
          </w:p>
        </w:tc>
      </w:tr>
      <w:tr w:rsidR="002F143B" w:rsidRPr="001A3E21" w:rsidTr="002F143B">
        <w:trPr>
          <w:cantSplit/>
          <w:trHeight w:val="353"/>
        </w:trPr>
        <w:tc>
          <w:tcPr>
            <w:tcW w:w="507" w:type="pct"/>
            <w:tcBorders>
              <w:top w:val="single" w:sz="4" w:space="0" w:color="auto"/>
              <w:left w:val="single" w:sz="4" w:space="0" w:color="auto"/>
              <w:bottom w:val="single" w:sz="4" w:space="0" w:color="auto"/>
              <w:right w:val="single" w:sz="4" w:space="0" w:color="auto"/>
            </w:tcBorders>
            <w:vAlign w:val="center"/>
          </w:tcPr>
          <w:p w:rsidR="00D135DD" w:rsidRPr="00CF00E1" w:rsidRDefault="00D135DD" w:rsidP="00D135DD">
            <w:pPr>
              <w:spacing w:beforeLines="60" w:before="144" w:afterLines="60" w:after="144"/>
              <w:contextualSpacing/>
              <w:rPr>
                <w:rFonts w:eastAsia="Calibri"/>
                <w:sz w:val="20"/>
                <w:szCs w:val="20"/>
              </w:rPr>
            </w:pPr>
            <w:r w:rsidRPr="00C873D4">
              <w:rPr>
                <w:rFonts w:eastAsia="Calibri"/>
                <w:sz w:val="20"/>
                <w:szCs w:val="20"/>
              </w:rPr>
              <w:t>Mallbris</w:t>
            </w:r>
            <w:r>
              <w:rPr>
                <w:rFonts w:eastAsia="Calibri"/>
                <w:sz w:val="20"/>
                <w:szCs w:val="20"/>
              </w:rPr>
              <w:t xml:space="preserve"> (</w:t>
            </w:r>
            <w:r w:rsidRPr="00C873D4">
              <w:rPr>
                <w:rFonts w:eastAsia="Calibri"/>
                <w:sz w:val="20"/>
                <w:szCs w:val="20"/>
              </w:rPr>
              <w:t>2005)</w:t>
            </w:r>
          </w:p>
        </w:tc>
        <w:tc>
          <w:tcPr>
            <w:tcW w:w="457"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High</w:t>
            </w:r>
          </w:p>
        </w:tc>
        <w:tc>
          <w:tcPr>
            <w:tcW w:w="356"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356"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355"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407"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406"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457"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407"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406"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510"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376"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r>
      <w:tr w:rsidR="002F143B" w:rsidRPr="001A3E21" w:rsidTr="002F143B">
        <w:trPr>
          <w:cantSplit/>
          <w:trHeight w:val="353"/>
        </w:trPr>
        <w:tc>
          <w:tcPr>
            <w:tcW w:w="507" w:type="pct"/>
            <w:tcBorders>
              <w:top w:val="single" w:sz="4" w:space="0" w:color="auto"/>
              <w:left w:val="single" w:sz="4" w:space="0" w:color="auto"/>
              <w:bottom w:val="single" w:sz="4" w:space="0" w:color="auto"/>
              <w:right w:val="single" w:sz="4" w:space="0" w:color="auto"/>
            </w:tcBorders>
            <w:vAlign w:val="center"/>
          </w:tcPr>
          <w:p w:rsidR="00D135DD" w:rsidRPr="00C873D4" w:rsidRDefault="00D135DD" w:rsidP="00D135DD">
            <w:pPr>
              <w:spacing w:beforeLines="60" w:before="144" w:afterLines="60" w:after="144"/>
              <w:contextualSpacing/>
              <w:rPr>
                <w:rFonts w:eastAsia="Calibri"/>
                <w:sz w:val="20"/>
                <w:szCs w:val="20"/>
              </w:rPr>
            </w:pPr>
            <w:r w:rsidRPr="003E055C">
              <w:rPr>
                <w:rFonts w:eastAsia="Calibri"/>
                <w:sz w:val="20"/>
                <w:szCs w:val="20"/>
              </w:rPr>
              <w:t xml:space="preserve">Mease </w:t>
            </w:r>
            <w:r>
              <w:rPr>
                <w:rFonts w:eastAsia="Calibri"/>
                <w:sz w:val="20"/>
                <w:szCs w:val="20"/>
              </w:rPr>
              <w:t>(</w:t>
            </w:r>
            <w:r w:rsidRPr="003E055C">
              <w:rPr>
                <w:rFonts w:eastAsia="Calibri"/>
                <w:sz w:val="20"/>
                <w:szCs w:val="20"/>
              </w:rPr>
              <w:t>2013</w:t>
            </w:r>
            <w:r>
              <w:rPr>
                <w:rFonts w:eastAsia="Calibri"/>
                <w:sz w:val="20"/>
                <w:szCs w:val="20"/>
              </w:rPr>
              <w:t>)</w:t>
            </w:r>
          </w:p>
        </w:tc>
        <w:tc>
          <w:tcPr>
            <w:tcW w:w="457"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High</w:t>
            </w:r>
          </w:p>
        </w:tc>
        <w:tc>
          <w:tcPr>
            <w:tcW w:w="356"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356"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355"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407"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406"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457"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407"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High</w:t>
            </w:r>
          </w:p>
        </w:tc>
        <w:tc>
          <w:tcPr>
            <w:tcW w:w="406"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510"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376"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r>
      <w:tr w:rsidR="002F143B" w:rsidRPr="001A3E21" w:rsidTr="002F143B">
        <w:trPr>
          <w:cantSplit/>
          <w:trHeight w:val="353"/>
        </w:trPr>
        <w:tc>
          <w:tcPr>
            <w:tcW w:w="507" w:type="pct"/>
            <w:tcBorders>
              <w:top w:val="single" w:sz="4" w:space="0" w:color="auto"/>
              <w:left w:val="single" w:sz="4" w:space="0" w:color="auto"/>
              <w:bottom w:val="single" w:sz="4" w:space="0" w:color="auto"/>
              <w:right w:val="single" w:sz="4" w:space="0" w:color="auto"/>
            </w:tcBorders>
            <w:vAlign w:val="center"/>
          </w:tcPr>
          <w:p w:rsidR="00D135DD" w:rsidRPr="00C873D4" w:rsidRDefault="00D135DD" w:rsidP="00D135DD">
            <w:pPr>
              <w:spacing w:beforeLines="60" w:before="144" w:afterLines="60" w:after="144"/>
              <w:contextualSpacing/>
              <w:rPr>
                <w:rFonts w:eastAsia="Calibri"/>
                <w:sz w:val="20"/>
                <w:szCs w:val="20"/>
              </w:rPr>
            </w:pPr>
            <w:r>
              <w:rPr>
                <w:rFonts w:eastAsia="Calibri"/>
                <w:sz w:val="20"/>
                <w:szCs w:val="20"/>
              </w:rPr>
              <w:t>Merola (</w:t>
            </w:r>
            <w:r w:rsidRPr="00C873D4">
              <w:rPr>
                <w:rFonts w:eastAsia="Calibri"/>
                <w:sz w:val="20"/>
                <w:szCs w:val="20"/>
              </w:rPr>
              <w:t>2016)</w:t>
            </w:r>
          </w:p>
        </w:tc>
        <w:tc>
          <w:tcPr>
            <w:tcW w:w="457"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High</w:t>
            </w:r>
          </w:p>
        </w:tc>
        <w:tc>
          <w:tcPr>
            <w:tcW w:w="356"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356"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High</w:t>
            </w:r>
          </w:p>
        </w:tc>
        <w:tc>
          <w:tcPr>
            <w:tcW w:w="355"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407"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406"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457"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407"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406"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510"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376"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Moderate</w:t>
            </w:r>
          </w:p>
        </w:tc>
      </w:tr>
      <w:tr w:rsidR="002F143B" w:rsidRPr="001A3E21" w:rsidTr="002F143B">
        <w:trPr>
          <w:cantSplit/>
          <w:trHeight w:val="353"/>
        </w:trPr>
        <w:tc>
          <w:tcPr>
            <w:tcW w:w="507" w:type="pct"/>
            <w:tcBorders>
              <w:top w:val="single" w:sz="4" w:space="0" w:color="auto"/>
              <w:left w:val="single" w:sz="4" w:space="0" w:color="auto"/>
              <w:bottom w:val="single" w:sz="4" w:space="0" w:color="auto"/>
              <w:right w:val="single" w:sz="4" w:space="0" w:color="auto"/>
            </w:tcBorders>
            <w:vAlign w:val="center"/>
          </w:tcPr>
          <w:p w:rsidR="00D135DD" w:rsidRDefault="00D135DD" w:rsidP="00D135DD">
            <w:pPr>
              <w:spacing w:beforeLines="60" w:before="144" w:afterLines="60" w:after="144"/>
              <w:contextualSpacing/>
              <w:rPr>
                <w:rFonts w:eastAsia="Calibri"/>
                <w:sz w:val="20"/>
                <w:szCs w:val="20"/>
              </w:rPr>
            </w:pPr>
            <w:r w:rsidRPr="00C873D4">
              <w:rPr>
                <w:rFonts w:eastAsia="Calibri"/>
                <w:sz w:val="20"/>
                <w:szCs w:val="20"/>
              </w:rPr>
              <w:t>Morris</w:t>
            </w:r>
            <w:r>
              <w:rPr>
                <w:rFonts w:eastAsia="Calibri"/>
                <w:sz w:val="20"/>
                <w:szCs w:val="20"/>
              </w:rPr>
              <w:t xml:space="preserve"> (</w:t>
            </w:r>
            <w:r w:rsidRPr="00C873D4">
              <w:rPr>
                <w:rFonts w:eastAsia="Calibri"/>
                <w:sz w:val="20"/>
                <w:szCs w:val="20"/>
              </w:rPr>
              <w:t>2001)</w:t>
            </w:r>
          </w:p>
        </w:tc>
        <w:tc>
          <w:tcPr>
            <w:tcW w:w="457"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High</w:t>
            </w:r>
          </w:p>
        </w:tc>
        <w:tc>
          <w:tcPr>
            <w:tcW w:w="356"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356"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High</w:t>
            </w:r>
          </w:p>
        </w:tc>
        <w:tc>
          <w:tcPr>
            <w:tcW w:w="355"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407"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406"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457"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407"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406"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510"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376"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High</w:t>
            </w:r>
          </w:p>
        </w:tc>
      </w:tr>
      <w:tr w:rsidR="002F143B" w:rsidRPr="001A3E21" w:rsidTr="002F143B">
        <w:trPr>
          <w:cantSplit/>
          <w:trHeight w:val="353"/>
        </w:trPr>
        <w:tc>
          <w:tcPr>
            <w:tcW w:w="507" w:type="pct"/>
            <w:tcBorders>
              <w:top w:val="single" w:sz="4" w:space="0" w:color="auto"/>
              <w:left w:val="single" w:sz="4" w:space="0" w:color="auto"/>
              <w:bottom w:val="single" w:sz="4" w:space="0" w:color="auto"/>
              <w:right w:val="single" w:sz="4" w:space="0" w:color="auto"/>
            </w:tcBorders>
            <w:vAlign w:val="center"/>
          </w:tcPr>
          <w:p w:rsidR="00D135DD" w:rsidRPr="00C873D4" w:rsidRDefault="00D135DD" w:rsidP="00D135DD">
            <w:pPr>
              <w:spacing w:beforeLines="60" w:before="144" w:afterLines="60" w:after="144"/>
              <w:contextualSpacing/>
              <w:rPr>
                <w:rFonts w:eastAsia="Calibri"/>
                <w:sz w:val="20"/>
                <w:szCs w:val="20"/>
              </w:rPr>
            </w:pPr>
            <w:r w:rsidRPr="00C873D4">
              <w:rPr>
                <w:rFonts w:eastAsia="Calibri"/>
                <w:sz w:val="20"/>
                <w:szCs w:val="20"/>
              </w:rPr>
              <w:t xml:space="preserve">Norris </w:t>
            </w:r>
            <w:r>
              <w:rPr>
                <w:rFonts w:eastAsia="Calibri"/>
                <w:sz w:val="20"/>
                <w:szCs w:val="20"/>
              </w:rPr>
              <w:t>(</w:t>
            </w:r>
            <w:r w:rsidRPr="00C873D4">
              <w:rPr>
                <w:rFonts w:eastAsia="Calibri"/>
                <w:sz w:val="20"/>
                <w:szCs w:val="20"/>
              </w:rPr>
              <w:t>2017</w:t>
            </w:r>
            <w:r>
              <w:rPr>
                <w:rFonts w:eastAsia="Calibri"/>
                <w:sz w:val="20"/>
                <w:szCs w:val="20"/>
              </w:rPr>
              <w:t>)</w:t>
            </w:r>
          </w:p>
        </w:tc>
        <w:tc>
          <w:tcPr>
            <w:tcW w:w="457"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High</w:t>
            </w:r>
          </w:p>
        </w:tc>
        <w:tc>
          <w:tcPr>
            <w:tcW w:w="356"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356"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High</w:t>
            </w:r>
          </w:p>
        </w:tc>
        <w:tc>
          <w:tcPr>
            <w:tcW w:w="355"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407"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406"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457"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407"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High</w:t>
            </w:r>
          </w:p>
        </w:tc>
        <w:tc>
          <w:tcPr>
            <w:tcW w:w="406"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510"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376"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High</w:t>
            </w:r>
          </w:p>
        </w:tc>
      </w:tr>
      <w:tr w:rsidR="002F143B" w:rsidRPr="001A3E21" w:rsidTr="002F143B">
        <w:trPr>
          <w:cantSplit/>
          <w:trHeight w:val="353"/>
        </w:trPr>
        <w:tc>
          <w:tcPr>
            <w:tcW w:w="507" w:type="pct"/>
            <w:vAlign w:val="bottom"/>
          </w:tcPr>
          <w:p w:rsidR="00D135DD" w:rsidRPr="00C873D4" w:rsidRDefault="00D135DD" w:rsidP="00D135DD">
            <w:pPr>
              <w:spacing w:beforeLines="60" w:before="144" w:afterLines="60" w:after="144"/>
              <w:contextualSpacing/>
              <w:rPr>
                <w:rFonts w:eastAsia="Calibri"/>
                <w:sz w:val="20"/>
                <w:szCs w:val="20"/>
              </w:rPr>
            </w:pPr>
            <w:r w:rsidRPr="00D1033B">
              <w:rPr>
                <w:color w:val="000000"/>
                <w:sz w:val="20"/>
                <w:szCs w:val="20"/>
              </w:rPr>
              <w:t xml:space="preserve">Papadavid </w:t>
            </w:r>
            <w:r>
              <w:rPr>
                <w:color w:val="000000"/>
                <w:sz w:val="20"/>
                <w:szCs w:val="20"/>
              </w:rPr>
              <w:t>(</w:t>
            </w:r>
            <w:r w:rsidRPr="00D1033B">
              <w:rPr>
                <w:color w:val="000000"/>
                <w:sz w:val="20"/>
                <w:szCs w:val="20"/>
              </w:rPr>
              <w:t>2016</w:t>
            </w:r>
            <w:r>
              <w:rPr>
                <w:color w:val="000000"/>
                <w:sz w:val="20"/>
                <w:szCs w:val="20"/>
              </w:rPr>
              <w:t>)</w:t>
            </w:r>
          </w:p>
        </w:tc>
        <w:tc>
          <w:tcPr>
            <w:tcW w:w="457"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High</w:t>
            </w:r>
          </w:p>
        </w:tc>
        <w:tc>
          <w:tcPr>
            <w:tcW w:w="356"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356"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High</w:t>
            </w:r>
          </w:p>
        </w:tc>
        <w:tc>
          <w:tcPr>
            <w:tcW w:w="355"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407"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406"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457"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407"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406"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510"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376"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Moderate</w:t>
            </w:r>
          </w:p>
        </w:tc>
      </w:tr>
      <w:tr w:rsidR="002F143B" w:rsidRPr="001A3E21" w:rsidTr="002F143B">
        <w:trPr>
          <w:cantSplit/>
          <w:trHeight w:val="353"/>
        </w:trPr>
        <w:tc>
          <w:tcPr>
            <w:tcW w:w="507" w:type="pct"/>
            <w:vAlign w:val="bottom"/>
          </w:tcPr>
          <w:p w:rsidR="00D135DD" w:rsidRPr="00C873D4" w:rsidRDefault="00D135DD" w:rsidP="00D135DD">
            <w:pPr>
              <w:spacing w:beforeLines="60" w:before="144" w:afterLines="60" w:after="144"/>
              <w:contextualSpacing/>
              <w:rPr>
                <w:rFonts w:eastAsia="Calibri"/>
                <w:sz w:val="20"/>
                <w:szCs w:val="20"/>
              </w:rPr>
            </w:pPr>
            <w:r w:rsidRPr="00D1033B">
              <w:rPr>
                <w:color w:val="000000"/>
                <w:sz w:val="20"/>
                <w:szCs w:val="20"/>
              </w:rPr>
              <w:t xml:space="preserve">Papadavid </w:t>
            </w:r>
            <w:r>
              <w:rPr>
                <w:color w:val="000000"/>
                <w:sz w:val="20"/>
                <w:szCs w:val="20"/>
              </w:rPr>
              <w:t>(</w:t>
            </w:r>
            <w:r w:rsidRPr="00D1033B">
              <w:rPr>
                <w:color w:val="000000"/>
                <w:sz w:val="20"/>
                <w:szCs w:val="20"/>
              </w:rPr>
              <w:t>2017</w:t>
            </w:r>
            <w:r>
              <w:rPr>
                <w:color w:val="000000"/>
                <w:sz w:val="20"/>
                <w:szCs w:val="20"/>
              </w:rPr>
              <w:t>)</w:t>
            </w:r>
          </w:p>
        </w:tc>
        <w:tc>
          <w:tcPr>
            <w:tcW w:w="457"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High</w:t>
            </w:r>
          </w:p>
        </w:tc>
        <w:tc>
          <w:tcPr>
            <w:tcW w:w="356"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356"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High</w:t>
            </w:r>
          </w:p>
        </w:tc>
        <w:tc>
          <w:tcPr>
            <w:tcW w:w="355"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407"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406"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457"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407"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406"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510"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376"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Moderate</w:t>
            </w:r>
          </w:p>
        </w:tc>
      </w:tr>
      <w:tr w:rsidR="002F143B" w:rsidRPr="001A3E21" w:rsidTr="002F143B">
        <w:trPr>
          <w:cantSplit/>
          <w:trHeight w:val="353"/>
        </w:trPr>
        <w:tc>
          <w:tcPr>
            <w:tcW w:w="507" w:type="pct"/>
            <w:tcBorders>
              <w:top w:val="single" w:sz="4" w:space="0" w:color="auto"/>
              <w:left w:val="single" w:sz="4" w:space="0" w:color="auto"/>
              <w:bottom w:val="single" w:sz="4" w:space="0" w:color="auto"/>
              <w:right w:val="single" w:sz="4" w:space="0" w:color="auto"/>
            </w:tcBorders>
            <w:vAlign w:val="center"/>
          </w:tcPr>
          <w:p w:rsidR="00D135DD" w:rsidRPr="00C873D4" w:rsidRDefault="00D135DD" w:rsidP="00D135DD">
            <w:pPr>
              <w:spacing w:beforeLines="60" w:before="144" w:afterLines="60" w:after="144"/>
              <w:contextualSpacing/>
              <w:rPr>
                <w:rFonts w:eastAsia="Calibri"/>
                <w:sz w:val="20"/>
                <w:szCs w:val="20"/>
              </w:rPr>
            </w:pPr>
            <w:r w:rsidRPr="00C873D4">
              <w:rPr>
                <w:rFonts w:eastAsia="Calibri"/>
                <w:sz w:val="20"/>
                <w:szCs w:val="20"/>
              </w:rPr>
              <w:t xml:space="preserve">Phan </w:t>
            </w:r>
            <w:r>
              <w:rPr>
                <w:rFonts w:eastAsia="Calibri"/>
                <w:sz w:val="20"/>
                <w:szCs w:val="20"/>
              </w:rPr>
              <w:t>(</w:t>
            </w:r>
            <w:r w:rsidRPr="00C873D4">
              <w:rPr>
                <w:rFonts w:eastAsia="Calibri"/>
                <w:sz w:val="20"/>
                <w:szCs w:val="20"/>
              </w:rPr>
              <w:t>2016</w:t>
            </w:r>
            <w:r>
              <w:rPr>
                <w:rFonts w:eastAsia="Calibri"/>
                <w:sz w:val="20"/>
                <w:szCs w:val="20"/>
              </w:rPr>
              <w:t>)</w:t>
            </w:r>
          </w:p>
        </w:tc>
        <w:tc>
          <w:tcPr>
            <w:tcW w:w="457"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356"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356"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355"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407"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406"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457"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407"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406"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510"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376"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r>
      <w:tr w:rsidR="002F143B" w:rsidRPr="001A3E21" w:rsidTr="002F143B">
        <w:trPr>
          <w:cantSplit/>
          <w:trHeight w:val="353"/>
        </w:trPr>
        <w:tc>
          <w:tcPr>
            <w:tcW w:w="507" w:type="pct"/>
            <w:tcBorders>
              <w:top w:val="single" w:sz="4" w:space="0" w:color="auto"/>
              <w:left w:val="single" w:sz="4" w:space="0" w:color="auto"/>
              <w:bottom w:val="single" w:sz="4" w:space="0" w:color="auto"/>
              <w:right w:val="single" w:sz="4" w:space="0" w:color="auto"/>
            </w:tcBorders>
            <w:vAlign w:val="center"/>
          </w:tcPr>
          <w:p w:rsidR="00D135DD" w:rsidRPr="00C873D4" w:rsidRDefault="00D135DD" w:rsidP="00D135DD">
            <w:pPr>
              <w:spacing w:beforeLines="60" w:before="144" w:afterLines="60" w:after="144"/>
              <w:contextualSpacing/>
              <w:rPr>
                <w:rFonts w:eastAsia="Calibri"/>
                <w:sz w:val="20"/>
                <w:szCs w:val="20"/>
              </w:rPr>
            </w:pPr>
            <w:r w:rsidRPr="008C324D">
              <w:rPr>
                <w:rFonts w:eastAsia="Calibri"/>
                <w:sz w:val="20"/>
                <w:szCs w:val="20"/>
              </w:rPr>
              <w:t xml:space="preserve">Piaserico </w:t>
            </w:r>
            <w:r>
              <w:rPr>
                <w:rFonts w:eastAsia="Calibri"/>
                <w:sz w:val="20"/>
                <w:szCs w:val="20"/>
              </w:rPr>
              <w:t>(</w:t>
            </w:r>
            <w:r w:rsidRPr="008C324D">
              <w:rPr>
                <w:rFonts w:eastAsia="Calibri"/>
                <w:sz w:val="20"/>
                <w:szCs w:val="20"/>
              </w:rPr>
              <w:t>2016</w:t>
            </w:r>
            <w:r>
              <w:rPr>
                <w:rFonts w:eastAsia="Calibri"/>
                <w:sz w:val="20"/>
                <w:szCs w:val="20"/>
              </w:rPr>
              <w:t>)</w:t>
            </w:r>
          </w:p>
        </w:tc>
        <w:tc>
          <w:tcPr>
            <w:tcW w:w="457"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High</w:t>
            </w:r>
          </w:p>
        </w:tc>
        <w:tc>
          <w:tcPr>
            <w:tcW w:w="356"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356"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High</w:t>
            </w:r>
          </w:p>
        </w:tc>
        <w:tc>
          <w:tcPr>
            <w:tcW w:w="355"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407"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406"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457"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407"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406"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510"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376"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Moderate</w:t>
            </w:r>
          </w:p>
        </w:tc>
      </w:tr>
      <w:tr w:rsidR="002F143B" w:rsidRPr="001A3E21" w:rsidTr="002F143B">
        <w:trPr>
          <w:cantSplit/>
          <w:trHeight w:val="353"/>
        </w:trPr>
        <w:tc>
          <w:tcPr>
            <w:tcW w:w="507"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spacing w:beforeLines="60" w:before="144" w:afterLines="60" w:after="144"/>
              <w:contextualSpacing/>
              <w:rPr>
                <w:rFonts w:eastAsia="Calibri"/>
                <w:sz w:val="20"/>
                <w:szCs w:val="20"/>
              </w:rPr>
            </w:pPr>
            <w:r w:rsidRPr="00CF00E1">
              <w:rPr>
                <w:rFonts w:eastAsia="Calibri"/>
                <w:sz w:val="20"/>
                <w:szCs w:val="20"/>
              </w:rPr>
              <w:t xml:space="preserve">Plunkett </w:t>
            </w:r>
            <w:r>
              <w:rPr>
                <w:rFonts w:eastAsia="Calibri"/>
                <w:sz w:val="20"/>
                <w:szCs w:val="20"/>
              </w:rPr>
              <w:t>(</w:t>
            </w:r>
            <w:r w:rsidRPr="00CF00E1">
              <w:rPr>
                <w:rFonts w:eastAsia="Calibri"/>
                <w:sz w:val="20"/>
                <w:szCs w:val="20"/>
              </w:rPr>
              <w:t>1999</w:t>
            </w:r>
            <w:r>
              <w:rPr>
                <w:rFonts w:eastAsia="Calibri"/>
                <w:sz w:val="20"/>
                <w:szCs w:val="20"/>
              </w:rPr>
              <w:t>)</w:t>
            </w:r>
          </w:p>
        </w:tc>
        <w:tc>
          <w:tcPr>
            <w:tcW w:w="457"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High</w:t>
            </w:r>
          </w:p>
        </w:tc>
        <w:tc>
          <w:tcPr>
            <w:tcW w:w="356"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356"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 xml:space="preserve">Low </w:t>
            </w:r>
          </w:p>
        </w:tc>
        <w:tc>
          <w:tcPr>
            <w:tcW w:w="355"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High</w:t>
            </w:r>
          </w:p>
        </w:tc>
        <w:tc>
          <w:tcPr>
            <w:tcW w:w="407"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406"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vertAlign w:val="superscript"/>
              </w:rPr>
            </w:pPr>
            <w:r>
              <w:rPr>
                <w:rFonts w:eastAsia="Calibri" w:cs="Calibri"/>
                <w:sz w:val="20"/>
                <w:szCs w:val="20"/>
              </w:rPr>
              <w:t>Low</w:t>
            </w:r>
          </w:p>
        </w:tc>
        <w:tc>
          <w:tcPr>
            <w:tcW w:w="457"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407"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406"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510"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376"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Moderate</w:t>
            </w:r>
          </w:p>
        </w:tc>
      </w:tr>
      <w:tr w:rsidR="002F143B" w:rsidRPr="001A3E21" w:rsidTr="002F143B">
        <w:trPr>
          <w:cantSplit/>
          <w:trHeight w:val="353"/>
        </w:trPr>
        <w:tc>
          <w:tcPr>
            <w:tcW w:w="507" w:type="pct"/>
            <w:tcBorders>
              <w:top w:val="single" w:sz="4" w:space="0" w:color="auto"/>
              <w:left w:val="single" w:sz="4" w:space="0" w:color="auto"/>
              <w:bottom w:val="single" w:sz="4" w:space="0" w:color="auto"/>
              <w:right w:val="single" w:sz="4" w:space="0" w:color="auto"/>
            </w:tcBorders>
            <w:vAlign w:val="center"/>
          </w:tcPr>
          <w:p w:rsidR="00D135DD" w:rsidRPr="00CF00E1" w:rsidRDefault="00D135DD" w:rsidP="00D135DD">
            <w:pPr>
              <w:spacing w:beforeLines="60" w:before="144" w:afterLines="60" w:after="144"/>
              <w:contextualSpacing/>
              <w:rPr>
                <w:rFonts w:eastAsia="Calibri"/>
                <w:sz w:val="20"/>
                <w:szCs w:val="20"/>
              </w:rPr>
            </w:pPr>
            <w:r w:rsidRPr="00C873D4">
              <w:rPr>
                <w:rFonts w:eastAsia="Calibri"/>
                <w:sz w:val="20"/>
                <w:szCs w:val="20"/>
              </w:rPr>
              <w:t xml:space="preserve">Pourchot </w:t>
            </w:r>
            <w:r>
              <w:rPr>
                <w:rFonts w:eastAsia="Calibri"/>
                <w:sz w:val="20"/>
                <w:szCs w:val="20"/>
              </w:rPr>
              <w:t>(</w:t>
            </w:r>
            <w:r w:rsidRPr="00C873D4">
              <w:rPr>
                <w:rFonts w:eastAsia="Calibri"/>
                <w:sz w:val="20"/>
                <w:szCs w:val="20"/>
              </w:rPr>
              <w:t>2017</w:t>
            </w:r>
            <w:r>
              <w:rPr>
                <w:rFonts w:eastAsia="Calibri"/>
                <w:sz w:val="20"/>
                <w:szCs w:val="20"/>
              </w:rPr>
              <w:t>)</w:t>
            </w:r>
          </w:p>
        </w:tc>
        <w:tc>
          <w:tcPr>
            <w:tcW w:w="457"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356"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356"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355"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407"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406"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vertAlign w:val="superscript"/>
              </w:rPr>
            </w:pPr>
            <w:r>
              <w:rPr>
                <w:rFonts w:eastAsia="Calibri" w:cs="Calibri"/>
                <w:sz w:val="20"/>
                <w:szCs w:val="20"/>
              </w:rPr>
              <w:t>Low</w:t>
            </w:r>
          </w:p>
        </w:tc>
        <w:tc>
          <w:tcPr>
            <w:tcW w:w="457"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407"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406"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510"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376"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r>
      <w:tr w:rsidR="002F143B" w:rsidRPr="001A3E21" w:rsidTr="002F143B">
        <w:trPr>
          <w:cantSplit/>
          <w:trHeight w:val="353"/>
        </w:trPr>
        <w:tc>
          <w:tcPr>
            <w:tcW w:w="507" w:type="pct"/>
            <w:tcBorders>
              <w:top w:val="single" w:sz="4" w:space="0" w:color="auto"/>
              <w:left w:val="single" w:sz="4" w:space="0" w:color="auto"/>
              <w:bottom w:val="single" w:sz="4" w:space="0" w:color="auto"/>
              <w:right w:val="single" w:sz="4" w:space="0" w:color="auto"/>
            </w:tcBorders>
            <w:vAlign w:val="center"/>
          </w:tcPr>
          <w:p w:rsidR="00D135DD" w:rsidRPr="00C873D4" w:rsidRDefault="00D135DD" w:rsidP="00D135DD">
            <w:pPr>
              <w:spacing w:beforeLines="60" w:before="144" w:afterLines="60" w:after="144"/>
              <w:contextualSpacing/>
              <w:rPr>
                <w:rFonts w:eastAsia="Calibri"/>
                <w:sz w:val="20"/>
                <w:szCs w:val="20"/>
              </w:rPr>
            </w:pPr>
            <w:r w:rsidRPr="008C324D">
              <w:rPr>
                <w:rFonts w:eastAsia="Calibri"/>
                <w:sz w:val="20"/>
                <w:szCs w:val="20"/>
              </w:rPr>
              <w:t xml:space="preserve">Puig </w:t>
            </w:r>
            <w:r>
              <w:rPr>
                <w:rFonts w:eastAsia="Calibri"/>
                <w:sz w:val="20"/>
                <w:szCs w:val="20"/>
              </w:rPr>
              <w:t>(</w:t>
            </w:r>
            <w:r w:rsidRPr="008C324D">
              <w:rPr>
                <w:rFonts w:eastAsia="Calibri"/>
                <w:sz w:val="20"/>
                <w:szCs w:val="20"/>
              </w:rPr>
              <w:t>2017</w:t>
            </w:r>
            <w:r>
              <w:rPr>
                <w:rFonts w:eastAsia="Calibri"/>
                <w:sz w:val="20"/>
                <w:szCs w:val="20"/>
              </w:rPr>
              <w:t>)</w:t>
            </w:r>
          </w:p>
        </w:tc>
        <w:tc>
          <w:tcPr>
            <w:tcW w:w="457"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356"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356"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355"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High</w:t>
            </w:r>
          </w:p>
        </w:tc>
        <w:tc>
          <w:tcPr>
            <w:tcW w:w="407"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406" w:type="pct"/>
            <w:tcBorders>
              <w:top w:val="single" w:sz="4" w:space="0" w:color="auto"/>
              <w:left w:val="single" w:sz="4" w:space="0" w:color="auto"/>
              <w:bottom w:val="single" w:sz="4" w:space="0" w:color="auto"/>
              <w:right w:val="single" w:sz="4" w:space="0" w:color="auto"/>
            </w:tcBorders>
            <w:vAlign w:val="center"/>
          </w:tcPr>
          <w:p w:rsidR="00D135DD" w:rsidRPr="00296FE2"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High</w:t>
            </w:r>
          </w:p>
        </w:tc>
        <w:tc>
          <w:tcPr>
            <w:tcW w:w="457"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High</w:t>
            </w:r>
          </w:p>
        </w:tc>
        <w:tc>
          <w:tcPr>
            <w:tcW w:w="407"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406"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510"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376"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Moderate</w:t>
            </w:r>
          </w:p>
        </w:tc>
      </w:tr>
      <w:tr w:rsidR="002F143B" w:rsidRPr="001A3E21" w:rsidTr="002F143B">
        <w:trPr>
          <w:cantSplit/>
          <w:trHeight w:val="353"/>
        </w:trPr>
        <w:tc>
          <w:tcPr>
            <w:tcW w:w="507"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spacing w:beforeLines="60" w:before="144" w:afterLines="60" w:after="144"/>
              <w:contextualSpacing/>
              <w:rPr>
                <w:rFonts w:eastAsia="Calibri"/>
                <w:sz w:val="20"/>
                <w:szCs w:val="20"/>
              </w:rPr>
            </w:pPr>
            <w:r w:rsidRPr="00CF00E1">
              <w:rPr>
                <w:rFonts w:eastAsia="Calibri"/>
                <w:sz w:val="20"/>
                <w:szCs w:val="20"/>
              </w:rPr>
              <w:t xml:space="preserve">Quirk </w:t>
            </w:r>
            <w:r>
              <w:rPr>
                <w:rFonts w:eastAsia="Calibri"/>
                <w:sz w:val="20"/>
                <w:szCs w:val="20"/>
              </w:rPr>
              <w:t>(</w:t>
            </w:r>
            <w:r w:rsidRPr="00CF00E1">
              <w:rPr>
                <w:rFonts w:eastAsia="Calibri"/>
                <w:sz w:val="20"/>
                <w:szCs w:val="20"/>
              </w:rPr>
              <w:t>1979</w:t>
            </w:r>
            <w:r>
              <w:rPr>
                <w:rFonts w:eastAsia="Calibri"/>
                <w:sz w:val="20"/>
                <w:szCs w:val="20"/>
              </w:rPr>
              <w:t>)</w:t>
            </w:r>
          </w:p>
        </w:tc>
        <w:tc>
          <w:tcPr>
            <w:tcW w:w="457"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High</w:t>
            </w:r>
          </w:p>
        </w:tc>
        <w:tc>
          <w:tcPr>
            <w:tcW w:w="356"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356"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High</w:t>
            </w:r>
          </w:p>
        </w:tc>
        <w:tc>
          <w:tcPr>
            <w:tcW w:w="355"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High</w:t>
            </w:r>
          </w:p>
        </w:tc>
        <w:tc>
          <w:tcPr>
            <w:tcW w:w="407"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406"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457"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407"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High</w:t>
            </w:r>
          </w:p>
        </w:tc>
        <w:tc>
          <w:tcPr>
            <w:tcW w:w="406"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510"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376"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Moderate</w:t>
            </w:r>
          </w:p>
        </w:tc>
      </w:tr>
      <w:tr w:rsidR="002F143B" w:rsidRPr="001A3E21" w:rsidTr="002F143B">
        <w:trPr>
          <w:cantSplit/>
          <w:trHeight w:val="353"/>
        </w:trPr>
        <w:tc>
          <w:tcPr>
            <w:tcW w:w="507" w:type="pct"/>
            <w:tcBorders>
              <w:top w:val="single" w:sz="4" w:space="0" w:color="auto"/>
              <w:left w:val="single" w:sz="4" w:space="0" w:color="auto"/>
              <w:bottom w:val="single" w:sz="4" w:space="0" w:color="auto"/>
              <w:right w:val="single" w:sz="4" w:space="0" w:color="auto"/>
            </w:tcBorders>
            <w:vAlign w:val="center"/>
          </w:tcPr>
          <w:p w:rsidR="00D135DD" w:rsidRPr="00CF00E1" w:rsidRDefault="00D135DD" w:rsidP="00D135DD">
            <w:pPr>
              <w:spacing w:beforeLines="60" w:before="144" w:afterLines="60" w:after="144"/>
              <w:contextualSpacing/>
              <w:rPr>
                <w:rFonts w:eastAsia="Calibri"/>
                <w:sz w:val="20"/>
                <w:szCs w:val="20"/>
              </w:rPr>
            </w:pPr>
            <w:r w:rsidRPr="00C873D4">
              <w:rPr>
                <w:rFonts w:eastAsia="Calibri"/>
                <w:sz w:val="20"/>
                <w:szCs w:val="20"/>
              </w:rPr>
              <w:t>Rook’s Textbook of Dermatology 7</w:t>
            </w:r>
            <w:r w:rsidRPr="00D729E4">
              <w:rPr>
                <w:rFonts w:eastAsia="Calibri"/>
                <w:sz w:val="20"/>
                <w:szCs w:val="20"/>
                <w:vertAlign w:val="superscript"/>
              </w:rPr>
              <w:t>th</w:t>
            </w:r>
            <w:r w:rsidRPr="00C873D4">
              <w:rPr>
                <w:rFonts w:eastAsia="Calibri"/>
                <w:sz w:val="20"/>
                <w:szCs w:val="20"/>
              </w:rPr>
              <w:t xml:space="preserve"> edition</w:t>
            </w:r>
          </w:p>
        </w:tc>
        <w:tc>
          <w:tcPr>
            <w:tcW w:w="457"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High</w:t>
            </w:r>
          </w:p>
        </w:tc>
        <w:tc>
          <w:tcPr>
            <w:tcW w:w="356"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High</w:t>
            </w:r>
          </w:p>
        </w:tc>
        <w:tc>
          <w:tcPr>
            <w:tcW w:w="356"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High</w:t>
            </w:r>
          </w:p>
        </w:tc>
        <w:tc>
          <w:tcPr>
            <w:tcW w:w="355"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High</w:t>
            </w:r>
          </w:p>
        </w:tc>
        <w:tc>
          <w:tcPr>
            <w:tcW w:w="407"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High</w:t>
            </w:r>
          </w:p>
        </w:tc>
        <w:tc>
          <w:tcPr>
            <w:tcW w:w="406"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High</w:t>
            </w:r>
          </w:p>
        </w:tc>
        <w:tc>
          <w:tcPr>
            <w:tcW w:w="457"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High</w:t>
            </w:r>
          </w:p>
        </w:tc>
        <w:tc>
          <w:tcPr>
            <w:tcW w:w="407"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High</w:t>
            </w:r>
          </w:p>
        </w:tc>
        <w:tc>
          <w:tcPr>
            <w:tcW w:w="406"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High</w:t>
            </w:r>
          </w:p>
        </w:tc>
        <w:tc>
          <w:tcPr>
            <w:tcW w:w="510"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High</w:t>
            </w:r>
          </w:p>
        </w:tc>
        <w:tc>
          <w:tcPr>
            <w:tcW w:w="376"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High</w:t>
            </w:r>
          </w:p>
        </w:tc>
      </w:tr>
      <w:tr w:rsidR="002F143B" w:rsidRPr="001A3E21" w:rsidTr="002F143B">
        <w:trPr>
          <w:cantSplit/>
          <w:trHeight w:val="353"/>
        </w:trPr>
        <w:tc>
          <w:tcPr>
            <w:tcW w:w="507" w:type="pct"/>
            <w:tcBorders>
              <w:top w:val="single" w:sz="4" w:space="0" w:color="auto"/>
              <w:left w:val="single" w:sz="4" w:space="0" w:color="auto"/>
              <w:bottom w:val="single" w:sz="4" w:space="0" w:color="auto"/>
              <w:right w:val="single" w:sz="4" w:space="0" w:color="auto"/>
            </w:tcBorders>
            <w:vAlign w:val="center"/>
          </w:tcPr>
          <w:p w:rsidR="00D135DD" w:rsidRDefault="00D135DD" w:rsidP="00D135DD">
            <w:pPr>
              <w:spacing w:beforeLines="60" w:before="144" w:afterLines="60" w:after="144"/>
              <w:contextualSpacing/>
              <w:rPr>
                <w:rFonts w:eastAsia="Calibri"/>
                <w:sz w:val="20"/>
                <w:szCs w:val="20"/>
              </w:rPr>
            </w:pPr>
            <w:r>
              <w:rPr>
                <w:noProof/>
                <w:sz w:val="20"/>
                <w:szCs w:val="20"/>
              </w:rPr>
              <w:t>Schafer (2011)</w:t>
            </w:r>
          </w:p>
        </w:tc>
        <w:tc>
          <w:tcPr>
            <w:tcW w:w="457"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High</w:t>
            </w:r>
          </w:p>
        </w:tc>
        <w:tc>
          <w:tcPr>
            <w:tcW w:w="356"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High</w:t>
            </w:r>
          </w:p>
        </w:tc>
        <w:tc>
          <w:tcPr>
            <w:tcW w:w="356"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355"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407"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No</w:t>
            </w:r>
          </w:p>
        </w:tc>
        <w:tc>
          <w:tcPr>
            <w:tcW w:w="406"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457"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407"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406"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510"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376"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Moderate</w:t>
            </w:r>
          </w:p>
        </w:tc>
      </w:tr>
      <w:tr w:rsidR="002F143B" w:rsidRPr="001A3E21" w:rsidTr="002F143B">
        <w:trPr>
          <w:cantSplit/>
          <w:trHeight w:val="353"/>
        </w:trPr>
        <w:tc>
          <w:tcPr>
            <w:tcW w:w="507" w:type="pct"/>
            <w:tcBorders>
              <w:top w:val="single" w:sz="4" w:space="0" w:color="auto"/>
              <w:left w:val="single" w:sz="4" w:space="0" w:color="auto"/>
              <w:bottom w:val="single" w:sz="4" w:space="0" w:color="auto"/>
              <w:right w:val="single" w:sz="4" w:space="0" w:color="auto"/>
            </w:tcBorders>
            <w:vAlign w:val="center"/>
          </w:tcPr>
          <w:p w:rsidR="00D135DD" w:rsidRDefault="00D135DD" w:rsidP="00D135DD">
            <w:pPr>
              <w:spacing w:beforeLines="60" w:before="144" w:afterLines="60" w:after="144"/>
              <w:contextualSpacing/>
              <w:rPr>
                <w:sz w:val="20"/>
                <w:szCs w:val="20"/>
              </w:rPr>
            </w:pPr>
            <w:r>
              <w:rPr>
                <w:sz w:val="20"/>
                <w:szCs w:val="20"/>
              </w:rPr>
              <w:t>Singh</w:t>
            </w:r>
            <w:r w:rsidRPr="008C324D">
              <w:rPr>
                <w:sz w:val="20"/>
                <w:szCs w:val="20"/>
              </w:rPr>
              <w:t xml:space="preserve"> (2011)</w:t>
            </w:r>
          </w:p>
        </w:tc>
        <w:tc>
          <w:tcPr>
            <w:tcW w:w="457"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High</w:t>
            </w:r>
          </w:p>
        </w:tc>
        <w:tc>
          <w:tcPr>
            <w:tcW w:w="356"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356"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High</w:t>
            </w:r>
          </w:p>
        </w:tc>
        <w:tc>
          <w:tcPr>
            <w:tcW w:w="355"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407"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406"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457"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407"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406"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510"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376"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High</w:t>
            </w:r>
          </w:p>
        </w:tc>
      </w:tr>
      <w:tr w:rsidR="002F143B" w:rsidRPr="001A3E21" w:rsidTr="002F143B">
        <w:trPr>
          <w:cantSplit/>
          <w:trHeight w:val="353"/>
        </w:trPr>
        <w:tc>
          <w:tcPr>
            <w:tcW w:w="507" w:type="pct"/>
            <w:tcBorders>
              <w:top w:val="single" w:sz="4" w:space="0" w:color="auto"/>
              <w:left w:val="single" w:sz="4" w:space="0" w:color="auto"/>
              <w:bottom w:val="single" w:sz="4" w:space="0" w:color="auto"/>
              <w:right w:val="single" w:sz="4" w:space="0" w:color="auto"/>
            </w:tcBorders>
            <w:vAlign w:val="center"/>
          </w:tcPr>
          <w:p w:rsidR="00D135DD" w:rsidRDefault="00D135DD" w:rsidP="00D135DD">
            <w:pPr>
              <w:spacing w:beforeLines="60" w:before="144" w:afterLines="60" w:after="144"/>
              <w:contextualSpacing/>
              <w:rPr>
                <w:sz w:val="20"/>
                <w:szCs w:val="20"/>
              </w:rPr>
            </w:pPr>
            <w:r w:rsidRPr="003E055C">
              <w:rPr>
                <w:sz w:val="20"/>
                <w:szCs w:val="20"/>
              </w:rPr>
              <w:t>Spelman</w:t>
            </w:r>
            <w:r>
              <w:rPr>
                <w:sz w:val="20"/>
                <w:szCs w:val="20"/>
              </w:rPr>
              <w:t xml:space="preserve"> (</w:t>
            </w:r>
            <w:r w:rsidRPr="003E055C">
              <w:rPr>
                <w:sz w:val="20"/>
                <w:szCs w:val="20"/>
              </w:rPr>
              <w:t>2015)</w:t>
            </w:r>
          </w:p>
        </w:tc>
        <w:tc>
          <w:tcPr>
            <w:tcW w:w="457"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High</w:t>
            </w:r>
          </w:p>
        </w:tc>
        <w:tc>
          <w:tcPr>
            <w:tcW w:w="356"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356"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355"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407"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406"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457"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407"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High</w:t>
            </w:r>
          </w:p>
        </w:tc>
        <w:tc>
          <w:tcPr>
            <w:tcW w:w="406"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510"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376"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Moderate</w:t>
            </w:r>
          </w:p>
        </w:tc>
      </w:tr>
      <w:tr w:rsidR="002F143B" w:rsidRPr="001A3E21" w:rsidTr="002F143B">
        <w:trPr>
          <w:cantSplit/>
          <w:trHeight w:val="353"/>
        </w:trPr>
        <w:tc>
          <w:tcPr>
            <w:tcW w:w="507" w:type="pct"/>
            <w:tcBorders>
              <w:top w:val="single" w:sz="4" w:space="0" w:color="auto"/>
              <w:left w:val="single" w:sz="4" w:space="0" w:color="auto"/>
              <w:bottom w:val="single" w:sz="4" w:space="0" w:color="auto"/>
              <w:right w:val="single" w:sz="4" w:space="0" w:color="auto"/>
            </w:tcBorders>
            <w:vAlign w:val="center"/>
          </w:tcPr>
          <w:p w:rsidR="00D135DD" w:rsidRPr="00CF00E1" w:rsidRDefault="00D135DD" w:rsidP="00D135DD">
            <w:pPr>
              <w:spacing w:beforeLines="60" w:before="144" w:afterLines="60" w:after="144"/>
              <w:contextualSpacing/>
              <w:rPr>
                <w:rFonts w:eastAsia="Calibri"/>
                <w:sz w:val="20"/>
                <w:szCs w:val="20"/>
              </w:rPr>
            </w:pPr>
            <w:r>
              <w:rPr>
                <w:rFonts w:eastAsia="Calibri"/>
                <w:sz w:val="20"/>
                <w:szCs w:val="20"/>
              </w:rPr>
              <w:t>Springate (2017)</w:t>
            </w:r>
          </w:p>
        </w:tc>
        <w:tc>
          <w:tcPr>
            <w:tcW w:w="457"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356"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356"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355"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407"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High</w:t>
            </w:r>
          </w:p>
        </w:tc>
        <w:tc>
          <w:tcPr>
            <w:tcW w:w="406"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High</w:t>
            </w:r>
          </w:p>
        </w:tc>
        <w:tc>
          <w:tcPr>
            <w:tcW w:w="457"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High</w:t>
            </w:r>
          </w:p>
        </w:tc>
        <w:tc>
          <w:tcPr>
            <w:tcW w:w="407"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High</w:t>
            </w:r>
          </w:p>
        </w:tc>
        <w:tc>
          <w:tcPr>
            <w:tcW w:w="406"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510"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376"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Moderate</w:t>
            </w:r>
          </w:p>
        </w:tc>
      </w:tr>
      <w:tr w:rsidR="002F143B" w:rsidRPr="001A3E21" w:rsidTr="002F143B">
        <w:trPr>
          <w:cantSplit/>
          <w:trHeight w:val="353"/>
        </w:trPr>
        <w:tc>
          <w:tcPr>
            <w:tcW w:w="507" w:type="pct"/>
            <w:tcBorders>
              <w:top w:val="single" w:sz="4" w:space="0" w:color="auto"/>
              <w:left w:val="single" w:sz="4" w:space="0" w:color="auto"/>
              <w:bottom w:val="single" w:sz="4" w:space="0" w:color="auto"/>
              <w:right w:val="single" w:sz="4" w:space="0" w:color="auto"/>
            </w:tcBorders>
            <w:vAlign w:val="center"/>
          </w:tcPr>
          <w:p w:rsidR="00D135DD" w:rsidRDefault="00D135DD" w:rsidP="00D135DD">
            <w:pPr>
              <w:spacing w:beforeLines="60" w:before="144" w:afterLines="60" w:after="144"/>
              <w:contextualSpacing/>
              <w:rPr>
                <w:rFonts w:eastAsia="Calibri"/>
                <w:sz w:val="20"/>
                <w:szCs w:val="20"/>
              </w:rPr>
            </w:pPr>
            <w:r w:rsidRPr="00C873D4">
              <w:rPr>
                <w:rFonts w:eastAsia="Calibri"/>
                <w:sz w:val="20"/>
                <w:szCs w:val="20"/>
              </w:rPr>
              <w:t xml:space="preserve">Theodorakopoulou </w:t>
            </w:r>
            <w:r>
              <w:rPr>
                <w:rFonts w:eastAsia="Calibri"/>
                <w:sz w:val="20"/>
                <w:szCs w:val="20"/>
              </w:rPr>
              <w:t>(</w:t>
            </w:r>
            <w:r w:rsidRPr="00C873D4">
              <w:rPr>
                <w:rFonts w:eastAsia="Calibri"/>
                <w:sz w:val="20"/>
                <w:szCs w:val="20"/>
              </w:rPr>
              <w:t>2016</w:t>
            </w:r>
            <w:r>
              <w:rPr>
                <w:rFonts w:eastAsia="Calibri"/>
                <w:sz w:val="20"/>
                <w:szCs w:val="20"/>
              </w:rPr>
              <w:t>)</w:t>
            </w:r>
          </w:p>
        </w:tc>
        <w:tc>
          <w:tcPr>
            <w:tcW w:w="457"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356"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356"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355"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407"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High</w:t>
            </w:r>
          </w:p>
        </w:tc>
        <w:tc>
          <w:tcPr>
            <w:tcW w:w="406"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457"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407"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406"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510"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376"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r>
      <w:tr w:rsidR="002F143B" w:rsidRPr="001A3E21" w:rsidTr="002F143B">
        <w:trPr>
          <w:cantSplit/>
          <w:trHeight w:val="353"/>
        </w:trPr>
        <w:tc>
          <w:tcPr>
            <w:tcW w:w="507"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spacing w:beforeLines="60" w:before="144" w:afterLines="60" w:after="144"/>
              <w:contextualSpacing/>
              <w:rPr>
                <w:rFonts w:eastAsia="Calibri"/>
                <w:sz w:val="20"/>
                <w:szCs w:val="20"/>
              </w:rPr>
            </w:pPr>
            <w:r>
              <w:rPr>
                <w:sz w:val="20"/>
                <w:szCs w:val="20"/>
              </w:rPr>
              <w:t>Tollefson (2010)</w:t>
            </w:r>
          </w:p>
        </w:tc>
        <w:tc>
          <w:tcPr>
            <w:tcW w:w="457"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356"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356"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355"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407"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406"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457"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407"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406"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510"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376"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r>
      <w:tr w:rsidR="002F143B" w:rsidRPr="001A3E21" w:rsidTr="002F143B">
        <w:trPr>
          <w:cantSplit/>
          <w:trHeight w:val="353"/>
        </w:trPr>
        <w:tc>
          <w:tcPr>
            <w:tcW w:w="507" w:type="pct"/>
            <w:tcBorders>
              <w:top w:val="single" w:sz="4" w:space="0" w:color="auto"/>
              <w:left w:val="single" w:sz="4" w:space="0" w:color="auto"/>
              <w:bottom w:val="single" w:sz="4" w:space="0" w:color="auto"/>
              <w:right w:val="single" w:sz="4" w:space="0" w:color="auto"/>
            </w:tcBorders>
            <w:vAlign w:val="center"/>
          </w:tcPr>
          <w:p w:rsidR="00D135DD" w:rsidRDefault="00D135DD" w:rsidP="00D135DD">
            <w:pPr>
              <w:spacing w:beforeLines="60" w:before="144" w:afterLines="60" w:after="144"/>
              <w:contextualSpacing/>
              <w:rPr>
                <w:sz w:val="20"/>
                <w:szCs w:val="20"/>
              </w:rPr>
            </w:pPr>
            <w:r w:rsidRPr="003E055C">
              <w:rPr>
                <w:sz w:val="20"/>
                <w:szCs w:val="20"/>
              </w:rPr>
              <w:t xml:space="preserve">Truong </w:t>
            </w:r>
            <w:r>
              <w:rPr>
                <w:sz w:val="20"/>
                <w:szCs w:val="20"/>
              </w:rPr>
              <w:t>(</w:t>
            </w:r>
            <w:r w:rsidRPr="003E055C">
              <w:rPr>
                <w:sz w:val="20"/>
                <w:szCs w:val="20"/>
              </w:rPr>
              <w:t>2015</w:t>
            </w:r>
            <w:r>
              <w:rPr>
                <w:sz w:val="20"/>
                <w:szCs w:val="20"/>
              </w:rPr>
              <w:t>)</w:t>
            </w:r>
          </w:p>
        </w:tc>
        <w:tc>
          <w:tcPr>
            <w:tcW w:w="457"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High</w:t>
            </w:r>
          </w:p>
        </w:tc>
        <w:tc>
          <w:tcPr>
            <w:tcW w:w="356"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356"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355"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407"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406"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457"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407"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406"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510"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376"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r>
      <w:tr w:rsidR="002F143B" w:rsidRPr="001A3E21" w:rsidTr="002F143B">
        <w:trPr>
          <w:cantSplit/>
          <w:trHeight w:val="353"/>
        </w:trPr>
        <w:tc>
          <w:tcPr>
            <w:tcW w:w="507" w:type="pct"/>
            <w:tcBorders>
              <w:top w:val="single" w:sz="4" w:space="0" w:color="auto"/>
              <w:left w:val="single" w:sz="4" w:space="0" w:color="auto"/>
              <w:bottom w:val="single" w:sz="4" w:space="0" w:color="auto"/>
              <w:right w:val="single" w:sz="4" w:space="0" w:color="auto"/>
            </w:tcBorders>
            <w:vAlign w:val="center"/>
          </w:tcPr>
          <w:p w:rsidR="00D135DD" w:rsidRDefault="00D135DD" w:rsidP="00D135DD">
            <w:pPr>
              <w:spacing w:beforeLines="60" w:before="144" w:afterLines="60" w:after="144"/>
              <w:contextualSpacing/>
              <w:rPr>
                <w:sz w:val="20"/>
                <w:szCs w:val="20"/>
              </w:rPr>
            </w:pPr>
            <w:r w:rsidRPr="008C324D">
              <w:rPr>
                <w:sz w:val="20"/>
                <w:szCs w:val="20"/>
              </w:rPr>
              <w:t xml:space="preserve">Urbancek </w:t>
            </w:r>
            <w:r>
              <w:rPr>
                <w:sz w:val="20"/>
                <w:szCs w:val="20"/>
              </w:rPr>
              <w:t>(</w:t>
            </w:r>
            <w:r w:rsidRPr="008C324D">
              <w:rPr>
                <w:sz w:val="20"/>
                <w:szCs w:val="20"/>
              </w:rPr>
              <w:t>2016</w:t>
            </w:r>
            <w:r>
              <w:rPr>
                <w:sz w:val="20"/>
                <w:szCs w:val="20"/>
              </w:rPr>
              <w:t>)</w:t>
            </w:r>
          </w:p>
        </w:tc>
        <w:tc>
          <w:tcPr>
            <w:tcW w:w="457"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High</w:t>
            </w:r>
          </w:p>
        </w:tc>
        <w:tc>
          <w:tcPr>
            <w:tcW w:w="356"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356"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355"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407"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406"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457"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407"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406"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510"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376"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Moderate</w:t>
            </w:r>
          </w:p>
        </w:tc>
      </w:tr>
      <w:tr w:rsidR="002F143B" w:rsidRPr="001A3E21" w:rsidTr="002F143B">
        <w:trPr>
          <w:cantSplit/>
          <w:trHeight w:val="353"/>
        </w:trPr>
        <w:tc>
          <w:tcPr>
            <w:tcW w:w="507" w:type="pct"/>
            <w:tcBorders>
              <w:top w:val="single" w:sz="4" w:space="0" w:color="auto"/>
              <w:left w:val="single" w:sz="4" w:space="0" w:color="auto"/>
              <w:bottom w:val="single" w:sz="4" w:space="0" w:color="auto"/>
              <w:right w:val="single" w:sz="4" w:space="0" w:color="auto"/>
            </w:tcBorders>
            <w:vAlign w:val="center"/>
          </w:tcPr>
          <w:p w:rsidR="00D135DD" w:rsidRPr="008C324D" w:rsidRDefault="00D135DD" w:rsidP="00D135DD">
            <w:pPr>
              <w:spacing w:beforeLines="60" w:before="144" w:afterLines="60" w:after="144"/>
              <w:contextualSpacing/>
              <w:rPr>
                <w:sz w:val="20"/>
                <w:szCs w:val="20"/>
              </w:rPr>
            </w:pPr>
            <w:r w:rsidRPr="003E055C">
              <w:rPr>
                <w:sz w:val="20"/>
                <w:szCs w:val="20"/>
              </w:rPr>
              <w:t>Wilson</w:t>
            </w:r>
            <w:r>
              <w:rPr>
                <w:sz w:val="20"/>
                <w:szCs w:val="20"/>
              </w:rPr>
              <w:t xml:space="preserve"> (</w:t>
            </w:r>
            <w:r w:rsidRPr="003E055C">
              <w:rPr>
                <w:sz w:val="20"/>
                <w:szCs w:val="20"/>
              </w:rPr>
              <w:t>2009)</w:t>
            </w:r>
          </w:p>
        </w:tc>
        <w:tc>
          <w:tcPr>
            <w:tcW w:w="457"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356"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356"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355"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407"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406"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457"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407"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406"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510"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c>
          <w:tcPr>
            <w:tcW w:w="376" w:type="pct"/>
            <w:tcBorders>
              <w:top w:val="single" w:sz="4" w:space="0" w:color="auto"/>
              <w:left w:val="single" w:sz="4" w:space="0" w:color="auto"/>
              <w:bottom w:val="single" w:sz="4" w:space="0" w:color="auto"/>
              <w:right w:val="single" w:sz="4" w:space="0" w:color="auto"/>
            </w:tcBorders>
            <w:vAlign w:val="center"/>
          </w:tcPr>
          <w:p w:rsidR="00D135DD" w:rsidRPr="001A3E21" w:rsidRDefault="00D135DD" w:rsidP="00D135DD">
            <w:pPr>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Low</w:t>
            </w:r>
          </w:p>
        </w:tc>
      </w:tr>
    </w:tbl>
    <w:p w:rsidR="00D135DD" w:rsidRDefault="00D135DD" w:rsidP="00FD32F4">
      <w:pPr>
        <w:pStyle w:val="TableFootnote0"/>
        <w:keepNext w:val="0"/>
        <w:widowControl w:val="0"/>
        <w:spacing w:after="60"/>
        <w:sectPr w:rsidR="00D135DD" w:rsidSect="00D135DD">
          <w:pgSz w:w="16838" w:h="11906" w:orient="landscape"/>
          <w:pgMar w:top="1440" w:right="1440" w:bottom="1440" w:left="1440" w:header="708" w:footer="708" w:gutter="0"/>
          <w:cols w:space="708"/>
          <w:titlePg/>
          <w:docGrid w:linePitch="360"/>
        </w:sectPr>
      </w:pPr>
      <w:r>
        <w:t>Note</w:t>
      </w:r>
      <w:r w:rsidRPr="00EC5153">
        <w:t xml:space="preserve">: </w:t>
      </w:r>
      <w:r>
        <w:t xml:space="preserve">Items were considered high risk if insufficient information was available to permit judgement as guided in the tool. </w:t>
      </w:r>
      <w:r w:rsidRPr="00EC5153">
        <w:br/>
        <w:t xml:space="preserve">ABS = Australian Bureau of Statistics; ATSI = Australian Aboriginal and Torres Strait Islander; </w:t>
      </w:r>
      <w:r>
        <w:t>NHS = National Health Survey</w:t>
      </w:r>
    </w:p>
    <w:p w:rsidR="007C694E" w:rsidRDefault="007C694E" w:rsidP="007C694E">
      <w:pPr>
        <w:pStyle w:val="MDSubheading"/>
      </w:pPr>
      <w:bookmarkStart w:id="216" w:name="_Toc501632386"/>
      <w:r>
        <w:t>Study characteristics</w:t>
      </w:r>
      <w:bookmarkEnd w:id="216"/>
    </w:p>
    <w:p w:rsidR="009C583E" w:rsidRDefault="00D135DD" w:rsidP="00B51F7A">
      <w:pPr>
        <w:pStyle w:val="MDTabCaption"/>
        <w:keepNext w:val="0"/>
        <w:keepLines/>
        <w:widowControl w:val="0"/>
      </w:pPr>
      <w:bookmarkStart w:id="217" w:name="_Toc501632418"/>
      <w:r>
        <w:t xml:space="preserve">Table </w:t>
      </w:r>
      <w:r w:rsidR="0086184A">
        <w:rPr>
          <w:noProof/>
        </w:rPr>
        <w:t>24</w:t>
      </w:r>
      <w:r>
        <w:t>: Study characteristics</w:t>
      </w:r>
      <w:bookmarkEnd w:id="217"/>
    </w:p>
    <w:tbl>
      <w:tblPr>
        <w:tblStyle w:val="TableGrid71"/>
        <w:tblW w:w="5000" w:type="pct"/>
        <w:tblInd w:w="0" w:type="dxa"/>
        <w:tblLayout w:type="fixed"/>
        <w:tblLook w:val="0620" w:firstRow="1" w:lastRow="0" w:firstColumn="0" w:lastColumn="0" w:noHBand="1" w:noVBand="1"/>
        <w:tblCaption w:val="Characteristics of included epidemiological studies"/>
      </w:tblPr>
      <w:tblGrid>
        <w:gridCol w:w="1304"/>
        <w:gridCol w:w="1599"/>
        <w:gridCol w:w="2092"/>
        <w:gridCol w:w="2423"/>
        <w:gridCol w:w="1824"/>
      </w:tblGrid>
      <w:tr w:rsidR="002F143B" w:rsidRPr="00EC5153" w:rsidTr="00F17705">
        <w:trPr>
          <w:cantSplit/>
          <w:trHeight w:val="416"/>
          <w:tblHeader/>
        </w:trPr>
        <w:tc>
          <w:tcPr>
            <w:tcW w:w="705" w:type="pct"/>
            <w:tcBorders>
              <w:left w:val="single" w:sz="4" w:space="0" w:color="auto"/>
              <w:bottom w:val="single" w:sz="4" w:space="0" w:color="auto"/>
              <w:right w:val="single" w:sz="4" w:space="0" w:color="auto"/>
            </w:tcBorders>
            <w:shd w:val="clear" w:color="auto" w:fill="BFBFBF" w:themeFill="background1" w:themeFillShade="BF"/>
            <w:vAlign w:val="center"/>
          </w:tcPr>
          <w:p w:rsidR="002F143B" w:rsidRPr="001A3E21" w:rsidRDefault="002F143B" w:rsidP="00F17705">
            <w:pPr>
              <w:keepLines/>
              <w:widowControl w:val="0"/>
              <w:autoSpaceDE w:val="0"/>
              <w:autoSpaceDN w:val="0"/>
              <w:adjustRightInd w:val="0"/>
              <w:spacing w:before="60" w:after="60"/>
              <w:rPr>
                <w:rFonts w:eastAsia="Calibri" w:cs="Calibri"/>
                <w:b/>
                <w:sz w:val="20"/>
                <w:szCs w:val="20"/>
              </w:rPr>
            </w:pPr>
            <w:r w:rsidRPr="001A3E21">
              <w:rPr>
                <w:rFonts w:eastAsia="Calibri" w:cs="Calibri"/>
                <w:b/>
                <w:sz w:val="20"/>
                <w:szCs w:val="20"/>
              </w:rPr>
              <w:t>Study</w:t>
            </w:r>
          </w:p>
        </w:tc>
        <w:tc>
          <w:tcPr>
            <w:tcW w:w="865" w:type="pct"/>
            <w:tcBorders>
              <w:left w:val="single" w:sz="4" w:space="0" w:color="auto"/>
              <w:bottom w:val="single" w:sz="4" w:space="0" w:color="auto"/>
              <w:right w:val="single" w:sz="4" w:space="0" w:color="auto"/>
            </w:tcBorders>
            <w:shd w:val="clear" w:color="auto" w:fill="BFBFBF" w:themeFill="background1" w:themeFillShade="BF"/>
            <w:vAlign w:val="center"/>
          </w:tcPr>
          <w:p w:rsidR="002F143B" w:rsidRDefault="002F143B" w:rsidP="00F17705">
            <w:pPr>
              <w:keepLines/>
              <w:widowControl w:val="0"/>
              <w:autoSpaceDE w:val="0"/>
              <w:autoSpaceDN w:val="0"/>
              <w:adjustRightInd w:val="0"/>
              <w:spacing w:before="60" w:after="60"/>
              <w:rPr>
                <w:rFonts w:eastAsia="Calibri" w:cs="Calibri"/>
                <w:b/>
                <w:sz w:val="20"/>
                <w:szCs w:val="20"/>
              </w:rPr>
            </w:pPr>
            <w:r>
              <w:rPr>
                <w:rFonts w:eastAsia="Calibri" w:cs="Calibri"/>
                <w:b/>
                <w:sz w:val="20"/>
                <w:szCs w:val="20"/>
              </w:rPr>
              <w:t>Study type</w:t>
            </w:r>
          </w:p>
        </w:tc>
        <w:tc>
          <w:tcPr>
            <w:tcW w:w="1132" w:type="pct"/>
            <w:tcBorders>
              <w:left w:val="single" w:sz="4" w:space="0" w:color="auto"/>
              <w:bottom w:val="single" w:sz="4" w:space="0" w:color="auto"/>
              <w:right w:val="single" w:sz="4" w:space="0" w:color="auto"/>
            </w:tcBorders>
            <w:shd w:val="clear" w:color="auto" w:fill="BFBFBF" w:themeFill="background1" w:themeFillShade="BF"/>
            <w:vAlign w:val="center"/>
          </w:tcPr>
          <w:p w:rsidR="002F143B" w:rsidRDefault="002F143B" w:rsidP="00F17705">
            <w:pPr>
              <w:widowControl w:val="0"/>
              <w:autoSpaceDE w:val="0"/>
              <w:autoSpaceDN w:val="0"/>
              <w:adjustRightInd w:val="0"/>
              <w:spacing w:before="60" w:after="60"/>
              <w:rPr>
                <w:rFonts w:eastAsia="Calibri" w:cs="Calibri"/>
                <w:b/>
                <w:sz w:val="20"/>
                <w:szCs w:val="20"/>
              </w:rPr>
            </w:pPr>
            <w:r>
              <w:rPr>
                <w:rFonts w:eastAsia="Calibri" w:cs="Calibri"/>
                <w:b/>
                <w:sz w:val="20"/>
                <w:szCs w:val="20"/>
              </w:rPr>
              <w:t>Recruitment</w:t>
            </w:r>
          </w:p>
        </w:tc>
        <w:tc>
          <w:tcPr>
            <w:tcW w:w="1311"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2F143B" w:rsidRPr="00EC5153" w:rsidRDefault="002F143B" w:rsidP="00F17705">
            <w:pPr>
              <w:keepLines/>
              <w:widowControl w:val="0"/>
              <w:autoSpaceDE w:val="0"/>
              <w:autoSpaceDN w:val="0"/>
              <w:adjustRightInd w:val="0"/>
              <w:spacing w:before="60" w:after="60"/>
              <w:rPr>
                <w:rFonts w:eastAsia="Calibri" w:cs="Calibri"/>
                <w:b/>
                <w:sz w:val="20"/>
                <w:szCs w:val="20"/>
                <w:vertAlign w:val="superscript"/>
              </w:rPr>
            </w:pPr>
            <w:r>
              <w:rPr>
                <w:rFonts w:eastAsia="Calibri" w:cs="Calibri"/>
                <w:b/>
                <w:sz w:val="20"/>
                <w:szCs w:val="20"/>
              </w:rPr>
              <w:t>Inclusion criteria</w:t>
            </w:r>
          </w:p>
        </w:tc>
        <w:tc>
          <w:tcPr>
            <w:tcW w:w="987"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2F143B" w:rsidRDefault="002F143B" w:rsidP="00F17705">
            <w:pPr>
              <w:keepLines/>
              <w:widowControl w:val="0"/>
              <w:autoSpaceDE w:val="0"/>
              <w:autoSpaceDN w:val="0"/>
              <w:adjustRightInd w:val="0"/>
              <w:spacing w:before="60" w:after="60"/>
              <w:rPr>
                <w:rFonts w:eastAsia="Calibri" w:cs="Calibri"/>
                <w:b/>
                <w:sz w:val="20"/>
                <w:szCs w:val="20"/>
              </w:rPr>
            </w:pPr>
            <w:r>
              <w:rPr>
                <w:rFonts w:eastAsia="Calibri" w:cs="Calibri"/>
                <w:b/>
                <w:sz w:val="20"/>
                <w:szCs w:val="20"/>
              </w:rPr>
              <w:t>Exclusion criteria</w:t>
            </w:r>
          </w:p>
        </w:tc>
      </w:tr>
      <w:tr w:rsidR="002F143B" w:rsidRPr="001A3E21" w:rsidTr="00544C51">
        <w:trPr>
          <w:cantSplit/>
          <w:trHeight w:val="353"/>
        </w:trPr>
        <w:tc>
          <w:tcPr>
            <w:tcW w:w="705" w:type="pct"/>
            <w:tcBorders>
              <w:top w:val="single" w:sz="4" w:space="0" w:color="auto"/>
              <w:left w:val="single" w:sz="4" w:space="0" w:color="auto"/>
              <w:bottom w:val="single" w:sz="4" w:space="0" w:color="auto"/>
              <w:right w:val="single" w:sz="4" w:space="0" w:color="auto"/>
            </w:tcBorders>
          </w:tcPr>
          <w:p w:rsidR="002F143B" w:rsidRDefault="002F143B" w:rsidP="00544C51">
            <w:pPr>
              <w:widowControl w:val="0"/>
              <w:spacing w:beforeLines="60" w:before="144" w:afterLines="60" w:after="144"/>
              <w:contextualSpacing/>
              <w:rPr>
                <w:sz w:val="20"/>
                <w:szCs w:val="20"/>
              </w:rPr>
            </w:pPr>
            <w:r>
              <w:rPr>
                <w:sz w:val="20"/>
                <w:szCs w:val="20"/>
              </w:rPr>
              <w:t>ABS NHS</w:t>
            </w:r>
          </w:p>
          <w:p w:rsidR="002F143B" w:rsidRDefault="002F143B" w:rsidP="00544C51">
            <w:pPr>
              <w:widowControl w:val="0"/>
              <w:spacing w:beforeLines="60" w:before="144" w:afterLines="60" w:after="144"/>
              <w:contextualSpacing/>
              <w:rPr>
                <w:sz w:val="20"/>
                <w:szCs w:val="20"/>
              </w:rPr>
            </w:pPr>
            <w:r>
              <w:rPr>
                <w:sz w:val="20"/>
                <w:szCs w:val="20"/>
              </w:rPr>
              <w:t>2011-12</w:t>
            </w:r>
          </w:p>
          <w:p w:rsidR="002F143B" w:rsidRDefault="002F143B" w:rsidP="00544C51">
            <w:pPr>
              <w:widowControl w:val="0"/>
              <w:spacing w:beforeLines="60" w:before="144" w:afterLines="60" w:after="144"/>
              <w:contextualSpacing/>
              <w:rPr>
                <w:sz w:val="20"/>
                <w:szCs w:val="20"/>
              </w:rPr>
            </w:pPr>
            <w:r>
              <w:rPr>
                <w:sz w:val="20"/>
                <w:szCs w:val="20"/>
              </w:rPr>
              <w:t>ABS NHS</w:t>
            </w:r>
          </w:p>
          <w:p w:rsidR="002F143B" w:rsidRPr="001A3E21" w:rsidRDefault="002F143B" w:rsidP="00544C51">
            <w:pPr>
              <w:widowControl w:val="0"/>
              <w:spacing w:beforeLines="60" w:before="144" w:afterLines="60" w:after="144"/>
              <w:contextualSpacing/>
              <w:rPr>
                <w:rFonts w:eastAsia="Calibri"/>
                <w:sz w:val="20"/>
                <w:szCs w:val="20"/>
              </w:rPr>
            </w:pPr>
            <w:r>
              <w:rPr>
                <w:sz w:val="20"/>
                <w:szCs w:val="20"/>
              </w:rPr>
              <w:t>2014-15</w:t>
            </w:r>
          </w:p>
        </w:tc>
        <w:tc>
          <w:tcPr>
            <w:tcW w:w="865" w:type="pct"/>
            <w:tcBorders>
              <w:top w:val="single" w:sz="4" w:space="0" w:color="auto"/>
              <w:left w:val="single" w:sz="4" w:space="0" w:color="auto"/>
              <w:bottom w:val="single" w:sz="4" w:space="0" w:color="auto"/>
              <w:right w:val="single" w:sz="4" w:space="0" w:color="auto"/>
            </w:tcBorders>
          </w:tcPr>
          <w:p w:rsidR="002F143B" w:rsidRDefault="002F143B" w:rsidP="00F17705">
            <w:pPr>
              <w:widowControl w:val="0"/>
              <w:autoSpaceDE w:val="0"/>
              <w:autoSpaceDN w:val="0"/>
              <w:adjustRightInd w:val="0"/>
              <w:spacing w:beforeLines="60" w:before="144" w:afterLines="60" w:after="144"/>
              <w:contextualSpacing/>
              <w:rPr>
                <w:rFonts w:eastAsia="Calibri" w:cs="Calibri"/>
                <w:sz w:val="20"/>
                <w:szCs w:val="20"/>
              </w:rPr>
            </w:pPr>
            <w:r>
              <w:rPr>
                <w:rFonts w:eastAsia="Calibri" w:cs="Calibri"/>
                <w:sz w:val="20"/>
                <w:szCs w:val="20"/>
              </w:rPr>
              <w:t>National survey</w:t>
            </w:r>
          </w:p>
        </w:tc>
        <w:tc>
          <w:tcPr>
            <w:tcW w:w="1132" w:type="pct"/>
            <w:tcBorders>
              <w:top w:val="single" w:sz="4" w:space="0" w:color="auto"/>
              <w:left w:val="single" w:sz="4" w:space="0" w:color="auto"/>
              <w:bottom w:val="single" w:sz="4" w:space="0" w:color="auto"/>
              <w:right w:val="single" w:sz="4" w:space="0" w:color="auto"/>
            </w:tcBorders>
          </w:tcPr>
          <w:p w:rsidR="002F143B" w:rsidRPr="00FD32F4" w:rsidRDefault="002F143B" w:rsidP="00F17705">
            <w:pPr>
              <w:widowControl w:val="0"/>
              <w:autoSpaceDE w:val="0"/>
              <w:autoSpaceDN w:val="0"/>
              <w:adjustRightInd w:val="0"/>
              <w:spacing w:before="100" w:beforeAutospacing="1"/>
              <w:rPr>
                <w:rFonts w:eastAsia="Calibri" w:cs="Calibri"/>
                <w:sz w:val="20"/>
                <w:szCs w:val="20"/>
              </w:rPr>
            </w:pPr>
            <w:r w:rsidRPr="00FD32F4">
              <w:rPr>
                <w:rFonts w:eastAsia="Calibri" w:cs="Calibri"/>
                <w:sz w:val="20"/>
                <w:szCs w:val="20"/>
              </w:rPr>
              <w:t>Stratified multistage area sample of private dwellings</w:t>
            </w:r>
          </w:p>
        </w:tc>
        <w:tc>
          <w:tcPr>
            <w:tcW w:w="1311" w:type="pct"/>
            <w:tcBorders>
              <w:top w:val="single" w:sz="4" w:space="0" w:color="auto"/>
              <w:left w:val="single" w:sz="4" w:space="0" w:color="auto"/>
              <w:bottom w:val="single" w:sz="4" w:space="0" w:color="auto"/>
              <w:right w:val="single" w:sz="4" w:space="0" w:color="auto"/>
            </w:tcBorders>
            <w:vAlign w:val="center"/>
          </w:tcPr>
          <w:p w:rsidR="002F143B" w:rsidRPr="001A3E21" w:rsidRDefault="002F143B" w:rsidP="00F17705">
            <w:pPr>
              <w:widowControl w:val="0"/>
              <w:autoSpaceDE w:val="0"/>
              <w:autoSpaceDN w:val="0"/>
              <w:adjustRightInd w:val="0"/>
              <w:contextualSpacing/>
              <w:jc w:val="center"/>
              <w:rPr>
                <w:rFonts w:eastAsia="Calibri" w:cs="Calibri"/>
                <w:sz w:val="20"/>
                <w:szCs w:val="20"/>
              </w:rPr>
            </w:pPr>
            <w:r>
              <w:rPr>
                <w:rFonts w:eastAsia="Calibri" w:cs="Calibri"/>
                <w:sz w:val="20"/>
                <w:szCs w:val="20"/>
              </w:rPr>
              <w:t>-</w:t>
            </w:r>
          </w:p>
        </w:tc>
        <w:tc>
          <w:tcPr>
            <w:tcW w:w="987" w:type="pct"/>
            <w:tcBorders>
              <w:top w:val="single" w:sz="4" w:space="0" w:color="auto"/>
              <w:left w:val="single" w:sz="4" w:space="0" w:color="auto"/>
              <w:bottom w:val="single" w:sz="4" w:space="0" w:color="auto"/>
              <w:right w:val="single" w:sz="4" w:space="0" w:color="auto"/>
            </w:tcBorders>
            <w:vAlign w:val="center"/>
          </w:tcPr>
          <w:p w:rsidR="002F143B" w:rsidRDefault="002F143B" w:rsidP="00F17705">
            <w:pPr>
              <w:widowControl w:val="0"/>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w:t>
            </w:r>
          </w:p>
        </w:tc>
      </w:tr>
      <w:tr w:rsidR="002F143B" w:rsidRPr="001A3E21" w:rsidTr="00544C51">
        <w:trPr>
          <w:cantSplit/>
          <w:trHeight w:val="353"/>
        </w:trPr>
        <w:tc>
          <w:tcPr>
            <w:tcW w:w="705" w:type="pct"/>
            <w:tcBorders>
              <w:top w:val="single" w:sz="4" w:space="0" w:color="auto"/>
              <w:left w:val="single" w:sz="4" w:space="0" w:color="auto"/>
              <w:bottom w:val="single" w:sz="4" w:space="0" w:color="auto"/>
              <w:right w:val="single" w:sz="4" w:space="0" w:color="auto"/>
            </w:tcBorders>
          </w:tcPr>
          <w:p w:rsidR="002F143B" w:rsidRDefault="002F143B" w:rsidP="00544C51">
            <w:pPr>
              <w:widowControl w:val="0"/>
              <w:spacing w:beforeLines="60" w:before="144" w:afterLines="60" w:after="144"/>
              <w:contextualSpacing/>
              <w:rPr>
                <w:sz w:val="20"/>
                <w:szCs w:val="20"/>
              </w:rPr>
            </w:pPr>
            <w:r>
              <w:rPr>
                <w:sz w:val="20"/>
                <w:szCs w:val="20"/>
              </w:rPr>
              <w:t xml:space="preserve">ABS ATSI Health survey </w:t>
            </w:r>
            <w:r>
              <w:rPr>
                <w:sz w:val="20"/>
                <w:szCs w:val="20"/>
              </w:rPr>
              <w:br/>
              <w:t>2012-13</w:t>
            </w:r>
          </w:p>
        </w:tc>
        <w:tc>
          <w:tcPr>
            <w:tcW w:w="865" w:type="pct"/>
            <w:tcBorders>
              <w:top w:val="single" w:sz="4" w:space="0" w:color="auto"/>
              <w:left w:val="single" w:sz="4" w:space="0" w:color="auto"/>
              <w:bottom w:val="single" w:sz="4" w:space="0" w:color="auto"/>
              <w:right w:val="single" w:sz="4" w:space="0" w:color="auto"/>
            </w:tcBorders>
          </w:tcPr>
          <w:p w:rsidR="002F143B" w:rsidRDefault="002F143B" w:rsidP="00F17705">
            <w:pPr>
              <w:widowControl w:val="0"/>
              <w:autoSpaceDE w:val="0"/>
              <w:autoSpaceDN w:val="0"/>
              <w:adjustRightInd w:val="0"/>
              <w:spacing w:beforeLines="60" w:before="144" w:afterLines="60" w:after="144"/>
              <w:contextualSpacing/>
              <w:rPr>
                <w:rFonts w:eastAsia="Calibri" w:cs="Calibri"/>
                <w:sz w:val="20"/>
                <w:szCs w:val="20"/>
              </w:rPr>
            </w:pPr>
            <w:r w:rsidRPr="00B602F6">
              <w:rPr>
                <w:rFonts w:eastAsia="Calibri" w:cs="Calibri"/>
                <w:sz w:val="20"/>
                <w:szCs w:val="20"/>
              </w:rPr>
              <w:t>National survey</w:t>
            </w:r>
          </w:p>
        </w:tc>
        <w:tc>
          <w:tcPr>
            <w:tcW w:w="1132" w:type="pct"/>
            <w:tcBorders>
              <w:top w:val="single" w:sz="4" w:space="0" w:color="auto"/>
              <w:left w:val="single" w:sz="4" w:space="0" w:color="auto"/>
              <w:bottom w:val="single" w:sz="4" w:space="0" w:color="auto"/>
              <w:right w:val="single" w:sz="4" w:space="0" w:color="auto"/>
            </w:tcBorders>
          </w:tcPr>
          <w:p w:rsidR="002F143B" w:rsidRPr="00FD32F4" w:rsidRDefault="002F143B" w:rsidP="00F17705">
            <w:pPr>
              <w:widowControl w:val="0"/>
              <w:autoSpaceDE w:val="0"/>
              <w:autoSpaceDN w:val="0"/>
              <w:adjustRightInd w:val="0"/>
              <w:spacing w:before="100" w:beforeAutospacing="1"/>
              <w:rPr>
                <w:rFonts w:eastAsia="Calibri" w:cs="Calibri"/>
                <w:sz w:val="20"/>
                <w:szCs w:val="20"/>
              </w:rPr>
            </w:pPr>
            <w:r w:rsidRPr="00FD32F4">
              <w:rPr>
                <w:rFonts w:eastAsia="Calibri" w:cs="Calibri"/>
                <w:sz w:val="20"/>
                <w:szCs w:val="20"/>
              </w:rPr>
              <w:t xml:space="preserve">Stratified multistage sampling. Separately recruited individuals from remote communities. </w:t>
            </w:r>
          </w:p>
        </w:tc>
        <w:tc>
          <w:tcPr>
            <w:tcW w:w="1311" w:type="pct"/>
            <w:tcBorders>
              <w:top w:val="single" w:sz="4" w:space="0" w:color="auto"/>
              <w:left w:val="single" w:sz="4" w:space="0" w:color="auto"/>
              <w:bottom w:val="single" w:sz="4" w:space="0" w:color="auto"/>
              <w:right w:val="single" w:sz="4" w:space="0" w:color="auto"/>
            </w:tcBorders>
            <w:vAlign w:val="center"/>
          </w:tcPr>
          <w:p w:rsidR="002F143B" w:rsidRPr="001A3E21" w:rsidRDefault="002F143B" w:rsidP="00F17705">
            <w:pPr>
              <w:widowControl w:val="0"/>
              <w:autoSpaceDE w:val="0"/>
              <w:autoSpaceDN w:val="0"/>
              <w:adjustRightInd w:val="0"/>
              <w:contextualSpacing/>
              <w:jc w:val="center"/>
              <w:rPr>
                <w:rFonts w:eastAsia="Calibri" w:cs="Calibri"/>
                <w:sz w:val="20"/>
                <w:szCs w:val="20"/>
              </w:rPr>
            </w:pPr>
            <w:r>
              <w:rPr>
                <w:rFonts w:eastAsia="Calibri" w:cs="Calibri"/>
                <w:sz w:val="20"/>
                <w:szCs w:val="20"/>
              </w:rPr>
              <w:t>-</w:t>
            </w:r>
          </w:p>
        </w:tc>
        <w:tc>
          <w:tcPr>
            <w:tcW w:w="987" w:type="pct"/>
            <w:tcBorders>
              <w:top w:val="single" w:sz="4" w:space="0" w:color="auto"/>
              <w:left w:val="single" w:sz="4" w:space="0" w:color="auto"/>
              <w:bottom w:val="single" w:sz="4" w:space="0" w:color="auto"/>
              <w:right w:val="single" w:sz="4" w:space="0" w:color="auto"/>
            </w:tcBorders>
            <w:vAlign w:val="center"/>
          </w:tcPr>
          <w:p w:rsidR="002F143B" w:rsidRDefault="002F143B" w:rsidP="00F17705">
            <w:pPr>
              <w:widowControl w:val="0"/>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w:t>
            </w:r>
          </w:p>
        </w:tc>
      </w:tr>
      <w:tr w:rsidR="002F143B" w:rsidRPr="001A3E21" w:rsidTr="00544C51">
        <w:trPr>
          <w:cantSplit/>
          <w:trHeight w:val="353"/>
        </w:trPr>
        <w:tc>
          <w:tcPr>
            <w:tcW w:w="705" w:type="pct"/>
            <w:tcBorders>
              <w:top w:val="single" w:sz="4" w:space="0" w:color="auto"/>
              <w:left w:val="single" w:sz="4" w:space="0" w:color="auto"/>
              <w:bottom w:val="single" w:sz="4" w:space="0" w:color="auto"/>
              <w:right w:val="single" w:sz="4" w:space="0" w:color="auto"/>
            </w:tcBorders>
          </w:tcPr>
          <w:p w:rsidR="002F143B" w:rsidRDefault="002F143B" w:rsidP="00544C51">
            <w:pPr>
              <w:widowControl w:val="0"/>
              <w:spacing w:beforeLines="60" w:before="144" w:afterLines="60" w:after="144"/>
              <w:contextualSpacing/>
              <w:rPr>
                <w:sz w:val="20"/>
                <w:szCs w:val="20"/>
              </w:rPr>
            </w:pPr>
            <w:r w:rsidRPr="00B609BB">
              <w:rPr>
                <w:sz w:val="20"/>
                <w:szCs w:val="20"/>
              </w:rPr>
              <w:t>Augustin (2008)</w:t>
            </w:r>
          </w:p>
        </w:tc>
        <w:tc>
          <w:tcPr>
            <w:tcW w:w="865" w:type="pct"/>
            <w:tcBorders>
              <w:top w:val="single" w:sz="4" w:space="0" w:color="auto"/>
              <w:left w:val="single" w:sz="4" w:space="0" w:color="auto"/>
              <w:bottom w:val="single" w:sz="4" w:space="0" w:color="auto"/>
              <w:right w:val="single" w:sz="4" w:space="0" w:color="auto"/>
            </w:tcBorders>
          </w:tcPr>
          <w:p w:rsidR="002F143B" w:rsidRPr="001A3E21" w:rsidRDefault="002F143B" w:rsidP="00F17705">
            <w:pPr>
              <w:widowControl w:val="0"/>
              <w:autoSpaceDE w:val="0"/>
              <w:autoSpaceDN w:val="0"/>
              <w:adjustRightInd w:val="0"/>
              <w:spacing w:beforeLines="60" w:before="144" w:afterLines="60" w:after="144"/>
              <w:contextualSpacing/>
              <w:rPr>
                <w:rFonts w:eastAsia="Calibri" w:cs="Calibri"/>
                <w:sz w:val="20"/>
                <w:szCs w:val="20"/>
              </w:rPr>
            </w:pPr>
            <w:r>
              <w:rPr>
                <w:rFonts w:eastAsia="Calibri" w:cs="Calibri"/>
                <w:sz w:val="20"/>
                <w:szCs w:val="20"/>
              </w:rPr>
              <w:t>P</w:t>
            </w:r>
            <w:r w:rsidRPr="00EC5153">
              <w:rPr>
                <w:rFonts w:eastAsia="Calibri" w:cs="Calibri"/>
                <w:sz w:val="20"/>
                <w:szCs w:val="20"/>
              </w:rPr>
              <w:t>rospective,</w:t>
            </w:r>
            <w:r>
              <w:rPr>
                <w:rFonts w:eastAsia="Calibri" w:cs="Calibri"/>
                <w:sz w:val="20"/>
                <w:szCs w:val="20"/>
              </w:rPr>
              <w:t xml:space="preserve"> </w:t>
            </w:r>
            <w:r w:rsidRPr="00EC5153">
              <w:rPr>
                <w:rFonts w:eastAsia="Calibri" w:cs="Calibri"/>
                <w:sz w:val="20"/>
                <w:szCs w:val="20"/>
              </w:rPr>
              <w:t>multicentre, cross-sectional, observational cohort study</w:t>
            </w:r>
          </w:p>
        </w:tc>
        <w:tc>
          <w:tcPr>
            <w:tcW w:w="1132" w:type="pct"/>
            <w:tcBorders>
              <w:top w:val="single" w:sz="4" w:space="0" w:color="auto"/>
              <w:left w:val="single" w:sz="4" w:space="0" w:color="auto"/>
              <w:bottom w:val="single" w:sz="4" w:space="0" w:color="auto"/>
              <w:right w:val="single" w:sz="4" w:space="0" w:color="auto"/>
            </w:tcBorders>
          </w:tcPr>
          <w:p w:rsidR="002F143B" w:rsidRDefault="002F143B" w:rsidP="00F17705">
            <w:pPr>
              <w:pStyle w:val="ListParagraph"/>
              <w:widowControl w:val="0"/>
              <w:numPr>
                <w:ilvl w:val="0"/>
                <w:numId w:val="15"/>
              </w:numPr>
              <w:autoSpaceDE w:val="0"/>
              <w:autoSpaceDN w:val="0"/>
              <w:adjustRightInd w:val="0"/>
              <w:spacing w:before="100" w:beforeAutospacing="1" w:after="100" w:afterAutospacing="1"/>
              <w:ind w:left="164" w:hanging="164"/>
              <w:rPr>
                <w:rFonts w:eastAsia="Calibri" w:cs="Calibri"/>
                <w:sz w:val="20"/>
                <w:szCs w:val="20"/>
              </w:rPr>
            </w:pPr>
            <w:r>
              <w:rPr>
                <w:rFonts w:eastAsia="Calibri" w:cs="Calibri"/>
                <w:sz w:val="20"/>
                <w:szCs w:val="20"/>
              </w:rPr>
              <w:t>Patient at participating site (private dermatology clinics, hospital outpatient clinics, rheumatology centres)</w:t>
            </w:r>
          </w:p>
          <w:p w:rsidR="002F143B" w:rsidRDefault="002F143B" w:rsidP="00F17705">
            <w:pPr>
              <w:pStyle w:val="ListParagraph"/>
              <w:widowControl w:val="0"/>
              <w:numPr>
                <w:ilvl w:val="0"/>
                <w:numId w:val="15"/>
              </w:numPr>
              <w:autoSpaceDE w:val="0"/>
              <w:autoSpaceDN w:val="0"/>
              <w:adjustRightInd w:val="0"/>
              <w:spacing w:before="100" w:beforeAutospacing="1" w:after="100" w:afterAutospacing="1"/>
              <w:ind w:left="164" w:hanging="164"/>
              <w:rPr>
                <w:rFonts w:eastAsia="Calibri" w:cs="Calibri"/>
                <w:sz w:val="20"/>
                <w:szCs w:val="20"/>
              </w:rPr>
            </w:pPr>
            <w:r>
              <w:rPr>
                <w:rFonts w:eastAsia="Calibri" w:cs="Calibri"/>
                <w:sz w:val="20"/>
                <w:szCs w:val="20"/>
              </w:rPr>
              <w:t>Study sites selected for geographic representativeness. Preference to sites with clinical study experience.</w:t>
            </w:r>
          </w:p>
        </w:tc>
        <w:tc>
          <w:tcPr>
            <w:tcW w:w="1311" w:type="pct"/>
            <w:tcBorders>
              <w:top w:val="single" w:sz="4" w:space="0" w:color="auto"/>
              <w:left w:val="single" w:sz="4" w:space="0" w:color="auto"/>
              <w:bottom w:val="single" w:sz="4" w:space="0" w:color="auto"/>
              <w:right w:val="single" w:sz="4" w:space="0" w:color="auto"/>
            </w:tcBorders>
          </w:tcPr>
          <w:p w:rsidR="002F143B" w:rsidRDefault="002F143B" w:rsidP="00F17705">
            <w:pPr>
              <w:pStyle w:val="ListParagraph"/>
              <w:widowControl w:val="0"/>
              <w:numPr>
                <w:ilvl w:val="0"/>
                <w:numId w:val="15"/>
              </w:numPr>
              <w:autoSpaceDE w:val="0"/>
              <w:autoSpaceDN w:val="0"/>
              <w:adjustRightInd w:val="0"/>
              <w:ind w:left="164" w:hanging="164"/>
              <w:rPr>
                <w:rFonts w:eastAsia="Calibri" w:cs="Calibri"/>
                <w:sz w:val="20"/>
                <w:szCs w:val="20"/>
              </w:rPr>
            </w:pPr>
            <w:r>
              <w:rPr>
                <w:rFonts w:eastAsia="Calibri" w:cs="Calibri"/>
                <w:sz w:val="20"/>
                <w:szCs w:val="20"/>
              </w:rPr>
              <w:t>≥ 18 years</w:t>
            </w:r>
          </w:p>
          <w:p w:rsidR="002F143B" w:rsidRPr="00090C86" w:rsidRDefault="002F143B" w:rsidP="00F17705">
            <w:pPr>
              <w:pStyle w:val="ListParagraph"/>
              <w:widowControl w:val="0"/>
              <w:numPr>
                <w:ilvl w:val="0"/>
                <w:numId w:val="15"/>
              </w:numPr>
              <w:autoSpaceDE w:val="0"/>
              <w:autoSpaceDN w:val="0"/>
              <w:adjustRightInd w:val="0"/>
              <w:ind w:left="164" w:hanging="164"/>
              <w:rPr>
                <w:rFonts w:eastAsia="Calibri" w:cs="Calibri"/>
                <w:sz w:val="20"/>
                <w:szCs w:val="20"/>
              </w:rPr>
            </w:pPr>
            <w:r>
              <w:rPr>
                <w:rFonts w:eastAsia="Calibri" w:cs="Calibri"/>
                <w:sz w:val="20"/>
                <w:szCs w:val="20"/>
              </w:rPr>
              <w:t xml:space="preserve">CPP </w:t>
            </w:r>
          </w:p>
        </w:tc>
        <w:tc>
          <w:tcPr>
            <w:tcW w:w="987" w:type="pct"/>
            <w:tcBorders>
              <w:top w:val="single" w:sz="4" w:space="0" w:color="auto"/>
              <w:left w:val="single" w:sz="4" w:space="0" w:color="auto"/>
              <w:bottom w:val="single" w:sz="4" w:space="0" w:color="auto"/>
              <w:right w:val="single" w:sz="4" w:space="0" w:color="auto"/>
            </w:tcBorders>
          </w:tcPr>
          <w:p w:rsidR="002F143B" w:rsidRDefault="002F143B" w:rsidP="00F17705">
            <w:pPr>
              <w:pStyle w:val="ListParagraph"/>
              <w:widowControl w:val="0"/>
              <w:numPr>
                <w:ilvl w:val="0"/>
                <w:numId w:val="15"/>
              </w:numPr>
              <w:autoSpaceDE w:val="0"/>
              <w:autoSpaceDN w:val="0"/>
              <w:adjustRightInd w:val="0"/>
              <w:spacing w:beforeLines="60" w:before="144" w:afterLines="60" w:after="144"/>
              <w:ind w:left="164" w:hanging="164"/>
              <w:rPr>
                <w:rFonts w:eastAsia="Calibri" w:cs="Calibri"/>
                <w:sz w:val="20"/>
                <w:szCs w:val="20"/>
              </w:rPr>
            </w:pPr>
            <w:r>
              <w:rPr>
                <w:rFonts w:eastAsia="Calibri" w:cs="Calibri"/>
                <w:sz w:val="20"/>
                <w:szCs w:val="20"/>
              </w:rPr>
              <w:t>Unable to fill questionnaire</w:t>
            </w:r>
          </w:p>
          <w:p w:rsidR="002F143B" w:rsidRDefault="002F143B" w:rsidP="00F17705">
            <w:pPr>
              <w:pStyle w:val="ListParagraph"/>
              <w:widowControl w:val="0"/>
              <w:numPr>
                <w:ilvl w:val="0"/>
                <w:numId w:val="15"/>
              </w:numPr>
              <w:autoSpaceDE w:val="0"/>
              <w:autoSpaceDN w:val="0"/>
              <w:adjustRightInd w:val="0"/>
              <w:spacing w:beforeLines="60" w:before="144" w:afterLines="60" w:after="144"/>
              <w:ind w:left="164" w:hanging="164"/>
              <w:rPr>
                <w:rFonts w:eastAsia="Calibri" w:cs="Calibri"/>
                <w:sz w:val="20"/>
                <w:szCs w:val="20"/>
              </w:rPr>
            </w:pPr>
            <w:r>
              <w:rPr>
                <w:rFonts w:eastAsia="Calibri" w:cs="Calibri"/>
                <w:sz w:val="20"/>
                <w:szCs w:val="20"/>
              </w:rPr>
              <w:t>Participated in epidemiological study</w:t>
            </w:r>
          </w:p>
          <w:p w:rsidR="002F143B" w:rsidRDefault="002F143B" w:rsidP="00F17705">
            <w:pPr>
              <w:pStyle w:val="ListParagraph"/>
              <w:widowControl w:val="0"/>
              <w:numPr>
                <w:ilvl w:val="0"/>
                <w:numId w:val="15"/>
              </w:numPr>
              <w:autoSpaceDE w:val="0"/>
              <w:autoSpaceDN w:val="0"/>
              <w:adjustRightInd w:val="0"/>
              <w:spacing w:beforeLines="60" w:before="144" w:afterLines="60" w:after="144"/>
              <w:ind w:left="164" w:hanging="164"/>
              <w:rPr>
                <w:rFonts w:eastAsia="Calibri" w:cs="Calibri"/>
                <w:sz w:val="20"/>
                <w:szCs w:val="20"/>
              </w:rPr>
            </w:pPr>
            <w:r>
              <w:rPr>
                <w:rFonts w:eastAsia="Calibri" w:cs="Calibri"/>
                <w:sz w:val="20"/>
                <w:szCs w:val="20"/>
              </w:rPr>
              <w:t xml:space="preserve">Non-compliant or uncooperative </w:t>
            </w:r>
          </w:p>
          <w:p w:rsidR="002F143B" w:rsidRDefault="002F143B" w:rsidP="00F17705">
            <w:pPr>
              <w:pStyle w:val="ListParagraph"/>
              <w:widowControl w:val="0"/>
              <w:numPr>
                <w:ilvl w:val="0"/>
                <w:numId w:val="15"/>
              </w:numPr>
              <w:autoSpaceDE w:val="0"/>
              <w:autoSpaceDN w:val="0"/>
              <w:adjustRightInd w:val="0"/>
              <w:spacing w:beforeLines="60" w:before="144" w:afterLines="60" w:after="144"/>
              <w:ind w:left="164" w:hanging="164"/>
              <w:rPr>
                <w:rFonts w:eastAsia="Calibri" w:cs="Calibri"/>
                <w:sz w:val="20"/>
                <w:szCs w:val="20"/>
              </w:rPr>
            </w:pPr>
            <w:r>
              <w:rPr>
                <w:rFonts w:eastAsia="Calibri" w:cs="Calibri"/>
                <w:sz w:val="20"/>
                <w:szCs w:val="20"/>
              </w:rPr>
              <w:t>Employees or family members of investigators</w:t>
            </w:r>
          </w:p>
        </w:tc>
      </w:tr>
      <w:tr w:rsidR="002F143B" w:rsidRPr="001A3E21" w:rsidTr="00544C51">
        <w:trPr>
          <w:cantSplit/>
          <w:trHeight w:val="353"/>
        </w:trPr>
        <w:tc>
          <w:tcPr>
            <w:tcW w:w="705" w:type="pct"/>
            <w:tcBorders>
              <w:top w:val="single" w:sz="4" w:space="0" w:color="auto"/>
              <w:left w:val="single" w:sz="4" w:space="0" w:color="auto"/>
              <w:bottom w:val="single" w:sz="4" w:space="0" w:color="auto"/>
              <w:right w:val="single" w:sz="4" w:space="0" w:color="auto"/>
            </w:tcBorders>
          </w:tcPr>
          <w:p w:rsidR="002F143B" w:rsidRDefault="002F143B" w:rsidP="00544C51">
            <w:pPr>
              <w:widowControl w:val="0"/>
              <w:spacing w:beforeLines="60" w:before="144" w:afterLines="60" w:after="144"/>
              <w:contextualSpacing/>
              <w:rPr>
                <w:sz w:val="20"/>
                <w:szCs w:val="20"/>
              </w:rPr>
            </w:pPr>
            <w:r w:rsidRPr="00C873D4">
              <w:rPr>
                <w:sz w:val="20"/>
                <w:szCs w:val="20"/>
              </w:rPr>
              <w:t>Baker</w:t>
            </w:r>
            <w:r>
              <w:rPr>
                <w:sz w:val="20"/>
                <w:szCs w:val="20"/>
              </w:rPr>
              <w:t xml:space="preserve"> (</w:t>
            </w:r>
            <w:r w:rsidRPr="00C873D4">
              <w:rPr>
                <w:sz w:val="20"/>
                <w:szCs w:val="20"/>
              </w:rPr>
              <w:t>2013)</w:t>
            </w:r>
          </w:p>
        </w:tc>
        <w:tc>
          <w:tcPr>
            <w:tcW w:w="865" w:type="pct"/>
            <w:tcBorders>
              <w:top w:val="single" w:sz="4" w:space="0" w:color="auto"/>
              <w:left w:val="single" w:sz="4" w:space="0" w:color="auto"/>
              <w:bottom w:val="single" w:sz="4" w:space="0" w:color="auto"/>
              <w:right w:val="single" w:sz="4" w:space="0" w:color="auto"/>
            </w:tcBorders>
          </w:tcPr>
          <w:p w:rsidR="002F143B" w:rsidRPr="001A3E21" w:rsidRDefault="00AC0A60" w:rsidP="00F17705">
            <w:pPr>
              <w:widowControl w:val="0"/>
              <w:autoSpaceDE w:val="0"/>
              <w:autoSpaceDN w:val="0"/>
              <w:adjustRightInd w:val="0"/>
              <w:spacing w:beforeLines="60" w:before="144" w:afterLines="60" w:after="144"/>
              <w:contextualSpacing/>
              <w:rPr>
                <w:rFonts w:eastAsia="Calibri" w:cs="Calibri"/>
                <w:sz w:val="20"/>
                <w:szCs w:val="20"/>
              </w:rPr>
            </w:pPr>
            <w:r>
              <w:rPr>
                <w:rFonts w:eastAsia="Calibri" w:cs="Calibri"/>
                <w:sz w:val="20"/>
                <w:szCs w:val="20"/>
              </w:rPr>
              <w:t>C</w:t>
            </w:r>
            <w:r w:rsidR="002F143B" w:rsidRPr="00122EE0">
              <w:rPr>
                <w:rFonts w:eastAsia="Calibri" w:cs="Calibri"/>
                <w:sz w:val="20"/>
                <w:szCs w:val="20"/>
              </w:rPr>
              <w:t xml:space="preserve">ross-sectional </w:t>
            </w:r>
            <w:r w:rsidR="002F143B">
              <w:rPr>
                <w:rFonts w:eastAsia="Calibri" w:cs="Calibri"/>
                <w:sz w:val="20"/>
                <w:szCs w:val="20"/>
              </w:rPr>
              <w:t>multi</w:t>
            </w:r>
            <w:r w:rsidR="002F143B" w:rsidRPr="00122EE0">
              <w:rPr>
                <w:rFonts w:eastAsia="Calibri" w:cs="Calibri"/>
                <w:sz w:val="20"/>
                <w:szCs w:val="20"/>
              </w:rPr>
              <w:t>centre,</w:t>
            </w:r>
            <w:r w:rsidR="002F143B">
              <w:rPr>
                <w:rFonts w:eastAsia="Calibri" w:cs="Calibri"/>
                <w:sz w:val="20"/>
                <w:szCs w:val="20"/>
              </w:rPr>
              <w:br/>
            </w:r>
            <w:r w:rsidR="002F143B" w:rsidRPr="00122EE0">
              <w:rPr>
                <w:rFonts w:eastAsia="Calibri" w:cs="Calibri"/>
                <w:sz w:val="20"/>
                <w:szCs w:val="20"/>
              </w:rPr>
              <w:t>studies</w:t>
            </w:r>
            <w:r w:rsidR="002F143B">
              <w:rPr>
                <w:rFonts w:eastAsia="Calibri" w:cs="Calibri"/>
                <w:sz w:val="20"/>
                <w:szCs w:val="20"/>
              </w:rPr>
              <w:t xml:space="preserve"> </w:t>
            </w:r>
            <w:r w:rsidR="002F143B">
              <w:rPr>
                <w:rFonts w:eastAsia="Calibri" w:cs="Calibri"/>
                <w:sz w:val="20"/>
                <w:szCs w:val="20"/>
              </w:rPr>
              <w:br/>
              <w:t>(2 surveys)</w:t>
            </w:r>
          </w:p>
        </w:tc>
        <w:tc>
          <w:tcPr>
            <w:tcW w:w="1132" w:type="pct"/>
            <w:tcBorders>
              <w:top w:val="single" w:sz="4" w:space="0" w:color="auto"/>
              <w:left w:val="single" w:sz="4" w:space="0" w:color="auto"/>
              <w:bottom w:val="single" w:sz="4" w:space="0" w:color="auto"/>
              <w:right w:val="single" w:sz="4" w:space="0" w:color="auto"/>
            </w:tcBorders>
          </w:tcPr>
          <w:p w:rsidR="002F143B" w:rsidRDefault="002F143B" w:rsidP="00F17705">
            <w:pPr>
              <w:pStyle w:val="ListParagraph"/>
              <w:widowControl w:val="0"/>
              <w:numPr>
                <w:ilvl w:val="0"/>
                <w:numId w:val="15"/>
              </w:numPr>
              <w:autoSpaceDE w:val="0"/>
              <w:autoSpaceDN w:val="0"/>
              <w:adjustRightInd w:val="0"/>
              <w:spacing w:before="100" w:beforeAutospacing="1" w:after="100" w:afterAutospacing="1"/>
              <w:ind w:left="164" w:hanging="164"/>
              <w:rPr>
                <w:rFonts w:eastAsia="Calibri" w:cs="Calibri"/>
                <w:sz w:val="20"/>
                <w:szCs w:val="20"/>
              </w:rPr>
            </w:pPr>
            <w:r>
              <w:rPr>
                <w:rFonts w:eastAsia="Calibri" w:cs="Calibri"/>
                <w:sz w:val="20"/>
                <w:szCs w:val="20"/>
              </w:rPr>
              <w:t>Healthcare providers</w:t>
            </w:r>
          </w:p>
          <w:p w:rsidR="002F143B" w:rsidRDefault="002F143B" w:rsidP="00F17705">
            <w:pPr>
              <w:pStyle w:val="ListParagraph"/>
              <w:widowControl w:val="0"/>
              <w:numPr>
                <w:ilvl w:val="0"/>
                <w:numId w:val="15"/>
              </w:numPr>
              <w:autoSpaceDE w:val="0"/>
              <w:autoSpaceDN w:val="0"/>
              <w:adjustRightInd w:val="0"/>
              <w:spacing w:before="100" w:beforeAutospacing="1" w:after="100" w:afterAutospacing="1"/>
              <w:ind w:left="164" w:hanging="164"/>
              <w:rPr>
                <w:rFonts w:eastAsia="Calibri" w:cs="Calibri"/>
                <w:sz w:val="20"/>
                <w:szCs w:val="20"/>
              </w:rPr>
            </w:pPr>
            <w:r>
              <w:rPr>
                <w:rFonts w:eastAsia="Calibri" w:cs="Calibri"/>
                <w:sz w:val="20"/>
                <w:szCs w:val="20"/>
              </w:rPr>
              <w:t>Web-based advertisements</w:t>
            </w:r>
          </w:p>
          <w:p w:rsidR="002F143B" w:rsidRDefault="002F143B" w:rsidP="00F17705">
            <w:pPr>
              <w:pStyle w:val="ListParagraph"/>
              <w:widowControl w:val="0"/>
              <w:numPr>
                <w:ilvl w:val="0"/>
                <w:numId w:val="15"/>
              </w:numPr>
              <w:autoSpaceDE w:val="0"/>
              <w:autoSpaceDN w:val="0"/>
              <w:adjustRightInd w:val="0"/>
              <w:spacing w:before="100" w:beforeAutospacing="1" w:after="100" w:afterAutospacing="1"/>
              <w:ind w:left="164" w:hanging="164"/>
              <w:rPr>
                <w:rFonts w:eastAsia="Calibri" w:cs="Calibri"/>
                <w:sz w:val="20"/>
                <w:szCs w:val="20"/>
              </w:rPr>
            </w:pPr>
            <w:r>
              <w:rPr>
                <w:rFonts w:eastAsia="Calibri" w:cs="Calibri"/>
                <w:sz w:val="20"/>
                <w:szCs w:val="20"/>
              </w:rPr>
              <w:t>Psoriasis Australia (patient group)</w:t>
            </w:r>
          </w:p>
        </w:tc>
        <w:tc>
          <w:tcPr>
            <w:tcW w:w="1311" w:type="pct"/>
            <w:tcBorders>
              <w:top w:val="single" w:sz="4" w:space="0" w:color="auto"/>
              <w:left w:val="single" w:sz="4" w:space="0" w:color="auto"/>
              <w:bottom w:val="single" w:sz="4" w:space="0" w:color="auto"/>
              <w:right w:val="single" w:sz="4" w:space="0" w:color="auto"/>
            </w:tcBorders>
          </w:tcPr>
          <w:p w:rsidR="002F143B" w:rsidRDefault="002F143B" w:rsidP="00F17705">
            <w:pPr>
              <w:pStyle w:val="ListParagraph"/>
              <w:widowControl w:val="0"/>
              <w:numPr>
                <w:ilvl w:val="0"/>
                <w:numId w:val="15"/>
              </w:numPr>
              <w:autoSpaceDE w:val="0"/>
              <w:autoSpaceDN w:val="0"/>
              <w:adjustRightInd w:val="0"/>
              <w:ind w:left="164" w:hanging="164"/>
              <w:rPr>
                <w:rFonts w:eastAsia="Calibri" w:cs="Calibri"/>
                <w:sz w:val="20"/>
                <w:szCs w:val="20"/>
              </w:rPr>
            </w:pPr>
            <w:r>
              <w:rPr>
                <w:rFonts w:eastAsia="Calibri" w:cs="Calibri"/>
                <w:sz w:val="20"/>
                <w:szCs w:val="20"/>
              </w:rPr>
              <w:t>≥ 18 years</w:t>
            </w:r>
          </w:p>
          <w:p w:rsidR="002F143B" w:rsidRDefault="002F143B" w:rsidP="00F17705">
            <w:pPr>
              <w:pStyle w:val="ListParagraph"/>
              <w:widowControl w:val="0"/>
              <w:numPr>
                <w:ilvl w:val="0"/>
                <w:numId w:val="15"/>
              </w:numPr>
              <w:autoSpaceDE w:val="0"/>
              <w:autoSpaceDN w:val="0"/>
              <w:adjustRightInd w:val="0"/>
              <w:ind w:left="164" w:hanging="164"/>
              <w:rPr>
                <w:rFonts w:eastAsia="Calibri" w:cs="Calibri"/>
                <w:sz w:val="20"/>
                <w:szCs w:val="20"/>
              </w:rPr>
            </w:pPr>
            <w:r>
              <w:rPr>
                <w:rFonts w:eastAsia="Calibri" w:cs="Calibri"/>
                <w:sz w:val="20"/>
                <w:szCs w:val="20"/>
              </w:rPr>
              <w:t>psoriasis diagnosis</w:t>
            </w:r>
          </w:p>
          <w:p w:rsidR="002F143B" w:rsidRPr="001A3E21" w:rsidRDefault="002F143B" w:rsidP="00F17705">
            <w:pPr>
              <w:widowControl w:val="0"/>
              <w:autoSpaceDE w:val="0"/>
              <w:autoSpaceDN w:val="0"/>
              <w:adjustRightInd w:val="0"/>
              <w:contextualSpacing/>
              <w:rPr>
                <w:rFonts w:eastAsia="Calibri" w:cs="Calibri"/>
                <w:sz w:val="20"/>
                <w:szCs w:val="20"/>
              </w:rPr>
            </w:pPr>
          </w:p>
        </w:tc>
        <w:tc>
          <w:tcPr>
            <w:tcW w:w="987" w:type="pct"/>
            <w:tcBorders>
              <w:top w:val="single" w:sz="4" w:space="0" w:color="auto"/>
              <w:left w:val="single" w:sz="4" w:space="0" w:color="auto"/>
              <w:bottom w:val="single" w:sz="4" w:space="0" w:color="auto"/>
              <w:right w:val="single" w:sz="4" w:space="0" w:color="auto"/>
            </w:tcBorders>
            <w:vAlign w:val="center"/>
          </w:tcPr>
          <w:p w:rsidR="002F143B" w:rsidRPr="001A3E21" w:rsidRDefault="002F143B" w:rsidP="00F17705">
            <w:pPr>
              <w:widowControl w:val="0"/>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w:t>
            </w:r>
          </w:p>
        </w:tc>
      </w:tr>
      <w:tr w:rsidR="002F143B" w:rsidRPr="001A3E21" w:rsidTr="00544C51">
        <w:trPr>
          <w:cantSplit/>
          <w:trHeight w:val="353"/>
        </w:trPr>
        <w:tc>
          <w:tcPr>
            <w:tcW w:w="705" w:type="pct"/>
            <w:tcBorders>
              <w:top w:val="single" w:sz="4" w:space="0" w:color="auto"/>
              <w:left w:val="single" w:sz="4" w:space="0" w:color="auto"/>
              <w:bottom w:val="single" w:sz="4" w:space="0" w:color="auto"/>
              <w:right w:val="single" w:sz="4" w:space="0" w:color="auto"/>
            </w:tcBorders>
          </w:tcPr>
          <w:p w:rsidR="002F143B" w:rsidRPr="00C873D4" w:rsidRDefault="002F143B" w:rsidP="00544C51">
            <w:pPr>
              <w:widowControl w:val="0"/>
              <w:spacing w:beforeLines="60" w:before="144" w:afterLines="60" w:after="144"/>
              <w:contextualSpacing/>
              <w:rPr>
                <w:sz w:val="20"/>
                <w:szCs w:val="20"/>
              </w:rPr>
            </w:pPr>
            <w:r w:rsidRPr="00C873D4">
              <w:rPr>
                <w:sz w:val="20"/>
                <w:szCs w:val="20"/>
              </w:rPr>
              <w:t xml:space="preserve">Bonigen </w:t>
            </w:r>
            <w:r>
              <w:rPr>
                <w:sz w:val="20"/>
                <w:szCs w:val="20"/>
              </w:rPr>
              <w:t>(</w:t>
            </w:r>
            <w:r w:rsidRPr="00C873D4">
              <w:rPr>
                <w:sz w:val="20"/>
                <w:szCs w:val="20"/>
              </w:rPr>
              <w:t>2016</w:t>
            </w:r>
            <w:r>
              <w:rPr>
                <w:sz w:val="20"/>
                <w:szCs w:val="20"/>
              </w:rPr>
              <w:t>)</w:t>
            </w:r>
          </w:p>
        </w:tc>
        <w:tc>
          <w:tcPr>
            <w:tcW w:w="865" w:type="pct"/>
            <w:tcBorders>
              <w:top w:val="single" w:sz="4" w:space="0" w:color="auto"/>
              <w:left w:val="single" w:sz="4" w:space="0" w:color="auto"/>
              <w:bottom w:val="single" w:sz="4" w:space="0" w:color="auto"/>
              <w:right w:val="single" w:sz="4" w:space="0" w:color="auto"/>
            </w:tcBorders>
          </w:tcPr>
          <w:p w:rsidR="002F143B" w:rsidRDefault="002F143B" w:rsidP="00F17705">
            <w:pPr>
              <w:widowControl w:val="0"/>
              <w:autoSpaceDE w:val="0"/>
              <w:autoSpaceDN w:val="0"/>
              <w:adjustRightInd w:val="0"/>
              <w:spacing w:beforeLines="60" w:before="144" w:afterLines="60" w:after="144"/>
              <w:contextualSpacing/>
              <w:rPr>
                <w:rFonts w:eastAsia="Calibri" w:cs="Calibri"/>
                <w:sz w:val="20"/>
                <w:szCs w:val="20"/>
              </w:rPr>
            </w:pPr>
            <w:r>
              <w:rPr>
                <w:rFonts w:eastAsia="Calibri" w:cs="Calibri"/>
                <w:sz w:val="20"/>
                <w:szCs w:val="20"/>
              </w:rPr>
              <w:t>Cross-sectional,</w:t>
            </w:r>
          </w:p>
          <w:p w:rsidR="002F143B" w:rsidRDefault="002F143B" w:rsidP="00F17705">
            <w:pPr>
              <w:widowControl w:val="0"/>
              <w:autoSpaceDE w:val="0"/>
              <w:autoSpaceDN w:val="0"/>
              <w:adjustRightInd w:val="0"/>
              <w:spacing w:beforeLines="60" w:before="144" w:afterLines="60" w:after="144"/>
              <w:contextualSpacing/>
              <w:rPr>
                <w:rFonts w:eastAsia="Calibri" w:cs="Calibri"/>
                <w:sz w:val="20"/>
                <w:szCs w:val="20"/>
              </w:rPr>
            </w:pPr>
            <w:r>
              <w:rPr>
                <w:rFonts w:eastAsia="Calibri" w:cs="Calibri"/>
                <w:sz w:val="20"/>
                <w:szCs w:val="20"/>
              </w:rPr>
              <w:t>multicentre</w:t>
            </w:r>
          </w:p>
          <w:p w:rsidR="002F143B" w:rsidRPr="001A3E21" w:rsidRDefault="002F143B" w:rsidP="00F17705">
            <w:pPr>
              <w:widowControl w:val="0"/>
              <w:autoSpaceDE w:val="0"/>
              <w:autoSpaceDN w:val="0"/>
              <w:adjustRightInd w:val="0"/>
              <w:spacing w:beforeLines="60" w:before="144" w:afterLines="60" w:after="144"/>
              <w:contextualSpacing/>
              <w:rPr>
                <w:rFonts w:eastAsia="Calibri" w:cs="Calibri"/>
                <w:sz w:val="20"/>
                <w:szCs w:val="20"/>
              </w:rPr>
            </w:pPr>
            <w:r>
              <w:rPr>
                <w:rFonts w:eastAsia="Calibri" w:cs="Calibri"/>
                <w:sz w:val="20"/>
                <w:szCs w:val="20"/>
              </w:rPr>
              <w:t>(Chi-Psocar study)</w:t>
            </w:r>
          </w:p>
        </w:tc>
        <w:tc>
          <w:tcPr>
            <w:tcW w:w="1132" w:type="pct"/>
            <w:tcBorders>
              <w:top w:val="single" w:sz="4" w:space="0" w:color="auto"/>
              <w:left w:val="single" w:sz="4" w:space="0" w:color="auto"/>
              <w:bottom w:val="single" w:sz="4" w:space="0" w:color="auto"/>
              <w:right w:val="single" w:sz="4" w:space="0" w:color="auto"/>
            </w:tcBorders>
          </w:tcPr>
          <w:p w:rsidR="002F143B" w:rsidRPr="00FD32F4" w:rsidRDefault="002F143B" w:rsidP="00F17705">
            <w:pPr>
              <w:widowControl w:val="0"/>
              <w:autoSpaceDE w:val="0"/>
              <w:autoSpaceDN w:val="0"/>
              <w:adjustRightInd w:val="0"/>
              <w:spacing w:before="100" w:beforeAutospacing="1" w:after="100" w:afterAutospacing="1"/>
              <w:rPr>
                <w:rFonts w:eastAsia="Calibri" w:cs="Calibri"/>
                <w:sz w:val="20"/>
                <w:szCs w:val="20"/>
              </w:rPr>
            </w:pPr>
            <w:r w:rsidRPr="00FD32F4">
              <w:rPr>
                <w:rFonts w:eastAsia="Calibri" w:cs="Calibri"/>
                <w:sz w:val="20"/>
                <w:szCs w:val="20"/>
              </w:rPr>
              <w:t>Patients at participating centres</w:t>
            </w:r>
          </w:p>
        </w:tc>
        <w:tc>
          <w:tcPr>
            <w:tcW w:w="1311" w:type="pct"/>
            <w:tcBorders>
              <w:top w:val="single" w:sz="4" w:space="0" w:color="auto"/>
              <w:left w:val="single" w:sz="4" w:space="0" w:color="auto"/>
              <w:bottom w:val="single" w:sz="4" w:space="0" w:color="auto"/>
              <w:right w:val="single" w:sz="4" w:space="0" w:color="auto"/>
            </w:tcBorders>
          </w:tcPr>
          <w:p w:rsidR="002F143B" w:rsidRDefault="002F143B" w:rsidP="00F17705">
            <w:pPr>
              <w:pStyle w:val="ListParagraph"/>
              <w:widowControl w:val="0"/>
              <w:numPr>
                <w:ilvl w:val="0"/>
                <w:numId w:val="15"/>
              </w:numPr>
              <w:autoSpaceDE w:val="0"/>
              <w:autoSpaceDN w:val="0"/>
              <w:adjustRightInd w:val="0"/>
              <w:ind w:left="164" w:hanging="164"/>
              <w:rPr>
                <w:rFonts w:eastAsia="Calibri" w:cs="Calibri"/>
                <w:sz w:val="20"/>
                <w:szCs w:val="20"/>
              </w:rPr>
            </w:pPr>
            <w:r>
              <w:rPr>
                <w:rFonts w:eastAsia="Calibri" w:cs="Calibri"/>
                <w:sz w:val="20"/>
                <w:szCs w:val="20"/>
              </w:rPr>
              <w:t>≤ 18 years</w:t>
            </w:r>
          </w:p>
          <w:p w:rsidR="002F143B" w:rsidRPr="00166049" w:rsidRDefault="002F143B" w:rsidP="00F17705">
            <w:pPr>
              <w:pStyle w:val="ListParagraph"/>
              <w:widowControl w:val="0"/>
              <w:numPr>
                <w:ilvl w:val="0"/>
                <w:numId w:val="15"/>
              </w:numPr>
              <w:autoSpaceDE w:val="0"/>
              <w:autoSpaceDN w:val="0"/>
              <w:adjustRightInd w:val="0"/>
              <w:ind w:left="164" w:hanging="164"/>
              <w:rPr>
                <w:rFonts w:eastAsia="Calibri" w:cs="Calibri"/>
                <w:sz w:val="20"/>
                <w:szCs w:val="20"/>
              </w:rPr>
            </w:pPr>
            <w:r>
              <w:rPr>
                <w:rFonts w:eastAsia="Calibri" w:cs="Calibri"/>
                <w:sz w:val="20"/>
                <w:szCs w:val="20"/>
              </w:rPr>
              <w:t>psoriasis diagnosis</w:t>
            </w:r>
          </w:p>
        </w:tc>
        <w:tc>
          <w:tcPr>
            <w:tcW w:w="987" w:type="pct"/>
            <w:tcBorders>
              <w:top w:val="single" w:sz="4" w:space="0" w:color="auto"/>
              <w:left w:val="single" w:sz="4" w:space="0" w:color="auto"/>
              <w:bottom w:val="single" w:sz="4" w:space="0" w:color="auto"/>
              <w:right w:val="single" w:sz="4" w:space="0" w:color="auto"/>
            </w:tcBorders>
            <w:vAlign w:val="center"/>
          </w:tcPr>
          <w:p w:rsidR="002F143B" w:rsidRPr="001A3E21" w:rsidRDefault="002F143B" w:rsidP="00F17705">
            <w:pPr>
              <w:widowControl w:val="0"/>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w:t>
            </w:r>
          </w:p>
        </w:tc>
      </w:tr>
      <w:tr w:rsidR="002F143B" w:rsidRPr="001A3E21" w:rsidTr="00544C51">
        <w:trPr>
          <w:cantSplit/>
          <w:trHeight w:val="353"/>
        </w:trPr>
        <w:tc>
          <w:tcPr>
            <w:tcW w:w="705" w:type="pct"/>
            <w:tcBorders>
              <w:top w:val="single" w:sz="4" w:space="0" w:color="auto"/>
              <w:left w:val="single" w:sz="4" w:space="0" w:color="auto"/>
              <w:bottom w:val="single" w:sz="4" w:space="0" w:color="auto"/>
              <w:right w:val="single" w:sz="4" w:space="0" w:color="auto"/>
            </w:tcBorders>
          </w:tcPr>
          <w:p w:rsidR="002F143B" w:rsidRPr="00C873D4" w:rsidRDefault="002F143B" w:rsidP="00544C51">
            <w:pPr>
              <w:widowControl w:val="0"/>
              <w:spacing w:beforeLines="60" w:before="144" w:afterLines="60" w:after="144"/>
              <w:contextualSpacing/>
              <w:rPr>
                <w:sz w:val="20"/>
                <w:szCs w:val="20"/>
              </w:rPr>
            </w:pPr>
            <w:r w:rsidRPr="003E055C">
              <w:rPr>
                <w:sz w:val="20"/>
                <w:szCs w:val="20"/>
              </w:rPr>
              <w:t xml:space="preserve">Chamurlieva </w:t>
            </w:r>
            <w:r>
              <w:rPr>
                <w:sz w:val="20"/>
                <w:szCs w:val="20"/>
              </w:rPr>
              <w:t>(</w:t>
            </w:r>
            <w:r w:rsidRPr="003E055C">
              <w:rPr>
                <w:sz w:val="20"/>
                <w:szCs w:val="20"/>
              </w:rPr>
              <w:t>2016</w:t>
            </w:r>
            <w:r>
              <w:rPr>
                <w:sz w:val="20"/>
                <w:szCs w:val="20"/>
              </w:rPr>
              <w:t>)</w:t>
            </w:r>
          </w:p>
        </w:tc>
        <w:tc>
          <w:tcPr>
            <w:tcW w:w="865" w:type="pct"/>
            <w:tcBorders>
              <w:top w:val="single" w:sz="4" w:space="0" w:color="auto"/>
              <w:left w:val="single" w:sz="4" w:space="0" w:color="auto"/>
              <w:bottom w:val="single" w:sz="4" w:space="0" w:color="auto"/>
              <w:right w:val="single" w:sz="4" w:space="0" w:color="auto"/>
            </w:tcBorders>
          </w:tcPr>
          <w:p w:rsidR="002F143B" w:rsidRPr="001A3E21" w:rsidRDefault="002F143B" w:rsidP="00F17705">
            <w:pPr>
              <w:widowControl w:val="0"/>
              <w:autoSpaceDE w:val="0"/>
              <w:autoSpaceDN w:val="0"/>
              <w:adjustRightInd w:val="0"/>
              <w:spacing w:beforeLines="60" w:before="144" w:afterLines="60" w:after="144"/>
              <w:contextualSpacing/>
              <w:rPr>
                <w:rFonts w:eastAsia="Calibri" w:cs="Calibri"/>
                <w:sz w:val="20"/>
                <w:szCs w:val="20"/>
              </w:rPr>
            </w:pPr>
            <w:r>
              <w:rPr>
                <w:rFonts w:eastAsia="Calibri" w:cs="Calibri"/>
                <w:sz w:val="20"/>
                <w:szCs w:val="20"/>
              </w:rPr>
              <w:t xml:space="preserve">Cross-sectional </w:t>
            </w:r>
          </w:p>
        </w:tc>
        <w:tc>
          <w:tcPr>
            <w:tcW w:w="1132" w:type="pct"/>
            <w:tcBorders>
              <w:top w:val="single" w:sz="4" w:space="0" w:color="auto"/>
              <w:left w:val="single" w:sz="4" w:space="0" w:color="auto"/>
              <w:bottom w:val="single" w:sz="4" w:space="0" w:color="auto"/>
              <w:right w:val="single" w:sz="4" w:space="0" w:color="auto"/>
            </w:tcBorders>
          </w:tcPr>
          <w:p w:rsidR="002F143B" w:rsidRPr="00FD32F4" w:rsidRDefault="002F143B" w:rsidP="00F17705">
            <w:pPr>
              <w:widowControl w:val="0"/>
              <w:autoSpaceDE w:val="0"/>
              <w:autoSpaceDN w:val="0"/>
              <w:adjustRightInd w:val="0"/>
              <w:spacing w:before="100" w:beforeAutospacing="1" w:after="100" w:afterAutospacing="1"/>
              <w:rPr>
                <w:rFonts w:eastAsia="Calibri" w:cs="Calibri"/>
                <w:sz w:val="20"/>
                <w:szCs w:val="20"/>
              </w:rPr>
            </w:pPr>
            <w:r w:rsidRPr="00FD32F4">
              <w:rPr>
                <w:rFonts w:eastAsia="Calibri" w:cs="Calibri"/>
                <w:sz w:val="20"/>
                <w:szCs w:val="20"/>
              </w:rPr>
              <w:t>Dermatology patients (consecutive)</w:t>
            </w:r>
          </w:p>
        </w:tc>
        <w:tc>
          <w:tcPr>
            <w:tcW w:w="1311" w:type="pct"/>
            <w:tcBorders>
              <w:top w:val="single" w:sz="4" w:space="0" w:color="auto"/>
              <w:left w:val="single" w:sz="4" w:space="0" w:color="auto"/>
              <w:bottom w:val="single" w:sz="4" w:space="0" w:color="auto"/>
              <w:right w:val="single" w:sz="4" w:space="0" w:color="auto"/>
            </w:tcBorders>
          </w:tcPr>
          <w:p w:rsidR="002F143B" w:rsidRDefault="002F143B" w:rsidP="00F17705">
            <w:pPr>
              <w:pStyle w:val="ListParagraph"/>
              <w:widowControl w:val="0"/>
              <w:numPr>
                <w:ilvl w:val="0"/>
                <w:numId w:val="15"/>
              </w:numPr>
              <w:autoSpaceDE w:val="0"/>
              <w:autoSpaceDN w:val="0"/>
              <w:adjustRightInd w:val="0"/>
              <w:ind w:left="164" w:hanging="164"/>
              <w:rPr>
                <w:rFonts w:eastAsia="Calibri" w:cs="Calibri"/>
                <w:sz w:val="20"/>
                <w:szCs w:val="20"/>
              </w:rPr>
            </w:pPr>
            <w:r>
              <w:rPr>
                <w:rFonts w:eastAsia="Calibri" w:cs="Calibri"/>
                <w:sz w:val="20"/>
                <w:szCs w:val="20"/>
              </w:rPr>
              <w:t>≥ 18 years</w:t>
            </w:r>
          </w:p>
          <w:p w:rsidR="002F143B" w:rsidRDefault="002F143B" w:rsidP="00F17705">
            <w:pPr>
              <w:pStyle w:val="ListParagraph"/>
              <w:widowControl w:val="0"/>
              <w:numPr>
                <w:ilvl w:val="0"/>
                <w:numId w:val="15"/>
              </w:numPr>
              <w:autoSpaceDE w:val="0"/>
              <w:autoSpaceDN w:val="0"/>
              <w:adjustRightInd w:val="0"/>
              <w:ind w:left="164" w:hanging="164"/>
              <w:rPr>
                <w:rFonts w:eastAsia="Calibri" w:cs="Calibri"/>
                <w:sz w:val="20"/>
                <w:szCs w:val="20"/>
              </w:rPr>
            </w:pPr>
            <w:r>
              <w:rPr>
                <w:rFonts w:eastAsia="Calibri" w:cs="Calibri"/>
                <w:sz w:val="20"/>
                <w:szCs w:val="20"/>
              </w:rPr>
              <w:t>CPP</w:t>
            </w:r>
          </w:p>
          <w:p w:rsidR="002F143B" w:rsidRPr="00E12175" w:rsidRDefault="002F143B" w:rsidP="00F17705">
            <w:pPr>
              <w:pStyle w:val="ListParagraph"/>
              <w:widowControl w:val="0"/>
              <w:numPr>
                <w:ilvl w:val="0"/>
                <w:numId w:val="15"/>
              </w:numPr>
              <w:autoSpaceDE w:val="0"/>
              <w:autoSpaceDN w:val="0"/>
              <w:adjustRightInd w:val="0"/>
              <w:ind w:left="164" w:hanging="164"/>
              <w:rPr>
                <w:rFonts w:eastAsia="Calibri" w:cs="Calibri"/>
                <w:sz w:val="20"/>
                <w:szCs w:val="20"/>
              </w:rPr>
            </w:pPr>
            <w:r>
              <w:rPr>
                <w:rFonts w:eastAsia="Calibri" w:cs="Calibri"/>
                <w:sz w:val="20"/>
                <w:szCs w:val="20"/>
              </w:rPr>
              <w:t>No inflammatory arthritis (diagnosed)</w:t>
            </w:r>
          </w:p>
        </w:tc>
        <w:tc>
          <w:tcPr>
            <w:tcW w:w="987" w:type="pct"/>
            <w:tcBorders>
              <w:top w:val="single" w:sz="4" w:space="0" w:color="auto"/>
              <w:left w:val="single" w:sz="4" w:space="0" w:color="auto"/>
              <w:bottom w:val="single" w:sz="4" w:space="0" w:color="auto"/>
              <w:right w:val="single" w:sz="4" w:space="0" w:color="auto"/>
            </w:tcBorders>
            <w:vAlign w:val="center"/>
          </w:tcPr>
          <w:p w:rsidR="002F143B" w:rsidRPr="001A3E21" w:rsidRDefault="002F143B" w:rsidP="00F17705">
            <w:pPr>
              <w:widowControl w:val="0"/>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w:t>
            </w:r>
          </w:p>
        </w:tc>
      </w:tr>
      <w:tr w:rsidR="002F143B" w:rsidRPr="001A3E21" w:rsidTr="00544C51">
        <w:trPr>
          <w:cantSplit/>
          <w:trHeight w:val="353"/>
        </w:trPr>
        <w:tc>
          <w:tcPr>
            <w:tcW w:w="705" w:type="pct"/>
            <w:tcBorders>
              <w:top w:val="single" w:sz="4" w:space="0" w:color="auto"/>
              <w:left w:val="single" w:sz="4" w:space="0" w:color="auto"/>
              <w:bottom w:val="single" w:sz="4" w:space="0" w:color="auto"/>
              <w:right w:val="single" w:sz="4" w:space="0" w:color="auto"/>
            </w:tcBorders>
          </w:tcPr>
          <w:p w:rsidR="002F143B" w:rsidRPr="003E055C" w:rsidRDefault="002F143B" w:rsidP="00544C51">
            <w:pPr>
              <w:widowControl w:val="0"/>
              <w:spacing w:beforeLines="60" w:before="144" w:afterLines="60" w:after="144"/>
              <w:contextualSpacing/>
              <w:rPr>
                <w:sz w:val="20"/>
                <w:szCs w:val="20"/>
              </w:rPr>
            </w:pPr>
            <w:r w:rsidRPr="003E055C">
              <w:rPr>
                <w:sz w:val="20"/>
                <w:szCs w:val="20"/>
              </w:rPr>
              <w:t xml:space="preserve">Coates </w:t>
            </w:r>
            <w:r>
              <w:rPr>
                <w:sz w:val="20"/>
                <w:szCs w:val="20"/>
              </w:rPr>
              <w:t>(</w:t>
            </w:r>
            <w:r w:rsidRPr="003E055C">
              <w:rPr>
                <w:sz w:val="20"/>
                <w:szCs w:val="20"/>
              </w:rPr>
              <w:t>2016</w:t>
            </w:r>
            <w:r>
              <w:rPr>
                <w:sz w:val="20"/>
                <w:szCs w:val="20"/>
              </w:rPr>
              <w:t>)</w:t>
            </w:r>
          </w:p>
        </w:tc>
        <w:tc>
          <w:tcPr>
            <w:tcW w:w="865" w:type="pct"/>
            <w:tcBorders>
              <w:top w:val="single" w:sz="4" w:space="0" w:color="auto"/>
              <w:left w:val="single" w:sz="4" w:space="0" w:color="auto"/>
              <w:bottom w:val="single" w:sz="4" w:space="0" w:color="auto"/>
              <w:right w:val="single" w:sz="4" w:space="0" w:color="auto"/>
            </w:tcBorders>
          </w:tcPr>
          <w:p w:rsidR="002F143B" w:rsidRPr="001A3E21" w:rsidRDefault="002F143B" w:rsidP="00F17705">
            <w:pPr>
              <w:widowControl w:val="0"/>
              <w:autoSpaceDE w:val="0"/>
              <w:autoSpaceDN w:val="0"/>
              <w:adjustRightInd w:val="0"/>
              <w:spacing w:beforeLines="60" w:before="144" w:afterLines="60" w:after="144"/>
              <w:contextualSpacing/>
              <w:rPr>
                <w:rFonts w:eastAsia="Calibri" w:cs="Calibri"/>
                <w:sz w:val="20"/>
                <w:szCs w:val="20"/>
              </w:rPr>
            </w:pPr>
            <w:r>
              <w:rPr>
                <w:rFonts w:eastAsia="Calibri" w:cs="Calibri"/>
                <w:sz w:val="20"/>
                <w:szCs w:val="20"/>
              </w:rPr>
              <w:t>Cross-sectional (screening study)</w:t>
            </w:r>
          </w:p>
        </w:tc>
        <w:tc>
          <w:tcPr>
            <w:tcW w:w="1132" w:type="pct"/>
            <w:tcBorders>
              <w:top w:val="single" w:sz="4" w:space="0" w:color="auto"/>
              <w:left w:val="single" w:sz="4" w:space="0" w:color="auto"/>
              <w:bottom w:val="single" w:sz="4" w:space="0" w:color="auto"/>
              <w:right w:val="single" w:sz="4" w:space="0" w:color="auto"/>
            </w:tcBorders>
          </w:tcPr>
          <w:p w:rsidR="002F143B" w:rsidRDefault="002F143B" w:rsidP="00F17705">
            <w:pPr>
              <w:pStyle w:val="ListParagraph"/>
              <w:widowControl w:val="0"/>
              <w:numPr>
                <w:ilvl w:val="0"/>
                <w:numId w:val="16"/>
              </w:numPr>
              <w:autoSpaceDE w:val="0"/>
              <w:autoSpaceDN w:val="0"/>
              <w:adjustRightInd w:val="0"/>
              <w:spacing w:before="100" w:beforeAutospacing="1" w:after="100" w:afterAutospacing="1"/>
              <w:ind w:left="175" w:hanging="142"/>
              <w:rPr>
                <w:rFonts w:eastAsia="Calibri" w:cs="Calibri"/>
                <w:sz w:val="20"/>
                <w:szCs w:val="20"/>
              </w:rPr>
            </w:pPr>
            <w:r>
              <w:rPr>
                <w:rFonts w:eastAsia="Calibri" w:cs="Calibri"/>
                <w:sz w:val="20"/>
                <w:szCs w:val="20"/>
              </w:rPr>
              <w:t xml:space="preserve">Primary care </w:t>
            </w:r>
          </w:p>
          <w:p w:rsidR="002F143B" w:rsidRDefault="002F143B" w:rsidP="00F17705">
            <w:pPr>
              <w:pStyle w:val="ListParagraph"/>
              <w:widowControl w:val="0"/>
              <w:numPr>
                <w:ilvl w:val="0"/>
                <w:numId w:val="16"/>
              </w:numPr>
              <w:autoSpaceDE w:val="0"/>
              <w:autoSpaceDN w:val="0"/>
              <w:adjustRightInd w:val="0"/>
              <w:spacing w:before="100" w:beforeAutospacing="1" w:after="100" w:afterAutospacing="1"/>
              <w:ind w:left="175" w:hanging="142"/>
              <w:rPr>
                <w:rFonts w:eastAsia="Calibri" w:cs="Calibri"/>
                <w:sz w:val="20"/>
                <w:szCs w:val="20"/>
              </w:rPr>
            </w:pPr>
            <w:r>
              <w:rPr>
                <w:rFonts w:eastAsia="Calibri" w:cs="Calibri"/>
                <w:sz w:val="20"/>
                <w:szCs w:val="20"/>
              </w:rPr>
              <w:t>Identified through database</w:t>
            </w:r>
          </w:p>
          <w:p w:rsidR="002F143B" w:rsidRPr="00201023" w:rsidRDefault="002F143B" w:rsidP="00F17705">
            <w:pPr>
              <w:pStyle w:val="ListParagraph"/>
              <w:widowControl w:val="0"/>
              <w:numPr>
                <w:ilvl w:val="0"/>
                <w:numId w:val="16"/>
              </w:numPr>
              <w:autoSpaceDE w:val="0"/>
              <w:autoSpaceDN w:val="0"/>
              <w:adjustRightInd w:val="0"/>
              <w:spacing w:before="100" w:beforeAutospacing="1" w:after="100" w:afterAutospacing="1"/>
              <w:ind w:left="175" w:hanging="142"/>
              <w:rPr>
                <w:rFonts w:eastAsia="Calibri" w:cs="Calibri"/>
                <w:sz w:val="20"/>
                <w:szCs w:val="20"/>
              </w:rPr>
            </w:pPr>
            <w:r>
              <w:rPr>
                <w:rFonts w:eastAsia="Calibri" w:cs="Calibri"/>
                <w:sz w:val="20"/>
                <w:szCs w:val="20"/>
              </w:rPr>
              <w:t>Random selection</w:t>
            </w:r>
          </w:p>
        </w:tc>
        <w:tc>
          <w:tcPr>
            <w:tcW w:w="1311" w:type="pct"/>
            <w:tcBorders>
              <w:top w:val="single" w:sz="4" w:space="0" w:color="auto"/>
              <w:left w:val="single" w:sz="4" w:space="0" w:color="auto"/>
              <w:bottom w:val="single" w:sz="4" w:space="0" w:color="auto"/>
              <w:right w:val="single" w:sz="4" w:space="0" w:color="auto"/>
            </w:tcBorders>
          </w:tcPr>
          <w:p w:rsidR="002F143B" w:rsidRDefault="002F143B" w:rsidP="00F17705">
            <w:pPr>
              <w:pStyle w:val="ListParagraph"/>
              <w:widowControl w:val="0"/>
              <w:numPr>
                <w:ilvl w:val="0"/>
                <w:numId w:val="16"/>
              </w:numPr>
              <w:autoSpaceDE w:val="0"/>
              <w:autoSpaceDN w:val="0"/>
              <w:adjustRightInd w:val="0"/>
              <w:ind w:left="118" w:hanging="118"/>
              <w:rPr>
                <w:rFonts w:eastAsia="Calibri" w:cs="Calibri"/>
                <w:sz w:val="20"/>
                <w:szCs w:val="20"/>
              </w:rPr>
            </w:pPr>
            <w:r>
              <w:rPr>
                <w:rFonts w:eastAsia="Calibri" w:cs="Calibri"/>
                <w:sz w:val="20"/>
                <w:szCs w:val="20"/>
              </w:rPr>
              <w:t>≥ 18 years</w:t>
            </w:r>
          </w:p>
          <w:p w:rsidR="002F143B" w:rsidRDefault="002F143B" w:rsidP="00F17705">
            <w:pPr>
              <w:pStyle w:val="ListParagraph"/>
              <w:widowControl w:val="0"/>
              <w:numPr>
                <w:ilvl w:val="0"/>
                <w:numId w:val="16"/>
              </w:numPr>
              <w:autoSpaceDE w:val="0"/>
              <w:autoSpaceDN w:val="0"/>
              <w:adjustRightInd w:val="0"/>
              <w:ind w:left="118" w:hanging="118"/>
              <w:rPr>
                <w:rFonts w:eastAsia="Calibri" w:cs="Calibri"/>
                <w:sz w:val="20"/>
                <w:szCs w:val="20"/>
              </w:rPr>
            </w:pPr>
            <w:r>
              <w:rPr>
                <w:rFonts w:eastAsia="Calibri" w:cs="Calibri"/>
                <w:sz w:val="20"/>
                <w:szCs w:val="20"/>
              </w:rPr>
              <w:t>Psoriasis diagnosis</w:t>
            </w:r>
          </w:p>
          <w:p w:rsidR="002F143B" w:rsidRPr="001A3E21" w:rsidRDefault="002F143B" w:rsidP="00F17705">
            <w:pPr>
              <w:widowControl w:val="0"/>
              <w:autoSpaceDE w:val="0"/>
              <w:autoSpaceDN w:val="0"/>
              <w:adjustRightInd w:val="0"/>
              <w:contextualSpacing/>
              <w:rPr>
                <w:rFonts w:eastAsia="Calibri" w:cs="Calibri"/>
                <w:sz w:val="20"/>
                <w:szCs w:val="20"/>
              </w:rPr>
            </w:pPr>
          </w:p>
        </w:tc>
        <w:tc>
          <w:tcPr>
            <w:tcW w:w="987" w:type="pct"/>
            <w:tcBorders>
              <w:top w:val="single" w:sz="4" w:space="0" w:color="auto"/>
              <w:left w:val="single" w:sz="4" w:space="0" w:color="auto"/>
              <w:bottom w:val="single" w:sz="4" w:space="0" w:color="auto"/>
              <w:right w:val="single" w:sz="4" w:space="0" w:color="auto"/>
            </w:tcBorders>
          </w:tcPr>
          <w:p w:rsidR="002F143B" w:rsidRPr="001A3E21" w:rsidRDefault="002F143B" w:rsidP="00F17705">
            <w:pPr>
              <w:pStyle w:val="ListParagraph"/>
              <w:widowControl w:val="0"/>
              <w:numPr>
                <w:ilvl w:val="0"/>
                <w:numId w:val="16"/>
              </w:numPr>
              <w:autoSpaceDE w:val="0"/>
              <w:autoSpaceDN w:val="0"/>
              <w:adjustRightInd w:val="0"/>
              <w:spacing w:beforeLines="60" w:before="144" w:afterLines="60" w:after="144"/>
              <w:ind w:left="118" w:hanging="118"/>
              <w:rPr>
                <w:rFonts w:eastAsia="Calibri" w:cs="Calibri"/>
                <w:sz w:val="20"/>
                <w:szCs w:val="20"/>
              </w:rPr>
            </w:pPr>
            <w:r>
              <w:rPr>
                <w:rFonts w:eastAsia="Calibri" w:cs="Calibri"/>
                <w:sz w:val="20"/>
                <w:szCs w:val="20"/>
              </w:rPr>
              <w:t>Diagnosed with PsA, RA, AS</w:t>
            </w:r>
          </w:p>
          <w:p w:rsidR="002F143B" w:rsidRPr="001A3E21" w:rsidRDefault="002F143B" w:rsidP="00F17705">
            <w:pPr>
              <w:widowControl w:val="0"/>
              <w:autoSpaceDE w:val="0"/>
              <w:autoSpaceDN w:val="0"/>
              <w:adjustRightInd w:val="0"/>
              <w:spacing w:beforeLines="60" w:before="144" w:afterLines="60" w:after="144"/>
              <w:contextualSpacing/>
              <w:rPr>
                <w:rFonts w:eastAsia="Calibri" w:cs="Calibri"/>
                <w:sz w:val="20"/>
                <w:szCs w:val="20"/>
              </w:rPr>
            </w:pPr>
          </w:p>
        </w:tc>
      </w:tr>
      <w:tr w:rsidR="002F143B" w:rsidRPr="001A3E21" w:rsidTr="00544C51">
        <w:trPr>
          <w:cantSplit/>
          <w:trHeight w:val="353"/>
        </w:trPr>
        <w:tc>
          <w:tcPr>
            <w:tcW w:w="705" w:type="pct"/>
            <w:tcBorders>
              <w:top w:val="single" w:sz="4" w:space="0" w:color="auto"/>
              <w:left w:val="single" w:sz="4" w:space="0" w:color="auto"/>
              <w:bottom w:val="single" w:sz="4" w:space="0" w:color="auto"/>
              <w:right w:val="single" w:sz="4" w:space="0" w:color="auto"/>
            </w:tcBorders>
          </w:tcPr>
          <w:p w:rsidR="002F143B" w:rsidRDefault="002F143B" w:rsidP="00544C51">
            <w:pPr>
              <w:widowControl w:val="0"/>
              <w:spacing w:beforeLines="60" w:before="144" w:afterLines="60" w:after="144"/>
              <w:contextualSpacing/>
              <w:rPr>
                <w:sz w:val="20"/>
                <w:szCs w:val="20"/>
              </w:rPr>
            </w:pPr>
            <w:r>
              <w:rPr>
                <w:sz w:val="20"/>
                <w:szCs w:val="20"/>
              </w:rPr>
              <w:t xml:space="preserve">Danielsen </w:t>
            </w:r>
            <w:r>
              <w:rPr>
                <w:i/>
                <w:sz w:val="20"/>
                <w:szCs w:val="20"/>
              </w:rPr>
              <w:t xml:space="preserve"> </w:t>
            </w:r>
            <w:r>
              <w:rPr>
                <w:sz w:val="20"/>
                <w:szCs w:val="20"/>
              </w:rPr>
              <w:t>(2013)</w:t>
            </w:r>
          </w:p>
        </w:tc>
        <w:tc>
          <w:tcPr>
            <w:tcW w:w="865" w:type="pct"/>
            <w:tcBorders>
              <w:top w:val="single" w:sz="4" w:space="0" w:color="auto"/>
              <w:left w:val="single" w:sz="4" w:space="0" w:color="auto"/>
              <w:bottom w:val="single" w:sz="4" w:space="0" w:color="auto"/>
              <w:right w:val="single" w:sz="4" w:space="0" w:color="auto"/>
            </w:tcBorders>
          </w:tcPr>
          <w:p w:rsidR="002F143B" w:rsidRPr="007C5B6B" w:rsidRDefault="00FE7CE4" w:rsidP="00F17705">
            <w:pPr>
              <w:widowControl w:val="0"/>
              <w:autoSpaceDE w:val="0"/>
              <w:autoSpaceDN w:val="0"/>
              <w:adjustRightInd w:val="0"/>
              <w:spacing w:beforeLines="60" w:before="144" w:afterLines="60" w:after="144"/>
              <w:contextualSpacing/>
              <w:rPr>
                <w:rFonts w:eastAsia="Calibri" w:cs="Calibri"/>
                <w:sz w:val="20"/>
                <w:szCs w:val="20"/>
              </w:rPr>
            </w:pPr>
            <w:r>
              <w:rPr>
                <w:rFonts w:eastAsia="Calibri" w:cs="Calibri"/>
                <w:sz w:val="20"/>
                <w:szCs w:val="20"/>
              </w:rPr>
              <w:t>S</w:t>
            </w:r>
            <w:r w:rsidR="002F143B" w:rsidRPr="007C5B6B">
              <w:rPr>
                <w:rFonts w:eastAsia="Calibri" w:cs="Calibri"/>
                <w:sz w:val="20"/>
                <w:szCs w:val="20"/>
              </w:rPr>
              <w:t>ingle-centre,</w:t>
            </w:r>
          </w:p>
          <w:p w:rsidR="002F143B" w:rsidRPr="001A3E21" w:rsidRDefault="002F143B" w:rsidP="00F17705">
            <w:pPr>
              <w:widowControl w:val="0"/>
              <w:autoSpaceDE w:val="0"/>
              <w:autoSpaceDN w:val="0"/>
              <w:adjustRightInd w:val="0"/>
              <w:spacing w:beforeLines="60" w:before="144" w:afterLines="60" w:after="144"/>
              <w:contextualSpacing/>
              <w:rPr>
                <w:rFonts w:eastAsia="Calibri" w:cs="Calibri"/>
                <w:sz w:val="20"/>
                <w:szCs w:val="20"/>
              </w:rPr>
            </w:pPr>
            <w:r w:rsidRPr="007C5B6B">
              <w:rPr>
                <w:rFonts w:eastAsia="Calibri" w:cs="Calibri"/>
                <w:sz w:val="20"/>
                <w:szCs w:val="20"/>
              </w:rPr>
              <w:t>population-based</w:t>
            </w:r>
            <w:r w:rsidR="004C2A34">
              <w:rPr>
                <w:rFonts w:eastAsia="Calibri" w:cs="Calibri"/>
                <w:sz w:val="20"/>
                <w:szCs w:val="20"/>
              </w:rPr>
              <w:t>,</w:t>
            </w:r>
            <w:r w:rsidRPr="007C5B6B">
              <w:rPr>
                <w:rFonts w:eastAsia="Calibri" w:cs="Calibri"/>
                <w:sz w:val="20"/>
                <w:szCs w:val="20"/>
              </w:rPr>
              <w:t xml:space="preserve"> </w:t>
            </w:r>
            <w:r>
              <w:rPr>
                <w:rFonts w:eastAsia="Calibri" w:cs="Calibri"/>
                <w:sz w:val="20"/>
                <w:szCs w:val="20"/>
              </w:rPr>
              <w:t xml:space="preserve">cross-sectional </w:t>
            </w:r>
            <w:r w:rsidRPr="007C5B6B">
              <w:rPr>
                <w:rFonts w:eastAsia="Calibri" w:cs="Calibri"/>
                <w:sz w:val="20"/>
                <w:szCs w:val="20"/>
              </w:rPr>
              <w:t>study</w:t>
            </w:r>
          </w:p>
        </w:tc>
        <w:tc>
          <w:tcPr>
            <w:tcW w:w="1132" w:type="pct"/>
            <w:tcBorders>
              <w:top w:val="single" w:sz="4" w:space="0" w:color="auto"/>
              <w:left w:val="single" w:sz="4" w:space="0" w:color="auto"/>
              <w:bottom w:val="single" w:sz="4" w:space="0" w:color="auto"/>
              <w:right w:val="single" w:sz="4" w:space="0" w:color="auto"/>
            </w:tcBorders>
          </w:tcPr>
          <w:p w:rsidR="002F143B" w:rsidRPr="00FD32F4" w:rsidRDefault="002F143B" w:rsidP="00F17705">
            <w:pPr>
              <w:widowControl w:val="0"/>
              <w:autoSpaceDE w:val="0"/>
              <w:autoSpaceDN w:val="0"/>
              <w:adjustRightInd w:val="0"/>
              <w:spacing w:before="100" w:beforeAutospacing="1" w:after="100" w:afterAutospacing="1"/>
              <w:rPr>
                <w:rFonts w:eastAsia="Calibri" w:cs="Calibri"/>
                <w:sz w:val="20"/>
                <w:szCs w:val="20"/>
              </w:rPr>
            </w:pPr>
            <w:r w:rsidRPr="00FD32F4">
              <w:rPr>
                <w:rFonts w:eastAsia="Calibri" w:cs="Calibri"/>
                <w:sz w:val="20"/>
                <w:szCs w:val="20"/>
              </w:rPr>
              <w:t>Random selection and whole birth cohort invitation from population database</w:t>
            </w:r>
          </w:p>
        </w:tc>
        <w:tc>
          <w:tcPr>
            <w:tcW w:w="1311" w:type="pct"/>
            <w:tcBorders>
              <w:top w:val="single" w:sz="4" w:space="0" w:color="auto"/>
              <w:left w:val="single" w:sz="4" w:space="0" w:color="auto"/>
              <w:bottom w:val="single" w:sz="4" w:space="0" w:color="auto"/>
              <w:right w:val="single" w:sz="4" w:space="0" w:color="auto"/>
            </w:tcBorders>
          </w:tcPr>
          <w:p w:rsidR="002F143B" w:rsidRPr="007C5B6B" w:rsidRDefault="002F143B" w:rsidP="00F17705">
            <w:pPr>
              <w:pStyle w:val="ListParagraph"/>
              <w:widowControl w:val="0"/>
              <w:numPr>
                <w:ilvl w:val="0"/>
                <w:numId w:val="17"/>
              </w:numPr>
              <w:autoSpaceDE w:val="0"/>
              <w:autoSpaceDN w:val="0"/>
              <w:adjustRightInd w:val="0"/>
              <w:ind w:left="118" w:hanging="118"/>
              <w:rPr>
                <w:rFonts w:eastAsia="Calibri" w:cs="Calibri"/>
                <w:sz w:val="20"/>
                <w:szCs w:val="20"/>
              </w:rPr>
            </w:pPr>
            <w:r w:rsidRPr="007C5B6B">
              <w:rPr>
                <w:rFonts w:eastAsia="Calibri" w:cs="Calibri"/>
                <w:sz w:val="20"/>
                <w:szCs w:val="20"/>
              </w:rPr>
              <w:t xml:space="preserve">Patients in </w:t>
            </w:r>
            <w:r>
              <w:rPr>
                <w:rFonts w:eastAsia="Calibri" w:cs="Calibri"/>
                <w:sz w:val="20"/>
                <w:szCs w:val="20"/>
              </w:rPr>
              <w:t>any wave of the</w:t>
            </w:r>
            <w:r w:rsidRPr="007C5B6B">
              <w:rPr>
                <w:rFonts w:eastAsia="Calibri" w:cs="Calibri"/>
                <w:sz w:val="20"/>
                <w:szCs w:val="20"/>
              </w:rPr>
              <w:t xml:space="preserve"> study</w:t>
            </w:r>
          </w:p>
        </w:tc>
        <w:tc>
          <w:tcPr>
            <w:tcW w:w="987" w:type="pct"/>
            <w:tcBorders>
              <w:top w:val="single" w:sz="4" w:space="0" w:color="auto"/>
              <w:left w:val="single" w:sz="4" w:space="0" w:color="auto"/>
              <w:bottom w:val="single" w:sz="4" w:space="0" w:color="auto"/>
              <w:right w:val="single" w:sz="4" w:space="0" w:color="auto"/>
            </w:tcBorders>
          </w:tcPr>
          <w:p w:rsidR="002F143B" w:rsidRDefault="002F143B" w:rsidP="00F17705">
            <w:pPr>
              <w:pStyle w:val="ListParagraph"/>
              <w:widowControl w:val="0"/>
              <w:numPr>
                <w:ilvl w:val="0"/>
                <w:numId w:val="17"/>
              </w:numPr>
              <w:autoSpaceDE w:val="0"/>
              <w:autoSpaceDN w:val="0"/>
              <w:adjustRightInd w:val="0"/>
              <w:spacing w:beforeLines="60" w:before="144" w:afterLines="60" w:after="144"/>
              <w:ind w:left="164" w:hanging="164"/>
              <w:rPr>
                <w:rFonts w:eastAsia="Calibri" w:cs="Calibri"/>
                <w:sz w:val="20"/>
                <w:szCs w:val="20"/>
              </w:rPr>
            </w:pPr>
            <w:r>
              <w:rPr>
                <w:rFonts w:eastAsia="Calibri" w:cs="Calibri"/>
                <w:sz w:val="20"/>
                <w:szCs w:val="20"/>
              </w:rPr>
              <w:t>≥ 75 years</w:t>
            </w:r>
          </w:p>
          <w:p w:rsidR="002F143B" w:rsidRPr="007C5B6B" w:rsidRDefault="002F143B" w:rsidP="00F17705">
            <w:pPr>
              <w:pStyle w:val="ListParagraph"/>
              <w:widowControl w:val="0"/>
              <w:numPr>
                <w:ilvl w:val="0"/>
                <w:numId w:val="17"/>
              </w:numPr>
              <w:autoSpaceDE w:val="0"/>
              <w:autoSpaceDN w:val="0"/>
              <w:adjustRightInd w:val="0"/>
              <w:spacing w:beforeLines="60" w:before="144" w:afterLines="60" w:after="144"/>
              <w:ind w:left="164" w:hanging="164"/>
              <w:rPr>
                <w:rFonts w:eastAsia="Calibri" w:cs="Calibri"/>
                <w:sz w:val="20"/>
                <w:szCs w:val="20"/>
              </w:rPr>
            </w:pPr>
            <w:r>
              <w:rPr>
                <w:rFonts w:eastAsia="Calibri" w:cs="Calibri"/>
                <w:sz w:val="20"/>
                <w:szCs w:val="20"/>
              </w:rPr>
              <w:t xml:space="preserve">Born after 1977 </w:t>
            </w:r>
          </w:p>
        </w:tc>
      </w:tr>
      <w:tr w:rsidR="002F143B" w:rsidRPr="001A3E21" w:rsidTr="00544C51">
        <w:trPr>
          <w:cantSplit/>
          <w:trHeight w:val="353"/>
        </w:trPr>
        <w:tc>
          <w:tcPr>
            <w:tcW w:w="705" w:type="pct"/>
            <w:tcBorders>
              <w:top w:val="single" w:sz="4" w:space="0" w:color="auto"/>
              <w:left w:val="single" w:sz="4" w:space="0" w:color="auto"/>
              <w:bottom w:val="single" w:sz="4" w:space="0" w:color="auto"/>
              <w:right w:val="single" w:sz="4" w:space="0" w:color="auto"/>
            </w:tcBorders>
          </w:tcPr>
          <w:p w:rsidR="002F143B" w:rsidRDefault="002F143B" w:rsidP="00544C51">
            <w:pPr>
              <w:widowControl w:val="0"/>
              <w:spacing w:beforeLines="60" w:before="144" w:afterLines="60" w:after="144"/>
              <w:contextualSpacing/>
              <w:rPr>
                <w:sz w:val="20"/>
                <w:szCs w:val="20"/>
              </w:rPr>
            </w:pPr>
            <w:r w:rsidRPr="003E055C">
              <w:rPr>
                <w:sz w:val="20"/>
                <w:szCs w:val="20"/>
              </w:rPr>
              <w:t xml:space="preserve">de Marco </w:t>
            </w:r>
            <w:r>
              <w:rPr>
                <w:sz w:val="20"/>
                <w:szCs w:val="20"/>
              </w:rPr>
              <w:t>(</w:t>
            </w:r>
            <w:r w:rsidRPr="003E055C">
              <w:rPr>
                <w:sz w:val="20"/>
                <w:szCs w:val="20"/>
              </w:rPr>
              <w:t>2014</w:t>
            </w:r>
            <w:r>
              <w:rPr>
                <w:sz w:val="20"/>
                <w:szCs w:val="20"/>
              </w:rPr>
              <w:t>)</w:t>
            </w:r>
          </w:p>
        </w:tc>
        <w:tc>
          <w:tcPr>
            <w:tcW w:w="865" w:type="pct"/>
            <w:tcBorders>
              <w:top w:val="single" w:sz="4" w:space="0" w:color="auto"/>
              <w:left w:val="single" w:sz="4" w:space="0" w:color="auto"/>
              <w:bottom w:val="single" w:sz="4" w:space="0" w:color="auto"/>
              <w:right w:val="single" w:sz="4" w:space="0" w:color="auto"/>
            </w:tcBorders>
          </w:tcPr>
          <w:p w:rsidR="002F143B" w:rsidRPr="001A3E21" w:rsidRDefault="002F143B" w:rsidP="00F17705">
            <w:pPr>
              <w:widowControl w:val="0"/>
              <w:autoSpaceDE w:val="0"/>
              <w:autoSpaceDN w:val="0"/>
              <w:adjustRightInd w:val="0"/>
              <w:spacing w:beforeLines="60" w:before="144" w:afterLines="60" w:after="144"/>
              <w:contextualSpacing/>
              <w:rPr>
                <w:rFonts w:eastAsia="Calibri" w:cs="Calibri"/>
                <w:sz w:val="20"/>
                <w:szCs w:val="20"/>
              </w:rPr>
            </w:pPr>
            <w:r w:rsidRPr="00531A17">
              <w:rPr>
                <w:rFonts w:eastAsia="Calibri" w:cs="Calibri"/>
                <w:sz w:val="20"/>
                <w:szCs w:val="20"/>
              </w:rPr>
              <w:t>Cross-sectional</w:t>
            </w:r>
          </w:p>
        </w:tc>
        <w:tc>
          <w:tcPr>
            <w:tcW w:w="1132" w:type="pct"/>
            <w:tcBorders>
              <w:top w:val="single" w:sz="4" w:space="0" w:color="auto"/>
              <w:left w:val="single" w:sz="4" w:space="0" w:color="auto"/>
              <w:bottom w:val="single" w:sz="4" w:space="0" w:color="auto"/>
              <w:right w:val="single" w:sz="4" w:space="0" w:color="auto"/>
            </w:tcBorders>
          </w:tcPr>
          <w:p w:rsidR="002F143B" w:rsidRPr="00FD32F4" w:rsidRDefault="002F143B" w:rsidP="00F17705">
            <w:pPr>
              <w:widowControl w:val="0"/>
              <w:autoSpaceDE w:val="0"/>
              <w:autoSpaceDN w:val="0"/>
              <w:adjustRightInd w:val="0"/>
              <w:spacing w:before="100" w:beforeAutospacing="1" w:after="100" w:afterAutospacing="1"/>
              <w:rPr>
                <w:rFonts w:eastAsia="Calibri" w:cs="Calibri"/>
                <w:sz w:val="20"/>
                <w:szCs w:val="20"/>
              </w:rPr>
            </w:pPr>
            <w:r w:rsidRPr="00FD32F4">
              <w:rPr>
                <w:rFonts w:eastAsia="Calibri" w:cs="Calibri"/>
                <w:sz w:val="20"/>
                <w:szCs w:val="20"/>
              </w:rPr>
              <w:t>Dermatology patients (consecutive)</w:t>
            </w:r>
          </w:p>
        </w:tc>
        <w:tc>
          <w:tcPr>
            <w:tcW w:w="1311" w:type="pct"/>
            <w:tcBorders>
              <w:top w:val="single" w:sz="4" w:space="0" w:color="auto"/>
              <w:left w:val="single" w:sz="4" w:space="0" w:color="auto"/>
              <w:bottom w:val="single" w:sz="4" w:space="0" w:color="auto"/>
              <w:right w:val="single" w:sz="4" w:space="0" w:color="auto"/>
            </w:tcBorders>
          </w:tcPr>
          <w:p w:rsidR="002F143B" w:rsidRDefault="002F143B" w:rsidP="00F17705">
            <w:pPr>
              <w:pStyle w:val="ListParagraph"/>
              <w:widowControl w:val="0"/>
              <w:numPr>
                <w:ilvl w:val="0"/>
                <w:numId w:val="16"/>
              </w:numPr>
              <w:autoSpaceDE w:val="0"/>
              <w:autoSpaceDN w:val="0"/>
              <w:adjustRightInd w:val="0"/>
              <w:ind w:left="118" w:hanging="118"/>
              <w:rPr>
                <w:rFonts w:eastAsia="Calibri" w:cs="Calibri"/>
                <w:sz w:val="20"/>
                <w:szCs w:val="20"/>
              </w:rPr>
            </w:pPr>
            <w:r>
              <w:rPr>
                <w:rFonts w:eastAsia="Calibri" w:cs="Calibri"/>
                <w:sz w:val="20"/>
                <w:szCs w:val="20"/>
              </w:rPr>
              <w:t>≥ 18 years</w:t>
            </w:r>
          </w:p>
          <w:p w:rsidR="002F143B" w:rsidRDefault="002F143B" w:rsidP="00F17705">
            <w:pPr>
              <w:pStyle w:val="ListParagraph"/>
              <w:widowControl w:val="0"/>
              <w:numPr>
                <w:ilvl w:val="0"/>
                <w:numId w:val="16"/>
              </w:numPr>
              <w:autoSpaceDE w:val="0"/>
              <w:autoSpaceDN w:val="0"/>
              <w:adjustRightInd w:val="0"/>
              <w:ind w:left="118" w:hanging="118"/>
              <w:rPr>
                <w:rFonts w:eastAsia="Calibri" w:cs="Calibri"/>
                <w:sz w:val="20"/>
                <w:szCs w:val="20"/>
              </w:rPr>
            </w:pPr>
            <w:r w:rsidRPr="00531A17">
              <w:rPr>
                <w:rFonts w:eastAsia="Calibri" w:cs="Calibri"/>
                <w:sz w:val="20"/>
                <w:szCs w:val="20"/>
              </w:rPr>
              <w:t>Psoriasis diagnosis</w:t>
            </w:r>
          </w:p>
          <w:p w:rsidR="002F143B" w:rsidRPr="00531A17" w:rsidRDefault="002F143B" w:rsidP="00F17705">
            <w:pPr>
              <w:pStyle w:val="ListParagraph"/>
              <w:widowControl w:val="0"/>
              <w:numPr>
                <w:ilvl w:val="0"/>
                <w:numId w:val="16"/>
              </w:numPr>
              <w:autoSpaceDE w:val="0"/>
              <w:autoSpaceDN w:val="0"/>
              <w:adjustRightInd w:val="0"/>
              <w:ind w:left="118" w:hanging="118"/>
              <w:rPr>
                <w:rFonts w:eastAsia="Calibri" w:cs="Calibri"/>
                <w:sz w:val="20"/>
                <w:szCs w:val="20"/>
              </w:rPr>
            </w:pPr>
            <w:r>
              <w:rPr>
                <w:rFonts w:eastAsia="Calibri" w:cs="Calibri"/>
                <w:sz w:val="20"/>
                <w:szCs w:val="20"/>
              </w:rPr>
              <w:t>Receiving treatment</w:t>
            </w:r>
          </w:p>
        </w:tc>
        <w:tc>
          <w:tcPr>
            <w:tcW w:w="987" w:type="pct"/>
            <w:tcBorders>
              <w:top w:val="single" w:sz="4" w:space="0" w:color="auto"/>
              <w:left w:val="single" w:sz="4" w:space="0" w:color="auto"/>
              <w:bottom w:val="single" w:sz="4" w:space="0" w:color="auto"/>
              <w:right w:val="single" w:sz="4" w:space="0" w:color="auto"/>
            </w:tcBorders>
          </w:tcPr>
          <w:p w:rsidR="002F143B" w:rsidRDefault="002F143B" w:rsidP="00F17705">
            <w:pPr>
              <w:pStyle w:val="ListParagraph"/>
              <w:widowControl w:val="0"/>
              <w:numPr>
                <w:ilvl w:val="0"/>
                <w:numId w:val="16"/>
              </w:numPr>
              <w:autoSpaceDE w:val="0"/>
              <w:autoSpaceDN w:val="0"/>
              <w:adjustRightInd w:val="0"/>
              <w:spacing w:beforeLines="60" w:before="144" w:afterLines="60" w:after="144"/>
              <w:ind w:left="164" w:hanging="164"/>
              <w:rPr>
                <w:rFonts w:eastAsia="Calibri" w:cs="Calibri"/>
                <w:sz w:val="20"/>
                <w:szCs w:val="20"/>
              </w:rPr>
            </w:pPr>
            <w:r>
              <w:rPr>
                <w:rFonts w:eastAsia="Calibri" w:cs="Calibri"/>
                <w:sz w:val="20"/>
                <w:szCs w:val="20"/>
              </w:rPr>
              <w:t>Other skin diseases</w:t>
            </w:r>
          </w:p>
          <w:p w:rsidR="002F143B" w:rsidRDefault="002F143B" w:rsidP="00F17705">
            <w:pPr>
              <w:pStyle w:val="ListParagraph"/>
              <w:widowControl w:val="0"/>
              <w:numPr>
                <w:ilvl w:val="0"/>
                <w:numId w:val="16"/>
              </w:numPr>
              <w:autoSpaceDE w:val="0"/>
              <w:autoSpaceDN w:val="0"/>
              <w:adjustRightInd w:val="0"/>
              <w:spacing w:beforeLines="60" w:before="144" w:afterLines="60" w:after="144"/>
              <w:ind w:left="164" w:hanging="164"/>
              <w:rPr>
                <w:rFonts w:eastAsia="Calibri" w:cs="Calibri"/>
                <w:sz w:val="20"/>
                <w:szCs w:val="20"/>
              </w:rPr>
            </w:pPr>
            <w:r>
              <w:rPr>
                <w:rFonts w:eastAsia="Calibri" w:cs="Calibri"/>
                <w:sz w:val="20"/>
                <w:szCs w:val="20"/>
              </w:rPr>
              <w:t>PsA diagnosis</w:t>
            </w:r>
          </w:p>
          <w:p w:rsidR="002F143B" w:rsidRPr="00531A17" w:rsidRDefault="002F143B" w:rsidP="00F17705">
            <w:pPr>
              <w:pStyle w:val="ListParagraph"/>
              <w:widowControl w:val="0"/>
              <w:numPr>
                <w:ilvl w:val="0"/>
                <w:numId w:val="16"/>
              </w:numPr>
              <w:autoSpaceDE w:val="0"/>
              <w:autoSpaceDN w:val="0"/>
              <w:adjustRightInd w:val="0"/>
              <w:spacing w:beforeLines="60" w:before="144" w:afterLines="60" w:after="144"/>
              <w:ind w:left="164" w:hanging="164"/>
              <w:rPr>
                <w:rFonts w:eastAsia="Calibri" w:cs="Calibri"/>
                <w:sz w:val="20"/>
                <w:szCs w:val="20"/>
              </w:rPr>
            </w:pPr>
            <w:r>
              <w:rPr>
                <w:rFonts w:eastAsia="Calibri" w:cs="Calibri"/>
                <w:sz w:val="20"/>
                <w:szCs w:val="20"/>
              </w:rPr>
              <w:t>Biologic use</w:t>
            </w:r>
          </w:p>
        </w:tc>
      </w:tr>
      <w:tr w:rsidR="002F143B" w:rsidRPr="001A3E21" w:rsidTr="00544C51">
        <w:tblPrEx>
          <w:tblLook w:val="0600" w:firstRow="0" w:lastRow="0" w:firstColumn="0" w:lastColumn="0" w:noHBand="1" w:noVBand="1"/>
        </w:tblPrEx>
        <w:trPr>
          <w:cantSplit/>
          <w:trHeight w:val="353"/>
        </w:trPr>
        <w:tc>
          <w:tcPr>
            <w:tcW w:w="705" w:type="pct"/>
            <w:tcBorders>
              <w:top w:val="single" w:sz="4" w:space="0" w:color="auto"/>
              <w:left w:val="single" w:sz="4" w:space="0" w:color="auto"/>
              <w:bottom w:val="single" w:sz="4" w:space="0" w:color="auto"/>
              <w:right w:val="single" w:sz="4" w:space="0" w:color="auto"/>
            </w:tcBorders>
          </w:tcPr>
          <w:p w:rsidR="002F143B" w:rsidRDefault="002F143B" w:rsidP="00544C51">
            <w:pPr>
              <w:widowControl w:val="0"/>
              <w:spacing w:beforeLines="60" w:before="144" w:afterLines="60" w:after="144"/>
              <w:contextualSpacing/>
              <w:rPr>
                <w:sz w:val="20"/>
                <w:szCs w:val="20"/>
              </w:rPr>
            </w:pPr>
            <w:r w:rsidRPr="003E055C">
              <w:rPr>
                <w:sz w:val="20"/>
                <w:szCs w:val="20"/>
              </w:rPr>
              <w:t xml:space="preserve">Dini </w:t>
            </w:r>
            <w:r>
              <w:rPr>
                <w:sz w:val="20"/>
                <w:szCs w:val="20"/>
              </w:rPr>
              <w:t>(</w:t>
            </w:r>
            <w:r w:rsidRPr="003E055C">
              <w:rPr>
                <w:sz w:val="20"/>
                <w:szCs w:val="20"/>
              </w:rPr>
              <w:t>2017</w:t>
            </w:r>
            <w:r>
              <w:rPr>
                <w:sz w:val="20"/>
                <w:szCs w:val="20"/>
              </w:rPr>
              <w:t>)</w:t>
            </w:r>
          </w:p>
          <w:p w:rsidR="002F143B" w:rsidRDefault="002F143B" w:rsidP="00544C51">
            <w:pPr>
              <w:widowControl w:val="0"/>
              <w:spacing w:beforeLines="60" w:before="144" w:afterLines="60" w:after="144"/>
              <w:contextualSpacing/>
              <w:rPr>
                <w:sz w:val="20"/>
                <w:szCs w:val="20"/>
              </w:rPr>
            </w:pPr>
            <w:r>
              <w:rPr>
                <w:sz w:val="20"/>
                <w:szCs w:val="20"/>
              </w:rPr>
              <w:t>(abstract)</w:t>
            </w:r>
          </w:p>
        </w:tc>
        <w:tc>
          <w:tcPr>
            <w:tcW w:w="865" w:type="pct"/>
            <w:tcBorders>
              <w:top w:val="single" w:sz="4" w:space="0" w:color="auto"/>
              <w:left w:val="single" w:sz="4" w:space="0" w:color="auto"/>
              <w:bottom w:val="single" w:sz="4" w:space="0" w:color="auto"/>
              <w:right w:val="single" w:sz="4" w:space="0" w:color="auto"/>
            </w:tcBorders>
          </w:tcPr>
          <w:p w:rsidR="002F143B" w:rsidRPr="001A3E21" w:rsidRDefault="002F143B" w:rsidP="00F17705">
            <w:pPr>
              <w:widowControl w:val="0"/>
              <w:autoSpaceDE w:val="0"/>
              <w:autoSpaceDN w:val="0"/>
              <w:adjustRightInd w:val="0"/>
              <w:spacing w:beforeLines="60" w:before="144" w:afterLines="60" w:after="144"/>
              <w:contextualSpacing/>
              <w:rPr>
                <w:rFonts w:eastAsia="Calibri" w:cs="Calibri"/>
                <w:sz w:val="20"/>
                <w:szCs w:val="20"/>
              </w:rPr>
            </w:pPr>
            <w:r>
              <w:rPr>
                <w:rFonts w:eastAsia="Calibri" w:cs="Calibri"/>
                <w:sz w:val="20"/>
                <w:szCs w:val="20"/>
              </w:rPr>
              <w:t>Cross-sectional</w:t>
            </w:r>
          </w:p>
        </w:tc>
        <w:tc>
          <w:tcPr>
            <w:tcW w:w="1132" w:type="pct"/>
            <w:tcBorders>
              <w:top w:val="single" w:sz="4" w:space="0" w:color="auto"/>
              <w:left w:val="single" w:sz="4" w:space="0" w:color="auto"/>
              <w:bottom w:val="single" w:sz="4" w:space="0" w:color="auto"/>
              <w:right w:val="single" w:sz="4" w:space="0" w:color="auto"/>
            </w:tcBorders>
          </w:tcPr>
          <w:p w:rsidR="002F143B" w:rsidRPr="00FD32F4" w:rsidRDefault="002F143B" w:rsidP="00F17705">
            <w:pPr>
              <w:widowControl w:val="0"/>
              <w:autoSpaceDE w:val="0"/>
              <w:autoSpaceDN w:val="0"/>
              <w:adjustRightInd w:val="0"/>
              <w:spacing w:before="100" w:beforeAutospacing="1" w:after="100" w:afterAutospacing="1"/>
              <w:rPr>
                <w:rFonts w:eastAsia="Calibri" w:cs="Calibri"/>
                <w:sz w:val="20"/>
                <w:szCs w:val="20"/>
              </w:rPr>
            </w:pPr>
            <w:r w:rsidRPr="00FD32F4">
              <w:rPr>
                <w:rFonts w:eastAsia="Calibri" w:cs="Calibri"/>
                <w:sz w:val="20"/>
                <w:szCs w:val="20"/>
              </w:rPr>
              <w:t>Dermatology patients (consecutive)</w:t>
            </w:r>
          </w:p>
        </w:tc>
        <w:tc>
          <w:tcPr>
            <w:tcW w:w="1311" w:type="pct"/>
            <w:tcBorders>
              <w:top w:val="single" w:sz="4" w:space="0" w:color="auto"/>
              <w:left w:val="single" w:sz="4" w:space="0" w:color="auto"/>
              <w:bottom w:val="single" w:sz="4" w:space="0" w:color="auto"/>
              <w:right w:val="single" w:sz="4" w:space="0" w:color="auto"/>
            </w:tcBorders>
          </w:tcPr>
          <w:p w:rsidR="002F143B" w:rsidRPr="00581656" w:rsidRDefault="002F143B" w:rsidP="00F17705">
            <w:pPr>
              <w:pStyle w:val="ListParagraph"/>
              <w:widowControl w:val="0"/>
              <w:numPr>
                <w:ilvl w:val="0"/>
                <w:numId w:val="18"/>
              </w:numPr>
              <w:autoSpaceDE w:val="0"/>
              <w:autoSpaceDN w:val="0"/>
              <w:adjustRightInd w:val="0"/>
              <w:ind w:left="118" w:hanging="141"/>
              <w:rPr>
                <w:rFonts w:eastAsia="Calibri" w:cs="Calibri"/>
                <w:sz w:val="20"/>
                <w:szCs w:val="20"/>
              </w:rPr>
            </w:pPr>
            <w:r w:rsidRPr="00531A17">
              <w:rPr>
                <w:rFonts w:eastAsia="Calibri" w:cs="Calibri"/>
                <w:sz w:val="20"/>
                <w:szCs w:val="20"/>
              </w:rPr>
              <w:t>Psoriasis diagnosis</w:t>
            </w:r>
          </w:p>
        </w:tc>
        <w:tc>
          <w:tcPr>
            <w:tcW w:w="987" w:type="pct"/>
            <w:tcBorders>
              <w:top w:val="single" w:sz="4" w:space="0" w:color="auto"/>
              <w:left w:val="single" w:sz="4" w:space="0" w:color="auto"/>
              <w:bottom w:val="single" w:sz="4" w:space="0" w:color="auto"/>
              <w:right w:val="single" w:sz="4" w:space="0" w:color="auto"/>
            </w:tcBorders>
          </w:tcPr>
          <w:p w:rsidR="002F143B" w:rsidRPr="001A3E21" w:rsidRDefault="00656064" w:rsidP="00544C51">
            <w:pPr>
              <w:widowControl w:val="0"/>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w:t>
            </w:r>
          </w:p>
        </w:tc>
      </w:tr>
      <w:tr w:rsidR="002F143B" w:rsidRPr="001A3E21" w:rsidTr="00544C51">
        <w:tblPrEx>
          <w:tblLook w:val="0600" w:firstRow="0" w:lastRow="0" w:firstColumn="0" w:lastColumn="0" w:noHBand="1" w:noVBand="1"/>
        </w:tblPrEx>
        <w:trPr>
          <w:trHeight w:val="353"/>
        </w:trPr>
        <w:tc>
          <w:tcPr>
            <w:tcW w:w="705" w:type="pct"/>
            <w:tcBorders>
              <w:top w:val="single" w:sz="4" w:space="0" w:color="auto"/>
              <w:left w:val="single" w:sz="4" w:space="0" w:color="auto"/>
              <w:bottom w:val="single" w:sz="4" w:space="0" w:color="auto"/>
              <w:right w:val="single" w:sz="4" w:space="0" w:color="auto"/>
            </w:tcBorders>
          </w:tcPr>
          <w:p w:rsidR="002F143B" w:rsidRDefault="002F143B" w:rsidP="00544C51">
            <w:pPr>
              <w:widowControl w:val="0"/>
              <w:spacing w:beforeLines="60" w:before="144" w:afterLines="60" w:after="144"/>
              <w:contextualSpacing/>
              <w:rPr>
                <w:sz w:val="20"/>
                <w:szCs w:val="20"/>
              </w:rPr>
            </w:pPr>
            <w:r w:rsidRPr="008C324D">
              <w:rPr>
                <w:sz w:val="20"/>
                <w:szCs w:val="20"/>
              </w:rPr>
              <w:t xml:space="preserve">Eder </w:t>
            </w:r>
            <w:r>
              <w:rPr>
                <w:sz w:val="20"/>
                <w:szCs w:val="20"/>
              </w:rPr>
              <w:t>(</w:t>
            </w:r>
            <w:r w:rsidRPr="008C324D">
              <w:rPr>
                <w:sz w:val="20"/>
                <w:szCs w:val="20"/>
              </w:rPr>
              <w:t>2016</w:t>
            </w:r>
            <w:r>
              <w:rPr>
                <w:sz w:val="20"/>
                <w:szCs w:val="20"/>
              </w:rPr>
              <w:t>)</w:t>
            </w:r>
          </w:p>
        </w:tc>
        <w:tc>
          <w:tcPr>
            <w:tcW w:w="865" w:type="pct"/>
            <w:tcBorders>
              <w:top w:val="single" w:sz="4" w:space="0" w:color="auto"/>
              <w:left w:val="single" w:sz="4" w:space="0" w:color="auto"/>
              <w:bottom w:val="single" w:sz="4" w:space="0" w:color="auto"/>
              <w:right w:val="single" w:sz="4" w:space="0" w:color="auto"/>
            </w:tcBorders>
          </w:tcPr>
          <w:p w:rsidR="002F143B" w:rsidRPr="001A3E21" w:rsidRDefault="002F143B" w:rsidP="00F17705">
            <w:pPr>
              <w:widowControl w:val="0"/>
              <w:autoSpaceDE w:val="0"/>
              <w:autoSpaceDN w:val="0"/>
              <w:adjustRightInd w:val="0"/>
              <w:spacing w:beforeLines="60" w:before="144" w:afterLines="60" w:after="144"/>
              <w:contextualSpacing/>
              <w:rPr>
                <w:rFonts w:eastAsia="Calibri" w:cs="Calibri"/>
                <w:sz w:val="20"/>
                <w:szCs w:val="20"/>
              </w:rPr>
            </w:pPr>
            <w:r>
              <w:rPr>
                <w:rFonts w:eastAsia="Calibri" w:cs="Calibri"/>
                <w:sz w:val="20"/>
                <w:szCs w:val="20"/>
              </w:rPr>
              <w:t>Cohort study</w:t>
            </w:r>
          </w:p>
        </w:tc>
        <w:tc>
          <w:tcPr>
            <w:tcW w:w="1132" w:type="pct"/>
            <w:tcBorders>
              <w:top w:val="single" w:sz="4" w:space="0" w:color="auto"/>
              <w:left w:val="single" w:sz="4" w:space="0" w:color="auto"/>
              <w:bottom w:val="single" w:sz="4" w:space="0" w:color="auto"/>
              <w:right w:val="single" w:sz="4" w:space="0" w:color="auto"/>
            </w:tcBorders>
          </w:tcPr>
          <w:p w:rsidR="002F143B" w:rsidRPr="00FD32F4" w:rsidRDefault="002F143B" w:rsidP="00F17705">
            <w:pPr>
              <w:widowControl w:val="0"/>
              <w:autoSpaceDE w:val="0"/>
              <w:autoSpaceDN w:val="0"/>
              <w:adjustRightInd w:val="0"/>
              <w:spacing w:before="100" w:beforeAutospacing="1" w:after="100" w:afterAutospacing="1"/>
              <w:rPr>
                <w:rFonts w:eastAsia="Calibri" w:cs="Calibri"/>
                <w:sz w:val="20"/>
                <w:szCs w:val="20"/>
              </w:rPr>
            </w:pPr>
            <w:r w:rsidRPr="00FD32F4">
              <w:rPr>
                <w:rFonts w:eastAsia="Calibri" w:cs="Calibri"/>
                <w:sz w:val="20"/>
                <w:szCs w:val="20"/>
              </w:rPr>
              <w:t>Dermatology clinics and phototherapy centres</w:t>
            </w:r>
          </w:p>
        </w:tc>
        <w:tc>
          <w:tcPr>
            <w:tcW w:w="1311" w:type="pct"/>
            <w:tcBorders>
              <w:top w:val="single" w:sz="4" w:space="0" w:color="auto"/>
              <w:left w:val="single" w:sz="4" w:space="0" w:color="auto"/>
              <w:bottom w:val="single" w:sz="4" w:space="0" w:color="auto"/>
              <w:right w:val="single" w:sz="4" w:space="0" w:color="auto"/>
            </w:tcBorders>
          </w:tcPr>
          <w:p w:rsidR="002F143B" w:rsidRPr="009D4672" w:rsidRDefault="002F143B" w:rsidP="00F17705">
            <w:pPr>
              <w:pStyle w:val="ListParagraph"/>
              <w:widowControl w:val="0"/>
              <w:numPr>
                <w:ilvl w:val="0"/>
                <w:numId w:val="18"/>
              </w:numPr>
              <w:autoSpaceDE w:val="0"/>
              <w:autoSpaceDN w:val="0"/>
              <w:adjustRightInd w:val="0"/>
              <w:ind w:left="118" w:hanging="118"/>
              <w:rPr>
                <w:rFonts w:eastAsia="Calibri" w:cs="Calibri"/>
                <w:sz w:val="20"/>
                <w:szCs w:val="20"/>
              </w:rPr>
            </w:pPr>
            <w:r>
              <w:rPr>
                <w:rFonts w:eastAsia="Calibri" w:cs="Calibri"/>
                <w:sz w:val="20"/>
                <w:szCs w:val="20"/>
              </w:rPr>
              <w:t>Psoriasis (dermatologist confirmed)</w:t>
            </w:r>
          </w:p>
        </w:tc>
        <w:tc>
          <w:tcPr>
            <w:tcW w:w="987" w:type="pct"/>
            <w:tcBorders>
              <w:top w:val="single" w:sz="4" w:space="0" w:color="auto"/>
              <w:left w:val="single" w:sz="4" w:space="0" w:color="auto"/>
              <w:bottom w:val="single" w:sz="4" w:space="0" w:color="auto"/>
              <w:right w:val="single" w:sz="4" w:space="0" w:color="auto"/>
            </w:tcBorders>
          </w:tcPr>
          <w:p w:rsidR="002F143B" w:rsidRPr="009D4672" w:rsidRDefault="002F143B" w:rsidP="00F17705">
            <w:pPr>
              <w:pStyle w:val="ListParagraph"/>
              <w:widowControl w:val="0"/>
              <w:numPr>
                <w:ilvl w:val="0"/>
                <w:numId w:val="18"/>
              </w:numPr>
              <w:autoSpaceDE w:val="0"/>
              <w:autoSpaceDN w:val="0"/>
              <w:adjustRightInd w:val="0"/>
              <w:spacing w:beforeLines="60" w:before="144" w:afterLines="60" w:after="144"/>
              <w:ind w:left="164" w:hanging="164"/>
              <w:rPr>
                <w:rFonts w:eastAsia="Calibri" w:cs="Calibri"/>
                <w:sz w:val="20"/>
                <w:szCs w:val="20"/>
              </w:rPr>
            </w:pPr>
            <w:r>
              <w:rPr>
                <w:rFonts w:eastAsia="Calibri" w:cs="Calibri"/>
                <w:sz w:val="20"/>
                <w:szCs w:val="20"/>
              </w:rPr>
              <w:t>Inflammatory arthritis or SpA</w:t>
            </w:r>
          </w:p>
        </w:tc>
      </w:tr>
      <w:tr w:rsidR="002F143B" w:rsidRPr="001A3E21" w:rsidTr="00544C51">
        <w:tblPrEx>
          <w:tblLook w:val="0600" w:firstRow="0" w:lastRow="0" w:firstColumn="0" w:lastColumn="0" w:noHBand="1" w:noVBand="1"/>
        </w:tblPrEx>
        <w:trPr>
          <w:trHeight w:val="353"/>
        </w:trPr>
        <w:tc>
          <w:tcPr>
            <w:tcW w:w="705" w:type="pct"/>
            <w:tcBorders>
              <w:top w:val="single" w:sz="4" w:space="0" w:color="auto"/>
              <w:left w:val="single" w:sz="4" w:space="0" w:color="auto"/>
              <w:bottom w:val="single" w:sz="4" w:space="0" w:color="auto"/>
              <w:right w:val="single" w:sz="4" w:space="0" w:color="auto"/>
            </w:tcBorders>
          </w:tcPr>
          <w:p w:rsidR="002F143B" w:rsidRPr="008C324D" w:rsidRDefault="002F143B" w:rsidP="00544C51">
            <w:pPr>
              <w:widowControl w:val="0"/>
              <w:spacing w:beforeLines="60" w:before="144" w:afterLines="60" w:after="144"/>
              <w:contextualSpacing/>
              <w:rPr>
                <w:sz w:val="20"/>
                <w:szCs w:val="20"/>
              </w:rPr>
            </w:pPr>
            <w:r w:rsidRPr="003E055C">
              <w:rPr>
                <w:sz w:val="20"/>
                <w:szCs w:val="20"/>
              </w:rPr>
              <w:t xml:space="preserve">Edson-Heredia </w:t>
            </w:r>
            <w:r>
              <w:rPr>
                <w:sz w:val="20"/>
                <w:szCs w:val="20"/>
              </w:rPr>
              <w:t>(</w:t>
            </w:r>
            <w:r w:rsidRPr="003E055C">
              <w:rPr>
                <w:sz w:val="20"/>
                <w:szCs w:val="20"/>
              </w:rPr>
              <w:t>2015</w:t>
            </w:r>
            <w:r>
              <w:rPr>
                <w:sz w:val="20"/>
                <w:szCs w:val="20"/>
              </w:rPr>
              <w:t>)</w:t>
            </w:r>
          </w:p>
        </w:tc>
        <w:tc>
          <w:tcPr>
            <w:tcW w:w="865" w:type="pct"/>
            <w:tcBorders>
              <w:top w:val="single" w:sz="4" w:space="0" w:color="auto"/>
              <w:left w:val="single" w:sz="4" w:space="0" w:color="auto"/>
              <w:bottom w:val="single" w:sz="4" w:space="0" w:color="auto"/>
              <w:right w:val="single" w:sz="4" w:space="0" w:color="auto"/>
            </w:tcBorders>
          </w:tcPr>
          <w:p w:rsidR="002F143B" w:rsidRPr="00BB0AC0" w:rsidRDefault="002F143B" w:rsidP="00F17705">
            <w:pPr>
              <w:widowControl w:val="0"/>
              <w:autoSpaceDE w:val="0"/>
              <w:autoSpaceDN w:val="0"/>
              <w:adjustRightInd w:val="0"/>
              <w:spacing w:beforeLines="60" w:before="144" w:afterLines="60" w:after="144"/>
              <w:rPr>
                <w:rFonts w:eastAsia="Calibri" w:cs="Calibri"/>
                <w:sz w:val="20"/>
                <w:szCs w:val="20"/>
              </w:rPr>
            </w:pPr>
            <w:r>
              <w:rPr>
                <w:rFonts w:eastAsia="Calibri" w:cs="Calibri"/>
                <w:sz w:val="20"/>
                <w:szCs w:val="20"/>
              </w:rPr>
              <w:t>Cross-sectional</w:t>
            </w:r>
          </w:p>
        </w:tc>
        <w:tc>
          <w:tcPr>
            <w:tcW w:w="1132" w:type="pct"/>
            <w:tcBorders>
              <w:top w:val="single" w:sz="4" w:space="0" w:color="auto"/>
              <w:left w:val="single" w:sz="4" w:space="0" w:color="auto"/>
              <w:bottom w:val="single" w:sz="4" w:space="0" w:color="auto"/>
              <w:right w:val="single" w:sz="4" w:space="0" w:color="auto"/>
            </w:tcBorders>
          </w:tcPr>
          <w:p w:rsidR="002F143B" w:rsidRPr="00FD32F4" w:rsidRDefault="002F143B" w:rsidP="00F17705">
            <w:pPr>
              <w:widowControl w:val="0"/>
              <w:autoSpaceDE w:val="0"/>
              <w:autoSpaceDN w:val="0"/>
              <w:adjustRightInd w:val="0"/>
              <w:spacing w:before="100" w:beforeAutospacing="1" w:after="100" w:afterAutospacing="1"/>
              <w:rPr>
                <w:rFonts w:eastAsia="Calibri" w:cs="Calibri"/>
                <w:sz w:val="20"/>
                <w:szCs w:val="20"/>
              </w:rPr>
            </w:pPr>
            <w:r w:rsidRPr="00FD32F4">
              <w:rPr>
                <w:rFonts w:eastAsia="Calibri" w:cs="Calibri"/>
                <w:sz w:val="20"/>
                <w:szCs w:val="20"/>
              </w:rPr>
              <w:t>US National Psoriasis Foundation panel (random selection)</w:t>
            </w:r>
          </w:p>
        </w:tc>
        <w:tc>
          <w:tcPr>
            <w:tcW w:w="1311" w:type="pct"/>
            <w:tcBorders>
              <w:top w:val="single" w:sz="4" w:space="0" w:color="auto"/>
              <w:left w:val="single" w:sz="4" w:space="0" w:color="auto"/>
              <w:bottom w:val="single" w:sz="4" w:space="0" w:color="auto"/>
              <w:right w:val="single" w:sz="4" w:space="0" w:color="auto"/>
            </w:tcBorders>
          </w:tcPr>
          <w:p w:rsidR="002F143B" w:rsidRDefault="002F143B" w:rsidP="00F17705">
            <w:pPr>
              <w:pStyle w:val="ListParagraph"/>
              <w:widowControl w:val="0"/>
              <w:numPr>
                <w:ilvl w:val="0"/>
                <w:numId w:val="16"/>
              </w:numPr>
              <w:autoSpaceDE w:val="0"/>
              <w:autoSpaceDN w:val="0"/>
              <w:adjustRightInd w:val="0"/>
              <w:ind w:left="118" w:hanging="118"/>
              <w:rPr>
                <w:rFonts w:eastAsia="Calibri" w:cs="Calibri"/>
                <w:sz w:val="20"/>
                <w:szCs w:val="20"/>
              </w:rPr>
            </w:pPr>
            <w:r>
              <w:rPr>
                <w:rFonts w:eastAsia="Calibri" w:cs="Calibri"/>
                <w:sz w:val="20"/>
                <w:szCs w:val="20"/>
              </w:rPr>
              <w:t>≥ 18 years</w:t>
            </w:r>
          </w:p>
          <w:p w:rsidR="002F143B" w:rsidRPr="00BB0AC0" w:rsidRDefault="002F143B" w:rsidP="00F17705">
            <w:pPr>
              <w:pStyle w:val="ListParagraph"/>
              <w:widowControl w:val="0"/>
              <w:numPr>
                <w:ilvl w:val="0"/>
                <w:numId w:val="16"/>
              </w:numPr>
              <w:autoSpaceDE w:val="0"/>
              <w:autoSpaceDN w:val="0"/>
              <w:adjustRightInd w:val="0"/>
              <w:ind w:left="118" w:hanging="118"/>
              <w:rPr>
                <w:rFonts w:eastAsia="Calibri" w:cs="Calibri"/>
                <w:sz w:val="20"/>
                <w:szCs w:val="20"/>
              </w:rPr>
            </w:pPr>
            <w:r>
              <w:rPr>
                <w:rFonts w:eastAsia="Calibri" w:cs="Calibri"/>
                <w:sz w:val="20"/>
                <w:szCs w:val="20"/>
              </w:rPr>
              <w:t>Psoriasis diagnosis</w:t>
            </w:r>
          </w:p>
        </w:tc>
        <w:tc>
          <w:tcPr>
            <w:tcW w:w="987" w:type="pct"/>
            <w:tcBorders>
              <w:top w:val="single" w:sz="4" w:space="0" w:color="auto"/>
              <w:left w:val="single" w:sz="4" w:space="0" w:color="auto"/>
              <w:bottom w:val="single" w:sz="4" w:space="0" w:color="auto"/>
              <w:right w:val="single" w:sz="4" w:space="0" w:color="auto"/>
            </w:tcBorders>
            <w:vAlign w:val="center"/>
          </w:tcPr>
          <w:p w:rsidR="002F143B" w:rsidRPr="001A3E21" w:rsidRDefault="002F143B" w:rsidP="00F17705">
            <w:pPr>
              <w:widowControl w:val="0"/>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w:t>
            </w:r>
          </w:p>
        </w:tc>
      </w:tr>
      <w:tr w:rsidR="002F143B" w:rsidRPr="001A3E21" w:rsidTr="00544C51">
        <w:tblPrEx>
          <w:tblLook w:val="0600" w:firstRow="0" w:lastRow="0" w:firstColumn="0" w:lastColumn="0" w:noHBand="1" w:noVBand="1"/>
        </w:tblPrEx>
        <w:trPr>
          <w:trHeight w:val="662"/>
        </w:trPr>
        <w:tc>
          <w:tcPr>
            <w:tcW w:w="705" w:type="pct"/>
            <w:tcBorders>
              <w:top w:val="single" w:sz="4" w:space="0" w:color="auto"/>
              <w:left w:val="single" w:sz="4" w:space="0" w:color="auto"/>
              <w:bottom w:val="single" w:sz="4" w:space="0" w:color="auto"/>
              <w:right w:val="single" w:sz="4" w:space="0" w:color="auto"/>
            </w:tcBorders>
          </w:tcPr>
          <w:p w:rsidR="002F143B" w:rsidRDefault="002F143B" w:rsidP="00544C51">
            <w:pPr>
              <w:widowControl w:val="0"/>
              <w:spacing w:beforeLines="60" w:before="144" w:afterLines="60" w:after="144"/>
              <w:contextualSpacing/>
              <w:rPr>
                <w:sz w:val="20"/>
                <w:szCs w:val="20"/>
              </w:rPr>
            </w:pPr>
            <w:r w:rsidRPr="003E055C">
              <w:rPr>
                <w:sz w:val="20"/>
                <w:szCs w:val="20"/>
              </w:rPr>
              <w:t xml:space="preserve">Hoff </w:t>
            </w:r>
            <w:r>
              <w:rPr>
                <w:sz w:val="20"/>
                <w:szCs w:val="20"/>
              </w:rPr>
              <w:t>(</w:t>
            </w:r>
            <w:r w:rsidRPr="003E055C">
              <w:rPr>
                <w:sz w:val="20"/>
                <w:szCs w:val="20"/>
              </w:rPr>
              <w:t>2015</w:t>
            </w:r>
            <w:r>
              <w:rPr>
                <w:sz w:val="20"/>
                <w:szCs w:val="20"/>
              </w:rPr>
              <w:t>)</w:t>
            </w:r>
          </w:p>
        </w:tc>
        <w:tc>
          <w:tcPr>
            <w:tcW w:w="865" w:type="pct"/>
            <w:tcBorders>
              <w:top w:val="single" w:sz="4" w:space="0" w:color="auto"/>
              <w:left w:val="single" w:sz="4" w:space="0" w:color="auto"/>
              <w:bottom w:val="single" w:sz="4" w:space="0" w:color="auto"/>
              <w:right w:val="single" w:sz="4" w:space="0" w:color="auto"/>
            </w:tcBorders>
          </w:tcPr>
          <w:p w:rsidR="002F143B" w:rsidRPr="001A3E21" w:rsidRDefault="002F143B" w:rsidP="00F17705">
            <w:pPr>
              <w:widowControl w:val="0"/>
              <w:autoSpaceDE w:val="0"/>
              <w:autoSpaceDN w:val="0"/>
              <w:adjustRightInd w:val="0"/>
              <w:spacing w:beforeLines="60" w:before="144" w:afterLines="60" w:after="144"/>
              <w:contextualSpacing/>
              <w:rPr>
                <w:rFonts w:eastAsia="Calibri" w:cs="Calibri"/>
                <w:sz w:val="20"/>
                <w:szCs w:val="20"/>
              </w:rPr>
            </w:pPr>
            <w:r>
              <w:rPr>
                <w:rFonts w:eastAsia="Calibri" w:cs="Calibri"/>
                <w:sz w:val="20"/>
                <w:szCs w:val="20"/>
              </w:rPr>
              <w:t>Cross-sectional, population-based</w:t>
            </w:r>
          </w:p>
        </w:tc>
        <w:tc>
          <w:tcPr>
            <w:tcW w:w="1132" w:type="pct"/>
            <w:tcBorders>
              <w:top w:val="single" w:sz="4" w:space="0" w:color="auto"/>
              <w:left w:val="single" w:sz="4" w:space="0" w:color="auto"/>
              <w:bottom w:val="single" w:sz="4" w:space="0" w:color="auto"/>
              <w:right w:val="single" w:sz="4" w:space="0" w:color="auto"/>
            </w:tcBorders>
          </w:tcPr>
          <w:p w:rsidR="002F143B" w:rsidRPr="00FD32F4" w:rsidRDefault="002F143B" w:rsidP="00F17705">
            <w:pPr>
              <w:widowControl w:val="0"/>
              <w:autoSpaceDE w:val="0"/>
              <w:autoSpaceDN w:val="0"/>
              <w:adjustRightInd w:val="0"/>
              <w:spacing w:before="100" w:beforeAutospacing="1" w:after="100" w:afterAutospacing="1"/>
              <w:rPr>
                <w:rFonts w:eastAsia="Calibri" w:cs="Calibri"/>
                <w:sz w:val="20"/>
                <w:szCs w:val="20"/>
              </w:rPr>
            </w:pPr>
            <w:r w:rsidRPr="00FD32F4">
              <w:rPr>
                <w:rFonts w:eastAsia="Calibri" w:cs="Calibri"/>
                <w:sz w:val="20"/>
                <w:szCs w:val="20"/>
              </w:rPr>
              <w:t>Adult population (all)</w:t>
            </w:r>
          </w:p>
        </w:tc>
        <w:tc>
          <w:tcPr>
            <w:tcW w:w="1311" w:type="pct"/>
            <w:tcBorders>
              <w:top w:val="single" w:sz="4" w:space="0" w:color="auto"/>
              <w:left w:val="single" w:sz="4" w:space="0" w:color="auto"/>
              <w:bottom w:val="single" w:sz="4" w:space="0" w:color="auto"/>
              <w:right w:val="single" w:sz="4" w:space="0" w:color="auto"/>
            </w:tcBorders>
            <w:vAlign w:val="center"/>
          </w:tcPr>
          <w:p w:rsidR="002F143B" w:rsidRPr="00C34CD2" w:rsidRDefault="002F143B" w:rsidP="00F17705">
            <w:pPr>
              <w:pStyle w:val="ListParagraph"/>
              <w:widowControl w:val="0"/>
              <w:autoSpaceDE w:val="0"/>
              <w:autoSpaceDN w:val="0"/>
              <w:adjustRightInd w:val="0"/>
              <w:ind w:left="118"/>
              <w:jc w:val="center"/>
              <w:rPr>
                <w:rFonts w:eastAsia="Calibri" w:cs="Calibri"/>
                <w:sz w:val="20"/>
                <w:szCs w:val="20"/>
              </w:rPr>
            </w:pPr>
            <w:r>
              <w:rPr>
                <w:rFonts w:eastAsia="Calibri" w:cs="Calibri"/>
                <w:sz w:val="20"/>
                <w:szCs w:val="20"/>
              </w:rPr>
              <w:t>-</w:t>
            </w:r>
          </w:p>
        </w:tc>
        <w:tc>
          <w:tcPr>
            <w:tcW w:w="987" w:type="pct"/>
            <w:tcBorders>
              <w:top w:val="single" w:sz="4" w:space="0" w:color="auto"/>
              <w:left w:val="single" w:sz="4" w:space="0" w:color="auto"/>
              <w:bottom w:val="single" w:sz="4" w:space="0" w:color="auto"/>
              <w:right w:val="single" w:sz="4" w:space="0" w:color="auto"/>
            </w:tcBorders>
            <w:vAlign w:val="center"/>
          </w:tcPr>
          <w:p w:rsidR="002F143B" w:rsidRPr="001A3E21" w:rsidRDefault="002F143B" w:rsidP="00F17705">
            <w:pPr>
              <w:widowControl w:val="0"/>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w:t>
            </w:r>
          </w:p>
        </w:tc>
      </w:tr>
      <w:tr w:rsidR="002F143B" w:rsidRPr="001A3E21" w:rsidTr="00544C51">
        <w:tblPrEx>
          <w:tblLook w:val="0600" w:firstRow="0" w:lastRow="0" w:firstColumn="0" w:lastColumn="0" w:noHBand="1" w:noVBand="1"/>
        </w:tblPrEx>
        <w:trPr>
          <w:trHeight w:val="353"/>
        </w:trPr>
        <w:tc>
          <w:tcPr>
            <w:tcW w:w="705" w:type="pct"/>
            <w:tcBorders>
              <w:top w:val="single" w:sz="4" w:space="0" w:color="auto"/>
              <w:left w:val="single" w:sz="4" w:space="0" w:color="auto"/>
              <w:bottom w:val="single" w:sz="4" w:space="0" w:color="auto"/>
              <w:right w:val="single" w:sz="4" w:space="0" w:color="auto"/>
            </w:tcBorders>
          </w:tcPr>
          <w:p w:rsidR="002F143B" w:rsidRPr="00CF00E1" w:rsidRDefault="002F143B" w:rsidP="00544C51">
            <w:pPr>
              <w:widowControl w:val="0"/>
              <w:spacing w:beforeLines="60" w:before="144" w:afterLines="60" w:after="144"/>
              <w:contextualSpacing/>
              <w:rPr>
                <w:sz w:val="20"/>
                <w:szCs w:val="20"/>
              </w:rPr>
            </w:pPr>
            <w:r>
              <w:rPr>
                <w:sz w:val="20"/>
                <w:szCs w:val="20"/>
              </w:rPr>
              <w:t xml:space="preserve">Huerta </w:t>
            </w:r>
            <w:r>
              <w:rPr>
                <w:i/>
                <w:sz w:val="20"/>
                <w:szCs w:val="20"/>
              </w:rPr>
              <w:t xml:space="preserve"> </w:t>
            </w:r>
            <w:r>
              <w:rPr>
                <w:sz w:val="20"/>
                <w:szCs w:val="20"/>
              </w:rPr>
              <w:t>(2007)</w:t>
            </w:r>
          </w:p>
        </w:tc>
        <w:tc>
          <w:tcPr>
            <w:tcW w:w="865" w:type="pct"/>
            <w:tcBorders>
              <w:top w:val="single" w:sz="4" w:space="0" w:color="auto"/>
              <w:left w:val="single" w:sz="4" w:space="0" w:color="auto"/>
              <w:bottom w:val="single" w:sz="4" w:space="0" w:color="auto"/>
              <w:right w:val="single" w:sz="4" w:space="0" w:color="auto"/>
            </w:tcBorders>
          </w:tcPr>
          <w:p w:rsidR="002F143B" w:rsidRPr="001A3E21" w:rsidRDefault="002F143B" w:rsidP="00F17705">
            <w:pPr>
              <w:widowControl w:val="0"/>
              <w:autoSpaceDE w:val="0"/>
              <w:autoSpaceDN w:val="0"/>
              <w:adjustRightInd w:val="0"/>
              <w:spacing w:beforeLines="60" w:before="144" w:afterLines="60" w:after="144"/>
              <w:contextualSpacing/>
              <w:rPr>
                <w:rFonts w:eastAsia="Calibri" w:cs="Calibri"/>
                <w:sz w:val="20"/>
                <w:szCs w:val="20"/>
              </w:rPr>
            </w:pPr>
            <w:r>
              <w:rPr>
                <w:rFonts w:eastAsia="Calibri" w:cs="Calibri"/>
                <w:sz w:val="20"/>
                <w:szCs w:val="20"/>
              </w:rPr>
              <w:t>Cohort study (database)</w:t>
            </w:r>
          </w:p>
        </w:tc>
        <w:tc>
          <w:tcPr>
            <w:tcW w:w="1132" w:type="pct"/>
            <w:tcBorders>
              <w:top w:val="single" w:sz="4" w:space="0" w:color="auto"/>
              <w:left w:val="single" w:sz="4" w:space="0" w:color="auto"/>
              <w:bottom w:val="single" w:sz="4" w:space="0" w:color="auto"/>
              <w:right w:val="single" w:sz="4" w:space="0" w:color="auto"/>
            </w:tcBorders>
          </w:tcPr>
          <w:p w:rsidR="002F143B" w:rsidRDefault="002F143B" w:rsidP="00F17705">
            <w:pPr>
              <w:pStyle w:val="ListParagraph"/>
              <w:widowControl w:val="0"/>
              <w:numPr>
                <w:ilvl w:val="0"/>
                <w:numId w:val="19"/>
              </w:numPr>
              <w:autoSpaceDE w:val="0"/>
              <w:autoSpaceDN w:val="0"/>
              <w:adjustRightInd w:val="0"/>
              <w:spacing w:before="100" w:beforeAutospacing="1" w:after="100" w:afterAutospacing="1"/>
              <w:ind w:left="175" w:hanging="175"/>
              <w:rPr>
                <w:rFonts w:eastAsia="Calibri" w:cs="Calibri"/>
                <w:sz w:val="20"/>
                <w:szCs w:val="20"/>
              </w:rPr>
            </w:pPr>
            <w:r>
              <w:rPr>
                <w:rFonts w:eastAsia="Calibri" w:cs="Calibri"/>
                <w:sz w:val="20"/>
                <w:szCs w:val="20"/>
              </w:rPr>
              <w:t>Included in general practice database</w:t>
            </w:r>
          </w:p>
          <w:p w:rsidR="002F143B" w:rsidRDefault="002F143B" w:rsidP="00F17705">
            <w:pPr>
              <w:pStyle w:val="ListParagraph"/>
              <w:widowControl w:val="0"/>
              <w:numPr>
                <w:ilvl w:val="0"/>
                <w:numId w:val="19"/>
              </w:numPr>
              <w:autoSpaceDE w:val="0"/>
              <w:autoSpaceDN w:val="0"/>
              <w:adjustRightInd w:val="0"/>
              <w:spacing w:before="100" w:beforeAutospacing="1" w:after="100" w:afterAutospacing="1"/>
              <w:ind w:left="175" w:hanging="175"/>
              <w:rPr>
                <w:rFonts w:eastAsia="Calibri" w:cs="Calibri"/>
                <w:sz w:val="20"/>
                <w:szCs w:val="20"/>
              </w:rPr>
            </w:pPr>
            <w:r>
              <w:rPr>
                <w:rFonts w:eastAsia="Calibri" w:cs="Calibri"/>
                <w:sz w:val="20"/>
                <w:szCs w:val="20"/>
              </w:rPr>
              <w:t>Enrolled with GP for ≥ 2 yrs</w:t>
            </w:r>
          </w:p>
          <w:p w:rsidR="002F143B" w:rsidRPr="00070DA9" w:rsidRDefault="002F143B" w:rsidP="00F17705">
            <w:pPr>
              <w:pStyle w:val="ListParagraph"/>
              <w:widowControl w:val="0"/>
              <w:numPr>
                <w:ilvl w:val="0"/>
                <w:numId w:val="19"/>
              </w:numPr>
              <w:autoSpaceDE w:val="0"/>
              <w:autoSpaceDN w:val="0"/>
              <w:adjustRightInd w:val="0"/>
              <w:spacing w:before="100" w:beforeAutospacing="1" w:after="100" w:afterAutospacing="1"/>
              <w:ind w:left="175" w:hanging="175"/>
              <w:rPr>
                <w:rFonts w:eastAsia="Calibri" w:cs="Calibri"/>
                <w:sz w:val="20"/>
                <w:szCs w:val="20"/>
              </w:rPr>
            </w:pPr>
            <w:r>
              <w:rPr>
                <w:rFonts w:eastAsia="Calibri" w:cs="Calibri"/>
                <w:sz w:val="20"/>
                <w:szCs w:val="20"/>
              </w:rPr>
              <w:t>≥ 1 yr follow-up</w:t>
            </w:r>
          </w:p>
        </w:tc>
        <w:tc>
          <w:tcPr>
            <w:tcW w:w="1311" w:type="pct"/>
            <w:tcBorders>
              <w:top w:val="single" w:sz="4" w:space="0" w:color="auto"/>
              <w:left w:val="single" w:sz="4" w:space="0" w:color="auto"/>
              <w:bottom w:val="single" w:sz="4" w:space="0" w:color="auto"/>
              <w:right w:val="single" w:sz="4" w:space="0" w:color="auto"/>
            </w:tcBorders>
            <w:vAlign w:val="center"/>
          </w:tcPr>
          <w:p w:rsidR="002F143B" w:rsidRPr="001A3E21" w:rsidRDefault="002F143B" w:rsidP="00F17705">
            <w:pPr>
              <w:widowControl w:val="0"/>
              <w:autoSpaceDE w:val="0"/>
              <w:autoSpaceDN w:val="0"/>
              <w:adjustRightInd w:val="0"/>
              <w:contextualSpacing/>
              <w:jc w:val="center"/>
              <w:rPr>
                <w:rFonts w:eastAsia="Calibri" w:cs="Calibri"/>
                <w:sz w:val="20"/>
                <w:szCs w:val="20"/>
              </w:rPr>
            </w:pPr>
            <w:r>
              <w:rPr>
                <w:rFonts w:eastAsia="Calibri" w:cs="Calibri"/>
                <w:sz w:val="20"/>
                <w:szCs w:val="20"/>
              </w:rPr>
              <w:t>-</w:t>
            </w:r>
          </w:p>
        </w:tc>
        <w:tc>
          <w:tcPr>
            <w:tcW w:w="987" w:type="pct"/>
            <w:tcBorders>
              <w:top w:val="single" w:sz="4" w:space="0" w:color="auto"/>
              <w:left w:val="single" w:sz="4" w:space="0" w:color="auto"/>
              <w:bottom w:val="single" w:sz="4" w:space="0" w:color="auto"/>
              <w:right w:val="single" w:sz="4" w:space="0" w:color="auto"/>
            </w:tcBorders>
          </w:tcPr>
          <w:p w:rsidR="002F143B" w:rsidRDefault="002F143B" w:rsidP="00F17705">
            <w:pPr>
              <w:pStyle w:val="ListParagraph"/>
              <w:widowControl w:val="0"/>
              <w:numPr>
                <w:ilvl w:val="0"/>
                <w:numId w:val="20"/>
              </w:numPr>
              <w:autoSpaceDE w:val="0"/>
              <w:autoSpaceDN w:val="0"/>
              <w:adjustRightInd w:val="0"/>
              <w:spacing w:beforeLines="60" w:before="144" w:afterLines="60" w:after="144"/>
              <w:ind w:left="164" w:hanging="164"/>
              <w:rPr>
                <w:rFonts w:eastAsia="Calibri" w:cs="Calibri"/>
                <w:sz w:val="20"/>
                <w:szCs w:val="20"/>
              </w:rPr>
            </w:pPr>
            <w:r>
              <w:rPr>
                <w:rFonts w:eastAsia="Calibri" w:cs="Calibri"/>
                <w:sz w:val="20"/>
                <w:szCs w:val="20"/>
              </w:rPr>
              <w:t>Previous psoriasis diagnosis</w:t>
            </w:r>
          </w:p>
          <w:p w:rsidR="002F143B" w:rsidRPr="00070DA9" w:rsidRDefault="002F143B" w:rsidP="00F17705">
            <w:pPr>
              <w:pStyle w:val="ListParagraph"/>
              <w:widowControl w:val="0"/>
              <w:numPr>
                <w:ilvl w:val="0"/>
                <w:numId w:val="20"/>
              </w:numPr>
              <w:autoSpaceDE w:val="0"/>
              <w:autoSpaceDN w:val="0"/>
              <w:adjustRightInd w:val="0"/>
              <w:spacing w:beforeLines="60" w:before="144" w:afterLines="60" w:after="144"/>
              <w:ind w:left="164" w:hanging="164"/>
              <w:rPr>
                <w:rFonts w:eastAsia="Calibri" w:cs="Calibri"/>
                <w:sz w:val="20"/>
                <w:szCs w:val="20"/>
              </w:rPr>
            </w:pPr>
            <w:r>
              <w:rPr>
                <w:rFonts w:eastAsia="Calibri" w:cs="Calibri"/>
                <w:sz w:val="20"/>
                <w:szCs w:val="20"/>
              </w:rPr>
              <w:t>Cancer diagnosis</w:t>
            </w:r>
          </w:p>
        </w:tc>
      </w:tr>
      <w:tr w:rsidR="002F143B" w:rsidRPr="001A3E21" w:rsidTr="00544C51">
        <w:tblPrEx>
          <w:tblLook w:val="0600" w:firstRow="0" w:lastRow="0" w:firstColumn="0" w:lastColumn="0" w:noHBand="1" w:noVBand="1"/>
        </w:tblPrEx>
        <w:trPr>
          <w:trHeight w:val="353"/>
        </w:trPr>
        <w:tc>
          <w:tcPr>
            <w:tcW w:w="705" w:type="pct"/>
            <w:tcBorders>
              <w:top w:val="single" w:sz="4" w:space="0" w:color="auto"/>
              <w:left w:val="single" w:sz="4" w:space="0" w:color="auto"/>
              <w:bottom w:val="single" w:sz="4" w:space="0" w:color="auto"/>
              <w:right w:val="single" w:sz="4" w:space="0" w:color="auto"/>
            </w:tcBorders>
          </w:tcPr>
          <w:p w:rsidR="002F143B" w:rsidRDefault="002F143B" w:rsidP="00544C51">
            <w:pPr>
              <w:widowControl w:val="0"/>
              <w:spacing w:beforeLines="60" w:before="144" w:afterLines="60" w:after="144"/>
              <w:contextualSpacing/>
              <w:rPr>
                <w:sz w:val="20"/>
                <w:szCs w:val="20"/>
              </w:rPr>
            </w:pPr>
            <w:r w:rsidRPr="00CF00E1">
              <w:rPr>
                <w:sz w:val="20"/>
                <w:szCs w:val="20"/>
              </w:rPr>
              <w:t xml:space="preserve">Icen </w:t>
            </w:r>
            <w:r>
              <w:rPr>
                <w:sz w:val="20"/>
                <w:szCs w:val="20"/>
              </w:rPr>
              <w:t>(</w:t>
            </w:r>
            <w:r w:rsidRPr="00CF00E1">
              <w:rPr>
                <w:sz w:val="20"/>
                <w:szCs w:val="20"/>
              </w:rPr>
              <w:t>2009</w:t>
            </w:r>
            <w:r>
              <w:rPr>
                <w:sz w:val="20"/>
                <w:szCs w:val="20"/>
              </w:rPr>
              <w:t>)</w:t>
            </w:r>
            <w:r w:rsidRPr="00CF00E1">
              <w:rPr>
                <w:sz w:val="20"/>
                <w:szCs w:val="20"/>
              </w:rPr>
              <w:t xml:space="preserve"> </w:t>
            </w:r>
          </w:p>
        </w:tc>
        <w:tc>
          <w:tcPr>
            <w:tcW w:w="865" w:type="pct"/>
            <w:tcBorders>
              <w:top w:val="single" w:sz="4" w:space="0" w:color="auto"/>
              <w:left w:val="single" w:sz="4" w:space="0" w:color="auto"/>
              <w:bottom w:val="single" w:sz="4" w:space="0" w:color="auto"/>
              <w:right w:val="single" w:sz="4" w:space="0" w:color="auto"/>
            </w:tcBorders>
          </w:tcPr>
          <w:p w:rsidR="002F143B" w:rsidRPr="001A3E21" w:rsidRDefault="002F143B" w:rsidP="00F17705">
            <w:pPr>
              <w:widowControl w:val="0"/>
              <w:autoSpaceDE w:val="0"/>
              <w:autoSpaceDN w:val="0"/>
              <w:adjustRightInd w:val="0"/>
              <w:spacing w:beforeLines="60" w:before="144" w:afterLines="60" w:after="144"/>
              <w:contextualSpacing/>
              <w:rPr>
                <w:rFonts w:eastAsia="Calibri" w:cs="Calibri"/>
                <w:sz w:val="20"/>
                <w:szCs w:val="20"/>
              </w:rPr>
            </w:pPr>
            <w:r>
              <w:rPr>
                <w:rFonts w:eastAsia="Calibri" w:cs="Calibri"/>
                <w:sz w:val="20"/>
                <w:szCs w:val="20"/>
              </w:rPr>
              <w:t>Population-based cohort study</w:t>
            </w:r>
          </w:p>
        </w:tc>
        <w:tc>
          <w:tcPr>
            <w:tcW w:w="1132" w:type="pct"/>
            <w:tcBorders>
              <w:top w:val="single" w:sz="4" w:space="0" w:color="auto"/>
              <w:left w:val="single" w:sz="4" w:space="0" w:color="auto"/>
              <w:bottom w:val="single" w:sz="4" w:space="0" w:color="auto"/>
              <w:right w:val="single" w:sz="4" w:space="0" w:color="auto"/>
            </w:tcBorders>
          </w:tcPr>
          <w:p w:rsidR="002F143B" w:rsidRPr="00FD32F4" w:rsidRDefault="002F143B" w:rsidP="00F17705">
            <w:pPr>
              <w:widowControl w:val="0"/>
              <w:autoSpaceDE w:val="0"/>
              <w:autoSpaceDN w:val="0"/>
              <w:adjustRightInd w:val="0"/>
              <w:spacing w:before="100" w:beforeAutospacing="1" w:after="100" w:afterAutospacing="1"/>
              <w:rPr>
                <w:rFonts w:eastAsia="Calibri" w:cs="Calibri"/>
                <w:sz w:val="20"/>
                <w:szCs w:val="20"/>
              </w:rPr>
            </w:pPr>
            <w:r w:rsidRPr="00FD32F4">
              <w:rPr>
                <w:rFonts w:eastAsia="Calibri" w:cs="Calibri"/>
                <w:sz w:val="20"/>
                <w:szCs w:val="20"/>
              </w:rPr>
              <w:t>Whole population</w:t>
            </w:r>
          </w:p>
        </w:tc>
        <w:tc>
          <w:tcPr>
            <w:tcW w:w="1311" w:type="pct"/>
            <w:tcBorders>
              <w:top w:val="single" w:sz="4" w:space="0" w:color="auto"/>
              <w:left w:val="single" w:sz="4" w:space="0" w:color="auto"/>
              <w:bottom w:val="single" w:sz="4" w:space="0" w:color="auto"/>
              <w:right w:val="single" w:sz="4" w:space="0" w:color="auto"/>
            </w:tcBorders>
          </w:tcPr>
          <w:p w:rsidR="002F143B" w:rsidRPr="00D53B6C" w:rsidRDefault="002F143B" w:rsidP="00F17705">
            <w:pPr>
              <w:pStyle w:val="ListParagraph"/>
              <w:widowControl w:val="0"/>
              <w:numPr>
                <w:ilvl w:val="0"/>
                <w:numId w:val="16"/>
              </w:numPr>
              <w:autoSpaceDE w:val="0"/>
              <w:autoSpaceDN w:val="0"/>
              <w:adjustRightInd w:val="0"/>
              <w:ind w:left="118" w:hanging="118"/>
              <w:rPr>
                <w:rFonts w:eastAsia="Calibri" w:cs="Calibri"/>
                <w:sz w:val="20"/>
                <w:szCs w:val="20"/>
              </w:rPr>
            </w:pPr>
            <w:r>
              <w:rPr>
                <w:rFonts w:eastAsia="Calibri" w:cs="Calibri"/>
                <w:sz w:val="20"/>
                <w:szCs w:val="20"/>
              </w:rPr>
              <w:t>≥ 18 years</w:t>
            </w:r>
          </w:p>
        </w:tc>
        <w:tc>
          <w:tcPr>
            <w:tcW w:w="987" w:type="pct"/>
            <w:tcBorders>
              <w:top w:val="single" w:sz="4" w:space="0" w:color="auto"/>
              <w:left w:val="single" w:sz="4" w:space="0" w:color="auto"/>
              <w:bottom w:val="single" w:sz="4" w:space="0" w:color="auto"/>
              <w:right w:val="single" w:sz="4" w:space="0" w:color="auto"/>
            </w:tcBorders>
          </w:tcPr>
          <w:p w:rsidR="002F143B" w:rsidRPr="00D53B6C" w:rsidRDefault="002F143B" w:rsidP="00F17705">
            <w:pPr>
              <w:pStyle w:val="ListParagraph"/>
              <w:widowControl w:val="0"/>
              <w:numPr>
                <w:ilvl w:val="0"/>
                <w:numId w:val="16"/>
              </w:numPr>
              <w:autoSpaceDE w:val="0"/>
              <w:autoSpaceDN w:val="0"/>
              <w:adjustRightInd w:val="0"/>
              <w:spacing w:beforeLines="60" w:before="144" w:afterLines="60" w:after="144"/>
              <w:ind w:left="164" w:hanging="164"/>
              <w:rPr>
                <w:rFonts w:eastAsia="Calibri" w:cs="Calibri"/>
                <w:sz w:val="20"/>
                <w:szCs w:val="20"/>
              </w:rPr>
            </w:pPr>
            <w:r w:rsidRPr="00D53B6C">
              <w:rPr>
                <w:rFonts w:eastAsia="Calibri" w:cs="Calibri"/>
                <w:sz w:val="20"/>
                <w:szCs w:val="20"/>
              </w:rPr>
              <w:t>Previous psoriasis diagnosis</w:t>
            </w:r>
          </w:p>
        </w:tc>
      </w:tr>
      <w:tr w:rsidR="002F143B" w:rsidRPr="001A3E21" w:rsidTr="00544C51">
        <w:tblPrEx>
          <w:tblLook w:val="0600" w:firstRow="0" w:lastRow="0" w:firstColumn="0" w:lastColumn="0" w:noHBand="1" w:noVBand="1"/>
        </w:tblPrEx>
        <w:trPr>
          <w:trHeight w:val="353"/>
        </w:trPr>
        <w:tc>
          <w:tcPr>
            <w:tcW w:w="705" w:type="pct"/>
            <w:tcBorders>
              <w:top w:val="single" w:sz="4" w:space="0" w:color="auto"/>
              <w:left w:val="single" w:sz="4" w:space="0" w:color="auto"/>
              <w:bottom w:val="single" w:sz="4" w:space="0" w:color="auto"/>
              <w:right w:val="single" w:sz="4" w:space="0" w:color="auto"/>
            </w:tcBorders>
          </w:tcPr>
          <w:p w:rsidR="002F143B" w:rsidRPr="001A3E21" w:rsidRDefault="002F143B" w:rsidP="00544C51">
            <w:pPr>
              <w:widowControl w:val="0"/>
              <w:spacing w:beforeLines="60" w:before="144" w:afterLines="60" w:after="144"/>
              <w:contextualSpacing/>
              <w:rPr>
                <w:rFonts w:eastAsia="Calibri"/>
                <w:sz w:val="20"/>
                <w:szCs w:val="20"/>
              </w:rPr>
            </w:pPr>
            <w:r w:rsidRPr="00CF00E1">
              <w:rPr>
                <w:rFonts w:eastAsia="Calibri"/>
                <w:sz w:val="20"/>
                <w:szCs w:val="20"/>
              </w:rPr>
              <w:t xml:space="preserve">Kilkenny </w:t>
            </w:r>
            <w:r>
              <w:rPr>
                <w:rFonts w:eastAsia="Calibri"/>
                <w:i/>
                <w:sz w:val="20"/>
                <w:szCs w:val="20"/>
              </w:rPr>
              <w:t xml:space="preserve"> </w:t>
            </w:r>
            <w:r>
              <w:rPr>
                <w:rFonts w:eastAsia="Calibri"/>
                <w:sz w:val="20"/>
                <w:szCs w:val="20"/>
              </w:rPr>
              <w:t>(</w:t>
            </w:r>
            <w:r w:rsidRPr="00CF00E1">
              <w:rPr>
                <w:rFonts w:eastAsia="Calibri"/>
                <w:sz w:val="20"/>
                <w:szCs w:val="20"/>
              </w:rPr>
              <w:t>1998</w:t>
            </w:r>
            <w:r>
              <w:rPr>
                <w:rFonts w:eastAsia="Calibri"/>
                <w:sz w:val="20"/>
                <w:szCs w:val="20"/>
              </w:rPr>
              <w:t>)</w:t>
            </w:r>
          </w:p>
        </w:tc>
        <w:tc>
          <w:tcPr>
            <w:tcW w:w="865" w:type="pct"/>
            <w:tcBorders>
              <w:top w:val="single" w:sz="4" w:space="0" w:color="auto"/>
              <w:left w:val="single" w:sz="4" w:space="0" w:color="auto"/>
              <w:bottom w:val="single" w:sz="4" w:space="0" w:color="auto"/>
              <w:right w:val="single" w:sz="4" w:space="0" w:color="auto"/>
            </w:tcBorders>
          </w:tcPr>
          <w:p w:rsidR="002F143B" w:rsidRPr="001A3E21" w:rsidRDefault="002F143B" w:rsidP="00F17705">
            <w:pPr>
              <w:widowControl w:val="0"/>
              <w:autoSpaceDE w:val="0"/>
              <w:autoSpaceDN w:val="0"/>
              <w:adjustRightInd w:val="0"/>
              <w:spacing w:beforeLines="60" w:before="144" w:afterLines="60" w:after="144"/>
              <w:contextualSpacing/>
              <w:rPr>
                <w:rFonts w:eastAsia="Calibri" w:cs="Calibri"/>
                <w:sz w:val="20"/>
                <w:szCs w:val="20"/>
              </w:rPr>
            </w:pPr>
            <w:r>
              <w:rPr>
                <w:rFonts w:eastAsia="Calibri" w:cs="Calibri"/>
                <w:sz w:val="20"/>
                <w:szCs w:val="20"/>
              </w:rPr>
              <w:t>Cross-sectional</w:t>
            </w:r>
          </w:p>
        </w:tc>
        <w:tc>
          <w:tcPr>
            <w:tcW w:w="1132" w:type="pct"/>
            <w:tcBorders>
              <w:top w:val="single" w:sz="4" w:space="0" w:color="auto"/>
              <w:left w:val="single" w:sz="4" w:space="0" w:color="auto"/>
              <w:bottom w:val="single" w:sz="4" w:space="0" w:color="auto"/>
              <w:right w:val="single" w:sz="4" w:space="0" w:color="auto"/>
            </w:tcBorders>
          </w:tcPr>
          <w:p w:rsidR="002F143B" w:rsidRPr="00FD32F4" w:rsidRDefault="002F143B" w:rsidP="00F17705">
            <w:pPr>
              <w:widowControl w:val="0"/>
              <w:autoSpaceDE w:val="0"/>
              <w:autoSpaceDN w:val="0"/>
              <w:adjustRightInd w:val="0"/>
              <w:spacing w:before="100" w:beforeAutospacing="1" w:after="100" w:afterAutospacing="1"/>
              <w:rPr>
                <w:rFonts w:eastAsia="Calibri" w:cs="Calibri"/>
                <w:sz w:val="20"/>
                <w:szCs w:val="20"/>
              </w:rPr>
            </w:pPr>
            <w:r w:rsidRPr="00FD32F4">
              <w:rPr>
                <w:rFonts w:eastAsia="Calibri" w:cs="Calibri"/>
                <w:sz w:val="20"/>
                <w:szCs w:val="20"/>
              </w:rPr>
              <w:t>Random selection (telephone directory)</w:t>
            </w:r>
          </w:p>
        </w:tc>
        <w:tc>
          <w:tcPr>
            <w:tcW w:w="1311" w:type="pct"/>
            <w:tcBorders>
              <w:top w:val="single" w:sz="4" w:space="0" w:color="auto"/>
              <w:left w:val="single" w:sz="4" w:space="0" w:color="auto"/>
              <w:bottom w:val="single" w:sz="4" w:space="0" w:color="auto"/>
              <w:right w:val="single" w:sz="4" w:space="0" w:color="auto"/>
            </w:tcBorders>
          </w:tcPr>
          <w:p w:rsidR="002F143B" w:rsidRPr="00DA25D6" w:rsidRDefault="002F143B" w:rsidP="00F17705">
            <w:pPr>
              <w:pStyle w:val="ListParagraph"/>
              <w:widowControl w:val="0"/>
              <w:numPr>
                <w:ilvl w:val="0"/>
                <w:numId w:val="21"/>
              </w:numPr>
              <w:autoSpaceDE w:val="0"/>
              <w:autoSpaceDN w:val="0"/>
              <w:adjustRightInd w:val="0"/>
              <w:ind w:left="118" w:hanging="141"/>
              <w:rPr>
                <w:rFonts w:eastAsia="Calibri" w:cs="Calibri"/>
                <w:sz w:val="20"/>
                <w:szCs w:val="20"/>
              </w:rPr>
            </w:pPr>
            <w:r w:rsidRPr="00DA25D6">
              <w:rPr>
                <w:rFonts w:eastAsia="Calibri" w:cs="Calibri"/>
                <w:sz w:val="20"/>
                <w:szCs w:val="20"/>
              </w:rPr>
              <w:t>≥ 18 years</w:t>
            </w:r>
          </w:p>
        </w:tc>
        <w:tc>
          <w:tcPr>
            <w:tcW w:w="987" w:type="pct"/>
            <w:tcBorders>
              <w:top w:val="single" w:sz="4" w:space="0" w:color="auto"/>
              <w:left w:val="single" w:sz="4" w:space="0" w:color="auto"/>
              <w:bottom w:val="single" w:sz="4" w:space="0" w:color="auto"/>
              <w:right w:val="single" w:sz="4" w:space="0" w:color="auto"/>
            </w:tcBorders>
            <w:vAlign w:val="center"/>
          </w:tcPr>
          <w:p w:rsidR="002F143B" w:rsidRPr="001A3E21" w:rsidRDefault="002F143B" w:rsidP="00F17705">
            <w:pPr>
              <w:widowControl w:val="0"/>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w:t>
            </w:r>
          </w:p>
        </w:tc>
      </w:tr>
      <w:tr w:rsidR="002F143B" w:rsidRPr="001A3E21" w:rsidTr="00544C51">
        <w:tblPrEx>
          <w:tblLook w:val="0600" w:firstRow="0" w:lastRow="0" w:firstColumn="0" w:lastColumn="0" w:noHBand="1" w:noVBand="1"/>
        </w:tblPrEx>
        <w:trPr>
          <w:trHeight w:val="353"/>
        </w:trPr>
        <w:tc>
          <w:tcPr>
            <w:tcW w:w="705" w:type="pct"/>
            <w:tcBorders>
              <w:top w:val="single" w:sz="4" w:space="0" w:color="auto"/>
              <w:left w:val="single" w:sz="4" w:space="0" w:color="auto"/>
              <w:bottom w:val="single" w:sz="4" w:space="0" w:color="auto"/>
              <w:right w:val="single" w:sz="4" w:space="0" w:color="auto"/>
            </w:tcBorders>
          </w:tcPr>
          <w:p w:rsidR="002F143B" w:rsidRPr="00CF00E1" w:rsidRDefault="002F143B" w:rsidP="00544C51">
            <w:pPr>
              <w:widowControl w:val="0"/>
              <w:spacing w:beforeLines="60" w:before="144" w:afterLines="60" w:after="144"/>
              <w:contextualSpacing/>
              <w:rPr>
                <w:rFonts w:eastAsia="Calibri"/>
                <w:sz w:val="20"/>
                <w:szCs w:val="20"/>
              </w:rPr>
            </w:pPr>
            <w:r w:rsidRPr="008C324D">
              <w:rPr>
                <w:rFonts w:eastAsia="Calibri"/>
                <w:sz w:val="20"/>
                <w:szCs w:val="20"/>
              </w:rPr>
              <w:t>Jenner (2002)</w:t>
            </w:r>
          </w:p>
        </w:tc>
        <w:tc>
          <w:tcPr>
            <w:tcW w:w="865" w:type="pct"/>
            <w:tcBorders>
              <w:top w:val="single" w:sz="4" w:space="0" w:color="auto"/>
              <w:left w:val="single" w:sz="4" w:space="0" w:color="auto"/>
              <w:bottom w:val="single" w:sz="4" w:space="0" w:color="auto"/>
              <w:right w:val="single" w:sz="4" w:space="0" w:color="auto"/>
            </w:tcBorders>
          </w:tcPr>
          <w:p w:rsidR="002F143B" w:rsidRPr="001A3E21" w:rsidRDefault="002F143B" w:rsidP="00F17705">
            <w:pPr>
              <w:widowControl w:val="0"/>
              <w:autoSpaceDE w:val="0"/>
              <w:autoSpaceDN w:val="0"/>
              <w:adjustRightInd w:val="0"/>
              <w:spacing w:beforeLines="60" w:before="144" w:afterLines="60" w:after="144"/>
              <w:contextualSpacing/>
              <w:rPr>
                <w:rFonts w:eastAsia="Calibri" w:cs="Calibri"/>
                <w:sz w:val="20"/>
                <w:szCs w:val="20"/>
              </w:rPr>
            </w:pPr>
            <w:r>
              <w:rPr>
                <w:rFonts w:eastAsia="Calibri" w:cs="Calibri"/>
                <w:sz w:val="20"/>
                <w:szCs w:val="20"/>
              </w:rPr>
              <w:t>Cross-sectional</w:t>
            </w:r>
          </w:p>
        </w:tc>
        <w:tc>
          <w:tcPr>
            <w:tcW w:w="1132" w:type="pct"/>
            <w:tcBorders>
              <w:top w:val="single" w:sz="4" w:space="0" w:color="auto"/>
              <w:left w:val="single" w:sz="4" w:space="0" w:color="auto"/>
              <w:bottom w:val="single" w:sz="4" w:space="0" w:color="auto"/>
              <w:right w:val="single" w:sz="4" w:space="0" w:color="auto"/>
            </w:tcBorders>
          </w:tcPr>
          <w:p w:rsidR="002F143B" w:rsidRDefault="002F143B" w:rsidP="00F17705">
            <w:pPr>
              <w:pStyle w:val="ListParagraph"/>
              <w:widowControl w:val="0"/>
              <w:numPr>
                <w:ilvl w:val="0"/>
                <w:numId w:val="22"/>
              </w:numPr>
              <w:autoSpaceDE w:val="0"/>
              <w:autoSpaceDN w:val="0"/>
              <w:adjustRightInd w:val="0"/>
              <w:spacing w:before="100" w:beforeAutospacing="1" w:after="100" w:afterAutospacing="1"/>
              <w:ind w:left="175" w:hanging="175"/>
              <w:rPr>
                <w:rFonts w:eastAsia="Calibri" w:cs="Calibri"/>
                <w:sz w:val="20"/>
                <w:szCs w:val="20"/>
              </w:rPr>
            </w:pPr>
            <w:r>
              <w:rPr>
                <w:rFonts w:eastAsia="Calibri" w:cs="Calibri"/>
                <w:sz w:val="20"/>
                <w:szCs w:val="20"/>
              </w:rPr>
              <w:t>GP and dermatologist referral</w:t>
            </w:r>
          </w:p>
          <w:p w:rsidR="002F143B" w:rsidRPr="00AA0DAA" w:rsidRDefault="002F143B" w:rsidP="00F17705">
            <w:pPr>
              <w:pStyle w:val="ListParagraph"/>
              <w:widowControl w:val="0"/>
              <w:numPr>
                <w:ilvl w:val="0"/>
                <w:numId w:val="22"/>
              </w:numPr>
              <w:autoSpaceDE w:val="0"/>
              <w:autoSpaceDN w:val="0"/>
              <w:adjustRightInd w:val="0"/>
              <w:spacing w:before="100" w:beforeAutospacing="1" w:after="100" w:afterAutospacing="1"/>
              <w:ind w:left="175" w:hanging="175"/>
              <w:rPr>
                <w:rFonts w:eastAsia="Calibri" w:cs="Calibri"/>
                <w:sz w:val="20"/>
                <w:szCs w:val="20"/>
              </w:rPr>
            </w:pPr>
            <w:r>
              <w:rPr>
                <w:rFonts w:eastAsia="Calibri" w:cs="Calibri"/>
                <w:sz w:val="20"/>
                <w:szCs w:val="20"/>
              </w:rPr>
              <w:t>Psoriasis Association of Victoria</w:t>
            </w:r>
          </w:p>
        </w:tc>
        <w:tc>
          <w:tcPr>
            <w:tcW w:w="1311" w:type="pct"/>
            <w:tcBorders>
              <w:top w:val="single" w:sz="4" w:space="0" w:color="auto"/>
              <w:left w:val="single" w:sz="4" w:space="0" w:color="auto"/>
              <w:bottom w:val="single" w:sz="4" w:space="0" w:color="auto"/>
              <w:right w:val="single" w:sz="4" w:space="0" w:color="auto"/>
            </w:tcBorders>
          </w:tcPr>
          <w:p w:rsidR="002F143B" w:rsidRPr="00F64668" w:rsidRDefault="002F143B" w:rsidP="00F17705">
            <w:pPr>
              <w:pStyle w:val="ListParagraph"/>
              <w:widowControl w:val="0"/>
              <w:numPr>
                <w:ilvl w:val="0"/>
                <w:numId w:val="22"/>
              </w:numPr>
              <w:autoSpaceDE w:val="0"/>
              <w:autoSpaceDN w:val="0"/>
              <w:adjustRightInd w:val="0"/>
              <w:ind w:left="118" w:hanging="141"/>
              <w:rPr>
                <w:rFonts w:eastAsia="Calibri" w:cs="Calibri"/>
                <w:sz w:val="20"/>
                <w:szCs w:val="20"/>
              </w:rPr>
            </w:pPr>
            <w:r>
              <w:rPr>
                <w:rFonts w:eastAsia="Calibri" w:cs="Calibri"/>
                <w:sz w:val="20"/>
                <w:szCs w:val="20"/>
              </w:rPr>
              <w:t>≥ 13 years</w:t>
            </w:r>
          </w:p>
        </w:tc>
        <w:tc>
          <w:tcPr>
            <w:tcW w:w="987" w:type="pct"/>
            <w:tcBorders>
              <w:top w:val="single" w:sz="4" w:space="0" w:color="auto"/>
              <w:left w:val="single" w:sz="4" w:space="0" w:color="auto"/>
              <w:bottom w:val="single" w:sz="4" w:space="0" w:color="auto"/>
              <w:right w:val="single" w:sz="4" w:space="0" w:color="auto"/>
            </w:tcBorders>
            <w:vAlign w:val="center"/>
          </w:tcPr>
          <w:p w:rsidR="002F143B" w:rsidRPr="001A3E21" w:rsidRDefault="002F143B" w:rsidP="00F17705">
            <w:pPr>
              <w:widowControl w:val="0"/>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w:t>
            </w:r>
          </w:p>
        </w:tc>
      </w:tr>
      <w:tr w:rsidR="002F143B" w:rsidRPr="001A3E21" w:rsidTr="00544C51">
        <w:tblPrEx>
          <w:tblLook w:val="0600" w:firstRow="0" w:lastRow="0" w:firstColumn="0" w:lastColumn="0" w:noHBand="1" w:noVBand="1"/>
        </w:tblPrEx>
        <w:trPr>
          <w:trHeight w:val="353"/>
        </w:trPr>
        <w:tc>
          <w:tcPr>
            <w:tcW w:w="705" w:type="pct"/>
            <w:tcBorders>
              <w:top w:val="single" w:sz="4" w:space="0" w:color="auto"/>
              <w:left w:val="single" w:sz="4" w:space="0" w:color="auto"/>
              <w:bottom w:val="single" w:sz="4" w:space="0" w:color="auto"/>
              <w:right w:val="single" w:sz="4" w:space="0" w:color="auto"/>
            </w:tcBorders>
          </w:tcPr>
          <w:p w:rsidR="002F143B" w:rsidRPr="00C873D4" w:rsidRDefault="002F143B" w:rsidP="00544C51">
            <w:pPr>
              <w:widowControl w:val="0"/>
              <w:spacing w:beforeLines="60" w:before="144" w:afterLines="60" w:after="144"/>
              <w:contextualSpacing/>
              <w:rPr>
                <w:rFonts w:eastAsia="Calibri"/>
                <w:sz w:val="20"/>
                <w:szCs w:val="20"/>
              </w:rPr>
            </w:pPr>
            <w:r w:rsidRPr="008C324D">
              <w:rPr>
                <w:rFonts w:eastAsia="Calibri"/>
                <w:sz w:val="20"/>
                <w:szCs w:val="20"/>
              </w:rPr>
              <w:t xml:space="preserve">Langenbruc </w:t>
            </w:r>
            <w:r>
              <w:rPr>
                <w:rFonts w:eastAsia="Calibri"/>
                <w:sz w:val="20"/>
                <w:szCs w:val="20"/>
              </w:rPr>
              <w:t>(</w:t>
            </w:r>
            <w:r w:rsidRPr="008C324D">
              <w:rPr>
                <w:rFonts w:eastAsia="Calibri"/>
                <w:sz w:val="20"/>
                <w:szCs w:val="20"/>
              </w:rPr>
              <w:t>2016</w:t>
            </w:r>
            <w:r>
              <w:rPr>
                <w:rFonts w:eastAsia="Calibri"/>
                <w:sz w:val="20"/>
                <w:szCs w:val="20"/>
              </w:rPr>
              <w:t>)</w:t>
            </w:r>
          </w:p>
        </w:tc>
        <w:tc>
          <w:tcPr>
            <w:tcW w:w="865" w:type="pct"/>
            <w:tcBorders>
              <w:top w:val="single" w:sz="4" w:space="0" w:color="auto"/>
              <w:left w:val="single" w:sz="4" w:space="0" w:color="auto"/>
              <w:bottom w:val="single" w:sz="4" w:space="0" w:color="auto"/>
              <w:right w:val="single" w:sz="4" w:space="0" w:color="auto"/>
            </w:tcBorders>
          </w:tcPr>
          <w:p w:rsidR="002F143B" w:rsidRPr="001A3E21" w:rsidRDefault="002F143B" w:rsidP="00F17705">
            <w:pPr>
              <w:widowControl w:val="0"/>
              <w:autoSpaceDE w:val="0"/>
              <w:autoSpaceDN w:val="0"/>
              <w:adjustRightInd w:val="0"/>
              <w:spacing w:beforeLines="60" w:before="144" w:afterLines="60" w:after="144"/>
              <w:contextualSpacing/>
              <w:rPr>
                <w:rFonts w:eastAsia="Calibri" w:cs="Calibri"/>
                <w:sz w:val="20"/>
                <w:szCs w:val="20"/>
              </w:rPr>
            </w:pPr>
            <w:r w:rsidRPr="00D729E4">
              <w:rPr>
                <w:rFonts w:eastAsia="Calibri" w:cs="Calibri"/>
                <w:sz w:val="20"/>
                <w:szCs w:val="20"/>
              </w:rPr>
              <w:t>Cross-sectional</w:t>
            </w:r>
          </w:p>
        </w:tc>
        <w:tc>
          <w:tcPr>
            <w:tcW w:w="1132" w:type="pct"/>
            <w:tcBorders>
              <w:top w:val="single" w:sz="4" w:space="0" w:color="auto"/>
              <w:left w:val="single" w:sz="4" w:space="0" w:color="auto"/>
              <w:bottom w:val="single" w:sz="4" w:space="0" w:color="auto"/>
              <w:right w:val="single" w:sz="4" w:space="0" w:color="auto"/>
            </w:tcBorders>
          </w:tcPr>
          <w:p w:rsidR="002F143B" w:rsidRPr="00FD32F4" w:rsidRDefault="002F143B" w:rsidP="00F17705">
            <w:pPr>
              <w:widowControl w:val="0"/>
              <w:autoSpaceDE w:val="0"/>
              <w:autoSpaceDN w:val="0"/>
              <w:adjustRightInd w:val="0"/>
              <w:spacing w:before="100" w:beforeAutospacing="1" w:after="100" w:afterAutospacing="1"/>
              <w:rPr>
                <w:rFonts w:eastAsia="Calibri" w:cs="Calibri"/>
                <w:sz w:val="20"/>
                <w:szCs w:val="20"/>
              </w:rPr>
            </w:pPr>
            <w:r w:rsidRPr="00FD32F4">
              <w:rPr>
                <w:rFonts w:eastAsia="Calibri" w:cs="Calibri"/>
                <w:sz w:val="20"/>
                <w:szCs w:val="20"/>
              </w:rPr>
              <w:t>Dermatology clinics</w:t>
            </w:r>
          </w:p>
        </w:tc>
        <w:tc>
          <w:tcPr>
            <w:tcW w:w="1311" w:type="pct"/>
            <w:tcBorders>
              <w:top w:val="single" w:sz="4" w:space="0" w:color="auto"/>
              <w:left w:val="single" w:sz="4" w:space="0" w:color="auto"/>
              <w:bottom w:val="single" w:sz="4" w:space="0" w:color="auto"/>
              <w:right w:val="single" w:sz="4" w:space="0" w:color="auto"/>
            </w:tcBorders>
          </w:tcPr>
          <w:p w:rsidR="002F143B" w:rsidRDefault="002F143B" w:rsidP="00F17705">
            <w:pPr>
              <w:pStyle w:val="ListParagraph"/>
              <w:widowControl w:val="0"/>
              <w:numPr>
                <w:ilvl w:val="0"/>
                <w:numId w:val="16"/>
              </w:numPr>
              <w:autoSpaceDE w:val="0"/>
              <w:autoSpaceDN w:val="0"/>
              <w:adjustRightInd w:val="0"/>
              <w:ind w:left="118" w:hanging="118"/>
              <w:rPr>
                <w:rFonts w:eastAsia="Calibri" w:cs="Calibri"/>
                <w:sz w:val="20"/>
                <w:szCs w:val="20"/>
              </w:rPr>
            </w:pPr>
            <w:r>
              <w:rPr>
                <w:rFonts w:eastAsia="Calibri" w:cs="Calibri"/>
                <w:sz w:val="20"/>
                <w:szCs w:val="20"/>
              </w:rPr>
              <w:t>≥ 18 years</w:t>
            </w:r>
          </w:p>
          <w:p w:rsidR="002F143B" w:rsidRPr="00D729E4" w:rsidRDefault="002F143B" w:rsidP="00F17705">
            <w:pPr>
              <w:pStyle w:val="ListParagraph"/>
              <w:widowControl w:val="0"/>
              <w:numPr>
                <w:ilvl w:val="0"/>
                <w:numId w:val="16"/>
              </w:numPr>
              <w:autoSpaceDE w:val="0"/>
              <w:autoSpaceDN w:val="0"/>
              <w:adjustRightInd w:val="0"/>
              <w:ind w:left="118" w:hanging="118"/>
              <w:rPr>
                <w:rFonts w:eastAsia="Calibri" w:cs="Calibri"/>
                <w:sz w:val="20"/>
                <w:szCs w:val="20"/>
              </w:rPr>
            </w:pPr>
            <w:r w:rsidRPr="00D729E4">
              <w:rPr>
                <w:rFonts w:eastAsia="Calibri" w:cs="Calibri"/>
                <w:sz w:val="20"/>
                <w:szCs w:val="20"/>
              </w:rPr>
              <w:t>Psoriasis diagnosis</w:t>
            </w:r>
          </w:p>
        </w:tc>
        <w:tc>
          <w:tcPr>
            <w:tcW w:w="987" w:type="pct"/>
            <w:tcBorders>
              <w:top w:val="single" w:sz="4" w:space="0" w:color="auto"/>
              <w:left w:val="single" w:sz="4" w:space="0" w:color="auto"/>
              <w:bottom w:val="single" w:sz="4" w:space="0" w:color="auto"/>
              <w:right w:val="single" w:sz="4" w:space="0" w:color="auto"/>
            </w:tcBorders>
            <w:vAlign w:val="center"/>
          </w:tcPr>
          <w:p w:rsidR="002F143B" w:rsidRPr="001A3E21" w:rsidRDefault="002F143B" w:rsidP="00F17705">
            <w:pPr>
              <w:widowControl w:val="0"/>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w:t>
            </w:r>
          </w:p>
        </w:tc>
      </w:tr>
      <w:tr w:rsidR="002F143B" w:rsidRPr="001A3E21" w:rsidTr="00544C51">
        <w:tblPrEx>
          <w:tblLook w:val="0600" w:firstRow="0" w:lastRow="0" w:firstColumn="0" w:lastColumn="0" w:noHBand="1" w:noVBand="1"/>
        </w:tblPrEx>
        <w:trPr>
          <w:trHeight w:val="353"/>
        </w:trPr>
        <w:tc>
          <w:tcPr>
            <w:tcW w:w="705" w:type="pct"/>
            <w:tcBorders>
              <w:top w:val="single" w:sz="4" w:space="0" w:color="auto"/>
              <w:left w:val="single" w:sz="4" w:space="0" w:color="auto"/>
              <w:bottom w:val="single" w:sz="4" w:space="0" w:color="auto"/>
              <w:right w:val="single" w:sz="4" w:space="0" w:color="auto"/>
            </w:tcBorders>
          </w:tcPr>
          <w:p w:rsidR="002F143B" w:rsidRPr="008C324D" w:rsidRDefault="002F143B" w:rsidP="00544C51">
            <w:pPr>
              <w:widowControl w:val="0"/>
              <w:spacing w:beforeLines="60" w:before="144" w:afterLines="60" w:after="144"/>
              <w:contextualSpacing/>
              <w:rPr>
                <w:rFonts w:eastAsia="Calibri"/>
                <w:sz w:val="20"/>
                <w:szCs w:val="20"/>
              </w:rPr>
            </w:pPr>
            <w:r w:rsidRPr="003E055C">
              <w:rPr>
                <w:rFonts w:eastAsia="Calibri"/>
                <w:sz w:val="20"/>
                <w:szCs w:val="20"/>
              </w:rPr>
              <w:t xml:space="preserve">Lebwohl </w:t>
            </w:r>
            <w:r>
              <w:rPr>
                <w:rFonts w:eastAsia="Calibri"/>
                <w:sz w:val="20"/>
                <w:szCs w:val="20"/>
              </w:rPr>
              <w:t>(</w:t>
            </w:r>
            <w:r w:rsidRPr="003E055C">
              <w:rPr>
                <w:rFonts w:eastAsia="Calibri"/>
                <w:sz w:val="20"/>
                <w:szCs w:val="20"/>
              </w:rPr>
              <w:t>2016</w:t>
            </w:r>
            <w:r>
              <w:rPr>
                <w:rFonts w:eastAsia="Calibri"/>
                <w:sz w:val="20"/>
                <w:szCs w:val="20"/>
              </w:rPr>
              <w:t>)</w:t>
            </w:r>
          </w:p>
        </w:tc>
        <w:tc>
          <w:tcPr>
            <w:tcW w:w="865" w:type="pct"/>
            <w:tcBorders>
              <w:top w:val="single" w:sz="4" w:space="0" w:color="auto"/>
              <w:left w:val="single" w:sz="4" w:space="0" w:color="auto"/>
              <w:bottom w:val="single" w:sz="4" w:space="0" w:color="auto"/>
              <w:right w:val="single" w:sz="4" w:space="0" w:color="auto"/>
            </w:tcBorders>
          </w:tcPr>
          <w:p w:rsidR="002F143B" w:rsidRPr="001A3E21" w:rsidRDefault="002F143B" w:rsidP="00F17705">
            <w:pPr>
              <w:widowControl w:val="0"/>
              <w:autoSpaceDE w:val="0"/>
              <w:autoSpaceDN w:val="0"/>
              <w:adjustRightInd w:val="0"/>
              <w:spacing w:beforeLines="60" w:before="144" w:afterLines="60" w:after="144"/>
              <w:contextualSpacing/>
              <w:rPr>
                <w:rFonts w:eastAsia="Calibri" w:cs="Calibri"/>
                <w:sz w:val="20"/>
                <w:szCs w:val="20"/>
              </w:rPr>
            </w:pPr>
            <w:r>
              <w:rPr>
                <w:rFonts w:eastAsia="Calibri" w:cs="Calibri"/>
                <w:sz w:val="20"/>
                <w:szCs w:val="20"/>
              </w:rPr>
              <w:t xml:space="preserve">Cross-sectional, </w:t>
            </w:r>
          </w:p>
        </w:tc>
        <w:tc>
          <w:tcPr>
            <w:tcW w:w="1132" w:type="pct"/>
            <w:tcBorders>
              <w:top w:val="single" w:sz="4" w:space="0" w:color="auto"/>
              <w:left w:val="single" w:sz="4" w:space="0" w:color="auto"/>
              <w:bottom w:val="single" w:sz="4" w:space="0" w:color="auto"/>
              <w:right w:val="single" w:sz="4" w:space="0" w:color="auto"/>
            </w:tcBorders>
          </w:tcPr>
          <w:p w:rsidR="002F143B" w:rsidRPr="00FD32F4" w:rsidRDefault="002F143B" w:rsidP="00F17705">
            <w:pPr>
              <w:widowControl w:val="0"/>
              <w:autoSpaceDE w:val="0"/>
              <w:autoSpaceDN w:val="0"/>
              <w:adjustRightInd w:val="0"/>
              <w:spacing w:before="100" w:beforeAutospacing="1" w:after="100" w:afterAutospacing="1"/>
              <w:rPr>
                <w:rFonts w:eastAsia="Calibri" w:cs="Calibri"/>
                <w:sz w:val="20"/>
                <w:szCs w:val="20"/>
              </w:rPr>
            </w:pPr>
            <w:r w:rsidRPr="00FD32F4">
              <w:rPr>
                <w:rFonts w:eastAsia="Calibri" w:cs="Calibri"/>
                <w:sz w:val="20"/>
                <w:szCs w:val="20"/>
              </w:rPr>
              <w:t>Random selection (telephone directory)</w:t>
            </w:r>
          </w:p>
        </w:tc>
        <w:tc>
          <w:tcPr>
            <w:tcW w:w="1311" w:type="pct"/>
            <w:tcBorders>
              <w:top w:val="single" w:sz="4" w:space="0" w:color="auto"/>
              <w:left w:val="single" w:sz="4" w:space="0" w:color="auto"/>
              <w:bottom w:val="single" w:sz="4" w:space="0" w:color="auto"/>
              <w:right w:val="single" w:sz="4" w:space="0" w:color="auto"/>
            </w:tcBorders>
          </w:tcPr>
          <w:p w:rsidR="002F143B" w:rsidRDefault="002F143B" w:rsidP="00F17705">
            <w:pPr>
              <w:pStyle w:val="ListParagraph"/>
              <w:widowControl w:val="0"/>
              <w:numPr>
                <w:ilvl w:val="0"/>
                <w:numId w:val="16"/>
              </w:numPr>
              <w:autoSpaceDE w:val="0"/>
              <w:autoSpaceDN w:val="0"/>
              <w:adjustRightInd w:val="0"/>
              <w:ind w:left="118" w:hanging="118"/>
              <w:rPr>
                <w:rFonts w:eastAsia="Calibri" w:cs="Calibri"/>
                <w:sz w:val="20"/>
                <w:szCs w:val="20"/>
              </w:rPr>
            </w:pPr>
            <w:r>
              <w:rPr>
                <w:rFonts w:eastAsia="Calibri" w:cs="Calibri"/>
                <w:sz w:val="20"/>
                <w:szCs w:val="20"/>
              </w:rPr>
              <w:t>≥ 18 years</w:t>
            </w:r>
          </w:p>
          <w:p w:rsidR="002F143B" w:rsidRPr="008E7689" w:rsidRDefault="002F143B" w:rsidP="00F17705">
            <w:pPr>
              <w:pStyle w:val="ListParagraph"/>
              <w:widowControl w:val="0"/>
              <w:numPr>
                <w:ilvl w:val="0"/>
                <w:numId w:val="16"/>
              </w:numPr>
              <w:autoSpaceDE w:val="0"/>
              <w:autoSpaceDN w:val="0"/>
              <w:adjustRightInd w:val="0"/>
              <w:ind w:left="118" w:hanging="118"/>
              <w:rPr>
                <w:rFonts w:eastAsia="Calibri" w:cs="Calibri"/>
                <w:sz w:val="20"/>
                <w:szCs w:val="20"/>
              </w:rPr>
            </w:pPr>
            <w:r>
              <w:rPr>
                <w:rFonts w:eastAsia="Calibri" w:cs="Calibri"/>
                <w:sz w:val="20"/>
                <w:szCs w:val="20"/>
              </w:rPr>
              <w:t>p</w:t>
            </w:r>
            <w:r w:rsidRPr="00DD7037">
              <w:rPr>
                <w:rFonts w:eastAsia="Calibri" w:cs="Calibri"/>
                <w:sz w:val="20"/>
                <w:szCs w:val="20"/>
              </w:rPr>
              <w:t>soriasis diagnosis</w:t>
            </w:r>
          </w:p>
        </w:tc>
        <w:tc>
          <w:tcPr>
            <w:tcW w:w="987" w:type="pct"/>
            <w:tcBorders>
              <w:top w:val="single" w:sz="4" w:space="0" w:color="auto"/>
              <w:left w:val="single" w:sz="4" w:space="0" w:color="auto"/>
              <w:bottom w:val="single" w:sz="4" w:space="0" w:color="auto"/>
              <w:right w:val="single" w:sz="4" w:space="0" w:color="auto"/>
            </w:tcBorders>
            <w:vAlign w:val="center"/>
          </w:tcPr>
          <w:p w:rsidR="002F143B" w:rsidRPr="00DD7037" w:rsidRDefault="002F143B" w:rsidP="00F17705">
            <w:pPr>
              <w:pStyle w:val="ListParagraph"/>
              <w:widowControl w:val="0"/>
              <w:autoSpaceDE w:val="0"/>
              <w:autoSpaceDN w:val="0"/>
              <w:adjustRightInd w:val="0"/>
              <w:spacing w:beforeLines="60" w:before="144" w:afterLines="60" w:after="144"/>
              <w:ind w:left="22"/>
              <w:jc w:val="center"/>
              <w:rPr>
                <w:rFonts w:eastAsia="Calibri" w:cs="Calibri"/>
                <w:sz w:val="20"/>
                <w:szCs w:val="20"/>
              </w:rPr>
            </w:pPr>
            <w:r>
              <w:rPr>
                <w:rFonts w:eastAsia="Calibri" w:cs="Calibri"/>
                <w:sz w:val="20"/>
                <w:szCs w:val="20"/>
              </w:rPr>
              <w:t>-</w:t>
            </w:r>
          </w:p>
        </w:tc>
      </w:tr>
      <w:tr w:rsidR="002F143B" w:rsidRPr="001A3E21" w:rsidTr="00544C51">
        <w:tblPrEx>
          <w:tblLook w:val="0600" w:firstRow="0" w:lastRow="0" w:firstColumn="0" w:lastColumn="0" w:noHBand="1" w:noVBand="1"/>
        </w:tblPrEx>
        <w:trPr>
          <w:trHeight w:val="353"/>
        </w:trPr>
        <w:tc>
          <w:tcPr>
            <w:tcW w:w="705" w:type="pct"/>
            <w:tcBorders>
              <w:top w:val="single" w:sz="4" w:space="0" w:color="auto"/>
              <w:left w:val="single" w:sz="4" w:space="0" w:color="auto"/>
              <w:bottom w:val="single" w:sz="4" w:space="0" w:color="auto"/>
              <w:right w:val="single" w:sz="4" w:space="0" w:color="auto"/>
            </w:tcBorders>
          </w:tcPr>
          <w:p w:rsidR="002F143B" w:rsidRPr="00CF00E1" w:rsidRDefault="002F143B" w:rsidP="00544C51">
            <w:pPr>
              <w:widowControl w:val="0"/>
              <w:spacing w:beforeLines="60" w:before="144" w:afterLines="60" w:after="144"/>
              <w:contextualSpacing/>
              <w:rPr>
                <w:rFonts w:eastAsia="Calibri"/>
                <w:sz w:val="20"/>
                <w:szCs w:val="20"/>
              </w:rPr>
            </w:pPr>
            <w:r w:rsidRPr="00C873D4">
              <w:rPr>
                <w:rFonts w:eastAsia="Calibri"/>
                <w:sz w:val="20"/>
                <w:szCs w:val="20"/>
              </w:rPr>
              <w:t xml:space="preserve">Lopez </w:t>
            </w:r>
            <w:r>
              <w:rPr>
                <w:rFonts w:eastAsia="Calibri"/>
                <w:sz w:val="20"/>
                <w:szCs w:val="20"/>
              </w:rPr>
              <w:t>(</w:t>
            </w:r>
            <w:r w:rsidRPr="00C873D4">
              <w:rPr>
                <w:rFonts w:eastAsia="Calibri"/>
                <w:sz w:val="20"/>
                <w:szCs w:val="20"/>
              </w:rPr>
              <w:t>2015</w:t>
            </w:r>
            <w:r>
              <w:rPr>
                <w:rFonts w:eastAsia="Calibri"/>
                <w:sz w:val="20"/>
                <w:szCs w:val="20"/>
              </w:rPr>
              <w:t>)</w:t>
            </w:r>
          </w:p>
        </w:tc>
        <w:tc>
          <w:tcPr>
            <w:tcW w:w="865" w:type="pct"/>
            <w:tcBorders>
              <w:top w:val="single" w:sz="4" w:space="0" w:color="auto"/>
              <w:left w:val="single" w:sz="4" w:space="0" w:color="auto"/>
              <w:bottom w:val="single" w:sz="4" w:space="0" w:color="auto"/>
              <w:right w:val="single" w:sz="4" w:space="0" w:color="auto"/>
            </w:tcBorders>
          </w:tcPr>
          <w:p w:rsidR="002F143B" w:rsidRPr="001A3E21" w:rsidRDefault="002F143B" w:rsidP="00F17705">
            <w:pPr>
              <w:widowControl w:val="0"/>
              <w:autoSpaceDE w:val="0"/>
              <w:autoSpaceDN w:val="0"/>
              <w:adjustRightInd w:val="0"/>
              <w:spacing w:beforeLines="60" w:before="144" w:afterLines="60" w:after="144"/>
              <w:contextualSpacing/>
              <w:rPr>
                <w:rFonts w:eastAsia="Calibri" w:cs="Calibri"/>
                <w:sz w:val="20"/>
                <w:szCs w:val="20"/>
              </w:rPr>
            </w:pPr>
            <w:r>
              <w:rPr>
                <w:rFonts w:eastAsia="Calibri" w:cs="Calibri"/>
                <w:sz w:val="20"/>
                <w:szCs w:val="20"/>
              </w:rPr>
              <w:t>Cross-sectional, multicentre</w:t>
            </w:r>
          </w:p>
        </w:tc>
        <w:tc>
          <w:tcPr>
            <w:tcW w:w="1132" w:type="pct"/>
            <w:tcBorders>
              <w:top w:val="single" w:sz="4" w:space="0" w:color="auto"/>
              <w:left w:val="single" w:sz="4" w:space="0" w:color="auto"/>
              <w:bottom w:val="single" w:sz="4" w:space="0" w:color="auto"/>
              <w:right w:val="single" w:sz="4" w:space="0" w:color="auto"/>
            </w:tcBorders>
          </w:tcPr>
          <w:p w:rsidR="002F143B" w:rsidRPr="00FD32F4" w:rsidRDefault="002F143B" w:rsidP="00F17705">
            <w:pPr>
              <w:widowControl w:val="0"/>
              <w:autoSpaceDE w:val="0"/>
              <w:autoSpaceDN w:val="0"/>
              <w:adjustRightInd w:val="0"/>
              <w:spacing w:before="100" w:beforeAutospacing="1" w:after="100" w:afterAutospacing="1"/>
              <w:rPr>
                <w:rFonts w:eastAsia="Calibri" w:cs="Calibri"/>
                <w:sz w:val="20"/>
                <w:szCs w:val="20"/>
              </w:rPr>
            </w:pPr>
            <w:r w:rsidRPr="00FD32F4">
              <w:rPr>
                <w:rFonts w:eastAsia="Calibri" w:cs="Calibri"/>
                <w:sz w:val="20"/>
                <w:szCs w:val="20"/>
              </w:rPr>
              <w:t>Dermatology patients (consecutive)</w:t>
            </w:r>
          </w:p>
        </w:tc>
        <w:tc>
          <w:tcPr>
            <w:tcW w:w="1311" w:type="pct"/>
            <w:tcBorders>
              <w:top w:val="single" w:sz="4" w:space="0" w:color="auto"/>
              <w:left w:val="single" w:sz="4" w:space="0" w:color="auto"/>
              <w:bottom w:val="single" w:sz="4" w:space="0" w:color="auto"/>
              <w:right w:val="single" w:sz="4" w:space="0" w:color="auto"/>
            </w:tcBorders>
          </w:tcPr>
          <w:p w:rsidR="002F143B" w:rsidRDefault="002F143B" w:rsidP="00F17705">
            <w:pPr>
              <w:pStyle w:val="ListParagraph"/>
              <w:widowControl w:val="0"/>
              <w:numPr>
                <w:ilvl w:val="0"/>
                <w:numId w:val="16"/>
              </w:numPr>
              <w:autoSpaceDE w:val="0"/>
              <w:autoSpaceDN w:val="0"/>
              <w:adjustRightInd w:val="0"/>
              <w:ind w:left="118" w:hanging="118"/>
              <w:rPr>
                <w:rFonts w:eastAsia="Calibri" w:cs="Calibri"/>
                <w:sz w:val="20"/>
                <w:szCs w:val="20"/>
              </w:rPr>
            </w:pPr>
            <w:r>
              <w:rPr>
                <w:rFonts w:eastAsia="Calibri" w:cs="Calibri"/>
                <w:sz w:val="20"/>
                <w:szCs w:val="20"/>
              </w:rPr>
              <w:t>≥ 18 years</w:t>
            </w:r>
          </w:p>
          <w:p w:rsidR="002F143B" w:rsidRDefault="002F143B" w:rsidP="00F17705">
            <w:pPr>
              <w:pStyle w:val="ListParagraph"/>
              <w:widowControl w:val="0"/>
              <w:numPr>
                <w:ilvl w:val="0"/>
                <w:numId w:val="16"/>
              </w:numPr>
              <w:autoSpaceDE w:val="0"/>
              <w:autoSpaceDN w:val="0"/>
              <w:adjustRightInd w:val="0"/>
              <w:ind w:left="118" w:hanging="118"/>
              <w:rPr>
                <w:rFonts w:eastAsia="Calibri" w:cs="Calibri"/>
                <w:sz w:val="20"/>
                <w:szCs w:val="20"/>
              </w:rPr>
            </w:pPr>
            <w:r>
              <w:rPr>
                <w:rFonts w:eastAsia="Calibri" w:cs="Calibri"/>
                <w:sz w:val="20"/>
                <w:szCs w:val="20"/>
              </w:rPr>
              <w:t>CPP</w:t>
            </w:r>
            <w:r w:rsidRPr="00DD7037">
              <w:rPr>
                <w:rFonts w:eastAsia="Calibri" w:cs="Calibri"/>
                <w:sz w:val="20"/>
                <w:szCs w:val="20"/>
              </w:rPr>
              <w:t xml:space="preserve"> diagnosis</w:t>
            </w:r>
          </w:p>
          <w:p w:rsidR="002F143B" w:rsidRPr="00422910" w:rsidRDefault="002F143B" w:rsidP="00F17705">
            <w:pPr>
              <w:pStyle w:val="ListParagraph"/>
              <w:widowControl w:val="0"/>
              <w:numPr>
                <w:ilvl w:val="0"/>
                <w:numId w:val="16"/>
              </w:numPr>
              <w:autoSpaceDE w:val="0"/>
              <w:autoSpaceDN w:val="0"/>
              <w:adjustRightInd w:val="0"/>
              <w:ind w:left="118" w:hanging="118"/>
              <w:rPr>
                <w:rFonts w:eastAsia="Calibri" w:cs="Calibri"/>
                <w:sz w:val="20"/>
                <w:szCs w:val="20"/>
              </w:rPr>
            </w:pPr>
            <w:r>
              <w:rPr>
                <w:rFonts w:eastAsia="Calibri" w:cs="Calibri"/>
                <w:sz w:val="20"/>
                <w:szCs w:val="20"/>
              </w:rPr>
              <w:t>Clinical record at outpatient clinic</w:t>
            </w:r>
          </w:p>
        </w:tc>
        <w:tc>
          <w:tcPr>
            <w:tcW w:w="987" w:type="pct"/>
            <w:tcBorders>
              <w:top w:val="single" w:sz="4" w:space="0" w:color="auto"/>
              <w:left w:val="single" w:sz="4" w:space="0" w:color="auto"/>
              <w:bottom w:val="single" w:sz="4" w:space="0" w:color="auto"/>
              <w:right w:val="single" w:sz="4" w:space="0" w:color="auto"/>
            </w:tcBorders>
          </w:tcPr>
          <w:p w:rsidR="002F143B" w:rsidRPr="00422910" w:rsidRDefault="002F143B" w:rsidP="00F17705">
            <w:pPr>
              <w:pStyle w:val="ListParagraph"/>
              <w:widowControl w:val="0"/>
              <w:numPr>
                <w:ilvl w:val="0"/>
                <w:numId w:val="16"/>
              </w:numPr>
              <w:autoSpaceDE w:val="0"/>
              <w:autoSpaceDN w:val="0"/>
              <w:adjustRightInd w:val="0"/>
              <w:spacing w:beforeLines="60" w:before="144" w:afterLines="60" w:after="144"/>
              <w:ind w:left="22" w:hanging="141"/>
              <w:rPr>
                <w:rFonts w:eastAsia="Calibri" w:cs="Calibri"/>
                <w:sz w:val="20"/>
                <w:szCs w:val="20"/>
              </w:rPr>
            </w:pPr>
            <w:r>
              <w:rPr>
                <w:rFonts w:eastAsia="Calibri" w:cs="Calibri"/>
                <w:sz w:val="20"/>
                <w:szCs w:val="20"/>
              </w:rPr>
              <w:t>Recent clinical trial participation</w:t>
            </w:r>
          </w:p>
        </w:tc>
      </w:tr>
      <w:tr w:rsidR="002F143B" w:rsidRPr="001A3E21" w:rsidTr="00544C51">
        <w:tblPrEx>
          <w:tblLook w:val="0600" w:firstRow="0" w:lastRow="0" w:firstColumn="0" w:lastColumn="0" w:noHBand="1" w:noVBand="1"/>
        </w:tblPrEx>
        <w:trPr>
          <w:trHeight w:val="353"/>
        </w:trPr>
        <w:tc>
          <w:tcPr>
            <w:tcW w:w="705" w:type="pct"/>
            <w:tcBorders>
              <w:top w:val="single" w:sz="4" w:space="0" w:color="auto"/>
              <w:left w:val="single" w:sz="4" w:space="0" w:color="auto"/>
              <w:bottom w:val="single" w:sz="4" w:space="0" w:color="auto"/>
              <w:right w:val="single" w:sz="4" w:space="0" w:color="auto"/>
            </w:tcBorders>
          </w:tcPr>
          <w:p w:rsidR="002F143B" w:rsidRPr="00C873D4" w:rsidRDefault="002F143B" w:rsidP="00544C51">
            <w:pPr>
              <w:widowControl w:val="0"/>
              <w:spacing w:beforeLines="60" w:before="144" w:afterLines="60" w:after="144"/>
              <w:contextualSpacing/>
              <w:rPr>
                <w:rFonts w:eastAsia="Calibri"/>
                <w:sz w:val="20"/>
                <w:szCs w:val="20"/>
              </w:rPr>
            </w:pPr>
            <w:r w:rsidRPr="003E055C">
              <w:rPr>
                <w:rFonts w:eastAsia="Calibri"/>
                <w:sz w:val="20"/>
                <w:szCs w:val="20"/>
              </w:rPr>
              <w:t xml:space="preserve">Karreman </w:t>
            </w:r>
            <w:r>
              <w:rPr>
                <w:rFonts w:eastAsia="Calibri"/>
                <w:sz w:val="20"/>
                <w:szCs w:val="20"/>
              </w:rPr>
              <w:t>(</w:t>
            </w:r>
            <w:r w:rsidRPr="003E055C">
              <w:rPr>
                <w:rFonts w:eastAsia="Calibri"/>
                <w:sz w:val="20"/>
                <w:szCs w:val="20"/>
              </w:rPr>
              <w:t>2017</w:t>
            </w:r>
            <w:r>
              <w:rPr>
                <w:rFonts w:eastAsia="Calibri"/>
                <w:sz w:val="20"/>
                <w:szCs w:val="20"/>
              </w:rPr>
              <w:t>)</w:t>
            </w:r>
          </w:p>
        </w:tc>
        <w:tc>
          <w:tcPr>
            <w:tcW w:w="865" w:type="pct"/>
            <w:tcBorders>
              <w:top w:val="single" w:sz="4" w:space="0" w:color="auto"/>
              <w:left w:val="single" w:sz="4" w:space="0" w:color="auto"/>
              <w:bottom w:val="single" w:sz="4" w:space="0" w:color="auto"/>
              <w:right w:val="single" w:sz="4" w:space="0" w:color="auto"/>
            </w:tcBorders>
          </w:tcPr>
          <w:p w:rsidR="002F143B" w:rsidRPr="001A3E21" w:rsidRDefault="002F143B" w:rsidP="00F17705">
            <w:pPr>
              <w:widowControl w:val="0"/>
              <w:autoSpaceDE w:val="0"/>
              <w:autoSpaceDN w:val="0"/>
              <w:adjustRightInd w:val="0"/>
              <w:spacing w:beforeLines="60" w:before="144" w:afterLines="60" w:after="144"/>
              <w:contextualSpacing/>
              <w:rPr>
                <w:rFonts w:eastAsia="Calibri" w:cs="Calibri"/>
                <w:sz w:val="20"/>
                <w:szCs w:val="20"/>
              </w:rPr>
            </w:pPr>
            <w:r w:rsidRPr="00422910">
              <w:rPr>
                <w:rFonts w:eastAsia="Calibri" w:cs="Calibri"/>
                <w:sz w:val="20"/>
                <w:szCs w:val="20"/>
              </w:rPr>
              <w:t>Cross-sectional</w:t>
            </w:r>
            <w:r>
              <w:rPr>
                <w:rFonts w:eastAsia="Calibri" w:cs="Calibri"/>
                <w:sz w:val="20"/>
                <w:szCs w:val="20"/>
              </w:rPr>
              <w:t xml:space="preserve"> (screening)</w:t>
            </w:r>
          </w:p>
        </w:tc>
        <w:tc>
          <w:tcPr>
            <w:tcW w:w="1132" w:type="pct"/>
            <w:tcBorders>
              <w:top w:val="single" w:sz="4" w:space="0" w:color="auto"/>
              <w:left w:val="single" w:sz="4" w:space="0" w:color="auto"/>
              <w:bottom w:val="single" w:sz="4" w:space="0" w:color="auto"/>
              <w:right w:val="single" w:sz="4" w:space="0" w:color="auto"/>
            </w:tcBorders>
          </w:tcPr>
          <w:p w:rsidR="002F143B" w:rsidRPr="00FD32F4" w:rsidRDefault="002F143B" w:rsidP="00F17705">
            <w:pPr>
              <w:widowControl w:val="0"/>
              <w:autoSpaceDE w:val="0"/>
              <w:autoSpaceDN w:val="0"/>
              <w:adjustRightInd w:val="0"/>
              <w:spacing w:before="100" w:beforeAutospacing="1" w:after="100" w:afterAutospacing="1"/>
              <w:rPr>
                <w:rFonts w:eastAsia="Calibri" w:cs="Calibri"/>
                <w:sz w:val="20"/>
                <w:szCs w:val="20"/>
              </w:rPr>
            </w:pPr>
            <w:r w:rsidRPr="00FD32F4">
              <w:rPr>
                <w:rFonts w:eastAsia="Calibri" w:cs="Calibri"/>
                <w:sz w:val="20"/>
                <w:szCs w:val="20"/>
              </w:rPr>
              <w:t>GP referral</w:t>
            </w:r>
          </w:p>
        </w:tc>
        <w:tc>
          <w:tcPr>
            <w:tcW w:w="1311" w:type="pct"/>
            <w:tcBorders>
              <w:top w:val="single" w:sz="4" w:space="0" w:color="auto"/>
              <w:left w:val="single" w:sz="4" w:space="0" w:color="auto"/>
              <w:bottom w:val="single" w:sz="4" w:space="0" w:color="auto"/>
              <w:right w:val="single" w:sz="4" w:space="0" w:color="auto"/>
            </w:tcBorders>
          </w:tcPr>
          <w:p w:rsidR="002F143B" w:rsidRDefault="002F143B" w:rsidP="00F17705">
            <w:pPr>
              <w:pStyle w:val="ListParagraph"/>
              <w:widowControl w:val="0"/>
              <w:numPr>
                <w:ilvl w:val="0"/>
                <w:numId w:val="16"/>
              </w:numPr>
              <w:autoSpaceDE w:val="0"/>
              <w:autoSpaceDN w:val="0"/>
              <w:adjustRightInd w:val="0"/>
              <w:ind w:left="118" w:hanging="118"/>
              <w:rPr>
                <w:rFonts w:eastAsia="Calibri" w:cs="Calibri"/>
                <w:sz w:val="20"/>
                <w:szCs w:val="20"/>
              </w:rPr>
            </w:pPr>
            <w:r>
              <w:rPr>
                <w:rFonts w:eastAsia="Calibri" w:cs="Calibri"/>
                <w:sz w:val="20"/>
                <w:szCs w:val="20"/>
              </w:rPr>
              <w:t>≥ 18 years</w:t>
            </w:r>
          </w:p>
          <w:p w:rsidR="002F143B" w:rsidRPr="0062231E" w:rsidRDefault="002F143B" w:rsidP="00F17705">
            <w:pPr>
              <w:pStyle w:val="ListParagraph"/>
              <w:widowControl w:val="0"/>
              <w:numPr>
                <w:ilvl w:val="0"/>
                <w:numId w:val="16"/>
              </w:numPr>
              <w:autoSpaceDE w:val="0"/>
              <w:autoSpaceDN w:val="0"/>
              <w:adjustRightInd w:val="0"/>
              <w:ind w:left="118" w:hanging="118"/>
              <w:rPr>
                <w:rFonts w:eastAsia="Calibri" w:cs="Calibri"/>
                <w:sz w:val="20"/>
                <w:szCs w:val="20"/>
              </w:rPr>
            </w:pPr>
            <w:r w:rsidRPr="0062231E">
              <w:rPr>
                <w:rFonts w:eastAsia="Calibri" w:cs="Calibri"/>
                <w:sz w:val="20"/>
                <w:szCs w:val="20"/>
              </w:rPr>
              <w:t>Psoriasis diagnosis</w:t>
            </w:r>
          </w:p>
        </w:tc>
        <w:tc>
          <w:tcPr>
            <w:tcW w:w="987" w:type="pct"/>
            <w:tcBorders>
              <w:top w:val="single" w:sz="4" w:space="0" w:color="auto"/>
              <w:left w:val="single" w:sz="4" w:space="0" w:color="auto"/>
              <w:bottom w:val="single" w:sz="4" w:space="0" w:color="auto"/>
              <w:right w:val="single" w:sz="4" w:space="0" w:color="auto"/>
            </w:tcBorders>
          </w:tcPr>
          <w:p w:rsidR="002F143B" w:rsidRPr="001A3E21" w:rsidRDefault="002F143B" w:rsidP="00F17705">
            <w:pPr>
              <w:widowControl w:val="0"/>
              <w:autoSpaceDE w:val="0"/>
              <w:autoSpaceDN w:val="0"/>
              <w:adjustRightInd w:val="0"/>
              <w:spacing w:beforeLines="60" w:before="144" w:afterLines="60" w:after="144"/>
              <w:contextualSpacing/>
              <w:rPr>
                <w:rFonts w:eastAsia="Calibri" w:cs="Calibri"/>
                <w:sz w:val="20"/>
                <w:szCs w:val="20"/>
              </w:rPr>
            </w:pPr>
            <w:r>
              <w:rPr>
                <w:rFonts w:eastAsia="Calibri" w:cs="Calibri"/>
                <w:sz w:val="20"/>
                <w:szCs w:val="20"/>
              </w:rPr>
              <w:t>PsA diagnosis</w:t>
            </w:r>
          </w:p>
        </w:tc>
      </w:tr>
      <w:tr w:rsidR="002F143B" w:rsidRPr="001A3E21" w:rsidTr="00544C51">
        <w:tblPrEx>
          <w:tblLook w:val="0600" w:firstRow="0" w:lastRow="0" w:firstColumn="0" w:lastColumn="0" w:noHBand="1" w:noVBand="1"/>
        </w:tblPrEx>
        <w:trPr>
          <w:trHeight w:val="353"/>
        </w:trPr>
        <w:tc>
          <w:tcPr>
            <w:tcW w:w="705" w:type="pct"/>
            <w:tcBorders>
              <w:top w:val="single" w:sz="4" w:space="0" w:color="auto"/>
              <w:left w:val="single" w:sz="4" w:space="0" w:color="auto"/>
              <w:bottom w:val="single" w:sz="4" w:space="0" w:color="auto"/>
              <w:right w:val="single" w:sz="4" w:space="0" w:color="auto"/>
            </w:tcBorders>
          </w:tcPr>
          <w:p w:rsidR="002F143B" w:rsidRPr="00C873D4" w:rsidRDefault="002F143B" w:rsidP="00544C51">
            <w:pPr>
              <w:widowControl w:val="0"/>
              <w:spacing w:beforeLines="60" w:before="144" w:afterLines="60" w:after="144"/>
              <w:contextualSpacing/>
              <w:rPr>
                <w:rFonts w:eastAsia="Calibri"/>
                <w:sz w:val="20"/>
                <w:szCs w:val="20"/>
              </w:rPr>
            </w:pPr>
            <w:r w:rsidRPr="003E055C">
              <w:rPr>
                <w:rFonts w:eastAsia="Calibri"/>
                <w:sz w:val="20"/>
                <w:szCs w:val="20"/>
              </w:rPr>
              <w:t xml:space="preserve">Korman </w:t>
            </w:r>
            <w:r>
              <w:rPr>
                <w:rFonts w:eastAsia="Calibri"/>
                <w:sz w:val="20"/>
                <w:szCs w:val="20"/>
              </w:rPr>
              <w:t>(</w:t>
            </w:r>
            <w:r w:rsidRPr="003E055C">
              <w:rPr>
                <w:rFonts w:eastAsia="Calibri"/>
                <w:sz w:val="20"/>
                <w:szCs w:val="20"/>
              </w:rPr>
              <w:t>2015</w:t>
            </w:r>
            <w:r>
              <w:rPr>
                <w:rFonts w:eastAsia="Calibri"/>
                <w:sz w:val="20"/>
                <w:szCs w:val="20"/>
              </w:rPr>
              <w:t>)</w:t>
            </w:r>
          </w:p>
        </w:tc>
        <w:tc>
          <w:tcPr>
            <w:tcW w:w="865" w:type="pct"/>
            <w:tcBorders>
              <w:top w:val="single" w:sz="4" w:space="0" w:color="auto"/>
              <w:left w:val="single" w:sz="4" w:space="0" w:color="auto"/>
              <w:bottom w:val="single" w:sz="4" w:space="0" w:color="auto"/>
              <w:right w:val="single" w:sz="4" w:space="0" w:color="auto"/>
            </w:tcBorders>
          </w:tcPr>
          <w:p w:rsidR="002F143B" w:rsidRPr="001A3E21" w:rsidRDefault="002F143B" w:rsidP="00F17705">
            <w:pPr>
              <w:widowControl w:val="0"/>
              <w:autoSpaceDE w:val="0"/>
              <w:autoSpaceDN w:val="0"/>
              <w:adjustRightInd w:val="0"/>
              <w:spacing w:beforeLines="60" w:before="144" w:afterLines="60" w:after="144"/>
              <w:contextualSpacing/>
              <w:rPr>
                <w:rFonts w:eastAsia="Calibri" w:cs="Calibri"/>
                <w:sz w:val="20"/>
                <w:szCs w:val="20"/>
              </w:rPr>
            </w:pPr>
            <w:r>
              <w:rPr>
                <w:rFonts w:eastAsia="Calibri" w:cs="Calibri"/>
                <w:sz w:val="20"/>
                <w:szCs w:val="20"/>
              </w:rPr>
              <w:t>Cross-sectional</w:t>
            </w:r>
          </w:p>
        </w:tc>
        <w:tc>
          <w:tcPr>
            <w:tcW w:w="1132" w:type="pct"/>
            <w:tcBorders>
              <w:top w:val="single" w:sz="4" w:space="0" w:color="auto"/>
              <w:left w:val="single" w:sz="4" w:space="0" w:color="auto"/>
              <w:bottom w:val="single" w:sz="4" w:space="0" w:color="auto"/>
              <w:right w:val="single" w:sz="4" w:space="0" w:color="auto"/>
            </w:tcBorders>
          </w:tcPr>
          <w:p w:rsidR="002F143B" w:rsidRPr="00FD32F4" w:rsidRDefault="002F143B" w:rsidP="00F17705">
            <w:pPr>
              <w:widowControl w:val="0"/>
              <w:autoSpaceDE w:val="0"/>
              <w:autoSpaceDN w:val="0"/>
              <w:adjustRightInd w:val="0"/>
              <w:spacing w:before="100" w:beforeAutospacing="1" w:after="100" w:afterAutospacing="1"/>
              <w:rPr>
                <w:rFonts w:eastAsia="Calibri" w:cs="Calibri"/>
                <w:sz w:val="20"/>
                <w:szCs w:val="20"/>
              </w:rPr>
            </w:pPr>
            <w:r w:rsidRPr="00FD32F4">
              <w:rPr>
                <w:rFonts w:eastAsia="Calibri" w:cs="Calibri"/>
                <w:sz w:val="20"/>
                <w:szCs w:val="20"/>
              </w:rPr>
              <w:t>Representative health survey</w:t>
            </w:r>
          </w:p>
        </w:tc>
        <w:tc>
          <w:tcPr>
            <w:tcW w:w="1311" w:type="pct"/>
            <w:tcBorders>
              <w:top w:val="single" w:sz="4" w:space="0" w:color="auto"/>
              <w:left w:val="single" w:sz="4" w:space="0" w:color="auto"/>
              <w:bottom w:val="single" w:sz="4" w:space="0" w:color="auto"/>
              <w:right w:val="single" w:sz="4" w:space="0" w:color="auto"/>
            </w:tcBorders>
          </w:tcPr>
          <w:p w:rsidR="002F143B" w:rsidRDefault="002F143B" w:rsidP="00F17705">
            <w:pPr>
              <w:pStyle w:val="ListParagraph"/>
              <w:widowControl w:val="0"/>
              <w:numPr>
                <w:ilvl w:val="0"/>
                <w:numId w:val="16"/>
              </w:numPr>
              <w:autoSpaceDE w:val="0"/>
              <w:autoSpaceDN w:val="0"/>
              <w:adjustRightInd w:val="0"/>
              <w:ind w:left="118" w:hanging="118"/>
              <w:rPr>
                <w:rFonts w:eastAsia="Calibri" w:cs="Calibri"/>
                <w:sz w:val="20"/>
                <w:szCs w:val="20"/>
              </w:rPr>
            </w:pPr>
            <w:r>
              <w:rPr>
                <w:rFonts w:eastAsia="Calibri" w:cs="Calibri"/>
                <w:sz w:val="20"/>
                <w:szCs w:val="20"/>
              </w:rPr>
              <w:t>≥ 20 years</w:t>
            </w:r>
          </w:p>
          <w:p w:rsidR="002F143B" w:rsidRDefault="002F143B" w:rsidP="00F17705">
            <w:pPr>
              <w:pStyle w:val="ListParagraph"/>
              <w:widowControl w:val="0"/>
              <w:numPr>
                <w:ilvl w:val="0"/>
                <w:numId w:val="16"/>
              </w:numPr>
              <w:autoSpaceDE w:val="0"/>
              <w:autoSpaceDN w:val="0"/>
              <w:adjustRightInd w:val="0"/>
              <w:ind w:left="118" w:hanging="118"/>
              <w:rPr>
                <w:rFonts w:eastAsia="Calibri" w:cs="Calibri"/>
                <w:sz w:val="20"/>
                <w:szCs w:val="20"/>
              </w:rPr>
            </w:pPr>
            <w:r w:rsidRPr="00422910">
              <w:rPr>
                <w:rFonts w:eastAsia="Calibri" w:cs="Calibri"/>
                <w:sz w:val="20"/>
                <w:szCs w:val="20"/>
              </w:rPr>
              <w:t xml:space="preserve">Psoriasis </w:t>
            </w:r>
            <w:r>
              <w:rPr>
                <w:rFonts w:eastAsia="Calibri" w:cs="Calibri"/>
                <w:sz w:val="20"/>
                <w:szCs w:val="20"/>
              </w:rPr>
              <w:t>(self-reported)</w:t>
            </w:r>
          </w:p>
          <w:p w:rsidR="002F143B" w:rsidRPr="001A3E21" w:rsidRDefault="002F143B" w:rsidP="00F17705">
            <w:pPr>
              <w:widowControl w:val="0"/>
              <w:autoSpaceDE w:val="0"/>
              <w:autoSpaceDN w:val="0"/>
              <w:adjustRightInd w:val="0"/>
              <w:contextualSpacing/>
              <w:rPr>
                <w:rFonts w:eastAsia="Calibri" w:cs="Calibri"/>
                <w:sz w:val="20"/>
                <w:szCs w:val="20"/>
              </w:rPr>
            </w:pPr>
          </w:p>
        </w:tc>
        <w:tc>
          <w:tcPr>
            <w:tcW w:w="987" w:type="pct"/>
            <w:tcBorders>
              <w:top w:val="single" w:sz="4" w:space="0" w:color="auto"/>
              <w:left w:val="single" w:sz="4" w:space="0" w:color="auto"/>
              <w:bottom w:val="single" w:sz="4" w:space="0" w:color="auto"/>
              <w:right w:val="single" w:sz="4" w:space="0" w:color="auto"/>
            </w:tcBorders>
            <w:vAlign w:val="center"/>
          </w:tcPr>
          <w:p w:rsidR="002F143B" w:rsidRPr="001A3E21" w:rsidRDefault="002F143B" w:rsidP="00F17705">
            <w:pPr>
              <w:widowControl w:val="0"/>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w:t>
            </w:r>
          </w:p>
        </w:tc>
      </w:tr>
      <w:tr w:rsidR="002F143B" w:rsidRPr="001A3E21" w:rsidTr="00544C51">
        <w:tblPrEx>
          <w:tblLook w:val="0600" w:firstRow="0" w:lastRow="0" w:firstColumn="0" w:lastColumn="0" w:noHBand="1" w:noVBand="1"/>
        </w:tblPrEx>
        <w:trPr>
          <w:trHeight w:val="353"/>
        </w:trPr>
        <w:tc>
          <w:tcPr>
            <w:tcW w:w="705" w:type="pct"/>
            <w:tcBorders>
              <w:top w:val="single" w:sz="4" w:space="0" w:color="auto"/>
              <w:left w:val="single" w:sz="4" w:space="0" w:color="auto"/>
              <w:bottom w:val="single" w:sz="4" w:space="0" w:color="auto"/>
              <w:right w:val="single" w:sz="4" w:space="0" w:color="auto"/>
            </w:tcBorders>
          </w:tcPr>
          <w:p w:rsidR="002F143B" w:rsidRPr="00CF00E1" w:rsidRDefault="002F143B" w:rsidP="00544C51">
            <w:pPr>
              <w:widowControl w:val="0"/>
              <w:spacing w:beforeLines="60" w:before="144" w:afterLines="60" w:after="144"/>
              <w:contextualSpacing/>
              <w:rPr>
                <w:rFonts w:eastAsia="Calibri"/>
                <w:sz w:val="20"/>
                <w:szCs w:val="20"/>
              </w:rPr>
            </w:pPr>
            <w:r w:rsidRPr="00C873D4">
              <w:rPr>
                <w:rFonts w:eastAsia="Calibri"/>
                <w:sz w:val="20"/>
                <w:szCs w:val="20"/>
              </w:rPr>
              <w:t>Mallbris</w:t>
            </w:r>
            <w:r>
              <w:rPr>
                <w:rFonts w:eastAsia="Calibri"/>
                <w:sz w:val="20"/>
                <w:szCs w:val="20"/>
              </w:rPr>
              <w:t xml:space="preserve"> (</w:t>
            </w:r>
            <w:r w:rsidRPr="00C873D4">
              <w:rPr>
                <w:rFonts w:eastAsia="Calibri"/>
                <w:sz w:val="20"/>
                <w:szCs w:val="20"/>
              </w:rPr>
              <w:t>2005)</w:t>
            </w:r>
          </w:p>
        </w:tc>
        <w:tc>
          <w:tcPr>
            <w:tcW w:w="865" w:type="pct"/>
            <w:tcBorders>
              <w:top w:val="single" w:sz="4" w:space="0" w:color="auto"/>
              <w:left w:val="single" w:sz="4" w:space="0" w:color="auto"/>
              <w:bottom w:val="single" w:sz="4" w:space="0" w:color="auto"/>
              <w:right w:val="single" w:sz="4" w:space="0" w:color="auto"/>
            </w:tcBorders>
          </w:tcPr>
          <w:p w:rsidR="002F143B" w:rsidRPr="001A3E21" w:rsidRDefault="002F143B" w:rsidP="00F17705">
            <w:pPr>
              <w:widowControl w:val="0"/>
              <w:autoSpaceDE w:val="0"/>
              <w:autoSpaceDN w:val="0"/>
              <w:adjustRightInd w:val="0"/>
              <w:spacing w:beforeLines="60" w:before="144" w:afterLines="60" w:after="144"/>
              <w:contextualSpacing/>
              <w:rPr>
                <w:rFonts w:eastAsia="Calibri" w:cs="Calibri"/>
                <w:sz w:val="20"/>
                <w:szCs w:val="20"/>
              </w:rPr>
            </w:pPr>
            <w:r>
              <w:rPr>
                <w:rFonts w:eastAsia="Calibri" w:cs="Calibri"/>
                <w:sz w:val="20"/>
                <w:szCs w:val="20"/>
              </w:rPr>
              <w:t>Cross-sectional</w:t>
            </w:r>
          </w:p>
        </w:tc>
        <w:tc>
          <w:tcPr>
            <w:tcW w:w="1132" w:type="pct"/>
            <w:tcBorders>
              <w:top w:val="single" w:sz="4" w:space="0" w:color="auto"/>
              <w:left w:val="single" w:sz="4" w:space="0" w:color="auto"/>
              <w:bottom w:val="single" w:sz="4" w:space="0" w:color="auto"/>
              <w:right w:val="single" w:sz="4" w:space="0" w:color="auto"/>
            </w:tcBorders>
          </w:tcPr>
          <w:p w:rsidR="002F143B" w:rsidRDefault="002F143B" w:rsidP="00F17705">
            <w:pPr>
              <w:pStyle w:val="ListParagraph"/>
              <w:widowControl w:val="0"/>
              <w:numPr>
                <w:ilvl w:val="0"/>
                <w:numId w:val="23"/>
              </w:numPr>
              <w:autoSpaceDE w:val="0"/>
              <w:autoSpaceDN w:val="0"/>
              <w:adjustRightInd w:val="0"/>
              <w:spacing w:before="100" w:beforeAutospacing="1" w:after="100" w:afterAutospacing="1"/>
              <w:ind w:left="175" w:hanging="175"/>
              <w:rPr>
                <w:rFonts w:eastAsia="Calibri" w:cs="Calibri"/>
                <w:sz w:val="20"/>
                <w:szCs w:val="20"/>
              </w:rPr>
            </w:pPr>
            <w:r>
              <w:rPr>
                <w:rFonts w:eastAsia="Calibri" w:cs="Calibri"/>
                <w:sz w:val="20"/>
                <w:szCs w:val="20"/>
              </w:rPr>
              <w:t>Newspaper advertisements</w:t>
            </w:r>
          </w:p>
          <w:p w:rsidR="002F143B" w:rsidRDefault="002F143B" w:rsidP="00F17705">
            <w:pPr>
              <w:pStyle w:val="ListParagraph"/>
              <w:widowControl w:val="0"/>
              <w:numPr>
                <w:ilvl w:val="0"/>
                <w:numId w:val="23"/>
              </w:numPr>
              <w:autoSpaceDE w:val="0"/>
              <w:autoSpaceDN w:val="0"/>
              <w:adjustRightInd w:val="0"/>
              <w:spacing w:before="100" w:beforeAutospacing="1" w:after="100" w:afterAutospacing="1"/>
              <w:ind w:left="175" w:hanging="175"/>
              <w:rPr>
                <w:rFonts w:eastAsia="Calibri" w:cs="Calibri"/>
                <w:sz w:val="20"/>
                <w:szCs w:val="20"/>
              </w:rPr>
            </w:pPr>
            <w:r>
              <w:rPr>
                <w:rFonts w:eastAsia="Calibri" w:cs="Calibri"/>
                <w:sz w:val="20"/>
                <w:szCs w:val="20"/>
              </w:rPr>
              <w:t>Swedish Psoriasis Association</w:t>
            </w:r>
          </w:p>
          <w:p w:rsidR="002F143B" w:rsidRPr="0062231E" w:rsidRDefault="002F143B" w:rsidP="00F17705">
            <w:pPr>
              <w:pStyle w:val="ListParagraph"/>
              <w:widowControl w:val="0"/>
              <w:numPr>
                <w:ilvl w:val="0"/>
                <w:numId w:val="23"/>
              </w:numPr>
              <w:autoSpaceDE w:val="0"/>
              <w:autoSpaceDN w:val="0"/>
              <w:adjustRightInd w:val="0"/>
              <w:spacing w:before="100" w:beforeAutospacing="1" w:after="100" w:afterAutospacing="1"/>
              <w:ind w:left="175" w:hanging="175"/>
              <w:rPr>
                <w:rFonts w:eastAsia="Calibri" w:cs="Calibri"/>
                <w:sz w:val="20"/>
                <w:szCs w:val="20"/>
              </w:rPr>
            </w:pPr>
            <w:r>
              <w:rPr>
                <w:rFonts w:eastAsia="Calibri" w:cs="Calibri"/>
                <w:sz w:val="20"/>
                <w:szCs w:val="20"/>
              </w:rPr>
              <w:t xml:space="preserve">Healthcare </w:t>
            </w:r>
            <w:r w:rsidR="00D03E43">
              <w:rPr>
                <w:rFonts w:eastAsia="Calibri" w:cs="Calibri"/>
                <w:sz w:val="20"/>
                <w:szCs w:val="20"/>
              </w:rPr>
              <w:t>professionals</w:t>
            </w:r>
          </w:p>
        </w:tc>
        <w:tc>
          <w:tcPr>
            <w:tcW w:w="1311" w:type="pct"/>
            <w:tcBorders>
              <w:top w:val="single" w:sz="4" w:space="0" w:color="auto"/>
              <w:left w:val="single" w:sz="4" w:space="0" w:color="auto"/>
              <w:bottom w:val="single" w:sz="4" w:space="0" w:color="auto"/>
              <w:right w:val="single" w:sz="4" w:space="0" w:color="auto"/>
            </w:tcBorders>
          </w:tcPr>
          <w:p w:rsidR="002F143B" w:rsidRDefault="002F143B" w:rsidP="00F17705">
            <w:pPr>
              <w:pStyle w:val="ListParagraph"/>
              <w:widowControl w:val="0"/>
              <w:numPr>
                <w:ilvl w:val="0"/>
                <w:numId w:val="16"/>
              </w:numPr>
              <w:autoSpaceDE w:val="0"/>
              <w:autoSpaceDN w:val="0"/>
              <w:adjustRightInd w:val="0"/>
              <w:ind w:left="118" w:hanging="118"/>
              <w:rPr>
                <w:rFonts w:eastAsia="Calibri" w:cs="Calibri"/>
                <w:sz w:val="20"/>
                <w:szCs w:val="20"/>
              </w:rPr>
            </w:pPr>
            <w:r>
              <w:rPr>
                <w:rFonts w:eastAsia="Calibri" w:cs="Calibri"/>
                <w:sz w:val="20"/>
                <w:szCs w:val="20"/>
              </w:rPr>
              <w:t>≥ 15 years</w:t>
            </w:r>
          </w:p>
          <w:p w:rsidR="002F143B" w:rsidRPr="0062231E" w:rsidRDefault="002F143B" w:rsidP="00F17705">
            <w:pPr>
              <w:pStyle w:val="ListParagraph"/>
              <w:widowControl w:val="0"/>
              <w:numPr>
                <w:ilvl w:val="0"/>
                <w:numId w:val="16"/>
              </w:numPr>
              <w:autoSpaceDE w:val="0"/>
              <w:autoSpaceDN w:val="0"/>
              <w:adjustRightInd w:val="0"/>
              <w:ind w:left="118" w:hanging="118"/>
              <w:rPr>
                <w:rFonts w:eastAsia="Calibri" w:cs="Calibri"/>
                <w:sz w:val="20"/>
                <w:szCs w:val="20"/>
              </w:rPr>
            </w:pPr>
            <w:r w:rsidRPr="0062231E">
              <w:rPr>
                <w:rFonts w:eastAsia="Calibri" w:cs="Calibri"/>
                <w:sz w:val="20"/>
                <w:szCs w:val="20"/>
              </w:rPr>
              <w:t>Psoriasis diagnosis</w:t>
            </w:r>
            <w:r>
              <w:rPr>
                <w:rFonts w:eastAsia="Calibri" w:cs="Calibri"/>
                <w:sz w:val="20"/>
                <w:szCs w:val="20"/>
              </w:rPr>
              <w:t xml:space="preserve"> (new)</w:t>
            </w:r>
          </w:p>
        </w:tc>
        <w:tc>
          <w:tcPr>
            <w:tcW w:w="987" w:type="pct"/>
            <w:tcBorders>
              <w:top w:val="single" w:sz="4" w:space="0" w:color="auto"/>
              <w:left w:val="single" w:sz="4" w:space="0" w:color="auto"/>
              <w:bottom w:val="single" w:sz="4" w:space="0" w:color="auto"/>
              <w:right w:val="single" w:sz="4" w:space="0" w:color="auto"/>
            </w:tcBorders>
            <w:vAlign w:val="center"/>
          </w:tcPr>
          <w:p w:rsidR="002F143B" w:rsidRPr="001A3E21" w:rsidRDefault="002F143B" w:rsidP="00F17705">
            <w:pPr>
              <w:widowControl w:val="0"/>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w:t>
            </w:r>
          </w:p>
        </w:tc>
      </w:tr>
      <w:tr w:rsidR="002F143B" w:rsidRPr="001A3E21" w:rsidTr="00544C51">
        <w:tblPrEx>
          <w:tblLook w:val="0600" w:firstRow="0" w:lastRow="0" w:firstColumn="0" w:lastColumn="0" w:noHBand="1" w:noVBand="1"/>
        </w:tblPrEx>
        <w:trPr>
          <w:trHeight w:val="353"/>
        </w:trPr>
        <w:tc>
          <w:tcPr>
            <w:tcW w:w="705" w:type="pct"/>
            <w:tcBorders>
              <w:top w:val="single" w:sz="4" w:space="0" w:color="auto"/>
              <w:left w:val="single" w:sz="4" w:space="0" w:color="auto"/>
              <w:bottom w:val="single" w:sz="4" w:space="0" w:color="auto"/>
              <w:right w:val="single" w:sz="4" w:space="0" w:color="auto"/>
            </w:tcBorders>
          </w:tcPr>
          <w:p w:rsidR="002F143B" w:rsidRPr="00C873D4" w:rsidRDefault="002F143B" w:rsidP="00544C51">
            <w:pPr>
              <w:widowControl w:val="0"/>
              <w:spacing w:beforeLines="60" w:before="144" w:afterLines="60" w:after="144"/>
              <w:contextualSpacing/>
              <w:rPr>
                <w:rFonts w:eastAsia="Calibri"/>
                <w:sz w:val="20"/>
                <w:szCs w:val="20"/>
              </w:rPr>
            </w:pPr>
            <w:r w:rsidRPr="003E055C">
              <w:rPr>
                <w:rFonts w:eastAsia="Calibri"/>
                <w:sz w:val="20"/>
                <w:szCs w:val="20"/>
              </w:rPr>
              <w:t xml:space="preserve">Mease </w:t>
            </w:r>
            <w:r>
              <w:rPr>
                <w:rFonts w:eastAsia="Calibri"/>
                <w:sz w:val="20"/>
                <w:szCs w:val="20"/>
              </w:rPr>
              <w:t>(</w:t>
            </w:r>
            <w:r w:rsidRPr="003E055C">
              <w:rPr>
                <w:rFonts w:eastAsia="Calibri"/>
                <w:sz w:val="20"/>
                <w:szCs w:val="20"/>
              </w:rPr>
              <w:t>2013</w:t>
            </w:r>
            <w:r>
              <w:rPr>
                <w:rFonts w:eastAsia="Calibri"/>
                <w:sz w:val="20"/>
                <w:szCs w:val="20"/>
              </w:rPr>
              <w:t>)</w:t>
            </w:r>
          </w:p>
        </w:tc>
        <w:tc>
          <w:tcPr>
            <w:tcW w:w="865" w:type="pct"/>
            <w:tcBorders>
              <w:top w:val="single" w:sz="4" w:space="0" w:color="auto"/>
              <w:left w:val="single" w:sz="4" w:space="0" w:color="auto"/>
              <w:bottom w:val="single" w:sz="4" w:space="0" w:color="auto"/>
              <w:right w:val="single" w:sz="4" w:space="0" w:color="auto"/>
            </w:tcBorders>
          </w:tcPr>
          <w:p w:rsidR="002F143B" w:rsidRPr="001A3E21" w:rsidRDefault="002F143B" w:rsidP="00F17705">
            <w:pPr>
              <w:widowControl w:val="0"/>
              <w:autoSpaceDE w:val="0"/>
              <w:autoSpaceDN w:val="0"/>
              <w:adjustRightInd w:val="0"/>
              <w:spacing w:beforeLines="60" w:before="144" w:afterLines="60" w:after="144"/>
              <w:contextualSpacing/>
              <w:rPr>
                <w:rFonts w:eastAsia="Calibri" w:cs="Calibri"/>
                <w:sz w:val="20"/>
                <w:szCs w:val="20"/>
              </w:rPr>
            </w:pPr>
            <w:r>
              <w:rPr>
                <w:rFonts w:eastAsia="Calibri" w:cs="Calibri"/>
                <w:sz w:val="20"/>
                <w:szCs w:val="20"/>
              </w:rPr>
              <w:t xml:space="preserve">Cross-sectional </w:t>
            </w:r>
          </w:p>
        </w:tc>
        <w:tc>
          <w:tcPr>
            <w:tcW w:w="1132" w:type="pct"/>
            <w:tcBorders>
              <w:top w:val="single" w:sz="4" w:space="0" w:color="auto"/>
              <w:left w:val="single" w:sz="4" w:space="0" w:color="auto"/>
              <w:bottom w:val="single" w:sz="4" w:space="0" w:color="auto"/>
              <w:right w:val="single" w:sz="4" w:space="0" w:color="auto"/>
            </w:tcBorders>
          </w:tcPr>
          <w:p w:rsidR="002F143B" w:rsidRPr="00D921AB" w:rsidRDefault="002F143B" w:rsidP="00F17705">
            <w:pPr>
              <w:pStyle w:val="ListParagraph"/>
              <w:widowControl w:val="0"/>
              <w:autoSpaceDE w:val="0"/>
              <w:autoSpaceDN w:val="0"/>
              <w:adjustRightInd w:val="0"/>
              <w:spacing w:before="100" w:beforeAutospacing="1" w:after="100" w:afterAutospacing="1"/>
              <w:ind w:left="0"/>
              <w:rPr>
                <w:rFonts w:eastAsia="Calibri" w:cs="Calibri"/>
                <w:sz w:val="20"/>
                <w:szCs w:val="20"/>
              </w:rPr>
            </w:pPr>
            <w:r w:rsidRPr="00D921AB">
              <w:rPr>
                <w:rFonts w:eastAsia="Calibri" w:cs="Calibri"/>
                <w:sz w:val="20"/>
                <w:szCs w:val="20"/>
              </w:rPr>
              <w:t>Dermatology patients (consecutive)</w:t>
            </w:r>
          </w:p>
        </w:tc>
        <w:tc>
          <w:tcPr>
            <w:tcW w:w="1311" w:type="pct"/>
            <w:tcBorders>
              <w:top w:val="single" w:sz="4" w:space="0" w:color="auto"/>
              <w:left w:val="single" w:sz="4" w:space="0" w:color="auto"/>
              <w:bottom w:val="single" w:sz="4" w:space="0" w:color="auto"/>
              <w:right w:val="single" w:sz="4" w:space="0" w:color="auto"/>
            </w:tcBorders>
          </w:tcPr>
          <w:p w:rsidR="002F143B" w:rsidRDefault="002F143B" w:rsidP="00F17705">
            <w:pPr>
              <w:pStyle w:val="ListParagraph"/>
              <w:widowControl w:val="0"/>
              <w:numPr>
                <w:ilvl w:val="0"/>
                <w:numId w:val="16"/>
              </w:numPr>
              <w:autoSpaceDE w:val="0"/>
              <w:autoSpaceDN w:val="0"/>
              <w:adjustRightInd w:val="0"/>
              <w:ind w:left="118" w:hanging="118"/>
              <w:rPr>
                <w:rFonts w:eastAsia="Calibri" w:cs="Calibri"/>
                <w:sz w:val="20"/>
                <w:szCs w:val="20"/>
              </w:rPr>
            </w:pPr>
            <w:r>
              <w:rPr>
                <w:rFonts w:eastAsia="Calibri" w:cs="Calibri"/>
                <w:sz w:val="20"/>
                <w:szCs w:val="20"/>
              </w:rPr>
              <w:t>≥ 18 years</w:t>
            </w:r>
          </w:p>
          <w:p w:rsidR="002F143B" w:rsidRPr="00D921AB" w:rsidRDefault="002F143B" w:rsidP="00F17705">
            <w:pPr>
              <w:pStyle w:val="ListParagraph"/>
              <w:widowControl w:val="0"/>
              <w:numPr>
                <w:ilvl w:val="0"/>
                <w:numId w:val="16"/>
              </w:numPr>
              <w:autoSpaceDE w:val="0"/>
              <w:autoSpaceDN w:val="0"/>
              <w:adjustRightInd w:val="0"/>
              <w:ind w:left="118" w:hanging="118"/>
              <w:rPr>
                <w:rFonts w:eastAsia="Calibri" w:cs="Calibri"/>
                <w:sz w:val="20"/>
                <w:szCs w:val="20"/>
              </w:rPr>
            </w:pPr>
            <w:r>
              <w:rPr>
                <w:rFonts w:eastAsia="Calibri" w:cs="Calibri"/>
                <w:sz w:val="20"/>
                <w:szCs w:val="20"/>
              </w:rPr>
              <w:t>CPP</w:t>
            </w:r>
            <w:r w:rsidRPr="00DD7037">
              <w:rPr>
                <w:rFonts w:eastAsia="Calibri" w:cs="Calibri"/>
                <w:sz w:val="20"/>
                <w:szCs w:val="20"/>
              </w:rPr>
              <w:t xml:space="preserve"> diagnosis</w:t>
            </w:r>
          </w:p>
        </w:tc>
        <w:tc>
          <w:tcPr>
            <w:tcW w:w="987" w:type="pct"/>
            <w:tcBorders>
              <w:top w:val="single" w:sz="4" w:space="0" w:color="auto"/>
              <w:left w:val="single" w:sz="4" w:space="0" w:color="auto"/>
              <w:bottom w:val="single" w:sz="4" w:space="0" w:color="auto"/>
              <w:right w:val="single" w:sz="4" w:space="0" w:color="auto"/>
            </w:tcBorders>
            <w:vAlign w:val="center"/>
          </w:tcPr>
          <w:p w:rsidR="002F143B" w:rsidRPr="001A3E21" w:rsidRDefault="002F143B" w:rsidP="00F17705">
            <w:pPr>
              <w:widowControl w:val="0"/>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w:t>
            </w:r>
          </w:p>
        </w:tc>
      </w:tr>
      <w:tr w:rsidR="002F143B" w:rsidRPr="001A3E21" w:rsidTr="00544C51">
        <w:tblPrEx>
          <w:tblLook w:val="0600" w:firstRow="0" w:lastRow="0" w:firstColumn="0" w:lastColumn="0" w:noHBand="1" w:noVBand="1"/>
        </w:tblPrEx>
        <w:trPr>
          <w:cantSplit/>
          <w:trHeight w:val="353"/>
        </w:trPr>
        <w:tc>
          <w:tcPr>
            <w:tcW w:w="705" w:type="pct"/>
            <w:tcBorders>
              <w:top w:val="single" w:sz="4" w:space="0" w:color="auto"/>
              <w:left w:val="single" w:sz="4" w:space="0" w:color="auto"/>
              <w:bottom w:val="single" w:sz="4" w:space="0" w:color="auto"/>
              <w:right w:val="single" w:sz="4" w:space="0" w:color="auto"/>
            </w:tcBorders>
          </w:tcPr>
          <w:p w:rsidR="002F143B" w:rsidRPr="00C873D4" w:rsidRDefault="002F143B" w:rsidP="00544C51">
            <w:pPr>
              <w:widowControl w:val="0"/>
              <w:spacing w:beforeLines="60" w:before="144" w:afterLines="60" w:after="144"/>
              <w:contextualSpacing/>
              <w:rPr>
                <w:rFonts w:eastAsia="Calibri"/>
                <w:sz w:val="20"/>
                <w:szCs w:val="20"/>
              </w:rPr>
            </w:pPr>
            <w:r>
              <w:rPr>
                <w:rFonts w:eastAsia="Calibri"/>
                <w:sz w:val="20"/>
                <w:szCs w:val="20"/>
              </w:rPr>
              <w:t>Merola (</w:t>
            </w:r>
            <w:r w:rsidRPr="00C873D4">
              <w:rPr>
                <w:rFonts w:eastAsia="Calibri"/>
                <w:sz w:val="20"/>
                <w:szCs w:val="20"/>
              </w:rPr>
              <w:t>2016)</w:t>
            </w:r>
          </w:p>
        </w:tc>
        <w:tc>
          <w:tcPr>
            <w:tcW w:w="865" w:type="pct"/>
            <w:tcBorders>
              <w:top w:val="single" w:sz="4" w:space="0" w:color="auto"/>
              <w:left w:val="single" w:sz="4" w:space="0" w:color="auto"/>
              <w:bottom w:val="single" w:sz="4" w:space="0" w:color="auto"/>
              <w:right w:val="single" w:sz="4" w:space="0" w:color="auto"/>
            </w:tcBorders>
          </w:tcPr>
          <w:p w:rsidR="002F143B" w:rsidRPr="001A3E21" w:rsidRDefault="002F143B" w:rsidP="00F17705">
            <w:pPr>
              <w:widowControl w:val="0"/>
              <w:autoSpaceDE w:val="0"/>
              <w:autoSpaceDN w:val="0"/>
              <w:adjustRightInd w:val="0"/>
              <w:spacing w:beforeLines="60" w:before="144" w:afterLines="60" w:after="144"/>
              <w:contextualSpacing/>
              <w:rPr>
                <w:rFonts w:eastAsia="Calibri" w:cs="Calibri"/>
                <w:sz w:val="20"/>
                <w:szCs w:val="20"/>
              </w:rPr>
            </w:pPr>
            <w:r>
              <w:rPr>
                <w:rFonts w:eastAsia="Calibri" w:cs="Calibri"/>
                <w:sz w:val="20"/>
                <w:szCs w:val="20"/>
              </w:rPr>
              <w:t xml:space="preserve">Cohort </w:t>
            </w:r>
          </w:p>
        </w:tc>
        <w:tc>
          <w:tcPr>
            <w:tcW w:w="1132" w:type="pct"/>
            <w:tcBorders>
              <w:top w:val="single" w:sz="4" w:space="0" w:color="auto"/>
              <w:left w:val="single" w:sz="4" w:space="0" w:color="auto"/>
              <w:bottom w:val="single" w:sz="4" w:space="0" w:color="auto"/>
              <w:right w:val="single" w:sz="4" w:space="0" w:color="auto"/>
            </w:tcBorders>
          </w:tcPr>
          <w:p w:rsidR="002F143B" w:rsidRPr="00FD32F4" w:rsidRDefault="002F143B" w:rsidP="00F17705">
            <w:pPr>
              <w:widowControl w:val="0"/>
              <w:autoSpaceDE w:val="0"/>
              <w:autoSpaceDN w:val="0"/>
              <w:adjustRightInd w:val="0"/>
              <w:spacing w:before="100" w:beforeAutospacing="1" w:after="100" w:afterAutospacing="1"/>
              <w:rPr>
                <w:rFonts w:eastAsia="Calibri" w:cs="Calibri"/>
                <w:sz w:val="20"/>
                <w:szCs w:val="20"/>
              </w:rPr>
            </w:pPr>
            <w:r w:rsidRPr="00FD32F4">
              <w:rPr>
                <w:rFonts w:eastAsia="Calibri" w:cs="Calibri"/>
                <w:sz w:val="20"/>
                <w:szCs w:val="20"/>
              </w:rPr>
              <w:t>Health professionals in two cohort studies</w:t>
            </w:r>
          </w:p>
        </w:tc>
        <w:tc>
          <w:tcPr>
            <w:tcW w:w="1311" w:type="pct"/>
            <w:tcBorders>
              <w:top w:val="single" w:sz="4" w:space="0" w:color="auto"/>
              <w:left w:val="single" w:sz="4" w:space="0" w:color="auto"/>
              <w:bottom w:val="single" w:sz="4" w:space="0" w:color="auto"/>
              <w:right w:val="single" w:sz="4" w:space="0" w:color="auto"/>
            </w:tcBorders>
          </w:tcPr>
          <w:p w:rsidR="002F143B" w:rsidRDefault="002F143B" w:rsidP="00F17705">
            <w:pPr>
              <w:pStyle w:val="ListParagraph"/>
              <w:widowControl w:val="0"/>
              <w:numPr>
                <w:ilvl w:val="0"/>
                <w:numId w:val="16"/>
              </w:numPr>
              <w:autoSpaceDE w:val="0"/>
              <w:autoSpaceDN w:val="0"/>
              <w:adjustRightInd w:val="0"/>
              <w:ind w:left="118" w:hanging="118"/>
              <w:rPr>
                <w:rFonts w:eastAsia="Calibri" w:cs="Calibri"/>
                <w:sz w:val="20"/>
                <w:szCs w:val="20"/>
              </w:rPr>
            </w:pPr>
            <w:r w:rsidRPr="00422910">
              <w:rPr>
                <w:rFonts w:eastAsia="Calibri" w:cs="Calibri"/>
                <w:sz w:val="20"/>
                <w:szCs w:val="20"/>
              </w:rPr>
              <w:t xml:space="preserve">Psoriasis </w:t>
            </w:r>
            <w:r>
              <w:rPr>
                <w:rFonts w:eastAsia="Calibri" w:cs="Calibri"/>
                <w:sz w:val="20"/>
                <w:szCs w:val="20"/>
              </w:rPr>
              <w:t>(physician diagnosed) confirmed by screening questionnaire</w:t>
            </w:r>
          </w:p>
          <w:p w:rsidR="002F143B" w:rsidRPr="001A3E21" w:rsidRDefault="002F143B" w:rsidP="00F17705">
            <w:pPr>
              <w:widowControl w:val="0"/>
              <w:autoSpaceDE w:val="0"/>
              <w:autoSpaceDN w:val="0"/>
              <w:adjustRightInd w:val="0"/>
              <w:contextualSpacing/>
              <w:rPr>
                <w:rFonts w:eastAsia="Calibri" w:cs="Calibri"/>
                <w:sz w:val="20"/>
                <w:szCs w:val="20"/>
              </w:rPr>
            </w:pPr>
          </w:p>
        </w:tc>
        <w:tc>
          <w:tcPr>
            <w:tcW w:w="987" w:type="pct"/>
            <w:tcBorders>
              <w:top w:val="single" w:sz="4" w:space="0" w:color="auto"/>
              <w:left w:val="single" w:sz="4" w:space="0" w:color="auto"/>
              <w:bottom w:val="single" w:sz="4" w:space="0" w:color="auto"/>
              <w:right w:val="single" w:sz="4" w:space="0" w:color="auto"/>
            </w:tcBorders>
            <w:vAlign w:val="center"/>
          </w:tcPr>
          <w:p w:rsidR="002F143B" w:rsidRPr="001A3E21" w:rsidRDefault="002F143B" w:rsidP="00F17705">
            <w:pPr>
              <w:widowControl w:val="0"/>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w:t>
            </w:r>
          </w:p>
        </w:tc>
      </w:tr>
      <w:tr w:rsidR="002F143B" w:rsidRPr="001A3E21" w:rsidTr="00544C51">
        <w:tblPrEx>
          <w:tblLook w:val="0600" w:firstRow="0" w:lastRow="0" w:firstColumn="0" w:lastColumn="0" w:noHBand="1" w:noVBand="1"/>
        </w:tblPrEx>
        <w:trPr>
          <w:trHeight w:val="353"/>
        </w:trPr>
        <w:tc>
          <w:tcPr>
            <w:tcW w:w="705" w:type="pct"/>
            <w:tcBorders>
              <w:top w:val="single" w:sz="4" w:space="0" w:color="auto"/>
              <w:left w:val="single" w:sz="4" w:space="0" w:color="auto"/>
              <w:bottom w:val="single" w:sz="4" w:space="0" w:color="auto"/>
              <w:right w:val="single" w:sz="4" w:space="0" w:color="auto"/>
            </w:tcBorders>
          </w:tcPr>
          <w:p w:rsidR="002F143B" w:rsidRDefault="002F143B" w:rsidP="00544C51">
            <w:pPr>
              <w:widowControl w:val="0"/>
              <w:spacing w:beforeLines="60" w:before="144" w:afterLines="60" w:after="144"/>
              <w:contextualSpacing/>
              <w:rPr>
                <w:rFonts w:eastAsia="Calibri"/>
                <w:sz w:val="20"/>
                <w:szCs w:val="20"/>
              </w:rPr>
            </w:pPr>
            <w:r w:rsidRPr="00C873D4">
              <w:rPr>
                <w:rFonts w:eastAsia="Calibri"/>
                <w:sz w:val="20"/>
                <w:szCs w:val="20"/>
              </w:rPr>
              <w:t>Morris,</w:t>
            </w:r>
            <w:r>
              <w:rPr>
                <w:rFonts w:eastAsia="Calibri"/>
                <w:sz w:val="20"/>
                <w:szCs w:val="20"/>
              </w:rPr>
              <w:t xml:space="preserve"> (</w:t>
            </w:r>
            <w:r w:rsidRPr="00C873D4">
              <w:rPr>
                <w:rFonts w:eastAsia="Calibri"/>
                <w:sz w:val="20"/>
                <w:szCs w:val="20"/>
              </w:rPr>
              <w:t>2001)</w:t>
            </w:r>
          </w:p>
        </w:tc>
        <w:tc>
          <w:tcPr>
            <w:tcW w:w="865" w:type="pct"/>
            <w:tcBorders>
              <w:top w:val="single" w:sz="4" w:space="0" w:color="auto"/>
              <w:left w:val="single" w:sz="4" w:space="0" w:color="auto"/>
              <w:bottom w:val="single" w:sz="4" w:space="0" w:color="auto"/>
              <w:right w:val="single" w:sz="4" w:space="0" w:color="auto"/>
            </w:tcBorders>
          </w:tcPr>
          <w:p w:rsidR="002F143B" w:rsidRPr="001A3E21" w:rsidRDefault="002F143B" w:rsidP="00F17705">
            <w:pPr>
              <w:widowControl w:val="0"/>
              <w:autoSpaceDE w:val="0"/>
              <w:autoSpaceDN w:val="0"/>
              <w:adjustRightInd w:val="0"/>
              <w:spacing w:beforeLines="60" w:before="144" w:afterLines="60" w:after="144"/>
              <w:contextualSpacing/>
              <w:rPr>
                <w:rFonts w:eastAsia="Calibri" w:cs="Calibri"/>
                <w:sz w:val="20"/>
                <w:szCs w:val="20"/>
              </w:rPr>
            </w:pPr>
            <w:r>
              <w:rPr>
                <w:rFonts w:eastAsia="Calibri" w:cs="Calibri"/>
                <w:sz w:val="20"/>
                <w:szCs w:val="20"/>
              </w:rPr>
              <w:t>Cross-sectional</w:t>
            </w:r>
          </w:p>
        </w:tc>
        <w:tc>
          <w:tcPr>
            <w:tcW w:w="1132" w:type="pct"/>
            <w:tcBorders>
              <w:top w:val="single" w:sz="4" w:space="0" w:color="auto"/>
              <w:left w:val="single" w:sz="4" w:space="0" w:color="auto"/>
              <w:bottom w:val="single" w:sz="4" w:space="0" w:color="auto"/>
              <w:right w:val="single" w:sz="4" w:space="0" w:color="auto"/>
            </w:tcBorders>
          </w:tcPr>
          <w:p w:rsidR="002F143B" w:rsidRPr="00FD32F4" w:rsidRDefault="002F143B" w:rsidP="00F17705">
            <w:pPr>
              <w:widowControl w:val="0"/>
              <w:autoSpaceDE w:val="0"/>
              <w:autoSpaceDN w:val="0"/>
              <w:adjustRightInd w:val="0"/>
              <w:spacing w:before="100" w:beforeAutospacing="1" w:after="100" w:afterAutospacing="1"/>
              <w:rPr>
                <w:rFonts w:eastAsia="Calibri" w:cs="Calibri"/>
                <w:sz w:val="20"/>
                <w:szCs w:val="20"/>
              </w:rPr>
            </w:pPr>
            <w:r w:rsidRPr="00FD32F4">
              <w:rPr>
                <w:rFonts w:eastAsia="Calibri" w:cs="Calibri"/>
                <w:sz w:val="20"/>
                <w:szCs w:val="20"/>
              </w:rPr>
              <w:t>Dermatology patients (all referred)</w:t>
            </w:r>
          </w:p>
        </w:tc>
        <w:tc>
          <w:tcPr>
            <w:tcW w:w="1311" w:type="pct"/>
            <w:tcBorders>
              <w:top w:val="single" w:sz="4" w:space="0" w:color="auto"/>
              <w:left w:val="single" w:sz="4" w:space="0" w:color="auto"/>
              <w:bottom w:val="single" w:sz="4" w:space="0" w:color="auto"/>
              <w:right w:val="single" w:sz="4" w:space="0" w:color="auto"/>
            </w:tcBorders>
          </w:tcPr>
          <w:p w:rsidR="002F143B" w:rsidRDefault="002F143B" w:rsidP="00F17705">
            <w:pPr>
              <w:pStyle w:val="ListParagraph"/>
              <w:widowControl w:val="0"/>
              <w:numPr>
                <w:ilvl w:val="0"/>
                <w:numId w:val="16"/>
              </w:numPr>
              <w:autoSpaceDE w:val="0"/>
              <w:autoSpaceDN w:val="0"/>
              <w:adjustRightInd w:val="0"/>
              <w:ind w:left="118" w:hanging="118"/>
              <w:rPr>
                <w:rFonts w:eastAsia="Calibri" w:cs="Calibri"/>
                <w:sz w:val="20"/>
                <w:szCs w:val="20"/>
              </w:rPr>
            </w:pPr>
            <w:r>
              <w:rPr>
                <w:rFonts w:eastAsia="Calibri" w:cs="Calibri"/>
                <w:sz w:val="20"/>
                <w:szCs w:val="20"/>
              </w:rPr>
              <w:t xml:space="preserve"> Children (≤ 15 years)</w:t>
            </w:r>
          </w:p>
          <w:p w:rsidR="002F143B" w:rsidRPr="00F76739" w:rsidRDefault="002F143B" w:rsidP="00F17705">
            <w:pPr>
              <w:pStyle w:val="ListParagraph"/>
              <w:widowControl w:val="0"/>
              <w:numPr>
                <w:ilvl w:val="0"/>
                <w:numId w:val="16"/>
              </w:numPr>
              <w:autoSpaceDE w:val="0"/>
              <w:autoSpaceDN w:val="0"/>
              <w:adjustRightInd w:val="0"/>
              <w:ind w:left="118" w:hanging="118"/>
              <w:rPr>
                <w:rFonts w:eastAsia="Calibri" w:cs="Calibri"/>
                <w:sz w:val="20"/>
                <w:szCs w:val="20"/>
              </w:rPr>
            </w:pPr>
            <w:r>
              <w:rPr>
                <w:rFonts w:eastAsia="Calibri" w:cs="Calibri"/>
                <w:sz w:val="20"/>
                <w:szCs w:val="20"/>
              </w:rPr>
              <w:t>p</w:t>
            </w:r>
            <w:r w:rsidRPr="00DD7037">
              <w:rPr>
                <w:rFonts w:eastAsia="Calibri" w:cs="Calibri"/>
                <w:sz w:val="20"/>
                <w:szCs w:val="20"/>
              </w:rPr>
              <w:t>soriasis diagnosis</w:t>
            </w:r>
            <w:r>
              <w:rPr>
                <w:rFonts w:eastAsia="Calibri" w:cs="Calibri"/>
                <w:sz w:val="20"/>
                <w:szCs w:val="20"/>
              </w:rPr>
              <w:t xml:space="preserve"> (paediatric dermatologist)</w:t>
            </w:r>
          </w:p>
        </w:tc>
        <w:tc>
          <w:tcPr>
            <w:tcW w:w="987" w:type="pct"/>
            <w:tcBorders>
              <w:top w:val="single" w:sz="4" w:space="0" w:color="auto"/>
              <w:left w:val="single" w:sz="4" w:space="0" w:color="auto"/>
              <w:bottom w:val="single" w:sz="4" w:space="0" w:color="auto"/>
              <w:right w:val="single" w:sz="4" w:space="0" w:color="auto"/>
            </w:tcBorders>
            <w:vAlign w:val="center"/>
          </w:tcPr>
          <w:p w:rsidR="002F143B" w:rsidRPr="001A3E21" w:rsidRDefault="002F143B" w:rsidP="00F17705">
            <w:pPr>
              <w:widowControl w:val="0"/>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w:t>
            </w:r>
          </w:p>
        </w:tc>
      </w:tr>
      <w:tr w:rsidR="002F143B" w:rsidRPr="001A3E21" w:rsidTr="00544C51">
        <w:tblPrEx>
          <w:tblLook w:val="0600" w:firstRow="0" w:lastRow="0" w:firstColumn="0" w:lastColumn="0" w:noHBand="1" w:noVBand="1"/>
        </w:tblPrEx>
        <w:trPr>
          <w:trHeight w:val="353"/>
        </w:trPr>
        <w:tc>
          <w:tcPr>
            <w:tcW w:w="705" w:type="pct"/>
            <w:tcBorders>
              <w:top w:val="single" w:sz="4" w:space="0" w:color="auto"/>
              <w:left w:val="single" w:sz="4" w:space="0" w:color="auto"/>
              <w:bottom w:val="single" w:sz="4" w:space="0" w:color="auto"/>
              <w:right w:val="single" w:sz="4" w:space="0" w:color="auto"/>
            </w:tcBorders>
          </w:tcPr>
          <w:p w:rsidR="002F143B" w:rsidRPr="00C873D4" w:rsidRDefault="002F143B" w:rsidP="00544C51">
            <w:pPr>
              <w:widowControl w:val="0"/>
              <w:spacing w:beforeLines="60" w:before="144" w:afterLines="60" w:after="144"/>
              <w:contextualSpacing/>
              <w:rPr>
                <w:rFonts w:eastAsia="Calibri"/>
                <w:sz w:val="20"/>
                <w:szCs w:val="20"/>
              </w:rPr>
            </w:pPr>
            <w:r w:rsidRPr="00C873D4">
              <w:rPr>
                <w:rFonts w:eastAsia="Calibri"/>
                <w:sz w:val="20"/>
                <w:szCs w:val="20"/>
              </w:rPr>
              <w:t xml:space="preserve">Norris </w:t>
            </w:r>
            <w:r>
              <w:rPr>
                <w:rFonts w:eastAsia="Calibri"/>
                <w:sz w:val="20"/>
                <w:szCs w:val="20"/>
              </w:rPr>
              <w:t>(</w:t>
            </w:r>
            <w:r w:rsidRPr="00C873D4">
              <w:rPr>
                <w:rFonts w:eastAsia="Calibri"/>
                <w:sz w:val="20"/>
                <w:szCs w:val="20"/>
              </w:rPr>
              <w:t>2017</w:t>
            </w:r>
            <w:r>
              <w:rPr>
                <w:rFonts w:eastAsia="Calibri"/>
                <w:sz w:val="20"/>
                <w:szCs w:val="20"/>
              </w:rPr>
              <w:t>)</w:t>
            </w:r>
          </w:p>
        </w:tc>
        <w:tc>
          <w:tcPr>
            <w:tcW w:w="865" w:type="pct"/>
            <w:tcBorders>
              <w:top w:val="single" w:sz="4" w:space="0" w:color="auto"/>
              <w:left w:val="single" w:sz="4" w:space="0" w:color="auto"/>
              <w:bottom w:val="single" w:sz="4" w:space="0" w:color="auto"/>
              <w:right w:val="single" w:sz="4" w:space="0" w:color="auto"/>
            </w:tcBorders>
          </w:tcPr>
          <w:p w:rsidR="002F143B" w:rsidRPr="001A3E21" w:rsidRDefault="002F143B" w:rsidP="00F17705">
            <w:pPr>
              <w:widowControl w:val="0"/>
              <w:autoSpaceDE w:val="0"/>
              <w:autoSpaceDN w:val="0"/>
              <w:adjustRightInd w:val="0"/>
              <w:spacing w:beforeLines="60" w:before="144" w:afterLines="60" w:after="144"/>
              <w:contextualSpacing/>
              <w:rPr>
                <w:rFonts w:eastAsia="Calibri" w:cs="Calibri"/>
                <w:sz w:val="20"/>
                <w:szCs w:val="20"/>
              </w:rPr>
            </w:pPr>
            <w:r>
              <w:rPr>
                <w:rFonts w:eastAsia="Calibri" w:cs="Calibri"/>
                <w:sz w:val="20"/>
                <w:szCs w:val="20"/>
              </w:rPr>
              <w:t>Cross-sectional</w:t>
            </w:r>
          </w:p>
        </w:tc>
        <w:tc>
          <w:tcPr>
            <w:tcW w:w="1132" w:type="pct"/>
            <w:tcBorders>
              <w:top w:val="single" w:sz="4" w:space="0" w:color="auto"/>
              <w:left w:val="single" w:sz="4" w:space="0" w:color="auto"/>
              <w:bottom w:val="single" w:sz="4" w:space="0" w:color="auto"/>
              <w:right w:val="single" w:sz="4" w:space="0" w:color="auto"/>
            </w:tcBorders>
          </w:tcPr>
          <w:p w:rsidR="002F143B" w:rsidRPr="00FD32F4" w:rsidRDefault="002F143B" w:rsidP="00F17705">
            <w:pPr>
              <w:widowControl w:val="0"/>
              <w:autoSpaceDE w:val="0"/>
              <w:autoSpaceDN w:val="0"/>
              <w:adjustRightInd w:val="0"/>
              <w:spacing w:before="100" w:beforeAutospacing="1" w:after="100" w:afterAutospacing="1"/>
              <w:rPr>
                <w:rFonts w:eastAsia="Calibri" w:cs="Calibri"/>
                <w:sz w:val="20"/>
                <w:szCs w:val="20"/>
              </w:rPr>
            </w:pPr>
            <w:r w:rsidRPr="00FD32F4">
              <w:rPr>
                <w:rFonts w:eastAsia="Calibri" w:cs="Calibri"/>
                <w:sz w:val="20"/>
                <w:szCs w:val="20"/>
              </w:rPr>
              <w:t>Australian psoriasis registry patients (systemic therapy)</w:t>
            </w:r>
          </w:p>
        </w:tc>
        <w:tc>
          <w:tcPr>
            <w:tcW w:w="1311" w:type="pct"/>
            <w:tcBorders>
              <w:top w:val="single" w:sz="4" w:space="0" w:color="auto"/>
              <w:left w:val="single" w:sz="4" w:space="0" w:color="auto"/>
              <w:bottom w:val="single" w:sz="4" w:space="0" w:color="auto"/>
              <w:right w:val="single" w:sz="4" w:space="0" w:color="auto"/>
            </w:tcBorders>
          </w:tcPr>
          <w:p w:rsidR="002F143B" w:rsidRPr="006222DC" w:rsidRDefault="002F143B" w:rsidP="00F17705">
            <w:pPr>
              <w:pStyle w:val="ListParagraph"/>
              <w:widowControl w:val="0"/>
              <w:numPr>
                <w:ilvl w:val="0"/>
                <w:numId w:val="24"/>
              </w:numPr>
              <w:autoSpaceDE w:val="0"/>
              <w:autoSpaceDN w:val="0"/>
              <w:adjustRightInd w:val="0"/>
              <w:ind w:left="118" w:hanging="141"/>
              <w:rPr>
                <w:rFonts w:eastAsia="Calibri" w:cs="Calibri"/>
                <w:sz w:val="20"/>
                <w:szCs w:val="20"/>
              </w:rPr>
            </w:pPr>
            <w:r>
              <w:rPr>
                <w:rFonts w:eastAsia="Calibri" w:cs="Calibri"/>
                <w:sz w:val="20"/>
                <w:szCs w:val="20"/>
              </w:rPr>
              <w:t>moderate-to-severe CPP</w:t>
            </w:r>
          </w:p>
        </w:tc>
        <w:tc>
          <w:tcPr>
            <w:tcW w:w="987" w:type="pct"/>
            <w:tcBorders>
              <w:top w:val="single" w:sz="4" w:space="0" w:color="auto"/>
              <w:left w:val="single" w:sz="4" w:space="0" w:color="auto"/>
              <w:bottom w:val="single" w:sz="4" w:space="0" w:color="auto"/>
              <w:right w:val="single" w:sz="4" w:space="0" w:color="auto"/>
            </w:tcBorders>
          </w:tcPr>
          <w:p w:rsidR="002F143B" w:rsidRPr="006222DC" w:rsidRDefault="002F143B" w:rsidP="00F17705">
            <w:pPr>
              <w:pStyle w:val="ListParagraph"/>
              <w:widowControl w:val="0"/>
              <w:numPr>
                <w:ilvl w:val="0"/>
                <w:numId w:val="24"/>
              </w:numPr>
              <w:autoSpaceDE w:val="0"/>
              <w:autoSpaceDN w:val="0"/>
              <w:adjustRightInd w:val="0"/>
              <w:spacing w:beforeLines="60" w:before="144" w:afterLines="60" w:after="144"/>
              <w:ind w:left="164" w:hanging="164"/>
              <w:rPr>
                <w:rFonts w:eastAsia="Calibri" w:cs="Calibri"/>
                <w:sz w:val="20"/>
                <w:szCs w:val="20"/>
              </w:rPr>
            </w:pPr>
            <w:r>
              <w:rPr>
                <w:rFonts w:eastAsia="Calibri" w:cs="Calibri"/>
                <w:sz w:val="20"/>
                <w:szCs w:val="20"/>
              </w:rPr>
              <w:t>Psoriasis mostly on hands, feet, face, nail or genitalia</w:t>
            </w:r>
          </w:p>
        </w:tc>
      </w:tr>
      <w:tr w:rsidR="002F143B" w:rsidRPr="001A3E21" w:rsidTr="00544C51">
        <w:tblPrEx>
          <w:tblLook w:val="0600" w:firstRow="0" w:lastRow="0" w:firstColumn="0" w:lastColumn="0" w:noHBand="1" w:noVBand="1"/>
        </w:tblPrEx>
        <w:trPr>
          <w:trHeight w:val="353"/>
        </w:trPr>
        <w:tc>
          <w:tcPr>
            <w:tcW w:w="705" w:type="pct"/>
          </w:tcPr>
          <w:p w:rsidR="002F143B" w:rsidRPr="00C873D4" w:rsidRDefault="002F143B" w:rsidP="00544C51">
            <w:pPr>
              <w:widowControl w:val="0"/>
              <w:spacing w:beforeLines="60" w:before="144" w:afterLines="60" w:after="144"/>
              <w:contextualSpacing/>
              <w:rPr>
                <w:rFonts w:eastAsia="Calibri"/>
                <w:sz w:val="20"/>
                <w:szCs w:val="20"/>
              </w:rPr>
            </w:pPr>
            <w:r w:rsidRPr="00D1033B">
              <w:rPr>
                <w:color w:val="000000"/>
                <w:sz w:val="20"/>
                <w:szCs w:val="20"/>
              </w:rPr>
              <w:t xml:space="preserve">Papadavid </w:t>
            </w:r>
            <w:r>
              <w:rPr>
                <w:color w:val="000000"/>
                <w:sz w:val="20"/>
                <w:szCs w:val="20"/>
              </w:rPr>
              <w:t>(</w:t>
            </w:r>
            <w:r w:rsidRPr="00D1033B">
              <w:rPr>
                <w:color w:val="000000"/>
                <w:sz w:val="20"/>
                <w:szCs w:val="20"/>
              </w:rPr>
              <w:t>2016</w:t>
            </w:r>
            <w:r>
              <w:rPr>
                <w:color w:val="000000"/>
                <w:sz w:val="20"/>
                <w:szCs w:val="20"/>
              </w:rPr>
              <w:t>)</w:t>
            </w:r>
          </w:p>
        </w:tc>
        <w:tc>
          <w:tcPr>
            <w:tcW w:w="865" w:type="pct"/>
          </w:tcPr>
          <w:p w:rsidR="002F143B" w:rsidRPr="001A3E21" w:rsidRDefault="002F143B" w:rsidP="00F17705">
            <w:pPr>
              <w:widowControl w:val="0"/>
              <w:autoSpaceDE w:val="0"/>
              <w:autoSpaceDN w:val="0"/>
              <w:adjustRightInd w:val="0"/>
              <w:spacing w:beforeLines="60" w:before="144" w:afterLines="60" w:after="144"/>
              <w:contextualSpacing/>
              <w:rPr>
                <w:rFonts w:eastAsia="Calibri" w:cs="Calibri"/>
                <w:sz w:val="20"/>
                <w:szCs w:val="20"/>
              </w:rPr>
            </w:pPr>
            <w:r>
              <w:rPr>
                <w:rFonts w:eastAsia="Calibri" w:cs="Calibri"/>
                <w:sz w:val="20"/>
                <w:szCs w:val="20"/>
              </w:rPr>
              <w:t>Cross-sectional</w:t>
            </w:r>
          </w:p>
        </w:tc>
        <w:tc>
          <w:tcPr>
            <w:tcW w:w="1132" w:type="pct"/>
          </w:tcPr>
          <w:p w:rsidR="002F143B" w:rsidRPr="00FD32F4" w:rsidRDefault="002F143B" w:rsidP="00F17705">
            <w:pPr>
              <w:widowControl w:val="0"/>
              <w:autoSpaceDE w:val="0"/>
              <w:autoSpaceDN w:val="0"/>
              <w:adjustRightInd w:val="0"/>
              <w:spacing w:before="100" w:beforeAutospacing="1" w:after="100" w:afterAutospacing="1"/>
              <w:rPr>
                <w:rFonts w:eastAsia="Calibri" w:cs="Calibri"/>
                <w:sz w:val="20"/>
                <w:szCs w:val="20"/>
              </w:rPr>
            </w:pPr>
            <w:r w:rsidRPr="00FD32F4">
              <w:rPr>
                <w:rFonts w:eastAsia="Calibri" w:cs="Calibri"/>
                <w:sz w:val="20"/>
                <w:szCs w:val="20"/>
              </w:rPr>
              <w:t>Dermatology patients (consecutive)</w:t>
            </w:r>
          </w:p>
        </w:tc>
        <w:tc>
          <w:tcPr>
            <w:tcW w:w="1311" w:type="pct"/>
            <w:tcBorders>
              <w:top w:val="single" w:sz="4" w:space="0" w:color="auto"/>
              <w:left w:val="single" w:sz="4" w:space="0" w:color="auto"/>
              <w:bottom w:val="single" w:sz="4" w:space="0" w:color="auto"/>
              <w:right w:val="single" w:sz="4" w:space="0" w:color="auto"/>
            </w:tcBorders>
          </w:tcPr>
          <w:p w:rsidR="002F143B" w:rsidRPr="00E823D5" w:rsidRDefault="002F143B" w:rsidP="00F17705">
            <w:pPr>
              <w:pStyle w:val="ListParagraph"/>
              <w:widowControl w:val="0"/>
              <w:numPr>
                <w:ilvl w:val="0"/>
                <w:numId w:val="25"/>
              </w:numPr>
              <w:autoSpaceDE w:val="0"/>
              <w:autoSpaceDN w:val="0"/>
              <w:adjustRightInd w:val="0"/>
              <w:ind w:left="118" w:hanging="118"/>
              <w:rPr>
                <w:rFonts w:eastAsia="Calibri" w:cs="Calibri"/>
                <w:sz w:val="20"/>
                <w:szCs w:val="20"/>
              </w:rPr>
            </w:pPr>
            <w:r>
              <w:rPr>
                <w:rFonts w:eastAsia="Calibri" w:cs="Calibri"/>
                <w:sz w:val="20"/>
                <w:szCs w:val="20"/>
              </w:rPr>
              <w:t>Psoriasis diagnosis (dermatologist)</w:t>
            </w:r>
          </w:p>
        </w:tc>
        <w:tc>
          <w:tcPr>
            <w:tcW w:w="987" w:type="pct"/>
            <w:tcBorders>
              <w:top w:val="single" w:sz="4" w:space="0" w:color="auto"/>
              <w:left w:val="single" w:sz="4" w:space="0" w:color="auto"/>
              <w:bottom w:val="single" w:sz="4" w:space="0" w:color="auto"/>
              <w:right w:val="single" w:sz="4" w:space="0" w:color="auto"/>
            </w:tcBorders>
            <w:vAlign w:val="center"/>
          </w:tcPr>
          <w:p w:rsidR="002F143B" w:rsidRPr="001A3E21" w:rsidRDefault="002F143B" w:rsidP="00F17705">
            <w:pPr>
              <w:widowControl w:val="0"/>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w:t>
            </w:r>
          </w:p>
        </w:tc>
      </w:tr>
      <w:tr w:rsidR="002F143B" w:rsidRPr="001A3E21" w:rsidTr="00544C51">
        <w:tblPrEx>
          <w:tblLook w:val="0600" w:firstRow="0" w:lastRow="0" w:firstColumn="0" w:lastColumn="0" w:noHBand="1" w:noVBand="1"/>
        </w:tblPrEx>
        <w:trPr>
          <w:trHeight w:val="353"/>
        </w:trPr>
        <w:tc>
          <w:tcPr>
            <w:tcW w:w="705" w:type="pct"/>
          </w:tcPr>
          <w:p w:rsidR="002F143B" w:rsidRPr="00C873D4" w:rsidRDefault="002F143B" w:rsidP="00544C51">
            <w:pPr>
              <w:widowControl w:val="0"/>
              <w:spacing w:beforeLines="60" w:before="144" w:afterLines="60" w:after="144"/>
              <w:contextualSpacing/>
              <w:rPr>
                <w:rFonts w:eastAsia="Calibri"/>
                <w:sz w:val="20"/>
                <w:szCs w:val="20"/>
              </w:rPr>
            </w:pPr>
            <w:r w:rsidRPr="00D1033B">
              <w:rPr>
                <w:color w:val="000000"/>
                <w:sz w:val="20"/>
                <w:szCs w:val="20"/>
              </w:rPr>
              <w:t xml:space="preserve">Papadavid </w:t>
            </w:r>
            <w:r>
              <w:rPr>
                <w:color w:val="000000"/>
                <w:sz w:val="20"/>
                <w:szCs w:val="20"/>
              </w:rPr>
              <w:t>(</w:t>
            </w:r>
            <w:r w:rsidRPr="00D1033B">
              <w:rPr>
                <w:color w:val="000000"/>
                <w:sz w:val="20"/>
                <w:szCs w:val="20"/>
              </w:rPr>
              <w:t>2017</w:t>
            </w:r>
            <w:r>
              <w:rPr>
                <w:color w:val="000000"/>
                <w:sz w:val="20"/>
                <w:szCs w:val="20"/>
              </w:rPr>
              <w:t>)</w:t>
            </w:r>
          </w:p>
        </w:tc>
        <w:tc>
          <w:tcPr>
            <w:tcW w:w="865" w:type="pct"/>
          </w:tcPr>
          <w:p w:rsidR="002F143B" w:rsidRDefault="002F143B" w:rsidP="00F17705">
            <w:pPr>
              <w:widowControl w:val="0"/>
              <w:autoSpaceDE w:val="0"/>
              <w:autoSpaceDN w:val="0"/>
              <w:adjustRightInd w:val="0"/>
              <w:spacing w:beforeLines="60" w:before="144" w:afterLines="60" w:after="144"/>
              <w:contextualSpacing/>
              <w:rPr>
                <w:rFonts w:eastAsia="Calibri" w:cs="Calibri"/>
                <w:sz w:val="20"/>
                <w:szCs w:val="20"/>
              </w:rPr>
            </w:pPr>
            <w:r w:rsidRPr="002B106A">
              <w:rPr>
                <w:rFonts w:eastAsia="Calibri" w:cs="Calibri"/>
                <w:sz w:val="20"/>
                <w:szCs w:val="20"/>
              </w:rPr>
              <w:t>Cross-sectional</w:t>
            </w:r>
          </w:p>
          <w:p w:rsidR="002F143B" w:rsidRPr="001A3E21" w:rsidRDefault="002F143B" w:rsidP="00F17705">
            <w:pPr>
              <w:widowControl w:val="0"/>
              <w:autoSpaceDE w:val="0"/>
              <w:autoSpaceDN w:val="0"/>
              <w:adjustRightInd w:val="0"/>
              <w:spacing w:beforeLines="60" w:before="144" w:afterLines="60" w:after="144"/>
              <w:contextualSpacing/>
              <w:rPr>
                <w:rFonts w:eastAsia="Calibri" w:cs="Calibri"/>
                <w:sz w:val="20"/>
                <w:szCs w:val="20"/>
              </w:rPr>
            </w:pPr>
            <w:r>
              <w:rPr>
                <w:rFonts w:eastAsia="Calibri" w:cs="Calibri"/>
                <w:sz w:val="20"/>
                <w:szCs w:val="20"/>
              </w:rPr>
              <w:t>(abstract only)</w:t>
            </w:r>
          </w:p>
        </w:tc>
        <w:tc>
          <w:tcPr>
            <w:tcW w:w="1132" w:type="pct"/>
          </w:tcPr>
          <w:p w:rsidR="002F143B" w:rsidRPr="00FD32F4" w:rsidRDefault="002F143B" w:rsidP="00F17705">
            <w:pPr>
              <w:widowControl w:val="0"/>
              <w:autoSpaceDE w:val="0"/>
              <w:autoSpaceDN w:val="0"/>
              <w:adjustRightInd w:val="0"/>
              <w:spacing w:before="100" w:beforeAutospacing="1" w:after="100" w:afterAutospacing="1"/>
              <w:rPr>
                <w:rFonts w:eastAsia="Calibri" w:cs="Calibri"/>
                <w:sz w:val="20"/>
                <w:szCs w:val="20"/>
              </w:rPr>
            </w:pPr>
            <w:r w:rsidRPr="00FD32F4">
              <w:rPr>
                <w:rFonts w:eastAsia="Calibri" w:cs="Calibri"/>
                <w:sz w:val="20"/>
                <w:szCs w:val="20"/>
              </w:rPr>
              <w:t>Dermatology patients (consecutive)</w:t>
            </w:r>
          </w:p>
        </w:tc>
        <w:tc>
          <w:tcPr>
            <w:tcW w:w="1311" w:type="pct"/>
            <w:tcBorders>
              <w:top w:val="single" w:sz="4" w:space="0" w:color="auto"/>
              <w:left w:val="single" w:sz="4" w:space="0" w:color="auto"/>
              <w:bottom w:val="single" w:sz="4" w:space="0" w:color="auto"/>
              <w:right w:val="single" w:sz="4" w:space="0" w:color="auto"/>
            </w:tcBorders>
          </w:tcPr>
          <w:p w:rsidR="002F143B" w:rsidRPr="002B106A" w:rsidRDefault="002F143B" w:rsidP="00F17705">
            <w:pPr>
              <w:pStyle w:val="ListParagraph"/>
              <w:widowControl w:val="0"/>
              <w:numPr>
                <w:ilvl w:val="0"/>
                <w:numId w:val="26"/>
              </w:numPr>
              <w:autoSpaceDE w:val="0"/>
              <w:autoSpaceDN w:val="0"/>
              <w:adjustRightInd w:val="0"/>
              <w:ind w:left="118" w:hanging="118"/>
              <w:rPr>
                <w:rFonts w:eastAsia="Calibri" w:cs="Calibri"/>
                <w:sz w:val="20"/>
                <w:szCs w:val="20"/>
              </w:rPr>
            </w:pPr>
            <w:r w:rsidRPr="002B106A">
              <w:rPr>
                <w:rFonts w:eastAsia="Calibri" w:cs="Calibri"/>
                <w:sz w:val="20"/>
                <w:szCs w:val="20"/>
              </w:rPr>
              <w:t>Psoriasis diagnosis (dermatologist)</w:t>
            </w:r>
          </w:p>
        </w:tc>
        <w:tc>
          <w:tcPr>
            <w:tcW w:w="987" w:type="pct"/>
            <w:tcBorders>
              <w:top w:val="single" w:sz="4" w:space="0" w:color="auto"/>
              <w:left w:val="single" w:sz="4" w:space="0" w:color="auto"/>
              <w:bottom w:val="single" w:sz="4" w:space="0" w:color="auto"/>
              <w:right w:val="single" w:sz="4" w:space="0" w:color="auto"/>
            </w:tcBorders>
            <w:vAlign w:val="center"/>
          </w:tcPr>
          <w:p w:rsidR="002F143B" w:rsidRPr="001A3E21" w:rsidRDefault="002F143B" w:rsidP="00F17705">
            <w:pPr>
              <w:widowControl w:val="0"/>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w:t>
            </w:r>
          </w:p>
        </w:tc>
      </w:tr>
      <w:tr w:rsidR="002F143B" w:rsidRPr="001A3E21" w:rsidTr="00544C51">
        <w:tblPrEx>
          <w:tblLook w:val="0600" w:firstRow="0" w:lastRow="0" w:firstColumn="0" w:lastColumn="0" w:noHBand="1" w:noVBand="1"/>
        </w:tblPrEx>
        <w:trPr>
          <w:trHeight w:val="353"/>
        </w:trPr>
        <w:tc>
          <w:tcPr>
            <w:tcW w:w="705" w:type="pct"/>
            <w:tcBorders>
              <w:top w:val="single" w:sz="4" w:space="0" w:color="auto"/>
              <w:left w:val="single" w:sz="4" w:space="0" w:color="auto"/>
              <w:bottom w:val="single" w:sz="4" w:space="0" w:color="auto"/>
              <w:right w:val="single" w:sz="4" w:space="0" w:color="auto"/>
            </w:tcBorders>
          </w:tcPr>
          <w:p w:rsidR="002F143B" w:rsidRPr="00C873D4" w:rsidRDefault="002F143B" w:rsidP="00544C51">
            <w:pPr>
              <w:widowControl w:val="0"/>
              <w:spacing w:beforeLines="60" w:before="144" w:afterLines="60" w:after="144"/>
              <w:contextualSpacing/>
              <w:rPr>
                <w:rFonts w:eastAsia="Calibri"/>
                <w:sz w:val="20"/>
                <w:szCs w:val="20"/>
              </w:rPr>
            </w:pPr>
            <w:r w:rsidRPr="00C873D4">
              <w:rPr>
                <w:rFonts w:eastAsia="Calibri"/>
                <w:sz w:val="20"/>
                <w:szCs w:val="20"/>
              </w:rPr>
              <w:t xml:space="preserve">Phan </w:t>
            </w:r>
            <w:r>
              <w:rPr>
                <w:rFonts w:eastAsia="Calibri"/>
                <w:sz w:val="20"/>
                <w:szCs w:val="20"/>
              </w:rPr>
              <w:t>(</w:t>
            </w:r>
            <w:r w:rsidRPr="00C873D4">
              <w:rPr>
                <w:rFonts w:eastAsia="Calibri"/>
                <w:sz w:val="20"/>
                <w:szCs w:val="20"/>
              </w:rPr>
              <w:t>2016</w:t>
            </w:r>
            <w:r>
              <w:rPr>
                <w:rFonts w:eastAsia="Calibri"/>
                <w:sz w:val="20"/>
                <w:szCs w:val="20"/>
              </w:rPr>
              <w:t>)</w:t>
            </w:r>
          </w:p>
        </w:tc>
        <w:tc>
          <w:tcPr>
            <w:tcW w:w="865" w:type="pct"/>
            <w:tcBorders>
              <w:top w:val="single" w:sz="4" w:space="0" w:color="auto"/>
              <w:left w:val="single" w:sz="4" w:space="0" w:color="auto"/>
              <w:bottom w:val="single" w:sz="4" w:space="0" w:color="auto"/>
              <w:right w:val="single" w:sz="4" w:space="0" w:color="auto"/>
            </w:tcBorders>
          </w:tcPr>
          <w:p w:rsidR="002F143B" w:rsidRPr="001A3E21" w:rsidRDefault="002F143B" w:rsidP="00F17705">
            <w:pPr>
              <w:widowControl w:val="0"/>
              <w:autoSpaceDE w:val="0"/>
              <w:autoSpaceDN w:val="0"/>
              <w:adjustRightInd w:val="0"/>
              <w:spacing w:beforeLines="60" w:before="144" w:afterLines="60" w:after="144"/>
              <w:contextualSpacing/>
              <w:rPr>
                <w:rFonts w:eastAsia="Calibri" w:cs="Calibri"/>
                <w:sz w:val="20"/>
                <w:szCs w:val="20"/>
              </w:rPr>
            </w:pPr>
            <w:r>
              <w:rPr>
                <w:rFonts w:eastAsia="Calibri" w:cs="Calibri"/>
                <w:sz w:val="20"/>
                <w:szCs w:val="20"/>
              </w:rPr>
              <w:t>Cross-sectional, multi-centre</w:t>
            </w:r>
          </w:p>
        </w:tc>
        <w:tc>
          <w:tcPr>
            <w:tcW w:w="1132" w:type="pct"/>
          </w:tcPr>
          <w:p w:rsidR="002F143B" w:rsidRPr="00FD32F4" w:rsidRDefault="002F143B" w:rsidP="00F17705">
            <w:pPr>
              <w:widowControl w:val="0"/>
              <w:autoSpaceDE w:val="0"/>
              <w:autoSpaceDN w:val="0"/>
              <w:adjustRightInd w:val="0"/>
              <w:spacing w:before="100" w:beforeAutospacing="1" w:after="100" w:afterAutospacing="1"/>
              <w:rPr>
                <w:rFonts w:eastAsia="Calibri" w:cs="Calibri"/>
                <w:sz w:val="20"/>
                <w:szCs w:val="20"/>
              </w:rPr>
            </w:pPr>
            <w:r w:rsidRPr="00FD32F4">
              <w:rPr>
                <w:rFonts w:eastAsia="Calibri" w:cs="Calibri"/>
                <w:sz w:val="20"/>
                <w:szCs w:val="20"/>
              </w:rPr>
              <w:t>Dermatology patients (consecutive)</w:t>
            </w:r>
          </w:p>
        </w:tc>
        <w:tc>
          <w:tcPr>
            <w:tcW w:w="1311" w:type="pct"/>
            <w:tcBorders>
              <w:top w:val="single" w:sz="4" w:space="0" w:color="auto"/>
              <w:left w:val="single" w:sz="4" w:space="0" w:color="auto"/>
              <w:bottom w:val="single" w:sz="4" w:space="0" w:color="auto"/>
              <w:right w:val="single" w:sz="4" w:space="0" w:color="auto"/>
            </w:tcBorders>
          </w:tcPr>
          <w:p w:rsidR="002F143B" w:rsidRDefault="002F143B" w:rsidP="00F17705">
            <w:pPr>
              <w:pStyle w:val="ListParagraph"/>
              <w:widowControl w:val="0"/>
              <w:numPr>
                <w:ilvl w:val="0"/>
                <w:numId w:val="27"/>
              </w:numPr>
              <w:autoSpaceDE w:val="0"/>
              <w:autoSpaceDN w:val="0"/>
              <w:adjustRightInd w:val="0"/>
              <w:ind w:left="118" w:hanging="118"/>
              <w:rPr>
                <w:rFonts w:eastAsia="Calibri" w:cs="Calibri"/>
                <w:sz w:val="20"/>
                <w:szCs w:val="20"/>
              </w:rPr>
            </w:pPr>
            <w:r w:rsidRPr="00D1093D">
              <w:rPr>
                <w:rFonts w:eastAsia="Calibri" w:cs="Calibri"/>
                <w:sz w:val="20"/>
                <w:szCs w:val="20"/>
              </w:rPr>
              <w:t>Psoriasis diagnosis (dermatologist)</w:t>
            </w:r>
          </w:p>
          <w:p w:rsidR="002F143B" w:rsidRPr="00D1093D" w:rsidRDefault="002F143B" w:rsidP="00F17705">
            <w:pPr>
              <w:pStyle w:val="ListParagraph"/>
              <w:widowControl w:val="0"/>
              <w:numPr>
                <w:ilvl w:val="0"/>
                <w:numId w:val="27"/>
              </w:numPr>
              <w:autoSpaceDE w:val="0"/>
              <w:autoSpaceDN w:val="0"/>
              <w:adjustRightInd w:val="0"/>
              <w:ind w:left="118" w:hanging="118"/>
              <w:rPr>
                <w:rFonts w:eastAsia="Calibri" w:cs="Calibri"/>
                <w:sz w:val="20"/>
                <w:szCs w:val="20"/>
              </w:rPr>
            </w:pPr>
            <w:r>
              <w:rPr>
                <w:rFonts w:eastAsia="Calibri" w:cs="Calibri"/>
                <w:sz w:val="20"/>
                <w:szCs w:val="20"/>
              </w:rPr>
              <w:t>Consultation during study period</w:t>
            </w:r>
          </w:p>
        </w:tc>
        <w:tc>
          <w:tcPr>
            <w:tcW w:w="987" w:type="pct"/>
            <w:tcBorders>
              <w:top w:val="single" w:sz="4" w:space="0" w:color="auto"/>
              <w:left w:val="single" w:sz="4" w:space="0" w:color="auto"/>
              <w:bottom w:val="single" w:sz="4" w:space="0" w:color="auto"/>
              <w:right w:val="single" w:sz="4" w:space="0" w:color="auto"/>
            </w:tcBorders>
            <w:vAlign w:val="center"/>
          </w:tcPr>
          <w:p w:rsidR="002F143B" w:rsidRPr="001A3E21" w:rsidRDefault="002F143B" w:rsidP="00F17705">
            <w:pPr>
              <w:widowControl w:val="0"/>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w:t>
            </w:r>
          </w:p>
        </w:tc>
      </w:tr>
      <w:tr w:rsidR="002F143B" w:rsidRPr="001A3E21" w:rsidTr="00544C51">
        <w:tblPrEx>
          <w:tblLook w:val="0600" w:firstRow="0" w:lastRow="0" w:firstColumn="0" w:lastColumn="0" w:noHBand="1" w:noVBand="1"/>
        </w:tblPrEx>
        <w:trPr>
          <w:trHeight w:val="353"/>
        </w:trPr>
        <w:tc>
          <w:tcPr>
            <w:tcW w:w="705" w:type="pct"/>
            <w:tcBorders>
              <w:top w:val="single" w:sz="4" w:space="0" w:color="auto"/>
              <w:left w:val="single" w:sz="4" w:space="0" w:color="auto"/>
              <w:bottom w:val="single" w:sz="4" w:space="0" w:color="auto"/>
              <w:right w:val="single" w:sz="4" w:space="0" w:color="auto"/>
            </w:tcBorders>
          </w:tcPr>
          <w:p w:rsidR="002F143B" w:rsidRPr="00C873D4" w:rsidRDefault="002F143B" w:rsidP="00544C51">
            <w:pPr>
              <w:widowControl w:val="0"/>
              <w:spacing w:beforeLines="60" w:before="144" w:afterLines="60" w:after="144"/>
              <w:contextualSpacing/>
              <w:rPr>
                <w:rFonts w:eastAsia="Calibri"/>
                <w:sz w:val="20"/>
                <w:szCs w:val="20"/>
              </w:rPr>
            </w:pPr>
            <w:r w:rsidRPr="008C324D">
              <w:rPr>
                <w:rFonts w:eastAsia="Calibri"/>
                <w:sz w:val="20"/>
                <w:szCs w:val="20"/>
              </w:rPr>
              <w:t xml:space="preserve">Piaserico </w:t>
            </w:r>
            <w:r>
              <w:rPr>
                <w:rFonts w:eastAsia="Calibri"/>
                <w:sz w:val="20"/>
                <w:szCs w:val="20"/>
              </w:rPr>
              <w:t>(</w:t>
            </w:r>
            <w:r w:rsidRPr="008C324D">
              <w:rPr>
                <w:rFonts w:eastAsia="Calibri"/>
                <w:sz w:val="20"/>
                <w:szCs w:val="20"/>
              </w:rPr>
              <w:t>2016</w:t>
            </w:r>
            <w:r>
              <w:rPr>
                <w:rFonts w:eastAsia="Calibri"/>
                <w:sz w:val="20"/>
                <w:szCs w:val="20"/>
              </w:rPr>
              <w:t>)</w:t>
            </w:r>
          </w:p>
        </w:tc>
        <w:tc>
          <w:tcPr>
            <w:tcW w:w="865" w:type="pct"/>
            <w:tcBorders>
              <w:top w:val="single" w:sz="4" w:space="0" w:color="auto"/>
              <w:left w:val="single" w:sz="4" w:space="0" w:color="auto"/>
              <w:bottom w:val="single" w:sz="4" w:space="0" w:color="auto"/>
              <w:right w:val="single" w:sz="4" w:space="0" w:color="auto"/>
            </w:tcBorders>
          </w:tcPr>
          <w:p w:rsidR="002F143B" w:rsidRPr="001A3E21" w:rsidRDefault="002F143B" w:rsidP="00F17705">
            <w:pPr>
              <w:widowControl w:val="0"/>
              <w:autoSpaceDE w:val="0"/>
              <w:autoSpaceDN w:val="0"/>
              <w:adjustRightInd w:val="0"/>
              <w:spacing w:beforeLines="60" w:before="144" w:afterLines="60" w:after="144"/>
              <w:contextualSpacing/>
              <w:rPr>
                <w:rFonts w:eastAsia="Calibri" w:cs="Calibri"/>
                <w:sz w:val="20"/>
                <w:szCs w:val="20"/>
              </w:rPr>
            </w:pPr>
            <w:r>
              <w:rPr>
                <w:rFonts w:eastAsia="Calibri" w:cs="Calibri"/>
                <w:sz w:val="20"/>
                <w:szCs w:val="20"/>
              </w:rPr>
              <w:t>Cross-sectional, multi-centre</w:t>
            </w:r>
          </w:p>
        </w:tc>
        <w:tc>
          <w:tcPr>
            <w:tcW w:w="1132" w:type="pct"/>
            <w:tcBorders>
              <w:top w:val="single" w:sz="4" w:space="0" w:color="auto"/>
              <w:left w:val="single" w:sz="4" w:space="0" w:color="auto"/>
              <w:bottom w:val="single" w:sz="4" w:space="0" w:color="auto"/>
              <w:right w:val="single" w:sz="4" w:space="0" w:color="auto"/>
            </w:tcBorders>
          </w:tcPr>
          <w:p w:rsidR="002F143B" w:rsidRPr="001A3E21" w:rsidRDefault="002F143B" w:rsidP="00F17705">
            <w:pPr>
              <w:widowControl w:val="0"/>
              <w:autoSpaceDE w:val="0"/>
              <w:autoSpaceDN w:val="0"/>
              <w:adjustRightInd w:val="0"/>
              <w:spacing w:before="100" w:beforeAutospacing="1" w:after="100" w:afterAutospacing="1"/>
              <w:contextualSpacing/>
              <w:rPr>
                <w:rFonts w:eastAsia="Calibri" w:cs="Calibri"/>
                <w:sz w:val="20"/>
                <w:szCs w:val="20"/>
              </w:rPr>
            </w:pPr>
            <w:r w:rsidRPr="00D1093D">
              <w:rPr>
                <w:rFonts w:eastAsia="Calibri" w:cs="Calibri"/>
                <w:sz w:val="20"/>
                <w:szCs w:val="20"/>
              </w:rPr>
              <w:t>Dermatology patients (consecutive)</w:t>
            </w:r>
          </w:p>
        </w:tc>
        <w:tc>
          <w:tcPr>
            <w:tcW w:w="1311" w:type="pct"/>
            <w:tcBorders>
              <w:top w:val="single" w:sz="4" w:space="0" w:color="auto"/>
              <w:left w:val="single" w:sz="4" w:space="0" w:color="auto"/>
              <w:bottom w:val="single" w:sz="4" w:space="0" w:color="auto"/>
              <w:right w:val="single" w:sz="4" w:space="0" w:color="auto"/>
            </w:tcBorders>
          </w:tcPr>
          <w:p w:rsidR="002F143B" w:rsidRDefault="002F143B" w:rsidP="00F17705">
            <w:pPr>
              <w:pStyle w:val="ListParagraph"/>
              <w:widowControl w:val="0"/>
              <w:numPr>
                <w:ilvl w:val="0"/>
                <w:numId w:val="16"/>
              </w:numPr>
              <w:autoSpaceDE w:val="0"/>
              <w:autoSpaceDN w:val="0"/>
              <w:adjustRightInd w:val="0"/>
              <w:ind w:left="118" w:hanging="118"/>
              <w:rPr>
                <w:rFonts w:eastAsia="Calibri" w:cs="Calibri"/>
                <w:sz w:val="20"/>
                <w:szCs w:val="20"/>
              </w:rPr>
            </w:pPr>
            <w:r>
              <w:rPr>
                <w:rFonts w:eastAsia="Calibri" w:cs="Calibri"/>
                <w:sz w:val="20"/>
                <w:szCs w:val="20"/>
              </w:rPr>
              <w:t>≥ 18 years</w:t>
            </w:r>
          </w:p>
          <w:p w:rsidR="002F143B" w:rsidRPr="00AB2A27" w:rsidRDefault="002F143B" w:rsidP="00F17705">
            <w:pPr>
              <w:pStyle w:val="ListParagraph"/>
              <w:widowControl w:val="0"/>
              <w:numPr>
                <w:ilvl w:val="0"/>
                <w:numId w:val="16"/>
              </w:numPr>
              <w:autoSpaceDE w:val="0"/>
              <w:autoSpaceDN w:val="0"/>
              <w:adjustRightInd w:val="0"/>
              <w:ind w:left="118" w:hanging="118"/>
              <w:rPr>
                <w:rFonts w:eastAsia="Calibri" w:cs="Calibri"/>
                <w:sz w:val="20"/>
                <w:szCs w:val="20"/>
              </w:rPr>
            </w:pPr>
            <w:r>
              <w:rPr>
                <w:rFonts w:eastAsia="Calibri" w:cs="Calibri"/>
                <w:sz w:val="20"/>
                <w:szCs w:val="20"/>
              </w:rPr>
              <w:t>CPP</w:t>
            </w:r>
            <w:r w:rsidRPr="00AB2A27">
              <w:rPr>
                <w:rFonts w:eastAsia="Calibri" w:cs="Calibri"/>
                <w:sz w:val="20"/>
                <w:szCs w:val="20"/>
              </w:rPr>
              <w:t xml:space="preserve"> diagnosis</w:t>
            </w:r>
          </w:p>
        </w:tc>
        <w:tc>
          <w:tcPr>
            <w:tcW w:w="987" w:type="pct"/>
            <w:tcBorders>
              <w:top w:val="single" w:sz="4" w:space="0" w:color="auto"/>
              <w:left w:val="single" w:sz="4" w:space="0" w:color="auto"/>
              <w:bottom w:val="single" w:sz="4" w:space="0" w:color="auto"/>
              <w:right w:val="single" w:sz="4" w:space="0" w:color="auto"/>
            </w:tcBorders>
          </w:tcPr>
          <w:p w:rsidR="002F143B" w:rsidRDefault="002F143B" w:rsidP="00F17705">
            <w:pPr>
              <w:pStyle w:val="ListParagraph"/>
              <w:widowControl w:val="0"/>
              <w:numPr>
                <w:ilvl w:val="0"/>
                <w:numId w:val="16"/>
              </w:numPr>
              <w:autoSpaceDE w:val="0"/>
              <w:autoSpaceDN w:val="0"/>
              <w:adjustRightInd w:val="0"/>
              <w:spacing w:beforeLines="60" w:before="144" w:afterLines="60" w:after="144"/>
              <w:ind w:left="164" w:hanging="164"/>
              <w:rPr>
                <w:rFonts w:eastAsia="Calibri" w:cs="Calibri"/>
                <w:sz w:val="20"/>
                <w:szCs w:val="20"/>
              </w:rPr>
            </w:pPr>
            <w:r>
              <w:rPr>
                <w:rFonts w:eastAsia="Calibri" w:cs="Calibri"/>
                <w:sz w:val="20"/>
                <w:szCs w:val="20"/>
              </w:rPr>
              <w:t>Major psychiatric comorbidity</w:t>
            </w:r>
          </w:p>
          <w:p w:rsidR="002F143B" w:rsidRDefault="002F143B" w:rsidP="00F17705">
            <w:pPr>
              <w:pStyle w:val="ListParagraph"/>
              <w:widowControl w:val="0"/>
              <w:numPr>
                <w:ilvl w:val="0"/>
                <w:numId w:val="16"/>
              </w:numPr>
              <w:autoSpaceDE w:val="0"/>
              <w:autoSpaceDN w:val="0"/>
              <w:adjustRightInd w:val="0"/>
              <w:spacing w:beforeLines="60" w:before="144" w:afterLines="60" w:after="144"/>
              <w:ind w:left="164" w:hanging="164"/>
              <w:rPr>
                <w:rFonts w:eastAsia="Calibri" w:cs="Calibri"/>
                <w:sz w:val="20"/>
                <w:szCs w:val="20"/>
              </w:rPr>
            </w:pPr>
            <w:r>
              <w:rPr>
                <w:rFonts w:eastAsia="Calibri" w:cs="Calibri"/>
                <w:sz w:val="20"/>
                <w:szCs w:val="20"/>
              </w:rPr>
              <w:t>Autoimmune disorder</w:t>
            </w:r>
          </w:p>
          <w:p w:rsidR="002F143B" w:rsidRDefault="002F143B" w:rsidP="00F17705">
            <w:pPr>
              <w:pStyle w:val="ListParagraph"/>
              <w:widowControl w:val="0"/>
              <w:numPr>
                <w:ilvl w:val="0"/>
                <w:numId w:val="16"/>
              </w:numPr>
              <w:autoSpaceDE w:val="0"/>
              <w:autoSpaceDN w:val="0"/>
              <w:adjustRightInd w:val="0"/>
              <w:spacing w:beforeLines="60" w:before="144" w:afterLines="60" w:after="144"/>
              <w:ind w:left="164" w:hanging="164"/>
              <w:rPr>
                <w:rFonts w:eastAsia="Calibri" w:cs="Calibri"/>
                <w:sz w:val="20"/>
                <w:szCs w:val="20"/>
              </w:rPr>
            </w:pPr>
            <w:r>
              <w:rPr>
                <w:rFonts w:eastAsia="Calibri" w:cs="Calibri"/>
                <w:sz w:val="20"/>
                <w:szCs w:val="20"/>
              </w:rPr>
              <w:t>Rheumatoid factor positive</w:t>
            </w:r>
          </w:p>
          <w:p w:rsidR="002F143B" w:rsidRDefault="002F143B" w:rsidP="00F17705">
            <w:pPr>
              <w:pStyle w:val="ListParagraph"/>
              <w:widowControl w:val="0"/>
              <w:numPr>
                <w:ilvl w:val="0"/>
                <w:numId w:val="16"/>
              </w:numPr>
              <w:autoSpaceDE w:val="0"/>
              <w:autoSpaceDN w:val="0"/>
              <w:adjustRightInd w:val="0"/>
              <w:spacing w:beforeLines="60" w:before="144" w:afterLines="60" w:after="144"/>
              <w:ind w:left="164" w:hanging="164"/>
              <w:rPr>
                <w:rFonts w:eastAsia="Calibri" w:cs="Calibri"/>
                <w:sz w:val="20"/>
                <w:szCs w:val="20"/>
              </w:rPr>
            </w:pPr>
            <w:r>
              <w:rPr>
                <w:rFonts w:eastAsia="Calibri" w:cs="Calibri"/>
                <w:sz w:val="20"/>
                <w:szCs w:val="20"/>
              </w:rPr>
              <w:t>≥3 weeks psoriasis treatment</w:t>
            </w:r>
          </w:p>
          <w:p w:rsidR="002F143B" w:rsidRPr="00431632" w:rsidRDefault="002F143B" w:rsidP="00F17705">
            <w:pPr>
              <w:pStyle w:val="ListParagraph"/>
              <w:widowControl w:val="0"/>
              <w:numPr>
                <w:ilvl w:val="0"/>
                <w:numId w:val="16"/>
              </w:numPr>
              <w:autoSpaceDE w:val="0"/>
              <w:autoSpaceDN w:val="0"/>
              <w:adjustRightInd w:val="0"/>
              <w:spacing w:beforeLines="60" w:before="144" w:afterLines="60" w:after="144"/>
              <w:ind w:left="164" w:hanging="164"/>
              <w:rPr>
                <w:rFonts w:eastAsia="Calibri" w:cs="Calibri"/>
                <w:sz w:val="20"/>
                <w:szCs w:val="20"/>
              </w:rPr>
            </w:pPr>
            <w:r>
              <w:rPr>
                <w:rFonts w:eastAsia="Calibri" w:cs="Calibri"/>
                <w:sz w:val="20"/>
                <w:szCs w:val="20"/>
              </w:rPr>
              <w:t>Pustular or erythrodermic psoriasis</w:t>
            </w:r>
          </w:p>
        </w:tc>
      </w:tr>
      <w:tr w:rsidR="002F143B" w:rsidRPr="001A3E21" w:rsidTr="00544C51">
        <w:tblPrEx>
          <w:tblLook w:val="0600" w:firstRow="0" w:lastRow="0" w:firstColumn="0" w:lastColumn="0" w:noHBand="1" w:noVBand="1"/>
        </w:tblPrEx>
        <w:trPr>
          <w:trHeight w:val="353"/>
        </w:trPr>
        <w:tc>
          <w:tcPr>
            <w:tcW w:w="705" w:type="pct"/>
            <w:tcBorders>
              <w:top w:val="single" w:sz="4" w:space="0" w:color="auto"/>
              <w:left w:val="single" w:sz="4" w:space="0" w:color="auto"/>
              <w:bottom w:val="single" w:sz="4" w:space="0" w:color="auto"/>
              <w:right w:val="single" w:sz="4" w:space="0" w:color="auto"/>
            </w:tcBorders>
          </w:tcPr>
          <w:p w:rsidR="002F143B" w:rsidRPr="001A3E21" w:rsidRDefault="002F143B" w:rsidP="00544C51">
            <w:pPr>
              <w:widowControl w:val="0"/>
              <w:spacing w:beforeLines="60" w:before="144" w:afterLines="60" w:after="144"/>
              <w:contextualSpacing/>
              <w:rPr>
                <w:rFonts w:eastAsia="Calibri"/>
                <w:sz w:val="20"/>
                <w:szCs w:val="20"/>
              </w:rPr>
            </w:pPr>
            <w:r w:rsidRPr="00CF00E1">
              <w:rPr>
                <w:rFonts w:eastAsia="Calibri"/>
                <w:sz w:val="20"/>
                <w:szCs w:val="20"/>
              </w:rPr>
              <w:t xml:space="preserve">Plunkett </w:t>
            </w:r>
            <w:r>
              <w:rPr>
                <w:rFonts w:eastAsia="Calibri"/>
                <w:sz w:val="20"/>
                <w:szCs w:val="20"/>
              </w:rPr>
              <w:t>(</w:t>
            </w:r>
            <w:r w:rsidRPr="00CF00E1">
              <w:rPr>
                <w:rFonts w:eastAsia="Calibri"/>
                <w:sz w:val="20"/>
                <w:szCs w:val="20"/>
              </w:rPr>
              <w:t>1999</w:t>
            </w:r>
            <w:r>
              <w:rPr>
                <w:rFonts w:eastAsia="Calibri"/>
                <w:sz w:val="20"/>
                <w:szCs w:val="20"/>
              </w:rPr>
              <w:t>)</w:t>
            </w:r>
          </w:p>
        </w:tc>
        <w:tc>
          <w:tcPr>
            <w:tcW w:w="865" w:type="pct"/>
            <w:tcBorders>
              <w:top w:val="single" w:sz="4" w:space="0" w:color="auto"/>
              <w:left w:val="single" w:sz="4" w:space="0" w:color="auto"/>
              <w:bottom w:val="single" w:sz="4" w:space="0" w:color="auto"/>
              <w:right w:val="single" w:sz="4" w:space="0" w:color="auto"/>
            </w:tcBorders>
          </w:tcPr>
          <w:p w:rsidR="002F143B" w:rsidRPr="001A3E21" w:rsidRDefault="002F143B" w:rsidP="00F17705">
            <w:pPr>
              <w:widowControl w:val="0"/>
              <w:autoSpaceDE w:val="0"/>
              <w:autoSpaceDN w:val="0"/>
              <w:adjustRightInd w:val="0"/>
              <w:spacing w:beforeLines="60" w:before="144" w:afterLines="60" w:after="144"/>
              <w:contextualSpacing/>
              <w:rPr>
                <w:rFonts w:eastAsia="Calibri" w:cs="Calibri"/>
                <w:sz w:val="20"/>
                <w:szCs w:val="20"/>
              </w:rPr>
            </w:pPr>
            <w:r>
              <w:rPr>
                <w:rFonts w:eastAsia="Calibri" w:cs="Calibri"/>
                <w:sz w:val="20"/>
                <w:szCs w:val="20"/>
              </w:rPr>
              <w:t>Cross-sectional</w:t>
            </w:r>
          </w:p>
        </w:tc>
        <w:tc>
          <w:tcPr>
            <w:tcW w:w="1132" w:type="pct"/>
            <w:tcBorders>
              <w:top w:val="single" w:sz="4" w:space="0" w:color="auto"/>
              <w:left w:val="single" w:sz="4" w:space="0" w:color="auto"/>
              <w:bottom w:val="single" w:sz="4" w:space="0" w:color="auto"/>
              <w:right w:val="single" w:sz="4" w:space="0" w:color="auto"/>
            </w:tcBorders>
          </w:tcPr>
          <w:p w:rsidR="002F143B" w:rsidRDefault="002F143B" w:rsidP="00F17705">
            <w:pPr>
              <w:pStyle w:val="ListParagraph"/>
              <w:widowControl w:val="0"/>
              <w:numPr>
                <w:ilvl w:val="0"/>
                <w:numId w:val="28"/>
              </w:numPr>
              <w:autoSpaceDE w:val="0"/>
              <w:autoSpaceDN w:val="0"/>
              <w:adjustRightInd w:val="0"/>
              <w:spacing w:before="100" w:beforeAutospacing="1" w:after="100" w:afterAutospacing="1"/>
              <w:ind w:left="175" w:hanging="175"/>
              <w:rPr>
                <w:rFonts w:eastAsia="Calibri" w:cs="Calibri"/>
                <w:sz w:val="20"/>
                <w:szCs w:val="20"/>
              </w:rPr>
            </w:pPr>
            <w:r>
              <w:rPr>
                <w:rFonts w:eastAsia="Calibri" w:cs="Calibri"/>
                <w:sz w:val="20"/>
                <w:szCs w:val="20"/>
              </w:rPr>
              <w:t>Random sample (electoral roll)</w:t>
            </w:r>
          </w:p>
          <w:p w:rsidR="002F143B" w:rsidRPr="00FC4F33" w:rsidRDefault="002F143B" w:rsidP="00F17705">
            <w:pPr>
              <w:pStyle w:val="ListParagraph"/>
              <w:widowControl w:val="0"/>
              <w:numPr>
                <w:ilvl w:val="0"/>
                <w:numId w:val="28"/>
              </w:numPr>
              <w:autoSpaceDE w:val="0"/>
              <w:autoSpaceDN w:val="0"/>
              <w:adjustRightInd w:val="0"/>
              <w:spacing w:before="100" w:beforeAutospacing="1" w:after="100" w:afterAutospacing="1"/>
              <w:ind w:left="175" w:hanging="175"/>
              <w:rPr>
                <w:rFonts w:eastAsia="Calibri" w:cs="Calibri"/>
                <w:sz w:val="20"/>
                <w:szCs w:val="20"/>
              </w:rPr>
            </w:pPr>
            <w:r>
              <w:rPr>
                <w:rFonts w:eastAsia="Calibri" w:cs="Calibri"/>
                <w:sz w:val="20"/>
                <w:szCs w:val="20"/>
              </w:rPr>
              <w:t>Mail and telephone contact</w:t>
            </w:r>
          </w:p>
        </w:tc>
        <w:tc>
          <w:tcPr>
            <w:tcW w:w="1311" w:type="pct"/>
            <w:tcBorders>
              <w:top w:val="single" w:sz="4" w:space="0" w:color="auto"/>
              <w:left w:val="single" w:sz="4" w:space="0" w:color="auto"/>
              <w:bottom w:val="single" w:sz="4" w:space="0" w:color="auto"/>
              <w:right w:val="single" w:sz="4" w:space="0" w:color="auto"/>
            </w:tcBorders>
          </w:tcPr>
          <w:p w:rsidR="002F143B" w:rsidRPr="00A44A23" w:rsidRDefault="002F143B" w:rsidP="00F17705">
            <w:pPr>
              <w:pStyle w:val="ListParagraph"/>
              <w:widowControl w:val="0"/>
              <w:numPr>
                <w:ilvl w:val="0"/>
                <w:numId w:val="16"/>
              </w:numPr>
              <w:autoSpaceDE w:val="0"/>
              <w:autoSpaceDN w:val="0"/>
              <w:adjustRightInd w:val="0"/>
              <w:ind w:left="118" w:hanging="118"/>
              <w:rPr>
                <w:rFonts w:eastAsia="Calibri" w:cs="Calibri"/>
                <w:sz w:val="20"/>
                <w:szCs w:val="20"/>
              </w:rPr>
            </w:pPr>
            <w:r>
              <w:rPr>
                <w:rFonts w:eastAsia="Calibri" w:cs="Calibri"/>
                <w:sz w:val="20"/>
                <w:szCs w:val="20"/>
              </w:rPr>
              <w:t>≥ 20 years</w:t>
            </w:r>
          </w:p>
        </w:tc>
        <w:tc>
          <w:tcPr>
            <w:tcW w:w="987" w:type="pct"/>
            <w:tcBorders>
              <w:top w:val="single" w:sz="4" w:space="0" w:color="auto"/>
              <w:left w:val="single" w:sz="4" w:space="0" w:color="auto"/>
              <w:bottom w:val="single" w:sz="4" w:space="0" w:color="auto"/>
              <w:right w:val="single" w:sz="4" w:space="0" w:color="auto"/>
            </w:tcBorders>
            <w:vAlign w:val="center"/>
          </w:tcPr>
          <w:p w:rsidR="002F143B" w:rsidRPr="001A3E21" w:rsidRDefault="002F143B" w:rsidP="00F17705">
            <w:pPr>
              <w:widowControl w:val="0"/>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w:t>
            </w:r>
          </w:p>
        </w:tc>
      </w:tr>
      <w:tr w:rsidR="002F143B" w:rsidRPr="001A3E21" w:rsidTr="00544C51">
        <w:tblPrEx>
          <w:tblLook w:val="0600" w:firstRow="0" w:lastRow="0" w:firstColumn="0" w:lastColumn="0" w:noHBand="1" w:noVBand="1"/>
        </w:tblPrEx>
        <w:trPr>
          <w:trHeight w:val="353"/>
        </w:trPr>
        <w:tc>
          <w:tcPr>
            <w:tcW w:w="705" w:type="pct"/>
            <w:tcBorders>
              <w:top w:val="single" w:sz="4" w:space="0" w:color="auto"/>
              <w:left w:val="single" w:sz="4" w:space="0" w:color="auto"/>
              <w:bottom w:val="single" w:sz="4" w:space="0" w:color="auto"/>
              <w:right w:val="single" w:sz="4" w:space="0" w:color="auto"/>
            </w:tcBorders>
          </w:tcPr>
          <w:p w:rsidR="002F143B" w:rsidRPr="00CF00E1" w:rsidRDefault="002F143B" w:rsidP="00544C51">
            <w:pPr>
              <w:widowControl w:val="0"/>
              <w:spacing w:beforeLines="60" w:before="144" w:afterLines="60" w:after="144"/>
              <w:contextualSpacing/>
              <w:rPr>
                <w:rFonts w:eastAsia="Calibri"/>
                <w:sz w:val="20"/>
                <w:szCs w:val="20"/>
              </w:rPr>
            </w:pPr>
            <w:r w:rsidRPr="00C873D4">
              <w:rPr>
                <w:rFonts w:eastAsia="Calibri"/>
                <w:sz w:val="20"/>
                <w:szCs w:val="20"/>
              </w:rPr>
              <w:t xml:space="preserve">Pourchot </w:t>
            </w:r>
            <w:r>
              <w:rPr>
                <w:rFonts w:eastAsia="Calibri"/>
                <w:sz w:val="20"/>
                <w:szCs w:val="20"/>
              </w:rPr>
              <w:t>(</w:t>
            </w:r>
            <w:r w:rsidRPr="00C873D4">
              <w:rPr>
                <w:rFonts w:eastAsia="Calibri"/>
                <w:sz w:val="20"/>
                <w:szCs w:val="20"/>
              </w:rPr>
              <w:t>2017</w:t>
            </w:r>
            <w:r>
              <w:rPr>
                <w:rFonts w:eastAsia="Calibri"/>
                <w:sz w:val="20"/>
                <w:szCs w:val="20"/>
              </w:rPr>
              <w:t>)</w:t>
            </w:r>
          </w:p>
        </w:tc>
        <w:tc>
          <w:tcPr>
            <w:tcW w:w="4295" w:type="pct"/>
            <w:gridSpan w:val="4"/>
            <w:tcBorders>
              <w:top w:val="single" w:sz="4" w:space="0" w:color="auto"/>
              <w:left w:val="single" w:sz="4" w:space="0" w:color="auto"/>
              <w:bottom w:val="single" w:sz="4" w:space="0" w:color="auto"/>
              <w:right w:val="single" w:sz="4" w:space="0" w:color="auto"/>
            </w:tcBorders>
          </w:tcPr>
          <w:p w:rsidR="002F143B" w:rsidRPr="001A3E21" w:rsidRDefault="002F143B" w:rsidP="00F17705">
            <w:pPr>
              <w:widowControl w:val="0"/>
              <w:autoSpaceDE w:val="0"/>
              <w:autoSpaceDN w:val="0"/>
              <w:adjustRightInd w:val="0"/>
              <w:spacing w:beforeLines="60" w:before="144" w:afterLines="60" w:after="144"/>
              <w:contextualSpacing/>
              <w:rPr>
                <w:rFonts w:eastAsia="Calibri" w:cs="Calibri"/>
                <w:sz w:val="20"/>
                <w:szCs w:val="20"/>
              </w:rPr>
            </w:pPr>
            <w:r>
              <w:rPr>
                <w:rFonts w:eastAsia="Calibri" w:cs="Calibri"/>
                <w:sz w:val="20"/>
                <w:szCs w:val="20"/>
              </w:rPr>
              <w:t>Refer to Bonigen (2016)</w:t>
            </w:r>
          </w:p>
        </w:tc>
      </w:tr>
      <w:tr w:rsidR="002F143B" w:rsidRPr="001A3E21" w:rsidTr="00544C51">
        <w:tblPrEx>
          <w:tblLook w:val="0600" w:firstRow="0" w:lastRow="0" w:firstColumn="0" w:lastColumn="0" w:noHBand="1" w:noVBand="1"/>
        </w:tblPrEx>
        <w:trPr>
          <w:trHeight w:val="353"/>
        </w:trPr>
        <w:tc>
          <w:tcPr>
            <w:tcW w:w="705" w:type="pct"/>
            <w:tcBorders>
              <w:top w:val="single" w:sz="4" w:space="0" w:color="auto"/>
              <w:left w:val="single" w:sz="4" w:space="0" w:color="auto"/>
              <w:bottom w:val="single" w:sz="4" w:space="0" w:color="auto"/>
              <w:right w:val="single" w:sz="4" w:space="0" w:color="auto"/>
            </w:tcBorders>
          </w:tcPr>
          <w:p w:rsidR="002F143B" w:rsidRPr="00C873D4" w:rsidRDefault="002F143B" w:rsidP="00544C51">
            <w:pPr>
              <w:widowControl w:val="0"/>
              <w:spacing w:beforeLines="60" w:before="144" w:afterLines="60" w:after="144"/>
              <w:contextualSpacing/>
              <w:rPr>
                <w:rFonts w:eastAsia="Calibri"/>
                <w:sz w:val="20"/>
                <w:szCs w:val="20"/>
              </w:rPr>
            </w:pPr>
            <w:r w:rsidRPr="008C324D">
              <w:rPr>
                <w:rFonts w:eastAsia="Calibri"/>
                <w:sz w:val="20"/>
                <w:szCs w:val="20"/>
              </w:rPr>
              <w:t xml:space="preserve">Puig </w:t>
            </w:r>
            <w:r>
              <w:rPr>
                <w:rFonts w:eastAsia="Calibri"/>
                <w:sz w:val="20"/>
                <w:szCs w:val="20"/>
              </w:rPr>
              <w:t>(</w:t>
            </w:r>
            <w:r w:rsidRPr="008C324D">
              <w:rPr>
                <w:rFonts w:eastAsia="Calibri"/>
                <w:sz w:val="20"/>
                <w:szCs w:val="20"/>
              </w:rPr>
              <w:t>2017</w:t>
            </w:r>
            <w:r>
              <w:rPr>
                <w:rFonts w:eastAsia="Calibri"/>
                <w:sz w:val="20"/>
                <w:szCs w:val="20"/>
              </w:rPr>
              <w:t>)</w:t>
            </w:r>
          </w:p>
        </w:tc>
        <w:tc>
          <w:tcPr>
            <w:tcW w:w="865" w:type="pct"/>
            <w:tcBorders>
              <w:top w:val="single" w:sz="4" w:space="0" w:color="auto"/>
              <w:left w:val="single" w:sz="4" w:space="0" w:color="auto"/>
              <w:bottom w:val="single" w:sz="4" w:space="0" w:color="auto"/>
              <w:right w:val="single" w:sz="4" w:space="0" w:color="auto"/>
            </w:tcBorders>
          </w:tcPr>
          <w:p w:rsidR="002F143B" w:rsidRPr="001A3E21" w:rsidRDefault="002F143B" w:rsidP="00F17705">
            <w:pPr>
              <w:widowControl w:val="0"/>
              <w:autoSpaceDE w:val="0"/>
              <w:autoSpaceDN w:val="0"/>
              <w:adjustRightInd w:val="0"/>
              <w:spacing w:beforeLines="60" w:before="144" w:afterLines="60" w:after="144"/>
              <w:contextualSpacing/>
              <w:rPr>
                <w:rFonts w:eastAsia="Calibri" w:cs="Calibri"/>
                <w:sz w:val="20"/>
                <w:szCs w:val="20"/>
              </w:rPr>
            </w:pPr>
            <w:r>
              <w:rPr>
                <w:rFonts w:eastAsia="Calibri" w:cs="Calibri"/>
                <w:sz w:val="20"/>
                <w:szCs w:val="20"/>
              </w:rPr>
              <w:t>Cross-sectional, multinational</w:t>
            </w:r>
          </w:p>
        </w:tc>
        <w:tc>
          <w:tcPr>
            <w:tcW w:w="1132" w:type="pct"/>
            <w:tcBorders>
              <w:top w:val="single" w:sz="4" w:space="0" w:color="auto"/>
              <w:left w:val="single" w:sz="4" w:space="0" w:color="auto"/>
              <w:bottom w:val="single" w:sz="4" w:space="0" w:color="auto"/>
              <w:right w:val="single" w:sz="4" w:space="0" w:color="auto"/>
            </w:tcBorders>
          </w:tcPr>
          <w:p w:rsidR="002F143B" w:rsidRPr="00FD32F4" w:rsidRDefault="002F143B" w:rsidP="00F17705">
            <w:pPr>
              <w:widowControl w:val="0"/>
              <w:autoSpaceDE w:val="0"/>
              <w:autoSpaceDN w:val="0"/>
              <w:adjustRightInd w:val="0"/>
              <w:spacing w:before="100" w:beforeAutospacing="1" w:after="100" w:afterAutospacing="1"/>
              <w:rPr>
                <w:rFonts w:eastAsia="Calibri" w:cs="Calibri"/>
                <w:sz w:val="20"/>
                <w:szCs w:val="20"/>
              </w:rPr>
            </w:pPr>
            <w:r w:rsidRPr="00FD32F4">
              <w:rPr>
                <w:rFonts w:eastAsia="Calibri" w:cs="Calibri"/>
                <w:sz w:val="20"/>
                <w:szCs w:val="20"/>
              </w:rPr>
              <w:t>Random selection (telephone directory)</w:t>
            </w:r>
          </w:p>
        </w:tc>
        <w:tc>
          <w:tcPr>
            <w:tcW w:w="1311" w:type="pct"/>
            <w:tcBorders>
              <w:top w:val="single" w:sz="4" w:space="0" w:color="auto"/>
              <w:left w:val="single" w:sz="4" w:space="0" w:color="auto"/>
              <w:bottom w:val="single" w:sz="4" w:space="0" w:color="auto"/>
              <w:right w:val="single" w:sz="4" w:space="0" w:color="auto"/>
            </w:tcBorders>
          </w:tcPr>
          <w:p w:rsidR="002F143B" w:rsidRPr="00486C1E" w:rsidRDefault="002F143B" w:rsidP="00F17705">
            <w:pPr>
              <w:pStyle w:val="ListParagraph"/>
              <w:widowControl w:val="0"/>
              <w:numPr>
                <w:ilvl w:val="0"/>
                <w:numId w:val="16"/>
              </w:numPr>
              <w:autoSpaceDE w:val="0"/>
              <w:autoSpaceDN w:val="0"/>
              <w:adjustRightInd w:val="0"/>
              <w:ind w:left="118" w:hanging="118"/>
              <w:rPr>
                <w:rFonts w:eastAsia="Calibri" w:cs="Calibri"/>
                <w:sz w:val="20"/>
                <w:szCs w:val="20"/>
              </w:rPr>
            </w:pPr>
            <w:r>
              <w:rPr>
                <w:rFonts w:eastAsia="Calibri" w:cs="Calibri"/>
                <w:sz w:val="20"/>
                <w:szCs w:val="20"/>
              </w:rPr>
              <w:t>≥ 18 years</w:t>
            </w:r>
          </w:p>
        </w:tc>
        <w:tc>
          <w:tcPr>
            <w:tcW w:w="987" w:type="pct"/>
            <w:tcBorders>
              <w:top w:val="single" w:sz="4" w:space="0" w:color="auto"/>
              <w:left w:val="single" w:sz="4" w:space="0" w:color="auto"/>
              <w:bottom w:val="single" w:sz="4" w:space="0" w:color="auto"/>
              <w:right w:val="single" w:sz="4" w:space="0" w:color="auto"/>
            </w:tcBorders>
            <w:vAlign w:val="center"/>
          </w:tcPr>
          <w:p w:rsidR="002F143B" w:rsidRPr="001A3E21" w:rsidRDefault="002F143B" w:rsidP="00F17705">
            <w:pPr>
              <w:widowControl w:val="0"/>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w:t>
            </w:r>
          </w:p>
        </w:tc>
      </w:tr>
      <w:tr w:rsidR="002F143B" w:rsidRPr="001A3E21" w:rsidTr="00544C51">
        <w:tblPrEx>
          <w:tblLook w:val="0600" w:firstRow="0" w:lastRow="0" w:firstColumn="0" w:lastColumn="0" w:noHBand="1" w:noVBand="1"/>
        </w:tblPrEx>
        <w:trPr>
          <w:trHeight w:val="353"/>
        </w:trPr>
        <w:tc>
          <w:tcPr>
            <w:tcW w:w="705" w:type="pct"/>
            <w:tcBorders>
              <w:top w:val="single" w:sz="4" w:space="0" w:color="auto"/>
              <w:left w:val="single" w:sz="4" w:space="0" w:color="auto"/>
              <w:bottom w:val="single" w:sz="4" w:space="0" w:color="auto"/>
              <w:right w:val="single" w:sz="4" w:space="0" w:color="auto"/>
            </w:tcBorders>
          </w:tcPr>
          <w:p w:rsidR="002F143B" w:rsidRPr="001A3E21" w:rsidRDefault="002F143B" w:rsidP="00544C51">
            <w:pPr>
              <w:widowControl w:val="0"/>
              <w:spacing w:beforeLines="60" w:before="144" w:afterLines="60" w:after="144"/>
              <w:contextualSpacing/>
              <w:rPr>
                <w:rFonts w:eastAsia="Calibri"/>
                <w:sz w:val="20"/>
                <w:szCs w:val="20"/>
              </w:rPr>
            </w:pPr>
            <w:r w:rsidRPr="00CF00E1">
              <w:rPr>
                <w:rFonts w:eastAsia="Calibri"/>
                <w:sz w:val="20"/>
                <w:szCs w:val="20"/>
              </w:rPr>
              <w:t xml:space="preserve">Quirk </w:t>
            </w:r>
            <w:r>
              <w:rPr>
                <w:rFonts w:eastAsia="Calibri"/>
                <w:sz w:val="20"/>
                <w:szCs w:val="20"/>
              </w:rPr>
              <w:t>(</w:t>
            </w:r>
            <w:r w:rsidRPr="00CF00E1">
              <w:rPr>
                <w:rFonts w:eastAsia="Calibri"/>
                <w:sz w:val="20"/>
                <w:szCs w:val="20"/>
              </w:rPr>
              <w:t>1979</w:t>
            </w:r>
            <w:r>
              <w:rPr>
                <w:rFonts w:eastAsia="Calibri"/>
                <w:sz w:val="20"/>
                <w:szCs w:val="20"/>
              </w:rPr>
              <w:t>)</w:t>
            </w:r>
          </w:p>
        </w:tc>
        <w:tc>
          <w:tcPr>
            <w:tcW w:w="865" w:type="pct"/>
            <w:tcBorders>
              <w:top w:val="single" w:sz="4" w:space="0" w:color="auto"/>
              <w:left w:val="single" w:sz="4" w:space="0" w:color="auto"/>
              <w:bottom w:val="single" w:sz="4" w:space="0" w:color="auto"/>
              <w:right w:val="single" w:sz="4" w:space="0" w:color="auto"/>
            </w:tcBorders>
          </w:tcPr>
          <w:p w:rsidR="002F143B" w:rsidRPr="001A3E21" w:rsidRDefault="002F143B" w:rsidP="00F17705">
            <w:pPr>
              <w:widowControl w:val="0"/>
              <w:autoSpaceDE w:val="0"/>
              <w:autoSpaceDN w:val="0"/>
              <w:adjustRightInd w:val="0"/>
              <w:spacing w:beforeLines="60" w:before="144" w:afterLines="60" w:after="144"/>
              <w:contextualSpacing/>
              <w:rPr>
                <w:rFonts w:eastAsia="Calibri" w:cs="Calibri"/>
                <w:sz w:val="20"/>
                <w:szCs w:val="20"/>
              </w:rPr>
            </w:pPr>
            <w:r>
              <w:rPr>
                <w:rFonts w:eastAsia="Calibri" w:cs="Calibri"/>
                <w:sz w:val="20"/>
                <w:szCs w:val="20"/>
              </w:rPr>
              <w:t>Cross-sectional</w:t>
            </w:r>
          </w:p>
        </w:tc>
        <w:tc>
          <w:tcPr>
            <w:tcW w:w="1132" w:type="pct"/>
            <w:tcBorders>
              <w:top w:val="single" w:sz="4" w:space="0" w:color="auto"/>
              <w:left w:val="single" w:sz="4" w:space="0" w:color="auto"/>
              <w:bottom w:val="single" w:sz="4" w:space="0" w:color="auto"/>
              <w:right w:val="single" w:sz="4" w:space="0" w:color="auto"/>
            </w:tcBorders>
          </w:tcPr>
          <w:p w:rsidR="002F143B" w:rsidRPr="001A3E21" w:rsidRDefault="002F143B" w:rsidP="00F17705">
            <w:pPr>
              <w:widowControl w:val="0"/>
              <w:autoSpaceDE w:val="0"/>
              <w:autoSpaceDN w:val="0"/>
              <w:adjustRightInd w:val="0"/>
              <w:spacing w:before="100" w:beforeAutospacing="1" w:after="100" w:afterAutospacing="1"/>
              <w:contextualSpacing/>
              <w:rPr>
                <w:rFonts w:eastAsia="Calibri" w:cs="Calibri"/>
                <w:sz w:val="20"/>
                <w:szCs w:val="20"/>
              </w:rPr>
            </w:pPr>
            <w:r>
              <w:rPr>
                <w:rFonts w:eastAsia="Calibri" w:cs="Calibri"/>
                <w:sz w:val="20"/>
                <w:szCs w:val="20"/>
              </w:rPr>
              <w:t>Not stated</w:t>
            </w:r>
          </w:p>
        </w:tc>
        <w:tc>
          <w:tcPr>
            <w:tcW w:w="1311" w:type="pct"/>
            <w:tcBorders>
              <w:top w:val="single" w:sz="4" w:space="0" w:color="auto"/>
              <w:left w:val="single" w:sz="4" w:space="0" w:color="auto"/>
              <w:bottom w:val="single" w:sz="4" w:space="0" w:color="auto"/>
              <w:right w:val="single" w:sz="4" w:space="0" w:color="auto"/>
            </w:tcBorders>
          </w:tcPr>
          <w:p w:rsidR="002F143B" w:rsidRPr="00212675" w:rsidRDefault="002F143B" w:rsidP="00F17705">
            <w:pPr>
              <w:pStyle w:val="ListParagraph"/>
              <w:widowControl w:val="0"/>
              <w:numPr>
                <w:ilvl w:val="0"/>
                <w:numId w:val="16"/>
              </w:numPr>
              <w:autoSpaceDE w:val="0"/>
              <w:autoSpaceDN w:val="0"/>
              <w:adjustRightInd w:val="0"/>
              <w:ind w:left="118" w:hanging="118"/>
              <w:rPr>
                <w:rFonts w:eastAsia="Calibri" w:cs="Calibri"/>
                <w:sz w:val="20"/>
                <w:szCs w:val="20"/>
              </w:rPr>
            </w:pPr>
            <w:r w:rsidRPr="00212675">
              <w:rPr>
                <w:rFonts w:eastAsia="Calibri" w:cs="Calibri"/>
                <w:sz w:val="20"/>
                <w:szCs w:val="20"/>
              </w:rPr>
              <w:t>≥ 18 years</w:t>
            </w:r>
          </w:p>
        </w:tc>
        <w:tc>
          <w:tcPr>
            <w:tcW w:w="987" w:type="pct"/>
            <w:tcBorders>
              <w:top w:val="single" w:sz="4" w:space="0" w:color="auto"/>
              <w:left w:val="single" w:sz="4" w:space="0" w:color="auto"/>
              <w:bottom w:val="single" w:sz="4" w:space="0" w:color="auto"/>
              <w:right w:val="single" w:sz="4" w:space="0" w:color="auto"/>
            </w:tcBorders>
            <w:vAlign w:val="center"/>
          </w:tcPr>
          <w:p w:rsidR="002F143B" w:rsidRPr="001A3E21" w:rsidRDefault="002F143B" w:rsidP="00F17705">
            <w:pPr>
              <w:widowControl w:val="0"/>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w:t>
            </w:r>
          </w:p>
        </w:tc>
      </w:tr>
      <w:tr w:rsidR="002F143B" w:rsidRPr="001A3E21" w:rsidTr="00544C51">
        <w:tblPrEx>
          <w:tblLook w:val="0600" w:firstRow="0" w:lastRow="0" w:firstColumn="0" w:lastColumn="0" w:noHBand="1" w:noVBand="1"/>
        </w:tblPrEx>
        <w:trPr>
          <w:trHeight w:val="353"/>
        </w:trPr>
        <w:tc>
          <w:tcPr>
            <w:tcW w:w="705" w:type="pct"/>
            <w:tcBorders>
              <w:top w:val="single" w:sz="4" w:space="0" w:color="auto"/>
              <w:left w:val="single" w:sz="4" w:space="0" w:color="auto"/>
              <w:bottom w:val="single" w:sz="4" w:space="0" w:color="auto"/>
              <w:right w:val="single" w:sz="4" w:space="0" w:color="auto"/>
            </w:tcBorders>
          </w:tcPr>
          <w:p w:rsidR="002F143B" w:rsidRPr="00CF00E1" w:rsidRDefault="002F143B" w:rsidP="00544C51">
            <w:pPr>
              <w:widowControl w:val="0"/>
              <w:spacing w:beforeLines="60" w:before="144" w:afterLines="60" w:after="144"/>
              <w:contextualSpacing/>
              <w:rPr>
                <w:rFonts w:eastAsia="Calibri"/>
                <w:sz w:val="20"/>
                <w:szCs w:val="20"/>
              </w:rPr>
            </w:pPr>
            <w:r w:rsidRPr="00C873D4">
              <w:rPr>
                <w:rFonts w:eastAsia="Calibri"/>
                <w:sz w:val="20"/>
                <w:szCs w:val="20"/>
              </w:rPr>
              <w:t>Rook’s Textbook of Dermatolo</w:t>
            </w:r>
            <w:r>
              <w:rPr>
                <w:rFonts w:eastAsia="Calibri"/>
                <w:sz w:val="20"/>
                <w:szCs w:val="20"/>
              </w:rPr>
              <w:t>-</w:t>
            </w:r>
            <w:r w:rsidRPr="00C873D4">
              <w:rPr>
                <w:rFonts w:eastAsia="Calibri"/>
                <w:sz w:val="20"/>
                <w:szCs w:val="20"/>
              </w:rPr>
              <w:t>gy 7th edition</w:t>
            </w:r>
          </w:p>
        </w:tc>
        <w:tc>
          <w:tcPr>
            <w:tcW w:w="865" w:type="pct"/>
            <w:tcBorders>
              <w:top w:val="single" w:sz="4" w:space="0" w:color="auto"/>
              <w:left w:val="single" w:sz="4" w:space="0" w:color="auto"/>
              <w:bottom w:val="single" w:sz="4" w:space="0" w:color="auto"/>
              <w:right w:val="single" w:sz="4" w:space="0" w:color="auto"/>
            </w:tcBorders>
          </w:tcPr>
          <w:p w:rsidR="002F143B" w:rsidRPr="001A3E21" w:rsidRDefault="002F143B" w:rsidP="00F17705">
            <w:pPr>
              <w:widowControl w:val="0"/>
              <w:autoSpaceDE w:val="0"/>
              <w:autoSpaceDN w:val="0"/>
              <w:adjustRightInd w:val="0"/>
              <w:spacing w:beforeLines="60" w:before="144" w:afterLines="60" w:after="144"/>
              <w:contextualSpacing/>
              <w:rPr>
                <w:rFonts w:eastAsia="Calibri" w:cs="Calibri"/>
                <w:sz w:val="20"/>
                <w:szCs w:val="20"/>
              </w:rPr>
            </w:pPr>
            <w:r>
              <w:rPr>
                <w:rFonts w:eastAsia="Calibri" w:cs="Calibri"/>
                <w:sz w:val="20"/>
                <w:szCs w:val="20"/>
              </w:rPr>
              <w:t>Not stated</w:t>
            </w:r>
          </w:p>
        </w:tc>
        <w:tc>
          <w:tcPr>
            <w:tcW w:w="1132" w:type="pct"/>
            <w:tcBorders>
              <w:top w:val="single" w:sz="4" w:space="0" w:color="auto"/>
              <w:left w:val="single" w:sz="4" w:space="0" w:color="auto"/>
              <w:bottom w:val="single" w:sz="4" w:space="0" w:color="auto"/>
              <w:right w:val="single" w:sz="4" w:space="0" w:color="auto"/>
            </w:tcBorders>
          </w:tcPr>
          <w:p w:rsidR="002F143B" w:rsidRPr="001A3E21" w:rsidRDefault="002F143B" w:rsidP="00F17705">
            <w:pPr>
              <w:widowControl w:val="0"/>
              <w:autoSpaceDE w:val="0"/>
              <w:autoSpaceDN w:val="0"/>
              <w:adjustRightInd w:val="0"/>
              <w:spacing w:before="100" w:beforeAutospacing="1" w:after="100" w:afterAutospacing="1"/>
              <w:contextualSpacing/>
              <w:rPr>
                <w:rFonts w:eastAsia="Calibri" w:cs="Calibri"/>
                <w:sz w:val="20"/>
                <w:szCs w:val="20"/>
              </w:rPr>
            </w:pPr>
            <w:r>
              <w:rPr>
                <w:rFonts w:eastAsia="Calibri" w:cs="Calibri"/>
                <w:sz w:val="20"/>
                <w:szCs w:val="20"/>
              </w:rPr>
              <w:t>Not stated</w:t>
            </w:r>
          </w:p>
        </w:tc>
        <w:tc>
          <w:tcPr>
            <w:tcW w:w="1311" w:type="pct"/>
            <w:tcBorders>
              <w:top w:val="single" w:sz="4" w:space="0" w:color="auto"/>
              <w:left w:val="single" w:sz="4" w:space="0" w:color="auto"/>
              <w:bottom w:val="single" w:sz="4" w:space="0" w:color="auto"/>
              <w:right w:val="single" w:sz="4" w:space="0" w:color="auto"/>
            </w:tcBorders>
          </w:tcPr>
          <w:p w:rsidR="002F143B" w:rsidRPr="001A3E21" w:rsidRDefault="002F143B" w:rsidP="00F17705">
            <w:pPr>
              <w:widowControl w:val="0"/>
              <w:autoSpaceDE w:val="0"/>
              <w:autoSpaceDN w:val="0"/>
              <w:adjustRightInd w:val="0"/>
              <w:contextualSpacing/>
              <w:rPr>
                <w:rFonts w:eastAsia="Calibri" w:cs="Calibri"/>
                <w:sz w:val="20"/>
                <w:szCs w:val="20"/>
              </w:rPr>
            </w:pPr>
            <w:r>
              <w:rPr>
                <w:rFonts w:eastAsia="Calibri" w:cs="Calibri"/>
                <w:sz w:val="20"/>
                <w:szCs w:val="20"/>
              </w:rPr>
              <w:t>Not stated</w:t>
            </w:r>
          </w:p>
        </w:tc>
        <w:tc>
          <w:tcPr>
            <w:tcW w:w="987" w:type="pct"/>
            <w:tcBorders>
              <w:top w:val="single" w:sz="4" w:space="0" w:color="auto"/>
              <w:left w:val="single" w:sz="4" w:space="0" w:color="auto"/>
              <w:bottom w:val="single" w:sz="4" w:space="0" w:color="auto"/>
              <w:right w:val="single" w:sz="4" w:space="0" w:color="auto"/>
            </w:tcBorders>
          </w:tcPr>
          <w:p w:rsidR="002F143B" w:rsidRPr="001A3E21" w:rsidRDefault="002F143B" w:rsidP="00F17705">
            <w:pPr>
              <w:widowControl w:val="0"/>
              <w:autoSpaceDE w:val="0"/>
              <w:autoSpaceDN w:val="0"/>
              <w:adjustRightInd w:val="0"/>
              <w:spacing w:beforeLines="60" w:before="144" w:afterLines="60" w:after="144"/>
              <w:contextualSpacing/>
              <w:rPr>
                <w:rFonts w:eastAsia="Calibri" w:cs="Calibri"/>
                <w:sz w:val="20"/>
                <w:szCs w:val="20"/>
              </w:rPr>
            </w:pPr>
            <w:r>
              <w:rPr>
                <w:rFonts w:eastAsia="Calibri" w:cs="Calibri"/>
                <w:sz w:val="20"/>
                <w:szCs w:val="20"/>
              </w:rPr>
              <w:t>Not stated</w:t>
            </w:r>
          </w:p>
        </w:tc>
      </w:tr>
      <w:tr w:rsidR="002F143B" w:rsidRPr="001A3E21" w:rsidTr="00544C51">
        <w:tblPrEx>
          <w:tblLook w:val="0600" w:firstRow="0" w:lastRow="0" w:firstColumn="0" w:lastColumn="0" w:noHBand="1" w:noVBand="1"/>
        </w:tblPrEx>
        <w:trPr>
          <w:trHeight w:val="353"/>
        </w:trPr>
        <w:tc>
          <w:tcPr>
            <w:tcW w:w="705" w:type="pct"/>
            <w:tcBorders>
              <w:top w:val="single" w:sz="4" w:space="0" w:color="auto"/>
              <w:left w:val="single" w:sz="4" w:space="0" w:color="auto"/>
              <w:bottom w:val="single" w:sz="4" w:space="0" w:color="auto"/>
              <w:right w:val="single" w:sz="4" w:space="0" w:color="auto"/>
            </w:tcBorders>
          </w:tcPr>
          <w:p w:rsidR="002F143B" w:rsidRDefault="002F143B" w:rsidP="00544C51">
            <w:pPr>
              <w:widowControl w:val="0"/>
              <w:spacing w:beforeLines="60" w:before="144" w:afterLines="60" w:after="144"/>
              <w:contextualSpacing/>
              <w:rPr>
                <w:rFonts w:eastAsia="Calibri"/>
                <w:sz w:val="20"/>
                <w:szCs w:val="20"/>
              </w:rPr>
            </w:pPr>
            <w:r>
              <w:rPr>
                <w:noProof/>
                <w:sz w:val="20"/>
                <w:szCs w:val="20"/>
              </w:rPr>
              <w:t>Schafer (2011)</w:t>
            </w:r>
          </w:p>
        </w:tc>
        <w:tc>
          <w:tcPr>
            <w:tcW w:w="865" w:type="pct"/>
            <w:tcBorders>
              <w:top w:val="single" w:sz="4" w:space="0" w:color="auto"/>
              <w:left w:val="single" w:sz="4" w:space="0" w:color="auto"/>
              <w:bottom w:val="single" w:sz="4" w:space="0" w:color="auto"/>
              <w:right w:val="single" w:sz="4" w:space="0" w:color="auto"/>
            </w:tcBorders>
          </w:tcPr>
          <w:p w:rsidR="002F143B" w:rsidRPr="001A3E21" w:rsidRDefault="002F143B" w:rsidP="00F17705">
            <w:pPr>
              <w:widowControl w:val="0"/>
              <w:autoSpaceDE w:val="0"/>
              <w:autoSpaceDN w:val="0"/>
              <w:adjustRightInd w:val="0"/>
              <w:spacing w:beforeLines="60" w:before="144" w:afterLines="60" w:after="144"/>
              <w:contextualSpacing/>
              <w:rPr>
                <w:rFonts w:eastAsia="Calibri" w:cs="Calibri"/>
                <w:sz w:val="20"/>
                <w:szCs w:val="20"/>
              </w:rPr>
            </w:pPr>
            <w:r>
              <w:rPr>
                <w:rFonts w:eastAsia="Calibri" w:cs="Calibri"/>
                <w:sz w:val="20"/>
                <w:szCs w:val="20"/>
              </w:rPr>
              <w:t>Cross-sectional</w:t>
            </w:r>
          </w:p>
        </w:tc>
        <w:tc>
          <w:tcPr>
            <w:tcW w:w="1132" w:type="pct"/>
            <w:tcBorders>
              <w:top w:val="single" w:sz="4" w:space="0" w:color="auto"/>
              <w:left w:val="single" w:sz="4" w:space="0" w:color="auto"/>
              <w:bottom w:val="single" w:sz="4" w:space="0" w:color="auto"/>
              <w:right w:val="single" w:sz="4" w:space="0" w:color="auto"/>
            </w:tcBorders>
          </w:tcPr>
          <w:p w:rsidR="002F143B" w:rsidRPr="002479E4" w:rsidRDefault="004C2A34" w:rsidP="00F17705">
            <w:pPr>
              <w:pStyle w:val="ListParagraph"/>
              <w:widowControl w:val="0"/>
              <w:autoSpaceDE w:val="0"/>
              <w:autoSpaceDN w:val="0"/>
              <w:adjustRightInd w:val="0"/>
              <w:spacing w:before="100" w:beforeAutospacing="1" w:after="100" w:afterAutospacing="1"/>
              <w:ind w:left="0"/>
              <w:rPr>
                <w:rFonts w:eastAsia="Calibri" w:cs="Calibri"/>
                <w:sz w:val="20"/>
                <w:szCs w:val="20"/>
              </w:rPr>
            </w:pPr>
            <w:r>
              <w:rPr>
                <w:rFonts w:eastAsia="Calibri" w:cs="Calibri"/>
                <w:sz w:val="20"/>
                <w:szCs w:val="20"/>
              </w:rPr>
              <w:t>Patients with statutory health insurance</w:t>
            </w:r>
          </w:p>
        </w:tc>
        <w:tc>
          <w:tcPr>
            <w:tcW w:w="1311" w:type="pct"/>
            <w:tcBorders>
              <w:top w:val="single" w:sz="4" w:space="0" w:color="auto"/>
              <w:left w:val="single" w:sz="4" w:space="0" w:color="auto"/>
              <w:bottom w:val="single" w:sz="4" w:space="0" w:color="auto"/>
              <w:right w:val="single" w:sz="4" w:space="0" w:color="auto"/>
            </w:tcBorders>
          </w:tcPr>
          <w:p w:rsidR="002F143B" w:rsidRPr="002479E4" w:rsidRDefault="002F143B" w:rsidP="00F17705">
            <w:pPr>
              <w:pStyle w:val="ListParagraph"/>
              <w:widowControl w:val="0"/>
              <w:numPr>
                <w:ilvl w:val="0"/>
                <w:numId w:val="16"/>
              </w:numPr>
              <w:autoSpaceDE w:val="0"/>
              <w:autoSpaceDN w:val="0"/>
              <w:adjustRightInd w:val="0"/>
              <w:ind w:left="118" w:hanging="165"/>
              <w:rPr>
                <w:rFonts w:eastAsia="Calibri" w:cs="Calibri"/>
                <w:sz w:val="20"/>
                <w:szCs w:val="20"/>
              </w:rPr>
            </w:pPr>
            <w:r>
              <w:rPr>
                <w:rFonts w:eastAsia="Calibri" w:cs="Calibri"/>
                <w:sz w:val="20"/>
                <w:szCs w:val="20"/>
              </w:rPr>
              <w:t>Continuously insured in 2005</w:t>
            </w:r>
          </w:p>
        </w:tc>
        <w:tc>
          <w:tcPr>
            <w:tcW w:w="987" w:type="pct"/>
            <w:tcBorders>
              <w:top w:val="single" w:sz="4" w:space="0" w:color="auto"/>
              <w:left w:val="single" w:sz="4" w:space="0" w:color="auto"/>
              <w:bottom w:val="single" w:sz="4" w:space="0" w:color="auto"/>
              <w:right w:val="single" w:sz="4" w:space="0" w:color="auto"/>
            </w:tcBorders>
          </w:tcPr>
          <w:p w:rsidR="002F143B" w:rsidRPr="001A3E21" w:rsidRDefault="002F143B" w:rsidP="00F17705">
            <w:pPr>
              <w:widowControl w:val="0"/>
              <w:autoSpaceDE w:val="0"/>
              <w:autoSpaceDN w:val="0"/>
              <w:adjustRightInd w:val="0"/>
              <w:spacing w:beforeLines="60" w:before="144" w:afterLines="60" w:after="144"/>
              <w:contextualSpacing/>
              <w:rPr>
                <w:rFonts w:eastAsia="Calibri" w:cs="Calibri"/>
                <w:sz w:val="20"/>
                <w:szCs w:val="20"/>
              </w:rPr>
            </w:pPr>
            <w:r>
              <w:rPr>
                <w:rFonts w:eastAsia="Calibri" w:cs="Calibri"/>
                <w:sz w:val="20"/>
                <w:szCs w:val="20"/>
              </w:rPr>
              <w:t xml:space="preserve">Not stated </w:t>
            </w:r>
          </w:p>
        </w:tc>
      </w:tr>
      <w:tr w:rsidR="002F143B" w:rsidRPr="001A3E21" w:rsidTr="00544C51">
        <w:tblPrEx>
          <w:tblLook w:val="0600" w:firstRow="0" w:lastRow="0" w:firstColumn="0" w:lastColumn="0" w:noHBand="1" w:noVBand="1"/>
        </w:tblPrEx>
        <w:trPr>
          <w:trHeight w:val="353"/>
        </w:trPr>
        <w:tc>
          <w:tcPr>
            <w:tcW w:w="705" w:type="pct"/>
            <w:tcBorders>
              <w:top w:val="single" w:sz="4" w:space="0" w:color="auto"/>
              <w:left w:val="single" w:sz="4" w:space="0" w:color="auto"/>
              <w:bottom w:val="single" w:sz="4" w:space="0" w:color="auto"/>
              <w:right w:val="single" w:sz="4" w:space="0" w:color="auto"/>
            </w:tcBorders>
          </w:tcPr>
          <w:p w:rsidR="002F143B" w:rsidRDefault="002F143B" w:rsidP="00544C51">
            <w:pPr>
              <w:widowControl w:val="0"/>
              <w:spacing w:beforeLines="60" w:before="144" w:afterLines="60" w:after="144"/>
              <w:contextualSpacing/>
              <w:rPr>
                <w:sz w:val="20"/>
                <w:szCs w:val="20"/>
              </w:rPr>
            </w:pPr>
            <w:r>
              <w:rPr>
                <w:sz w:val="20"/>
                <w:szCs w:val="20"/>
              </w:rPr>
              <w:t>Singh</w:t>
            </w:r>
            <w:r w:rsidRPr="008C324D">
              <w:rPr>
                <w:sz w:val="20"/>
                <w:szCs w:val="20"/>
              </w:rPr>
              <w:t xml:space="preserve"> (2011)</w:t>
            </w:r>
          </w:p>
        </w:tc>
        <w:tc>
          <w:tcPr>
            <w:tcW w:w="865" w:type="pct"/>
            <w:tcBorders>
              <w:top w:val="single" w:sz="4" w:space="0" w:color="auto"/>
              <w:left w:val="single" w:sz="4" w:space="0" w:color="auto"/>
              <w:bottom w:val="single" w:sz="4" w:space="0" w:color="auto"/>
              <w:right w:val="single" w:sz="4" w:space="0" w:color="auto"/>
            </w:tcBorders>
          </w:tcPr>
          <w:p w:rsidR="002F143B" w:rsidRPr="001A3E21" w:rsidRDefault="002F143B" w:rsidP="00F17705">
            <w:pPr>
              <w:widowControl w:val="0"/>
              <w:autoSpaceDE w:val="0"/>
              <w:autoSpaceDN w:val="0"/>
              <w:adjustRightInd w:val="0"/>
              <w:spacing w:beforeLines="60" w:before="144" w:afterLines="60" w:after="144"/>
              <w:contextualSpacing/>
              <w:rPr>
                <w:rFonts w:eastAsia="Calibri" w:cs="Calibri"/>
                <w:sz w:val="20"/>
                <w:szCs w:val="20"/>
              </w:rPr>
            </w:pPr>
            <w:r>
              <w:rPr>
                <w:rFonts w:eastAsia="Calibri" w:cs="Calibri"/>
                <w:sz w:val="20"/>
                <w:szCs w:val="20"/>
              </w:rPr>
              <w:t>Cross-sectional (tele -dermatology study)</w:t>
            </w:r>
          </w:p>
        </w:tc>
        <w:tc>
          <w:tcPr>
            <w:tcW w:w="1132" w:type="pct"/>
            <w:tcBorders>
              <w:top w:val="single" w:sz="4" w:space="0" w:color="auto"/>
              <w:left w:val="single" w:sz="4" w:space="0" w:color="auto"/>
              <w:bottom w:val="single" w:sz="4" w:space="0" w:color="auto"/>
              <w:right w:val="single" w:sz="4" w:space="0" w:color="auto"/>
            </w:tcBorders>
          </w:tcPr>
          <w:p w:rsidR="002F143B" w:rsidRPr="00FD32F4" w:rsidRDefault="002F143B" w:rsidP="00F17705">
            <w:pPr>
              <w:widowControl w:val="0"/>
              <w:autoSpaceDE w:val="0"/>
              <w:autoSpaceDN w:val="0"/>
              <w:adjustRightInd w:val="0"/>
              <w:spacing w:before="100" w:beforeAutospacing="1" w:after="100" w:afterAutospacing="1"/>
              <w:rPr>
                <w:rFonts w:eastAsia="Calibri" w:cs="Calibri"/>
                <w:sz w:val="20"/>
                <w:szCs w:val="20"/>
              </w:rPr>
            </w:pPr>
            <w:r w:rsidRPr="00FD32F4">
              <w:rPr>
                <w:rFonts w:eastAsia="Calibri" w:cs="Calibri"/>
                <w:sz w:val="20"/>
                <w:szCs w:val="20"/>
              </w:rPr>
              <w:t>Outpatient dermatology patients (consecutive)</w:t>
            </w:r>
          </w:p>
        </w:tc>
        <w:tc>
          <w:tcPr>
            <w:tcW w:w="1311" w:type="pct"/>
            <w:tcBorders>
              <w:top w:val="single" w:sz="4" w:space="0" w:color="auto"/>
              <w:left w:val="single" w:sz="4" w:space="0" w:color="auto"/>
              <w:bottom w:val="single" w:sz="4" w:space="0" w:color="auto"/>
              <w:right w:val="single" w:sz="4" w:space="0" w:color="auto"/>
            </w:tcBorders>
          </w:tcPr>
          <w:p w:rsidR="002F143B" w:rsidRPr="00DA1151" w:rsidRDefault="002F143B" w:rsidP="00F17705">
            <w:pPr>
              <w:pStyle w:val="ListParagraph"/>
              <w:widowControl w:val="0"/>
              <w:numPr>
                <w:ilvl w:val="0"/>
                <w:numId w:val="29"/>
              </w:numPr>
              <w:autoSpaceDE w:val="0"/>
              <w:autoSpaceDN w:val="0"/>
              <w:adjustRightInd w:val="0"/>
              <w:ind w:left="118" w:hanging="141"/>
              <w:rPr>
                <w:rFonts w:eastAsia="Calibri" w:cs="Calibri"/>
                <w:sz w:val="20"/>
                <w:szCs w:val="20"/>
              </w:rPr>
            </w:pPr>
            <w:r>
              <w:rPr>
                <w:rFonts w:eastAsia="Calibri" w:cs="Calibri"/>
                <w:sz w:val="20"/>
                <w:szCs w:val="20"/>
              </w:rPr>
              <w:t>Psoriasis diagnosis</w:t>
            </w:r>
          </w:p>
        </w:tc>
        <w:tc>
          <w:tcPr>
            <w:tcW w:w="987" w:type="pct"/>
            <w:tcBorders>
              <w:top w:val="single" w:sz="4" w:space="0" w:color="auto"/>
              <w:left w:val="single" w:sz="4" w:space="0" w:color="auto"/>
              <w:bottom w:val="single" w:sz="4" w:space="0" w:color="auto"/>
              <w:right w:val="single" w:sz="4" w:space="0" w:color="auto"/>
            </w:tcBorders>
            <w:vAlign w:val="center"/>
          </w:tcPr>
          <w:p w:rsidR="002F143B" w:rsidRPr="001A3E21" w:rsidRDefault="002F143B" w:rsidP="00F17705">
            <w:pPr>
              <w:widowControl w:val="0"/>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w:t>
            </w:r>
          </w:p>
        </w:tc>
      </w:tr>
      <w:tr w:rsidR="002F143B" w:rsidRPr="001A3E21" w:rsidTr="00544C51">
        <w:tblPrEx>
          <w:tblLook w:val="0600" w:firstRow="0" w:lastRow="0" w:firstColumn="0" w:lastColumn="0" w:noHBand="1" w:noVBand="1"/>
        </w:tblPrEx>
        <w:trPr>
          <w:cantSplit/>
          <w:trHeight w:val="1644"/>
        </w:trPr>
        <w:tc>
          <w:tcPr>
            <w:tcW w:w="705" w:type="pct"/>
            <w:tcBorders>
              <w:top w:val="single" w:sz="4" w:space="0" w:color="auto"/>
              <w:left w:val="single" w:sz="4" w:space="0" w:color="auto"/>
              <w:bottom w:val="single" w:sz="4" w:space="0" w:color="auto"/>
              <w:right w:val="single" w:sz="4" w:space="0" w:color="auto"/>
            </w:tcBorders>
          </w:tcPr>
          <w:p w:rsidR="002F143B" w:rsidRDefault="002F143B" w:rsidP="00544C51">
            <w:pPr>
              <w:widowControl w:val="0"/>
              <w:spacing w:beforeLines="60" w:before="144" w:afterLines="60" w:after="144"/>
              <w:contextualSpacing/>
              <w:rPr>
                <w:sz w:val="20"/>
                <w:szCs w:val="20"/>
              </w:rPr>
            </w:pPr>
            <w:r w:rsidRPr="003E055C">
              <w:rPr>
                <w:sz w:val="20"/>
                <w:szCs w:val="20"/>
              </w:rPr>
              <w:t>Spelman</w:t>
            </w:r>
            <w:r>
              <w:rPr>
                <w:sz w:val="20"/>
                <w:szCs w:val="20"/>
              </w:rPr>
              <w:t xml:space="preserve"> (</w:t>
            </w:r>
            <w:r w:rsidRPr="003E055C">
              <w:rPr>
                <w:sz w:val="20"/>
                <w:szCs w:val="20"/>
              </w:rPr>
              <w:t>2015)</w:t>
            </w:r>
          </w:p>
        </w:tc>
        <w:tc>
          <w:tcPr>
            <w:tcW w:w="865" w:type="pct"/>
            <w:tcBorders>
              <w:top w:val="single" w:sz="4" w:space="0" w:color="auto"/>
              <w:left w:val="single" w:sz="4" w:space="0" w:color="auto"/>
              <w:bottom w:val="single" w:sz="4" w:space="0" w:color="auto"/>
              <w:right w:val="single" w:sz="4" w:space="0" w:color="auto"/>
            </w:tcBorders>
          </w:tcPr>
          <w:p w:rsidR="002F143B" w:rsidRPr="001A3E21" w:rsidRDefault="002F143B" w:rsidP="00F17705">
            <w:pPr>
              <w:widowControl w:val="0"/>
              <w:autoSpaceDE w:val="0"/>
              <w:autoSpaceDN w:val="0"/>
              <w:adjustRightInd w:val="0"/>
              <w:spacing w:beforeLines="60" w:before="144" w:afterLines="60" w:after="144"/>
              <w:contextualSpacing/>
              <w:rPr>
                <w:rFonts w:eastAsia="Calibri" w:cs="Calibri"/>
                <w:sz w:val="20"/>
                <w:szCs w:val="20"/>
              </w:rPr>
            </w:pPr>
            <w:r>
              <w:rPr>
                <w:rFonts w:eastAsia="Calibri" w:cs="Calibri"/>
                <w:sz w:val="20"/>
                <w:szCs w:val="20"/>
              </w:rPr>
              <w:t>Cross-sectional (screening study)</w:t>
            </w:r>
          </w:p>
        </w:tc>
        <w:tc>
          <w:tcPr>
            <w:tcW w:w="1132" w:type="pct"/>
            <w:tcBorders>
              <w:top w:val="single" w:sz="4" w:space="0" w:color="auto"/>
              <w:left w:val="single" w:sz="4" w:space="0" w:color="auto"/>
              <w:bottom w:val="single" w:sz="4" w:space="0" w:color="auto"/>
              <w:right w:val="single" w:sz="4" w:space="0" w:color="auto"/>
            </w:tcBorders>
          </w:tcPr>
          <w:p w:rsidR="002F143B" w:rsidRDefault="002F143B" w:rsidP="00F17705">
            <w:pPr>
              <w:pStyle w:val="ListParagraph"/>
              <w:widowControl w:val="0"/>
              <w:numPr>
                <w:ilvl w:val="0"/>
                <w:numId w:val="30"/>
              </w:numPr>
              <w:autoSpaceDE w:val="0"/>
              <w:autoSpaceDN w:val="0"/>
              <w:adjustRightInd w:val="0"/>
              <w:spacing w:before="100" w:beforeAutospacing="1" w:after="100" w:afterAutospacing="1"/>
              <w:ind w:left="175" w:hanging="175"/>
              <w:rPr>
                <w:rFonts w:eastAsia="Calibri" w:cs="Calibri"/>
                <w:sz w:val="20"/>
                <w:szCs w:val="20"/>
              </w:rPr>
            </w:pPr>
            <w:r>
              <w:rPr>
                <w:rFonts w:eastAsia="Calibri" w:cs="Calibri"/>
                <w:sz w:val="20"/>
                <w:szCs w:val="20"/>
              </w:rPr>
              <w:t>Tertiary dermatology centres</w:t>
            </w:r>
          </w:p>
          <w:p w:rsidR="002F143B" w:rsidRPr="003A702C" w:rsidRDefault="002F143B" w:rsidP="00F17705">
            <w:pPr>
              <w:pStyle w:val="ListParagraph"/>
              <w:widowControl w:val="0"/>
              <w:numPr>
                <w:ilvl w:val="0"/>
                <w:numId w:val="30"/>
              </w:numPr>
              <w:autoSpaceDE w:val="0"/>
              <w:autoSpaceDN w:val="0"/>
              <w:adjustRightInd w:val="0"/>
              <w:spacing w:before="100" w:beforeAutospacing="1" w:after="100" w:afterAutospacing="1"/>
              <w:ind w:left="175" w:hanging="175"/>
              <w:rPr>
                <w:rFonts w:eastAsia="Calibri" w:cs="Calibri"/>
                <w:sz w:val="20"/>
                <w:szCs w:val="20"/>
              </w:rPr>
            </w:pPr>
            <w:r>
              <w:rPr>
                <w:rFonts w:eastAsia="Calibri" w:cs="Calibri"/>
                <w:sz w:val="20"/>
                <w:szCs w:val="20"/>
              </w:rPr>
              <w:t>Dermatologist referral</w:t>
            </w:r>
          </w:p>
        </w:tc>
        <w:tc>
          <w:tcPr>
            <w:tcW w:w="1311" w:type="pct"/>
            <w:tcBorders>
              <w:top w:val="single" w:sz="4" w:space="0" w:color="auto"/>
              <w:left w:val="single" w:sz="4" w:space="0" w:color="auto"/>
              <w:bottom w:val="single" w:sz="4" w:space="0" w:color="auto"/>
              <w:right w:val="single" w:sz="4" w:space="0" w:color="auto"/>
            </w:tcBorders>
          </w:tcPr>
          <w:p w:rsidR="002F143B" w:rsidRDefault="002F143B" w:rsidP="00F17705">
            <w:pPr>
              <w:pStyle w:val="ListParagraph"/>
              <w:widowControl w:val="0"/>
              <w:numPr>
                <w:ilvl w:val="0"/>
                <w:numId w:val="16"/>
              </w:numPr>
              <w:autoSpaceDE w:val="0"/>
              <w:autoSpaceDN w:val="0"/>
              <w:adjustRightInd w:val="0"/>
              <w:ind w:left="118" w:hanging="118"/>
              <w:rPr>
                <w:rFonts w:eastAsia="Calibri" w:cs="Calibri"/>
                <w:sz w:val="20"/>
                <w:szCs w:val="20"/>
              </w:rPr>
            </w:pPr>
            <w:r>
              <w:rPr>
                <w:rFonts w:eastAsia="Calibri" w:cs="Calibri"/>
                <w:sz w:val="20"/>
                <w:szCs w:val="20"/>
              </w:rPr>
              <w:t>≥ 18 years</w:t>
            </w:r>
          </w:p>
          <w:p w:rsidR="002F143B" w:rsidRPr="00AC5E0F" w:rsidRDefault="002F143B" w:rsidP="00F17705">
            <w:pPr>
              <w:pStyle w:val="ListParagraph"/>
              <w:widowControl w:val="0"/>
              <w:numPr>
                <w:ilvl w:val="0"/>
                <w:numId w:val="16"/>
              </w:numPr>
              <w:autoSpaceDE w:val="0"/>
              <w:autoSpaceDN w:val="0"/>
              <w:adjustRightInd w:val="0"/>
              <w:ind w:left="118" w:hanging="118"/>
              <w:rPr>
                <w:rFonts w:eastAsia="Calibri" w:cs="Calibri"/>
                <w:sz w:val="20"/>
                <w:szCs w:val="20"/>
              </w:rPr>
            </w:pPr>
            <w:r>
              <w:rPr>
                <w:rFonts w:eastAsia="Calibri" w:cs="Calibri"/>
                <w:sz w:val="20"/>
                <w:szCs w:val="20"/>
              </w:rPr>
              <w:t>CPP</w:t>
            </w:r>
            <w:r w:rsidRPr="00AC5E0F">
              <w:rPr>
                <w:rFonts w:eastAsia="Calibri" w:cs="Calibri"/>
                <w:sz w:val="20"/>
                <w:szCs w:val="20"/>
              </w:rPr>
              <w:t xml:space="preserve"> diagnosis</w:t>
            </w:r>
          </w:p>
        </w:tc>
        <w:tc>
          <w:tcPr>
            <w:tcW w:w="987" w:type="pct"/>
            <w:tcBorders>
              <w:top w:val="single" w:sz="4" w:space="0" w:color="auto"/>
              <w:left w:val="single" w:sz="4" w:space="0" w:color="auto"/>
              <w:bottom w:val="single" w:sz="4" w:space="0" w:color="auto"/>
              <w:right w:val="single" w:sz="4" w:space="0" w:color="auto"/>
            </w:tcBorders>
          </w:tcPr>
          <w:p w:rsidR="002F143B" w:rsidRDefault="002F143B" w:rsidP="00F17705">
            <w:pPr>
              <w:pStyle w:val="ListParagraph"/>
              <w:widowControl w:val="0"/>
              <w:numPr>
                <w:ilvl w:val="0"/>
                <w:numId w:val="16"/>
              </w:numPr>
              <w:autoSpaceDE w:val="0"/>
              <w:autoSpaceDN w:val="0"/>
              <w:adjustRightInd w:val="0"/>
              <w:spacing w:beforeLines="60" w:before="144" w:afterLines="60" w:after="144"/>
              <w:ind w:left="118" w:hanging="118"/>
              <w:rPr>
                <w:rFonts w:eastAsia="Calibri" w:cs="Calibri"/>
                <w:sz w:val="20"/>
                <w:szCs w:val="20"/>
              </w:rPr>
            </w:pPr>
            <w:r>
              <w:rPr>
                <w:rFonts w:eastAsia="Calibri" w:cs="Calibri"/>
                <w:sz w:val="20"/>
                <w:szCs w:val="20"/>
              </w:rPr>
              <w:t xml:space="preserve"> Diagnosed rheumatological condition</w:t>
            </w:r>
          </w:p>
          <w:p w:rsidR="002F143B" w:rsidRPr="00AC5E0F" w:rsidRDefault="002F143B" w:rsidP="00F17705">
            <w:pPr>
              <w:pStyle w:val="ListParagraph"/>
              <w:widowControl w:val="0"/>
              <w:numPr>
                <w:ilvl w:val="0"/>
                <w:numId w:val="16"/>
              </w:numPr>
              <w:autoSpaceDE w:val="0"/>
              <w:autoSpaceDN w:val="0"/>
              <w:adjustRightInd w:val="0"/>
              <w:spacing w:beforeLines="60" w:before="144" w:afterLines="60" w:after="144"/>
              <w:ind w:left="118" w:hanging="118"/>
              <w:rPr>
                <w:rFonts w:eastAsia="Calibri" w:cs="Calibri"/>
                <w:sz w:val="20"/>
                <w:szCs w:val="20"/>
              </w:rPr>
            </w:pPr>
            <w:r>
              <w:rPr>
                <w:rFonts w:eastAsia="Calibri" w:cs="Calibri"/>
                <w:sz w:val="20"/>
                <w:szCs w:val="20"/>
              </w:rPr>
              <w:t xml:space="preserve">Clinical trial participation in previous 3 months </w:t>
            </w:r>
          </w:p>
        </w:tc>
      </w:tr>
      <w:tr w:rsidR="002F143B" w:rsidRPr="001A3E21" w:rsidTr="00544C51">
        <w:tblPrEx>
          <w:tblLook w:val="0600" w:firstRow="0" w:lastRow="0" w:firstColumn="0" w:lastColumn="0" w:noHBand="1" w:noVBand="1"/>
        </w:tblPrEx>
        <w:trPr>
          <w:trHeight w:val="353"/>
        </w:trPr>
        <w:tc>
          <w:tcPr>
            <w:tcW w:w="705" w:type="pct"/>
            <w:tcBorders>
              <w:top w:val="single" w:sz="4" w:space="0" w:color="auto"/>
              <w:left w:val="single" w:sz="4" w:space="0" w:color="auto"/>
              <w:bottom w:val="single" w:sz="4" w:space="0" w:color="auto"/>
              <w:right w:val="single" w:sz="4" w:space="0" w:color="auto"/>
            </w:tcBorders>
          </w:tcPr>
          <w:p w:rsidR="002F143B" w:rsidRPr="00CF00E1" w:rsidRDefault="002F143B" w:rsidP="00544C51">
            <w:pPr>
              <w:widowControl w:val="0"/>
              <w:spacing w:beforeLines="60" w:before="144" w:afterLines="60" w:after="144"/>
              <w:contextualSpacing/>
              <w:rPr>
                <w:rFonts w:eastAsia="Calibri"/>
                <w:sz w:val="20"/>
                <w:szCs w:val="20"/>
              </w:rPr>
            </w:pPr>
            <w:r>
              <w:rPr>
                <w:rFonts w:eastAsia="Calibri"/>
                <w:sz w:val="20"/>
                <w:szCs w:val="20"/>
              </w:rPr>
              <w:t>Springate (2017)</w:t>
            </w:r>
          </w:p>
        </w:tc>
        <w:tc>
          <w:tcPr>
            <w:tcW w:w="865" w:type="pct"/>
            <w:tcBorders>
              <w:top w:val="single" w:sz="4" w:space="0" w:color="auto"/>
              <w:left w:val="single" w:sz="4" w:space="0" w:color="auto"/>
              <w:bottom w:val="single" w:sz="4" w:space="0" w:color="auto"/>
              <w:right w:val="single" w:sz="4" w:space="0" w:color="auto"/>
            </w:tcBorders>
          </w:tcPr>
          <w:p w:rsidR="002F143B" w:rsidRPr="001A3E21" w:rsidRDefault="002F143B" w:rsidP="00F17705">
            <w:pPr>
              <w:widowControl w:val="0"/>
              <w:autoSpaceDE w:val="0"/>
              <w:autoSpaceDN w:val="0"/>
              <w:adjustRightInd w:val="0"/>
              <w:spacing w:beforeLines="60" w:before="144" w:afterLines="60" w:after="144"/>
              <w:contextualSpacing/>
              <w:rPr>
                <w:rFonts w:eastAsia="Calibri" w:cs="Calibri"/>
                <w:sz w:val="20"/>
                <w:szCs w:val="20"/>
              </w:rPr>
            </w:pPr>
            <w:r>
              <w:rPr>
                <w:rFonts w:eastAsia="Calibri" w:cs="Calibri"/>
                <w:sz w:val="20"/>
                <w:szCs w:val="20"/>
              </w:rPr>
              <w:t xml:space="preserve">Longitudinal </w:t>
            </w:r>
          </w:p>
        </w:tc>
        <w:tc>
          <w:tcPr>
            <w:tcW w:w="1132" w:type="pct"/>
            <w:tcBorders>
              <w:top w:val="single" w:sz="4" w:space="0" w:color="auto"/>
              <w:left w:val="single" w:sz="4" w:space="0" w:color="auto"/>
              <w:bottom w:val="single" w:sz="4" w:space="0" w:color="auto"/>
              <w:right w:val="single" w:sz="4" w:space="0" w:color="auto"/>
            </w:tcBorders>
          </w:tcPr>
          <w:p w:rsidR="002F143B" w:rsidRDefault="002F143B" w:rsidP="00F17705">
            <w:pPr>
              <w:pStyle w:val="ListParagraph"/>
              <w:widowControl w:val="0"/>
              <w:numPr>
                <w:ilvl w:val="0"/>
                <w:numId w:val="19"/>
              </w:numPr>
              <w:autoSpaceDE w:val="0"/>
              <w:autoSpaceDN w:val="0"/>
              <w:adjustRightInd w:val="0"/>
              <w:spacing w:before="100" w:beforeAutospacing="1" w:after="100" w:afterAutospacing="1"/>
              <w:ind w:left="175" w:hanging="175"/>
              <w:rPr>
                <w:rFonts w:eastAsia="Calibri" w:cs="Calibri"/>
                <w:sz w:val="20"/>
                <w:szCs w:val="20"/>
              </w:rPr>
            </w:pPr>
            <w:r>
              <w:rPr>
                <w:rFonts w:eastAsia="Calibri" w:cs="Calibri"/>
                <w:sz w:val="20"/>
                <w:szCs w:val="20"/>
              </w:rPr>
              <w:t>Included in general practice database</w:t>
            </w:r>
          </w:p>
          <w:p w:rsidR="002F143B" w:rsidRPr="00654430" w:rsidRDefault="002F143B" w:rsidP="00F17705">
            <w:pPr>
              <w:pStyle w:val="ListParagraph"/>
              <w:widowControl w:val="0"/>
              <w:numPr>
                <w:ilvl w:val="0"/>
                <w:numId w:val="19"/>
              </w:numPr>
              <w:autoSpaceDE w:val="0"/>
              <w:autoSpaceDN w:val="0"/>
              <w:adjustRightInd w:val="0"/>
              <w:spacing w:before="100" w:beforeAutospacing="1" w:after="100" w:afterAutospacing="1"/>
              <w:ind w:left="175" w:hanging="175"/>
              <w:rPr>
                <w:rFonts w:eastAsia="Calibri" w:cs="Calibri"/>
                <w:sz w:val="20"/>
                <w:szCs w:val="20"/>
              </w:rPr>
            </w:pPr>
            <w:r>
              <w:rPr>
                <w:rFonts w:eastAsia="Calibri" w:cs="Calibri"/>
                <w:sz w:val="20"/>
                <w:szCs w:val="20"/>
              </w:rPr>
              <w:t>Enrolled with GP practice included in analysis</w:t>
            </w:r>
          </w:p>
        </w:tc>
        <w:tc>
          <w:tcPr>
            <w:tcW w:w="1311" w:type="pct"/>
            <w:tcBorders>
              <w:top w:val="single" w:sz="4" w:space="0" w:color="auto"/>
              <w:left w:val="single" w:sz="4" w:space="0" w:color="auto"/>
              <w:bottom w:val="single" w:sz="4" w:space="0" w:color="auto"/>
              <w:right w:val="single" w:sz="4" w:space="0" w:color="auto"/>
            </w:tcBorders>
          </w:tcPr>
          <w:p w:rsidR="002F143B" w:rsidRPr="00110DD1" w:rsidRDefault="002F143B" w:rsidP="00F17705">
            <w:pPr>
              <w:pStyle w:val="ListParagraph"/>
              <w:widowControl w:val="0"/>
              <w:numPr>
                <w:ilvl w:val="0"/>
                <w:numId w:val="19"/>
              </w:numPr>
              <w:autoSpaceDE w:val="0"/>
              <w:autoSpaceDN w:val="0"/>
              <w:adjustRightInd w:val="0"/>
              <w:ind w:left="118" w:hanging="141"/>
              <w:rPr>
                <w:rFonts w:eastAsia="Calibri" w:cs="Calibri"/>
                <w:sz w:val="20"/>
                <w:szCs w:val="20"/>
              </w:rPr>
            </w:pPr>
            <w:r>
              <w:rPr>
                <w:rFonts w:eastAsia="Calibri" w:cs="Calibri"/>
                <w:sz w:val="20"/>
                <w:szCs w:val="20"/>
              </w:rPr>
              <w:t>All patients in database</w:t>
            </w:r>
          </w:p>
        </w:tc>
        <w:tc>
          <w:tcPr>
            <w:tcW w:w="987" w:type="pct"/>
            <w:tcBorders>
              <w:top w:val="single" w:sz="4" w:space="0" w:color="auto"/>
              <w:left w:val="single" w:sz="4" w:space="0" w:color="auto"/>
              <w:bottom w:val="single" w:sz="4" w:space="0" w:color="auto"/>
              <w:right w:val="single" w:sz="4" w:space="0" w:color="auto"/>
            </w:tcBorders>
            <w:vAlign w:val="center"/>
          </w:tcPr>
          <w:p w:rsidR="002F143B" w:rsidRPr="001A3E21" w:rsidRDefault="002F143B" w:rsidP="00F17705">
            <w:pPr>
              <w:widowControl w:val="0"/>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w:t>
            </w:r>
          </w:p>
        </w:tc>
      </w:tr>
      <w:tr w:rsidR="002F143B" w:rsidRPr="001A3E21" w:rsidTr="00544C51">
        <w:tblPrEx>
          <w:tblLook w:val="0600" w:firstRow="0" w:lastRow="0" w:firstColumn="0" w:lastColumn="0" w:noHBand="1" w:noVBand="1"/>
        </w:tblPrEx>
        <w:trPr>
          <w:trHeight w:val="353"/>
        </w:trPr>
        <w:tc>
          <w:tcPr>
            <w:tcW w:w="705" w:type="pct"/>
            <w:tcBorders>
              <w:top w:val="single" w:sz="4" w:space="0" w:color="auto"/>
              <w:left w:val="single" w:sz="4" w:space="0" w:color="auto"/>
              <w:bottom w:val="single" w:sz="4" w:space="0" w:color="auto"/>
              <w:right w:val="single" w:sz="4" w:space="0" w:color="auto"/>
            </w:tcBorders>
          </w:tcPr>
          <w:p w:rsidR="002F143B" w:rsidRDefault="002F143B" w:rsidP="00544C51">
            <w:pPr>
              <w:widowControl w:val="0"/>
              <w:spacing w:beforeLines="60" w:before="144" w:afterLines="60" w:after="144"/>
              <w:contextualSpacing/>
              <w:rPr>
                <w:rFonts w:eastAsia="Calibri"/>
                <w:sz w:val="20"/>
                <w:szCs w:val="20"/>
              </w:rPr>
            </w:pPr>
            <w:r w:rsidRPr="00C873D4">
              <w:rPr>
                <w:rFonts w:eastAsia="Calibri"/>
                <w:sz w:val="20"/>
                <w:szCs w:val="20"/>
              </w:rPr>
              <w:t>Theodorako</w:t>
            </w:r>
            <w:r>
              <w:rPr>
                <w:rFonts w:eastAsia="Calibri"/>
                <w:sz w:val="20"/>
                <w:szCs w:val="20"/>
              </w:rPr>
              <w:t>-</w:t>
            </w:r>
            <w:r w:rsidRPr="00C873D4">
              <w:rPr>
                <w:rFonts w:eastAsia="Calibri"/>
                <w:sz w:val="20"/>
                <w:szCs w:val="20"/>
              </w:rPr>
              <w:t xml:space="preserve">poulou </w:t>
            </w:r>
            <w:r>
              <w:rPr>
                <w:rFonts w:eastAsia="Calibri"/>
                <w:sz w:val="20"/>
                <w:szCs w:val="20"/>
              </w:rPr>
              <w:t>(</w:t>
            </w:r>
            <w:r w:rsidRPr="00C873D4">
              <w:rPr>
                <w:rFonts w:eastAsia="Calibri"/>
                <w:sz w:val="20"/>
                <w:szCs w:val="20"/>
              </w:rPr>
              <w:t>2016</w:t>
            </w:r>
            <w:r>
              <w:rPr>
                <w:rFonts w:eastAsia="Calibri"/>
                <w:sz w:val="20"/>
                <w:szCs w:val="20"/>
              </w:rPr>
              <w:t>)</w:t>
            </w:r>
          </w:p>
        </w:tc>
        <w:tc>
          <w:tcPr>
            <w:tcW w:w="865" w:type="pct"/>
            <w:tcBorders>
              <w:top w:val="single" w:sz="4" w:space="0" w:color="auto"/>
              <w:left w:val="single" w:sz="4" w:space="0" w:color="auto"/>
              <w:bottom w:val="single" w:sz="4" w:space="0" w:color="auto"/>
              <w:right w:val="single" w:sz="4" w:space="0" w:color="auto"/>
            </w:tcBorders>
          </w:tcPr>
          <w:p w:rsidR="002F143B" w:rsidRPr="001A3E21" w:rsidRDefault="002F143B" w:rsidP="00F17705">
            <w:pPr>
              <w:widowControl w:val="0"/>
              <w:autoSpaceDE w:val="0"/>
              <w:autoSpaceDN w:val="0"/>
              <w:adjustRightInd w:val="0"/>
              <w:spacing w:beforeLines="60" w:before="144" w:afterLines="60" w:after="144"/>
              <w:contextualSpacing/>
              <w:rPr>
                <w:rFonts w:eastAsia="Calibri" w:cs="Calibri"/>
                <w:sz w:val="20"/>
                <w:szCs w:val="20"/>
              </w:rPr>
            </w:pPr>
            <w:r>
              <w:rPr>
                <w:rFonts w:eastAsia="Calibri" w:cs="Calibri"/>
                <w:sz w:val="20"/>
                <w:szCs w:val="20"/>
              </w:rPr>
              <w:t>Cross-sectional</w:t>
            </w:r>
          </w:p>
        </w:tc>
        <w:tc>
          <w:tcPr>
            <w:tcW w:w="1132" w:type="pct"/>
            <w:tcBorders>
              <w:top w:val="single" w:sz="4" w:space="0" w:color="auto"/>
              <w:left w:val="single" w:sz="4" w:space="0" w:color="auto"/>
              <w:bottom w:val="single" w:sz="4" w:space="0" w:color="auto"/>
              <w:right w:val="single" w:sz="4" w:space="0" w:color="auto"/>
            </w:tcBorders>
          </w:tcPr>
          <w:p w:rsidR="002F143B" w:rsidRPr="00FD32F4" w:rsidRDefault="002F143B" w:rsidP="00F17705">
            <w:pPr>
              <w:widowControl w:val="0"/>
              <w:autoSpaceDE w:val="0"/>
              <w:autoSpaceDN w:val="0"/>
              <w:adjustRightInd w:val="0"/>
              <w:spacing w:before="100" w:beforeAutospacing="1" w:after="100" w:afterAutospacing="1"/>
              <w:rPr>
                <w:rFonts w:eastAsia="Calibri" w:cs="Calibri"/>
                <w:sz w:val="20"/>
                <w:szCs w:val="20"/>
              </w:rPr>
            </w:pPr>
            <w:r w:rsidRPr="00FD32F4">
              <w:rPr>
                <w:rFonts w:eastAsia="Calibri" w:cs="Calibri"/>
                <w:sz w:val="20"/>
                <w:szCs w:val="20"/>
              </w:rPr>
              <w:t>Healthcare service recruitment</w:t>
            </w:r>
          </w:p>
        </w:tc>
        <w:tc>
          <w:tcPr>
            <w:tcW w:w="1311" w:type="pct"/>
            <w:tcBorders>
              <w:top w:val="single" w:sz="4" w:space="0" w:color="auto"/>
              <w:left w:val="single" w:sz="4" w:space="0" w:color="auto"/>
              <w:bottom w:val="single" w:sz="4" w:space="0" w:color="auto"/>
              <w:right w:val="single" w:sz="4" w:space="0" w:color="auto"/>
            </w:tcBorders>
          </w:tcPr>
          <w:p w:rsidR="002F143B" w:rsidRDefault="002F143B" w:rsidP="00F17705">
            <w:pPr>
              <w:pStyle w:val="ListParagraph"/>
              <w:widowControl w:val="0"/>
              <w:numPr>
                <w:ilvl w:val="0"/>
                <w:numId w:val="31"/>
              </w:numPr>
              <w:autoSpaceDE w:val="0"/>
              <w:autoSpaceDN w:val="0"/>
              <w:adjustRightInd w:val="0"/>
              <w:ind w:left="118" w:hanging="118"/>
              <w:rPr>
                <w:rFonts w:eastAsia="Calibri" w:cs="Calibri"/>
                <w:sz w:val="20"/>
                <w:szCs w:val="20"/>
              </w:rPr>
            </w:pPr>
            <w:r>
              <w:rPr>
                <w:rFonts w:eastAsia="Calibri" w:cs="Calibri"/>
                <w:sz w:val="20"/>
                <w:szCs w:val="20"/>
              </w:rPr>
              <w:t xml:space="preserve"> ≥ 18 years</w:t>
            </w:r>
          </w:p>
          <w:p w:rsidR="002F143B" w:rsidRPr="00734BD8" w:rsidRDefault="002F143B" w:rsidP="00F17705">
            <w:pPr>
              <w:pStyle w:val="ListParagraph"/>
              <w:widowControl w:val="0"/>
              <w:numPr>
                <w:ilvl w:val="0"/>
                <w:numId w:val="31"/>
              </w:numPr>
              <w:autoSpaceDE w:val="0"/>
              <w:autoSpaceDN w:val="0"/>
              <w:adjustRightInd w:val="0"/>
              <w:ind w:left="118" w:hanging="118"/>
              <w:rPr>
                <w:rFonts w:eastAsia="Calibri" w:cs="Calibri"/>
                <w:sz w:val="20"/>
                <w:szCs w:val="20"/>
              </w:rPr>
            </w:pPr>
            <w:r>
              <w:rPr>
                <w:rFonts w:eastAsia="Calibri" w:cs="Calibri"/>
                <w:sz w:val="20"/>
                <w:szCs w:val="20"/>
              </w:rPr>
              <w:t>Psoriasis diagnosis</w:t>
            </w:r>
          </w:p>
        </w:tc>
        <w:tc>
          <w:tcPr>
            <w:tcW w:w="987" w:type="pct"/>
            <w:tcBorders>
              <w:top w:val="single" w:sz="4" w:space="0" w:color="auto"/>
              <w:left w:val="single" w:sz="4" w:space="0" w:color="auto"/>
              <w:bottom w:val="single" w:sz="4" w:space="0" w:color="auto"/>
              <w:right w:val="single" w:sz="4" w:space="0" w:color="auto"/>
            </w:tcBorders>
            <w:vAlign w:val="center"/>
          </w:tcPr>
          <w:p w:rsidR="002F143B" w:rsidRPr="001A3E21" w:rsidRDefault="002F143B" w:rsidP="00F17705">
            <w:pPr>
              <w:widowControl w:val="0"/>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w:t>
            </w:r>
          </w:p>
        </w:tc>
      </w:tr>
      <w:tr w:rsidR="002F143B" w:rsidRPr="001A3E21" w:rsidTr="00544C51">
        <w:tblPrEx>
          <w:tblLook w:val="0600" w:firstRow="0" w:lastRow="0" w:firstColumn="0" w:lastColumn="0" w:noHBand="1" w:noVBand="1"/>
        </w:tblPrEx>
        <w:trPr>
          <w:trHeight w:val="353"/>
        </w:trPr>
        <w:tc>
          <w:tcPr>
            <w:tcW w:w="705" w:type="pct"/>
            <w:tcBorders>
              <w:top w:val="single" w:sz="4" w:space="0" w:color="auto"/>
              <w:left w:val="single" w:sz="4" w:space="0" w:color="auto"/>
              <w:bottom w:val="single" w:sz="4" w:space="0" w:color="auto"/>
              <w:right w:val="single" w:sz="4" w:space="0" w:color="auto"/>
            </w:tcBorders>
          </w:tcPr>
          <w:p w:rsidR="002F143B" w:rsidRPr="001A3E21" w:rsidRDefault="002F143B" w:rsidP="00544C51">
            <w:pPr>
              <w:widowControl w:val="0"/>
              <w:spacing w:beforeLines="60" w:before="144" w:afterLines="60" w:after="144"/>
              <w:contextualSpacing/>
              <w:rPr>
                <w:rFonts w:eastAsia="Calibri"/>
                <w:sz w:val="20"/>
                <w:szCs w:val="20"/>
              </w:rPr>
            </w:pPr>
            <w:r>
              <w:rPr>
                <w:sz w:val="20"/>
                <w:szCs w:val="20"/>
              </w:rPr>
              <w:t>Tollefson  (2010)</w:t>
            </w:r>
          </w:p>
        </w:tc>
        <w:tc>
          <w:tcPr>
            <w:tcW w:w="865" w:type="pct"/>
            <w:tcBorders>
              <w:top w:val="single" w:sz="4" w:space="0" w:color="auto"/>
              <w:left w:val="single" w:sz="4" w:space="0" w:color="auto"/>
              <w:bottom w:val="single" w:sz="4" w:space="0" w:color="auto"/>
              <w:right w:val="single" w:sz="4" w:space="0" w:color="auto"/>
            </w:tcBorders>
          </w:tcPr>
          <w:p w:rsidR="002F143B" w:rsidRPr="001A3E21" w:rsidRDefault="002F143B" w:rsidP="00F17705">
            <w:pPr>
              <w:widowControl w:val="0"/>
              <w:autoSpaceDE w:val="0"/>
              <w:autoSpaceDN w:val="0"/>
              <w:adjustRightInd w:val="0"/>
              <w:spacing w:beforeLines="60" w:before="144" w:afterLines="60" w:after="144"/>
              <w:contextualSpacing/>
              <w:rPr>
                <w:rFonts w:eastAsia="Calibri" w:cs="Calibri"/>
                <w:sz w:val="20"/>
                <w:szCs w:val="20"/>
              </w:rPr>
            </w:pPr>
            <w:r>
              <w:rPr>
                <w:rFonts w:eastAsia="Calibri" w:cs="Calibri"/>
                <w:sz w:val="20"/>
                <w:szCs w:val="20"/>
              </w:rPr>
              <w:t>Population-based cohort study</w:t>
            </w:r>
          </w:p>
        </w:tc>
        <w:tc>
          <w:tcPr>
            <w:tcW w:w="1132" w:type="pct"/>
            <w:tcBorders>
              <w:top w:val="single" w:sz="4" w:space="0" w:color="auto"/>
              <w:left w:val="single" w:sz="4" w:space="0" w:color="auto"/>
              <w:bottom w:val="single" w:sz="4" w:space="0" w:color="auto"/>
              <w:right w:val="single" w:sz="4" w:space="0" w:color="auto"/>
            </w:tcBorders>
          </w:tcPr>
          <w:p w:rsidR="002F143B" w:rsidRPr="00FD32F4" w:rsidRDefault="002F143B" w:rsidP="00F17705">
            <w:pPr>
              <w:widowControl w:val="0"/>
              <w:autoSpaceDE w:val="0"/>
              <w:autoSpaceDN w:val="0"/>
              <w:adjustRightInd w:val="0"/>
              <w:spacing w:before="100" w:beforeAutospacing="1" w:after="100" w:afterAutospacing="1"/>
              <w:rPr>
                <w:rFonts w:eastAsia="Calibri" w:cs="Calibri"/>
                <w:sz w:val="20"/>
                <w:szCs w:val="20"/>
              </w:rPr>
            </w:pPr>
            <w:r w:rsidRPr="00FD32F4">
              <w:rPr>
                <w:rFonts w:eastAsia="Calibri" w:cs="Calibri"/>
                <w:sz w:val="20"/>
                <w:szCs w:val="20"/>
              </w:rPr>
              <w:t>Whole population</w:t>
            </w:r>
          </w:p>
        </w:tc>
        <w:tc>
          <w:tcPr>
            <w:tcW w:w="1311" w:type="pct"/>
            <w:tcBorders>
              <w:top w:val="single" w:sz="4" w:space="0" w:color="auto"/>
              <w:left w:val="single" w:sz="4" w:space="0" w:color="auto"/>
              <w:bottom w:val="single" w:sz="4" w:space="0" w:color="auto"/>
              <w:right w:val="single" w:sz="4" w:space="0" w:color="auto"/>
            </w:tcBorders>
          </w:tcPr>
          <w:p w:rsidR="002F143B" w:rsidRPr="00F50F68" w:rsidRDefault="002F143B" w:rsidP="00F17705">
            <w:pPr>
              <w:pStyle w:val="ListParagraph"/>
              <w:widowControl w:val="0"/>
              <w:numPr>
                <w:ilvl w:val="0"/>
                <w:numId w:val="31"/>
              </w:numPr>
              <w:autoSpaceDE w:val="0"/>
              <w:autoSpaceDN w:val="0"/>
              <w:adjustRightInd w:val="0"/>
              <w:ind w:left="118" w:hanging="118"/>
              <w:rPr>
                <w:rFonts w:eastAsia="Calibri" w:cs="Calibri"/>
                <w:sz w:val="20"/>
                <w:szCs w:val="20"/>
              </w:rPr>
            </w:pPr>
            <w:r>
              <w:rPr>
                <w:rFonts w:eastAsia="Calibri" w:cs="Calibri"/>
                <w:sz w:val="20"/>
                <w:szCs w:val="20"/>
              </w:rPr>
              <w:t>≥ 18 years</w:t>
            </w:r>
          </w:p>
        </w:tc>
        <w:tc>
          <w:tcPr>
            <w:tcW w:w="987" w:type="pct"/>
            <w:tcBorders>
              <w:top w:val="single" w:sz="4" w:space="0" w:color="auto"/>
              <w:left w:val="single" w:sz="4" w:space="0" w:color="auto"/>
              <w:bottom w:val="single" w:sz="4" w:space="0" w:color="auto"/>
              <w:right w:val="single" w:sz="4" w:space="0" w:color="auto"/>
            </w:tcBorders>
          </w:tcPr>
          <w:p w:rsidR="002F143B" w:rsidRDefault="002F143B" w:rsidP="00F17705">
            <w:pPr>
              <w:pStyle w:val="ListParagraph"/>
              <w:widowControl w:val="0"/>
              <w:numPr>
                <w:ilvl w:val="0"/>
                <w:numId w:val="31"/>
              </w:numPr>
              <w:autoSpaceDE w:val="0"/>
              <w:autoSpaceDN w:val="0"/>
              <w:adjustRightInd w:val="0"/>
              <w:spacing w:beforeLines="60" w:before="144" w:afterLines="60" w:after="144"/>
              <w:ind w:left="22" w:hanging="141"/>
              <w:rPr>
                <w:rFonts w:eastAsia="Calibri" w:cs="Calibri"/>
                <w:sz w:val="20"/>
                <w:szCs w:val="20"/>
              </w:rPr>
            </w:pPr>
            <w:r>
              <w:rPr>
                <w:rFonts w:eastAsia="Calibri" w:cs="Calibri"/>
                <w:sz w:val="20"/>
                <w:szCs w:val="20"/>
              </w:rPr>
              <w:t>Pre-existing psoriasis (before 1970)</w:t>
            </w:r>
          </w:p>
          <w:p w:rsidR="002F143B" w:rsidRPr="00F50F68" w:rsidRDefault="002F143B" w:rsidP="00F17705">
            <w:pPr>
              <w:pStyle w:val="ListParagraph"/>
              <w:widowControl w:val="0"/>
              <w:numPr>
                <w:ilvl w:val="0"/>
                <w:numId w:val="31"/>
              </w:numPr>
              <w:autoSpaceDE w:val="0"/>
              <w:autoSpaceDN w:val="0"/>
              <w:adjustRightInd w:val="0"/>
              <w:spacing w:beforeLines="60" w:before="144" w:afterLines="60" w:after="144"/>
              <w:ind w:left="22" w:hanging="141"/>
              <w:rPr>
                <w:rFonts w:eastAsia="Calibri" w:cs="Calibri"/>
                <w:sz w:val="20"/>
                <w:szCs w:val="20"/>
              </w:rPr>
            </w:pPr>
            <w:r>
              <w:rPr>
                <w:rFonts w:eastAsia="Calibri" w:cs="Calibri"/>
                <w:sz w:val="20"/>
                <w:szCs w:val="20"/>
              </w:rPr>
              <w:t>Missing medical records</w:t>
            </w:r>
          </w:p>
        </w:tc>
      </w:tr>
      <w:tr w:rsidR="002F143B" w:rsidRPr="001A3E21" w:rsidTr="00544C51">
        <w:tblPrEx>
          <w:tblLook w:val="0600" w:firstRow="0" w:lastRow="0" w:firstColumn="0" w:lastColumn="0" w:noHBand="1" w:noVBand="1"/>
        </w:tblPrEx>
        <w:trPr>
          <w:trHeight w:val="353"/>
        </w:trPr>
        <w:tc>
          <w:tcPr>
            <w:tcW w:w="705" w:type="pct"/>
            <w:tcBorders>
              <w:top w:val="single" w:sz="4" w:space="0" w:color="auto"/>
              <w:left w:val="single" w:sz="4" w:space="0" w:color="auto"/>
              <w:bottom w:val="single" w:sz="4" w:space="0" w:color="auto"/>
              <w:right w:val="single" w:sz="4" w:space="0" w:color="auto"/>
            </w:tcBorders>
          </w:tcPr>
          <w:p w:rsidR="002F143B" w:rsidRDefault="002F143B" w:rsidP="00544C51">
            <w:pPr>
              <w:widowControl w:val="0"/>
              <w:spacing w:beforeLines="60" w:before="144" w:afterLines="60" w:after="144"/>
              <w:contextualSpacing/>
              <w:rPr>
                <w:sz w:val="20"/>
                <w:szCs w:val="20"/>
              </w:rPr>
            </w:pPr>
            <w:r w:rsidRPr="003E055C">
              <w:rPr>
                <w:sz w:val="20"/>
                <w:szCs w:val="20"/>
              </w:rPr>
              <w:t xml:space="preserve">Truong </w:t>
            </w:r>
            <w:r>
              <w:rPr>
                <w:sz w:val="20"/>
                <w:szCs w:val="20"/>
              </w:rPr>
              <w:t>(</w:t>
            </w:r>
            <w:r w:rsidRPr="003E055C">
              <w:rPr>
                <w:sz w:val="20"/>
                <w:szCs w:val="20"/>
              </w:rPr>
              <w:t>2015</w:t>
            </w:r>
            <w:r>
              <w:rPr>
                <w:sz w:val="20"/>
                <w:szCs w:val="20"/>
              </w:rPr>
              <w:t>)</w:t>
            </w:r>
          </w:p>
        </w:tc>
        <w:tc>
          <w:tcPr>
            <w:tcW w:w="865" w:type="pct"/>
            <w:tcBorders>
              <w:top w:val="single" w:sz="4" w:space="0" w:color="auto"/>
              <w:left w:val="single" w:sz="4" w:space="0" w:color="auto"/>
              <w:bottom w:val="single" w:sz="4" w:space="0" w:color="auto"/>
              <w:right w:val="single" w:sz="4" w:space="0" w:color="auto"/>
            </w:tcBorders>
          </w:tcPr>
          <w:p w:rsidR="002F143B" w:rsidRPr="001A3E21" w:rsidRDefault="002F143B" w:rsidP="00F17705">
            <w:pPr>
              <w:widowControl w:val="0"/>
              <w:autoSpaceDE w:val="0"/>
              <w:autoSpaceDN w:val="0"/>
              <w:adjustRightInd w:val="0"/>
              <w:spacing w:beforeLines="60" w:before="144" w:afterLines="60" w:after="144"/>
              <w:contextualSpacing/>
              <w:rPr>
                <w:rFonts w:eastAsia="Calibri" w:cs="Calibri"/>
                <w:sz w:val="20"/>
                <w:szCs w:val="20"/>
              </w:rPr>
            </w:pPr>
            <w:r>
              <w:rPr>
                <w:rFonts w:eastAsia="Calibri" w:cs="Calibri"/>
                <w:sz w:val="20"/>
                <w:szCs w:val="20"/>
              </w:rPr>
              <w:t>Cross-sectional</w:t>
            </w:r>
          </w:p>
        </w:tc>
        <w:tc>
          <w:tcPr>
            <w:tcW w:w="1132" w:type="pct"/>
            <w:tcBorders>
              <w:top w:val="single" w:sz="4" w:space="0" w:color="auto"/>
              <w:left w:val="single" w:sz="4" w:space="0" w:color="auto"/>
              <w:bottom w:val="single" w:sz="4" w:space="0" w:color="auto"/>
              <w:right w:val="single" w:sz="4" w:space="0" w:color="auto"/>
            </w:tcBorders>
          </w:tcPr>
          <w:p w:rsidR="002F143B" w:rsidRPr="00FD32F4" w:rsidRDefault="002F143B" w:rsidP="00F17705">
            <w:pPr>
              <w:widowControl w:val="0"/>
              <w:autoSpaceDE w:val="0"/>
              <w:autoSpaceDN w:val="0"/>
              <w:adjustRightInd w:val="0"/>
              <w:spacing w:before="100" w:beforeAutospacing="1" w:after="100" w:afterAutospacing="1"/>
              <w:rPr>
                <w:rFonts w:eastAsia="Calibri" w:cs="Calibri"/>
                <w:sz w:val="20"/>
                <w:szCs w:val="20"/>
              </w:rPr>
            </w:pPr>
            <w:r w:rsidRPr="00FD32F4">
              <w:rPr>
                <w:rFonts w:eastAsia="Calibri" w:cs="Calibri"/>
                <w:sz w:val="20"/>
                <w:szCs w:val="20"/>
              </w:rPr>
              <w:t xml:space="preserve">Healthcare provider referral </w:t>
            </w:r>
          </w:p>
        </w:tc>
        <w:tc>
          <w:tcPr>
            <w:tcW w:w="1311" w:type="pct"/>
            <w:tcBorders>
              <w:top w:val="single" w:sz="4" w:space="0" w:color="auto"/>
              <w:left w:val="single" w:sz="4" w:space="0" w:color="auto"/>
              <w:bottom w:val="single" w:sz="4" w:space="0" w:color="auto"/>
              <w:right w:val="single" w:sz="4" w:space="0" w:color="auto"/>
            </w:tcBorders>
          </w:tcPr>
          <w:p w:rsidR="002F143B" w:rsidRDefault="002F143B" w:rsidP="00F17705">
            <w:pPr>
              <w:pStyle w:val="ListParagraph"/>
              <w:widowControl w:val="0"/>
              <w:numPr>
                <w:ilvl w:val="0"/>
                <w:numId w:val="31"/>
              </w:numPr>
              <w:autoSpaceDE w:val="0"/>
              <w:autoSpaceDN w:val="0"/>
              <w:adjustRightInd w:val="0"/>
              <w:ind w:left="118" w:hanging="118"/>
              <w:rPr>
                <w:rFonts w:eastAsia="Calibri" w:cs="Calibri"/>
                <w:sz w:val="20"/>
                <w:szCs w:val="20"/>
              </w:rPr>
            </w:pPr>
            <w:r>
              <w:rPr>
                <w:rFonts w:eastAsia="Calibri" w:cs="Calibri"/>
                <w:sz w:val="20"/>
                <w:szCs w:val="20"/>
              </w:rPr>
              <w:t>≥ 18 years</w:t>
            </w:r>
          </w:p>
          <w:p w:rsidR="002F143B" w:rsidRPr="007B5883" w:rsidRDefault="002F143B" w:rsidP="00F17705">
            <w:pPr>
              <w:pStyle w:val="ListParagraph"/>
              <w:widowControl w:val="0"/>
              <w:numPr>
                <w:ilvl w:val="0"/>
                <w:numId w:val="31"/>
              </w:numPr>
              <w:autoSpaceDE w:val="0"/>
              <w:autoSpaceDN w:val="0"/>
              <w:adjustRightInd w:val="0"/>
              <w:ind w:left="118" w:hanging="118"/>
              <w:rPr>
                <w:rFonts w:eastAsia="Calibri" w:cs="Calibri"/>
                <w:sz w:val="20"/>
                <w:szCs w:val="20"/>
              </w:rPr>
            </w:pPr>
            <w:r w:rsidRPr="007B5883">
              <w:rPr>
                <w:rFonts w:eastAsia="Calibri" w:cs="Calibri"/>
                <w:sz w:val="20"/>
                <w:szCs w:val="20"/>
              </w:rPr>
              <w:t>Psoriasis diagnosis</w:t>
            </w:r>
            <w:r>
              <w:rPr>
                <w:rFonts w:eastAsia="Calibri" w:cs="Calibri"/>
                <w:sz w:val="20"/>
                <w:szCs w:val="20"/>
              </w:rPr>
              <w:t xml:space="preserve"> (dermatologist confirmed)</w:t>
            </w:r>
          </w:p>
        </w:tc>
        <w:tc>
          <w:tcPr>
            <w:tcW w:w="987" w:type="pct"/>
            <w:tcBorders>
              <w:top w:val="single" w:sz="4" w:space="0" w:color="auto"/>
              <w:left w:val="single" w:sz="4" w:space="0" w:color="auto"/>
              <w:bottom w:val="single" w:sz="4" w:space="0" w:color="auto"/>
              <w:right w:val="single" w:sz="4" w:space="0" w:color="auto"/>
            </w:tcBorders>
            <w:vAlign w:val="center"/>
          </w:tcPr>
          <w:p w:rsidR="002F143B" w:rsidRPr="001A3E21" w:rsidRDefault="002F143B" w:rsidP="00F17705">
            <w:pPr>
              <w:widowControl w:val="0"/>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w:t>
            </w:r>
          </w:p>
        </w:tc>
      </w:tr>
      <w:tr w:rsidR="002F143B" w:rsidRPr="001A3E21" w:rsidTr="00544C51">
        <w:tblPrEx>
          <w:tblLook w:val="0600" w:firstRow="0" w:lastRow="0" w:firstColumn="0" w:lastColumn="0" w:noHBand="1" w:noVBand="1"/>
        </w:tblPrEx>
        <w:trPr>
          <w:trHeight w:val="353"/>
        </w:trPr>
        <w:tc>
          <w:tcPr>
            <w:tcW w:w="705" w:type="pct"/>
            <w:tcBorders>
              <w:top w:val="single" w:sz="4" w:space="0" w:color="auto"/>
              <w:left w:val="single" w:sz="4" w:space="0" w:color="auto"/>
              <w:bottom w:val="single" w:sz="4" w:space="0" w:color="auto"/>
              <w:right w:val="single" w:sz="4" w:space="0" w:color="auto"/>
            </w:tcBorders>
          </w:tcPr>
          <w:p w:rsidR="002F143B" w:rsidRDefault="002F143B" w:rsidP="00544C51">
            <w:pPr>
              <w:widowControl w:val="0"/>
              <w:spacing w:beforeLines="60" w:before="144" w:afterLines="60" w:after="144"/>
              <w:contextualSpacing/>
              <w:rPr>
                <w:sz w:val="20"/>
                <w:szCs w:val="20"/>
              </w:rPr>
            </w:pPr>
            <w:r w:rsidRPr="008C324D">
              <w:rPr>
                <w:sz w:val="20"/>
                <w:szCs w:val="20"/>
              </w:rPr>
              <w:t xml:space="preserve">Urbancek </w:t>
            </w:r>
            <w:r>
              <w:rPr>
                <w:sz w:val="20"/>
                <w:szCs w:val="20"/>
              </w:rPr>
              <w:t>(</w:t>
            </w:r>
            <w:r w:rsidRPr="008C324D">
              <w:rPr>
                <w:sz w:val="20"/>
                <w:szCs w:val="20"/>
              </w:rPr>
              <w:t>2016</w:t>
            </w:r>
            <w:r>
              <w:rPr>
                <w:sz w:val="20"/>
                <w:szCs w:val="20"/>
              </w:rPr>
              <w:t>)</w:t>
            </w:r>
          </w:p>
        </w:tc>
        <w:tc>
          <w:tcPr>
            <w:tcW w:w="865" w:type="pct"/>
            <w:tcBorders>
              <w:top w:val="single" w:sz="4" w:space="0" w:color="auto"/>
              <w:left w:val="single" w:sz="4" w:space="0" w:color="auto"/>
              <w:bottom w:val="single" w:sz="4" w:space="0" w:color="auto"/>
              <w:right w:val="single" w:sz="4" w:space="0" w:color="auto"/>
            </w:tcBorders>
          </w:tcPr>
          <w:p w:rsidR="002F143B" w:rsidRPr="001A3E21" w:rsidRDefault="002F143B" w:rsidP="00F17705">
            <w:pPr>
              <w:widowControl w:val="0"/>
              <w:autoSpaceDE w:val="0"/>
              <w:autoSpaceDN w:val="0"/>
              <w:adjustRightInd w:val="0"/>
              <w:spacing w:beforeLines="60" w:before="144" w:afterLines="60" w:after="144"/>
              <w:contextualSpacing/>
              <w:rPr>
                <w:rFonts w:eastAsia="Calibri" w:cs="Calibri"/>
                <w:sz w:val="20"/>
                <w:szCs w:val="20"/>
              </w:rPr>
            </w:pPr>
            <w:r w:rsidRPr="003139E9">
              <w:rPr>
                <w:rFonts w:eastAsia="Calibri" w:cs="Calibri"/>
                <w:sz w:val="20"/>
                <w:szCs w:val="20"/>
              </w:rPr>
              <w:t>Cross-sectional</w:t>
            </w:r>
          </w:p>
        </w:tc>
        <w:tc>
          <w:tcPr>
            <w:tcW w:w="1132" w:type="pct"/>
            <w:tcBorders>
              <w:top w:val="single" w:sz="4" w:space="0" w:color="auto"/>
              <w:left w:val="single" w:sz="4" w:space="0" w:color="auto"/>
              <w:bottom w:val="single" w:sz="4" w:space="0" w:color="auto"/>
              <w:right w:val="single" w:sz="4" w:space="0" w:color="auto"/>
            </w:tcBorders>
          </w:tcPr>
          <w:p w:rsidR="002F143B" w:rsidRPr="00FD32F4" w:rsidRDefault="002F143B" w:rsidP="00F17705">
            <w:pPr>
              <w:widowControl w:val="0"/>
              <w:autoSpaceDE w:val="0"/>
              <w:autoSpaceDN w:val="0"/>
              <w:adjustRightInd w:val="0"/>
              <w:spacing w:before="100" w:beforeAutospacing="1" w:after="100" w:afterAutospacing="1"/>
              <w:rPr>
                <w:rFonts w:eastAsia="Calibri" w:cs="Calibri"/>
                <w:sz w:val="20"/>
                <w:szCs w:val="20"/>
              </w:rPr>
            </w:pPr>
            <w:r w:rsidRPr="00FD32F4">
              <w:rPr>
                <w:rFonts w:eastAsia="Calibri" w:cs="Calibri"/>
                <w:sz w:val="20"/>
                <w:szCs w:val="20"/>
              </w:rPr>
              <w:t>Dermatology patients (consecutive)</w:t>
            </w:r>
          </w:p>
        </w:tc>
        <w:tc>
          <w:tcPr>
            <w:tcW w:w="1311" w:type="pct"/>
            <w:tcBorders>
              <w:top w:val="single" w:sz="4" w:space="0" w:color="auto"/>
              <w:left w:val="single" w:sz="4" w:space="0" w:color="auto"/>
              <w:bottom w:val="single" w:sz="4" w:space="0" w:color="auto"/>
              <w:right w:val="single" w:sz="4" w:space="0" w:color="auto"/>
            </w:tcBorders>
          </w:tcPr>
          <w:p w:rsidR="002F143B" w:rsidRPr="003139E9" w:rsidRDefault="002F143B" w:rsidP="00F17705">
            <w:pPr>
              <w:pStyle w:val="ListParagraph"/>
              <w:widowControl w:val="0"/>
              <w:numPr>
                <w:ilvl w:val="0"/>
                <w:numId w:val="31"/>
              </w:numPr>
              <w:autoSpaceDE w:val="0"/>
              <w:autoSpaceDN w:val="0"/>
              <w:adjustRightInd w:val="0"/>
              <w:ind w:left="118" w:hanging="118"/>
              <w:rPr>
                <w:rFonts w:eastAsia="Calibri" w:cs="Calibri"/>
                <w:sz w:val="20"/>
                <w:szCs w:val="20"/>
              </w:rPr>
            </w:pPr>
            <w:r>
              <w:rPr>
                <w:rFonts w:eastAsia="Calibri" w:cs="Calibri"/>
                <w:sz w:val="20"/>
                <w:szCs w:val="20"/>
              </w:rPr>
              <w:t xml:space="preserve"> </w:t>
            </w:r>
            <w:r w:rsidRPr="003139E9">
              <w:rPr>
                <w:rFonts w:eastAsia="Calibri" w:cs="Calibri"/>
                <w:sz w:val="20"/>
                <w:szCs w:val="20"/>
              </w:rPr>
              <w:t>Psoriasis diagnosis</w:t>
            </w:r>
          </w:p>
        </w:tc>
        <w:tc>
          <w:tcPr>
            <w:tcW w:w="987" w:type="pct"/>
            <w:tcBorders>
              <w:top w:val="single" w:sz="4" w:space="0" w:color="auto"/>
              <w:left w:val="single" w:sz="4" w:space="0" w:color="auto"/>
              <w:bottom w:val="single" w:sz="4" w:space="0" w:color="auto"/>
              <w:right w:val="single" w:sz="4" w:space="0" w:color="auto"/>
            </w:tcBorders>
            <w:vAlign w:val="center"/>
          </w:tcPr>
          <w:p w:rsidR="002F143B" w:rsidRPr="001A3E21" w:rsidRDefault="002F143B" w:rsidP="00F17705">
            <w:pPr>
              <w:widowControl w:val="0"/>
              <w:autoSpaceDE w:val="0"/>
              <w:autoSpaceDN w:val="0"/>
              <w:adjustRightInd w:val="0"/>
              <w:spacing w:beforeLines="60" w:before="144" w:afterLines="60" w:after="144"/>
              <w:contextualSpacing/>
              <w:jc w:val="center"/>
              <w:rPr>
                <w:rFonts w:eastAsia="Calibri" w:cs="Calibri"/>
                <w:sz w:val="20"/>
                <w:szCs w:val="20"/>
              </w:rPr>
            </w:pPr>
            <w:r>
              <w:rPr>
                <w:rFonts w:eastAsia="Calibri" w:cs="Calibri"/>
                <w:sz w:val="20"/>
                <w:szCs w:val="20"/>
              </w:rPr>
              <w:t>-</w:t>
            </w:r>
          </w:p>
        </w:tc>
      </w:tr>
      <w:tr w:rsidR="002F143B" w:rsidRPr="001A3E21" w:rsidTr="00544C51">
        <w:tblPrEx>
          <w:tblLook w:val="0600" w:firstRow="0" w:lastRow="0" w:firstColumn="0" w:lastColumn="0" w:noHBand="1" w:noVBand="1"/>
        </w:tblPrEx>
        <w:trPr>
          <w:trHeight w:val="353"/>
        </w:trPr>
        <w:tc>
          <w:tcPr>
            <w:tcW w:w="705" w:type="pct"/>
            <w:tcBorders>
              <w:top w:val="single" w:sz="4" w:space="0" w:color="auto"/>
              <w:left w:val="single" w:sz="4" w:space="0" w:color="auto"/>
              <w:bottom w:val="single" w:sz="4" w:space="0" w:color="auto"/>
              <w:right w:val="single" w:sz="4" w:space="0" w:color="auto"/>
            </w:tcBorders>
          </w:tcPr>
          <w:p w:rsidR="002F143B" w:rsidRPr="008C324D" w:rsidRDefault="002F143B" w:rsidP="00544C51">
            <w:pPr>
              <w:widowControl w:val="0"/>
              <w:spacing w:beforeLines="60" w:before="144" w:afterLines="60" w:after="144"/>
              <w:contextualSpacing/>
              <w:rPr>
                <w:sz w:val="20"/>
                <w:szCs w:val="20"/>
              </w:rPr>
            </w:pPr>
            <w:r w:rsidRPr="003E055C">
              <w:rPr>
                <w:sz w:val="20"/>
                <w:szCs w:val="20"/>
              </w:rPr>
              <w:t>Wilson</w:t>
            </w:r>
            <w:r>
              <w:rPr>
                <w:sz w:val="20"/>
                <w:szCs w:val="20"/>
              </w:rPr>
              <w:t xml:space="preserve"> (</w:t>
            </w:r>
            <w:r w:rsidRPr="003E055C">
              <w:rPr>
                <w:sz w:val="20"/>
                <w:szCs w:val="20"/>
              </w:rPr>
              <w:t>2009)</w:t>
            </w:r>
          </w:p>
        </w:tc>
        <w:tc>
          <w:tcPr>
            <w:tcW w:w="865" w:type="pct"/>
            <w:tcBorders>
              <w:top w:val="single" w:sz="4" w:space="0" w:color="auto"/>
              <w:left w:val="single" w:sz="4" w:space="0" w:color="auto"/>
              <w:bottom w:val="single" w:sz="4" w:space="0" w:color="auto"/>
              <w:right w:val="single" w:sz="4" w:space="0" w:color="auto"/>
            </w:tcBorders>
          </w:tcPr>
          <w:p w:rsidR="002F143B" w:rsidRPr="001A3E21" w:rsidRDefault="002F143B" w:rsidP="00F17705">
            <w:pPr>
              <w:widowControl w:val="0"/>
              <w:autoSpaceDE w:val="0"/>
              <w:autoSpaceDN w:val="0"/>
              <w:adjustRightInd w:val="0"/>
              <w:spacing w:beforeLines="60" w:before="144" w:afterLines="60" w:after="144"/>
              <w:contextualSpacing/>
              <w:rPr>
                <w:rFonts w:eastAsia="Calibri" w:cs="Calibri"/>
                <w:sz w:val="20"/>
                <w:szCs w:val="20"/>
              </w:rPr>
            </w:pPr>
            <w:r>
              <w:rPr>
                <w:rFonts w:eastAsia="Calibri" w:cs="Calibri"/>
                <w:sz w:val="20"/>
                <w:szCs w:val="20"/>
              </w:rPr>
              <w:t>Population-based cohort study</w:t>
            </w:r>
          </w:p>
        </w:tc>
        <w:tc>
          <w:tcPr>
            <w:tcW w:w="1132" w:type="pct"/>
            <w:tcBorders>
              <w:top w:val="single" w:sz="4" w:space="0" w:color="auto"/>
              <w:left w:val="single" w:sz="4" w:space="0" w:color="auto"/>
              <w:bottom w:val="single" w:sz="4" w:space="0" w:color="auto"/>
              <w:right w:val="single" w:sz="4" w:space="0" w:color="auto"/>
            </w:tcBorders>
          </w:tcPr>
          <w:p w:rsidR="002F143B" w:rsidRPr="00FD32F4" w:rsidRDefault="002F143B" w:rsidP="00F17705">
            <w:pPr>
              <w:widowControl w:val="0"/>
              <w:autoSpaceDE w:val="0"/>
              <w:autoSpaceDN w:val="0"/>
              <w:adjustRightInd w:val="0"/>
              <w:spacing w:before="100" w:beforeAutospacing="1" w:after="100" w:afterAutospacing="1"/>
              <w:rPr>
                <w:rFonts w:eastAsia="Calibri" w:cs="Calibri"/>
                <w:sz w:val="20"/>
                <w:szCs w:val="20"/>
              </w:rPr>
            </w:pPr>
            <w:r w:rsidRPr="00FD32F4">
              <w:rPr>
                <w:rFonts w:eastAsia="Calibri" w:cs="Calibri"/>
                <w:sz w:val="20"/>
                <w:szCs w:val="20"/>
              </w:rPr>
              <w:t>Whole population</w:t>
            </w:r>
          </w:p>
        </w:tc>
        <w:tc>
          <w:tcPr>
            <w:tcW w:w="1311" w:type="pct"/>
            <w:tcBorders>
              <w:top w:val="single" w:sz="4" w:space="0" w:color="auto"/>
              <w:left w:val="single" w:sz="4" w:space="0" w:color="auto"/>
              <w:bottom w:val="single" w:sz="4" w:space="0" w:color="auto"/>
              <w:right w:val="single" w:sz="4" w:space="0" w:color="auto"/>
            </w:tcBorders>
          </w:tcPr>
          <w:p w:rsidR="002F143B" w:rsidRDefault="002F143B" w:rsidP="00F17705">
            <w:pPr>
              <w:pStyle w:val="ListParagraph"/>
              <w:widowControl w:val="0"/>
              <w:numPr>
                <w:ilvl w:val="0"/>
                <w:numId w:val="31"/>
              </w:numPr>
              <w:autoSpaceDE w:val="0"/>
              <w:autoSpaceDN w:val="0"/>
              <w:adjustRightInd w:val="0"/>
              <w:ind w:left="118" w:hanging="118"/>
              <w:rPr>
                <w:rFonts w:eastAsia="Calibri" w:cs="Calibri"/>
                <w:sz w:val="20"/>
                <w:szCs w:val="20"/>
              </w:rPr>
            </w:pPr>
            <w:r>
              <w:rPr>
                <w:rFonts w:eastAsia="Calibri" w:cs="Calibri"/>
                <w:sz w:val="20"/>
                <w:szCs w:val="20"/>
              </w:rPr>
              <w:t>≥ 18 years</w:t>
            </w:r>
          </w:p>
          <w:p w:rsidR="002F143B" w:rsidRPr="000B16A3" w:rsidRDefault="002F143B" w:rsidP="00F17705">
            <w:pPr>
              <w:pStyle w:val="ListParagraph"/>
              <w:widowControl w:val="0"/>
              <w:numPr>
                <w:ilvl w:val="0"/>
                <w:numId w:val="31"/>
              </w:numPr>
              <w:autoSpaceDE w:val="0"/>
              <w:autoSpaceDN w:val="0"/>
              <w:adjustRightInd w:val="0"/>
              <w:ind w:left="118" w:hanging="118"/>
              <w:rPr>
                <w:rFonts w:eastAsia="Calibri" w:cs="Calibri"/>
                <w:sz w:val="20"/>
                <w:szCs w:val="20"/>
              </w:rPr>
            </w:pPr>
            <w:r w:rsidRPr="000B16A3">
              <w:rPr>
                <w:rFonts w:eastAsia="Calibri" w:cs="Calibri"/>
                <w:sz w:val="20"/>
                <w:szCs w:val="20"/>
              </w:rPr>
              <w:t>Psoriasis diagnosis</w:t>
            </w:r>
            <w:r>
              <w:rPr>
                <w:rFonts w:eastAsia="Calibri" w:cs="Calibri"/>
                <w:sz w:val="20"/>
                <w:szCs w:val="20"/>
              </w:rPr>
              <w:t xml:space="preserve"> (clinical records) after 1970</w:t>
            </w:r>
          </w:p>
        </w:tc>
        <w:tc>
          <w:tcPr>
            <w:tcW w:w="987" w:type="pct"/>
            <w:tcBorders>
              <w:top w:val="single" w:sz="4" w:space="0" w:color="auto"/>
              <w:left w:val="single" w:sz="4" w:space="0" w:color="auto"/>
              <w:bottom w:val="single" w:sz="4" w:space="0" w:color="auto"/>
              <w:right w:val="single" w:sz="4" w:space="0" w:color="auto"/>
            </w:tcBorders>
          </w:tcPr>
          <w:p w:rsidR="002F143B" w:rsidRPr="000B16A3" w:rsidRDefault="001904D5" w:rsidP="00F17705">
            <w:pPr>
              <w:pStyle w:val="ListParagraph"/>
              <w:widowControl w:val="0"/>
              <w:numPr>
                <w:ilvl w:val="0"/>
                <w:numId w:val="31"/>
              </w:numPr>
              <w:autoSpaceDE w:val="0"/>
              <w:autoSpaceDN w:val="0"/>
              <w:adjustRightInd w:val="0"/>
              <w:spacing w:beforeLines="60" w:before="144" w:afterLines="60" w:after="144"/>
              <w:ind w:left="118" w:hanging="118"/>
              <w:rPr>
                <w:rFonts w:eastAsia="Calibri" w:cs="Calibri"/>
                <w:sz w:val="20"/>
                <w:szCs w:val="20"/>
              </w:rPr>
            </w:pPr>
            <w:r>
              <w:rPr>
                <w:rFonts w:eastAsia="Calibri" w:cs="Calibri"/>
                <w:sz w:val="20"/>
                <w:szCs w:val="20"/>
              </w:rPr>
              <w:t>Concurrent</w:t>
            </w:r>
            <w:r w:rsidR="002F143B">
              <w:rPr>
                <w:rFonts w:eastAsia="Calibri" w:cs="Calibri"/>
                <w:sz w:val="20"/>
                <w:szCs w:val="20"/>
              </w:rPr>
              <w:t xml:space="preserve"> p</w:t>
            </w:r>
            <w:r w:rsidR="002F143B" w:rsidRPr="000B16A3">
              <w:rPr>
                <w:rFonts w:eastAsia="Calibri" w:cs="Calibri"/>
                <w:sz w:val="20"/>
                <w:szCs w:val="20"/>
              </w:rPr>
              <w:t xml:space="preserve">soriasis </w:t>
            </w:r>
            <w:r w:rsidR="002F143B">
              <w:rPr>
                <w:rFonts w:eastAsia="Calibri" w:cs="Calibri"/>
                <w:sz w:val="20"/>
                <w:szCs w:val="20"/>
              </w:rPr>
              <w:t xml:space="preserve">and PsA </w:t>
            </w:r>
            <w:r w:rsidR="002F143B" w:rsidRPr="000B16A3">
              <w:rPr>
                <w:rFonts w:eastAsia="Calibri" w:cs="Calibri"/>
                <w:sz w:val="20"/>
                <w:szCs w:val="20"/>
              </w:rPr>
              <w:t>diagnosis (clinical records)</w:t>
            </w:r>
          </w:p>
        </w:tc>
      </w:tr>
    </w:tbl>
    <w:p w:rsidR="00D135DD" w:rsidRDefault="00D135DD" w:rsidP="00FE7CE4">
      <w:pPr>
        <w:pStyle w:val="TableFootnote0"/>
        <w:keepNext w:val="0"/>
        <w:keepLines/>
      </w:pPr>
      <w:r>
        <w:t xml:space="preserve">AS = </w:t>
      </w:r>
      <w:r w:rsidRPr="000A76FD">
        <w:t>ankylosing spondylitis</w:t>
      </w:r>
      <w:r>
        <w:t xml:space="preserve">; </w:t>
      </w:r>
      <w:r w:rsidR="00F17705">
        <w:t xml:space="preserve">CPP = chronic plaque psoriasis; </w:t>
      </w:r>
      <w:r>
        <w:t>PsA = psoriatic arthritis; RA = rheumatoid arthritis;</w:t>
      </w:r>
      <w:r w:rsidR="00544C51">
        <w:t xml:space="preserve"> SpA = spondyloarthritis</w:t>
      </w:r>
    </w:p>
    <w:p w:rsidR="00673144" w:rsidRDefault="00673144">
      <w:pPr>
        <w:spacing w:line="276" w:lineRule="auto"/>
        <w:rPr>
          <w:rFonts w:ascii="Calibri" w:eastAsiaTheme="majorEastAsia" w:hAnsi="Calibri" w:cstheme="majorBidi"/>
          <w:b/>
          <w:bCs/>
          <w:iCs/>
          <w:color w:val="548DD4" w:themeColor="text2" w:themeTint="99"/>
          <w:sz w:val="32"/>
          <w:szCs w:val="32"/>
        </w:rPr>
      </w:pPr>
      <w:bookmarkStart w:id="218" w:name="_Ref496692139"/>
      <w:r>
        <w:br w:type="page"/>
      </w:r>
    </w:p>
    <w:p w:rsidR="007C694E" w:rsidRDefault="007C694E" w:rsidP="00673144">
      <w:pPr>
        <w:pStyle w:val="MDSubheading"/>
      </w:pPr>
      <w:bookmarkStart w:id="219" w:name="_Toc501632387"/>
      <w:r>
        <w:t>Results</w:t>
      </w:r>
      <w:bookmarkEnd w:id="219"/>
    </w:p>
    <w:p w:rsidR="009B5C65" w:rsidRDefault="009B5C65" w:rsidP="00673144">
      <w:pPr>
        <w:pStyle w:val="MDTabCaption"/>
        <w:keepLines/>
      </w:pPr>
      <w:bookmarkStart w:id="220" w:name="_Toc501632419"/>
      <w:r>
        <w:t xml:space="preserve">Table </w:t>
      </w:r>
      <w:r w:rsidR="0086184A">
        <w:rPr>
          <w:noProof/>
        </w:rPr>
        <w:t>25</w:t>
      </w:r>
      <w:bookmarkEnd w:id="218"/>
      <w:r>
        <w:t xml:space="preserve">: </w:t>
      </w:r>
      <w:r w:rsidRPr="003C5604">
        <w:t>Prevalence of psoriatic arthritis</w:t>
      </w:r>
      <w:r>
        <w:t xml:space="preserve"> (additional studies)</w:t>
      </w:r>
      <w:bookmarkEnd w:id="220"/>
    </w:p>
    <w:tbl>
      <w:tblPr>
        <w:tblStyle w:val="TableGrid73"/>
        <w:tblpPr w:leftFromText="180" w:rightFromText="180" w:vertAnchor="text" w:horzAnchor="margin" w:tblpY="43"/>
        <w:tblW w:w="0" w:type="auto"/>
        <w:tblLook w:val="04A0" w:firstRow="1" w:lastRow="0" w:firstColumn="1" w:lastColumn="0" w:noHBand="0" w:noVBand="1"/>
        <w:tblCaption w:val="Prevalence of psoriatic arthritis (additional studies)"/>
      </w:tblPr>
      <w:tblGrid>
        <w:gridCol w:w="1923"/>
        <w:gridCol w:w="2450"/>
        <w:gridCol w:w="1030"/>
        <w:gridCol w:w="848"/>
        <w:gridCol w:w="2765"/>
      </w:tblGrid>
      <w:tr w:rsidR="009B5C65" w:rsidRPr="009B5C65" w:rsidTr="002F143B">
        <w:trPr>
          <w:cantSplit/>
          <w:trHeight w:val="416"/>
          <w:tblHeader/>
        </w:trPr>
        <w:tc>
          <w:tcPr>
            <w:tcW w:w="1923" w:type="dxa"/>
            <w:tcBorders>
              <w:bottom w:val="single" w:sz="4" w:space="0" w:color="auto"/>
            </w:tcBorders>
            <w:shd w:val="clear" w:color="auto" w:fill="BFBFBF"/>
            <w:vAlign w:val="center"/>
          </w:tcPr>
          <w:p w:rsidR="009B5C65" w:rsidRPr="009B5C65" w:rsidRDefault="009B5C65" w:rsidP="00673144">
            <w:pPr>
              <w:keepNext/>
              <w:keepLines/>
              <w:autoSpaceDE w:val="0"/>
              <w:autoSpaceDN w:val="0"/>
              <w:adjustRightInd w:val="0"/>
              <w:spacing w:before="60" w:after="60"/>
              <w:rPr>
                <w:rFonts w:ascii="Calibri" w:eastAsia="Calibri" w:hAnsi="Calibri" w:cs="Calibri"/>
                <w:b/>
                <w:sz w:val="20"/>
                <w:szCs w:val="20"/>
                <w:lang w:eastAsia="en-GB"/>
              </w:rPr>
            </w:pPr>
            <w:r w:rsidRPr="009B5C65">
              <w:rPr>
                <w:rFonts w:ascii="Calibri" w:eastAsia="Calibri" w:hAnsi="Calibri" w:cs="Calibri"/>
                <w:b/>
                <w:sz w:val="20"/>
                <w:szCs w:val="20"/>
                <w:lang w:eastAsia="en-GB"/>
              </w:rPr>
              <w:t xml:space="preserve">Study </w:t>
            </w:r>
            <w:r w:rsidRPr="009B5C65">
              <w:rPr>
                <w:rFonts w:ascii="Calibri" w:eastAsia="Calibri" w:hAnsi="Calibri" w:cs="Calibri"/>
                <w:b/>
                <w:sz w:val="20"/>
                <w:szCs w:val="20"/>
                <w:lang w:eastAsia="en-GB"/>
              </w:rPr>
              <w:br/>
              <w:t>(psoriasis population)</w:t>
            </w:r>
          </w:p>
        </w:tc>
        <w:tc>
          <w:tcPr>
            <w:tcW w:w="2450" w:type="dxa"/>
            <w:tcBorders>
              <w:bottom w:val="single" w:sz="4" w:space="0" w:color="auto"/>
            </w:tcBorders>
            <w:shd w:val="clear" w:color="auto" w:fill="BFBFBF"/>
            <w:vAlign w:val="center"/>
          </w:tcPr>
          <w:p w:rsidR="009B5C65" w:rsidRPr="009B5C65" w:rsidRDefault="009B5C65" w:rsidP="00673144">
            <w:pPr>
              <w:keepNext/>
              <w:keepLines/>
              <w:autoSpaceDE w:val="0"/>
              <w:autoSpaceDN w:val="0"/>
              <w:adjustRightInd w:val="0"/>
              <w:spacing w:before="60" w:after="60"/>
              <w:jc w:val="center"/>
              <w:rPr>
                <w:rFonts w:ascii="Calibri" w:eastAsia="Calibri" w:hAnsi="Calibri" w:cs="Calibri"/>
                <w:b/>
                <w:sz w:val="20"/>
                <w:szCs w:val="20"/>
                <w:lang w:eastAsia="en-GB"/>
              </w:rPr>
            </w:pPr>
            <w:r w:rsidRPr="009B5C65">
              <w:rPr>
                <w:rFonts w:ascii="Calibri" w:eastAsia="Calibri" w:hAnsi="Calibri" w:cs="Calibri"/>
                <w:b/>
                <w:sz w:val="20"/>
                <w:szCs w:val="20"/>
                <w:lang w:eastAsia="en-GB"/>
              </w:rPr>
              <w:t>Study location (year)</w:t>
            </w:r>
          </w:p>
        </w:tc>
        <w:tc>
          <w:tcPr>
            <w:tcW w:w="1030" w:type="dxa"/>
            <w:tcBorders>
              <w:bottom w:val="single" w:sz="4" w:space="0" w:color="auto"/>
            </w:tcBorders>
            <w:shd w:val="clear" w:color="auto" w:fill="BFBFBF"/>
          </w:tcPr>
          <w:p w:rsidR="009B5C65" w:rsidRPr="009B5C65" w:rsidRDefault="009B5C65" w:rsidP="00673144">
            <w:pPr>
              <w:keepNext/>
              <w:keepLines/>
              <w:autoSpaceDE w:val="0"/>
              <w:autoSpaceDN w:val="0"/>
              <w:adjustRightInd w:val="0"/>
              <w:spacing w:before="60" w:after="60"/>
              <w:jc w:val="center"/>
              <w:rPr>
                <w:rFonts w:ascii="Calibri" w:eastAsia="Calibri" w:hAnsi="Calibri" w:cs="Calibri"/>
                <w:b/>
                <w:sz w:val="20"/>
                <w:szCs w:val="20"/>
                <w:lang w:eastAsia="en-GB"/>
              </w:rPr>
            </w:pPr>
            <w:r w:rsidRPr="009B5C65">
              <w:rPr>
                <w:rFonts w:ascii="Calibri" w:eastAsia="Calibri" w:hAnsi="Calibri" w:cs="Calibri"/>
                <w:b/>
                <w:sz w:val="20"/>
                <w:szCs w:val="20"/>
                <w:lang w:eastAsia="en-GB"/>
              </w:rPr>
              <w:t>Risk of bias</w:t>
            </w:r>
          </w:p>
        </w:tc>
        <w:tc>
          <w:tcPr>
            <w:tcW w:w="848" w:type="dxa"/>
            <w:tcBorders>
              <w:bottom w:val="single" w:sz="4" w:space="0" w:color="auto"/>
            </w:tcBorders>
            <w:shd w:val="clear" w:color="auto" w:fill="BFBFBF"/>
            <w:vAlign w:val="center"/>
          </w:tcPr>
          <w:p w:rsidR="009B5C65" w:rsidRPr="009B5C65" w:rsidRDefault="009B5C65" w:rsidP="00673144">
            <w:pPr>
              <w:keepNext/>
              <w:keepLines/>
              <w:autoSpaceDE w:val="0"/>
              <w:autoSpaceDN w:val="0"/>
              <w:adjustRightInd w:val="0"/>
              <w:spacing w:before="60" w:after="60"/>
              <w:jc w:val="center"/>
              <w:rPr>
                <w:rFonts w:ascii="Calibri" w:eastAsia="Calibri" w:hAnsi="Calibri" w:cs="Calibri"/>
                <w:b/>
                <w:sz w:val="20"/>
                <w:szCs w:val="20"/>
                <w:lang w:eastAsia="en-GB"/>
              </w:rPr>
            </w:pPr>
            <w:r w:rsidRPr="009B5C65">
              <w:rPr>
                <w:rFonts w:ascii="Calibri" w:eastAsia="Calibri" w:hAnsi="Calibri" w:cs="Calibri"/>
                <w:b/>
                <w:sz w:val="20"/>
                <w:szCs w:val="20"/>
                <w:lang w:eastAsia="en-GB"/>
              </w:rPr>
              <w:t>N</w:t>
            </w:r>
          </w:p>
        </w:tc>
        <w:tc>
          <w:tcPr>
            <w:tcW w:w="2765" w:type="dxa"/>
            <w:tcBorders>
              <w:bottom w:val="single" w:sz="4" w:space="0" w:color="auto"/>
            </w:tcBorders>
            <w:shd w:val="clear" w:color="auto" w:fill="BFBFBF"/>
            <w:vAlign w:val="center"/>
          </w:tcPr>
          <w:p w:rsidR="009B5C65" w:rsidRPr="009B5C65" w:rsidRDefault="009B5C65" w:rsidP="00673144">
            <w:pPr>
              <w:keepNext/>
              <w:keepLines/>
              <w:autoSpaceDE w:val="0"/>
              <w:autoSpaceDN w:val="0"/>
              <w:adjustRightInd w:val="0"/>
              <w:spacing w:before="60" w:after="60"/>
              <w:jc w:val="center"/>
              <w:rPr>
                <w:rFonts w:ascii="Calibri" w:eastAsia="Calibri" w:hAnsi="Calibri" w:cs="Calibri"/>
                <w:b/>
                <w:sz w:val="20"/>
                <w:szCs w:val="20"/>
                <w:lang w:eastAsia="en-GB"/>
              </w:rPr>
            </w:pPr>
            <w:r w:rsidRPr="009B5C65">
              <w:rPr>
                <w:rFonts w:ascii="Calibri" w:eastAsia="Calibri" w:hAnsi="Calibri" w:cs="Calibri"/>
                <w:b/>
                <w:sz w:val="20"/>
                <w:szCs w:val="20"/>
                <w:lang w:eastAsia="en-GB"/>
              </w:rPr>
              <w:t>Proportion of patients</w:t>
            </w:r>
            <w:r w:rsidRPr="009B5C65">
              <w:rPr>
                <w:rFonts w:ascii="Calibri" w:eastAsia="Calibri" w:hAnsi="Calibri" w:cs="Calibri"/>
                <w:b/>
                <w:sz w:val="20"/>
                <w:szCs w:val="20"/>
                <w:lang w:eastAsia="en-GB"/>
              </w:rPr>
              <w:br/>
              <w:t xml:space="preserve"> (diagnostic criteria)</w:t>
            </w:r>
          </w:p>
        </w:tc>
      </w:tr>
      <w:tr w:rsidR="009B5C65" w:rsidRPr="009B5C65" w:rsidTr="002F143B">
        <w:trPr>
          <w:cantSplit/>
          <w:trHeight w:val="353"/>
          <w:tblHeader/>
        </w:trPr>
        <w:tc>
          <w:tcPr>
            <w:tcW w:w="1923" w:type="dxa"/>
            <w:vAlign w:val="center"/>
          </w:tcPr>
          <w:p w:rsidR="009B5C65" w:rsidRPr="009B5C65" w:rsidRDefault="009B5C65" w:rsidP="00673144">
            <w:pPr>
              <w:keepNext/>
              <w:keepLines/>
              <w:spacing w:beforeLines="60" w:before="144" w:afterLines="60" w:after="144"/>
              <w:contextualSpacing/>
              <w:rPr>
                <w:rFonts w:ascii="Calibri" w:eastAsia="Calibri" w:hAnsi="Calibri" w:cs="Times New Roman"/>
                <w:sz w:val="20"/>
                <w:szCs w:val="20"/>
                <w:lang w:eastAsia="en-GB"/>
              </w:rPr>
            </w:pPr>
            <w:r w:rsidRPr="009B5C65">
              <w:rPr>
                <w:rFonts w:ascii="Calibri" w:eastAsia="Times New Roman" w:hAnsi="Calibri" w:cs="Times New Roman"/>
                <w:color w:val="000000"/>
                <w:sz w:val="20"/>
                <w:szCs w:val="20"/>
                <w:lang w:eastAsia="en-GB"/>
              </w:rPr>
              <w:t xml:space="preserve">Phan (2016) </w:t>
            </w:r>
            <w:r w:rsidR="00FB1688">
              <w:rPr>
                <w:rFonts w:ascii="Calibri" w:eastAsia="Times New Roman" w:hAnsi="Calibri" w:cs="Times New Roman"/>
                <w:noProof/>
                <w:color w:val="000000"/>
                <w:sz w:val="20"/>
                <w:szCs w:val="20"/>
                <w:lang w:eastAsia="en-GB"/>
              </w:rPr>
              <w:t>(</w:t>
            </w:r>
            <w:r w:rsidR="001B4738">
              <w:rPr>
                <w:rFonts w:ascii="Calibri" w:eastAsia="Times New Roman" w:hAnsi="Calibri" w:cs="Times New Roman"/>
                <w:noProof/>
                <w:color w:val="000000"/>
                <w:sz w:val="20"/>
                <w:szCs w:val="20"/>
                <w:lang w:eastAsia="en-GB"/>
              </w:rPr>
              <w:t>20</w:t>
            </w:r>
            <w:r w:rsidR="00FB1688">
              <w:rPr>
                <w:rFonts w:ascii="Calibri" w:eastAsia="Times New Roman" w:hAnsi="Calibri" w:cs="Times New Roman"/>
                <w:noProof/>
                <w:color w:val="000000"/>
                <w:sz w:val="20"/>
                <w:szCs w:val="20"/>
                <w:lang w:eastAsia="en-GB"/>
              </w:rPr>
              <w:t>)</w:t>
            </w:r>
          </w:p>
        </w:tc>
        <w:tc>
          <w:tcPr>
            <w:tcW w:w="2450" w:type="dxa"/>
            <w:vAlign w:val="center"/>
          </w:tcPr>
          <w:p w:rsidR="009B5C65" w:rsidRPr="009B5C65" w:rsidRDefault="009B5C65" w:rsidP="00673144">
            <w:pPr>
              <w:keepNext/>
              <w:keepLines/>
              <w:autoSpaceDE w:val="0"/>
              <w:autoSpaceDN w:val="0"/>
              <w:adjustRightInd w:val="0"/>
              <w:spacing w:beforeLines="60" w:before="144" w:afterLines="60" w:after="144"/>
              <w:contextualSpacing/>
              <w:jc w:val="center"/>
              <w:rPr>
                <w:rFonts w:ascii="Calibri" w:eastAsia="Calibri" w:hAnsi="Calibri" w:cs="Calibri"/>
                <w:sz w:val="20"/>
                <w:szCs w:val="20"/>
                <w:lang w:eastAsia="en-GB"/>
              </w:rPr>
            </w:pPr>
            <w:r w:rsidRPr="009B5C65">
              <w:rPr>
                <w:rFonts w:ascii="Calibri" w:eastAsia="Times New Roman" w:hAnsi="Calibri" w:cs="Times New Roman"/>
                <w:color w:val="000000"/>
                <w:sz w:val="20"/>
                <w:szCs w:val="20"/>
                <w:lang w:eastAsia="en-GB"/>
              </w:rPr>
              <w:t>France (not stated)</w:t>
            </w:r>
          </w:p>
        </w:tc>
        <w:tc>
          <w:tcPr>
            <w:tcW w:w="1030" w:type="dxa"/>
            <w:vAlign w:val="center"/>
          </w:tcPr>
          <w:p w:rsidR="009B5C65" w:rsidRPr="009B5C65" w:rsidRDefault="009B5C65" w:rsidP="00673144">
            <w:pPr>
              <w:keepNext/>
              <w:keepLines/>
              <w:autoSpaceDE w:val="0"/>
              <w:autoSpaceDN w:val="0"/>
              <w:adjustRightInd w:val="0"/>
              <w:spacing w:beforeLines="60" w:before="144" w:afterLines="60" w:after="144"/>
              <w:contextualSpacing/>
              <w:jc w:val="center"/>
              <w:rPr>
                <w:rFonts w:ascii="Calibri" w:eastAsia="Calibri" w:hAnsi="Calibri" w:cs="Calibri"/>
                <w:sz w:val="20"/>
                <w:szCs w:val="20"/>
                <w:lang w:eastAsia="en-GB"/>
              </w:rPr>
            </w:pPr>
            <w:r w:rsidRPr="009B5C65">
              <w:rPr>
                <w:rFonts w:ascii="Calibri" w:eastAsia="Times New Roman" w:hAnsi="Calibri" w:cs="Times New Roman"/>
                <w:color w:val="000000"/>
                <w:sz w:val="20"/>
                <w:szCs w:val="20"/>
                <w:lang w:eastAsia="en-GB"/>
              </w:rPr>
              <w:t>Low</w:t>
            </w:r>
          </w:p>
        </w:tc>
        <w:tc>
          <w:tcPr>
            <w:tcW w:w="848" w:type="dxa"/>
            <w:vAlign w:val="center"/>
          </w:tcPr>
          <w:p w:rsidR="009B5C65" w:rsidRPr="009B5C65" w:rsidRDefault="009B5C65" w:rsidP="00673144">
            <w:pPr>
              <w:keepNext/>
              <w:keepLines/>
              <w:autoSpaceDE w:val="0"/>
              <w:autoSpaceDN w:val="0"/>
              <w:adjustRightInd w:val="0"/>
              <w:spacing w:beforeLines="60" w:before="144" w:afterLines="60" w:after="144"/>
              <w:contextualSpacing/>
              <w:jc w:val="center"/>
              <w:rPr>
                <w:rFonts w:ascii="Calibri" w:eastAsia="Calibri" w:hAnsi="Calibri" w:cs="Calibri"/>
                <w:sz w:val="20"/>
                <w:szCs w:val="20"/>
                <w:lang w:eastAsia="en-GB"/>
              </w:rPr>
            </w:pPr>
            <w:r w:rsidRPr="009B5C65">
              <w:rPr>
                <w:rFonts w:ascii="Calibri" w:eastAsia="Times New Roman" w:hAnsi="Calibri" w:cs="Times New Roman"/>
                <w:color w:val="000000"/>
                <w:sz w:val="20"/>
                <w:szCs w:val="20"/>
                <w:lang w:eastAsia="en-GB"/>
              </w:rPr>
              <w:t>2,210</w:t>
            </w:r>
          </w:p>
        </w:tc>
        <w:tc>
          <w:tcPr>
            <w:tcW w:w="2765" w:type="dxa"/>
            <w:vAlign w:val="center"/>
          </w:tcPr>
          <w:p w:rsidR="009B5C65" w:rsidRPr="009B5C65" w:rsidRDefault="009B5C65" w:rsidP="00673144">
            <w:pPr>
              <w:keepNext/>
              <w:keepLines/>
              <w:autoSpaceDE w:val="0"/>
              <w:autoSpaceDN w:val="0"/>
              <w:adjustRightInd w:val="0"/>
              <w:spacing w:beforeLines="60" w:before="144" w:afterLines="60" w:after="144"/>
              <w:contextualSpacing/>
              <w:jc w:val="center"/>
              <w:rPr>
                <w:rFonts w:ascii="Calibri" w:eastAsia="Calibri" w:hAnsi="Calibri" w:cs="Calibri"/>
                <w:sz w:val="20"/>
                <w:szCs w:val="20"/>
                <w:lang w:eastAsia="en-GB"/>
              </w:rPr>
            </w:pPr>
            <w:r w:rsidRPr="009B5C65">
              <w:rPr>
                <w:rFonts w:ascii="Calibri" w:eastAsia="Times New Roman" w:hAnsi="Calibri" w:cs="Times New Roman"/>
                <w:color w:val="000000"/>
                <w:sz w:val="20"/>
                <w:szCs w:val="20"/>
                <w:lang w:eastAsia="en-GB"/>
              </w:rPr>
              <w:t>19% (Not stated)</w:t>
            </w:r>
          </w:p>
        </w:tc>
      </w:tr>
      <w:tr w:rsidR="009B5C65" w:rsidRPr="009B5C65" w:rsidTr="002F143B">
        <w:trPr>
          <w:cantSplit/>
          <w:trHeight w:val="353"/>
          <w:tblHeader/>
        </w:trPr>
        <w:tc>
          <w:tcPr>
            <w:tcW w:w="1923" w:type="dxa"/>
            <w:vAlign w:val="center"/>
          </w:tcPr>
          <w:p w:rsidR="009B5C65" w:rsidRPr="009B5C65" w:rsidRDefault="009B5C65" w:rsidP="00673144">
            <w:pPr>
              <w:keepNext/>
              <w:keepLines/>
              <w:spacing w:beforeLines="60" w:before="144" w:afterLines="60" w:after="144"/>
              <w:contextualSpacing/>
              <w:rPr>
                <w:rFonts w:ascii="Calibri" w:eastAsia="Calibri" w:hAnsi="Calibri" w:cs="Times New Roman"/>
                <w:sz w:val="20"/>
                <w:szCs w:val="20"/>
                <w:lang w:eastAsia="en-GB"/>
              </w:rPr>
            </w:pPr>
            <w:r w:rsidRPr="009B5C65">
              <w:rPr>
                <w:rFonts w:ascii="Calibri" w:eastAsia="Times New Roman" w:hAnsi="Calibri" w:cs="Times New Roman"/>
                <w:color w:val="000000"/>
                <w:sz w:val="20"/>
                <w:szCs w:val="20"/>
                <w:lang w:eastAsia="en-GB"/>
              </w:rPr>
              <w:t xml:space="preserve">Chamurlieva (2016)  </w:t>
            </w:r>
            <w:r w:rsidR="00FB1688">
              <w:rPr>
                <w:rFonts w:ascii="Calibri" w:eastAsia="Times New Roman" w:hAnsi="Calibri" w:cs="Times New Roman"/>
                <w:noProof/>
                <w:color w:val="000000"/>
                <w:sz w:val="20"/>
                <w:szCs w:val="20"/>
                <w:lang w:eastAsia="en-GB"/>
              </w:rPr>
              <w:t>(</w:t>
            </w:r>
            <w:r w:rsidR="001B4738">
              <w:rPr>
                <w:rFonts w:ascii="Calibri" w:eastAsia="Times New Roman" w:hAnsi="Calibri" w:cs="Times New Roman"/>
                <w:noProof/>
                <w:color w:val="000000"/>
                <w:sz w:val="20"/>
                <w:szCs w:val="20"/>
                <w:lang w:eastAsia="en-GB"/>
              </w:rPr>
              <w:t>54</w:t>
            </w:r>
            <w:r w:rsidR="00FB1688">
              <w:rPr>
                <w:rFonts w:ascii="Calibri" w:eastAsia="Times New Roman" w:hAnsi="Calibri" w:cs="Times New Roman"/>
                <w:noProof/>
                <w:color w:val="000000"/>
                <w:sz w:val="20"/>
                <w:szCs w:val="20"/>
                <w:lang w:eastAsia="en-GB"/>
              </w:rPr>
              <w:t>)</w:t>
            </w:r>
          </w:p>
        </w:tc>
        <w:tc>
          <w:tcPr>
            <w:tcW w:w="2450" w:type="dxa"/>
            <w:vAlign w:val="center"/>
          </w:tcPr>
          <w:p w:rsidR="009B5C65" w:rsidRPr="009B5C65" w:rsidRDefault="009B5C65" w:rsidP="00673144">
            <w:pPr>
              <w:keepNext/>
              <w:keepLines/>
              <w:autoSpaceDE w:val="0"/>
              <w:autoSpaceDN w:val="0"/>
              <w:adjustRightInd w:val="0"/>
              <w:spacing w:beforeLines="60" w:before="144" w:afterLines="60" w:after="144"/>
              <w:contextualSpacing/>
              <w:jc w:val="center"/>
              <w:rPr>
                <w:rFonts w:ascii="Calibri" w:eastAsia="Calibri" w:hAnsi="Calibri" w:cs="Calibri"/>
                <w:sz w:val="20"/>
                <w:szCs w:val="20"/>
                <w:lang w:eastAsia="en-GB"/>
              </w:rPr>
            </w:pPr>
            <w:r w:rsidRPr="009B5C65">
              <w:rPr>
                <w:rFonts w:ascii="Calibri" w:eastAsia="Times New Roman" w:hAnsi="Calibri" w:cs="Times New Roman"/>
                <w:color w:val="000000"/>
                <w:sz w:val="20"/>
                <w:szCs w:val="20"/>
                <w:lang w:eastAsia="en-GB"/>
              </w:rPr>
              <w:t>Russia (not stated)</w:t>
            </w:r>
          </w:p>
        </w:tc>
        <w:tc>
          <w:tcPr>
            <w:tcW w:w="1030" w:type="dxa"/>
            <w:vAlign w:val="center"/>
          </w:tcPr>
          <w:p w:rsidR="009B5C65" w:rsidRPr="009B5C65" w:rsidRDefault="009B5C65" w:rsidP="00673144">
            <w:pPr>
              <w:keepNext/>
              <w:keepLines/>
              <w:autoSpaceDE w:val="0"/>
              <w:autoSpaceDN w:val="0"/>
              <w:adjustRightInd w:val="0"/>
              <w:spacing w:beforeLines="60" w:before="144" w:afterLines="60" w:after="144"/>
              <w:contextualSpacing/>
              <w:jc w:val="center"/>
              <w:rPr>
                <w:rFonts w:ascii="Calibri" w:eastAsia="Calibri" w:hAnsi="Calibri" w:cs="Calibri"/>
                <w:sz w:val="20"/>
                <w:szCs w:val="20"/>
                <w:lang w:eastAsia="en-GB"/>
              </w:rPr>
            </w:pPr>
            <w:r w:rsidRPr="009B5C65">
              <w:rPr>
                <w:rFonts w:ascii="Calibri" w:eastAsia="Times New Roman" w:hAnsi="Calibri" w:cs="Times New Roman"/>
                <w:color w:val="000000"/>
                <w:sz w:val="20"/>
                <w:szCs w:val="20"/>
                <w:lang w:eastAsia="en-GB"/>
              </w:rPr>
              <w:t>Unclear</w:t>
            </w:r>
          </w:p>
        </w:tc>
        <w:tc>
          <w:tcPr>
            <w:tcW w:w="848" w:type="dxa"/>
            <w:vAlign w:val="center"/>
          </w:tcPr>
          <w:p w:rsidR="009B5C65" w:rsidRPr="009B5C65" w:rsidRDefault="009B5C65" w:rsidP="00673144">
            <w:pPr>
              <w:keepNext/>
              <w:keepLines/>
              <w:autoSpaceDE w:val="0"/>
              <w:autoSpaceDN w:val="0"/>
              <w:adjustRightInd w:val="0"/>
              <w:spacing w:beforeLines="60" w:before="144" w:afterLines="60" w:after="144"/>
              <w:contextualSpacing/>
              <w:jc w:val="center"/>
              <w:rPr>
                <w:rFonts w:ascii="Calibri" w:eastAsia="Calibri" w:hAnsi="Calibri" w:cs="Calibri"/>
                <w:sz w:val="20"/>
                <w:szCs w:val="20"/>
                <w:lang w:eastAsia="en-GB"/>
              </w:rPr>
            </w:pPr>
            <w:r w:rsidRPr="009B5C65">
              <w:rPr>
                <w:rFonts w:ascii="Calibri" w:eastAsia="Times New Roman" w:hAnsi="Calibri" w:cs="Times New Roman"/>
                <w:color w:val="000000"/>
                <w:sz w:val="20"/>
                <w:szCs w:val="20"/>
                <w:lang w:eastAsia="en-GB"/>
              </w:rPr>
              <w:t>103</w:t>
            </w:r>
          </w:p>
        </w:tc>
        <w:tc>
          <w:tcPr>
            <w:tcW w:w="2765" w:type="dxa"/>
            <w:vAlign w:val="center"/>
          </w:tcPr>
          <w:p w:rsidR="009B5C65" w:rsidRPr="009B5C65" w:rsidRDefault="009B5C65" w:rsidP="00673144">
            <w:pPr>
              <w:keepNext/>
              <w:keepLines/>
              <w:autoSpaceDE w:val="0"/>
              <w:autoSpaceDN w:val="0"/>
              <w:adjustRightInd w:val="0"/>
              <w:spacing w:beforeLines="60" w:before="144" w:afterLines="60" w:after="144"/>
              <w:contextualSpacing/>
              <w:jc w:val="center"/>
              <w:rPr>
                <w:rFonts w:ascii="Calibri" w:eastAsia="Calibri" w:hAnsi="Calibri" w:cs="Calibri"/>
                <w:sz w:val="20"/>
                <w:szCs w:val="20"/>
                <w:lang w:eastAsia="en-GB"/>
              </w:rPr>
            </w:pPr>
            <w:r w:rsidRPr="009B5C65">
              <w:rPr>
                <w:rFonts w:ascii="Calibri" w:eastAsia="Times New Roman" w:hAnsi="Calibri" w:cs="Times New Roman"/>
                <w:color w:val="000000"/>
                <w:sz w:val="20"/>
                <w:szCs w:val="20"/>
                <w:lang w:eastAsia="en-GB"/>
              </w:rPr>
              <w:t>59% (CASPAR)</w:t>
            </w:r>
          </w:p>
        </w:tc>
      </w:tr>
      <w:tr w:rsidR="009B5C65" w:rsidRPr="009B5C65" w:rsidTr="002F143B">
        <w:trPr>
          <w:cantSplit/>
          <w:trHeight w:val="353"/>
          <w:tblHeader/>
        </w:trPr>
        <w:tc>
          <w:tcPr>
            <w:tcW w:w="1923" w:type="dxa"/>
            <w:vAlign w:val="center"/>
          </w:tcPr>
          <w:p w:rsidR="009B5C65" w:rsidRPr="009B5C65" w:rsidRDefault="009B5C65" w:rsidP="00673144">
            <w:pPr>
              <w:keepNext/>
              <w:keepLines/>
              <w:spacing w:beforeLines="60" w:before="144" w:afterLines="60" w:after="144"/>
              <w:contextualSpacing/>
              <w:rPr>
                <w:rFonts w:ascii="Calibri" w:eastAsia="Calibri" w:hAnsi="Calibri" w:cs="Times New Roman"/>
                <w:sz w:val="20"/>
                <w:szCs w:val="20"/>
                <w:lang w:eastAsia="en-GB"/>
              </w:rPr>
            </w:pPr>
            <w:r w:rsidRPr="009B5C65">
              <w:rPr>
                <w:rFonts w:ascii="Calibri" w:eastAsia="Times New Roman" w:hAnsi="Calibri" w:cs="Times New Roman"/>
                <w:color w:val="000000"/>
                <w:sz w:val="20"/>
                <w:szCs w:val="20"/>
                <w:lang w:eastAsia="en-GB"/>
              </w:rPr>
              <w:t xml:space="preserve">Lopez (2015) </w:t>
            </w:r>
            <w:r w:rsidR="00FB1688">
              <w:rPr>
                <w:rFonts w:ascii="Calibri" w:eastAsia="Times New Roman" w:hAnsi="Calibri" w:cs="Times New Roman"/>
                <w:noProof/>
                <w:color w:val="000000"/>
                <w:sz w:val="20"/>
                <w:szCs w:val="20"/>
                <w:lang w:eastAsia="en-GB"/>
              </w:rPr>
              <w:t>(</w:t>
            </w:r>
            <w:r w:rsidR="001B4738">
              <w:rPr>
                <w:rFonts w:ascii="Calibri" w:eastAsia="Times New Roman" w:hAnsi="Calibri" w:cs="Times New Roman"/>
                <w:noProof/>
                <w:color w:val="000000"/>
                <w:sz w:val="20"/>
                <w:szCs w:val="20"/>
                <w:lang w:eastAsia="en-GB"/>
              </w:rPr>
              <w:t>21</w:t>
            </w:r>
            <w:r w:rsidR="00FB1688">
              <w:rPr>
                <w:rFonts w:ascii="Calibri" w:eastAsia="Times New Roman" w:hAnsi="Calibri" w:cs="Times New Roman"/>
                <w:noProof/>
                <w:color w:val="000000"/>
                <w:sz w:val="20"/>
                <w:szCs w:val="20"/>
                <w:lang w:eastAsia="en-GB"/>
              </w:rPr>
              <w:t>)</w:t>
            </w:r>
          </w:p>
        </w:tc>
        <w:tc>
          <w:tcPr>
            <w:tcW w:w="2450" w:type="dxa"/>
            <w:vAlign w:val="center"/>
          </w:tcPr>
          <w:p w:rsidR="009B5C65" w:rsidRPr="009B5C65" w:rsidRDefault="009B5C65" w:rsidP="00673144">
            <w:pPr>
              <w:keepNext/>
              <w:keepLines/>
              <w:autoSpaceDE w:val="0"/>
              <w:autoSpaceDN w:val="0"/>
              <w:adjustRightInd w:val="0"/>
              <w:spacing w:beforeLines="60" w:before="144" w:afterLines="60" w:after="144"/>
              <w:contextualSpacing/>
              <w:jc w:val="center"/>
              <w:rPr>
                <w:rFonts w:ascii="Calibri" w:eastAsia="Calibri" w:hAnsi="Calibri" w:cs="Calibri"/>
                <w:sz w:val="20"/>
                <w:szCs w:val="20"/>
                <w:lang w:eastAsia="en-GB"/>
              </w:rPr>
            </w:pPr>
            <w:r w:rsidRPr="009B5C65">
              <w:rPr>
                <w:rFonts w:ascii="Calibri" w:eastAsia="Times New Roman" w:hAnsi="Calibri" w:cs="Times New Roman"/>
                <w:color w:val="000000"/>
                <w:sz w:val="20"/>
                <w:szCs w:val="20"/>
                <w:lang w:eastAsia="en-GB"/>
              </w:rPr>
              <w:t>Spain (2010-2011)</w:t>
            </w:r>
          </w:p>
        </w:tc>
        <w:tc>
          <w:tcPr>
            <w:tcW w:w="1030" w:type="dxa"/>
            <w:vAlign w:val="center"/>
          </w:tcPr>
          <w:p w:rsidR="009B5C65" w:rsidRPr="009B5C65" w:rsidRDefault="009B5C65" w:rsidP="00673144">
            <w:pPr>
              <w:keepNext/>
              <w:keepLines/>
              <w:autoSpaceDE w:val="0"/>
              <w:autoSpaceDN w:val="0"/>
              <w:adjustRightInd w:val="0"/>
              <w:spacing w:beforeLines="60" w:before="144" w:afterLines="60" w:after="144"/>
              <w:contextualSpacing/>
              <w:jc w:val="center"/>
              <w:rPr>
                <w:rFonts w:ascii="Calibri" w:eastAsia="Calibri" w:hAnsi="Calibri" w:cs="Calibri"/>
                <w:sz w:val="20"/>
                <w:szCs w:val="20"/>
                <w:lang w:eastAsia="en-GB"/>
              </w:rPr>
            </w:pPr>
            <w:r w:rsidRPr="009B5C65">
              <w:rPr>
                <w:rFonts w:ascii="Calibri" w:eastAsia="Times New Roman" w:hAnsi="Calibri" w:cs="Times New Roman"/>
                <w:color w:val="000000"/>
                <w:sz w:val="20"/>
                <w:szCs w:val="20"/>
                <w:lang w:eastAsia="en-GB"/>
              </w:rPr>
              <w:t>Low</w:t>
            </w:r>
          </w:p>
        </w:tc>
        <w:tc>
          <w:tcPr>
            <w:tcW w:w="848" w:type="dxa"/>
            <w:vAlign w:val="center"/>
          </w:tcPr>
          <w:p w:rsidR="009B5C65" w:rsidRPr="009B5C65" w:rsidRDefault="009B5C65" w:rsidP="00673144">
            <w:pPr>
              <w:keepNext/>
              <w:keepLines/>
              <w:autoSpaceDE w:val="0"/>
              <w:autoSpaceDN w:val="0"/>
              <w:adjustRightInd w:val="0"/>
              <w:spacing w:beforeLines="60" w:before="144" w:afterLines="60" w:after="144"/>
              <w:contextualSpacing/>
              <w:jc w:val="center"/>
              <w:rPr>
                <w:rFonts w:ascii="Calibri" w:eastAsia="Calibri" w:hAnsi="Calibri" w:cs="Calibri"/>
                <w:sz w:val="20"/>
                <w:szCs w:val="20"/>
                <w:lang w:eastAsia="en-GB"/>
              </w:rPr>
            </w:pPr>
            <w:r w:rsidRPr="009B5C65">
              <w:rPr>
                <w:rFonts w:ascii="Calibri" w:eastAsia="Times New Roman" w:hAnsi="Calibri" w:cs="Times New Roman"/>
                <w:color w:val="000000"/>
                <w:sz w:val="20"/>
                <w:szCs w:val="20"/>
                <w:lang w:eastAsia="en-GB"/>
              </w:rPr>
              <w:t>375</w:t>
            </w:r>
          </w:p>
        </w:tc>
        <w:tc>
          <w:tcPr>
            <w:tcW w:w="2765" w:type="dxa"/>
            <w:vAlign w:val="center"/>
          </w:tcPr>
          <w:p w:rsidR="009B5C65" w:rsidRPr="009B5C65" w:rsidRDefault="009B5C65" w:rsidP="00673144">
            <w:pPr>
              <w:keepNext/>
              <w:keepLines/>
              <w:autoSpaceDE w:val="0"/>
              <w:autoSpaceDN w:val="0"/>
              <w:adjustRightInd w:val="0"/>
              <w:spacing w:beforeLines="60" w:before="144" w:afterLines="60" w:after="144"/>
              <w:contextualSpacing/>
              <w:jc w:val="center"/>
              <w:rPr>
                <w:rFonts w:ascii="Calibri" w:eastAsia="Calibri" w:hAnsi="Calibri" w:cs="Calibri"/>
                <w:sz w:val="20"/>
                <w:szCs w:val="20"/>
                <w:lang w:eastAsia="en-GB"/>
              </w:rPr>
            </w:pPr>
            <w:r w:rsidRPr="009B5C65">
              <w:rPr>
                <w:rFonts w:ascii="Calibri" w:eastAsia="Times New Roman" w:hAnsi="Calibri" w:cs="Times New Roman"/>
                <w:color w:val="000000"/>
                <w:sz w:val="20"/>
                <w:szCs w:val="20"/>
                <w:lang w:eastAsia="en-GB"/>
              </w:rPr>
              <w:t>23% (CASPAR and Moll and Wright)</w:t>
            </w:r>
          </w:p>
        </w:tc>
      </w:tr>
      <w:tr w:rsidR="009B5C65" w:rsidRPr="009B5C65" w:rsidTr="002F143B">
        <w:trPr>
          <w:cantSplit/>
          <w:trHeight w:val="353"/>
          <w:tblHeader/>
        </w:trPr>
        <w:tc>
          <w:tcPr>
            <w:tcW w:w="1923" w:type="dxa"/>
            <w:vAlign w:val="center"/>
          </w:tcPr>
          <w:p w:rsidR="009B5C65" w:rsidRPr="009B5C65" w:rsidRDefault="009B5C65" w:rsidP="00673144">
            <w:pPr>
              <w:keepNext/>
              <w:keepLines/>
              <w:spacing w:beforeLines="60" w:before="144" w:afterLines="60" w:after="144"/>
              <w:contextualSpacing/>
              <w:rPr>
                <w:rFonts w:ascii="Calibri" w:eastAsia="Calibri" w:hAnsi="Calibri" w:cs="Times New Roman"/>
                <w:sz w:val="20"/>
                <w:szCs w:val="20"/>
                <w:lang w:eastAsia="en-GB"/>
              </w:rPr>
            </w:pPr>
            <w:r w:rsidRPr="009B5C65">
              <w:rPr>
                <w:rFonts w:ascii="Calibri" w:eastAsia="Times New Roman" w:hAnsi="Calibri" w:cs="Times New Roman"/>
                <w:color w:val="000000"/>
                <w:sz w:val="20"/>
                <w:szCs w:val="20"/>
                <w:lang w:eastAsia="en-GB"/>
              </w:rPr>
              <w:t xml:space="preserve">Lebwohl (2016) </w:t>
            </w:r>
            <w:r w:rsidR="00FB1688">
              <w:rPr>
                <w:rFonts w:ascii="Calibri" w:eastAsia="Times New Roman" w:hAnsi="Calibri" w:cs="Times New Roman"/>
                <w:noProof/>
                <w:color w:val="000000"/>
                <w:sz w:val="20"/>
                <w:szCs w:val="20"/>
                <w:lang w:eastAsia="en-GB"/>
              </w:rPr>
              <w:t>(</w:t>
            </w:r>
            <w:r w:rsidR="001B4738">
              <w:rPr>
                <w:rFonts w:ascii="Calibri" w:eastAsia="Times New Roman" w:hAnsi="Calibri" w:cs="Times New Roman"/>
                <w:noProof/>
                <w:color w:val="000000"/>
                <w:sz w:val="20"/>
                <w:szCs w:val="20"/>
                <w:lang w:eastAsia="en-GB"/>
              </w:rPr>
              <w:t>55</w:t>
            </w:r>
            <w:r w:rsidR="00FB1688">
              <w:rPr>
                <w:rFonts w:ascii="Calibri" w:eastAsia="Times New Roman" w:hAnsi="Calibri" w:cs="Times New Roman"/>
                <w:noProof/>
                <w:color w:val="000000"/>
                <w:sz w:val="20"/>
                <w:szCs w:val="20"/>
                <w:lang w:eastAsia="en-GB"/>
              </w:rPr>
              <w:t>)</w:t>
            </w:r>
          </w:p>
        </w:tc>
        <w:tc>
          <w:tcPr>
            <w:tcW w:w="2450" w:type="dxa"/>
            <w:vAlign w:val="center"/>
          </w:tcPr>
          <w:p w:rsidR="009B5C65" w:rsidRPr="009B5C65" w:rsidRDefault="009B5C65" w:rsidP="00673144">
            <w:pPr>
              <w:keepNext/>
              <w:keepLines/>
              <w:autoSpaceDE w:val="0"/>
              <w:autoSpaceDN w:val="0"/>
              <w:adjustRightInd w:val="0"/>
              <w:spacing w:beforeLines="60" w:before="144" w:afterLines="60" w:after="144"/>
              <w:contextualSpacing/>
              <w:jc w:val="center"/>
              <w:rPr>
                <w:rFonts w:ascii="Calibri" w:eastAsia="Calibri" w:hAnsi="Calibri" w:cs="Calibri"/>
                <w:sz w:val="20"/>
                <w:szCs w:val="20"/>
                <w:lang w:eastAsia="en-GB"/>
              </w:rPr>
            </w:pPr>
            <w:r w:rsidRPr="009B5C65">
              <w:rPr>
                <w:rFonts w:ascii="Calibri" w:eastAsia="Times New Roman" w:hAnsi="Calibri" w:cs="Times New Roman"/>
                <w:color w:val="000000"/>
                <w:sz w:val="20"/>
                <w:szCs w:val="20"/>
                <w:lang w:eastAsia="en-GB"/>
              </w:rPr>
              <w:t>USA (2012)</w:t>
            </w:r>
          </w:p>
        </w:tc>
        <w:tc>
          <w:tcPr>
            <w:tcW w:w="1030" w:type="dxa"/>
            <w:vAlign w:val="center"/>
          </w:tcPr>
          <w:p w:rsidR="009B5C65" w:rsidRPr="009B5C65" w:rsidRDefault="009B5C65" w:rsidP="00673144">
            <w:pPr>
              <w:keepNext/>
              <w:keepLines/>
              <w:autoSpaceDE w:val="0"/>
              <w:autoSpaceDN w:val="0"/>
              <w:adjustRightInd w:val="0"/>
              <w:spacing w:beforeLines="60" w:before="144" w:afterLines="60" w:after="144"/>
              <w:contextualSpacing/>
              <w:jc w:val="center"/>
              <w:rPr>
                <w:rFonts w:ascii="Calibri" w:eastAsia="Calibri" w:hAnsi="Calibri" w:cs="Calibri"/>
                <w:sz w:val="20"/>
                <w:szCs w:val="20"/>
                <w:lang w:eastAsia="en-GB"/>
              </w:rPr>
            </w:pPr>
            <w:r w:rsidRPr="009B5C65">
              <w:rPr>
                <w:rFonts w:ascii="Calibri" w:eastAsia="Times New Roman" w:hAnsi="Calibri" w:cs="Times New Roman"/>
                <w:color w:val="000000"/>
                <w:sz w:val="20"/>
                <w:szCs w:val="20"/>
                <w:lang w:eastAsia="en-GB"/>
              </w:rPr>
              <w:t>Low</w:t>
            </w:r>
          </w:p>
        </w:tc>
        <w:tc>
          <w:tcPr>
            <w:tcW w:w="848" w:type="dxa"/>
            <w:vAlign w:val="center"/>
          </w:tcPr>
          <w:p w:rsidR="009B5C65" w:rsidRPr="009B5C65" w:rsidRDefault="009B5C65" w:rsidP="00673144">
            <w:pPr>
              <w:keepNext/>
              <w:keepLines/>
              <w:autoSpaceDE w:val="0"/>
              <w:autoSpaceDN w:val="0"/>
              <w:adjustRightInd w:val="0"/>
              <w:spacing w:beforeLines="60" w:before="144" w:afterLines="60" w:after="144"/>
              <w:contextualSpacing/>
              <w:jc w:val="center"/>
              <w:rPr>
                <w:rFonts w:ascii="Calibri" w:eastAsia="Calibri" w:hAnsi="Calibri" w:cs="Calibri"/>
                <w:sz w:val="20"/>
                <w:szCs w:val="20"/>
                <w:lang w:eastAsia="en-GB"/>
              </w:rPr>
            </w:pPr>
            <w:r w:rsidRPr="009B5C65">
              <w:rPr>
                <w:rFonts w:ascii="Calibri" w:eastAsia="Times New Roman" w:hAnsi="Calibri" w:cs="Times New Roman"/>
                <w:color w:val="000000"/>
                <w:sz w:val="20"/>
                <w:szCs w:val="20"/>
                <w:lang w:eastAsia="en-GB"/>
              </w:rPr>
              <w:t>1,005</w:t>
            </w:r>
          </w:p>
        </w:tc>
        <w:tc>
          <w:tcPr>
            <w:tcW w:w="2765" w:type="dxa"/>
            <w:vAlign w:val="center"/>
          </w:tcPr>
          <w:p w:rsidR="009B5C65" w:rsidRPr="009B5C65" w:rsidRDefault="009B5C65" w:rsidP="00673144">
            <w:pPr>
              <w:keepNext/>
              <w:keepLines/>
              <w:autoSpaceDE w:val="0"/>
              <w:autoSpaceDN w:val="0"/>
              <w:adjustRightInd w:val="0"/>
              <w:spacing w:beforeLines="60" w:before="144" w:afterLines="60" w:after="144"/>
              <w:contextualSpacing/>
              <w:jc w:val="center"/>
              <w:rPr>
                <w:rFonts w:ascii="Calibri" w:eastAsia="Calibri" w:hAnsi="Calibri" w:cs="Calibri"/>
                <w:sz w:val="20"/>
                <w:szCs w:val="20"/>
                <w:lang w:eastAsia="en-GB"/>
              </w:rPr>
            </w:pPr>
            <w:r w:rsidRPr="009B5C65">
              <w:rPr>
                <w:rFonts w:ascii="Calibri" w:eastAsia="Times New Roman" w:hAnsi="Calibri" w:cs="Times New Roman"/>
                <w:color w:val="000000"/>
                <w:sz w:val="20"/>
                <w:szCs w:val="20"/>
                <w:lang w:eastAsia="en-GB"/>
              </w:rPr>
              <w:t>27% (Includes pts without PsO diagnosis)</w:t>
            </w:r>
          </w:p>
        </w:tc>
      </w:tr>
      <w:tr w:rsidR="009B5C65" w:rsidRPr="009B5C65" w:rsidTr="002F143B">
        <w:trPr>
          <w:cantSplit/>
          <w:trHeight w:val="353"/>
          <w:tblHeader/>
        </w:trPr>
        <w:tc>
          <w:tcPr>
            <w:tcW w:w="1923" w:type="dxa"/>
            <w:vAlign w:val="center"/>
          </w:tcPr>
          <w:p w:rsidR="009B5C65" w:rsidRPr="009B5C65" w:rsidRDefault="009B5C65" w:rsidP="00673144">
            <w:pPr>
              <w:keepNext/>
              <w:keepLines/>
              <w:spacing w:beforeLines="60" w:before="144" w:afterLines="60" w:after="144"/>
              <w:contextualSpacing/>
              <w:rPr>
                <w:rFonts w:ascii="Calibri" w:eastAsia="Calibri" w:hAnsi="Calibri" w:cs="Times New Roman"/>
                <w:sz w:val="20"/>
                <w:szCs w:val="20"/>
                <w:lang w:eastAsia="en-GB"/>
              </w:rPr>
            </w:pPr>
            <w:r w:rsidRPr="009B5C65">
              <w:rPr>
                <w:rFonts w:ascii="Calibri" w:eastAsia="Times New Roman" w:hAnsi="Calibri" w:cs="Times New Roman"/>
                <w:color w:val="000000"/>
                <w:sz w:val="20"/>
                <w:szCs w:val="20"/>
                <w:lang w:eastAsia="en-GB"/>
              </w:rPr>
              <w:t xml:space="preserve">Coates (2016) </w:t>
            </w:r>
            <w:r w:rsidR="00FB1688">
              <w:rPr>
                <w:rFonts w:ascii="Calibri" w:eastAsia="Times New Roman" w:hAnsi="Calibri" w:cs="Times New Roman"/>
                <w:noProof/>
                <w:color w:val="000000"/>
                <w:sz w:val="20"/>
                <w:szCs w:val="20"/>
                <w:lang w:eastAsia="en-GB"/>
              </w:rPr>
              <w:t>(</w:t>
            </w:r>
            <w:r w:rsidR="001B4738">
              <w:rPr>
                <w:rFonts w:ascii="Calibri" w:eastAsia="Times New Roman" w:hAnsi="Calibri" w:cs="Times New Roman"/>
                <w:noProof/>
                <w:color w:val="000000"/>
                <w:sz w:val="20"/>
                <w:szCs w:val="20"/>
                <w:lang w:eastAsia="en-GB"/>
              </w:rPr>
              <w:t>56</w:t>
            </w:r>
            <w:r w:rsidR="00FB1688">
              <w:rPr>
                <w:rFonts w:ascii="Calibri" w:eastAsia="Times New Roman" w:hAnsi="Calibri" w:cs="Times New Roman"/>
                <w:noProof/>
                <w:color w:val="000000"/>
                <w:sz w:val="20"/>
                <w:szCs w:val="20"/>
                <w:lang w:eastAsia="en-GB"/>
              </w:rPr>
              <w:t>)</w:t>
            </w:r>
          </w:p>
        </w:tc>
        <w:tc>
          <w:tcPr>
            <w:tcW w:w="2450" w:type="dxa"/>
            <w:vAlign w:val="center"/>
          </w:tcPr>
          <w:p w:rsidR="009B5C65" w:rsidRPr="009B5C65" w:rsidRDefault="009B5C65" w:rsidP="00673144">
            <w:pPr>
              <w:keepNext/>
              <w:keepLines/>
              <w:autoSpaceDE w:val="0"/>
              <w:autoSpaceDN w:val="0"/>
              <w:adjustRightInd w:val="0"/>
              <w:spacing w:beforeLines="60" w:before="144" w:afterLines="60" w:after="144"/>
              <w:contextualSpacing/>
              <w:jc w:val="center"/>
              <w:rPr>
                <w:rFonts w:ascii="Calibri" w:eastAsia="Calibri" w:hAnsi="Calibri" w:cs="Calibri"/>
                <w:sz w:val="20"/>
                <w:szCs w:val="20"/>
                <w:lang w:eastAsia="en-GB"/>
              </w:rPr>
            </w:pPr>
            <w:r w:rsidRPr="009B5C65">
              <w:rPr>
                <w:rFonts w:ascii="Calibri" w:eastAsia="Times New Roman" w:hAnsi="Calibri" w:cs="Times New Roman"/>
                <w:color w:val="000000"/>
                <w:sz w:val="20"/>
                <w:szCs w:val="20"/>
                <w:lang w:eastAsia="en-GB"/>
              </w:rPr>
              <w:t>UK (not stated)</w:t>
            </w:r>
          </w:p>
        </w:tc>
        <w:tc>
          <w:tcPr>
            <w:tcW w:w="1030" w:type="dxa"/>
            <w:vAlign w:val="center"/>
          </w:tcPr>
          <w:p w:rsidR="009B5C65" w:rsidRPr="009B5C65" w:rsidRDefault="009B5C65" w:rsidP="00673144">
            <w:pPr>
              <w:keepNext/>
              <w:keepLines/>
              <w:autoSpaceDE w:val="0"/>
              <w:autoSpaceDN w:val="0"/>
              <w:adjustRightInd w:val="0"/>
              <w:spacing w:beforeLines="60" w:before="144" w:afterLines="60" w:after="144"/>
              <w:contextualSpacing/>
              <w:jc w:val="center"/>
              <w:rPr>
                <w:rFonts w:ascii="Calibri" w:eastAsia="Calibri" w:hAnsi="Calibri" w:cs="Calibri"/>
                <w:sz w:val="20"/>
                <w:szCs w:val="20"/>
                <w:lang w:eastAsia="en-GB"/>
              </w:rPr>
            </w:pPr>
            <w:r w:rsidRPr="009B5C65">
              <w:rPr>
                <w:rFonts w:ascii="Calibri" w:eastAsia="Times New Roman" w:hAnsi="Calibri" w:cs="Times New Roman"/>
                <w:color w:val="000000"/>
                <w:sz w:val="20"/>
                <w:szCs w:val="20"/>
                <w:lang w:eastAsia="en-GB"/>
              </w:rPr>
              <w:t>Moderate</w:t>
            </w:r>
          </w:p>
        </w:tc>
        <w:tc>
          <w:tcPr>
            <w:tcW w:w="848" w:type="dxa"/>
            <w:vAlign w:val="center"/>
          </w:tcPr>
          <w:p w:rsidR="009B5C65" w:rsidRPr="009B5C65" w:rsidRDefault="009B5C65" w:rsidP="00673144">
            <w:pPr>
              <w:keepNext/>
              <w:keepLines/>
              <w:autoSpaceDE w:val="0"/>
              <w:autoSpaceDN w:val="0"/>
              <w:adjustRightInd w:val="0"/>
              <w:spacing w:beforeLines="60" w:before="144" w:afterLines="60" w:after="144"/>
              <w:contextualSpacing/>
              <w:jc w:val="center"/>
              <w:rPr>
                <w:rFonts w:ascii="Calibri" w:eastAsia="Calibri" w:hAnsi="Calibri" w:cs="Calibri"/>
                <w:sz w:val="20"/>
                <w:szCs w:val="20"/>
                <w:lang w:eastAsia="en-GB"/>
              </w:rPr>
            </w:pPr>
            <w:r w:rsidRPr="009B5C65">
              <w:rPr>
                <w:rFonts w:ascii="Calibri" w:eastAsia="Times New Roman" w:hAnsi="Calibri" w:cs="Times New Roman"/>
                <w:color w:val="000000"/>
                <w:sz w:val="20"/>
                <w:szCs w:val="20"/>
                <w:lang w:eastAsia="en-GB"/>
              </w:rPr>
              <w:t>1,494</w:t>
            </w:r>
          </w:p>
        </w:tc>
        <w:tc>
          <w:tcPr>
            <w:tcW w:w="2765" w:type="dxa"/>
            <w:vAlign w:val="center"/>
          </w:tcPr>
          <w:p w:rsidR="009B5C65" w:rsidRPr="009B5C65" w:rsidRDefault="009B5C65" w:rsidP="00673144">
            <w:pPr>
              <w:keepNext/>
              <w:keepLines/>
              <w:autoSpaceDE w:val="0"/>
              <w:autoSpaceDN w:val="0"/>
              <w:adjustRightInd w:val="0"/>
              <w:spacing w:beforeLines="60" w:before="144" w:afterLines="60" w:after="144"/>
              <w:contextualSpacing/>
              <w:jc w:val="center"/>
              <w:rPr>
                <w:rFonts w:ascii="Calibri" w:eastAsia="Calibri" w:hAnsi="Calibri" w:cs="Calibri"/>
                <w:sz w:val="20"/>
                <w:szCs w:val="20"/>
                <w:lang w:eastAsia="en-GB"/>
              </w:rPr>
            </w:pPr>
            <w:r w:rsidRPr="009B5C65">
              <w:rPr>
                <w:rFonts w:ascii="Calibri" w:eastAsia="Times New Roman" w:hAnsi="Calibri" w:cs="Times New Roman"/>
                <w:color w:val="000000"/>
                <w:sz w:val="20"/>
                <w:szCs w:val="20"/>
                <w:lang w:eastAsia="en-GB"/>
              </w:rPr>
              <w:t>19% (CASPAR - excl imaging and serology)</w:t>
            </w:r>
          </w:p>
        </w:tc>
      </w:tr>
      <w:tr w:rsidR="009B5C65" w:rsidRPr="009B5C65" w:rsidTr="002F143B">
        <w:trPr>
          <w:cantSplit/>
          <w:trHeight w:val="353"/>
          <w:tblHeader/>
        </w:trPr>
        <w:tc>
          <w:tcPr>
            <w:tcW w:w="1923" w:type="dxa"/>
            <w:vAlign w:val="center"/>
          </w:tcPr>
          <w:p w:rsidR="009B5C65" w:rsidRPr="009B5C65" w:rsidRDefault="009B5C65" w:rsidP="00673144">
            <w:pPr>
              <w:keepNext/>
              <w:keepLines/>
              <w:spacing w:beforeLines="60" w:before="144" w:afterLines="60" w:after="144"/>
              <w:contextualSpacing/>
              <w:rPr>
                <w:rFonts w:ascii="Calibri" w:eastAsia="Calibri" w:hAnsi="Calibri" w:cs="Times New Roman"/>
                <w:sz w:val="20"/>
                <w:szCs w:val="20"/>
                <w:lang w:eastAsia="en-GB"/>
              </w:rPr>
            </w:pPr>
            <w:r w:rsidRPr="009B5C65">
              <w:rPr>
                <w:rFonts w:ascii="Calibri" w:eastAsia="Times New Roman" w:hAnsi="Calibri" w:cs="Times New Roman"/>
                <w:color w:val="000000"/>
                <w:sz w:val="20"/>
                <w:szCs w:val="20"/>
                <w:lang w:eastAsia="en-GB"/>
              </w:rPr>
              <w:t xml:space="preserve">Urbancek (2016) </w:t>
            </w:r>
            <w:r w:rsidR="003540F6">
              <w:rPr>
                <w:rFonts w:ascii="Calibri" w:eastAsia="Times New Roman" w:hAnsi="Calibri" w:cs="Times New Roman"/>
                <w:noProof/>
                <w:color w:val="000000"/>
                <w:sz w:val="20"/>
                <w:szCs w:val="20"/>
                <w:lang w:eastAsia="en-GB"/>
              </w:rPr>
              <w:t>(</w:t>
            </w:r>
            <w:r w:rsidR="001B4738">
              <w:rPr>
                <w:rFonts w:ascii="Calibri" w:eastAsia="Times New Roman" w:hAnsi="Calibri" w:cs="Times New Roman"/>
                <w:noProof/>
                <w:color w:val="000000"/>
                <w:sz w:val="20"/>
                <w:szCs w:val="20"/>
                <w:lang w:eastAsia="en-GB"/>
              </w:rPr>
              <w:t>40</w:t>
            </w:r>
            <w:r w:rsidR="003540F6">
              <w:rPr>
                <w:rFonts w:ascii="Calibri" w:eastAsia="Times New Roman" w:hAnsi="Calibri" w:cs="Times New Roman"/>
                <w:noProof/>
                <w:color w:val="000000"/>
                <w:sz w:val="20"/>
                <w:szCs w:val="20"/>
                <w:lang w:eastAsia="en-GB"/>
              </w:rPr>
              <w:t>)</w:t>
            </w:r>
          </w:p>
        </w:tc>
        <w:tc>
          <w:tcPr>
            <w:tcW w:w="2450" w:type="dxa"/>
            <w:vAlign w:val="center"/>
          </w:tcPr>
          <w:p w:rsidR="009B5C65" w:rsidRPr="009B5C65" w:rsidRDefault="009B5C65" w:rsidP="00673144">
            <w:pPr>
              <w:keepNext/>
              <w:keepLines/>
              <w:autoSpaceDE w:val="0"/>
              <w:autoSpaceDN w:val="0"/>
              <w:adjustRightInd w:val="0"/>
              <w:spacing w:beforeLines="60" w:before="144" w:afterLines="60" w:after="144"/>
              <w:contextualSpacing/>
              <w:jc w:val="center"/>
              <w:rPr>
                <w:rFonts w:ascii="Calibri" w:eastAsia="Calibri" w:hAnsi="Calibri" w:cs="Calibri"/>
                <w:sz w:val="20"/>
                <w:szCs w:val="20"/>
                <w:lang w:eastAsia="en-GB"/>
              </w:rPr>
            </w:pPr>
            <w:r w:rsidRPr="009B5C65">
              <w:rPr>
                <w:rFonts w:ascii="Calibri" w:eastAsia="Times New Roman" w:hAnsi="Calibri" w:cs="Times New Roman"/>
                <w:color w:val="000000"/>
                <w:sz w:val="20"/>
                <w:szCs w:val="20"/>
                <w:lang w:eastAsia="en-GB"/>
              </w:rPr>
              <w:t>Slovakia (2014-2015)</w:t>
            </w:r>
          </w:p>
        </w:tc>
        <w:tc>
          <w:tcPr>
            <w:tcW w:w="1030" w:type="dxa"/>
            <w:vAlign w:val="center"/>
          </w:tcPr>
          <w:p w:rsidR="009B5C65" w:rsidRPr="009B5C65" w:rsidRDefault="009B5C65" w:rsidP="00673144">
            <w:pPr>
              <w:keepNext/>
              <w:keepLines/>
              <w:autoSpaceDE w:val="0"/>
              <w:autoSpaceDN w:val="0"/>
              <w:adjustRightInd w:val="0"/>
              <w:spacing w:beforeLines="60" w:before="144" w:afterLines="60" w:after="144"/>
              <w:contextualSpacing/>
              <w:jc w:val="center"/>
              <w:rPr>
                <w:rFonts w:ascii="Calibri" w:eastAsia="Calibri" w:hAnsi="Calibri" w:cs="Calibri"/>
                <w:sz w:val="20"/>
                <w:szCs w:val="20"/>
                <w:lang w:eastAsia="en-GB"/>
              </w:rPr>
            </w:pPr>
            <w:r w:rsidRPr="009B5C65">
              <w:rPr>
                <w:rFonts w:ascii="Calibri" w:eastAsia="Times New Roman" w:hAnsi="Calibri" w:cs="Times New Roman"/>
                <w:color w:val="000000"/>
                <w:sz w:val="20"/>
                <w:szCs w:val="20"/>
                <w:lang w:eastAsia="en-GB"/>
              </w:rPr>
              <w:t>Moderate</w:t>
            </w:r>
          </w:p>
        </w:tc>
        <w:tc>
          <w:tcPr>
            <w:tcW w:w="848" w:type="dxa"/>
            <w:vAlign w:val="center"/>
          </w:tcPr>
          <w:p w:rsidR="009B5C65" w:rsidRPr="009B5C65" w:rsidRDefault="009B5C65" w:rsidP="00673144">
            <w:pPr>
              <w:keepNext/>
              <w:keepLines/>
              <w:autoSpaceDE w:val="0"/>
              <w:autoSpaceDN w:val="0"/>
              <w:adjustRightInd w:val="0"/>
              <w:spacing w:beforeLines="60" w:before="144" w:afterLines="60" w:after="144"/>
              <w:contextualSpacing/>
              <w:jc w:val="center"/>
              <w:rPr>
                <w:rFonts w:ascii="Calibri" w:eastAsia="Calibri" w:hAnsi="Calibri" w:cs="Calibri"/>
                <w:sz w:val="20"/>
                <w:szCs w:val="20"/>
                <w:lang w:eastAsia="en-GB"/>
              </w:rPr>
            </w:pPr>
            <w:r w:rsidRPr="009B5C65">
              <w:rPr>
                <w:rFonts w:ascii="Calibri" w:eastAsia="Times New Roman" w:hAnsi="Calibri" w:cs="Times New Roman"/>
                <w:color w:val="000000"/>
                <w:sz w:val="20"/>
                <w:szCs w:val="20"/>
                <w:lang w:eastAsia="en-GB"/>
              </w:rPr>
              <w:t>831</w:t>
            </w:r>
          </w:p>
        </w:tc>
        <w:tc>
          <w:tcPr>
            <w:tcW w:w="2765" w:type="dxa"/>
            <w:vAlign w:val="center"/>
          </w:tcPr>
          <w:p w:rsidR="009B5C65" w:rsidRPr="009B5C65" w:rsidRDefault="009B5C65" w:rsidP="00673144">
            <w:pPr>
              <w:keepNext/>
              <w:keepLines/>
              <w:autoSpaceDE w:val="0"/>
              <w:autoSpaceDN w:val="0"/>
              <w:adjustRightInd w:val="0"/>
              <w:spacing w:beforeLines="60" w:before="144" w:afterLines="60" w:after="144"/>
              <w:contextualSpacing/>
              <w:jc w:val="center"/>
              <w:rPr>
                <w:rFonts w:ascii="Calibri" w:eastAsia="Calibri" w:hAnsi="Calibri" w:cs="Calibri"/>
                <w:sz w:val="20"/>
                <w:szCs w:val="20"/>
                <w:lang w:eastAsia="en-GB"/>
              </w:rPr>
            </w:pPr>
            <w:r w:rsidRPr="009B5C65">
              <w:rPr>
                <w:rFonts w:ascii="Calibri" w:eastAsia="Times New Roman" w:hAnsi="Calibri" w:cs="Times New Roman"/>
                <w:color w:val="000000"/>
                <w:sz w:val="20"/>
                <w:szCs w:val="20"/>
                <w:lang w:eastAsia="en-GB"/>
              </w:rPr>
              <w:t>22% (CASPAR)</w:t>
            </w:r>
          </w:p>
        </w:tc>
      </w:tr>
      <w:tr w:rsidR="009B5C65" w:rsidRPr="009B5C65" w:rsidTr="002F143B">
        <w:trPr>
          <w:cantSplit/>
          <w:trHeight w:val="353"/>
          <w:tblHeader/>
        </w:trPr>
        <w:tc>
          <w:tcPr>
            <w:tcW w:w="1923" w:type="dxa"/>
            <w:vAlign w:val="center"/>
          </w:tcPr>
          <w:p w:rsidR="009B5C65" w:rsidRPr="009B5C65" w:rsidRDefault="009B5C65" w:rsidP="00673144">
            <w:pPr>
              <w:keepNext/>
              <w:keepLines/>
              <w:spacing w:beforeLines="60" w:before="144" w:afterLines="60" w:after="144"/>
              <w:contextualSpacing/>
              <w:rPr>
                <w:rFonts w:ascii="Calibri" w:eastAsia="Calibri" w:hAnsi="Calibri" w:cs="Times New Roman"/>
                <w:sz w:val="20"/>
                <w:szCs w:val="20"/>
                <w:lang w:eastAsia="en-GB"/>
              </w:rPr>
            </w:pPr>
            <w:r w:rsidRPr="009B5C65">
              <w:rPr>
                <w:rFonts w:ascii="Calibri" w:eastAsia="Times New Roman" w:hAnsi="Calibri" w:cs="Times New Roman"/>
                <w:color w:val="000000"/>
                <w:sz w:val="20"/>
                <w:szCs w:val="20"/>
                <w:lang w:eastAsia="en-GB"/>
              </w:rPr>
              <w:t xml:space="preserve">Korman (2015) </w:t>
            </w:r>
            <w:r w:rsidR="00FB1688">
              <w:rPr>
                <w:rFonts w:ascii="Calibri" w:eastAsia="Times New Roman" w:hAnsi="Calibri" w:cs="Times New Roman"/>
                <w:noProof/>
                <w:color w:val="000000"/>
                <w:sz w:val="20"/>
                <w:szCs w:val="20"/>
                <w:lang w:eastAsia="en-GB"/>
              </w:rPr>
              <w:t>(</w:t>
            </w:r>
            <w:r w:rsidR="001B4738">
              <w:rPr>
                <w:rFonts w:ascii="Calibri" w:eastAsia="Times New Roman" w:hAnsi="Calibri" w:cs="Times New Roman"/>
                <w:noProof/>
                <w:color w:val="000000"/>
                <w:sz w:val="20"/>
                <w:szCs w:val="20"/>
                <w:lang w:eastAsia="en-GB"/>
              </w:rPr>
              <w:t>57</w:t>
            </w:r>
            <w:r w:rsidR="00FB1688">
              <w:rPr>
                <w:rFonts w:ascii="Calibri" w:eastAsia="Times New Roman" w:hAnsi="Calibri" w:cs="Times New Roman"/>
                <w:noProof/>
                <w:color w:val="000000"/>
                <w:sz w:val="20"/>
                <w:szCs w:val="20"/>
                <w:lang w:eastAsia="en-GB"/>
              </w:rPr>
              <w:t>)</w:t>
            </w:r>
          </w:p>
        </w:tc>
        <w:tc>
          <w:tcPr>
            <w:tcW w:w="2450" w:type="dxa"/>
            <w:vAlign w:val="center"/>
          </w:tcPr>
          <w:p w:rsidR="009B5C65" w:rsidRPr="009B5C65" w:rsidRDefault="009B5C65" w:rsidP="00673144">
            <w:pPr>
              <w:keepNext/>
              <w:keepLines/>
              <w:autoSpaceDE w:val="0"/>
              <w:autoSpaceDN w:val="0"/>
              <w:adjustRightInd w:val="0"/>
              <w:spacing w:beforeLines="60" w:before="144" w:afterLines="60" w:after="144"/>
              <w:contextualSpacing/>
              <w:jc w:val="center"/>
              <w:rPr>
                <w:rFonts w:ascii="Calibri" w:eastAsia="Calibri" w:hAnsi="Calibri" w:cs="Calibri"/>
                <w:sz w:val="20"/>
                <w:szCs w:val="20"/>
                <w:lang w:eastAsia="en-GB"/>
              </w:rPr>
            </w:pPr>
            <w:r w:rsidRPr="009B5C65">
              <w:rPr>
                <w:rFonts w:ascii="Calibri" w:eastAsia="Times New Roman" w:hAnsi="Calibri" w:cs="Times New Roman"/>
                <w:color w:val="000000"/>
                <w:sz w:val="20"/>
                <w:szCs w:val="20"/>
                <w:lang w:eastAsia="en-GB"/>
              </w:rPr>
              <w:t>USA (2012)</w:t>
            </w:r>
          </w:p>
        </w:tc>
        <w:tc>
          <w:tcPr>
            <w:tcW w:w="1030" w:type="dxa"/>
            <w:vAlign w:val="center"/>
          </w:tcPr>
          <w:p w:rsidR="009B5C65" w:rsidRPr="009B5C65" w:rsidRDefault="009B5C65" w:rsidP="00673144">
            <w:pPr>
              <w:keepNext/>
              <w:keepLines/>
              <w:autoSpaceDE w:val="0"/>
              <w:autoSpaceDN w:val="0"/>
              <w:adjustRightInd w:val="0"/>
              <w:spacing w:beforeLines="60" w:before="144" w:afterLines="60" w:after="144"/>
              <w:contextualSpacing/>
              <w:jc w:val="center"/>
              <w:rPr>
                <w:rFonts w:ascii="Calibri" w:eastAsia="Calibri" w:hAnsi="Calibri" w:cs="Calibri"/>
                <w:sz w:val="20"/>
                <w:szCs w:val="20"/>
                <w:lang w:eastAsia="en-GB"/>
              </w:rPr>
            </w:pPr>
            <w:r w:rsidRPr="009B5C65">
              <w:rPr>
                <w:rFonts w:ascii="Calibri" w:eastAsia="Times New Roman" w:hAnsi="Calibri" w:cs="Times New Roman"/>
                <w:color w:val="000000"/>
                <w:sz w:val="20"/>
                <w:szCs w:val="20"/>
                <w:lang w:eastAsia="en-GB"/>
              </w:rPr>
              <w:t>Moderate</w:t>
            </w:r>
          </w:p>
        </w:tc>
        <w:tc>
          <w:tcPr>
            <w:tcW w:w="848" w:type="dxa"/>
            <w:vAlign w:val="center"/>
          </w:tcPr>
          <w:p w:rsidR="009B5C65" w:rsidRPr="009B5C65" w:rsidRDefault="009B5C65" w:rsidP="00673144">
            <w:pPr>
              <w:keepNext/>
              <w:keepLines/>
              <w:autoSpaceDE w:val="0"/>
              <w:autoSpaceDN w:val="0"/>
              <w:adjustRightInd w:val="0"/>
              <w:spacing w:beforeLines="60" w:before="144" w:afterLines="60" w:after="144"/>
              <w:contextualSpacing/>
              <w:jc w:val="center"/>
              <w:rPr>
                <w:rFonts w:ascii="Calibri" w:eastAsia="Calibri" w:hAnsi="Calibri" w:cs="Calibri"/>
                <w:sz w:val="20"/>
                <w:szCs w:val="20"/>
                <w:lang w:eastAsia="en-GB"/>
              </w:rPr>
            </w:pPr>
            <w:r w:rsidRPr="009B5C65">
              <w:rPr>
                <w:rFonts w:ascii="Calibri" w:eastAsia="Times New Roman" w:hAnsi="Calibri" w:cs="Times New Roman"/>
                <w:color w:val="000000"/>
                <w:sz w:val="20"/>
                <w:szCs w:val="20"/>
                <w:lang w:eastAsia="en-GB"/>
              </w:rPr>
              <w:t>366</w:t>
            </w:r>
          </w:p>
        </w:tc>
        <w:tc>
          <w:tcPr>
            <w:tcW w:w="2765" w:type="dxa"/>
            <w:vAlign w:val="center"/>
          </w:tcPr>
          <w:p w:rsidR="009B5C65" w:rsidRPr="009B5C65" w:rsidRDefault="009B5C65" w:rsidP="00673144">
            <w:pPr>
              <w:keepNext/>
              <w:keepLines/>
              <w:autoSpaceDE w:val="0"/>
              <w:autoSpaceDN w:val="0"/>
              <w:adjustRightInd w:val="0"/>
              <w:spacing w:beforeLines="60" w:before="144" w:afterLines="60" w:after="144"/>
              <w:contextualSpacing/>
              <w:jc w:val="center"/>
              <w:rPr>
                <w:rFonts w:ascii="Calibri" w:eastAsia="Calibri" w:hAnsi="Calibri" w:cs="Calibri"/>
                <w:sz w:val="20"/>
                <w:szCs w:val="20"/>
                <w:lang w:eastAsia="en-GB"/>
              </w:rPr>
            </w:pPr>
            <w:r w:rsidRPr="009B5C65">
              <w:rPr>
                <w:rFonts w:ascii="Calibri" w:eastAsia="Times New Roman" w:hAnsi="Calibri" w:cs="Times New Roman"/>
                <w:color w:val="000000"/>
                <w:sz w:val="20"/>
                <w:szCs w:val="20"/>
                <w:lang w:eastAsia="en-GB"/>
              </w:rPr>
              <w:t>20% (Self-reported in moderate to severe group)</w:t>
            </w:r>
          </w:p>
        </w:tc>
      </w:tr>
      <w:tr w:rsidR="009B5C65" w:rsidRPr="009B5C65" w:rsidTr="002F143B">
        <w:trPr>
          <w:cantSplit/>
          <w:trHeight w:val="353"/>
          <w:tblHeader/>
        </w:trPr>
        <w:tc>
          <w:tcPr>
            <w:tcW w:w="1923" w:type="dxa"/>
            <w:vAlign w:val="center"/>
          </w:tcPr>
          <w:p w:rsidR="009B5C65" w:rsidRPr="009B5C65" w:rsidRDefault="009B5C65" w:rsidP="00673144">
            <w:pPr>
              <w:keepNext/>
              <w:keepLines/>
              <w:spacing w:beforeLines="60" w:before="144" w:afterLines="60" w:after="144"/>
              <w:contextualSpacing/>
              <w:rPr>
                <w:rFonts w:ascii="Calibri" w:eastAsia="Calibri" w:hAnsi="Calibri" w:cs="Times New Roman"/>
                <w:sz w:val="20"/>
                <w:szCs w:val="20"/>
                <w:lang w:eastAsia="en-GB"/>
              </w:rPr>
            </w:pPr>
            <w:r w:rsidRPr="009B5C65">
              <w:rPr>
                <w:rFonts w:ascii="Calibri" w:eastAsia="Times New Roman" w:hAnsi="Calibri" w:cs="Times New Roman"/>
                <w:color w:val="000000"/>
                <w:sz w:val="20"/>
                <w:szCs w:val="20"/>
                <w:lang w:eastAsia="en-GB"/>
              </w:rPr>
              <w:t xml:space="preserve">Dini (2017) </w:t>
            </w:r>
            <w:r w:rsidR="00FB1688">
              <w:rPr>
                <w:rFonts w:ascii="Calibri" w:eastAsia="Times New Roman" w:hAnsi="Calibri" w:cs="Times New Roman"/>
                <w:noProof/>
                <w:color w:val="000000"/>
                <w:sz w:val="20"/>
                <w:szCs w:val="20"/>
                <w:lang w:eastAsia="en-GB"/>
              </w:rPr>
              <w:t>(</w:t>
            </w:r>
            <w:r w:rsidR="001B4738">
              <w:rPr>
                <w:rFonts w:ascii="Calibri" w:eastAsia="Times New Roman" w:hAnsi="Calibri" w:cs="Times New Roman"/>
                <w:noProof/>
                <w:color w:val="000000"/>
                <w:sz w:val="20"/>
                <w:szCs w:val="20"/>
                <w:lang w:eastAsia="en-GB"/>
              </w:rPr>
              <w:t>58</w:t>
            </w:r>
            <w:r w:rsidR="00FB1688">
              <w:rPr>
                <w:rFonts w:ascii="Calibri" w:eastAsia="Times New Roman" w:hAnsi="Calibri" w:cs="Times New Roman"/>
                <w:noProof/>
                <w:color w:val="000000"/>
                <w:sz w:val="20"/>
                <w:szCs w:val="20"/>
                <w:lang w:eastAsia="en-GB"/>
              </w:rPr>
              <w:t>)</w:t>
            </w:r>
          </w:p>
        </w:tc>
        <w:tc>
          <w:tcPr>
            <w:tcW w:w="2450" w:type="dxa"/>
            <w:vAlign w:val="center"/>
          </w:tcPr>
          <w:p w:rsidR="009B5C65" w:rsidRPr="009B5C65" w:rsidRDefault="009B5C65" w:rsidP="00673144">
            <w:pPr>
              <w:keepNext/>
              <w:keepLines/>
              <w:autoSpaceDE w:val="0"/>
              <w:autoSpaceDN w:val="0"/>
              <w:adjustRightInd w:val="0"/>
              <w:spacing w:beforeLines="60" w:before="144" w:afterLines="60" w:after="144"/>
              <w:contextualSpacing/>
              <w:jc w:val="center"/>
              <w:rPr>
                <w:rFonts w:ascii="Calibri" w:eastAsia="Calibri" w:hAnsi="Calibri" w:cs="Calibri"/>
                <w:sz w:val="20"/>
                <w:szCs w:val="20"/>
                <w:lang w:eastAsia="en-GB"/>
              </w:rPr>
            </w:pPr>
            <w:r w:rsidRPr="009B5C65">
              <w:rPr>
                <w:rFonts w:ascii="Calibri" w:eastAsia="Times New Roman" w:hAnsi="Calibri" w:cs="Times New Roman"/>
                <w:color w:val="000000"/>
                <w:sz w:val="20"/>
                <w:szCs w:val="20"/>
                <w:lang w:eastAsia="en-GB"/>
              </w:rPr>
              <w:t>Italy (2014-2015)</w:t>
            </w:r>
          </w:p>
        </w:tc>
        <w:tc>
          <w:tcPr>
            <w:tcW w:w="1030" w:type="dxa"/>
            <w:vAlign w:val="center"/>
          </w:tcPr>
          <w:p w:rsidR="009B5C65" w:rsidRPr="009B5C65" w:rsidRDefault="009B5C65" w:rsidP="00673144">
            <w:pPr>
              <w:keepNext/>
              <w:keepLines/>
              <w:autoSpaceDE w:val="0"/>
              <w:autoSpaceDN w:val="0"/>
              <w:adjustRightInd w:val="0"/>
              <w:spacing w:beforeLines="60" w:before="144" w:afterLines="60" w:after="144"/>
              <w:contextualSpacing/>
              <w:jc w:val="center"/>
              <w:rPr>
                <w:rFonts w:ascii="Calibri" w:eastAsia="Calibri" w:hAnsi="Calibri" w:cs="Calibri"/>
                <w:sz w:val="20"/>
                <w:szCs w:val="20"/>
                <w:lang w:eastAsia="en-GB"/>
              </w:rPr>
            </w:pPr>
            <w:r w:rsidRPr="009B5C65">
              <w:rPr>
                <w:rFonts w:ascii="Calibri" w:eastAsia="Times New Roman" w:hAnsi="Calibri" w:cs="Times New Roman"/>
                <w:color w:val="000000"/>
                <w:sz w:val="20"/>
                <w:szCs w:val="20"/>
                <w:lang w:eastAsia="en-GB"/>
              </w:rPr>
              <w:t>Moderate</w:t>
            </w:r>
          </w:p>
        </w:tc>
        <w:tc>
          <w:tcPr>
            <w:tcW w:w="848" w:type="dxa"/>
            <w:vAlign w:val="center"/>
          </w:tcPr>
          <w:p w:rsidR="009B5C65" w:rsidRPr="009B5C65" w:rsidRDefault="009B5C65" w:rsidP="00673144">
            <w:pPr>
              <w:keepNext/>
              <w:keepLines/>
              <w:autoSpaceDE w:val="0"/>
              <w:autoSpaceDN w:val="0"/>
              <w:adjustRightInd w:val="0"/>
              <w:spacing w:beforeLines="60" w:before="144" w:afterLines="60" w:after="144"/>
              <w:contextualSpacing/>
              <w:jc w:val="center"/>
              <w:rPr>
                <w:rFonts w:ascii="Calibri" w:eastAsia="Calibri" w:hAnsi="Calibri" w:cs="Calibri"/>
                <w:sz w:val="20"/>
                <w:szCs w:val="20"/>
                <w:lang w:eastAsia="en-GB"/>
              </w:rPr>
            </w:pPr>
            <w:r w:rsidRPr="009B5C65">
              <w:rPr>
                <w:rFonts w:ascii="Calibri" w:eastAsia="Times New Roman" w:hAnsi="Calibri" w:cs="Times New Roman"/>
                <w:color w:val="000000"/>
                <w:sz w:val="20"/>
                <w:szCs w:val="20"/>
                <w:lang w:eastAsia="en-GB"/>
              </w:rPr>
              <w:t>134</w:t>
            </w:r>
          </w:p>
        </w:tc>
        <w:tc>
          <w:tcPr>
            <w:tcW w:w="2765" w:type="dxa"/>
            <w:vAlign w:val="center"/>
          </w:tcPr>
          <w:p w:rsidR="009B5C65" w:rsidRPr="009B5C65" w:rsidRDefault="009B5C65" w:rsidP="00673144">
            <w:pPr>
              <w:keepNext/>
              <w:keepLines/>
              <w:autoSpaceDE w:val="0"/>
              <w:autoSpaceDN w:val="0"/>
              <w:adjustRightInd w:val="0"/>
              <w:spacing w:beforeLines="60" w:before="144" w:afterLines="60" w:after="144"/>
              <w:contextualSpacing/>
              <w:jc w:val="center"/>
              <w:rPr>
                <w:rFonts w:ascii="Calibri" w:eastAsia="Calibri" w:hAnsi="Calibri" w:cs="Calibri"/>
                <w:sz w:val="20"/>
                <w:szCs w:val="20"/>
                <w:lang w:eastAsia="en-GB"/>
              </w:rPr>
            </w:pPr>
            <w:r w:rsidRPr="009B5C65">
              <w:rPr>
                <w:rFonts w:ascii="Calibri" w:eastAsia="Times New Roman" w:hAnsi="Calibri" w:cs="Times New Roman"/>
                <w:color w:val="000000"/>
                <w:sz w:val="20"/>
                <w:szCs w:val="20"/>
                <w:lang w:eastAsia="en-GB"/>
              </w:rPr>
              <w:t>24% (Self-reported arthritis)</w:t>
            </w:r>
          </w:p>
        </w:tc>
      </w:tr>
      <w:tr w:rsidR="009B5C65" w:rsidRPr="009B5C65" w:rsidTr="002F143B">
        <w:trPr>
          <w:cantSplit/>
          <w:trHeight w:val="353"/>
          <w:tblHeader/>
        </w:trPr>
        <w:tc>
          <w:tcPr>
            <w:tcW w:w="1923" w:type="dxa"/>
            <w:vAlign w:val="center"/>
          </w:tcPr>
          <w:p w:rsidR="009B5C65" w:rsidRPr="009B5C65" w:rsidRDefault="009B5C65" w:rsidP="00673144">
            <w:pPr>
              <w:keepNext/>
              <w:keepLines/>
              <w:spacing w:beforeLines="60" w:before="144" w:afterLines="60" w:after="144"/>
              <w:contextualSpacing/>
              <w:rPr>
                <w:rFonts w:ascii="Calibri" w:eastAsia="Calibri" w:hAnsi="Calibri" w:cs="Times New Roman"/>
                <w:sz w:val="20"/>
                <w:szCs w:val="20"/>
                <w:lang w:eastAsia="en-GB"/>
              </w:rPr>
            </w:pPr>
            <w:r w:rsidRPr="009B5C65">
              <w:rPr>
                <w:rFonts w:ascii="Calibri" w:eastAsia="Times New Roman" w:hAnsi="Calibri" w:cs="Times New Roman"/>
                <w:color w:val="000000"/>
                <w:sz w:val="20"/>
                <w:szCs w:val="20"/>
                <w:lang w:eastAsia="en-GB"/>
              </w:rPr>
              <w:t xml:space="preserve">Piaserico (2016) </w:t>
            </w:r>
            <w:r w:rsidR="00FB1688">
              <w:rPr>
                <w:rFonts w:ascii="Calibri" w:eastAsia="Times New Roman" w:hAnsi="Calibri" w:cs="Times New Roman"/>
                <w:noProof/>
                <w:color w:val="000000"/>
                <w:sz w:val="20"/>
                <w:szCs w:val="20"/>
                <w:lang w:eastAsia="en-GB"/>
              </w:rPr>
              <w:t>(</w:t>
            </w:r>
            <w:r w:rsidR="001B4738">
              <w:rPr>
                <w:rFonts w:ascii="Calibri" w:eastAsia="Times New Roman" w:hAnsi="Calibri" w:cs="Times New Roman"/>
                <w:noProof/>
                <w:color w:val="000000"/>
                <w:sz w:val="20"/>
                <w:szCs w:val="20"/>
                <w:lang w:eastAsia="en-GB"/>
              </w:rPr>
              <w:t>35</w:t>
            </w:r>
            <w:r w:rsidR="00FB1688">
              <w:rPr>
                <w:rFonts w:ascii="Calibri" w:eastAsia="Times New Roman" w:hAnsi="Calibri" w:cs="Times New Roman"/>
                <w:noProof/>
                <w:color w:val="000000"/>
                <w:sz w:val="20"/>
                <w:szCs w:val="20"/>
                <w:lang w:eastAsia="en-GB"/>
              </w:rPr>
              <w:t>)</w:t>
            </w:r>
          </w:p>
        </w:tc>
        <w:tc>
          <w:tcPr>
            <w:tcW w:w="2450" w:type="dxa"/>
            <w:vAlign w:val="center"/>
          </w:tcPr>
          <w:p w:rsidR="009B5C65" w:rsidRPr="009B5C65" w:rsidRDefault="009B5C65" w:rsidP="00673144">
            <w:pPr>
              <w:keepNext/>
              <w:keepLines/>
              <w:autoSpaceDE w:val="0"/>
              <w:autoSpaceDN w:val="0"/>
              <w:adjustRightInd w:val="0"/>
              <w:spacing w:beforeLines="60" w:before="144" w:afterLines="60" w:after="144"/>
              <w:contextualSpacing/>
              <w:jc w:val="center"/>
              <w:rPr>
                <w:rFonts w:ascii="Calibri" w:eastAsia="Calibri" w:hAnsi="Calibri" w:cs="Calibri"/>
                <w:sz w:val="20"/>
                <w:szCs w:val="20"/>
                <w:lang w:eastAsia="en-GB"/>
              </w:rPr>
            </w:pPr>
            <w:r w:rsidRPr="009B5C65">
              <w:rPr>
                <w:rFonts w:ascii="Calibri" w:eastAsia="Times New Roman" w:hAnsi="Calibri" w:cs="Times New Roman"/>
                <w:color w:val="000000"/>
                <w:sz w:val="20"/>
                <w:szCs w:val="20"/>
                <w:lang w:eastAsia="en-GB"/>
              </w:rPr>
              <w:t>Italy (not stated)</w:t>
            </w:r>
          </w:p>
        </w:tc>
        <w:tc>
          <w:tcPr>
            <w:tcW w:w="1030" w:type="dxa"/>
            <w:vAlign w:val="center"/>
          </w:tcPr>
          <w:p w:rsidR="009B5C65" w:rsidRPr="009B5C65" w:rsidRDefault="009B5C65" w:rsidP="00673144">
            <w:pPr>
              <w:keepNext/>
              <w:keepLines/>
              <w:autoSpaceDE w:val="0"/>
              <w:autoSpaceDN w:val="0"/>
              <w:adjustRightInd w:val="0"/>
              <w:spacing w:beforeLines="60" w:before="144" w:afterLines="60" w:after="144"/>
              <w:contextualSpacing/>
              <w:jc w:val="center"/>
              <w:rPr>
                <w:rFonts w:ascii="Calibri" w:eastAsia="Calibri" w:hAnsi="Calibri" w:cs="Calibri"/>
                <w:sz w:val="20"/>
                <w:szCs w:val="20"/>
                <w:lang w:eastAsia="en-GB"/>
              </w:rPr>
            </w:pPr>
            <w:r w:rsidRPr="009B5C65">
              <w:rPr>
                <w:rFonts w:ascii="Calibri" w:eastAsia="Times New Roman" w:hAnsi="Calibri" w:cs="Times New Roman"/>
                <w:color w:val="000000"/>
                <w:sz w:val="20"/>
                <w:szCs w:val="20"/>
                <w:lang w:eastAsia="en-GB"/>
              </w:rPr>
              <w:t>Moderate</w:t>
            </w:r>
          </w:p>
        </w:tc>
        <w:tc>
          <w:tcPr>
            <w:tcW w:w="848" w:type="dxa"/>
            <w:vAlign w:val="center"/>
          </w:tcPr>
          <w:p w:rsidR="009B5C65" w:rsidRPr="009B5C65" w:rsidRDefault="009B5C65" w:rsidP="00673144">
            <w:pPr>
              <w:keepNext/>
              <w:keepLines/>
              <w:autoSpaceDE w:val="0"/>
              <w:autoSpaceDN w:val="0"/>
              <w:adjustRightInd w:val="0"/>
              <w:spacing w:beforeLines="60" w:before="144" w:afterLines="60" w:after="144"/>
              <w:contextualSpacing/>
              <w:jc w:val="center"/>
              <w:rPr>
                <w:rFonts w:ascii="Calibri" w:eastAsia="Calibri" w:hAnsi="Calibri" w:cs="Calibri"/>
                <w:sz w:val="20"/>
                <w:szCs w:val="20"/>
                <w:lang w:eastAsia="en-GB"/>
              </w:rPr>
            </w:pPr>
            <w:r w:rsidRPr="009B5C65">
              <w:rPr>
                <w:rFonts w:ascii="Calibri" w:eastAsia="Times New Roman" w:hAnsi="Calibri" w:cs="Times New Roman"/>
                <w:color w:val="000000"/>
                <w:sz w:val="20"/>
                <w:szCs w:val="20"/>
                <w:lang w:eastAsia="en-GB"/>
              </w:rPr>
              <w:t>298</w:t>
            </w:r>
          </w:p>
        </w:tc>
        <w:tc>
          <w:tcPr>
            <w:tcW w:w="2765" w:type="dxa"/>
            <w:vAlign w:val="center"/>
          </w:tcPr>
          <w:p w:rsidR="009B5C65" w:rsidRPr="009B5C65" w:rsidRDefault="009B5C65" w:rsidP="00673144">
            <w:pPr>
              <w:keepNext/>
              <w:keepLines/>
              <w:autoSpaceDE w:val="0"/>
              <w:autoSpaceDN w:val="0"/>
              <w:adjustRightInd w:val="0"/>
              <w:spacing w:beforeLines="60" w:before="144" w:afterLines="60" w:after="144"/>
              <w:contextualSpacing/>
              <w:jc w:val="center"/>
              <w:rPr>
                <w:rFonts w:ascii="Calibri" w:eastAsia="Calibri" w:hAnsi="Calibri" w:cs="Calibri"/>
                <w:sz w:val="20"/>
                <w:szCs w:val="20"/>
                <w:lang w:eastAsia="en-GB"/>
              </w:rPr>
            </w:pPr>
            <w:r w:rsidRPr="009B5C65">
              <w:rPr>
                <w:rFonts w:ascii="Calibri" w:eastAsia="Times New Roman" w:hAnsi="Calibri" w:cs="Times New Roman"/>
                <w:color w:val="000000"/>
                <w:sz w:val="20"/>
                <w:szCs w:val="20"/>
                <w:lang w:eastAsia="en-GB"/>
              </w:rPr>
              <w:t>28% (CASPAR)</w:t>
            </w:r>
          </w:p>
        </w:tc>
      </w:tr>
      <w:tr w:rsidR="009B5C65" w:rsidRPr="009B5C65" w:rsidTr="002F143B">
        <w:trPr>
          <w:cantSplit/>
          <w:trHeight w:val="353"/>
          <w:tblHeader/>
        </w:trPr>
        <w:tc>
          <w:tcPr>
            <w:tcW w:w="1923" w:type="dxa"/>
            <w:vAlign w:val="center"/>
          </w:tcPr>
          <w:p w:rsidR="009B5C65" w:rsidRPr="009B5C65" w:rsidRDefault="009B5C65" w:rsidP="00673144">
            <w:pPr>
              <w:keepNext/>
              <w:keepLines/>
              <w:spacing w:beforeLines="60" w:before="144" w:afterLines="60" w:after="144"/>
              <w:contextualSpacing/>
              <w:rPr>
                <w:rFonts w:ascii="Calibri" w:eastAsia="Calibri" w:hAnsi="Calibri" w:cs="Times New Roman"/>
                <w:sz w:val="20"/>
                <w:szCs w:val="20"/>
                <w:lang w:eastAsia="en-GB"/>
              </w:rPr>
            </w:pPr>
            <w:r w:rsidRPr="009B5C65">
              <w:rPr>
                <w:rFonts w:ascii="Calibri" w:eastAsia="Times New Roman" w:hAnsi="Calibri" w:cs="Times New Roman"/>
                <w:color w:val="000000"/>
                <w:sz w:val="20"/>
                <w:szCs w:val="20"/>
                <w:lang w:eastAsia="en-GB"/>
              </w:rPr>
              <w:t xml:space="preserve">Edson-Heredia (2015) </w:t>
            </w:r>
            <w:r w:rsidR="00FB1688">
              <w:rPr>
                <w:rFonts w:ascii="Calibri" w:eastAsia="Times New Roman" w:hAnsi="Calibri" w:cs="Times New Roman"/>
                <w:noProof/>
                <w:color w:val="000000"/>
                <w:sz w:val="20"/>
                <w:szCs w:val="20"/>
                <w:lang w:eastAsia="en-GB"/>
              </w:rPr>
              <w:t>(</w:t>
            </w:r>
            <w:r w:rsidR="001B4738">
              <w:rPr>
                <w:rFonts w:ascii="Calibri" w:eastAsia="Times New Roman" w:hAnsi="Calibri" w:cs="Times New Roman"/>
                <w:noProof/>
                <w:color w:val="000000"/>
                <w:sz w:val="20"/>
                <w:szCs w:val="20"/>
                <w:lang w:eastAsia="en-GB"/>
              </w:rPr>
              <w:t>59</w:t>
            </w:r>
            <w:r w:rsidR="00FB1688">
              <w:rPr>
                <w:rFonts w:ascii="Calibri" w:eastAsia="Times New Roman" w:hAnsi="Calibri" w:cs="Times New Roman"/>
                <w:noProof/>
                <w:color w:val="000000"/>
                <w:sz w:val="20"/>
                <w:szCs w:val="20"/>
                <w:lang w:eastAsia="en-GB"/>
              </w:rPr>
              <w:t>)</w:t>
            </w:r>
          </w:p>
        </w:tc>
        <w:tc>
          <w:tcPr>
            <w:tcW w:w="2450" w:type="dxa"/>
            <w:vAlign w:val="center"/>
          </w:tcPr>
          <w:p w:rsidR="009B5C65" w:rsidRPr="009B5C65" w:rsidRDefault="009B5C65" w:rsidP="00673144">
            <w:pPr>
              <w:keepNext/>
              <w:keepLines/>
              <w:autoSpaceDE w:val="0"/>
              <w:autoSpaceDN w:val="0"/>
              <w:adjustRightInd w:val="0"/>
              <w:spacing w:beforeLines="60" w:before="144" w:afterLines="60" w:after="144"/>
              <w:contextualSpacing/>
              <w:jc w:val="center"/>
              <w:rPr>
                <w:rFonts w:ascii="Calibri" w:eastAsia="Calibri" w:hAnsi="Calibri" w:cs="Calibri"/>
                <w:sz w:val="20"/>
                <w:szCs w:val="20"/>
                <w:lang w:eastAsia="en-GB"/>
              </w:rPr>
            </w:pPr>
            <w:r w:rsidRPr="009B5C65">
              <w:rPr>
                <w:rFonts w:ascii="Calibri" w:eastAsia="Times New Roman" w:hAnsi="Calibri" w:cs="Times New Roman"/>
                <w:color w:val="000000"/>
                <w:sz w:val="20"/>
                <w:szCs w:val="20"/>
                <w:lang w:eastAsia="en-GB"/>
              </w:rPr>
              <w:t>USA (2003-2011)</w:t>
            </w:r>
          </w:p>
        </w:tc>
        <w:tc>
          <w:tcPr>
            <w:tcW w:w="1030" w:type="dxa"/>
            <w:vAlign w:val="center"/>
          </w:tcPr>
          <w:p w:rsidR="009B5C65" w:rsidRPr="009B5C65" w:rsidRDefault="009B5C65" w:rsidP="00673144">
            <w:pPr>
              <w:keepNext/>
              <w:keepLines/>
              <w:autoSpaceDE w:val="0"/>
              <w:autoSpaceDN w:val="0"/>
              <w:adjustRightInd w:val="0"/>
              <w:spacing w:beforeLines="60" w:before="144" w:afterLines="60" w:after="144"/>
              <w:contextualSpacing/>
              <w:jc w:val="center"/>
              <w:rPr>
                <w:rFonts w:ascii="Calibri" w:eastAsia="Calibri" w:hAnsi="Calibri" w:cs="Calibri"/>
                <w:sz w:val="20"/>
                <w:szCs w:val="20"/>
                <w:lang w:eastAsia="en-GB"/>
              </w:rPr>
            </w:pPr>
            <w:r w:rsidRPr="009B5C65">
              <w:rPr>
                <w:rFonts w:ascii="Calibri" w:eastAsia="Times New Roman" w:hAnsi="Calibri" w:cs="Times New Roman"/>
                <w:color w:val="000000"/>
                <w:sz w:val="20"/>
                <w:szCs w:val="20"/>
                <w:lang w:eastAsia="en-GB"/>
              </w:rPr>
              <w:t>High</w:t>
            </w:r>
          </w:p>
        </w:tc>
        <w:tc>
          <w:tcPr>
            <w:tcW w:w="848" w:type="dxa"/>
            <w:vAlign w:val="center"/>
          </w:tcPr>
          <w:p w:rsidR="009B5C65" w:rsidRPr="009B5C65" w:rsidRDefault="009B5C65" w:rsidP="00673144">
            <w:pPr>
              <w:keepNext/>
              <w:keepLines/>
              <w:autoSpaceDE w:val="0"/>
              <w:autoSpaceDN w:val="0"/>
              <w:adjustRightInd w:val="0"/>
              <w:spacing w:beforeLines="60" w:before="144" w:afterLines="60" w:after="144"/>
              <w:contextualSpacing/>
              <w:jc w:val="center"/>
              <w:rPr>
                <w:rFonts w:ascii="Calibri" w:eastAsia="Calibri" w:hAnsi="Calibri" w:cs="Calibri"/>
                <w:sz w:val="20"/>
                <w:szCs w:val="20"/>
                <w:lang w:eastAsia="en-GB"/>
              </w:rPr>
            </w:pPr>
            <w:r w:rsidRPr="009B5C65">
              <w:rPr>
                <w:rFonts w:ascii="Calibri" w:eastAsia="Times New Roman" w:hAnsi="Calibri" w:cs="Times New Roman"/>
                <w:color w:val="000000"/>
                <w:sz w:val="20"/>
                <w:szCs w:val="20"/>
                <w:lang w:eastAsia="en-GB"/>
              </w:rPr>
              <w:t>3,532</w:t>
            </w:r>
          </w:p>
        </w:tc>
        <w:tc>
          <w:tcPr>
            <w:tcW w:w="2765" w:type="dxa"/>
            <w:vAlign w:val="center"/>
          </w:tcPr>
          <w:p w:rsidR="009B5C65" w:rsidRPr="009B5C65" w:rsidRDefault="009B5C65" w:rsidP="00673144">
            <w:pPr>
              <w:keepNext/>
              <w:keepLines/>
              <w:autoSpaceDE w:val="0"/>
              <w:autoSpaceDN w:val="0"/>
              <w:adjustRightInd w:val="0"/>
              <w:spacing w:beforeLines="60" w:before="144" w:afterLines="60" w:after="144"/>
              <w:contextualSpacing/>
              <w:jc w:val="center"/>
              <w:rPr>
                <w:rFonts w:ascii="Calibri" w:eastAsia="Times New Roman" w:hAnsi="Calibri" w:cs="Times New Roman"/>
                <w:color w:val="000000"/>
                <w:sz w:val="20"/>
                <w:szCs w:val="20"/>
                <w:lang w:eastAsia="en-GB"/>
              </w:rPr>
            </w:pPr>
            <w:r w:rsidRPr="009B5C65">
              <w:rPr>
                <w:rFonts w:ascii="Calibri" w:eastAsia="Times New Roman" w:hAnsi="Calibri" w:cs="Times New Roman"/>
                <w:color w:val="000000"/>
                <w:sz w:val="20"/>
                <w:szCs w:val="20"/>
                <w:lang w:eastAsia="en-GB"/>
              </w:rPr>
              <w:t>36% (moderate to severe)</w:t>
            </w:r>
          </w:p>
        </w:tc>
      </w:tr>
      <w:tr w:rsidR="009B5C65" w:rsidRPr="009B5C65" w:rsidTr="002F143B">
        <w:trPr>
          <w:cantSplit/>
          <w:trHeight w:val="353"/>
          <w:tblHeader/>
        </w:trPr>
        <w:tc>
          <w:tcPr>
            <w:tcW w:w="1923" w:type="dxa"/>
            <w:vAlign w:val="center"/>
          </w:tcPr>
          <w:p w:rsidR="009B5C65" w:rsidRPr="009B5C65" w:rsidRDefault="009B5C65" w:rsidP="00673144">
            <w:pPr>
              <w:keepNext/>
              <w:keepLines/>
              <w:spacing w:beforeLines="60" w:before="144" w:afterLines="60" w:after="144"/>
              <w:contextualSpacing/>
              <w:rPr>
                <w:rFonts w:ascii="Calibri" w:eastAsia="Calibri" w:hAnsi="Calibri" w:cs="Times New Roman"/>
                <w:sz w:val="20"/>
                <w:szCs w:val="20"/>
                <w:lang w:eastAsia="en-GB"/>
              </w:rPr>
            </w:pPr>
            <w:r w:rsidRPr="009B5C65">
              <w:rPr>
                <w:rFonts w:ascii="Calibri" w:eastAsia="Times New Roman" w:hAnsi="Calibri" w:cs="Times New Roman"/>
                <w:color w:val="000000"/>
                <w:sz w:val="20"/>
                <w:szCs w:val="20"/>
                <w:lang w:eastAsia="en-GB"/>
              </w:rPr>
              <w:t xml:space="preserve">Langenbruc (2016) </w:t>
            </w:r>
            <w:r w:rsidR="00FB1688">
              <w:rPr>
                <w:rFonts w:ascii="Calibri" w:eastAsia="Times New Roman" w:hAnsi="Calibri" w:cs="Times New Roman"/>
                <w:noProof/>
                <w:color w:val="000000"/>
                <w:sz w:val="20"/>
                <w:szCs w:val="20"/>
                <w:lang w:eastAsia="en-GB"/>
              </w:rPr>
              <w:t>(</w:t>
            </w:r>
            <w:r w:rsidR="001B4738">
              <w:rPr>
                <w:rFonts w:ascii="Calibri" w:eastAsia="Times New Roman" w:hAnsi="Calibri" w:cs="Times New Roman"/>
                <w:noProof/>
                <w:color w:val="000000"/>
                <w:sz w:val="20"/>
                <w:szCs w:val="20"/>
                <w:lang w:eastAsia="en-GB"/>
              </w:rPr>
              <w:t>36</w:t>
            </w:r>
            <w:r w:rsidR="00FB1688">
              <w:rPr>
                <w:rFonts w:ascii="Calibri" w:eastAsia="Times New Roman" w:hAnsi="Calibri" w:cs="Times New Roman"/>
                <w:noProof/>
                <w:color w:val="000000"/>
                <w:sz w:val="20"/>
                <w:szCs w:val="20"/>
                <w:lang w:eastAsia="en-GB"/>
              </w:rPr>
              <w:t>)</w:t>
            </w:r>
          </w:p>
        </w:tc>
        <w:tc>
          <w:tcPr>
            <w:tcW w:w="2450" w:type="dxa"/>
            <w:vAlign w:val="center"/>
          </w:tcPr>
          <w:p w:rsidR="009B5C65" w:rsidRPr="009B5C65" w:rsidRDefault="009B5C65" w:rsidP="00673144">
            <w:pPr>
              <w:keepNext/>
              <w:keepLines/>
              <w:autoSpaceDE w:val="0"/>
              <w:autoSpaceDN w:val="0"/>
              <w:adjustRightInd w:val="0"/>
              <w:spacing w:beforeLines="60" w:before="144" w:afterLines="60" w:after="144"/>
              <w:contextualSpacing/>
              <w:jc w:val="center"/>
              <w:rPr>
                <w:rFonts w:ascii="Calibri" w:eastAsia="Calibri" w:hAnsi="Calibri" w:cs="Calibri"/>
                <w:sz w:val="20"/>
                <w:szCs w:val="20"/>
                <w:lang w:eastAsia="en-GB"/>
              </w:rPr>
            </w:pPr>
            <w:r w:rsidRPr="009B5C65">
              <w:rPr>
                <w:rFonts w:ascii="Calibri" w:eastAsia="Times New Roman" w:hAnsi="Calibri" w:cs="Times New Roman"/>
                <w:color w:val="000000"/>
                <w:sz w:val="20"/>
                <w:szCs w:val="20"/>
                <w:lang w:eastAsia="en-GB"/>
              </w:rPr>
              <w:t>Germany (2014)</w:t>
            </w:r>
          </w:p>
        </w:tc>
        <w:tc>
          <w:tcPr>
            <w:tcW w:w="1030" w:type="dxa"/>
            <w:vAlign w:val="center"/>
          </w:tcPr>
          <w:p w:rsidR="009B5C65" w:rsidRPr="009B5C65" w:rsidRDefault="009B5C65" w:rsidP="00673144">
            <w:pPr>
              <w:keepNext/>
              <w:keepLines/>
              <w:autoSpaceDE w:val="0"/>
              <w:autoSpaceDN w:val="0"/>
              <w:adjustRightInd w:val="0"/>
              <w:spacing w:beforeLines="60" w:before="144" w:afterLines="60" w:after="144"/>
              <w:contextualSpacing/>
              <w:jc w:val="center"/>
              <w:rPr>
                <w:rFonts w:ascii="Calibri" w:eastAsia="Calibri" w:hAnsi="Calibri" w:cs="Calibri"/>
                <w:sz w:val="20"/>
                <w:szCs w:val="20"/>
                <w:lang w:eastAsia="en-GB"/>
              </w:rPr>
            </w:pPr>
            <w:r w:rsidRPr="009B5C65">
              <w:rPr>
                <w:rFonts w:ascii="Calibri" w:eastAsia="Times New Roman" w:hAnsi="Calibri" w:cs="Times New Roman"/>
                <w:color w:val="000000"/>
                <w:sz w:val="20"/>
                <w:szCs w:val="20"/>
                <w:lang w:eastAsia="en-GB"/>
              </w:rPr>
              <w:t>Low</w:t>
            </w:r>
          </w:p>
        </w:tc>
        <w:tc>
          <w:tcPr>
            <w:tcW w:w="848" w:type="dxa"/>
            <w:vAlign w:val="center"/>
          </w:tcPr>
          <w:p w:rsidR="009B5C65" w:rsidRPr="009B5C65" w:rsidRDefault="009B5C65" w:rsidP="00673144">
            <w:pPr>
              <w:keepNext/>
              <w:keepLines/>
              <w:autoSpaceDE w:val="0"/>
              <w:autoSpaceDN w:val="0"/>
              <w:adjustRightInd w:val="0"/>
              <w:spacing w:beforeLines="60" w:before="144" w:afterLines="60" w:after="144"/>
              <w:contextualSpacing/>
              <w:jc w:val="center"/>
              <w:rPr>
                <w:rFonts w:ascii="Calibri" w:eastAsia="Calibri" w:hAnsi="Calibri" w:cs="Calibri"/>
                <w:sz w:val="20"/>
                <w:szCs w:val="20"/>
                <w:lang w:eastAsia="en-GB"/>
              </w:rPr>
            </w:pPr>
            <w:r w:rsidRPr="009B5C65">
              <w:rPr>
                <w:rFonts w:ascii="Calibri" w:eastAsia="Times New Roman" w:hAnsi="Calibri" w:cs="Times New Roman"/>
                <w:color w:val="000000"/>
                <w:sz w:val="20"/>
                <w:szCs w:val="20"/>
                <w:lang w:eastAsia="en-GB"/>
              </w:rPr>
              <w:t>1,265</w:t>
            </w:r>
          </w:p>
        </w:tc>
        <w:tc>
          <w:tcPr>
            <w:tcW w:w="2765" w:type="dxa"/>
            <w:vAlign w:val="center"/>
          </w:tcPr>
          <w:p w:rsidR="009B5C65" w:rsidRPr="009B5C65" w:rsidRDefault="009B5C65" w:rsidP="00673144">
            <w:pPr>
              <w:keepNext/>
              <w:keepLines/>
              <w:autoSpaceDE w:val="0"/>
              <w:autoSpaceDN w:val="0"/>
              <w:adjustRightInd w:val="0"/>
              <w:spacing w:beforeLines="60" w:before="144" w:afterLines="60" w:after="144"/>
              <w:contextualSpacing/>
              <w:jc w:val="center"/>
              <w:rPr>
                <w:rFonts w:ascii="Calibri" w:eastAsia="Calibri" w:hAnsi="Calibri" w:cs="Calibri"/>
                <w:sz w:val="20"/>
                <w:szCs w:val="20"/>
                <w:lang w:eastAsia="en-GB"/>
              </w:rPr>
            </w:pPr>
            <w:r w:rsidRPr="009B5C65">
              <w:rPr>
                <w:rFonts w:ascii="Calibri" w:eastAsia="Times New Roman" w:hAnsi="Calibri" w:cs="Times New Roman"/>
                <w:color w:val="000000"/>
                <w:sz w:val="20"/>
                <w:szCs w:val="20"/>
                <w:lang w:eastAsia="en-GB"/>
              </w:rPr>
              <w:t>17% (Clinician assessment - probable or verified)</w:t>
            </w:r>
          </w:p>
        </w:tc>
      </w:tr>
      <w:tr w:rsidR="009B5C65" w:rsidRPr="009B5C65" w:rsidTr="002F143B">
        <w:trPr>
          <w:cantSplit/>
          <w:trHeight w:val="353"/>
          <w:tblHeader/>
        </w:trPr>
        <w:tc>
          <w:tcPr>
            <w:tcW w:w="1923" w:type="dxa"/>
            <w:vAlign w:val="center"/>
          </w:tcPr>
          <w:p w:rsidR="009B5C65" w:rsidRPr="009B5C65" w:rsidRDefault="009B5C65" w:rsidP="00673144">
            <w:pPr>
              <w:keepNext/>
              <w:keepLines/>
              <w:spacing w:beforeLines="60" w:before="144" w:afterLines="60" w:after="144"/>
              <w:contextualSpacing/>
              <w:rPr>
                <w:rFonts w:ascii="Calibri" w:eastAsia="Calibri" w:hAnsi="Calibri" w:cs="Times New Roman"/>
                <w:sz w:val="20"/>
                <w:szCs w:val="20"/>
                <w:lang w:eastAsia="en-GB"/>
              </w:rPr>
            </w:pPr>
            <w:r w:rsidRPr="009B5C65">
              <w:rPr>
                <w:rFonts w:ascii="Calibri" w:eastAsia="Times New Roman" w:hAnsi="Calibri" w:cs="Times New Roman"/>
                <w:color w:val="000000"/>
                <w:sz w:val="20"/>
                <w:szCs w:val="20"/>
                <w:lang w:eastAsia="en-GB"/>
              </w:rPr>
              <w:t xml:space="preserve">Truong (2015) </w:t>
            </w:r>
            <w:r w:rsidR="00FB1688">
              <w:rPr>
                <w:rFonts w:ascii="Calibri" w:eastAsia="Times New Roman" w:hAnsi="Calibri" w:cs="Times New Roman"/>
                <w:noProof/>
                <w:color w:val="000000"/>
                <w:sz w:val="20"/>
                <w:szCs w:val="20"/>
                <w:lang w:eastAsia="en-GB"/>
              </w:rPr>
              <w:t>(</w:t>
            </w:r>
            <w:r w:rsidR="001B4738">
              <w:rPr>
                <w:rFonts w:ascii="Calibri" w:eastAsia="Times New Roman" w:hAnsi="Calibri" w:cs="Times New Roman"/>
                <w:noProof/>
                <w:color w:val="000000"/>
                <w:sz w:val="20"/>
                <w:szCs w:val="20"/>
                <w:lang w:eastAsia="en-GB"/>
              </w:rPr>
              <w:t>60</w:t>
            </w:r>
            <w:r w:rsidR="00FB1688">
              <w:rPr>
                <w:rFonts w:ascii="Calibri" w:eastAsia="Times New Roman" w:hAnsi="Calibri" w:cs="Times New Roman"/>
                <w:noProof/>
                <w:color w:val="000000"/>
                <w:sz w:val="20"/>
                <w:szCs w:val="20"/>
                <w:lang w:eastAsia="en-GB"/>
              </w:rPr>
              <w:t>)</w:t>
            </w:r>
          </w:p>
        </w:tc>
        <w:tc>
          <w:tcPr>
            <w:tcW w:w="2450" w:type="dxa"/>
            <w:vAlign w:val="center"/>
          </w:tcPr>
          <w:p w:rsidR="009B5C65" w:rsidRPr="009B5C65" w:rsidRDefault="009B5C65" w:rsidP="00673144">
            <w:pPr>
              <w:keepNext/>
              <w:keepLines/>
              <w:autoSpaceDE w:val="0"/>
              <w:autoSpaceDN w:val="0"/>
              <w:adjustRightInd w:val="0"/>
              <w:spacing w:beforeLines="60" w:before="144" w:afterLines="60" w:after="144"/>
              <w:contextualSpacing/>
              <w:jc w:val="center"/>
              <w:rPr>
                <w:rFonts w:ascii="Calibri" w:eastAsia="Calibri" w:hAnsi="Calibri" w:cs="Calibri"/>
                <w:sz w:val="20"/>
                <w:szCs w:val="20"/>
                <w:lang w:eastAsia="en-GB"/>
              </w:rPr>
            </w:pPr>
            <w:r w:rsidRPr="009B5C65">
              <w:rPr>
                <w:rFonts w:ascii="Calibri" w:eastAsia="Times New Roman" w:hAnsi="Calibri" w:cs="Times New Roman"/>
                <w:color w:val="000000"/>
                <w:sz w:val="20"/>
                <w:szCs w:val="20"/>
                <w:lang w:eastAsia="en-GB"/>
              </w:rPr>
              <w:t>USA (2006-2010)</w:t>
            </w:r>
          </w:p>
        </w:tc>
        <w:tc>
          <w:tcPr>
            <w:tcW w:w="1030" w:type="dxa"/>
            <w:vAlign w:val="center"/>
          </w:tcPr>
          <w:p w:rsidR="009B5C65" w:rsidRPr="009B5C65" w:rsidRDefault="009B5C65" w:rsidP="00673144">
            <w:pPr>
              <w:keepNext/>
              <w:keepLines/>
              <w:autoSpaceDE w:val="0"/>
              <w:autoSpaceDN w:val="0"/>
              <w:adjustRightInd w:val="0"/>
              <w:spacing w:beforeLines="60" w:before="144" w:afterLines="60" w:after="144"/>
              <w:contextualSpacing/>
              <w:jc w:val="center"/>
              <w:rPr>
                <w:rFonts w:ascii="Calibri" w:eastAsia="Calibri" w:hAnsi="Calibri" w:cs="Calibri"/>
                <w:sz w:val="20"/>
                <w:szCs w:val="20"/>
                <w:lang w:eastAsia="en-GB"/>
              </w:rPr>
            </w:pPr>
            <w:r w:rsidRPr="009B5C65">
              <w:rPr>
                <w:rFonts w:ascii="Calibri" w:eastAsia="Times New Roman" w:hAnsi="Calibri" w:cs="Times New Roman"/>
                <w:color w:val="000000"/>
                <w:sz w:val="20"/>
                <w:szCs w:val="20"/>
                <w:lang w:eastAsia="en-GB"/>
              </w:rPr>
              <w:t>Low</w:t>
            </w:r>
          </w:p>
        </w:tc>
        <w:tc>
          <w:tcPr>
            <w:tcW w:w="848" w:type="dxa"/>
            <w:vAlign w:val="center"/>
          </w:tcPr>
          <w:p w:rsidR="009B5C65" w:rsidRPr="009B5C65" w:rsidRDefault="009B5C65" w:rsidP="00673144">
            <w:pPr>
              <w:keepNext/>
              <w:keepLines/>
              <w:autoSpaceDE w:val="0"/>
              <w:autoSpaceDN w:val="0"/>
              <w:adjustRightInd w:val="0"/>
              <w:spacing w:beforeLines="60" w:before="144" w:afterLines="60" w:after="144"/>
              <w:contextualSpacing/>
              <w:jc w:val="center"/>
              <w:rPr>
                <w:rFonts w:ascii="Calibri" w:eastAsia="Calibri" w:hAnsi="Calibri" w:cs="Calibri"/>
                <w:sz w:val="20"/>
                <w:szCs w:val="20"/>
                <w:lang w:eastAsia="en-GB"/>
              </w:rPr>
            </w:pPr>
            <w:r w:rsidRPr="009B5C65">
              <w:rPr>
                <w:rFonts w:ascii="Calibri" w:eastAsia="Times New Roman" w:hAnsi="Calibri" w:cs="Times New Roman"/>
                <w:color w:val="000000"/>
                <w:sz w:val="20"/>
                <w:szCs w:val="20"/>
                <w:lang w:eastAsia="en-GB"/>
              </w:rPr>
              <w:t>598</w:t>
            </w:r>
          </w:p>
        </w:tc>
        <w:tc>
          <w:tcPr>
            <w:tcW w:w="2765" w:type="dxa"/>
            <w:vAlign w:val="center"/>
          </w:tcPr>
          <w:p w:rsidR="009B5C65" w:rsidRPr="009B5C65" w:rsidRDefault="009B5C65" w:rsidP="00673144">
            <w:pPr>
              <w:keepNext/>
              <w:keepLines/>
              <w:autoSpaceDE w:val="0"/>
              <w:autoSpaceDN w:val="0"/>
              <w:adjustRightInd w:val="0"/>
              <w:spacing w:beforeLines="60" w:before="144" w:afterLines="60" w:after="144"/>
              <w:contextualSpacing/>
              <w:jc w:val="center"/>
              <w:rPr>
                <w:rFonts w:ascii="Calibri" w:eastAsia="Calibri" w:hAnsi="Calibri" w:cs="Calibri"/>
                <w:sz w:val="20"/>
                <w:szCs w:val="20"/>
                <w:lang w:eastAsia="en-GB"/>
              </w:rPr>
            </w:pPr>
            <w:r w:rsidRPr="009B5C65">
              <w:rPr>
                <w:rFonts w:ascii="Calibri" w:eastAsia="Times New Roman" w:hAnsi="Calibri" w:cs="Times New Roman"/>
                <w:color w:val="000000"/>
                <w:sz w:val="20"/>
                <w:szCs w:val="20"/>
                <w:lang w:eastAsia="en-GB"/>
              </w:rPr>
              <w:t>30% (Clinician diagnosed)</w:t>
            </w:r>
          </w:p>
        </w:tc>
      </w:tr>
      <w:tr w:rsidR="009B5C65" w:rsidRPr="009B5C65" w:rsidTr="002F143B">
        <w:trPr>
          <w:cantSplit/>
          <w:trHeight w:val="353"/>
          <w:tblHeader/>
        </w:trPr>
        <w:tc>
          <w:tcPr>
            <w:tcW w:w="1923" w:type="dxa"/>
            <w:vAlign w:val="center"/>
          </w:tcPr>
          <w:p w:rsidR="009B5C65" w:rsidRPr="009B5C65" w:rsidRDefault="009B5C65" w:rsidP="00673144">
            <w:pPr>
              <w:keepNext/>
              <w:keepLines/>
              <w:spacing w:beforeLines="60" w:before="144" w:afterLines="60" w:after="144"/>
              <w:contextualSpacing/>
              <w:rPr>
                <w:rFonts w:ascii="Calibri" w:eastAsia="Calibri" w:hAnsi="Calibri" w:cs="Times New Roman"/>
                <w:sz w:val="20"/>
                <w:szCs w:val="20"/>
                <w:lang w:eastAsia="en-GB"/>
              </w:rPr>
            </w:pPr>
            <w:r w:rsidRPr="009B5C65">
              <w:rPr>
                <w:rFonts w:ascii="Calibri" w:eastAsia="Times New Roman" w:hAnsi="Calibri" w:cs="Times New Roman"/>
                <w:color w:val="000000"/>
                <w:sz w:val="20"/>
                <w:szCs w:val="20"/>
                <w:lang w:eastAsia="en-GB"/>
              </w:rPr>
              <w:t xml:space="preserve">Eder (2016) </w:t>
            </w:r>
            <w:r w:rsidR="00FB1688">
              <w:rPr>
                <w:rFonts w:ascii="Calibri" w:eastAsia="Times New Roman" w:hAnsi="Calibri" w:cs="Times New Roman"/>
                <w:noProof/>
                <w:color w:val="000000"/>
                <w:sz w:val="20"/>
                <w:szCs w:val="20"/>
                <w:lang w:eastAsia="en-GB"/>
              </w:rPr>
              <w:t>(</w:t>
            </w:r>
            <w:r w:rsidR="001B4738">
              <w:rPr>
                <w:rFonts w:ascii="Calibri" w:eastAsia="Times New Roman" w:hAnsi="Calibri" w:cs="Times New Roman"/>
                <w:noProof/>
                <w:color w:val="000000"/>
                <w:sz w:val="20"/>
                <w:szCs w:val="20"/>
                <w:lang w:eastAsia="en-GB"/>
              </w:rPr>
              <w:t>37</w:t>
            </w:r>
            <w:r w:rsidR="00FB1688">
              <w:rPr>
                <w:rFonts w:ascii="Calibri" w:eastAsia="Times New Roman" w:hAnsi="Calibri" w:cs="Times New Roman"/>
                <w:noProof/>
                <w:color w:val="000000"/>
                <w:sz w:val="20"/>
                <w:szCs w:val="20"/>
                <w:lang w:eastAsia="en-GB"/>
              </w:rPr>
              <w:t>)</w:t>
            </w:r>
          </w:p>
        </w:tc>
        <w:tc>
          <w:tcPr>
            <w:tcW w:w="2450" w:type="dxa"/>
            <w:vAlign w:val="center"/>
          </w:tcPr>
          <w:p w:rsidR="009B5C65" w:rsidRPr="009B5C65" w:rsidRDefault="009B5C65" w:rsidP="00673144">
            <w:pPr>
              <w:keepNext/>
              <w:keepLines/>
              <w:autoSpaceDE w:val="0"/>
              <w:autoSpaceDN w:val="0"/>
              <w:adjustRightInd w:val="0"/>
              <w:spacing w:beforeLines="60" w:before="144" w:afterLines="60" w:after="144"/>
              <w:contextualSpacing/>
              <w:jc w:val="center"/>
              <w:rPr>
                <w:rFonts w:ascii="Calibri" w:eastAsia="Calibri" w:hAnsi="Calibri" w:cs="Calibri"/>
                <w:sz w:val="20"/>
                <w:szCs w:val="20"/>
                <w:lang w:eastAsia="en-GB"/>
              </w:rPr>
            </w:pPr>
            <w:r w:rsidRPr="009B5C65">
              <w:rPr>
                <w:rFonts w:ascii="Calibri" w:eastAsia="Times New Roman" w:hAnsi="Calibri" w:cs="Times New Roman"/>
                <w:color w:val="000000"/>
                <w:sz w:val="20"/>
                <w:szCs w:val="20"/>
                <w:lang w:eastAsia="en-GB"/>
              </w:rPr>
              <w:t>Canada (2006-2012)</w:t>
            </w:r>
          </w:p>
        </w:tc>
        <w:tc>
          <w:tcPr>
            <w:tcW w:w="1030" w:type="dxa"/>
            <w:vAlign w:val="center"/>
          </w:tcPr>
          <w:p w:rsidR="009B5C65" w:rsidRPr="009B5C65" w:rsidRDefault="009B5C65" w:rsidP="00673144">
            <w:pPr>
              <w:keepNext/>
              <w:keepLines/>
              <w:autoSpaceDE w:val="0"/>
              <w:autoSpaceDN w:val="0"/>
              <w:adjustRightInd w:val="0"/>
              <w:spacing w:beforeLines="60" w:before="144" w:afterLines="60" w:after="144"/>
              <w:contextualSpacing/>
              <w:jc w:val="center"/>
              <w:rPr>
                <w:rFonts w:ascii="Calibri" w:eastAsia="Calibri" w:hAnsi="Calibri" w:cs="Calibri"/>
                <w:sz w:val="20"/>
                <w:szCs w:val="20"/>
                <w:lang w:eastAsia="en-GB"/>
              </w:rPr>
            </w:pPr>
            <w:r w:rsidRPr="009B5C65">
              <w:rPr>
                <w:rFonts w:ascii="Calibri" w:eastAsia="Times New Roman" w:hAnsi="Calibri" w:cs="Times New Roman"/>
                <w:color w:val="000000"/>
                <w:sz w:val="20"/>
                <w:szCs w:val="20"/>
                <w:lang w:eastAsia="en-GB"/>
              </w:rPr>
              <w:t>Low</w:t>
            </w:r>
          </w:p>
        </w:tc>
        <w:tc>
          <w:tcPr>
            <w:tcW w:w="848" w:type="dxa"/>
            <w:vAlign w:val="center"/>
          </w:tcPr>
          <w:p w:rsidR="009B5C65" w:rsidRPr="009B5C65" w:rsidRDefault="009B5C65" w:rsidP="00673144">
            <w:pPr>
              <w:keepNext/>
              <w:keepLines/>
              <w:autoSpaceDE w:val="0"/>
              <w:autoSpaceDN w:val="0"/>
              <w:adjustRightInd w:val="0"/>
              <w:spacing w:beforeLines="60" w:before="144" w:afterLines="60" w:after="144"/>
              <w:contextualSpacing/>
              <w:jc w:val="center"/>
              <w:rPr>
                <w:rFonts w:ascii="Calibri" w:eastAsia="Calibri" w:hAnsi="Calibri" w:cs="Calibri"/>
                <w:sz w:val="20"/>
                <w:szCs w:val="20"/>
                <w:lang w:eastAsia="en-GB"/>
              </w:rPr>
            </w:pPr>
            <w:r w:rsidRPr="009B5C65">
              <w:rPr>
                <w:rFonts w:ascii="Calibri" w:eastAsia="Times New Roman" w:hAnsi="Calibri" w:cs="Times New Roman"/>
                <w:color w:val="000000"/>
                <w:sz w:val="20"/>
                <w:szCs w:val="20"/>
                <w:lang w:eastAsia="en-GB"/>
              </w:rPr>
              <w:t>464</w:t>
            </w:r>
          </w:p>
        </w:tc>
        <w:tc>
          <w:tcPr>
            <w:tcW w:w="2765" w:type="dxa"/>
            <w:vAlign w:val="center"/>
          </w:tcPr>
          <w:p w:rsidR="009B5C65" w:rsidRPr="009B5C65" w:rsidRDefault="009B5C65" w:rsidP="00673144">
            <w:pPr>
              <w:keepNext/>
              <w:keepLines/>
              <w:autoSpaceDE w:val="0"/>
              <w:autoSpaceDN w:val="0"/>
              <w:adjustRightInd w:val="0"/>
              <w:spacing w:beforeLines="60" w:before="144" w:afterLines="60" w:after="144"/>
              <w:contextualSpacing/>
              <w:jc w:val="center"/>
              <w:rPr>
                <w:rFonts w:ascii="Calibri" w:eastAsia="Calibri" w:hAnsi="Calibri" w:cs="Calibri"/>
                <w:sz w:val="20"/>
                <w:szCs w:val="20"/>
                <w:lang w:eastAsia="en-GB"/>
              </w:rPr>
            </w:pPr>
            <w:r w:rsidRPr="009B5C65">
              <w:rPr>
                <w:rFonts w:ascii="Calibri" w:eastAsia="Times New Roman" w:hAnsi="Calibri" w:cs="Times New Roman"/>
                <w:color w:val="000000"/>
                <w:sz w:val="20"/>
                <w:szCs w:val="20"/>
                <w:lang w:eastAsia="en-GB"/>
              </w:rPr>
              <w:t>11% (CASPAR)</w:t>
            </w:r>
          </w:p>
        </w:tc>
      </w:tr>
      <w:tr w:rsidR="009B5C65" w:rsidRPr="009B5C65" w:rsidTr="002F143B">
        <w:trPr>
          <w:cantSplit/>
          <w:trHeight w:val="353"/>
          <w:tblHeader/>
        </w:trPr>
        <w:tc>
          <w:tcPr>
            <w:tcW w:w="1923" w:type="dxa"/>
            <w:vAlign w:val="center"/>
          </w:tcPr>
          <w:p w:rsidR="009B5C65" w:rsidRPr="009B5C65" w:rsidRDefault="009B5C65" w:rsidP="00673144">
            <w:pPr>
              <w:keepNext/>
              <w:keepLines/>
              <w:spacing w:beforeLines="60" w:before="144" w:afterLines="60" w:after="144"/>
              <w:contextualSpacing/>
              <w:rPr>
                <w:rFonts w:ascii="Calibri" w:eastAsia="Calibri" w:hAnsi="Calibri" w:cs="Times New Roman"/>
                <w:sz w:val="20"/>
                <w:szCs w:val="20"/>
                <w:lang w:eastAsia="en-GB"/>
              </w:rPr>
            </w:pPr>
            <w:r w:rsidRPr="009B5C65">
              <w:rPr>
                <w:rFonts w:ascii="Calibri" w:eastAsia="Times New Roman" w:hAnsi="Calibri" w:cs="Times New Roman"/>
                <w:color w:val="000000"/>
                <w:sz w:val="20"/>
                <w:szCs w:val="20"/>
                <w:lang w:eastAsia="en-GB"/>
              </w:rPr>
              <w:t xml:space="preserve">Theodorakopoulou (2016) </w:t>
            </w:r>
            <w:r w:rsidR="00FB1688">
              <w:rPr>
                <w:rFonts w:ascii="Calibri" w:eastAsia="Times New Roman" w:hAnsi="Calibri" w:cs="Times New Roman"/>
                <w:noProof/>
                <w:color w:val="000000"/>
                <w:sz w:val="20"/>
                <w:szCs w:val="20"/>
                <w:lang w:eastAsia="en-GB"/>
              </w:rPr>
              <w:t>(</w:t>
            </w:r>
            <w:r w:rsidR="001B4738">
              <w:rPr>
                <w:rFonts w:ascii="Calibri" w:eastAsia="Times New Roman" w:hAnsi="Calibri" w:cs="Times New Roman"/>
                <w:noProof/>
                <w:color w:val="000000"/>
                <w:sz w:val="20"/>
                <w:szCs w:val="20"/>
                <w:lang w:eastAsia="en-GB"/>
              </w:rPr>
              <w:t>23</w:t>
            </w:r>
            <w:r w:rsidR="00FB1688">
              <w:rPr>
                <w:rFonts w:ascii="Calibri" w:eastAsia="Times New Roman" w:hAnsi="Calibri" w:cs="Times New Roman"/>
                <w:noProof/>
                <w:color w:val="000000"/>
                <w:sz w:val="20"/>
                <w:szCs w:val="20"/>
                <w:lang w:eastAsia="en-GB"/>
              </w:rPr>
              <w:t>)</w:t>
            </w:r>
          </w:p>
        </w:tc>
        <w:tc>
          <w:tcPr>
            <w:tcW w:w="2450" w:type="dxa"/>
            <w:vAlign w:val="center"/>
          </w:tcPr>
          <w:p w:rsidR="009B5C65" w:rsidRPr="009B5C65" w:rsidRDefault="009B5C65" w:rsidP="00673144">
            <w:pPr>
              <w:keepNext/>
              <w:keepLines/>
              <w:autoSpaceDE w:val="0"/>
              <w:autoSpaceDN w:val="0"/>
              <w:adjustRightInd w:val="0"/>
              <w:spacing w:beforeLines="60" w:before="144" w:afterLines="60" w:after="144"/>
              <w:contextualSpacing/>
              <w:jc w:val="center"/>
              <w:rPr>
                <w:rFonts w:ascii="Calibri" w:eastAsia="Calibri" w:hAnsi="Calibri" w:cs="Calibri"/>
                <w:sz w:val="20"/>
                <w:szCs w:val="20"/>
                <w:lang w:eastAsia="en-GB"/>
              </w:rPr>
            </w:pPr>
            <w:r w:rsidRPr="009B5C65">
              <w:rPr>
                <w:rFonts w:ascii="Calibri" w:eastAsia="Times New Roman" w:hAnsi="Calibri" w:cs="Times New Roman"/>
                <w:color w:val="000000"/>
                <w:sz w:val="20"/>
                <w:szCs w:val="20"/>
                <w:lang w:eastAsia="en-GB"/>
              </w:rPr>
              <w:t>UK (2010-2012)</w:t>
            </w:r>
          </w:p>
        </w:tc>
        <w:tc>
          <w:tcPr>
            <w:tcW w:w="1030" w:type="dxa"/>
            <w:vAlign w:val="center"/>
          </w:tcPr>
          <w:p w:rsidR="009B5C65" w:rsidRPr="009B5C65" w:rsidRDefault="009B5C65" w:rsidP="00673144">
            <w:pPr>
              <w:keepNext/>
              <w:keepLines/>
              <w:autoSpaceDE w:val="0"/>
              <w:autoSpaceDN w:val="0"/>
              <w:adjustRightInd w:val="0"/>
              <w:spacing w:beforeLines="60" w:before="144" w:afterLines="60" w:after="144"/>
              <w:contextualSpacing/>
              <w:jc w:val="center"/>
              <w:rPr>
                <w:rFonts w:ascii="Calibri" w:eastAsia="Calibri" w:hAnsi="Calibri" w:cs="Calibri"/>
                <w:sz w:val="20"/>
                <w:szCs w:val="20"/>
                <w:lang w:eastAsia="en-GB"/>
              </w:rPr>
            </w:pPr>
            <w:r w:rsidRPr="009B5C65">
              <w:rPr>
                <w:rFonts w:ascii="Calibri" w:eastAsia="Times New Roman" w:hAnsi="Calibri" w:cs="Times New Roman"/>
                <w:color w:val="000000"/>
                <w:sz w:val="20"/>
                <w:szCs w:val="20"/>
                <w:lang w:eastAsia="en-GB"/>
              </w:rPr>
              <w:t>Low</w:t>
            </w:r>
          </w:p>
        </w:tc>
        <w:tc>
          <w:tcPr>
            <w:tcW w:w="848" w:type="dxa"/>
            <w:vAlign w:val="center"/>
          </w:tcPr>
          <w:p w:rsidR="009B5C65" w:rsidRPr="009B5C65" w:rsidRDefault="009B5C65" w:rsidP="00673144">
            <w:pPr>
              <w:keepNext/>
              <w:keepLines/>
              <w:autoSpaceDE w:val="0"/>
              <w:autoSpaceDN w:val="0"/>
              <w:adjustRightInd w:val="0"/>
              <w:spacing w:beforeLines="60" w:before="144" w:afterLines="60" w:after="144"/>
              <w:contextualSpacing/>
              <w:jc w:val="center"/>
              <w:rPr>
                <w:rFonts w:ascii="Calibri" w:eastAsia="Calibri" w:hAnsi="Calibri" w:cs="Calibri"/>
                <w:sz w:val="20"/>
                <w:szCs w:val="20"/>
                <w:lang w:eastAsia="en-GB"/>
              </w:rPr>
            </w:pPr>
            <w:r w:rsidRPr="009B5C65">
              <w:rPr>
                <w:rFonts w:ascii="Calibri" w:eastAsia="Times New Roman" w:hAnsi="Calibri" w:cs="Times New Roman"/>
                <w:color w:val="000000"/>
                <w:sz w:val="20"/>
                <w:szCs w:val="20"/>
                <w:lang w:eastAsia="en-GB"/>
              </w:rPr>
              <w:t>340</w:t>
            </w:r>
          </w:p>
        </w:tc>
        <w:tc>
          <w:tcPr>
            <w:tcW w:w="2765" w:type="dxa"/>
            <w:vAlign w:val="center"/>
          </w:tcPr>
          <w:p w:rsidR="009B5C65" w:rsidRPr="009B5C65" w:rsidRDefault="009B5C65" w:rsidP="00673144">
            <w:pPr>
              <w:keepNext/>
              <w:keepLines/>
              <w:autoSpaceDE w:val="0"/>
              <w:autoSpaceDN w:val="0"/>
              <w:adjustRightInd w:val="0"/>
              <w:spacing w:beforeLines="60" w:before="144" w:afterLines="60" w:after="144"/>
              <w:contextualSpacing/>
              <w:jc w:val="center"/>
              <w:rPr>
                <w:rFonts w:ascii="Calibri" w:eastAsia="Calibri" w:hAnsi="Calibri" w:cs="Calibri"/>
                <w:sz w:val="20"/>
                <w:szCs w:val="20"/>
                <w:lang w:eastAsia="en-GB"/>
              </w:rPr>
            </w:pPr>
            <w:r w:rsidRPr="009B5C65">
              <w:rPr>
                <w:rFonts w:ascii="Calibri" w:eastAsia="Times New Roman" w:hAnsi="Calibri" w:cs="Times New Roman"/>
                <w:color w:val="000000"/>
                <w:sz w:val="20"/>
                <w:szCs w:val="20"/>
                <w:lang w:eastAsia="en-GB"/>
              </w:rPr>
              <w:t>25% (Not stated)</w:t>
            </w:r>
          </w:p>
        </w:tc>
      </w:tr>
      <w:tr w:rsidR="009B5C65" w:rsidRPr="009B5C65" w:rsidTr="002F143B">
        <w:trPr>
          <w:cantSplit/>
          <w:trHeight w:val="353"/>
          <w:tblHeader/>
        </w:trPr>
        <w:tc>
          <w:tcPr>
            <w:tcW w:w="1923" w:type="dxa"/>
            <w:vAlign w:val="center"/>
          </w:tcPr>
          <w:p w:rsidR="009B5C65" w:rsidRPr="009B5C65" w:rsidRDefault="009B5C65" w:rsidP="00673144">
            <w:pPr>
              <w:keepNext/>
              <w:keepLines/>
              <w:spacing w:beforeLines="60" w:before="144" w:afterLines="60" w:after="144"/>
              <w:contextualSpacing/>
              <w:rPr>
                <w:rFonts w:ascii="Calibri" w:eastAsia="Calibri" w:hAnsi="Calibri" w:cs="Times New Roman"/>
                <w:sz w:val="20"/>
                <w:szCs w:val="20"/>
                <w:lang w:eastAsia="en-GB"/>
              </w:rPr>
            </w:pPr>
            <w:r w:rsidRPr="009B5C65">
              <w:rPr>
                <w:rFonts w:ascii="Calibri" w:eastAsia="Times New Roman" w:hAnsi="Calibri" w:cs="Times New Roman"/>
                <w:color w:val="000000"/>
                <w:sz w:val="20"/>
                <w:szCs w:val="20"/>
                <w:lang w:eastAsia="en-GB"/>
              </w:rPr>
              <w:t xml:space="preserve">Papadavid (2016) </w:t>
            </w:r>
            <w:r w:rsidR="00FB1688">
              <w:rPr>
                <w:rFonts w:ascii="Calibri" w:eastAsia="Times New Roman" w:hAnsi="Calibri" w:cs="Times New Roman"/>
                <w:noProof/>
                <w:color w:val="000000"/>
                <w:sz w:val="20"/>
                <w:szCs w:val="20"/>
                <w:lang w:eastAsia="en-GB"/>
              </w:rPr>
              <w:t>(</w:t>
            </w:r>
            <w:r w:rsidR="001B4738">
              <w:rPr>
                <w:rFonts w:ascii="Calibri" w:eastAsia="Times New Roman" w:hAnsi="Calibri" w:cs="Times New Roman"/>
                <w:noProof/>
                <w:color w:val="000000"/>
                <w:sz w:val="20"/>
                <w:szCs w:val="20"/>
                <w:lang w:eastAsia="en-GB"/>
              </w:rPr>
              <w:t>24</w:t>
            </w:r>
            <w:r w:rsidR="00FB1688">
              <w:rPr>
                <w:rFonts w:ascii="Calibri" w:eastAsia="Times New Roman" w:hAnsi="Calibri" w:cs="Times New Roman"/>
                <w:noProof/>
                <w:color w:val="000000"/>
                <w:sz w:val="20"/>
                <w:szCs w:val="20"/>
                <w:lang w:eastAsia="en-GB"/>
              </w:rPr>
              <w:t>)</w:t>
            </w:r>
          </w:p>
        </w:tc>
        <w:tc>
          <w:tcPr>
            <w:tcW w:w="2450" w:type="dxa"/>
            <w:vAlign w:val="center"/>
          </w:tcPr>
          <w:p w:rsidR="009B5C65" w:rsidRPr="009B5C65" w:rsidRDefault="009B5C65" w:rsidP="00673144">
            <w:pPr>
              <w:keepNext/>
              <w:keepLines/>
              <w:autoSpaceDE w:val="0"/>
              <w:autoSpaceDN w:val="0"/>
              <w:adjustRightInd w:val="0"/>
              <w:spacing w:beforeLines="60" w:before="144" w:afterLines="60" w:after="144"/>
              <w:contextualSpacing/>
              <w:jc w:val="center"/>
              <w:rPr>
                <w:rFonts w:ascii="Calibri" w:eastAsia="Calibri" w:hAnsi="Calibri" w:cs="Calibri"/>
                <w:sz w:val="20"/>
                <w:szCs w:val="20"/>
                <w:lang w:eastAsia="en-GB"/>
              </w:rPr>
            </w:pPr>
            <w:r w:rsidRPr="009B5C65">
              <w:rPr>
                <w:rFonts w:ascii="Calibri" w:eastAsia="Times New Roman" w:hAnsi="Calibri" w:cs="Times New Roman"/>
                <w:color w:val="000000"/>
                <w:sz w:val="20"/>
                <w:szCs w:val="20"/>
                <w:lang w:eastAsia="en-GB"/>
              </w:rPr>
              <w:t>Greece (2011-2013)</w:t>
            </w:r>
          </w:p>
        </w:tc>
        <w:tc>
          <w:tcPr>
            <w:tcW w:w="1030" w:type="dxa"/>
            <w:vAlign w:val="center"/>
          </w:tcPr>
          <w:p w:rsidR="009B5C65" w:rsidRPr="009B5C65" w:rsidRDefault="009B5C65" w:rsidP="00673144">
            <w:pPr>
              <w:keepNext/>
              <w:keepLines/>
              <w:autoSpaceDE w:val="0"/>
              <w:autoSpaceDN w:val="0"/>
              <w:adjustRightInd w:val="0"/>
              <w:spacing w:beforeLines="60" w:before="144" w:afterLines="60" w:after="144"/>
              <w:contextualSpacing/>
              <w:jc w:val="center"/>
              <w:rPr>
                <w:rFonts w:ascii="Calibri" w:eastAsia="Calibri" w:hAnsi="Calibri" w:cs="Calibri"/>
                <w:sz w:val="20"/>
                <w:szCs w:val="20"/>
                <w:lang w:eastAsia="en-GB"/>
              </w:rPr>
            </w:pPr>
            <w:r w:rsidRPr="009B5C65">
              <w:rPr>
                <w:rFonts w:ascii="Calibri" w:eastAsia="Times New Roman" w:hAnsi="Calibri" w:cs="Times New Roman"/>
                <w:color w:val="000000"/>
                <w:sz w:val="20"/>
                <w:szCs w:val="20"/>
                <w:lang w:eastAsia="en-GB"/>
              </w:rPr>
              <w:t>Low</w:t>
            </w:r>
          </w:p>
        </w:tc>
        <w:tc>
          <w:tcPr>
            <w:tcW w:w="848" w:type="dxa"/>
            <w:vAlign w:val="center"/>
          </w:tcPr>
          <w:p w:rsidR="009B5C65" w:rsidRPr="009B5C65" w:rsidRDefault="009B5C65" w:rsidP="00673144">
            <w:pPr>
              <w:keepNext/>
              <w:keepLines/>
              <w:autoSpaceDE w:val="0"/>
              <w:autoSpaceDN w:val="0"/>
              <w:adjustRightInd w:val="0"/>
              <w:spacing w:beforeLines="60" w:before="144" w:afterLines="60" w:after="144"/>
              <w:contextualSpacing/>
              <w:jc w:val="center"/>
              <w:rPr>
                <w:rFonts w:ascii="Calibri" w:eastAsia="Calibri" w:hAnsi="Calibri" w:cs="Calibri"/>
                <w:sz w:val="20"/>
                <w:szCs w:val="20"/>
                <w:lang w:eastAsia="en-GB"/>
              </w:rPr>
            </w:pPr>
            <w:r w:rsidRPr="009B5C65">
              <w:rPr>
                <w:rFonts w:ascii="Calibri" w:eastAsia="Times New Roman" w:hAnsi="Calibri" w:cs="Times New Roman"/>
                <w:color w:val="000000"/>
                <w:sz w:val="20"/>
                <w:szCs w:val="20"/>
                <w:lang w:eastAsia="en-GB"/>
              </w:rPr>
              <w:t>278</w:t>
            </w:r>
          </w:p>
        </w:tc>
        <w:tc>
          <w:tcPr>
            <w:tcW w:w="2765" w:type="dxa"/>
            <w:vAlign w:val="center"/>
          </w:tcPr>
          <w:p w:rsidR="009B5C65" w:rsidRPr="009B5C65" w:rsidRDefault="009B5C65" w:rsidP="00673144">
            <w:pPr>
              <w:keepNext/>
              <w:keepLines/>
              <w:autoSpaceDE w:val="0"/>
              <w:autoSpaceDN w:val="0"/>
              <w:adjustRightInd w:val="0"/>
              <w:spacing w:beforeLines="60" w:before="144" w:afterLines="60" w:after="144"/>
              <w:contextualSpacing/>
              <w:jc w:val="center"/>
              <w:rPr>
                <w:rFonts w:ascii="Calibri" w:eastAsia="Calibri" w:hAnsi="Calibri" w:cs="Calibri"/>
                <w:sz w:val="20"/>
                <w:szCs w:val="20"/>
                <w:lang w:eastAsia="en-GB"/>
              </w:rPr>
            </w:pPr>
            <w:r w:rsidRPr="009B5C65">
              <w:rPr>
                <w:rFonts w:ascii="Calibri" w:eastAsia="Times New Roman" w:hAnsi="Calibri" w:cs="Times New Roman"/>
                <w:color w:val="000000"/>
                <w:sz w:val="20"/>
                <w:szCs w:val="20"/>
                <w:lang w:eastAsia="en-GB"/>
              </w:rPr>
              <w:t>31% (Moll and Wright)</w:t>
            </w:r>
          </w:p>
        </w:tc>
      </w:tr>
      <w:tr w:rsidR="009B5C65" w:rsidRPr="009B5C65" w:rsidTr="002F143B">
        <w:trPr>
          <w:cantSplit/>
          <w:trHeight w:val="353"/>
          <w:tblHeader/>
        </w:trPr>
        <w:tc>
          <w:tcPr>
            <w:tcW w:w="1923" w:type="dxa"/>
            <w:vAlign w:val="center"/>
          </w:tcPr>
          <w:p w:rsidR="009B5C65" w:rsidRPr="009B5C65" w:rsidRDefault="009B5C65" w:rsidP="00673144">
            <w:pPr>
              <w:keepNext/>
              <w:keepLines/>
              <w:spacing w:beforeLines="60" w:before="144" w:afterLines="60" w:after="144"/>
              <w:contextualSpacing/>
              <w:rPr>
                <w:rFonts w:ascii="Calibri" w:eastAsia="Calibri" w:hAnsi="Calibri" w:cs="Times New Roman"/>
                <w:sz w:val="20"/>
                <w:szCs w:val="20"/>
                <w:lang w:eastAsia="en-GB"/>
              </w:rPr>
            </w:pPr>
            <w:r w:rsidRPr="009B5C65">
              <w:rPr>
                <w:rFonts w:ascii="Calibri" w:eastAsia="Times New Roman" w:hAnsi="Calibri" w:cs="Times New Roman"/>
                <w:color w:val="000000"/>
                <w:sz w:val="20"/>
                <w:szCs w:val="20"/>
                <w:lang w:eastAsia="en-GB"/>
              </w:rPr>
              <w:t xml:space="preserve">de Marco (2014) </w:t>
            </w:r>
            <w:r w:rsidR="00FB1688">
              <w:rPr>
                <w:rFonts w:ascii="Calibri" w:eastAsia="Times New Roman" w:hAnsi="Calibri" w:cs="Times New Roman"/>
                <w:noProof/>
                <w:color w:val="000000"/>
                <w:sz w:val="20"/>
                <w:szCs w:val="20"/>
                <w:lang w:eastAsia="en-GB"/>
              </w:rPr>
              <w:t>(</w:t>
            </w:r>
            <w:r w:rsidR="001B4738">
              <w:rPr>
                <w:rFonts w:ascii="Calibri" w:eastAsia="Times New Roman" w:hAnsi="Calibri" w:cs="Times New Roman"/>
                <w:noProof/>
                <w:color w:val="000000"/>
                <w:sz w:val="20"/>
                <w:szCs w:val="20"/>
                <w:lang w:eastAsia="en-GB"/>
              </w:rPr>
              <w:t>61</w:t>
            </w:r>
            <w:r w:rsidR="00FB1688">
              <w:rPr>
                <w:rFonts w:ascii="Calibri" w:eastAsia="Times New Roman" w:hAnsi="Calibri" w:cs="Times New Roman"/>
                <w:noProof/>
                <w:color w:val="000000"/>
                <w:sz w:val="20"/>
                <w:szCs w:val="20"/>
                <w:lang w:eastAsia="en-GB"/>
              </w:rPr>
              <w:t>)</w:t>
            </w:r>
          </w:p>
        </w:tc>
        <w:tc>
          <w:tcPr>
            <w:tcW w:w="2450" w:type="dxa"/>
            <w:vAlign w:val="center"/>
          </w:tcPr>
          <w:p w:rsidR="009B5C65" w:rsidRPr="009B5C65" w:rsidRDefault="009B5C65" w:rsidP="00673144">
            <w:pPr>
              <w:keepNext/>
              <w:keepLines/>
              <w:autoSpaceDE w:val="0"/>
              <w:autoSpaceDN w:val="0"/>
              <w:adjustRightInd w:val="0"/>
              <w:spacing w:beforeLines="60" w:before="144" w:afterLines="60" w:after="144"/>
              <w:contextualSpacing/>
              <w:jc w:val="center"/>
              <w:rPr>
                <w:rFonts w:ascii="Calibri" w:eastAsia="Calibri" w:hAnsi="Calibri" w:cs="Calibri"/>
                <w:sz w:val="20"/>
                <w:szCs w:val="20"/>
                <w:lang w:eastAsia="en-GB"/>
              </w:rPr>
            </w:pPr>
            <w:r w:rsidRPr="009B5C65">
              <w:rPr>
                <w:rFonts w:ascii="Calibri" w:eastAsia="Times New Roman" w:hAnsi="Calibri" w:cs="Times New Roman"/>
                <w:color w:val="000000"/>
                <w:sz w:val="20"/>
                <w:szCs w:val="20"/>
                <w:lang w:eastAsia="en-GB"/>
              </w:rPr>
              <w:t>Italy (2011-2012)</w:t>
            </w:r>
          </w:p>
        </w:tc>
        <w:tc>
          <w:tcPr>
            <w:tcW w:w="1030" w:type="dxa"/>
            <w:vAlign w:val="center"/>
          </w:tcPr>
          <w:p w:rsidR="009B5C65" w:rsidRPr="009B5C65" w:rsidRDefault="009B5C65" w:rsidP="00673144">
            <w:pPr>
              <w:keepNext/>
              <w:keepLines/>
              <w:autoSpaceDE w:val="0"/>
              <w:autoSpaceDN w:val="0"/>
              <w:adjustRightInd w:val="0"/>
              <w:spacing w:beforeLines="60" w:before="144" w:afterLines="60" w:after="144"/>
              <w:contextualSpacing/>
              <w:jc w:val="center"/>
              <w:rPr>
                <w:rFonts w:ascii="Calibri" w:eastAsia="Calibri" w:hAnsi="Calibri" w:cs="Calibri"/>
                <w:sz w:val="20"/>
                <w:szCs w:val="20"/>
                <w:lang w:eastAsia="en-GB"/>
              </w:rPr>
            </w:pPr>
            <w:r w:rsidRPr="009B5C65">
              <w:rPr>
                <w:rFonts w:ascii="Calibri" w:eastAsia="Times New Roman" w:hAnsi="Calibri" w:cs="Times New Roman"/>
                <w:color w:val="000000"/>
                <w:sz w:val="20"/>
                <w:szCs w:val="20"/>
                <w:lang w:eastAsia="en-GB"/>
              </w:rPr>
              <w:t>Moderate</w:t>
            </w:r>
          </w:p>
        </w:tc>
        <w:tc>
          <w:tcPr>
            <w:tcW w:w="848" w:type="dxa"/>
            <w:vAlign w:val="center"/>
          </w:tcPr>
          <w:p w:rsidR="009B5C65" w:rsidRPr="009B5C65" w:rsidRDefault="009B5C65" w:rsidP="00673144">
            <w:pPr>
              <w:keepNext/>
              <w:keepLines/>
              <w:autoSpaceDE w:val="0"/>
              <w:autoSpaceDN w:val="0"/>
              <w:adjustRightInd w:val="0"/>
              <w:spacing w:beforeLines="60" w:before="144" w:afterLines="60" w:after="144"/>
              <w:contextualSpacing/>
              <w:jc w:val="center"/>
              <w:rPr>
                <w:rFonts w:ascii="Calibri" w:eastAsia="Calibri" w:hAnsi="Calibri" w:cs="Calibri"/>
                <w:sz w:val="20"/>
                <w:szCs w:val="20"/>
                <w:lang w:eastAsia="en-GB"/>
              </w:rPr>
            </w:pPr>
            <w:r w:rsidRPr="009B5C65">
              <w:rPr>
                <w:rFonts w:ascii="Calibri" w:eastAsia="Times New Roman" w:hAnsi="Calibri" w:cs="Times New Roman"/>
                <w:color w:val="000000"/>
                <w:sz w:val="20"/>
                <w:szCs w:val="20"/>
                <w:lang w:eastAsia="en-GB"/>
              </w:rPr>
              <w:t>313</w:t>
            </w:r>
          </w:p>
        </w:tc>
        <w:tc>
          <w:tcPr>
            <w:tcW w:w="2765" w:type="dxa"/>
            <w:vAlign w:val="center"/>
          </w:tcPr>
          <w:p w:rsidR="009B5C65" w:rsidRPr="009B5C65" w:rsidRDefault="009B5C65" w:rsidP="00673144">
            <w:pPr>
              <w:keepNext/>
              <w:keepLines/>
              <w:autoSpaceDE w:val="0"/>
              <w:autoSpaceDN w:val="0"/>
              <w:adjustRightInd w:val="0"/>
              <w:spacing w:beforeLines="60" w:before="144" w:afterLines="60" w:after="144"/>
              <w:contextualSpacing/>
              <w:jc w:val="center"/>
              <w:rPr>
                <w:rFonts w:ascii="Calibri" w:eastAsia="Calibri" w:hAnsi="Calibri" w:cs="Calibri"/>
                <w:sz w:val="20"/>
                <w:szCs w:val="20"/>
                <w:lang w:eastAsia="en-GB"/>
              </w:rPr>
            </w:pPr>
            <w:r w:rsidRPr="009B5C65">
              <w:rPr>
                <w:rFonts w:ascii="Calibri" w:eastAsia="Times New Roman" w:hAnsi="Calibri" w:cs="Times New Roman"/>
                <w:color w:val="000000"/>
                <w:sz w:val="20"/>
                <w:szCs w:val="20"/>
                <w:lang w:eastAsia="en-GB"/>
              </w:rPr>
              <w:t>4% (CASPAR)</w:t>
            </w:r>
          </w:p>
        </w:tc>
      </w:tr>
      <w:tr w:rsidR="009B5C65" w:rsidRPr="009B5C65" w:rsidTr="002F143B">
        <w:trPr>
          <w:cantSplit/>
          <w:trHeight w:val="353"/>
          <w:tblHeader/>
        </w:trPr>
        <w:tc>
          <w:tcPr>
            <w:tcW w:w="1923" w:type="dxa"/>
            <w:vAlign w:val="center"/>
          </w:tcPr>
          <w:p w:rsidR="009B5C65" w:rsidRPr="009B5C65" w:rsidRDefault="009B5C65" w:rsidP="00673144">
            <w:pPr>
              <w:keepNext/>
              <w:keepLines/>
              <w:spacing w:beforeLines="60" w:before="144" w:afterLines="60" w:after="144"/>
              <w:contextualSpacing/>
              <w:rPr>
                <w:rFonts w:ascii="Calibri" w:eastAsia="Calibri" w:hAnsi="Calibri" w:cs="Times New Roman"/>
                <w:sz w:val="20"/>
                <w:szCs w:val="20"/>
                <w:lang w:eastAsia="en-GB"/>
              </w:rPr>
            </w:pPr>
            <w:r w:rsidRPr="009B5C65">
              <w:rPr>
                <w:rFonts w:ascii="Calibri" w:eastAsia="Calibri" w:hAnsi="Calibri" w:cs="Times New Roman"/>
                <w:noProof/>
                <w:sz w:val="20"/>
                <w:szCs w:val="20"/>
                <w:lang w:eastAsia="en-GB"/>
              </w:rPr>
              <w:t xml:space="preserve">Mallbris (2005) </w:t>
            </w:r>
            <w:r w:rsidR="00FB1688">
              <w:rPr>
                <w:rFonts w:ascii="Calibri" w:eastAsia="Calibri" w:hAnsi="Calibri" w:cs="Times New Roman"/>
                <w:noProof/>
                <w:sz w:val="20"/>
                <w:szCs w:val="20"/>
                <w:lang w:eastAsia="en-GB"/>
              </w:rPr>
              <w:t>(</w:t>
            </w:r>
            <w:r w:rsidR="001B4738">
              <w:rPr>
                <w:rFonts w:ascii="Calibri" w:eastAsia="Calibri" w:hAnsi="Calibri" w:cs="Times New Roman"/>
                <w:noProof/>
                <w:sz w:val="20"/>
                <w:szCs w:val="20"/>
                <w:lang w:eastAsia="en-GB"/>
              </w:rPr>
              <w:t>19</w:t>
            </w:r>
            <w:r w:rsidR="00FB1688">
              <w:rPr>
                <w:rFonts w:ascii="Calibri" w:eastAsia="Calibri" w:hAnsi="Calibri" w:cs="Times New Roman"/>
                <w:noProof/>
                <w:sz w:val="20"/>
                <w:szCs w:val="20"/>
                <w:lang w:eastAsia="en-GB"/>
              </w:rPr>
              <w:t>)</w:t>
            </w:r>
          </w:p>
        </w:tc>
        <w:tc>
          <w:tcPr>
            <w:tcW w:w="2450" w:type="dxa"/>
            <w:vAlign w:val="center"/>
          </w:tcPr>
          <w:p w:rsidR="009B5C65" w:rsidRPr="009B5C65" w:rsidRDefault="009B5C65" w:rsidP="00673144">
            <w:pPr>
              <w:keepNext/>
              <w:keepLines/>
              <w:autoSpaceDE w:val="0"/>
              <w:autoSpaceDN w:val="0"/>
              <w:adjustRightInd w:val="0"/>
              <w:spacing w:beforeLines="60" w:before="144" w:afterLines="60" w:after="144"/>
              <w:contextualSpacing/>
              <w:jc w:val="center"/>
              <w:rPr>
                <w:rFonts w:ascii="Calibri" w:eastAsia="Calibri" w:hAnsi="Calibri" w:cs="Calibri"/>
                <w:sz w:val="20"/>
                <w:szCs w:val="20"/>
                <w:lang w:eastAsia="en-GB"/>
              </w:rPr>
            </w:pPr>
            <w:r w:rsidRPr="009B5C65">
              <w:rPr>
                <w:rFonts w:ascii="Calibri" w:eastAsia="Calibri" w:hAnsi="Calibri" w:cs="Calibri"/>
                <w:sz w:val="20"/>
                <w:szCs w:val="20"/>
                <w:lang w:eastAsia="en-GB"/>
              </w:rPr>
              <w:t>Sweden (2001-3)</w:t>
            </w:r>
          </w:p>
        </w:tc>
        <w:tc>
          <w:tcPr>
            <w:tcW w:w="1030" w:type="dxa"/>
            <w:vAlign w:val="center"/>
          </w:tcPr>
          <w:p w:rsidR="009B5C65" w:rsidRPr="009B5C65" w:rsidRDefault="009B5C65" w:rsidP="00673144">
            <w:pPr>
              <w:keepNext/>
              <w:keepLines/>
              <w:autoSpaceDE w:val="0"/>
              <w:autoSpaceDN w:val="0"/>
              <w:adjustRightInd w:val="0"/>
              <w:spacing w:beforeLines="60" w:before="144" w:afterLines="60" w:after="144"/>
              <w:contextualSpacing/>
              <w:jc w:val="center"/>
              <w:rPr>
                <w:rFonts w:ascii="Calibri" w:eastAsia="Calibri" w:hAnsi="Calibri" w:cs="Calibri"/>
                <w:sz w:val="20"/>
                <w:szCs w:val="20"/>
                <w:lang w:eastAsia="en-GB"/>
              </w:rPr>
            </w:pPr>
            <w:r w:rsidRPr="009B5C65">
              <w:rPr>
                <w:rFonts w:ascii="Calibri" w:eastAsia="Calibri" w:hAnsi="Calibri" w:cs="Calibri"/>
                <w:sz w:val="20"/>
                <w:szCs w:val="20"/>
                <w:lang w:eastAsia="en-GB"/>
              </w:rPr>
              <w:t xml:space="preserve">Low </w:t>
            </w:r>
          </w:p>
        </w:tc>
        <w:tc>
          <w:tcPr>
            <w:tcW w:w="848" w:type="dxa"/>
            <w:vAlign w:val="center"/>
          </w:tcPr>
          <w:p w:rsidR="009B5C65" w:rsidRPr="009B5C65" w:rsidRDefault="009B5C65" w:rsidP="00673144">
            <w:pPr>
              <w:keepNext/>
              <w:keepLines/>
              <w:autoSpaceDE w:val="0"/>
              <w:autoSpaceDN w:val="0"/>
              <w:adjustRightInd w:val="0"/>
              <w:spacing w:beforeLines="60" w:before="144" w:afterLines="60" w:after="144"/>
              <w:contextualSpacing/>
              <w:jc w:val="center"/>
              <w:rPr>
                <w:rFonts w:ascii="Calibri" w:eastAsia="Calibri" w:hAnsi="Calibri" w:cs="Calibri"/>
                <w:sz w:val="20"/>
                <w:szCs w:val="20"/>
                <w:lang w:eastAsia="en-GB"/>
              </w:rPr>
            </w:pPr>
            <w:r w:rsidRPr="009B5C65">
              <w:rPr>
                <w:rFonts w:ascii="Calibri" w:eastAsia="Calibri" w:hAnsi="Calibri" w:cs="Calibri"/>
                <w:sz w:val="20"/>
                <w:szCs w:val="20"/>
                <w:lang w:eastAsia="en-GB"/>
              </w:rPr>
              <w:t>400</w:t>
            </w:r>
          </w:p>
        </w:tc>
        <w:tc>
          <w:tcPr>
            <w:tcW w:w="2765" w:type="dxa"/>
            <w:vAlign w:val="center"/>
          </w:tcPr>
          <w:p w:rsidR="009B5C65" w:rsidRPr="009B5C65" w:rsidRDefault="009B5C65" w:rsidP="00673144">
            <w:pPr>
              <w:keepNext/>
              <w:keepLines/>
              <w:autoSpaceDE w:val="0"/>
              <w:autoSpaceDN w:val="0"/>
              <w:adjustRightInd w:val="0"/>
              <w:spacing w:beforeLines="60" w:before="144" w:afterLines="60" w:after="144"/>
              <w:contextualSpacing/>
              <w:jc w:val="center"/>
              <w:rPr>
                <w:rFonts w:ascii="Calibri" w:eastAsia="Calibri" w:hAnsi="Calibri" w:cs="Calibri"/>
                <w:sz w:val="20"/>
                <w:szCs w:val="20"/>
                <w:lang w:eastAsia="en-GB"/>
              </w:rPr>
            </w:pPr>
            <w:r w:rsidRPr="009B5C65">
              <w:rPr>
                <w:rFonts w:ascii="Calibri" w:eastAsia="Calibri" w:hAnsi="Calibri" w:cs="Calibri"/>
                <w:sz w:val="20"/>
                <w:szCs w:val="20"/>
                <w:lang w:eastAsia="en-GB"/>
              </w:rPr>
              <w:t>17% (incidence)</w:t>
            </w:r>
          </w:p>
        </w:tc>
      </w:tr>
    </w:tbl>
    <w:p w:rsidR="009B5C65" w:rsidRPr="00304385" w:rsidRDefault="009B5C65" w:rsidP="00673144">
      <w:pPr>
        <w:keepNext/>
        <w:keepLines/>
        <w:rPr>
          <w:rFonts w:cs="Times New Roman"/>
          <w:szCs w:val="24"/>
          <w:lang w:eastAsia="en-GB"/>
        </w:rPr>
      </w:pPr>
      <w:r w:rsidRPr="00304385">
        <w:rPr>
          <w:rFonts w:cs="Times New Roman"/>
          <w:sz w:val="20"/>
          <w:szCs w:val="20"/>
          <w:lang w:eastAsia="en-GB"/>
        </w:rPr>
        <w:t xml:space="preserve">CASPAR = Classification Criteria for Psoriatic Arthritis; excl = excluding; </w:t>
      </w:r>
      <w:r w:rsidRPr="003A20F9">
        <w:rPr>
          <w:rFonts w:cs="Times New Roman"/>
          <w:noProof/>
          <w:sz w:val="20"/>
          <w:szCs w:val="20"/>
          <w:lang w:eastAsia="en-GB"/>
        </w:rPr>
        <w:t>PsO</w:t>
      </w:r>
      <w:r w:rsidRPr="00304385">
        <w:rPr>
          <w:rFonts w:cs="Times New Roman"/>
          <w:sz w:val="20"/>
          <w:szCs w:val="20"/>
          <w:lang w:eastAsia="en-GB"/>
        </w:rPr>
        <w:t xml:space="preserve"> = psoriasis; UK = United Kingdom; USA = United States of America</w:t>
      </w:r>
    </w:p>
    <w:p w:rsidR="00673144" w:rsidRDefault="00673144">
      <w:pPr>
        <w:spacing w:line="276" w:lineRule="auto"/>
        <w:rPr>
          <w:rFonts w:eastAsiaTheme="majorEastAsia" w:cstheme="majorBidi"/>
          <w:b/>
          <w:bCs/>
          <w:color w:val="548DD4" w:themeColor="text2" w:themeTint="99"/>
          <w:sz w:val="40"/>
          <w:szCs w:val="40"/>
        </w:rPr>
      </w:pPr>
      <w:bookmarkStart w:id="221" w:name="_Ref493149224"/>
      <w:bookmarkStart w:id="222" w:name="_Toc493156413"/>
      <w:r>
        <w:br w:type="page"/>
      </w:r>
    </w:p>
    <w:p w:rsidR="00D135DD" w:rsidRPr="004A1880" w:rsidRDefault="00D135DD" w:rsidP="00D135DD">
      <w:pPr>
        <w:pStyle w:val="Heading1"/>
      </w:pPr>
      <w:bookmarkStart w:id="223" w:name="_Toc501632388"/>
      <w:r w:rsidRPr="004A1880">
        <w:t xml:space="preserve">Appendix </w:t>
      </w:r>
      <w:r w:rsidR="00154617">
        <w:t>C</w:t>
      </w:r>
      <w:r w:rsidRPr="004A1880">
        <w:t xml:space="preserve"> – </w:t>
      </w:r>
      <w:r w:rsidR="00C0168F">
        <w:t xml:space="preserve">ToR 3: </w:t>
      </w:r>
      <w:r w:rsidRPr="004A1880">
        <w:t>PBS utilisation analysis</w:t>
      </w:r>
      <w:bookmarkEnd w:id="221"/>
      <w:bookmarkEnd w:id="222"/>
      <w:bookmarkEnd w:id="223"/>
    </w:p>
    <w:p w:rsidR="00D135DD" w:rsidRDefault="00D135DD" w:rsidP="007C694E">
      <w:pPr>
        <w:pStyle w:val="MDSubheading"/>
      </w:pPr>
      <w:bookmarkStart w:id="224" w:name="_Toc501632389"/>
      <w:r>
        <w:t>Methods</w:t>
      </w:r>
      <w:bookmarkEnd w:id="224"/>
    </w:p>
    <w:p w:rsidR="00D135DD" w:rsidRDefault="00D135DD" w:rsidP="00D135DD">
      <w:r w:rsidRPr="00EF6261">
        <w:t>The results presented in this section relate to the same cohort of patients who were described in the main body (see Section 3.</w:t>
      </w:r>
      <w:r>
        <w:t>4).</w:t>
      </w:r>
      <w:r w:rsidRPr="00EF6261">
        <w:t xml:space="preserve"> </w:t>
      </w:r>
      <w:r>
        <w:t>Howe</w:t>
      </w:r>
      <w:r w:rsidRPr="00EF6261">
        <w:t>ver</w:t>
      </w:r>
      <w:r>
        <w:t>, in these analyses</w:t>
      </w:r>
      <w:r w:rsidRPr="00EF6261">
        <w:t xml:space="preserve"> follow-up was not capped at 18 months. </w:t>
      </w:r>
      <w:r w:rsidR="007F6ACD" w:rsidRPr="00EF6261">
        <w:t>Instead,</w:t>
      </w:r>
      <w:r w:rsidRPr="00EF6261">
        <w:t xml:space="preserve"> patients were censored at the end of the data collection period, 31 December 2016. The minimum follow-up was still 18 months for all patients in this analysis but some patients had longer follow-up than others (i.e. follow-up ranged between 18 months and 30 months).</w:t>
      </w:r>
    </w:p>
    <w:p w:rsidR="00D135DD" w:rsidRDefault="00D135DD" w:rsidP="007C694E">
      <w:pPr>
        <w:pStyle w:val="MDSubheading"/>
      </w:pPr>
      <w:bookmarkStart w:id="225" w:name="_Toc501632390"/>
      <w:r w:rsidRPr="00EF6261">
        <w:t>Results</w:t>
      </w:r>
      <w:bookmarkEnd w:id="225"/>
    </w:p>
    <w:p w:rsidR="00906763" w:rsidRDefault="00906763" w:rsidP="007C694E">
      <w:pPr>
        <w:pStyle w:val="MDSubsubheding"/>
      </w:pPr>
      <w:bookmarkStart w:id="226" w:name="_Toc501632391"/>
      <w:r w:rsidRPr="005A6D02">
        <w:t>Persistence with first biologic</w:t>
      </w:r>
      <w:r>
        <w:t xml:space="preserve"> for </w:t>
      </w:r>
      <w:r w:rsidRPr="002E09D3">
        <w:t>severe CPP on the PBS</w:t>
      </w:r>
      <w:bookmarkEnd w:id="226"/>
    </w:p>
    <w:p w:rsidR="00906763" w:rsidRDefault="00906763" w:rsidP="00906763">
      <w:pPr>
        <w:keepNext/>
      </w:pPr>
      <w:r w:rsidRPr="00192482">
        <w:rPr>
          <w:noProof/>
          <w:lang w:val="en-AU"/>
        </w:rPr>
        <w:drawing>
          <wp:inline distT="0" distB="0" distL="0" distR="0" wp14:anchorId="20CF7845" wp14:editId="5245A923">
            <wp:extent cx="5731510" cy="4326680"/>
            <wp:effectExtent l="19050" t="19050" r="21590" b="17145"/>
            <wp:docPr id="31" name="Picture 31" title="Persistence with first biologic for severe CP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731510" cy="4326680"/>
                    </a:xfrm>
                    <a:prstGeom prst="rect">
                      <a:avLst/>
                    </a:prstGeom>
                    <a:noFill/>
                    <a:ln>
                      <a:solidFill>
                        <a:schemeClr val="tx1"/>
                      </a:solidFill>
                    </a:ln>
                  </pic:spPr>
                </pic:pic>
              </a:graphicData>
            </a:graphic>
          </wp:inline>
        </w:drawing>
      </w:r>
    </w:p>
    <w:p w:rsidR="00906763" w:rsidRPr="00B30599" w:rsidRDefault="00906763" w:rsidP="00906763">
      <w:pPr>
        <w:pStyle w:val="Figure"/>
      </w:pPr>
      <w:bookmarkStart w:id="227" w:name="_Toc501632433"/>
      <w:r>
        <w:t xml:space="preserve">Figure </w:t>
      </w:r>
      <w:r w:rsidR="0086184A">
        <w:rPr>
          <w:noProof/>
        </w:rPr>
        <w:t>14</w:t>
      </w:r>
      <w:r>
        <w:t>:</w:t>
      </w:r>
      <w:r w:rsidRPr="00B30599">
        <w:t xml:space="preserve"> </w:t>
      </w:r>
      <w:r w:rsidRPr="0085022D">
        <w:t xml:space="preserve">Persistence with </w:t>
      </w:r>
      <w:r>
        <w:t xml:space="preserve">first </w:t>
      </w:r>
      <w:r w:rsidRPr="0085022D">
        <w:t>biologic for severe CPP</w:t>
      </w:r>
      <w:bookmarkEnd w:id="227"/>
    </w:p>
    <w:p w:rsidR="00906763" w:rsidRPr="009C1295" w:rsidRDefault="00906763" w:rsidP="00906763">
      <w:pPr>
        <w:pStyle w:val="TableFootnote0"/>
        <w:spacing w:after="0"/>
      </w:pPr>
      <w:r w:rsidRPr="009C1295">
        <w:t>Source: DHS Supplied prescriptions database</w:t>
      </w:r>
      <w:r w:rsidR="00C46508">
        <w:t xml:space="preserve"> (date of supply)</w:t>
      </w:r>
      <w:r w:rsidRPr="009C1295">
        <w:t>, extracted May 2017</w:t>
      </w:r>
    </w:p>
    <w:p w:rsidR="00906763" w:rsidRDefault="00B06234" w:rsidP="00906763">
      <w:pPr>
        <w:pStyle w:val="TableFootnote0"/>
        <w:spacing w:after="0"/>
      </w:pPr>
      <w:r>
        <w:t>CPP = chronic plaque psoriasis</w:t>
      </w:r>
    </w:p>
    <w:p w:rsidR="00906763" w:rsidRDefault="00906763" w:rsidP="00906763"/>
    <w:p w:rsidR="00906763" w:rsidRDefault="00906763" w:rsidP="00906763">
      <w:pPr>
        <w:keepNext/>
      </w:pPr>
      <w:r w:rsidRPr="00192482">
        <w:rPr>
          <w:noProof/>
          <w:lang w:val="en-AU"/>
        </w:rPr>
        <w:drawing>
          <wp:inline distT="0" distB="0" distL="0" distR="0" wp14:anchorId="557674C9" wp14:editId="3C6B3164">
            <wp:extent cx="5731510" cy="4326680"/>
            <wp:effectExtent l="19050" t="19050" r="21590" b="17145"/>
            <wp:docPr id="32" name="Picture 32" title="Persistence with first biologic for severe CP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731510" cy="4326680"/>
                    </a:xfrm>
                    <a:prstGeom prst="rect">
                      <a:avLst/>
                    </a:prstGeom>
                    <a:noFill/>
                    <a:ln>
                      <a:solidFill>
                        <a:schemeClr val="tx1"/>
                      </a:solidFill>
                    </a:ln>
                  </pic:spPr>
                </pic:pic>
              </a:graphicData>
            </a:graphic>
          </wp:inline>
        </w:drawing>
      </w:r>
    </w:p>
    <w:p w:rsidR="00906763" w:rsidRPr="00B30599" w:rsidRDefault="00906763" w:rsidP="00906763">
      <w:pPr>
        <w:pStyle w:val="Figure"/>
      </w:pPr>
      <w:bookmarkStart w:id="228" w:name="_Toc501632434"/>
      <w:r>
        <w:t xml:space="preserve">Figure </w:t>
      </w:r>
      <w:r w:rsidR="0086184A">
        <w:rPr>
          <w:noProof/>
        </w:rPr>
        <w:t>15</w:t>
      </w:r>
      <w:r>
        <w:t>:</w:t>
      </w:r>
      <w:r w:rsidRPr="00B30599">
        <w:t xml:space="preserve"> </w:t>
      </w:r>
      <w:r w:rsidRPr="0085022D">
        <w:t xml:space="preserve">Persistence with </w:t>
      </w:r>
      <w:r>
        <w:t xml:space="preserve">first </w:t>
      </w:r>
      <w:r w:rsidRPr="0085022D">
        <w:t>biologic for severe CPP</w:t>
      </w:r>
      <w:bookmarkEnd w:id="228"/>
    </w:p>
    <w:p w:rsidR="00906763" w:rsidRPr="009C1295" w:rsidRDefault="00906763" w:rsidP="00906763">
      <w:pPr>
        <w:pStyle w:val="TableFootnote0"/>
        <w:spacing w:after="0"/>
      </w:pPr>
      <w:r w:rsidRPr="009C1295">
        <w:t>Source: DHS Supplied prescriptions database</w:t>
      </w:r>
      <w:r w:rsidR="00C46508">
        <w:t xml:space="preserve"> (date of supply)</w:t>
      </w:r>
      <w:r w:rsidRPr="009C1295">
        <w:t>, extracted May 2017</w:t>
      </w:r>
    </w:p>
    <w:p w:rsidR="00906763" w:rsidRDefault="00B06234" w:rsidP="00906763">
      <w:pPr>
        <w:pStyle w:val="TableFootnote0"/>
        <w:spacing w:after="0"/>
      </w:pPr>
      <w:r>
        <w:t>CPP = chronic plaque psoriasis</w:t>
      </w:r>
    </w:p>
    <w:p w:rsidR="00906763" w:rsidRPr="000A4FA9" w:rsidRDefault="00906763" w:rsidP="00906763"/>
    <w:p w:rsidR="00906763" w:rsidRPr="00EF6261" w:rsidRDefault="00906763" w:rsidP="00D135DD">
      <w:pPr>
        <w:pStyle w:val="Sub-heading"/>
      </w:pPr>
    </w:p>
    <w:p w:rsidR="00D135DD" w:rsidRPr="00EF6261" w:rsidRDefault="00906763" w:rsidP="007C694E">
      <w:pPr>
        <w:pStyle w:val="MDSubsubheding"/>
      </w:pPr>
      <w:bookmarkStart w:id="229" w:name="_Toc501632392"/>
      <w:r>
        <w:t>Overall p</w:t>
      </w:r>
      <w:r w:rsidR="00D135DD" w:rsidRPr="00EF6261">
        <w:t>ersistence on treatment with biologics</w:t>
      </w:r>
      <w:bookmarkEnd w:id="229"/>
      <w:r w:rsidR="00D135DD" w:rsidRPr="00EF6261">
        <w:t xml:space="preserve">  </w:t>
      </w:r>
    </w:p>
    <w:p w:rsidR="00D135DD" w:rsidRDefault="00D135DD" w:rsidP="00D135DD">
      <w:pPr>
        <w:keepNext/>
      </w:pPr>
      <w:r w:rsidRPr="00E1643C">
        <w:rPr>
          <w:noProof/>
          <w:lang w:val="en-AU"/>
        </w:rPr>
        <w:drawing>
          <wp:inline distT="0" distB="0" distL="0" distR="0" wp14:anchorId="77529228" wp14:editId="35BDF7A7">
            <wp:extent cx="5442508" cy="4110978"/>
            <wp:effectExtent l="19050" t="19050" r="25400" b="23495"/>
            <wp:docPr id="36" name="Picture 36" title="Overall persistence with biologics for severe CPP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446689" cy="4114136"/>
                    </a:xfrm>
                    <a:prstGeom prst="rect">
                      <a:avLst/>
                    </a:prstGeom>
                    <a:noFill/>
                    <a:ln w="3175">
                      <a:solidFill>
                        <a:schemeClr val="tx1"/>
                      </a:solidFill>
                    </a:ln>
                  </pic:spPr>
                </pic:pic>
              </a:graphicData>
            </a:graphic>
          </wp:inline>
        </w:drawing>
      </w:r>
    </w:p>
    <w:p w:rsidR="00D135DD" w:rsidRDefault="00D135DD" w:rsidP="00D135DD">
      <w:pPr>
        <w:pStyle w:val="MDFiguretitle"/>
      </w:pPr>
      <w:bookmarkStart w:id="230" w:name="_Toc501632435"/>
      <w:r>
        <w:t xml:space="preserve">Figure </w:t>
      </w:r>
      <w:r w:rsidR="0086184A">
        <w:rPr>
          <w:noProof/>
        </w:rPr>
        <w:t>16</w:t>
      </w:r>
      <w:r w:rsidR="00906763">
        <w:t>: Overall p</w:t>
      </w:r>
      <w:r w:rsidRPr="00EF6261">
        <w:t>ersistence with biologics for severe CPP</w:t>
      </w:r>
      <w:bookmarkEnd w:id="230"/>
      <w:r w:rsidRPr="00EF6261">
        <w:t xml:space="preserve"> </w:t>
      </w:r>
    </w:p>
    <w:p w:rsidR="00D135DD" w:rsidRDefault="00D135DD" w:rsidP="00377494">
      <w:pPr>
        <w:pStyle w:val="Figurecaption"/>
      </w:pPr>
      <w:r w:rsidRPr="00221B88">
        <w:t>Source: DHS Supplied prescriptions database</w:t>
      </w:r>
      <w:r w:rsidR="00C46508">
        <w:t xml:space="preserve"> (date of supply)</w:t>
      </w:r>
      <w:r w:rsidRPr="00221B88">
        <w:t>, extracted May 2017</w:t>
      </w:r>
    </w:p>
    <w:p w:rsidR="00D135DD" w:rsidRPr="00221B88" w:rsidRDefault="00D135DD" w:rsidP="00D135DD">
      <w:pPr>
        <w:pStyle w:val="TableFootnote0"/>
        <w:spacing w:after="0"/>
      </w:pPr>
    </w:p>
    <w:p w:rsidR="00D135DD" w:rsidRPr="00E1643C" w:rsidRDefault="00D135DD" w:rsidP="00D135DD">
      <w:pPr>
        <w:pStyle w:val="Figure"/>
      </w:pPr>
    </w:p>
    <w:p w:rsidR="00D135DD" w:rsidRDefault="00D135DD" w:rsidP="007C694E">
      <w:pPr>
        <w:pStyle w:val="MDSubsubheding"/>
      </w:pPr>
      <w:bookmarkStart w:id="231" w:name="_Toc501632393"/>
      <w:r w:rsidRPr="003F1A49">
        <w:t>Treatment holidays from biologic treatment on the PBS</w:t>
      </w:r>
      <w:bookmarkEnd w:id="231"/>
    </w:p>
    <w:p w:rsidR="00D135DD" w:rsidRDefault="00D135DD" w:rsidP="007F6ACD">
      <w:r>
        <w:rPr>
          <w:noProof/>
          <w:lang w:val="en-AU"/>
        </w:rPr>
        <w:drawing>
          <wp:inline distT="0" distB="0" distL="0" distR="0" wp14:anchorId="53D28387" wp14:editId="4E0CC548">
            <wp:extent cx="5730875" cy="4322445"/>
            <wp:effectExtent l="19050" t="19050" r="22225" b="20955"/>
            <wp:docPr id="35" name="Picture 35" title="Time spent on treatment with biologics prior to treatment holid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730875" cy="4322445"/>
                    </a:xfrm>
                    <a:prstGeom prst="rect">
                      <a:avLst/>
                    </a:prstGeom>
                    <a:noFill/>
                    <a:ln w="3175">
                      <a:solidFill>
                        <a:schemeClr val="tx1"/>
                      </a:solidFill>
                    </a:ln>
                  </pic:spPr>
                </pic:pic>
              </a:graphicData>
            </a:graphic>
          </wp:inline>
        </w:drawing>
      </w:r>
    </w:p>
    <w:p w:rsidR="00D135DD" w:rsidRDefault="00D135DD" w:rsidP="00D135DD">
      <w:pPr>
        <w:pStyle w:val="Figure"/>
        <w:rPr>
          <w:u w:val="single"/>
        </w:rPr>
      </w:pPr>
      <w:bookmarkStart w:id="232" w:name="_Toc501632436"/>
      <w:r>
        <w:t xml:space="preserve">Figure </w:t>
      </w:r>
      <w:r w:rsidR="0086184A">
        <w:rPr>
          <w:noProof/>
        </w:rPr>
        <w:t>17</w:t>
      </w:r>
      <w:r>
        <w:t xml:space="preserve">: </w:t>
      </w:r>
      <w:r w:rsidRPr="00033E57">
        <w:t>Time spent on treatment with biologics prior to treatment holiday</w:t>
      </w:r>
      <w:bookmarkEnd w:id="232"/>
    </w:p>
    <w:p w:rsidR="00D135DD" w:rsidRPr="008540ED" w:rsidRDefault="00D135DD" w:rsidP="00377494">
      <w:pPr>
        <w:pStyle w:val="Figurecaption"/>
      </w:pPr>
      <w:r w:rsidRPr="008540ED">
        <w:t>Source: DHS Supplied prescriptions database</w:t>
      </w:r>
      <w:r w:rsidR="00C46508">
        <w:t xml:space="preserve"> (date of supply)</w:t>
      </w:r>
      <w:r w:rsidRPr="008540ED">
        <w:t>, extracted May 2017</w:t>
      </w:r>
    </w:p>
    <w:p w:rsidR="00D135DD" w:rsidRDefault="00D135DD" w:rsidP="007F6ACD">
      <w:r>
        <w:rPr>
          <w:noProof/>
          <w:lang w:val="en-AU"/>
        </w:rPr>
        <w:drawing>
          <wp:inline distT="0" distB="0" distL="0" distR="0" wp14:anchorId="5AF942EE" wp14:editId="27899441">
            <wp:extent cx="5755005" cy="4352925"/>
            <wp:effectExtent l="0" t="0" r="0" b="9525"/>
            <wp:docPr id="26" name="Picture 26" title="Time spent on treatment with biologics prior to treatment holiday by biolog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755005" cy="4352925"/>
                    </a:xfrm>
                    <a:prstGeom prst="rect">
                      <a:avLst/>
                    </a:prstGeom>
                    <a:noFill/>
                    <a:ln>
                      <a:noFill/>
                    </a:ln>
                  </pic:spPr>
                </pic:pic>
              </a:graphicData>
            </a:graphic>
          </wp:inline>
        </w:drawing>
      </w:r>
    </w:p>
    <w:p w:rsidR="00D135DD" w:rsidRDefault="00D135DD" w:rsidP="00D135DD">
      <w:pPr>
        <w:pStyle w:val="Figure"/>
      </w:pPr>
      <w:bookmarkStart w:id="233" w:name="_Toc501632437"/>
      <w:r>
        <w:t xml:space="preserve">Figure </w:t>
      </w:r>
      <w:r w:rsidR="0086184A">
        <w:rPr>
          <w:noProof/>
        </w:rPr>
        <w:t>18</w:t>
      </w:r>
      <w:r>
        <w:t xml:space="preserve">: </w:t>
      </w:r>
      <w:r w:rsidRPr="004955A1">
        <w:t>Time spent on treatment with biologics prior to treatment holiday by</w:t>
      </w:r>
      <w:r>
        <w:t xml:space="preserve"> biologic</w:t>
      </w:r>
      <w:bookmarkEnd w:id="233"/>
    </w:p>
    <w:p w:rsidR="00D135DD" w:rsidRPr="006B56C5" w:rsidRDefault="00D135DD" w:rsidP="00377494">
      <w:pPr>
        <w:pStyle w:val="Figurecaption"/>
        <w:rPr>
          <w:u w:val="single"/>
        </w:rPr>
      </w:pPr>
      <w:r w:rsidRPr="0092606C">
        <w:t>Source: DHS Supplied prescriptions database</w:t>
      </w:r>
      <w:r w:rsidR="00A147E2">
        <w:t xml:space="preserve"> (date of supply)</w:t>
      </w:r>
      <w:r w:rsidRPr="0092606C">
        <w:t>, extracted May 2017</w:t>
      </w:r>
    </w:p>
    <w:p w:rsidR="00D135DD" w:rsidRPr="007877B8" w:rsidRDefault="00D135DD" w:rsidP="007C694E">
      <w:pPr>
        <w:pStyle w:val="MDSubsubheding"/>
      </w:pPr>
      <w:bookmarkStart w:id="234" w:name="_Toc501632394"/>
      <w:r>
        <w:t>Switching between biologic medicines on the PBS</w:t>
      </w:r>
      <w:bookmarkEnd w:id="234"/>
    </w:p>
    <w:p w:rsidR="00D135DD" w:rsidRDefault="00D135DD" w:rsidP="00D135DD">
      <w:pPr>
        <w:keepNext/>
        <w:keepLines/>
      </w:pPr>
      <w:r w:rsidRPr="00EC00EB">
        <w:rPr>
          <w:noProof/>
          <w:lang w:val="en-AU"/>
        </w:rPr>
        <w:drawing>
          <wp:inline distT="0" distB="0" distL="0" distR="0" wp14:anchorId="64095BC0" wp14:editId="5611C24B">
            <wp:extent cx="5731510" cy="4326680"/>
            <wp:effectExtent l="19050" t="19050" r="21590" b="17145"/>
            <wp:docPr id="27" name="Picture 27" title="Length of time spent on treatment with first biologic prior to switching to a different biolog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731510" cy="4326680"/>
                    </a:xfrm>
                    <a:prstGeom prst="rect">
                      <a:avLst/>
                    </a:prstGeom>
                    <a:noFill/>
                    <a:ln>
                      <a:solidFill>
                        <a:schemeClr val="tx1"/>
                      </a:solidFill>
                    </a:ln>
                  </pic:spPr>
                </pic:pic>
              </a:graphicData>
            </a:graphic>
          </wp:inline>
        </w:drawing>
      </w:r>
    </w:p>
    <w:p w:rsidR="00D135DD" w:rsidRDefault="00D135DD" w:rsidP="00D135DD">
      <w:pPr>
        <w:pStyle w:val="Figure"/>
      </w:pPr>
      <w:bookmarkStart w:id="235" w:name="_Toc501632438"/>
      <w:r>
        <w:t xml:space="preserve">Figure </w:t>
      </w:r>
      <w:r w:rsidR="0086184A">
        <w:rPr>
          <w:noProof/>
        </w:rPr>
        <w:t>19</w:t>
      </w:r>
      <w:r>
        <w:t xml:space="preserve">: </w:t>
      </w:r>
      <w:r w:rsidRPr="00C53197">
        <w:t xml:space="preserve">Length of time spent on treatment with first biologic prior to switching to a different </w:t>
      </w:r>
      <w:r>
        <w:t>biologic</w:t>
      </w:r>
      <w:bookmarkEnd w:id="235"/>
    </w:p>
    <w:p w:rsidR="00D135DD" w:rsidRDefault="00D135DD" w:rsidP="00377494">
      <w:pPr>
        <w:pStyle w:val="Figurecaption"/>
      </w:pPr>
      <w:r w:rsidRPr="0092606C">
        <w:t>Source: DHS Supplied prescriptions database</w:t>
      </w:r>
      <w:r w:rsidR="00A147E2">
        <w:t xml:space="preserve"> (date of supply)</w:t>
      </w:r>
      <w:r w:rsidRPr="0092606C">
        <w:t>, extracted May 2017</w:t>
      </w:r>
    </w:p>
    <w:p w:rsidR="00D135DD" w:rsidRDefault="00B06234" w:rsidP="00377494">
      <w:pPr>
        <w:pStyle w:val="Figurecaption"/>
      </w:pPr>
      <w:r>
        <w:t>CPP = chronic plaque psoriasis</w:t>
      </w:r>
    </w:p>
    <w:p w:rsidR="00D135DD" w:rsidRDefault="00D135DD" w:rsidP="00D135DD">
      <w:pPr>
        <w:keepNext/>
      </w:pPr>
      <w:r w:rsidRPr="008A08ED">
        <w:rPr>
          <w:noProof/>
          <w:lang w:val="en-AU"/>
        </w:rPr>
        <w:drawing>
          <wp:inline distT="0" distB="0" distL="0" distR="0" wp14:anchorId="0257A685" wp14:editId="779BE5AC">
            <wp:extent cx="5731510" cy="4326680"/>
            <wp:effectExtent l="19050" t="19050" r="21590" b="17145"/>
            <wp:docPr id="28" name="Picture 28" title="Length of time spent on treatment with first biologic prior to switching to a different biologic by biolog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731510" cy="4326680"/>
                    </a:xfrm>
                    <a:prstGeom prst="rect">
                      <a:avLst/>
                    </a:prstGeom>
                    <a:noFill/>
                    <a:ln>
                      <a:solidFill>
                        <a:schemeClr val="tx1"/>
                      </a:solidFill>
                    </a:ln>
                  </pic:spPr>
                </pic:pic>
              </a:graphicData>
            </a:graphic>
          </wp:inline>
        </w:drawing>
      </w:r>
    </w:p>
    <w:p w:rsidR="00D135DD" w:rsidRPr="00C53197" w:rsidRDefault="00D135DD" w:rsidP="00D135DD">
      <w:pPr>
        <w:pStyle w:val="Figure"/>
      </w:pPr>
      <w:bookmarkStart w:id="236" w:name="_Toc501632439"/>
      <w:r>
        <w:t xml:space="preserve">Figure </w:t>
      </w:r>
      <w:r w:rsidR="0086184A">
        <w:rPr>
          <w:noProof/>
        </w:rPr>
        <w:t>20</w:t>
      </w:r>
      <w:r w:rsidRPr="00C53197">
        <w:t xml:space="preserve">: Length of time spent on treatment with first biologic prior to switching to a different </w:t>
      </w:r>
      <w:r>
        <w:t>biologic by biologic</w:t>
      </w:r>
      <w:bookmarkEnd w:id="236"/>
    </w:p>
    <w:p w:rsidR="00D135DD" w:rsidRPr="0092606C" w:rsidRDefault="00D135DD" w:rsidP="00D135DD">
      <w:pPr>
        <w:pStyle w:val="TableFootnote0"/>
        <w:keepLines/>
        <w:spacing w:after="0"/>
      </w:pPr>
      <w:r w:rsidRPr="0092606C">
        <w:t>Source: DHS Supplied prescriptions database</w:t>
      </w:r>
      <w:r w:rsidR="00A147E2">
        <w:t xml:space="preserve"> (date of supply)</w:t>
      </w:r>
      <w:r w:rsidRPr="0092606C">
        <w:t>, extracted May 2017</w:t>
      </w:r>
    </w:p>
    <w:p w:rsidR="00D135DD" w:rsidRDefault="00B06234" w:rsidP="00D135DD">
      <w:pPr>
        <w:pStyle w:val="TableFootnote0"/>
        <w:keepLines/>
        <w:spacing w:after="0"/>
      </w:pPr>
      <w:r>
        <w:t>CPP = chronic plaque psoriasis</w:t>
      </w:r>
    </w:p>
    <w:p w:rsidR="00071F2B" w:rsidRPr="00651E2E" w:rsidRDefault="00071F2B" w:rsidP="00E7072A"/>
    <w:sectPr w:rsidR="00071F2B" w:rsidRPr="00651E2E" w:rsidSect="00005CD4">
      <w:pgSz w:w="11906" w:h="16838"/>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177E" w:rsidRDefault="00E6177E" w:rsidP="00E7072A">
      <w:r>
        <w:separator/>
      </w:r>
    </w:p>
  </w:endnote>
  <w:endnote w:type="continuationSeparator" w:id="0">
    <w:p w:rsidR="00E6177E" w:rsidRDefault="00E6177E" w:rsidP="00E707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MuseeBold">
    <w:altName w:val="Cambria"/>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Bold">
    <w:panose1 w:val="020B0704020202020204"/>
    <w:charset w:val="00"/>
    <w:family w:val="auto"/>
    <w:pitch w:val="variable"/>
    <w:sig w:usb0="E0002AFF" w:usb1="C0007843"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Baskerville">
    <w:charset w:val="00"/>
    <w:family w:val="auto"/>
    <w:pitch w:val="variable"/>
    <w:sig w:usb0="80000067" w:usb1="02000000"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177E" w:rsidRDefault="00E6177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vanish/>
        <w:highlight w:val="yellow"/>
      </w:rPr>
      <w:id w:val="432020431"/>
      <w:docPartObj>
        <w:docPartGallery w:val="Page Numbers (Bottom of Page)"/>
        <w:docPartUnique/>
      </w:docPartObj>
    </w:sdtPr>
    <w:sdtEndPr>
      <w:rPr>
        <w:noProof/>
      </w:rPr>
    </w:sdtEndPr>
    <w:sdtContent>
      <w:p w:rsidR="00DA1B79" w:rsidRPr="00212FCE" w:rsidRDefault="00DA1B79" w:rsidP="00E7072A">
        <w:pPr>
          <w:pStyle w:val="Footer"/>
        </w:pPr>
        <w:r w:rsidRPr="00212FCE">
          <w:fldChar w:fldCharType="begin"/>
        </w:r>
        <w:r w:rsidRPr="00212FCE">
          <w:instrText xml:space="preserve"> PAGE   \* MERGEFORMAT </w:instrText>
        </w:r>
        <w:r w:rsidRPr="00212FCE">
          <w:fldChar w:fldCharType="separate"/>
        </w:r>
        <w:r w:rsidR="007B3063">
          <w:rPr>
            <w:noProof/>
          </w:rPr>
          <w:t>43</w:t>
        </w:r>
        <w:r w:rsidRPr="00212FCE">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vanish/>
        <w:highlight w:val="yellow"/>
      </w:rPr>
      <w:id w:val="417216675"/>
      <w:docPartObj>
        <w:docPartGallery w:val="Page Numbers (Bottom of Page)"/>
        <w:docPartUnique/>
      </w:docPartObj>
    </w:sdtPr>
    <w:sdtEndPr>
      <w:rPr>
        <w:noProof/>
      </w:rPr>
    </w:sdtEndPr>
    <w:sdtContent>
      <w:p w:rsidR="00DA1B79" w:rsidRDefault="00DA1B79" w:rsidP="00E7072A">
        <w:pPr>
          <w:pStyle w:val="Footer"/>
          <w:rPr>
            <w:noProof/>
          </w:rPr>
        </w:pPr>
        <w:r>
          <w:fldChar w:fldCharType="begin"/>
        </w:r>
        <w:r>
          <w:instrText xml:space="preserve"> PAGE   \* MERGEFORMAT </w:instrText>
        </w:r>
        <w:r>
          <w:fldChar w:fldCharType="separate"/>
        </w:r>
        <w:r w:rsidR="007B3063">
          <w:rPr>
            <w:noProof/>
          </w:rPr>
          <w:t>1</w:t>
        </w:r>
        <w:r>
          <w:rPr>
            <w:noProof/>
          </w:rPr>
          <w:fldChar w:fldCharType="end"/>
        </w:r>
      </w:p>
    </w:sdtContent>
  </w:sdt>
  <w:p w:rsidR="00DA1B79" w:rsidRDefault="00DA1B79" w:rsidP="00E7072A">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vanish/>
        <w:highlight w:val="yellow"/>
      </w:rPr>
      <w:id w:val="1739508247"/>
      <w:docPartObj>
        <w:docPartGallery w:val="Page Numbers (Bottom of Page)"/>
        <w:docPartUnique/>
      </w:docPartObj>
    </w:sdtPr>
    <w:sdtEndPr>
      <w:rPr>
        <w:noProof/>
      </w:rPr>
    </w:sdtEndPr>
    <w:sdtContent>
      <w:p w:rsidR="00DA1B79" w:rsidRDefault="00DA1B79">
        <w:pPr>
          <w:pStyle w:val="Footer"/>
          <w:jc w:val="right"/>
        </w:pPr>
        <w:r>
          <w:fldChar w:fldCharType="begin"/>
        </w:r>
        <w:r>
          <w:instrText xml:space="preserve"> PAGE   \* MERGEFORMAT </w:instrText>
        </w:r>
        <w:r>
          <w:fldChar w:fldCharType="separate"/>
        </w:r>
        <w:r w:rsidR="007B3063">
          <w:rPr>
            <w:noProof/>
          </w:rPr>
          <w:t>65</w:t>
        </w:r>
        <w:r>
          <w:rPr>
            <w:noProof/>
          </w:rPr>
          <w:fldChar w:fldCharType="end"/>
        </w:r>
      </w:p>
    </w:sdtContent>
  </w:sdt>
  <w:p w:rsidR="00DA1B79" w:rsidRDefault="00DA1B79"/>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177E" w:rsidRDefault="00E6177E" w:rsidP="00E7072A">
      <w:r>
        <w:separator/>
      </w:r>
    </w:p>
  </w:footnote>
  <w:footnote w:type="continuationSeparator" w:id="0">
    <w:p w:rsidR="00E6177E" w:rsidRDefault="00E6177E" w:rsidP="00E7072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1B79" w:rsidRDefault="007B3063">
    <w:pPr>
      <w:pStyle w:val="Header"/>
    </w:pPr>
    <w:r>
      <w:rPr>
        <w:noProof/>
      </w:rPr>
      <w:pict w14:anchorId="43376FD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4482907" o:spid="_x0000_s2050" type="#_x0000_t136" style="position:absolute;margin-left:0;margin-top:0;width:397.65pt;height:238.6pt;rotation:315;z-index:-25165516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1B79" w:rsidRDefault="007B3063">
    <w:pPr>
      <w:pStyle w:val="Header"/>
    </w:pPr>
    <w:r>
      <w:rPr>
        <w:noProof/>
      </w:rPr>
      <w:pict w14:anchorId="6F95A4D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4482908" o:spid="_x0000_s2051" type="#_x0000_t136" style="position:absolute;margin-left:0;margin-top:0;width:397.65pt;height:238.6pt;rotation:315;z-index:-25165312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1B79" w:rsidRDefault="007B3063">
    <w:pPr>
      <w:pStyle w:val="Header"/>
    </w:pPr>
    <w:r>
      <w:rPr>
        <w:noProof/>
      </w:rPr>
      <w:pict w14:anchorId="29B4276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4482906" o:spid="_x0000_s2049" type="#_x0000_t136" style="position:absolute;margin-left:0;margin-top:0;width:397.65pt;height:238.6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1B79" w:rsidRDefault="007B3063">
    <w:pPr>
      <w:pStyle w:val="Header"/>
    </w:pPr>
    <w:r>
      <w:rPr>
        <w:noProof/>
      </w:rPr>
      <w:pict w14:anchorId="673DBB5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4482910" o:spid="_x0000_s2053" type="#_x0000_t136" style="position:absolute;margin-left:0;margin-top:0;width:397.65pt;height:238.6pt;rotation:315;z-index:-251649024;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1B79" w:rsidRDefault="007B3063">
    <w:pPr>
      <w:pStyle w:val="Header"/>
    </w:pPr>
    <w:r>
      <w:rPr>
        <w:noProof/>
      </w:rPr>
      <w:pict w14:anchorId="42CEE35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4482911" o:spid="_x0000_s2054" type="#_x0000_t136" style="position:absolute;margin-left:0;margin-top:0;width:397.65pt;height:238.6pt;rotation:315;z-index:-25164697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1B79" w:rsidRDefault="007B3063">
    <w:pPr>
      <w:pStyle w:val="Header"/>
    </w:pPr>
    <w:r>
      <w:rPr>
        <w:noProof/>
      </w:rPr>
      <w:pict w14:anchorId="7EAAB3A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4482909" o:spid="_x0000_s2052" type="#_x0000_t136" style="position:absolute;margin-left:0;margin-top:0;width:397.65pt;height:238.6pt;rotation:315;z-index:-25165107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937B0"/>
    <w:multiLevelType w:val="multilevel"/>
    <w:tmpl w:val="9A6ED8B2"/>
    <w:lvl w:ilvl="0">
      <w:start w:val="1"/>
      <w:numFmt w:val="decimal"/>
      <w:pStyle w:val="Tabletitle"/>
      <w:lvlText w:val="Table %1: "/>
      <w:lvlJc w:val="left"/>
      <w:pPr>
        <w:ind w:left="360" w:hanging="360"/>
      </w:pPr>
      <w:rPr>
        <w:rFonts w:asciiTheme="majorHAnsi" w:hAnsiTheme="majorHAnsi" w:hint="default"/>
        <w:b/>
        <w:bCs w:val="0"/>
        <w:i w:val="0"/>
        <w:iCs w:val="0"/>
        <w:caps/>
        <w:smallCaps w:val="0"/>
        <w:strike w:val="0"/>
        <w:dstrike w:val="0"/>
        <w:noProof w:val="0"/>
        <w:vanish w:val="0"/>
        <w:color w:val="auto"/>
        <w:spacing w:val="0"/>
        <w:kern w:val="0"/>
        <w:position w:val="0"/>
        <w:sz w:val="22"/>
        <w:szCs w:val="2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nsid w:val="0C972102"/>
    <w:multiLevelType w:val="hybridMultilevel"/>
    <w:tmpl w:val="F3B88F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0DDF467A"/>
    <w:multiLevelType w:val="hybridMultilevel"/>
    <w:tmpl w:val="6D086190"/>
    <w:lvl w:ilvl="0" w:tplc="5F2EDE3E">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nsid w:val="106936DD"/>
    <w:multiLevelType w:val="multilevel"/>
    <w:tmpl w:val="4DE4A4C6"/>
    <w:lvl w:ilvl="0">
      <w:start w:val="1"/>
      <w:numFmt w:val="decimal"/>
      <w:lvlText w:val="Part %1:"/>
      <w:lvlJc w:val="left"/>
      <w:pPr>
        <w:ind w:left="4260" w:hanging="432"/>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717"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nsid w:val="112B5D66"/>
    <w:multiLevelType w:val="hybridMultilevel"/>
    <w:tmpl w:val="87D22D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12F4536D"/>
    <w:multiLevelType w:val="hybridMultilevel"/>
    <w:tmpl w:val="6F521200"/>
    <w:lvl w:ilvl="0" w:tplc="FB78C55A">
      <w:start w:val="1"/>
      <w:numFmt w:val="bullet"/>
      <w:pStyle w:val="BulletLast"/>
      <w:lvlText w:val=""/>
      <w:lvlJc w:val="left"/>
      <w:pPr>
        <w:ind w:left="720" w:hanging="360"/>
      </w:pPr>
      <w:rPr>
        <w:rFonts w:ascii="Symbol" w:hAnsi="Symbol" w:hint="default"/>
        <w:vertAlign w:val="baseline"/>
      </w:rPr>
    </w:lvl>
    <w:lvl w:ilvl="1" w:tplc="6CEC33F0">
      <w:start w:val="1"/>
      <w:numFmt w:val="bullet"/>
      <w:pStyle w:val="sub-dotpoint"/>
      <w:lvlText w:val="o"/>
      <w:lvlJc w:val="left"/>
      <w:pPr>
        <w:ind w:left="1440" w:hanging="360"/>
      </w:pPr>
      <w:rPr>
        <w:rFonts w:ascii="Courier New" w:hAnsi="Courier New" w:cs="Courier New" w:hint="default"/>
        <w:vertAlign w:val="baseline"/>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958796C"/>
    <w:multiLevelType w:val="hybridMultilevel"/>
    <w:tmpl w:val="83D652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19C30B7D"/>
    <w:multiLevelType w:val="hybridMultilevel"/>
    <w:tmpl w:val="E9FE75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1ABE24FF"/>
    <w:multiLevelType w:val="hybridMultilevel"/>
    <w:tmpl w:val="3DDEFA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1C74512D"/>
    <w:multiLevelType w:val="hybridMultilevel"/>
    <w:tmpl w:val="294E1D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1D3064E7"/>
    <w:multiLevelType w:val="hybridMultilevel"/>
    <w:tmpl w:val="8F1A6A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221C55D9"/>
    <w:multiLevelType w:val="hybridMultilevel"/>
    <w:tmpl w:val="583E9A2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2">
    <w:nsid w:val="25C53B03"/>
    <w:multiLevelType w:val="multilevel"/>
    <w:tmpl w:val="164243D4"/>
    <w:styleLink w:val="Headings"/>
    <w:lvl w:ilvl="0">
      <w:start w:val="1"/>
      <w:numFmt w:val="decimal"/>
      <w:suff w:val="nothing"/>
      <w:lvlText w:val="Section %1"/>
      <w:lvlJc w:val="left"/>
      <w:pPr>
        <w:ind w:left="0" w:firstLine="0"/>
      </w:pPr>
      <w:rPr>
        <w:rFonts w:hint="default"/>
      </w:rPr>
    </w:lvl>
    <w:lvl w:ilvl="1">
      <w:start w:val="1"/>
      <w:numFmt w:val="decimal"/>
      <w:lvlText w:val="%1.%2"/>
      <w:lvlJc w:val="left"/>
      <w:pPr>
        <w:tabs>
          <w:tab w:val="num" w:pos="851"/>
        </w:tabs>
        <w:ind w:left="0" w:firstLine="0"/>
      </w:pPr>
      <w:rPr>
        <w:rFonts w:hint="default"/>
      </w:rPr>
    </w:lvl>
    <w:lvl w:ilvl="2">
      <w:start w:val="1"/>
      <w:numFmt w:val="decimal"/>
      <w:lvlText w:val="%1.%2.%3"/>
      <w:lvlJc w:val="left"/>
      <w:pPr>
        <w:tabs>
          <w:tab w:val="num" w:pos="851"/>
        </w:tabs>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upperLetter"/>
      <w:lvlText w:val="Appendix %7"/>
      <w:lvlJc w:val="left"/>
      <w:pPr>
        <w:ind w:left="3119" w:firstLine="0"/>
      </w:pPr>
      <w:rPr>
        <w:rFonts w:hint="default"/>
      </w:rPr>
    </w:lvl>
    <w:lvl w:ilvl="7">
      <w:start w:val="1"/>
      <w:numFmt w:val="decimal"/>
      <w:lvlText w:val="%7.%8"/>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3">
    <w:nsid w:val="268E6254"/>
    <w:multiLevelType w:val="hybridMultilevel"/>
    <w:tmpl w:val="6D086190"/>
    <w:lvl w:ilvl="0" w:tplc="5F2EDE3E">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nsid w:val="30E45EEB"/>
    <w:multiLevelType w:val="hybridMultilevel"/>
    <w:tmpl w:val="742C53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38EF5A8C"/>
    <w:multiLevelType w:val="hybridMultilevel"/>
    <w:tmpl w:val="CD642268"/>
    <w:lvl w:ilvl="0" w:tplc="0C090001">
      <w:start w:val="1"/>
      <w:numFmt w:val="bullet"/>
      <w:lvlText w:val=""/>
      <w:lvlJc w:val="left"/>
      <w:pPr>
        <w:ind w:left="774" w:hanging="360"/>
      </w:pPr>
      <w:rPr>
        <w:rFonts w:ascii="Symbol" w:hAnsi="Symbol" w:hint="default"/>
      </w:rPr>
    </w:lvl>
    <w:lvl w:ilvl="1" w:tplc="0C090003" w:tentative="1">
      <w:start w:val="1"/>
      <w:numFmt w:val="bullet"/>
      <w:lvlText w:val="o"/>
      <w:lvlJc w:val="left"/>
      <w:pPr>
        <w:ind w:left="1494" w:hanging="360"/>
      </w:pPr>
      <w:rPr>
        <w:rFonts w:ascii="Courier New" w:hAnsi="Courier New" w:cs="Courier New" w:hint="default"/>
      </w:rPr>
    </w:lvl>
    <w:lvl w:ilvl="2" w:tplc="0C090005" w:tentative="1">
      <w:start w:val="1"/>
      <w:numFmt w:val="bullet"/>
      <w:lvlText w:val=""/>
      <w:lvlJc w:val="left"/>
      <w:pPr>
        <w:ind w:left="2214" w:hanging="360"/>
      </w:pPr>
      <w:rPr>
        <w:rFonts w:ascii="Wingdings" w:hAnsi="Wingdings" w:hint="default"/>
      </w:rPr>
    </w:lvl>
    <w:lvl w:ilvl="3" w:tplc="0C090001" w:tentative="1">
      <w:start w:val="1"/>
      <w:numFmt w:val="bullet"/>
      <w:lvlText w:val=""/>
      <w:lvlJc w:val="left"/>
      <w:pPr>
        <w:ind w:left="2934" w:hanging="360"/>
      </w:pPr>
      <w:rPr>
        <w:rFonts w:ascii="Symbol" w:hAnsi="Symbol" w:hint="default"/>
      </w:rPr>
    </w:lvl>
    <w:lvl w:ilvl="4" w:tplc="0C090003" w:tentative="1">
      <w:start w:val="1"/>
      <w:numFmt w:val="bullet"/>
      <w:lvlText w:val="o"/>
      <w:lvlJc w:val="left"/>
      <w:pPr>
        <w:ind w:left="3654" w:hanging="360"/>
      </w:pPr>
      <w:rPr>
        <w:rFonts w:ascii="Courier New" w:hAnsi="Courier New" w:cs="Courier New" w:hint="default"/>
      </w:rPr>
    </w:lvl>
    <w:lvl w:ilvl="5" w:tplc="0C090005" w:tentative="1">
      <w:start w:val="1"/>
      <w:numFmt w:val="bullet"/>
      <w:lvlText w:val=""/>
      <w:lvlJc w:val="left"/>
      <w:pPr>
        <w:ind w:left="4374" w:hanging="360"/>
      </w:pPr>
      <w:rPr>
        <w:rFonts w:ascii="Wingdings" w:hAnsi="Wingdings" w:hint="default"/>
      </w:rPr>
    </w:lvl>
    <w:lvl w:ilvl="6" w:tplc="0C090001" w:tentative="1">
      <w:start w:val="1"/>
      <w:numFmt w:val="bullet"/>
      <w:lvlText w:val=""/>
      <w:lvlJc w:val="left"/>
      <w:pPr>
        <w:ind w:left="5094" w:hanging="360"/>
      </w:pPr>
      <w:rPr>
        <w:rFonts w:ascii="Symbol" w:hAnsi="Symbol" w:hint="default"/>
      </w:rPr>
    </w:lvl>
    <w:lvl w:ilvl="7" w:tplc="0C090003" w:tentative="1">
      <w:start w:val="1"/>
      <w:numFmt w:val="bullet"/>
      <w:lvlText w:val="o"/>
      <w:lvlJc w:val="left"/>
      <w:pPr>
        <w:ind w:left="5814" w:hanging="360"/>
      </w:pPr>
      <w:rPr>
        <w:rFonts w:ascii="Courier New" w:hAnsi="Courier New" w:cs="Courier New" w:hint="default"/>
      </w:rPr>
    </w:lvl>
    <w:lvl w:ilvl="8" w:tplc="0C090005" w:tentative="1">
      <w:start w:val="1"/>
      <w:numFmt w:val="bullet"/>
      <w:lvlText w:val=""/>
      <w:lvlJc w:val="left"/>
      <w:pPr>
        <w:ind w:left="6534" w:hanging="360"/>
      </w:pPr>
      <w:rPr>
        <w:rFonts w:ascii="Wingdings" w:hAnsi="Wingdings" w:hint="default"/>
      </w:rPr>
    </w:lvl>
  </w:abstractNum>
  <w:abstractNum w:abstractNumId="16">
    <w:nsid w:val="38F83C5D"/>
    <w:multiLevelType w:val="multilevel"/>
    <w:tmpl w:val="AB54405E"/>
    <w:lvl w:ilvl="0">
      <w:start w:val="1"/>
      <w:numFmt w:val="bullet"/>
      <w:pStyle w:val="ListBullet1"/>
      <w:lvlText w:val=""/>
      <w:lvlJc w:val="left"/>
      <w:pPr>
        <w:ind w:left="360" w:hanging="360"/>
      </w:pPr>
      <w:rPr>
        <w:rFonts w:ascii="Wingdings 3" w:hAnsi="Wingdings 3" w:hint="default"/>
        <w:b/>
        <w:i w:val="0"/>
        <w:color w:val="401E6C"/>
        <w:spacing w:val="0"/>
        <w:w w:val="100"/>
        <w:position w:val="3"/>
        <w:sz w:val="16"/>
      </w:rPr>
    </w:lvl>
    <w:lvl w:ilvl="1">
      <w:start w:val="1"/>
      <w:numFmt w:val="bullet"/>
      <w:lvlText w:val="–"/>
      <w:lvlJc w:val="left"/>
      <w:pPr>
        <w:tabs>
          <w:tab w:val="num" w:pos="714"/>
        </w:tabs>
        <w:ind w:left="714" w:hanging="357"/>
      </w:pPr>
      <w:rPr>
        <w:rFonts w:ascii="Times New Roman" w:hAnsi="Times New Roman" w:cs="Times New Roman" w:hint="default"/>
        <w:b w:val="0"/>
        <w:i w:val="0"/>
        <w:color w:val="00326C"/>
        <w:position w:val="2"/>
        <w:sz w:val="19"/>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nsid w:val="3CF959EC"/>
    <w:multiLevelType w:val="hybridMultilevel"/>
    <w:tmpl w:val="F558EB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44FF23C6"/>
    <w:multiLevelType w:val="hybridMultilevel"/>
    <w:tmpl w:val="4DB230CA"/>
    <w:lvl w:ilvl="0" w:tplc="675494AE">
      <w:start w:val="1"/>
      <w:numFmt w:val="bullet"/>
      <w:pStyle w:val="Tablebullet"/>
      <w:lvlText w:val="-"/>
      <w:lvlJc w:val="left"/>
      <w:pPr>
        <w:tabs>
          <w:tab w:val="num" w:pos="0"/>
        </w:tabs>
        <w:ind w:left="85" w:hanging="85"/>
      </w:pPr>
      <w:rPr>
        <w:rFonts w:ascii="Arial Narrow" w:hAnsi="Arial Narrow"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9">
    <w:nsid w:val="473E6A58"/>
    <w:multiLevelType w:val="hybridMultilevel"/>
    <w:tmpl w:val="213A239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0">
    <w:nsid w:val="4B2875A5"/>
    <w:multiLevelType w:val="hybridMultilevel"/>
    <w:tmpl w:val="4D8C6658"/>
    <w:lvl w:ilvl="0" w:tplc="CF184C6A">
      <w:start w:val="1"/>
      <w:numFmt w:val="bullet"/>
      <w:pStyle w:val="V50InstructionsBulle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4F9C4DCE"/>
    <w:multiLevelType w:val="hybridMultilevel"/>
    <w:tmpl w:val="1640D7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529C6E77"/>
    <w:multiLevelType w:val="hybridMultilevel"/>
    <w:tmpl w:val="512EA3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58F45176"/>
    <w:multiLevelType w:val="hybridMultilevel"/>
    <w:tmpl w:val="AAD416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5AB21D2C"/>
    <w:multiLevelType w:val="hybridMultilevel"/>
    <w:tmpl w:val="CB005F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61605F74"/>
    <w:multiLevelType w:val="hybridMultilevel"/>
    <w:tmpl w:val="63845C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63032E4E"/>
    <w:multiLevelType w:val="hybridMultilevel"/>
    <w:tmpl w:val="278818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nsid w:val="6E6B44BE"/>
    <w:multiLevelType w:val="hybridMultilevel"/>
    <w:tmpl w:val="C2D060FE"/>
    <w:lvl w:ilvl="0" w:tplc="0C090001">
      <w:start w:val="1"/>
      <w:numFmt w:val="bullet"/>
      <w:lvlText w:val=""/>
      <w:lvlJc w:val="left"/>
      <w:pPr>
        <w:ind w:left="743" w:hanging="360"/>
      </w:pPr>
      <w:rPr>
        <w:rFonts w:ascii="Symbol" w:hAnsi="Symbol" w:hint="default"/>
      </w:rPr>
    </w:lvl>
    <w:lvl w:ilvl="1" w:tplc="0C090003" w:tentative="1">
      <w:start w:val="1"/>
      <w:numFmt w:val="bullet"/>
      <w:lvlText w:val="o"/>
      <w:lvlJc w:val="left"/>
      <w:pPr>
        <w:ind w:left="1463" w:hanging="360"/>
      </w:pPr>
      <w:rPr>
        <w:rFonts w:ascii="Courier New" w:hAnsi="Courier New" w:cs="Courier New" w:hint="default"/>
      </w:rPr>
    </w:lvl>
    <w:lvl w:ilvl="2" w:tplc="0C090005" w:tentative="1">
      <w:start w:val="1"/>
      <w:numFmt w:val="bullet"/>
      <w:lvlText w:val=""/>
      <w:lvlJc w:val="left"/>
      <w:pPr>
        <w:ind w:left="2183" w:hanging="360"/>
      </w:pPr>
      <w:rPr>
        <w:rFonts w:ascii="Wingdings" w:hAnsi="Wingdings" w:hint="default"/>
      </w:rPr>
    </w:lvl>
    <w:lvl w:ilvl="3" w:tplc="0C090001" w:tentative="1">
      <w:start w:val="1"/>
      <w:numFmt w:val="bullet"/>
      <w:lvlText w:val=""/>
      <w:lvlJc w:val="left"/>
      <w:pPr>
        <w:ind w:left="2903" w:hanging="360"/>
      </w:pPr>
      <w:rPr>
        <w:rFonts w:ascii="Symbol" w:hAnsi="Symbol" w:hint="default"/>
      </w:rPr>
    </w:lvl>
    <w:lvl w:ilvl="4" w:tplc="0C090003" w:tentative="1">
      <w:start w:val="1"/>
      <w:numFmt w:val="bullet"/>
      <w:lvlText w:val="o"/>
      <w:lvlJc w:val="left"/>
      <w:pPr>
        <w:ind w:left="3623" w:hanging="360"/>
      </w:pPr>
      <w:rPr>
        <w:rFonts w:ascii="Courier New" w:hAnsi="Courier New" w:cs="Courier New" w:hint="default"/>
      </w:rPr>
    </w:lvl>
    <w:lvl w:ilvl="5" w:tplc="0C090005" w:tentative="1">
      <w:start w:val="1"/>
      <w:numFmt w:val="bullet"/>
      <w:lvlText w:val=""/>
      <w:lvlJc w:val="left"/>
      <w:pPr>
        <w:ind w:left="4343" w:hanging="360"/>
      </w:pPr>
      <w:rPr>
        <w:rFonts w:ascii="Wingdings" w:hAnsi="Wingdings" w:hint="default"/>
      </w:rPr>
    </w:lvl>
    <w:lvl w:ilvl="6" w:tplc="0C090001" w:tentative="1">
      <w:start w:val="1"/>
      <w:numFmt w:val="bullet"/>
      <w:lvlText w:val=""/>
      <w:lvlJc w:val="left"/>
      <w:pPr>
        <w:ind w:left="5063" w:hanging="360"/>
      </w:pPr>
      <w:rPr>
        <w:rFonts w:ascii="Symbol" w:hAnsi="Symbol" w:hint="default"/>
      </w:rPr>
    </w:lvl>
    <w:lvl w:ilvl="7" w:tplc="0C090003" w:tentative="1">
      <w:start w:val="1"/>
      <w:numFmt w:val="bullet"/>
      <w:lvlText w:val="o"/>
      <w:lvlJc w:val="left"/>
      <w:pPr>
        <w:ind w:left="5783" w:hanging="360"/>
      </w:pPr>
      <w:rPr>
        <w:rFonts w:ascii="Courier New" w:hAnsi="Courier New" w:cs="Courier New" w:hint="default"/>
      </w:rPr>
    </w:lvl>
    <w:lvl w:ilvl="8" w:tplc="0C090005" w:tentative="1">
      <w:start w:val="1"/>
      <w:numFmt w:val="bullet"/>
      <w:lvlText w:val=""/>
      <w:lvlJc w:val="left"/>
      <w:pPr>
        <w:ind w:left="6503" w:hanging="360"/>
      </w:pPr>
      <w:rPr>
        <w:rFonts w:ascii="Wingdings" w:hAnsi="Wingdings" w:hint="default"/>
      </w:rPr>
    </w:lvl>
  </w:abstractNum>
  <w:abstractNum w:abstractNumId="28">
    <w:nsid w:val="6F0C5C12"/>
    <w:multiLevelType w:val="hybridMultilevel"/>
    <w:tmpl w:val="70805E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nsid w:val="6F6720DA"/>
    <w:multiLevelType w:val="hybridMultilevel"/>
    <w:tmpl w:val="EA8C81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nsid w:val="6FA132E3"/>
    <w:multiLevelType w:val="hybridMultilevel"/>
    <w:tmpl w:val="EA685E8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1">
    <w:nsid w:val="71692377"/>
    <w:multiLevelType w:val="hybridMultilevel"/>
    <w:tmpl w:val="FB1AC2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nsid w:val="73E15AF4"/>
    <w:multiLevelType w:val="hybridMultilevel"/>
    <w:tmpl w:val="1B04C7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nsid w:val="74426408"/>
    <w:multiLevelType w:val="hybridMultilevel"/>
    <w:tmpl w:val="91FE48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8"/>
  </w:num>
  <w:num w:numId="4">
    <w:abstractNumId w:val="3"/>
  </w:num>
  <w:num w:numId="5">
    <w:abstractNumId w:val="16"/>
  </w:num>
  <w:num w:numId="6">
    <w:abstractNumId w:val="20"/>
  </w:num>
  <w:num w:numId="7">
    <w:abstractNumId w:val="12"/>
  </w:num>
  <w:num w:numId="8">
    <w:abstractNumId w:val="5"/>
  </w:num>
  <w:num w:numId="9">
    <w:abstractNumId w:val="15"/>
  </w:num>
  <w:num w:numId="10">
    <w:abstractNumId w:val="13"/>
  </w:num>
  <w:num w:numId="11">
    <w:abstractNumId w:val="2"/>
  </w:num>
  <w:num w:numId="12">
    <w:abstractNumId w:val="26"/>
  </w:num>
  <w:num w:numId="13">
    <w:abstractNumId w:val="30"/>
  </w:num>
  <w:num w:numId="14">
    <w:abstractNumId w:val="11"/>
  </w:num>
  <w:num w:numId="15">
    <w:abstractNumId w:val="27"/>
  </w:num>
  <w:num w:numId="16">
    <w:abstractNumId w:val="7"/>
  </w:num>
  <w:num w:numId="17">
    <w:abstractNumId w:val="23"/>
  </w:num>
  <w:num w:numId="18">
    <w:abstractNumId w:val="8"/>
  </w:num>
  <w:num w:numId="19">
    <w:abstractNumId w:val="4"/>
  </w:num>
  <w:num w:numId="20">
    <w:abstractNumId w:val="32"/>
  </w:num>
  <w:num w:numId="21">
    <w:abstractNumId w:val="1"/>
  </w:num>
  <w:num w:numId="22">
    <w:abstractNumId w:val="28"/>
  </w:num>
  <w:num w:numId="23">
    <w:abstractNumId w:val="14"/>
  </w:num>
  <w:num w:numId="24">
    <w:abstractNumId w:val="9"/>
  </w:num>
  <w:num w:numId="25">
    <w:abstractNumId w:val="31"/>
  </w:num>
  <w:num w:numId="26">
    <w:abstractNumId w:val="6"/>
  </w:num>
  <w:num w:numId="27">
    <w:abstractNumId w:val="17"/>
  </w:num>
  <w:num w:numId="28">
    <w:abstractNumId w:val="21"/>
  </w:num>
  <w:num w:numId="29">
    <w:abstractNumId w:val="33"/>
  </w:num>
  <w:num w:numId="30">
    <w:abstractNumId w:val="10"/>
  </w:num>
  <w:num w:numId="31">
    <w:abstractNumId w:val="22"/>
  </w:num>
  <w:num w:numId="32">
    <w:abstractNumId w:val="19"/>
  </w:num>
  <w:num w:numId="33">
    <w:abstractNumId w:val="24"/>
  </w:num>
  <w:num w:numId="34">
    <w:abstractNumId w:val="25"/>
  </w:num>
  <w:num w:numId="35">
    <w:abstractNumId w:val="29"/>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efaultTabStop w:val="720"/>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NTI1tzA1M7I0NwISxko6SsGpxcWZ+XkgBYYGtQCmjTdZLQAAAA=="/>
    <w:docVar w:name="EN.InstantFormat" w:val="&lt;ENInstantFormat&gt;&lt;Enabled&gt;1&lt;/Enabled&gt;&lt;ScanUnformatted&gt;1&lt;/ScanUnformatted&gt;&lt;ScanChanges&gt;1&lt;/ScanChanges&gt;&lt;Suspended&gt;1&lt;/Suspended&gt;&lt;/ENInstantFormat&gt;"/>
    <w:docVar w:name="EN.Layout" w:val="&lt;ENLayout&gt;&lt;Style&gt;Vancouver&lt;/Style&gt;&lt;LeftDelim&gt;{&lt;/LeftDelim&gt;&lt;RightDelim&gt;}&lt;/RightDelim&gt;&lt;FontName&gt;Cambria&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Libraries&gt;"/>
  </w:docVars>
  <w:rsids>
    <w:rsidRoot w:val="008D0D0C"/>
    <w:rsid w:val="00000E81"/>
    <w:rsid w:val="0000568D"/>
    <w:rsid w:val="000059E2"/>
    <w:rsid w:val="00005CD4"/>
    <w:rsid w:val="0000622B"/>
    <w:rsid w:val="000064E0"/>
    <w:rsid w:val="00011A3B"/>
    <w:rsid w:val="000122DB"/>
    <w:rsid w:val="00013DA8"/>
    <w:rsid w:val="00015414"/>
    <w:rsid w:val="0002154C"/>
    <w:rsid w:val="00021660"/>
    <w:rsid w:val="0002201F"/>
    <w:rsid w:val="000223C1"/>
    <w:rsid w:val="000223D2"/>
    <w:rsid w:val="00022ED8"/>
    <w:rsid w:val="000230A6"/>
    <w:rsid w:val="000235A6"/>
    <w:rsid w:val="00023D7E"/>
    <w:rsid w:val="000258FA"/>
    <w:rsid w:val="000265EC"/>
    <w:rsid w:val="000273CD"/>
    <w:rsid w:val="000276EC"/>
    <w:rsid w:val="000278BE"/>
    <w:rsid w:val="00027CA6"/>
    <w:rsid w:val="00027E8D"/>
    <w:rsid w:val="00030D5A"/>
    <w:rsid w:val="00031935"/>
    <w:rsid w:val="00031F5D"/>
    <w:rsid w:val="000328B5"/>
    <w:rsid w:val="0003361A"/>
    <w:rsid w:val="00033B67"/>
    <w:rsid w:val="00033C1C"/>
    <w:rsid w:val="00034B71"/>
    <w:rsid w:val="000351A6"/>
    <w:rsid w:val="000358F7"/>
    <w:rsid w:val="00041577"/>
    <w:rsid w:val="00041E94"/>
    <w:rsid w:val="0004288C"/>
    <w:rsid w:val="00043928"/>
    <w:rsid w:val="000451B2"/>
    <w:rsid w:val="0004541C"/>
    <w:rsid w:val="000456BE"/>
    <w:rsid w:val="00045E05"/>
    <w:rsid w:val="00046E01"/>
    <w:rsid w:val="000506CB"/>
    <w:rsid w:val="0005072C"/>
    <w:rsid w:val="000523FD"/>
    <w:rsid w:val="00054219"/>
    <w:rsid w:val="000550EE"/>
    <w:rsid w:val="00055439"/>
    <w:rsid w:val="0005577B"/>
    <w:rsid w:val="000566A1"/>
    <w:rsid w:val="00057CC1"/>
    <w:rsid w:val="000603FB"/>
    <w:rsid w:val="000627C0"/>
    <w:rsid w:val="0006429F"/>
    <w:rsid w:val="0006497A"/>
    <w:rsid w:val="0006501B"/>
    <w:rsid w:val="00065764"/>
    <w:rsid w:val="00065C00"/>
    <w:rsid w:val="00067C30"/>
    <w:rsid w:val="0007148C"/>
    <w:rsid w:val="00071984"/>
    <w:rsid w:val="00071F2B"/>
    <w:rsid w:val="00072409"/>
    <w:rsid w:val="00073BF6"/>
    <w:rsid w:val="000755B3"/>
    <w:rsid w:val="0007635D"/>
    <w:rsid w:val="00076987"/>
    <w:rsid w:val="00080BEA"/>
    <w:rsid w:val="00081DCB"/>
    <w:rsid w:val="00082A22"/>
    <w:rsid w:val="00083616"/>
    <w:rsid w:val="000869D0"/>
    <w:rsid w:val="00087D22"/>
    <w:rsid w:val="0009095A"/>
    <w:rsid w:val="00091BAF"/>
    <w:rsid w:val="00091FDD"/>
    <w:rsid w:val="000935DE"/>
    <w:rsid w:val="000944DB"/>
    <w:rsid w:val="00094B05"/>
    <w:rsid w:val="00094B19"/>
    <w:rsid w:val="00095EFB"/>
    <w:rsid w:val="0009621D"/>
    <w:rsid w:val="000963F0"/>
    <w:rsid w:val="00096511"/>
    <w:rsid w:val="000A0A0D"/>
    <w:rsid w:val="000A14D8"/>
    <w:rsid w:val="000A1734"/>
    <w:rsid w:val="000A2E84"/>
    <w:rsid w:val="000A4B4F"/>
    <w:rsid w:val="000A4BF1"/>
    <w:rsid w:val="000A4FA9"/>
    <w:rsid w:val="000A5656"/>
    <w:rsid w:val="000A5AD0"/>
    <w:rsid w:val="000A7005"/>
    <w:rsid w:val="000A7064"/>
    <w:rsid w:val="000A72A2"/>
    <w:rsid w:val="000A74CF"/>
    <w:rsid w:val="000B0433"/>
    <w:rsid w:val="000B08B7"/>
    <w:rsid w:val="000B1445"/>
    <w:rsid w:val="000B1785"/>
    <w:rsid w:val="000B1D6C"/>
    <w:rsid w:val="000B320D"/>
    <w:rsid w:val="000B3355"/>
    <w:rsid w:val="000B397E"/>
    <w:rsid w:val="000B4D83"/>
    <w:rsid w:val="000B59A9"/>
    <w:rsid w:val="000B612B"/>
    <w:rsid w:val="000B674B"/>
    <w:rsid w:val="000B70CB"/>
    <w:rsid w:val="000C0B54"/>
    <w:rsid w:val="000C2807"/>
    <w:rsid w:val="000C286C"/>
    <w:rsid w:val="000C3409"/>
    <w:rsid w:val="000C34D8"/>
    <w:rsid w:val="000C5294"/>
    <w:rsid w:val="000C7B1E"/>
    <w:rsid w:val="000D064A"/>
    <w:rsid w:val="000D21FC"/>
    <w:rsid w:val="000D568E"/>
    <w:rsid w:val="000D6085"/>
    <w:rsid w:val="000E0AFC"/>
    <w:rsid w:val="000E2AB4"/>
    <w:rsid w:val="000E48EA"/>
    <w:rsid w:val="000E524B"/>
    <w:rsid w:val="000E5495"/>
    <w:rsid w:val="000F1D60"/>
    <w:rsid w:val="000F2556"/>
    <w:rsid w:val="000F2CC7"/>
    <w:rsid w:val="000F3BC0"/>
    <w:rsid w:val="000F61F8"/>
    <w:rsid w:val="000F704D"/>
    <w:rsid w:val="000F72BC"/>
    <w:rsid w:val="001021C8"/>
    <w:rsid w:val="001040FA"/>
    <w:rsid w:val="001044B2"/>
    <w:rsid w:val="00105967"/>
    <w:rsid w:val="00105D06"/>
    <w:rsid w:val="001101C2"/>
    <w:rsid w:val="00110BAF"/>
    <w:rsid w:val="00110C23"/>
    <w:rsid w:val="00112E28"/>
    <w:rsid w:val="00113BBC"/>
    <w:rsid w:val="001142B9"/>
    <w:rsid w:val="001145D2"/>
    <w:rsid w:val="00115A41"/>
    <w:rsid w:val="00115DC0"/>
    <w:rsid w:val="0011616E"/>
    <w:rsid w:val="00117B58"/>
    <w:rsid w:val="001206F1"/>
    <w:rsid w:val="00121951"/>
    <w:rsid w:val="00121BD5"/>
    <w:rsid w:val="0012304D"/>
    <w:rsid w:val="001234CB"/>
    <w:rsid w:val="001235A1"/>
    <w:rsid w:val="001259DE"/>
    <w:rsid w:val="00125C6D"/>
    <w:rsid w:val="001268FF"/>
    <w:rsid w:val="001278F8"/>
    <w:rsid w:val="00130A8F"/>
    <w:rsid w:val="0013163C"/>
    <w:rsid w:val="00131A64"/>
    <w:rsid w:val="00131C7E"/>
    <w:rsid w:val="00133745"/>
    <w:rsid w:val="00134E08"/>
    <w:rsid w:val="001351AC"/>
    <w:rsid w:val="0013548F"/>
    <w:rsid w:val="001379D4"/>
    <w:rsid w:val="00137D8F"/>
    <w:rsid w:val="0014080B"/>
    <w:rsid w:val="00140A2B"/>
    <w:rsid w:val="00142703"/>
    <w:rsid w:val="0014316A"/>
    <w:rsid w:val="00143204"/>
    <w:rsid w:val="001437C8"/>
    <w:rsid w:val="001443F2"/>
    <w:rsid w:val="00144A0C"/>
    <w:rsid w:val="00145F88"/>
    <w:rsid w:val="00152166"/>
    <w:rsid w:val="00152289"/>
    <w:rsid w:val="001522C9"/>
    <w:rsid w:val="00152D47"/>
    <w:rsid w:val="00153744"/>
    <w:rsid w:val="00153AF7"/>
    <w:rsid w:val="00153E2A"/>
    <w:rsid w:val="00154617"/>
    <w:rsid w:val="00157DCB"/>
    <w:rsid w:val="001605FA"/>
    <w:rsid w:val="0016128B"/>
    <w:rsid w:val="001615D7"/>
    <w:rsid w:val="00163E29"/>
    <w:rsid w:val="00163F63"/>
    <w:rsid w:val="00165056"/>
    <w:rsid w:val="001650DE"/>
    <w:rsid w:val="0016544B"/>
    <w:rsid w:val="00165D31"/>
    <w:rsid w:val="00165EF0"/>
    <w:rsid w:val="0016740F"/>
    <w:rsid w:val="00170585"/>
    <w:rsid w:val="00172E4C"/>
    <w:rsid w:val="001735E0"/>
    <w:rsid w:val="00174EAD"/>
    <w:rsid w:val="00177619"/>
    <w:rsid w:val="00177A7E"/>
    <w:rsid w:val="001803C6"/>
    <w:rsid w:val="001809AC"/>
    <w:rsid w:val="00181480"/>
    <w:rsid w:val="00182244"/>
    <w:rsid w:val="00183170"/>
    <w:rsid w:val="00183A07"/>
    <w:rsid w:val="00184491"/>
    <w:rsid w:val="0018489E"/>
    <w:rsid w:val="001869BF"/>
    <w:rsid w:val="001875B5"/>
    <w:rsid w:val="00187AB4"/>
    <w:rsid w:val="001904D5"/>
    <w:rsid w:val="001939EA"/>
    <w:rsid w:val="00193CE6"/>
    <w:rsid w:val="00196629"/>
    <w:rsid w:val="00196C94"/>
    <w:rsid w:val="00197098"/>
    <w:rsid w:val="001A1AD7"/>
    <w:rsid w:val="001A1E58"/>
    <w:rsid w:val="001A2F37"/>
    <w:rsid w:val="001A35B9"/>
    <w:rsid w:val="001A384F"/>
    <w:rsid w:val="001A491F"/>
    <w:rsid w:val="001A4F17"/>
    <w:rsid w:val="001A63CD"/>
    <w:rsid w:val="001A7729"/>
    <w:rsid w:val="001B0DBD"/>
    <w:rsid w:val="001B1577"/>
    <w:rsid w:val="001B2868"/>
    <w:rsid w:val="001B3EE3"/>
    <w:rsid w:val="001B4738"/>
    <w:rsid w:val="001B48DC"/>
    <w:rsid w:val="001B5018"/>
    <w:rsid w:val="001B750F"/>
    <w:rsid w:val="001C0980"/>
    <w:rsid w:val="001C0CFE"/>
    <w:rsid w:val="001C1C3E"/>
    <w:rsid w:val="001C280A"/>
    <w:rsid w:val="001C29F6"/>
    <w:rsid w:val="001C35C9"/>
    <w:rsid w:val="001C4051"/>
    <w:rsid w:val="001C4EE1"/>
    <w:rsid w:val="001D0E78"/>
    <w:rsid w:val="001D255D"/>
    <w:rsid w:val="001D2DF0"/>
    <w:rsid w:val="001D304B"/>
    <w:rsid w:val="001D320C"/>
    <w:rsid w:val="001D3573"/>
    <w:rsid w:val="001D64F7"/>
    <w:rsid w:val="001D687C"/>
    <w:rsid w:val="001E04F1"/>
    <w:rsid w:val="001E159A"/>
    <w:rsid w:val="001E19BF"/>
    <w:rsid w:val="001E2447"/>
    <w:rsid w:val="001E3585"/>
    <w:rsid w:val="001E35BC"/>
    <w:rsid w:val="001E4A3C"/>
    <w:rsid w:val="001E4A4C"/>
    <w:rsid w:val="001E5510"/>
    <w:rsid w:val="001E63E5"/>
    <w:rsid w:val="001F1CD5"/>
    <w:rsid w:val="001F27B0"/>
    <w:rsid w:val="001F326A"/>
    <w:rsid w:val="001F39F6"/>
    <w:rsid w:val="001F4B18"/>
    <w:rsid w:val="001F4BBA"/>
    <w:rsid w:val="001F56E3"/>
    <w:rsid w:val="001F6A8D"/>
    <w:rsid w:val="001F750F"/>
    <w:rsid w:val="001F7621"/>
    <w:rsid w:val="002001E6"/>
    <w:rsid w:val="0020119A"/>
    <w:rsid w:val="002012C2"/>
    <w:rsid w:val="00202635"/>
    <w:rsid w:val="00202A6B"/>
    <w:rsid w:val="00203BFB"/>
    <w:rsid w:val="00204D93"/>
    <w:rsid w:val="00205C1C"/>
    <w:rsid w:val="00206CFF"/>
    <w:rsid w:val="002101E5"/>
    <w:rsid w:val="0021066C"/>
    <w:rsid w:val="0021091E"/>
    <w:rsid w:val="00211130"/>
    <w:rsid w:val="002128D6"/>
    <w:rsid w:val="00212FCE"/>
    <w:rsid w:val="00213139"/>
    <w:rsid w:val="00213F09"/>
    <w:rsid w:val="00214D13"/>
    <w:rsid w:val="00216527"/>
    <w:rsid w:val="00216F6C"/>
    <w:rsid w:val="002172BA"/>
    <w:rsid w:val="00220104"/>
    <w:rsid w:val="0022022F"/>
    <w:rsid w:val="00222F0B"/>
    <w:rsid w:val="00224A73"/>
    <w:rsid w:val="00224E3C"/>
    <w:rsid w:val="002256C3"/>
    <w:rsid w:val="00227225"/>
    <w:rsid w:val="00227620"/>
    <w:rsid w:val="00230B8A"/>
    <w:rsid w:val="00230D3A"/>
    <w:rsid w:val="002317FC"/>
    <w:rsid w:val="00231C65"/>
    <w:rsid w:val="00232251"/>
    <w:rsid w:val="002327D9"/>
    <w:rsid w:val="0023483F"/>
    <w:rsid w:val="00235E0A"/>
    <w:rsid w:val="00236763"/>
    <w:rsid w:val="002369D2"/>
    <w:rsid w:val="002415C6"/>
    <w:rsid w:val="00241B75"/>
    <w:rsid w:val="00242062"/>
    <w:rsid w:val="002428A6"/>
    <w:rsid w:val="00243AD5"/>
    <w:rsid w:val="00243F48"/>
    <w:rsid w:val="00243FA1"/>
    <w:rsid w:val="00243FBF"/>
    <w:rsid w:val="0024509F"/>
    <w:rsid w:val="00246CDF"/>
    <w:rsid w:val="00247F11"/>
    <w:rsid w:val="002500A6"/>
    <w:rsid w:val="00251678"/>
    <w:rsid w:val="00253ABB"/>
    <w:rsid w:val="00255D5F"/>
    <w:rsid w:val="00257336"/>
    <w:rsid w:val="00257D4E"/>
    <w:rsid w:val="00261A56"/>
    <w:rsid w:val="00261A7D"/>
    <w:rsid w:val="002629CB"/>
    <w:rsid w:val="00262DBF"/>
    <w:rsid w:val="0026374B"/>
    <w:rsid w:val="00263FE1"/>
    <w:rsid w:val="0026530E"/>
    <w:rsid w:val="00266E02"/>
    <w:rsid w:val="00267C57"/>
    <w:rsid w:val="00267D00"/>
    <w:rsid w:val="00270470"/>
    <w:rsid w:val="00270D86"/>
    <w:rsid w:val="00270E21"/>
    <w:rsid w:val="002717D1"/>
    <w:rsid w:val="00271DE2"/>
    <w:rsid w:val="00272185"/>
    <w:rsid w:val="002738EF"/>
    <w:rsid w:val="00275FBC"/>
    <w:rsid w:val="00277BAE"/>
    <w:rsid w:val="00283857"/>
    <w:rsid w:val="00284512"/>
    <w:rsid w:val="00285854"/>
    <w:rsid w:val="00285C95"/>
    <w:rsid w:val="002868EB"/>
    <w:rsid w:val="00287013"/>
    <w:rsid w:val="002873B8"/>
    <w:rsid w:val="00287BED"/>
    <w:rsid w:val="00291605"/>
    <w:rsid w:val="00291DFF"/>
    <w:rsid w:val="00293E81"/>
    <w:rsid w:val="00294174"/>
    <w:rsid w:val="002941E4"/>
    <w:rsid w:val="002971B9"/>
    <w:rsid w:val="002975FD"/>
    <w:rsid w:val="00297B37"/>
    <w:rsid w:val="002A0772"/>
    <w:rsid w:val="002A07AF"/>
    <w:rsid w:val="002A0833"/>
    <w:rsid w:val="002A25CD"/>
    <w:rsid w:val="002A470A"/>
    <w:rsid w:val="002A49C0"/>
    <w:rsid w:val="002A6B78"/>
    <w:rsid w:val="002B1CA8"/>
    <w:rsid w:val="002B2080"/>
    <w:rsid w:val="002B299E"/>
    <w:rsid w:val="002B2C1A"/>
    <w:rsid w:val="002B2F80"/>
    <w:rsid w:val="002B453F"/>
    <w:rsid w:val="002B4E50"/>
    <w:rsid w:val="002B5CA6"/>
    <w:rsid w:val="002B621A"/>
    <w:rsid w:val="002B649F"/>
    <w:rsid w:val="002B6569"/>
    <w:rsid w:val="002B7017"/>
    <w:rsid w:val="002B7650"/>
    <w:rsid w:val="002C082C"/>
    <w:rsid w:val="002C1299"/>
    <w:rsid w:val="002C1F79"/>
    <w:rsid w:val="002C27E0"/>
    <w:rsid w:val="002C2813"/>
    <w:rsid w:val="002C3109"/>
    <w:rsid w:val="002C4D7E"/>
    <w:rsid w:val="002C7876"/>
    <w:rsid w:val="002C7ABB"/>
    <w:rsid w:val="002D2CBD"/>
    <w:rsid w:val="002D3EA5"/>
    <w:rsid w:val="002D48E6"/>
    <w:rsid w:val="002D4C49"/>
    <w:rsid w:val="002D4CD0"/>
    <w:rsid w:val="002D5645"/>
    <w:rsid w:val="002D5E97"/>
    <w:rsid w:val="002D7187"/>
    <w:rsid w:val="002D74F6"/>
    <w:rsid w:val="002E1D76"/>
    <w:rsid w:val="002E28EC"/>
    <w:rsid w:val="002E3A69"/>
    <w:rsid w:val="002E41E6"/>
    <w:rsid w:val="002E47C6"/>
    <w:rsid w:val="002E4935"/>
    <w:rsid w:val="002E57C2"/>
    <w:rsid w:val="002F13BF"/>
    <w:rsid w:val="002F143B"/>
    <w:rsid w:val="002F19C2"/>
    <w:rsid w:val="002F1CBE"/>
    <w:rsid w:val="002F3896"/>
    <w:rsid w:val="002F3DA1"/>
    <w:rsid w:val="002F40FE"/>
    <w:rsid w:val="0030083E"/>
    <w:rsid w:val="003013BC"/>
    <w:rsid w:val="00301A17"/>
    <w:rsid w:val="00302DF8"/>
    <w:rsid w:val="0030305C"/>
    <w:rsid w:val="00304DFF"/>
    <w:rsid w:val="00304F8D"/>
    <w:rsid w:val="003060AD"/>
    <w:rsid w:val="0030695F"/>
    <w:rsid w:val="003072C9"/>
    <w:rsid w:val="0030771F"/>
    <w:rsid w:val="00310196"/>
    <w:rsid w:val="00311566"/>
    <w:rsid w:val="00314958"/>
    <w:rsid w:val="00314E9B"/>
    <w:rsid w:val="00316A02"/>
    <w:rsid w:val="00317D31"/>
    <w:rsid w:val="003208CE"/>
    <w:rsid w:val="003218AB"/>
    <w:rsid w:val="00323A47"/>
    <w:rsid w:val="0032418B"/>
    <w:rsid w:val="003244A1"/>
    <w:rsid w:val="00324EEC"/>
    <w:rsid w:val="003253AD"/>
    <w:rsid w:val="00325490"/>
    <w:rsid w:val="00325CA6"/>
    <w:rsid w:val="00327CAD"/>
    <w:rsid w:val="00327DB0"/>
    <w:rsid w:val="00330A06"/>
    <w:rsid w:val="00330D1C"/>
    <w:rsid w:val="00330DD4"/>
    <w:rsid w:val="00331EA2"/>
    <w:rsid w:val="0033250D"/>
    <w:rsid w:val="003326B2"/>
    <w:rsid w:val="0033295C"/>
    <w:rsid w:val="003340FB"/>
    <w:rsid w:val="0033461D"/>
    <w:rsid w:val="00336A83"/>
    <w:rsid w:val="00336E76"/>
    <w:rsid w:val="00343A91"/>
    <w:rsid w:val="00343DBD"/>
    <w:rsid w:val="00343E8B"/>
    <w:rsid w:val="003440DB"/>
    <w:rsid w:val="003445DF"/>
    <w:rsid w:val="00344C9B"/>
    <w:rsid w:val="00346BA3"/>
    <w:rsid w:val="00346DC8"/>
    <w:rsid w:val="00350982"/>
    <w:rsid w:val="00351C05"/>
    <w:rsid w:val="003526C3"/>
    <w:rsid w:val="00352D4A"/>
    <w:rsid w:val="00353B9F"/>
    <w:rsid w:val="003540F6"/>
    <w:rsid w:val="003544D6"/>
    <w:rsid w:val="00354AEA"/>
    <w:rsid w:val="00355E49"/>
    <w:rsid w:val="003564BF"/>
    <w:rsid w:val="003600D5"/>
    <w:rsid w:val="00360774"/>
    <w:rsid w:val="00361602"/>
    <w:rsid w:val="00361C0B"/>
    <w:rsid w:val="00364192"/>
    <w:rsid w:val="00364647"/>
    <w:rsid w:val="00365072"/>
    <w:rsid w:val="003656BB"/>
    <w:rsid w:val="00366226"/>
    <w:rsid w:val="00366E3B"/>
    <w:rsid w:val="0036779C"/>
    <w:rsid w:val="003711D4"/>
    <w:rsid w:val="003714D0"/>
    <w:rsid w:val="00372CC8"/>
    <w:rsid w:val="00373FE0"/>
    <w:rsid w:val="0037685D"/>
    <w:rsid w:val="00376C8B"/>
    <w:rsid w:val="00376FDE"/>
    <w:rsid w:val="00377494"/>
    <w:rsid w:val="0037787F"/>
    <w:rsid w:val="00381633"/>
    <w:rsid w:val="00381F9B"/>
    <w:rsid w:val="00382266"/>
    <w:rsid w:val="00383388"/>
    <w:rsid w:val="00386E0E"/>
    <w:rsid w:val="00390C3A"/>
    <w:rsid w:val="00391744"/>
    <w:rsid w:val="00393D24"/>
    <w:rsid w:val="00393E64"/>
    <w:rsid w:val="00393EEC"/>
    <w:rsid w:val="00394233"/>
    <w:rsid w:val="00394CC6"/>
    <w:rsid w:val="003975EC"/>
    <w:rsid w:val="00397E52"/>
    <w:rsid w:val="003A1768"/>
    <w:rsid w:val="003A1A69"/>
    <w:rsid w:val="003A20F9"/>
    <w:rsid w:val="003A38E3"/>
    <w:rsid w:val="003B14B8"/>
    <w:rsid w:val="003B15E2"/>
    <w:rsid w:val="003B2C19"/>
    <w:rsid w:val="003B4C11"/>
    <w:rsid w:val="003B69D9"/>
    <w:rsid w:val="003B7620"/>
    <w:rsid w:val="003B773A"/>
    <w:rsid w:val="003C0031"/>
    <w:rsid w:val="003C2D08"/>
    <w:rsid w:val="003C329C"/>
    <w:rsid w:val="003C4AFD"/>
    <w:rsid w:val="003C4B35"/>
    <w:rsid w:val="003C5202"/>
    <w:rsid w:val="003C54DB"/>
    <w:rsid w:val="003D0BBD"/>
    <w:rsid w:val="003D1698"/>
    <w:rsid w:val="003D1F1C"/>
    <w:rsid w:val="003D2261"/>
    <w:rsid w:val="003D4B4D"/>
    <w:rsid w:val="003E0767"/>
    <w:rsid w:val="003E2602"/>
    <w:rsid w:val="003E2D36"/>
    <w:rsid w:val="003E338B"/>
    <w:rsid w:val="003E3641"/>
    <w:rsid w:val="003E46B3"/>
    <w:rsid w:val="003E6E50"/>
    <w:rsid w:val="003E6EB8"/>
    <w:rsid w:val="003E716F"/>
    <w:rsid w:val="003F0123"/>
    <w:rsid w:val="003F08FA"/>
    <w:rsid w:val="003F2828"/>
    <w:rsid w:val="003F2EB2"/>
    <w:rsid w:val="003F49EF"/>
    <w:rsid w:val="003F756D"/>
    <w:rsid w:val="003F78CB"/>
    <w:rsid w:val="00400A94"/>
    <w:rsid w:val="00402B39"/>
    <w:rsid w:val="00402EDF"/>
    <w:rsid w:val="00406B68"/>
    <w:rsid w:val="004079FE"/>
    <w:rsid w:val="004112F3"/>
    <w:rsid w:val="004113D5"/>
    <w:rsid w:val="0041360B"/>
    <w:rsid w:val="0041405D"/>
    <w:rsid w:val="00414537"/>
    <w:rsid w:val="00414DBB"/>
    <w:rsid w:val="00417E4C"/>
    <w:rsid w:val="00421BA6"/>
    <w:rsid w:val="00422086"/>
    <w:rsid w:val="004239E6"/>
    <w:rsid w:val="00423A6F"/>
    <w:rsid w:val="004249B8"/>
    <w:rsid w:val="00427FF4"/>
    <w:rsid w:val="0043006E"/>
    <w:rsid w:val="00430AA7"/>
    <w:rsid w:val="0043146C"/>
    <w:rsid w:val="0043400B"/>
    <w:rsid w:val="004345EC"/>
    <w:rsid w:val="00434DA6"/>
    <w:rsid w:val="004351CA"/>
    <w:rsid w:val="00435C7C"/>
    <w:rsid w:val="00436FE7"/>
    <w:rsid w:val="00437A1D"/>
    <w:rsid w:val="00441A47"/>
    <w:rsid w:val="00441F01"/>
    <w:rsid w:val="004427E0"/>
    <w:rsid w:val="00442CB3"/>
    <w:rsid w:val="00443645"/>
    <w:rsid w:val="004439C3"/>
    <w:rsid w:val="00444DF2"/>
    <w:rsid w:val="00446E80"/>
    <w:rsid w:val="00447443"/>
    <w:rsid w:val="0044770E"/>
    <w:rsid w:val="00447EC9"/>
    <w:rsid w:val="00450E66"/>
    <w:rsid w:val="00451306"/>
    <w:rsid w:val="00451F0E"/>
    <w:rsid w:val="004526CB"/>
    <w:rsid w:val="004530DF"/>
    <w:rsid w:val="00454E5A"/>
    <w:rsid w:val="00455F4A"/>
    <w:rsid w:val="00457E7E"/>
    <w:rsid w:val="00461BC4"/>
    <w:rsid w:val="00462ADD"/>
    <w:rsid w:val="00463760"/>
    <w:rsid w:val="004640B5"/>
    <w:rsid w:val="0046458B"/>
    <w:rsid w:val="00464857"/>
    <w:rsid w:val="004652A1"/>
    <w:rsid w:val="0046651D"/>
    <w:rsid w:val="00466C51"/>
    <w:rsid w:val="0046786E"/>
    <w:rsid w:val="004702FE"/>
    <w:rsid w:val="004703C0"/>
    <w:rsid w:val="00470C5B"/>
    <w:rsid w:val="00470DD3"/>
    <w:rsid w:val="004733E1"/>
    <w:rsid w:val="0047342A"/>
    <w:rsid w:val="0047458A"/>
    <w:rsid w:val="00475058"/>
    <w:rsid w:val="004755F1"/>
    <w:rsid w:val="004756E6"/>
    <w:rsid w:val="00475FAF"/>
    <w:rsid w:val="00476E22"/>
    <w:rsid w:val="00477C4F"/>
    <w:rsid w:val="00480124"/>
    <w:rsid w:val="00480450"/>
    <w:rsid w:val="004808A3"/>
    <w:rsid w:val="004832BC"/>
    <w:rsid w:val="00483868"/>
    <w:rsid w:val="0048473E"/>
    <w:rsid w:val="00485A1B"/>
    <w:rsid w:val="0048707C"/>
    <w:rsid w:val="0048720C"/>
    <w:rsid w:val="004878EA"/>
    <w:rsid w:val="00490FBE"/>
    <w:rsid w:val="0049125A"/>
    <w:rsid w:val="004949E8"/>
    <w:rsid w:val="00494BE0"/>
    <w:rsid w:val="0049591C"/>
    <w:rsid w:val="00495A03"/>
    <w:rsid w:val="00496BE4"/>
    <w:rsid w:val="004A0228"/>
    <w:rsid w:val="004A141D"/>
    <w:rsid w:val="004A2446"/>
    <w:rsid w:val="004A27D0"/>
    <w:rsid w:val="004A3239"/>
    <w:rsid w:val="004A36FF"/>
    <w:rsid w:val="004A374B"/>
    <w:rsid w:val="004A42B5"/>
    <w:rsid w:val="004A4A37"/>
    <w:rsid w:val="004A4D62"/>
    <w:rsid w:val="004A592B"/>
    <w:rsid w:val="004A7A02"/>
    <w:rsid w:val="004B11B2"/>
    <w:rsid w:val="004B2A02"/>
    <w:rsid w:val="004B35EB"/>
    <w:rsid w:val="004B43EC"/>
    <w:rsid w:val="004B4531"/>
    <w:rsid w:val="004B4E2E"/>
    <w:rsid w:val="004B5553"/>
    <w:rsid w:val="004B6997"/>
    <w:rsid w:val="004B6F8E"/>
    <w:rsid w:val="004C0069"/>
    <w:rsid w:val="004C1CD0"/>
    <w:rsid w:val="004C215E"/>
    <w:rsid w:val="004C28F7"/>
    <w:rsid w:val="004C2A34"/>
    <w:rsid w:val="004C2C8F"/>
    <w:rsid w:val="004C3737"/>
    <w:rsid w:val="004C3F6A"/>
    <w:rsid w:val="004C5556"/>
    <w:rsid w:val="004C59D3"/>
    <w:rsid w:val="004D11B7"/>
    <w:rsid w:val="004D1978"/>
    <w:rsid w:val="004D4765"/>
    <w:rsid w:val="004D548D"/>
    <w:rsid w:val="004D5E71"/>
    <w:rsid w:val="004D61D9"/>
    <w:rsid w:val="004D6B71"/>
    <w:rsid w:val="004E064D"/>
    <w:rsid w:val="004E1B15"/>
    <w:rsid w:val="004E2E82"/>
    <w:rsid w:val="004E33B9"/>
    <w:rsid w:val="004E4FC0"/>
    <w:rsid w:val="004E6FB0"/>
    <w:rsid w:val="004F1294"/>
    <w:rsid w:val="004F1A71"/>
    <w:rsid w:val="004F2DFA"/>
    <w:rsid w:val="004F48FB"/>
    <w:rsid w:val="004F4DAC"/>
    <w:rsid w:val="004F5BBC"/>
    <w:rsid w:val="004F5DAB"/>
    <w:rsid w:val="004F6747"/>
    <w:rsid w:val="004F7393"/>
    <w:rsid w:val="00501D43"/>
    <w:rsid w:val="00502DD7"/>
    <w:rsid w:val="005113A5"/>
    <w:rsid w:val="00512841"/>
    <w:rsid w:val="00512FB7"/>
    <w:rsid w:val="00513518"/>
    <w:rsid w:val="00513966"/>
    <w:rsid w:val="00514529"/>
    <w:rsid w:val="00516017"/>
    <w:rsid w:val="00516142"/>
    <w:rsid w:val="00516647"/>
    <w:rsid w:val="00516893"/>
    <w:rsid w:val="0052055A"/>
    <w:rsid w:val="00521A74"/>
    <w:rsid w:val="00522795"/>
    <w:rsid w:val="00524169"/>
    <w:rsid w:val="00524821"/>
    <w:rsid w:val="00524C4C"/>
    <w:rsid w:val="00525C0D"/>
    <w:rsid w:val="00530052"/>
    <w:rsid w:val="00530EE8"/>
    <w:rsid w:val="00532023"/>
    <w:rsid w:val="00533501"/>
    <w:rsid w:val="00534237"/>
    <w:rsid w:val="00534537"/>
    <w:rsid w:val="00534A78"/>
    <w:rsid w:val="00535728"/>
    <w:rsid w:val="00536057"/>
    <w:rsid w:val="00536BAA"/>
    <w:rsid w:val="00536DB5"/>
    <w:rsid w:val="005370E4"/>
    <w:rsid w:val="00540A51"/>
    <w:rsid w:val="00540D49"/>
    <w:rsid w:val="005413D8"/>
    <w:rsid w:val="00542003"/>
    <w:rsid w:val="00543DA7"/>
    <w:rsid w:val="00544C51"/>
    <w:rsid w:val="00544FEB"/>
    <w:rsid w:val="0054650B"/>
    <w:rsid w:val="00550D93"/>
    <w:rsid w:val="005513B7"/>
    <w:rsid w:val="00552D07"/>
    <w:rsid w:val="005538AB"/>
    <w:rsid w:val="00553ED8"/>
    <w:rsid w:val="00554736"/>
    <w:rsid w:val="005552B7"/>
    <w:rsid w:val="00556E9A"/>
    <w:rsid w:val="005614F5"/>
    <w:rsid w:val="005616D3"/>
    <w:rsid w:val="005626A2"/>
    <w:rsid w:val="005629ED"/>
    <w:rsid w:val="00566544"/>
    <w:rsid w:val="005670D9"/>
    <w:rsid w:val="00567E71"/>
    <w:rsid w:val="00567FF4"/>
    <w:rsid w:val="00570836"/>
    <w:rsid w:val="00570E82"/>
    <w:rsid w:val="0057161A"/>
    <w:rsid w:val="0057184A"/>
    <w:rsid w:val="005718EB"/>
    <w:rsid w:val="00572959"/>
    <w:rsid w:val="0057325D"/>
    <w:rsid w:val="005735CE"/>
    <w:rsid w:val="00573D2B"/>
    <w:rsid w:val="005743AF"/>
    <w:rsid w:val="005743E3"/>
    <w:rsid w:val="005752B3"/>
    <w:rsid w:val="00581F8D"/>
    <w:rsid w:val="00582341"/>
    <w:rsid w:val="00583CEA"/>
    <w:rsid w:val="0058420A"/>
    <w:rsid w:val="0058687C"/>
    <w:rsid w:val="0059122B"/>
    <w:rsid w:val="005921CD"/>
    <w:rsid w:val="00592BA4"/>
    <w:rsid w:val="00594A47"/>
    <w:rsid w:val="0059639B"/>
    <w:rsid w:val="00596630"/>
    <w:rsid w:val="005A1799"/>
    <w:rsid w:val="005A179F"/>
    <w:rsid w:val="005A1B39"/>
    <w:rsid w:val="005A3035"/>
    <w:rsid w:val="005A4EE4"/>
    <w:rsid w:val="005A56D9"/>
    <w:rsid w:val="005A708C"/>
    <w:rsid w:val="005A7579"/>
    <w:rsid w:val="005A7BB7"/>
    <w:rsid w:val="005B122A"/>
    <w:rsid w:val="005B1FB7"/>
    <w:rsid w:val="005B2EA3"/>
    <w:rsid w:val="005B3C03"/>
    <w:rsid w:val="005B5119"/>
    <w:rsid w:val="005B7347"/>
    <w:rsid w:val="005C0A8C"/>
    <w:rsid w:val="005C21B1"/>
    <w:rsid w:val="005C258D"/>
    <w:rsid w:val="005C3216"/>
    <w:rsid w:val="005C3D73"/>
    <w:rsid w:val="005C4326"/>
    <w:rsid w:val="005C55C2"/>
    <w:rsid w:val="005C76B2"/>
    <w:rsid w:val="005D008B"/>
    <w:rsid w:val="005D0E78"/>
    <w:rsid w:val="005D184E"/>
    <w:rsid w:val="005D22B6"/>
    <w:rsid w:val="005D3592"/>
    <w:rsid w:val="005D42A3"/>
    <w:rsid w:val="005D5F56"/>
    <w:rsid w:val="005D5FF0"/>
    <w:rsid w:val="005D6165"/>
    <w:rsid w:val="005E0C7B"/>
    <w:rsid w:val="005E1700"/>
    <w:rsid w:val="005E2478"/>
    <w:rsid w:val="005E27BC"/>
    <w:rsid w:val="005E4BE5"/>
    <w:rsid w:val="005E5658"/>
    <w:rsid w:val="005E626F"/>
    <w:rsid w:val="005E6397"/>
    <w:rsid w:val="005E661E"/>
    <w:rsid w:val="005E7771"/>
    <w:rsid w:val="005F0672"/>
    <w:rsid w:val="005F52C3"/>
    <w:rsid w:val="005F7E69"/>
    <w:rsid w:val="00601F48"/>
    <w:rsid w:val="006025F0"/>
    <w:rsid w:val="00602D43"/>
    <w:rsid w:val="00602FE0"/>
    <w:rsid w:val="006038E4"/>
    <w:rsid w:val="006049D3"/>
    <w:rsid w:val="006054FE"/>
    <w:rsid w:val="00605787"/>
    <w:rsid w:val="006071CE"/>
    <w:rsid w:val="00610233"/>
    <w:rsid w:val="00610555"/>
    <w:rsid w:val="006127CC"/>
    <w:rsid w:val="00613AE4"/>
    <w:rsid w:val="00613C16"/>
    <w:rsid w:val="00614D7D"/>
    <w:rsid w:val="00614DF8"/>
    <w:rsid w:val="00615320"/>
    <w:rsid w:val="0061542D"/>
    <w:rsid w:val="006218F0"/>
    <w:rsid w:val="006228E6"/>
    <w:rsid w:val="006246B2"/>
    <w:rsid w:val="00624C49"/>
    <w:rsid w:val="006250FB"/>
    <w:rsid w:val="006253FA"/>
    <w:rsid w:val="006263CD"/>
    <w:rsid w:val="0062662F"/>
    <w:rsid w:val="00631602"/>
    <w:rsid w:val="006338F1"/>
    <w:rsid w:val="00633BEC"/>
    <w:rsid w:val="00633C6D"/>
    <w:rsid w:val="00634F2D"/>
    <w:rsid w:val="006356D2"/>
    <w:rsid w:val="00635B7A"/>
    <w:rsid w:val="0063760E"/>
    <w:rsid w:val="00637ED7"/>
    <w:rsid w:val="00643B2A"/>
    <w:rsid w:val="00643FB0"/>
    <w:rsid w:val="00644FE8"/>
    <w:rsid w:val="0064535D"/>
    <w:rsid w:val="006456CD"/>
    <w:rsid w:val="00646E12"/>
    <w:rsid w:val="006505A7"/>
    <w:rsid w:val="00651E2E"/>
    <w:rsid w:val="006521F6"/>
    <w:rsid w:val="006531FE"/>
    <w:rsid w:val="00653AF4"/>
    <w:rsid w:val="00654D25"/>
    <w:rsid w:val="00654F2F"/>
    <w:rsid w:val="00656064"/>
    <w:rsid w:val="006571DB"/>
    <w:rsid w:val="00657AD1"/>
    <w:rsid w:val="0066141C"/>
    <w:rsid w:val="006614B8"/>
    <w:rsid w:val="006632BE"/>
    <w:rsid w:val="00663B7B"/>
    <w:rsid w:val="00664966"/>
    <w:rsid w:val="00664B01"/>
    <w:rsid w:val="006651FC"/>
    <w:rsid w:val="00667C30"/>
    <w:rsid w:val="00673144"/>
    <w:rsid w:val="006733F3"/>
    <w:rsid w:val="006749D7"/>
    <w:rsid w:val="006750D0"/>
    <w:rsid w:val="00675614"/>
    <w:rsid w:val="00675ED6"/>
    <w:rsid w:val="00676A94"/>
    <w:rsid w:val="006778C1"/>
    <w:rsid w:val="00677E52"/>
    <w:rsid w:val="00682A43"/>
    <w:rsid w:val="00682AEB"/>
    <w:rsid w:val="0068307C"/>
    <w:rsid w:val="006836E2"/>
    <w:rsid w:val="006845D5"/>
    <w:rsid w:val="006856E8"/>
    <w:rsid w:val="006865E7"/>
    <w:rsid w:val="006911F2"/>
    <w:rsid w:val="00695CA8"/>
    <w:rsid w:val="00697213"/>
    <w:rsid w:val="00697D76"/>
    <w:rsid w:val="006A1E3E"/>
    <w:rsid w:val="006A351B"/>
    <w:rsid w:val="006A44B7"/>
    <w:rsid w:val="006A4973"/>
    <w:rsid w:val="006A7BA6"/>
    <w:rsid w:val="006A7FF3"/>
    <w:rsid w:val="006B04FE"/>
    <w:rsid w:val="006B139E"/>
    <w:rsid w:val="006B32B9"/>
    <w:rsid w:val="006B3612"/>
    <w:rsid w:val="006B3B35"/>
    <w:rsid w:val="006B4531"/>
    <w:rsid w:val="006B59AF"/>
    <w:rsid w:val="006B67E2"/>
    <w:rsid w:val="006B6C2B"/>
    <w:rsid w:val="006C0C8E"/>
    <w:rsid w:val="006C14D5"/>
    <w:rsid w:val="006C250B"/>
    <w:rsid w:val="006C3145"/>
    <w:rsid w:val="006C480E"/>
    <w:rsid w:val="006C5BB9"/>
    <w:rsid w:val="006C66D1"/>
    <w:rsid w:val="006D0740"/>
    <w:rsid w:val="006D0DD7"/>
    <w:rsid w:val="006D1006"/>
    <w:rsid w:val="006D1964"/>
    <w:rsid w:val="006D1E73"/>
    <w:rsid w:val="006D200B"/>
    <w:rsid w:val="006D4837"/>
    <w:rsid w:val="006D4F56"/>
    <w:rsid w:val="006D6E84"/>
    <w:rsid w:val="006D6F5E"/>
    <w:rsid w:val="006D7541"/>
    <w:rsid w:val="006E0180"/>
    <w:rsid w:val="006E0C88"/>
    <w:rsid w:val="006E16D9"/>
    <w:rsid w:val="006E4B79"/>
    <w:rsid w:val="006E5079"/>
    <w:rsid w:val="006E5E5B"/>
    <w:rsid w:val="006E6626"/>
    <w:rsid w:val="006E6F1B"/>
    <w:rsid w:val="006E7CA9"/>
    <w:rsid w:val="006F01BA"/>
    <w:rsid w:val="006F115F"/>
    <w:rsid w:val="006F2F6A"/>
    <w:rsid w:val="006F3916"/>
    <w:rsid w:val="006F621D"/>
    <w:rsid w:val="006F7363"/>
    <w:rsid w:val="006F74BB"/>
    <w:rsid w:val="007026C5"/>
    <w:rsid w:val="007038D9"/>
    <w:rsid w:val="00703ED1"/>
    <w:rsid w:val="007042EC"/>
    <w:rsid w:val="007048F9"/>
    <w:rsid w:val="0070495F"/>
    <w:rsid w:val="00705FAF"/>
    <w:rsid w:val="00710A95"/>
    <w:rsid w:val="00710C2E"/>
    <w:rsid w:val="00710DD3"/>
    <w:rsid w:val="0071128F"/>
    <w:rsid w:val="0071163E"/>
    <w:rsid w:val="00713895"/>
    <w:rsid w:val="007141EB"/>
    <w:rsid w:val="00714DEB"/>
    <w:rsid w:val="00720F68"/>
    <w:rsid w:val="007210D1"/>
    <w:rsid w:val="00721C7A"/>
    <w:rsid w:val="007238B8"/>
    <w:rsid w:val="007245AA"/>
    <w:rsid w:val="0072460E"/>
    <w:rsid w:val="00724653"/>
    <w:rsid w:val="0072506F"/>
    <w:rsid w:val="00726E47"/>
    <w:rsid w:val="00726E6A"/>
    <w:rsid w:val="00727D0D"/>
    <w:rsid w:val="00727D79"/>
    <w:rsid w:val="00727F87"/>
    <w:rsid w:val="007304DD"/>
    <w:rsid w:val="00730DA2"/>
    <w:rsid w:val="00731E5B"/>
    <w:rsid w:val="007339E1"/>
    <w:rsid w:val="0073538D"/>
    <w:rsid w:val="00737C4B"/>
    <w:rsid w:val="00741407"/>
    <w:rsid w:val="0074192E"/>
    <w:rsid w:val="00741A4F"/>
    <w:rsid w:val="00743FD3"/>
    <w:rsid w:val="00744574"/>
    <w:rsid w:val="0074603A"/>
    <w:rsid w:val="0075069C"/>
    <w:rsid w:val="00750CFE"/>
    <w:rsid w:val="00751E0E"/>
    <w:rsid w:val="007552D4"/>
    <w:rsid w:val="00756218"/>
    <w:rsid w:val="00756CF0"/>
    <w:rsid w:val="00756DAD"/>
    <w:rsid w:val="00761639"/>
    <w:rsid w:val="007624B1"/>
    <w:rsid w:val="00763CE3"/>
    <w:rsid w:val="00763D40"/>
    <w:rsid w:val="00766AC8"/>
    <w:rsid w:val="00766BD8"/>
    <w:rsid w:val="00766E47"/>
    <w:rsid w:val="00770EFD"/>
    <w:rsid w:val="007731BE"/>
    <w:rsid w:val="00774D4F"/>
    <w:rsid w:val="00776CFE"/>
    <w:rsid w:val="00777386"/>
    <w:rsid w:val="00777EB9"/>
    <w:rsid w:val="00780583"/>
    <w:rsid w:val="00782661"/>
    <w:rsid w:val="00782D15"/>
    <w:rsid w:val="00783172"/>
    <w:rsid w:val="00783BF7"/>
    <w:rsid w:val="00784291"/>
    <w:rsid w:val="00786A01"/>
    <w:rsid w:val="00787723"/>
    <w:rsid w:val="00787960"/>
    <w:rsid w:val="00790FD4"/>
    <w:rsid w:val="00791CED"/>
    <w:rsid w:val="00793D4E"/>
    <w:rsid w:val="007948C2"/>
    <w:rsid w:val="007948D9"/>
    <w:rsid w:val="00794D79"/>
    <w:rsid w:val="00795D8D"/>
    <w:rsid w:val="00796197"/>
    <w:rsid w:val="007A1C74"/>
    <w:rsid w:val="007A1C79"/>
    <w:rsid w:val="007A20DA"/>
    <w:rsid w:val="007A2724"/>
    <w:rsid w:val="007A38D4"/>
    <w:rsid w:val="007A3DC0"/>
    <w:rsid w:val="007A512F"/>
    <w:rsid w:val="007A72CF"/>
    <w:rsid w:val="007B032A"/>
    <w:rsid w:val="007B230B"/>
    <w:rsid w:val="007B2AA4"/>
    <w:rsid w:val="007B3063"/>
    <w:rsid w:val="007B4F23"/>
    <w:rsid w:val="007B54FD"/>
    <w:rsid w:val="007B7EE5"/>
    <w:rsid w:val="007C209D"/>
    <w:rsid w:val="007C3257"/>
    <w:rsid w:val="007C3363"/>
    <w:rsid w:val="007C5F8B"/>
    <w:rsid w:val="007C6664"/>
    <w:rsid w:val="007C694E"/>
    <w:rsid w:val="007C6C91"/>
    <w:rsid w:val="007D120F"/>
    <w:rsid w:val="007D170B"/>
    <w:rsid w:val="007D1934"/>
    <w:rsid w:val="007D30C5"/>
    <w:rsid w:val="007D4961"/>
    <w:rsid w:val="007D4ABA"/>
    <w:rsid w:val="007D4AC4"/>
    <w:rsid w:val="007D63D0"/>
    <w:rsid w:val="007D6E70"/>
    <w:rsid w:val="007D7B36"/>
    <w:rsid w:val="007E04EC"/>
    <w:rsid w:val="007E0732"/>
    <w:rsid w:val="007E1C8A"/>
    <w:rsid w:val="007E4BF3"/>
    <w:rsid w:val="007E5938"/>
    <w:rsid w:val="007E6052"/>
    <w:rsid w:val="007E63DF"/>
    <w:rsid w:val="007E7937"/>
    <w:rsid w:val="007F2C49"/>
    <w:rsid w:val="007F2CE4"/>
    <w:rsid w:val="007F4E20"/>
    <w:rsid w:val="007F5423"/>
    <w:rsid w:val="007F6546"/>
    <w:rsid w:val="007F6ACD"/>
    <w:rsid w:val="007F73C7"/>
    <w:rsid w:val="00800984"/>
    <w:rsid w:val="008039B7"/>
    <w:rsid w:val="00804405"/>
    <w:rsid w:val="00804A43"/>
    <w:rsid w:val="00806DA1"/>
    <w:rsid w:val="00807741"/>
    <w:rsid w:val="00807AB5"/>
    <w:rsid w:val="008101C8"/>
    <w:rsid w:val="00811484"/>
    <w:rsid w:val="0081166E"/>
    <w:rsid w:val="00812A99"/>
    <w:rsid w:val="00813452"/>
    <w:rsid w:val="00815B6C"/>
    <w:rsid w:val="00815B96"/>
    <w:rsid w:val="00815F51"/>
    <w:rsid w:val="008166C2"/>
    <w:rsid w:val="00817892"/>
    <w:rsid w:val="00817899"/>
    <w:rsid w:val="00820063"/>
    <w:rsid w:val="008204BC"/>
    <w:rsid w:val="00820673"/>
    <w:rsid w:val="00822099"/>
    <w:rsid w:val="00822E14"/>
    <w:rsid w:val="008237F8"/>
    <w:rsid w:val="008251A6"/>
    <w:rsid w:val="00825845"/>
    <w:rsid w:val="00825D96"/>
    <w:rsid w:val="008305B9"/>
    <w:rsid w:val="0083077F"/>
    <w:rsid w:val="0083256E"/>
    <w:rsid w:val="00833660"/>
    <w:rsid w:val="00834214"/>
    <w:rsid w:val="00834AE4"/>
    <w:rsid w:val="008355BB"/>
    <w:rsid w:val="00836F4E"/>
    <w:rsid w:val="008370B4"/>
    <w:rsid w:val="0083794D"/>
    <w:rsid w:val="008421D5"/>
    <w:rsid w:val="00843965"/>
    <w:rsid w:val="00850A5B"/>
    <w:rsid w:val="00851105"/>
    <w:rsid w:val="00852208"/>
    <w:rsid w:val="00852488"/>
    <w:rsid w:val="00854D3D"/>
    <w:rsid w:val="008567AC"/>
    <w:rsid w:val="00857988"/>
    <w:rsid w:val="0086184A"/>
    <w:rsid w:val="00861AC9"/>
    <w:rsid w:val="00862248"/>
    <w:rsid w:val="0086324F"/>
    <w:rsid w:val="008635DF"/>
    <w:rsid w:val="0086364F"/>
    <w:rsid w:val="00864DBF"/>
    <w:rsid w:val="00865376"/>
    <w:rsid w:val="00865713"/>
    <w:rsid w:val="008663C1"/>
    <w:rsid w:val="0086792D"/>
    <w:rsid w:val="008715B5"/>
    <w:rsid w:val="008723A8"/>
    <w:rsid w:val="00872CBB"/>
    <w:rsid w:val="0087339D"/>
    <w:rsid w:val="0087438E"/>
    <w:rsid w:val="00876B6E"/>
    <w:rsid w:val="008804D4"/>
    <w:rsid w:val="00882A61"/>
    <w:rsid w:val="008842F6"/>
    <w:rsid w:val="00890483"/>
    <w:rsid w:val="00891E82"/>
    <w:rsid w:val="00892191"/>
    <w:rsid w:val="00892EB8"/>
    <w:rsid w:val="00894103"/>
    <w:rsid w:val="00894F2A"/>
    <w:rsid w:val="00897B47"/>
    <w:rsid w:val="008A0533"/>
    <w:rsid w:val="008A51B4"/>
    <w:rsid w:val="008A5800"/>
    <w:rsid w:val="008A6473"/>
    <w:rsid w:val="008A6F9C"/>
    <w:rsid w:val="008B0C33"/>
    <w:rsid w:val="008B2702"/>
    <w:rsid w:val="008B2EB5"/>
    <w:rsid w:val="008B4058"/>
    <w:rsid w:val="008B5A16"/>
    <w:rsid w:val="008B687F"/>
    <w:rsid w:val="008B7DBF"/>
    <w:rsid w:val="008C0597"/>
    <w:rsid w:val="008C20D1"/>
    <w:rsid w:val="008C2D37"/>
    <w:rsid w:val="008C5503"/>
    <w:rsid w:val="008D0D0C"/>
    <w:rsid w:val="008D3A74"/>
    <w:rsid w:val="008D5901"/>
    <w:rsid w:val="008D5BD1"/>
    <w:rsid w:val="008D5E09"/>
    <w:rsid w:val="008D602D"/>
    <w:rsid w:val="008D64DD"/>
    <w:rsid w:val="008E0677"/>
    <w:rsid w:val="008E108D"/>
    <w:rsid w:val="008E2196"/>
    <w:rsid w:val="008E5939"/>
    <w:rsid w:val="008E5952"/>
    <w:rsid w:val="008E7ED3"/>
    <w:rsid w:val="008F5D2C"/>
    <w:rsid w:val="0090072F"/>
    <w:rsid w:val="00900BA5"/>
    <w:rsid w:val="009020A4"/>
    <w:rsid w:val="00902CB7"/>
    <w:rsid w:val="00902FF4"/>
    <w:rsid w:val="00903B03"/>
    <w:rsid w:val="00904208"/>
    <w:rsid w:val="00904D22"/>
    <w:rsid w:val="00904FDA"/>
    <w:rsid w:val="0090567B"/>
    <w:rsid w:val="00905CE9"/>
    <w:rsid w:val="00906763"/>
    <w:rsid w:val="00906A22"/>
    <w:rsid w:val="00907613"/>
    <w:rsid w:val="009108D8"/>
    <w:rsid w:val="00911EC6"/>
    <w:rsid w:val="009124A3"/>
    <w:rsid w:val="00914776"/>
    <w:rsid w:val="00914FC7"/>
    <w:rsid w:val="009152D4"/>
    <w:rsid w:val="00917C06"/>
    <w:rsid w:val="0092287C"/>
    <w:rsid w:val="00922FA9"/>
    <w:rsid w:val="00923556"/>
    <w:rsid w:val="0092417E"/>
    <w:rsid w:val="00924307"/>
    <w:rsid w:val="00925FEC"/>
    <w:rsid w:val="00927C5B"/>
    <w:rsid w:val="00930C4A"/>
    <w:rsid w:val="00931B5A"/>
    <w:rsid w:val="00931F14"/>
    <w:rsid w:val="00932085"/>
    <w:rsid w:val="00932CB4"/>
    <w:rsid w:val="00933218"/>
    <w:rsid w:val="0093379B"/>
    <w:rsid w:val="00933BCB"/>
    <w:rsid w:val="00940373"/>
    <w:rsid w:val="00940AA8"/>
    <w:rsid w:val="00943F49"/>
    <w:rsid w:val="00944DAB"/>
    <w:rsid w:val="00945EB3"/>
    <w:rsid w:val="00950B3E"/>
    <w:rsid w:val="00950F99"/>
    <w:rsid w:val="00951466"/>
    <w:rsid w:val="009522D7"/>
    <w:rsid w:val="009530C6"/>
    <w:rsid w:val="009549E5"/>
    <w:rsid w:val="00954EF3"/>
    <w:rsid w:val="0095566B"/>
    <w:rsid w:val="00957BD9"/>
    <w:rsid w:val="009621F1"/>
    <w:rsid w:val="00963B62"/>
    <w:rsid w:val="009650E0"/>
    <w:rsid w:val="00965260"/>
    <w:rsid w:val="00966CD3"/>
    <w:rsid w:val="00967644"/>
    <w:rsid w:val="00970DA9"/>
    <w:rsid w:val="00970E95"/>
    <w:rsid w:val="0097161D"/>
    <w:rsid w:val="009716A1"/>
    <w:rsid w:val="00971BFC"/>
    <w:rsid w:val="00972E88"/>
    <w:rsid w:val="0097721A"/>
    <w:rsid w:val="0098022D"/>
    <w:rsid w:val="0098064D"/>
    <w:rsid w:val="00980710"/>
    <w:rsid w:val="00980775"/>
    <w:rsid w:val="00981C16"/>
    <w:rsid w:val="00983F56"/>
    <w:rsid w:val="00984028"/>
    <w:rsid w:val="009840CB"/>
    <w:rsid w:val="00984AB6"/>
    <w:rsid w:val="00985439"/>
    <w:rsid w:val="00986399"/>
    <w:rsid w:val="00986BE2"/>
    <w:rsid w:val="00987D6D"/>
    <w:rsid w:val="009915C5"/>
    <w:rsid w:val="00991918"/>
    <w:rsid w:val="00991BB0"/>
    <w:rsid w:val="009920DF"/>
    <w:rsid w:val="009977A6"/>
    <w:rsid w:val="00997F3E"/>
    <w:rsid w:val="009A0599"/>
    <w:rsid w:val="009A1E28"/>
    <w:rsid w:val="009A1FDE"/>
    <w:rsid w:val="009A2210"/>
    <w:rsid w:val="009A2D56"/>
    <w:rsid w:val="009A439E"/>
    <w:rsid w:val="009A5268"/>
    <w:rsid w:val="009A52BE"/>
    <w:rsid w:val="009A595F"/>
    <w:rsid w:val="009A5E20"/>
    <w:rsid w:val="009A7307"/>
    <w:rsid w:val="009B01D0"/>
    <w:rsid w:val="009B206D"/>
    <w:rsid w:val="009B27AC"/>
    <w:rsid w:val="009B2F8C"/>
    <w:rsid w:val="009B346E"/>
    <w:rsid w:val="009B404A"/>
    <w:rsid w:val="009B56EE"/>
    <w:rsid w:val="009B58B2"/>
    <w:rsid w:val="009B5C65"/>
    <w:rsid w:val="009C002E"/>
    <w:rsid w:val="009C06A2"/>
    <w:rsid w:val="009C392A"/>
    <w:rsid w:val="009C583E"/>
    <w:rsid w:val="009C7563"/>
    <w:rsid w:val="009C77C1"/>
    <w:rsid w:val="009C7E9D"/>
    <w:rsid w:val="009D0B97"/>
    <w:rsid w:val="009D2228"/>
    <w:rsid w:val="009D2908"/>
    <w:rsid w:val="009D32C4"/>
    <w:rsid w:val="009D6075"/>
    <w:rsid w:val="009D69FF"/>
    <w:rsid w:val="009D6BFE"/>
    <w:rsid w:val="009E074C"/>
    <w:rsid w:val="009E0923"/>
    <w:rsid w:val="009E202F"/>
    <w:rsid w:val="009E2F0F"/>
    <w:rsid w:val="009E3923"/>
    <w:rsid w:val="009E3EBD"/>
    <w:rsid w:val="009E413A"/>
    <w:rsid w:val="009E44E8"/>
    <w:rsid w:val="009E4531"/>
    <w:rsid w:val="009E4AD9"/>
    <w:rsid w:val="009E543A"/>
    <w:rsid w:val="009E5BC9"/>
    <w:rsid w:val="009E61C2"/>
    <w:rsid w:val="009E6459"/>
    <w:rsid w:val="009E7818"/>
    <w:rsid w:val="009F326E"/>
    <w:rsid w:val="009F459F"/>
    <w:rsid w:val="009F50E0"/>
    <w:rsid w:val="00A01918"/>
    <w:rsid w:val="00A02291"/>
    <w:rsid w:val="00A03A49"/>
    <w:rsid w:val="00A04782"/>
    <w:rsid w:val="00A04A60"/>
    <w:rsid w:val="00A05AEE"/>
    <w:rsid w:val="00A061F0"/>
    <w:rsid w:val="00A062E6"/>
    <w:rsid w:val="00A1231E"/>
    <w:rsid w:val="00A1339D"/>
    <w:rsid w:val="00A147E2"/>
    <w:rsid w:val="00A14CA3"/>
    <w:rsid w:val="00A15C57"/>
    <w:rsid w:val="00A20F3A"/>
    <w:rsid w:val="00A2143F"/>
    <w:rsid w:val="00A22B8D"/>
    <w:rsid w:val="00A2382C"/>
    <w:rsid w:val="00A24754"/>
    <w:rsid w:val="00A24CD3"/>
    <w:rsid w:val="00A2513E"/>
    <w:rsid w:val="00A25A93"/>
    <w:rsid w:val="00A3085A"/>
    <w:rsid w:val="00A31B33"/>
    <w:rsid w:val="00A31BB8"/>
    <w:rsid w:val="00A32555"/>
    <w:rsid w:val="00A3327B"/>
    <w:rsid w:val="00A33DC4"/>
    <w:rsid w:val="00A35925"/>
    <w:rsid w:val="00A360F4"/>
    <w:rsid w:val="00A40021"/>
    <w:rsid w:val="00A40A9A"/>
    <w:rsid w:val="00A41970"/>
    <w:rsid w:val="00A41D73"/>
    <w:rsid w:val="00A43797"/>
    <w:rsid w:val="00A43C34"/>
    <w:rsid w:val="00A4668D"/>
    <w:rsid w:val="00A507AE"/>
    <w:rsid w:val="00A50EFF"/>
    <w:rsid w:val="00A520CD"/>
    <w:rsid w:val="00A523E3"/>
    <w:rsid w:val="00A53D2E"/>
    <w:rsid w:val="00A5544E"/>
    <w:rsid w:val="00A56281"/>
    <w:rsid w:val="00A578CF"/>
    <w:rsid w:val="00A601FC"/>
    <w:rsid w:val="00A6202F"/>
    <w:rsid w:val="00A63A95"/>
    <w:rsid w:val="00A65365"/>
    <w:rsid w:val="00A66C9D"/>
    <w:rsid w:val="00A7144F"/>
    <w:rsid w:val="00A72F8D"/>
    <w:rsid w:val="00A73033"/>
    <w:rsid w:val="00A7323A"/>
    <w:rsid w:val="00A73804"/>
    <w:rsid w:val="00A73C6F"/>
    <w:rsid w:val="00A763AF"/>
    <w:rsid w:val="00A77450"/>
    <w:rsid w:val="00A8016D"/>
    <w:rsid w:val="00A80560"/>
    <w:rsid w:val="00A80ACF"/>
    <w:rsid w:val="00A81727"/>
    <w:rsid w:val="00A81ECD"/>
    <w:rsid w:val="00A83E6C"/>
    <w:rsid w:val="00A83EC5"/>
    <w:rsid w:val="00A861FE"/>
    <w:rsid w:val="00A86E3F"/>
    <w:rsid w:val="00A87FA7"/>
    <w:rsid w:val="00A90D85"/>
    <w:rsid w:val="00A91AF5"/>
    <w:rsid w:val="00A928C9"/>
    <w:rsid w:val="00A930EC"/>
    <w:rsid w:val="00A94579"/>
    <w:rsid w:val="00A9484B"/>
    <w:rsid w:val="00A94BB8"/>
    <w:rsid w:val="00A959D5"/>
    <w:rsid w:val="00A95D82"/>
    <w:rsid w:val="00A95E28"/>
    <w:rsid w:val="00A961BF"/>
    <w:rsid w:val="00A97D8D"/>
    <w:rsid w:val="00AA1D0C"/>
    <w:rsid w:val="00AA3623"/>
    <w:rsid w:val="00AA4EDC"/>
    <w:rsid w:val="00AA5086"/>
    <w:rsid w:val="00AA61D7"/>
    <w:rsid w:val="00AA7A1C"/>
    <w:rsid w:val="00AB0E5F"/>
    <w:rsid w:val="00AB2499"/>
    <w:rsid w:val="00AB25E0"/>
    <w:rsid w:val="00AB620D"/>
    <w:rsid w:val="00AB766A"/>
    <w:rsid w:val="00AB785A"/>
    <w:rsid w:val="00AC05EB"/>
    <w:rsid w:val="00AC0A60"/>
    <w:rsid w:val="00AC15E3"/>
    <w:rsid w:val="00AC31BA"/>
    <w:rsid w:val="00AC3BE3"/>
    <w:rsid w:val="00AC44AE"/>
    <w:rsid w:val="00AC4A52"/>
    <w:rsid w:val="00AC4D50"/>
    <w:rsid w:val="00AD0BF8"/>
    <w:rsid w:val="00AD0CC4"/>
    <w:rsid w:val="00AD0F78"/>
    <w:rsid w:val="00AD187B"/>
    <w:rsid w:val="00AD1E80"/>
    <w:rsid w:val="00AD2424"/>
    <w:rsid w:val="00AD3C30"/>
    <w:rsid w:val="00AD5C0F"/>
    <w:rsid w:val="00AD6E28"/>
    <w:rsid w:val="00AD7B43"/>
    <w:rsid w:val="00AE0045"/>
    <w:rsid w:val="00AE0EF3"/>
    <w:rsid w:val="00AE1036"/>
    <w:rsid w:val="00AE33E4"/>
    <w:rsid w:val="00AE3959"/>
    <w:rsid w:val="00AE4E0C"/>
    <w:rsid w:val="00AE5728"/>
    <w:rsid w:val="00AE5E84"/>
    <w:rsid w:val="00AE6E77"/>
    <w:rsid w:val="00AE72B7"/>
    <w:rsid w:val="00AE7563"/>
    <w:rsid w:val="00AE7D00"/>
    <w:rsid w:val="00AF0471"/>
    <w:rsid w:val="00AF13DB"/>
    <w:rsid w:val="00AF2DF6"/>
    <w:rsid w:val="00AF4E18"/>
    <w:rsid w:val="00AF5FFC"/>
    <w:rsid w:val="00AF6714"/>
    <w:rsid w:val="00B01A20"/>
    <w:rsid w:val="00B031BD"/>
    <w:rsid w:val="00B03457"/>
    <w:rsid w:val="00B03487"/>
    <w:rsid w:val="00B050AB"/>
    <w:rsid w:val="00B056F9"/>
    <w:rsid w:val="00B06234"/>
    <w:rsid w:val="00B06F17"/>
    <w:rsid w:val="00B0759E"/>
    <w:rsid w:val="00B115A2"/>
    <w:rsid w:val="00B12CCC"/>
    <w:rsid w:val="00B13F28"/>
    <w:rsid w:val="00B147EC"/>
    <w:rsid w:val="00B14CBF"/>
    <w:rsid w:val="00B1528E"/>
    <w:rsid w:val="00B1575D"/>
    <w:rsid w:val="00B1590A"/>
    <w:rsid w:val="00B15E45"/>
    <w:rsid w:val="00B179D8"/>
    <w:rsid w:val="00B2035E"/>
    <w:rsid w:val="00B20628"/>
    <w:rsid w:val="00B20722"/>
    <w:rsid w:val="00B20752"/>
    <w:rsid w:val="00B20774"/>
    <w:rsid w:val="00B21B56"/>
    <w:rsid w:val="00B224F3"/>
    <w:rsid w:val="00B22775"/>
    <w:rsid w:val="00B22FB6"/>
    <w:rsid w:val="00B236CB"/>
    <w:rsid w:val="00B23B2F"/>
    <w:rsid w:val="00B24FFD"/>
    <w:rsid w:val="00B26CD0"/>
    <w:rsid w:val="00B274E7"/>
    <w:rsid w:val="00B30069"/>
    <w:rsid w:val="00B306D6"/>
    <w:rsid w:val="00B31448"/>
    <w:rsid w:val="00B31BDE"/>
    <w:rsid w:val="00B32328"/>
    <w:rsid w:val="00B33701"/>
    <w:rsid w:val="00B33812"/>
    <w:rsid w:val="00B33FE3"/>
    <w:rsid w:val="00B359C5"/>
    <w:rsid w:val="00B35C09"/>
    <w:rsid w:val="00B36D30"/>
    <w:rsid w:val="00B409CF"/>
    <w:rsid w:val="00B40EFC"/>
    <w:rsid w:val="00B41268"/>
    <w:rsid w:val="00B4133E"/>
    <w:rsid w:val="00B42F00"/>
    <w:rsid w:val="00B432D8"/>
    <w:rsid w:val="00B454DD"/>
    <w:rsid w:val="00B45540"/>
    <w:rsid w:val="00B462E9"/>
    <w:rsid w:val="00B46D8F"/>
    <w:rsid w:val="00B474EA"/>
    <w:rsid w:val="00B47A53"/>
    <w:rsid w:val="00B51625"/>
    <w:rsid w:val="00B517A6"/>
    <w:rsid w:val="00B51F7A"/>
    <w:rsid w:val="00B52BE6"/>
    <w:rsid w:val="00B55A50"/>
    <w:rsid w:val="00B55BBD"/>
    <w:rsid w:val="00B56104"/>
    <w:rsid w:val="00B600BA"/>
    <w:rsid w:val="00B6014A"/>
    <w:rsid w:val="00B601F5"/>
    <w:rsid w:val="00B6064E"/>
    <w:rsid w:val="00B61A69"/>
    <w:rsid w:val="00B61BD8"/>
    <w:rsid w:val="00B61BDB"/>
    <w:rsid w:val="00B62E2C"/>
    <w:rsid w:val="00B63B31"/>
    <w:rsid w:val="00B65026"/>
    <w:rsid w:val="00B67975"/>
    <w:rsid w:val="00B70458"/>
    <w:rsid w:val="00B7096A"/>
    <w:rsid w:val="00B71AE0"/>
    <w:rsid w:val="00B720F9"/>
    <w:rsid w:val="00B72A70"/>
    <w:rsid w:val="00B72C7B"/>
    <w:rsid w:val="00B72DC4"/>
    <w:rsid w:val="00B7378C"/>
    <w:rsid w:val="00B7625B"/>
    <w:rsid w:val="00B7653F"/>
    <w:rsid w:val="00B7655C"/>
    <w:rsid w:val="00B7672C"/>
    <w:rsid w:val="00B76ECF"/>
    <w:rsid w:val="00B80172"/>
    <w:rsid w:val="00B81D7F"/>
    <w:rsid w:val="00B82831"/>
    <w:rsid w:val="00B82B2A"/>
    <w:rsid w:val="00B8308F"/>
    <w:rsid w:val="00B8309D"/>
    <w:rsid w:val="00B85A1C"/>
    <w:rsid w:val="00B86E2A"/>
    <w:rsid w:val="00B90361"/>
    <w:rsid w:val="00B90917"/>
    <w:rsid w:val="00B930C9"/>
    <w:rsid w:val="00B95164"/>
    <w:rsid w:val="00B96E4E"/>
    <w:rsid w:val="00BA2A85"/>
    <w:rsid w:val="00BA4624"/>
    <w:rsid w:val="00BA54EE"/>
    <w:rsid w:val="00BA6748"/>
    <w:rsid w:val="00BB08E4"/>
    <w:rsid w:val="00BB112A"/>
    <w:rsid w:val="00BB1BFF"/>
    <w:rsid w:val="00BB2461"/>
    <w:rsid w:val="00BB24F6"/>
    <w:rsid w:val="00BB55FF"/>
    <w:rsid w:val="00BB617F"/>
    <w:rsid w:val="00BB7B7F"/>
    <w:rsid w:val="00BC04B1"/>
    <w:rsid w:val="00BC08F3"/>
    <w:rsid w:val="00BC2CE9"/>
    <w:rsid w:val="00BC36B3"/>
    <w:rsid w:val="00BC4BF6"/>
    <w:rsid w:val="00BC5FC8"/>
    <w:rsid w:val="00BC6607"/>
    <w:rsid w:val="00BC7012"/>
    <w:rsid w:val="00BC7A4D"/>
    <w:rsid w:val="00BD035F"/>
    <w:rsid w:val="00BD0702"/>
    <w:rsid w:val="00BD24BF"/>
    <w:rsid w:val="00BD6360"/>
    <w:rsid w:val="00BD67FA"/>
    <w:rsid w:val="00BD7DE4"/>
    <w:rsid w:val="00BD7E1E"/>
    <w:rsid w:val="00BD7F1E"/>
    <w:rsid w:val="00BE0AFE"/>
    <w:rsid w:val="00BE1633"/>
    <w:rsid w:val="00BE1A98"/>
    <w:rsid w:val="00BE1E5B"/>
    <w:rsid w:val="00BE2434"/>
    <w:rsid w:val="00BE291F"/>
    <w:rsid w:val="00BE346F"/>
    <w:rsid w:val="00BE4B63"/>
    <w:rsid w:val="00BE56D3"/>
    <w:rsid w:val="00BE6BBA"/>
    <w:rsid w:val="00BE6E19"/>
    <w:rsid w:val="00BF2406"/>
    <w:rsid w:val="00BF26C1"/>
    <w:rsid w:val="00BF2E3D"/>
    <w:rsid w:val="00BF423F"/>
    <w:rsid w:val="00BF521D"/>
    <w:rsid w:val="00BF6441"/>
    <w:rsid w:val="00C0136B"/>
    <w:rsid w:val="00C0168F"/>
    <w:rsid w:val="00C01DF9"/>
    <w:rsid w:val="00C02806"/>
    <w:rsid w:val="00C02A2A"/>
    <w:rsid w:val="00C0529A"/>
    <w:rsid w:val="00C05CFA"/>
    <w:rsid w:val="00C070FF"/>
    <w:rsid w:val="00C075E2"/>
    <w:rsid w:val="00C1009F"/>
    <w:rsid w:val="00C101BF"/>
    <w:rsid w:val="00C11F3B"/>
    <w:rsid w:val="00C1451B"/>
    <w:rsid w:val="00C149B6"/>
    <w:rsid w:val="00C154C0"/>
    <w:rsid w:val="00C20810"/>
    <w:rsid w:val="00C212D4"/>
    <w:rsid w:val="00C21E8F"/>
    <w:rsid w:val="00C21EEB"/>
    <w:rsid w:val="00C22237"/>
    <w:rsid w:val="00C22424"/>
    <w:rsid w:val="00C2346E"/>
    <w:rsid w:val="00C237A4"/>
    <w:rsid w:val="00C243D2"/>
    <w:rsid w:val="00C24C6B"/>
    <w:rsid w:val="00C255E5"/>
    <w:rsid w:val="00C25AD7"/>
    <w:rsid w:val="00C25EA7"/>
    <w:rsid w:val="00C30C37"/>
    <w:rsid w:val="00C30CB1"/>
    <w:rsid w:val="00C316EB"/>
    <w:rsid w:val="00C323FE"/>
    <w:rsid w:val="00C32759"/>
    <w:rsid w:val="00C327DA"/>
    <w:rsid w:val="00C32F5C"/>
    <w:rsid w:val="00C34BB5"/>
    <w:rsid w:val="00C34CDD"/>
    <w:rsid w:val="00C35089"/>
    <w:rsid w:val="00C355D1"/>
    <w:rsid w:val="00C35A09"/>
    <w:rsid w:val="00C365BD"/>
    <w:rsid w:val="00C36C49"/>
    <w:rsid w:val="00C376CC"/>
    <w:rsid w:val="00C41F66"/>
    <w:rsid w:val="00C43F41"/>
    <w:rsid w:val="00C44462"/>
    <w:rsid w:val="00C46508"/>
    <w:rsid w:val="00C4672E"/>
    <w:rsid w:val="00C47DFD"/>
    <w:rsid w:val="00C513A0"/>
    <w:rsid w:val="00C51DC9"/>
    <w:rsid w:val="00C5246F"/>
    <w:rsid w:val="00C52843"/>
    <w:rsid w:val="00C52A1B"/>
    <w:rsid w:val="00C52D5D"/>
    <w:rsid w:val="00C53D44"/>
    <w:rsid w:val="00C54527"/>
    <w:rsid w:val="00C54F39"/>
    <w:rsid w:val="00C605C9"/>
    <w:rsid w:val="00C63CAA"/>
    <w:rsid w:val="00C65CD7"/>
    <w:rsid w:val="00C67B3E"/>
    <w:rsid w:val="00C71EB3"/>
    <w:rsid w:val="00C73E61"/>
    <w:rsid w:val="00C7642B"/>
    <w:rsid w:val="00C812F7"/>
    <w:rsid w:val="00C8182C"/>
    <w:rsid w:val="00C82CD7"/>
    <w:rsid w:val="00C8345F"/>
    <w:rsid w:val="00C83EE8"/>
    <w:rsid w:val="00C85201"/>
    <w:rsid w:val="00C85263"/>
    <w:rsid w:val="00C8633D"/>
    <w:rsid w:val="00C87130"/>
    <w:rsid w:val="00C878CF"/>
    <w:rsid w:val="00C87E15"/>
    <w:rsid w:val="00C90EEA"/>
    <w:rsid w:val="00C917E8"/>
    <w:rsid w:val="00C928C1"/>
    <w:rsid w:val="00C95EC9"/>
    <w:rsid w:val="00C9792C"/>
    <w:rsid w:val="00CA0187"/>
    <w:rsid w:val="00CA142D"/>
    <w:rsid w:val="00CA165A"/>
    <w:rsid w:val="00CA2E2A"/>
    <w:rsid w:val="00CA46D8"/>
    <w:rsid w:val="00CA6275"/>
    <w:rsid w:val="00CB0132"/>
    <w:rsid w:val="00CB0422"/>
    <w:rsid w:val="00CB13F3"/>
    <w:rsid w:val="00CB21D2"/>
    <w:rsid w:val="00CB3E2B"/>
    <w:rsid w:val="00CB4607"/>
    <w:rsid w:val="00CB523C"/>
    <w:rsid w:val="00CB6352"/>
    <w:rsid w:val="00CB66A1"/>
    <w:rsid w:val="00CB6861"/>
    <w:rsid w:val="00CB6DDD"/>
    <w:rsid w:val="00CC1191"/>
    <w:rsid w:val="00CC1DEE"/>
    <w:rsid w:val="00CC1E6D"/>
    <w:rsid w:val="00CC2777"/>
    <w:rsid w:val="00CC2978"/>
    <w:rsid w:val="00CC4194"/>
    <w:rsid w:val="00CC4D4B"/>
    <w:rsid w:val="00CC4ED4"/>
    <w:rsid w:val="00CC569D"/>
    <w:rsid w:val="00CC56C8"/>
    <w:rsid w:val="00CC58FA"/>
    <w:rsid w:val="00CC6167"/>
    <w:rsid w:val="00CC6CE9"/>
    <w:rsid w:val="00CC7D2E"/>
    <w:rsid w:val="00CD0DAF"/>
    <w:rsid w:val="00CD1C39"/>
    <w:rsid w:val="00CD35CE"/>
    <w:rsid w:val="00CD42C3"/>
    <w:rsid w:val="00CD4763"/>
    <w:rsid w:val="00CD5AE4"/>
    <w:rsid w:val="00CD6B55"/>
    <w:rsid w:val="00CD6DEA"/>
    <w:rsid w:val="00CD7278"/>
    <w:rsid w:val="00CE0016"/>
    <w:rsid w:val="00CE0FD6"/>
    <w:rsid w:val="00CE1578"/>
    <w:rsid w:val="00CE1AF8"/>
    <w:rsid w:val="00CE2C4B"/>
    <w:rsid w:val="00CE36D9"/>
    <w:rsid w:val="00CE4BFC"/>
    <w:rsid w:val="00CE4D20"/>
    <w:rsid w:val="00CE4EDA"/>
    <w:rsid w:val="00CE557E"/>
    <w:rsid w:val="00CF10AE"/>
    <w:rsid w:val="00CF12B3"/>
    <w:rsid w:val="00CF1593"/>
    <w:rsid w:val="00CF259C"/>
    <w:rsid w:val="00CF37E8"/>
    <w:rsid w:val="00CF495D"/>
    <w:rsid w:val="00CF4A32"/>
    <w:rsid w:val="00CF4D5C"/>
    <w:rsid w:val="00CF5980"/>
    <w:rsid w:val="00D00AAD"/>
    <w:rsid w:val="00D00DFF"/>
    <w:rsid w:val="00D01832"/>
    <w:rsid w:val="00D02026"/>
    <w:rsid w:val="00D0274E"/>
    <w:rsid w:val="00D03E43"/>
    <w:rsid w:val="00D03F65"/>
    <w:rsid w:val="00D05066"/>
    <w:rsid w:val="00D051C5"/>
    <w:rsid w:val="00D05469"/>
    <w:rsid w:val="00D05817"/>
    <w:rsid w:val="00D06B99"/>
    <w:rsid w:val="00D10412"/>
    <w:rsid w:val="00D10573"/>
    <w:rsid w:val="00D135DD"/>
    <w:rsid w:val="00D13DE4"/>
    <w:rsid w:val="00D1443C"/>
    <w:rsid w:val="00D146BD"/>
    <w:rsid w:val="00D14BC8"/>
    <w:rsid w:val="00D14FDD"/>
    <w:rsid w:val="00D15EB5"/>
    <w:rsid w:val="00D20C22"/>
    <w:rsid w:val="00D2344A"/>
    <w:rsid w:val="00D2461A"/>
    <w:rsid w:val="00D24C21"/>
    <w:rsid w:val="00D27F3A"/>
    <w:rsid w:val="00D31792"/>
    <w:rsid w:val="00D3254D"/>
    <w:rsid w:val="00D32A7C"/>
    <w:rsid w:val="00D32E13"/>
    <w:rsid w:val="00D34163"/>
    <w:rsid w:val="00D34F2F"/>
    <w:rsid w:val="00D35D87"/>
    <w:rsid w:val="00D35E40"/>
    <w:rsid w:val="00D35E60"/>
    <w:rsid w:val="00D35EC1"/>
    <w:rsid w:val="00D361A3"/>
    <w:rsid w:val="00D36360"/>
    <w:rsid w:val="00D41B75"/>
    <w:rsid w:val="00D41BC9"/>
    <w:rsid w:val="00D4274E"/>
    <w:rsid w:val="00D42777"/>
    <w:rsid w:val="00D42ADA"/>
    <w:rsid w:val="00D42B9B"/>
    <w:rsid w:val="00D4407C"/>
    <w:rsid w:val="00D45344"/>
    <w:rsid w:val="00D46A1F"/>
    <w:rsid w:val="00D502E8"/>
    <w:rsid w:val="00D50564"/>
    <w:rsid w:val="00D507D6"/>
    <w:rsid w:val="00D509E7"/>
    <w:rsid w:val="00D50D4F"/>
    <w:rsid w:val="00D51266"/>
    <w:rsid w:val="00D530E3"/>
    <w:rsid w:val="00D5482D"/>
    <w:rsid w:val="00D54E31"/>
    <w:rsid w:val="00D55B56"/>
    <w:rsid w:val="00D566F0"/>
    <w:rsid w:val="00D56831"/>
    <w:rsid w:val="00D57098"/>
    <w:rsid w:val="00D60513"/>
    <w:rsid w:val="00D61117"/>
    <w:rsid w:val="00D61DF2"/>
    <w:rsid w:val="00D623C2"/>
    <w:rsid w:val="00D62530"/>
    <w:rsid w:val="00D62887"/>
    <w:rsid w:val="00D6348C"/>
    <w:rsid w:val="00D63758"/>
    <w:rsid w:val="00D63A5E"/>
    <w:rsid w:val="00D640DC"/>
    <w:rsid w:val="00D64639"/>
    <w:rsid w:val="00D64E57"/>
    <w:rsid w:val="00D65302"/>
    <w:rsid w:val="00D65931"/>
    <w:rsid w:val="00D661C8"/>
    <w:rsid w:val="00D67843"/>
    <w:rsid w:val="00D70803"/>
    <w:rsid w:val="00D72F71"/>
    <w:rsid w:val="00D73E11"/>
    <w:rsid w:val="00D755BF"/>
    <w:rsid w:val="00D75EE7"/>
    <w:rsid w:val="00D76663"/>
    <w:rsid w:val="00D76882"/>
    <w:rsid w:val="00D8109B"/>
    <w:rsid w:val="00D810E0"/>
    <w:rsid w:val="00D81199"/>
    <w:rsid w:val="00D816C0"/>
    <w:rsid w:val="00D8361B"/>
    <w:rsid w:val="00D84244"/>
    <w:rsid w:val="00D845DC"/>
    <w:rsid w:val="00D854A2"/>
    <w:rsid w:val="00D85949"/>
    <w:rsid w:val="00D86589"/>
    <w:rsid w:val="00D86D1A"/>
    <w:rsid w:val="00D90396"/>
    <w:rsid w:val="00D9263E"/>
    <w:rsid w:val="00D93664"/>
    <w:rsid w:val="00D94DE8"/>
    <w:rsid w:val="00D96B97"/>
    <w:rsid w:val="00D96D26"/>
    <w:rsid w:val="00D973DB"/>
    <w:rsid w:val="00DA151A"/>
    <w:rsid w:val="00DA1B19"/>
    <w:rsid w:val="00DA1B79"/>
    <w:rsid w:val="00DA54AC"/>
    <w:rsid w:val="00DA5D18"/>
    <w:rsid w:val="00DA695A"/>
    <w:rsid w:val="00DA6DDC"/>
    <w:rsid w:val="00DA71E4"/>
    <w:rsid w:val="00DA764C"/>
    <w:rsid w:val="00DB013B"/>
    <w:rsid w:val="00DB2BB6"/>
    <w:rsid w:val="00DB3E79"/>
    <w:rsid w:val="00DB4B2B"/>
    <w:rsid w:val="00DB7261"/>
    <w:rsid w:val="00DC1289"/>
    <w:rsid w:val="00DC1A25"/>
    <w:rsid w:val="00DC3065"/>
    <w:rsid w:val="00DC42CD"/>
    <w:rsid w:val="00DC4305"/>
    <w:rsid w:val="00DC49E6"/>
    <w:rsid w:val="00DC75BD"/>
    <w:rsid w:val="00DD20B8"/>
    <w:rsid w:val="00DD2C33"/>
    <w:rsid w:val="00DD35EC"/>
    <w:rsid w:val="00DD714F"/>
    <w:rsid w:val="00DD762D"/>
    <w:rsid w:val="00DE0BC8"/>
    <w:rsid w:val="00DE2C99"/>
    <w:rsid w:val="00DE3777"/>
    <w:rsid w:val="00DE539F"/>
    <w:rsid w:val="00DE5A7D"/>
    <w:rsid w:val="00DE5D23"/>
    <w:rsid w:val="00DE5F11"/>
    <w:rsid w:val="00DE7A92"/>
    <w:rsid w:val="00DF01DE"/>
    <w:rsid w:val="00DF0266"/>
    <w:rsid w:val="00DF108A"/>
    <w:rsid w:val="00DF41E8"/>
    <w:rsid w:val="00DF4F1C"/>
    <w:rsid w:val="00DF525A"/>
    <w:rsid w:val="00DF5356"/>
    <w:rsid w:val="00DF594B"/>
    <w:rsid w:val="00DF6738"/>
    <w:rsid w:val="00DF6812"/>
    <w:rsid w:val="00E00FAA"/>
    <w:rsid w:val="00E01DDB"/>
    <w:rsid w:val="00E022ED"/>
    <w:rsid w:val="00E042B5"/>
    <w:rsid w:val="00E05033"/>
    <w:rsid w:val="00E0592A"/>
    <w:rsid w:val="00E065C3"/>
    <w:rsid w:val="00E0729C"/>
    <w:rsid w:val="00E10828"/>
    <w:rsid w:val="00E10B04"/>
    <w:rsid w:val="00E10B3E"/>
    <w:rsid w:val="00E13F56"/>
    <w:rsid w:val="00E14705"/>
    <w:rsid w:val="00E14ABF"/>
    <w:rsid w:val="00E14DD7"/>
    <w:rsid w:val="00E153B7"/>
    <w:rsid w:val="00E1556A"/>
    <w:rsid w:val="00E15B09"/>
    <w:rsid w:val="00E163DD"/>
    <w:rsid w:val="00E2148D"/>
    <w:rsid w:val="00E227B1"/>
    <w:rsid w:val="00E25DB3"/>
    <w:rsid w:val="00E277BE"/>
    <w:rsid w:val="00E27DA2"/>
    <w:rsid w:val="00E27EEE"/>
    <w:rsid w:val="00E30DDB"/>
    <w:rsid w:val="00E315CC"/>
    <w:rsid w:val="00E32265"/>
    <w:rsid w:val="00E3406E"/>
    <w:rsid w:val="00E3430C"/>
    <w:rsid w:val="00E34345"/>
    <w:rsid w:val="00E3503A"/>
    <w:rsid w:val="00E356E8"/>
    <w:rsid w:val="00E35976"/>
    <w:rsid w:val="00E35CF1"/>
    <w:rsid w:val="00E37252"/>
    <w:rsid w:val="00E40E9D"/>
    <w:rsid w:val="00E41269"/>
    <w:rsid w:val="00E4187D"/>
    <w:rsid w:val="00E42770"/>
    <w:rsid w:val="00E43870"/>
    <w:rsid w:val="00E442AB"/>
    <w:rsid w:val="00E46BAB"/>
    <w:rsid w:val="00E46C7A"/>
    <w:rsid w:val="00E47B35"/>
    <w:rsid w:val="00E5176A"/>
    <w:rsid w:val="00E51A3B"/>
    <w:rsid w:val="00E52287"/>
    <w:rsid w:val="00E5254C"/>
    <w:rsid w:val="00E525A8"/>
    <w:rsid w:val="00E537C1"/>
    <w:rsid w:val="00E54689"/>
    <w:rsid w:val="00E55678"/>
    <w:rsid w:val="00E567F9"/>
    <w:rsid w:val="00E572BC"/>
    <w:rsid w:val="00E57CBD"/>
    <w:rsid w:val="00E60221"/>
    <w:rsid w:val="00E605F1"/>
    <w:rsid w:val="00E6177E"/>
    <w:rsid w:val="00E6193B"/>
    <w:rsid w:val="00E61A31"/>
    <w:rsid w:val="00E6495C"/>
    <w:rsid w:val="00E649D3"/>
    <w:rsid w:val="00E65DB5"/>
    <w:rsid w:val="00E66C8B"/>
    <w:rsid w:val="00E670C1"/>
    <w:rsid w:val="00E702F8"/>
    <w:rsid w:val="00E7072A"/>
    <w:rsid w:val="00E70B9F"/>
    <w:rsid w:val="00E73A4C"/>
    <w:rsid w:val="00E73B57"/>
    <w:rsid w:val="00E73D0F"/>
    <w:rsid w:val="00E74843"/>
    <w:rsid w:val="00E750BB"/>
    <w:rsid w:val="00E75F6C"/>
    <w:rsid w:val="00E76C13"/>
    <w:rsid w:val="00E8168D"/>
    <w:rsid w:val="00E816BC"/>
    <w:rsid w:val="00E85C53"/>
    <w:rsid w:val="00E868A3"/>
    <w:rsid w:val="00E86A20"/>
    <w:rsid w:val="00E95CE8"/>
    <w:rsid w:val="00E96EE0"/>
    <w:rsid w:val="00E97913"/>
    <w:rsid w:val="00EA1649"/>
    <w:rsid w:val="00EA1DE3"/>
    <w:rsid w:val="00EA23E9"/>
    <w:rsid w:val="00EA33C3"/>
    <w:rsid w:val="00EA37D5"/>
    <w:rsid w:val="00EA3A8F"/>
    <w:rsid w:val="00EA73E0"/>
    <w:rsid w:val="00EA7F97"/>
    <w:rsid w:val="00EB0B0F"/>
    <w:rsid w:val="00EB1037"/>
    <w:rsid w:val="00EB15F0"/>
    <w:rsid w:val="00EB283E"/>
    <w:rsid w:val="00EB28AA"/>
    <w:rsid w:val="00EB2E6F"/>
    <w:rsid w:val="00EB3551"/>
    <w:rsid w:val="00EB3597"/>
    <w:rsid w:val="00EB3D21"/>
    <w:rsid w:val="00EB6556"/>
    <w:rsid w:val="00EB6F55"/>
    <w:rsid w:val="00EB71D4"/>
    <w:rsid w:val="00EB7429"/>
    <w:rsid w:val="00EB7F81"/>
    <w:rsid w:val="00EC0F1A"/>
    <w:rsid w:val="00EC1701"/>
    <w:rsid w:val="00EC1D03"/>
    <w:rsid w:val="00EC4DC0"/>
    <w:rsid w:val="00EC64E0"/>
    <w:rsid w:val="00ED0974"/>
    <w:rsid w:val="00ED21A3"/>
    <w:rsid w:val="00ED2320"/>
    <w:rsid w:val="00ED25C7"/>
    <w:rsid w:val="00ED3729"/>
    <w:rsid w:val="00ED5300"/>
    <w:rsid w:val="00ED5652"/>
    <w:rsid w:val="00ED5A71"/>
    <w:rsid w:val="00ED625D"/>
    <w:rsid w:val="00ED6978"/>
    <w:rsid w:val="00ED74B5"/>
    <w:rsid w:val="00ED7569"/>
    <w:rsid w:val="00ED7DD3"/>
    <w:rsid w:val="00EE04DC"/>
    <w:rsid w:val="00EE0BFA"/>
    <w:rsid w:val="00EE3910"/>
    <w:rsid w:val="00EE3F8A"/>
    <w:rsid w:val="00EE43FE"/>
    <w:rsid w:val="00EE4CBC"/>
    <w:rsid w:val="00EE5784"/>
    <w:rsid w:val="00EE59D4"/>
    <w:rsid w:val="00EE6582"/>
    <w:rsid w:val="00EE6B1C"/>
    <w:rsid w:val="00EF0202"/>
    <w:rsid w:val="00EF0F8D"/>
    <w:rsid w:val="00EF1615"/>
    <w:rsid w:val="00EF3871"/>
    <w:rsid w:val="00EF3F72"/>
    <w:rsid w:val="00EF4B5D"/>
    <w:rsid w:val="00EF639B"/>
    <w:rsid w:val="00EF6FE3"/>
    <w:rsid w:val="00EF7177"/>
    <w:rsid w:val="00F0435A"/>
    <w:rsid w:val="00F0497E"/>
    <w:rsid w:val="00F0541B"/>
    <w:rsid w:val="00F06648"/>
    <w:rsid w:val="00F07817"/>
    <w:rsid w:val="00F10BC1"/>
    <w:rsid w:val="00F11B5C"/>
    <w:rsid w:val="00F12AC8"/>
    <w:rsid w:val="00F12C84"/>
    <w:rsid w:val="00F15694"/>
    <w:rsid w:val="00F161EF"/>
    <w:rsid w:val="00F163D2"/>
    <w:rsid w:val="00F16959"/>
    <w:rsid w:val="00F16C67"/>
    <w:rsid w:val="00F17705"/>
    <w:rsid w:val="00F20F7C"/>
    <w:rsid w:val="00F210FB"/>
    <w:rsid w:val="00F2180B"/>
    <w:rsid w:val="00F2219C"/>
    <w:rsid w:val="00F228F7"/>
    <w:rsid w:val="00F26CE5"/>
    <w:rsid w:val="00F30045"/>
    <w:rsid w:val="00F301BC"/>
    <w:rsid w:val="00F303BB"/>
    <w:rsid w:val="00F30A1A"/>
    <w:rsid w:val="00F30C0A"/>
    <w:rsid w:val="00F33341"/>
    <w:rsid w:val="00F339C0"/>
    <w:rsid w:val="00F33D31"/>
    <w:rsid w:val="00F359C7"/>
    <w:rsid w:val="00F35E2C"/>
    <w:rsid w:val="00F3687A"/>
    <w:rsid w:val="00F3751B"/>
    <w:rsid w:val="00F40C4A"/>
    <w:rsid w:val="00F40F41"/>
    <w:rsid w:val="00F42008"/>
    <w:rsid w:val="00F42484"/>
    <w:rsid w:val="00F45FF1"/>
    <w:rsid w:val="00F47137"/>
    <w:rsid w:val="00F537A3"/>
    <w:rsid w:val="00F53CC2"/>
    <w:rsid w:val="00F551E5"/>
    <w:rsid w:val="00F559DB"/>
    <w:rsid w:val="00F57406"/>
    <w:rsid w:val="00F60239"/>
    <w:rsid w:val="00F6164D"/>
    <w:rsid w:val="00F61B46"/>
    <w:rsid w:val="00F648BC"/>
    <w:rsid w:val="00F64FD1"/>
    <w:rsid w:val="00F65834"/>
    <w:rsid w:val="00F66D12"/>
    <w:rsid w:val="00F6759F"/>
    <w:rsid w:val="00F67DB0"/>
    <w:rsid w:val="00F70139"/>
    <w:rsid w:val="00F70509"/>
    <w:rsid w:val="00F707AF"/>
    <w:rsid w:val="00F72F9A"/>
    <w:rsid w:val="00F73F7C"/>
    <w:rsid w:val="00F74769"/>
    <w:rsid w:val="00F74AEE"/>
    <w:rsid w:val="00F76347"/>
    <w:rsid w:val="00F76CA1"/>
    <w:rsid w:val="00F7775C"/>
    <w:rsid w:val="00F80E94"/>
    <w:rsid w:val="00F81657"/>
    <w:rsid w:val="00F82A75"/>
    <w:rsid w:val="00F8384D"/>
    <w:rsid w:val="00F848A7"/>
    <w:rsid w:val="00F8648C"/>
    <w:rsid w:val="00F86F94"/>
    <w:rsid w:val="00F87329"/>
    <w:rsid w:val="00F87510"/>
    <w:rsid w:val="00F90006"/>
    <w:rsid w:val="00F91E26"/>
    <w:rsid w:val="00F92516"/>
    <w:rsid w:val="00F939EA"/>
    <w:rsid w:val="00F950CA"/>
    <w:rsid w:val="00F960CC"/>
    <w:rsid w:val="00FA300E"/>
    <w:rsid w:val="00FA302C"/>
    <w:rsid w:val="00FA4535"/>
    <w:rsid w:val="00FA542F"/>
    <w:rsid w:val="00FA56B2"/>
    <w:rsid w:val="00FA6F70"/>
    <w:rsid w:val="00FB02F0"/>
    <w:rsid w:val="00FB0BCB"/>
    <w:rsid w:val="00FB1688"/>
    <w:rsid w:val="00FB1EFA"/>
    <w:rsid w:val="00FB4B72"/>
    <w:rsid w:val="00FB548B"/>
    <w:rsid w:val="00FB58FB"/>
    <w:rsid w:val="00FB780D"/>
    <w:rsid w:val="00FB7C5F"/>
    <w:rsid w:val="00FB7D62"/>
    <w:rsid w:val="00FC37EA"/>
    <w:rsid w:val="00FC614B"/>
    <w:rsid w:val="00FC6EEC"/>
    <w:rsid w:val="00FC7DD9"/>
    <w:rsid w:val="00FD24E7"/>
    <w:rsid w:val="00FD3078"/>
    <w:rsid w:val="00FD32F4"/>
    <w:rsid w:val="00FD3D11"/>
    <w:rsid w:val="00FD5D5C"/>
    <w:rsid w:val="00FD6033"/>
    <w:rsid w:val="00FD75AC"/>
    <w:rsid w:val="00FE03DC"/>
    <w:rsid w:val="00FE056C"/>
    <w:rsid w:val="00FE098E"/>
    <w:rsid w:val="00FE3BDE"/>
    <w:rsid w:val="00FE53C4"/>
    <w:rsid w:val="00FE5CB7"/>
    <w:rsid w:val="00FE7CE4"/>
    <w:rsid w:val="00FF09FA"/>
    <w:rsid w:val="00FF1B56"/>
    <w:rsid w:val="00FF1BA1"/>
    <w:rsid w:val="00FF2337"/>
    <w:rsid w:val="00FF32A4"/>
    <w:rsid w:val="00FF519C"/>
    <w:rsid w:val="00FF593A"/>
    <w:rsid w:val="00FF5B3C"/>
    <w:rsid w:val="00FF6557"/>
    <w:rsid w:val="00FF67F6"/>
    <w:rsid w:val="00FF6B23"/>
    <w:rsid w:val="00FF7D35"/>
    <w:rsid w:val="00FF7D7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lsdException w:name="heading 3" w:uiPriority="9"/>
    <w:lsdException w:name="heading 4" w:uiPriority="9"/>
    <w:lsdException w:name="heading 5" w:uiPriority="9"/>
    <w:lsdException w:name="heading 6" w:uiPriority="9"/>
    <w:lsdException w:name="heading 7" w:uiPriority="9"/>
    <w:lsdException w:name="heading 8" w:uiPriority="9"/>
    <w:lsdException w:name="heading 9"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7" w:unhideWhenUsed="0"/>
    <w:lsdException w:name="Default Paragraph Font" w:uiPriority="1"/>
    <w:lsdException w:name="Body Text" w:uiPriority="0"/>
    <w:lsdException w:name="Subtitle" w:semiHidden="0" w:uiPriority="9" w:unhideWhenUsed="0"/>
    <w:lsdException w:name="Body Text Indent 3" w:uiPriority="0"/>
    <w:lsdException w:name="Strong" w:semiHidden="0" w:uiPriority="22" w:unhideWhenUsed="0"/>
    <w:lsdException w:name="Emphasis" w:semiHidden="0" w:uiPriority="20" w:unhideWhenUsed="0"/>
    <w:lsdException w:name="Table Grid" w:uiPriority="59"/>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aliases w:val="MD_Normal"/>
    <w:qFormat/>
    <w:rsid w:val="005A1B39"/>
    <w:pPr>
      <w:spacing w:line="240" w:lineRule="auto"/>
    </w:pPr>
    <w:rPr>
      <w:rFonts w:asciiTheme="minorHAnsi" w:hAnsiTheme="minorHAnsi" w:cstheme="minorHAnsi"/>
      <w:lang w:val="en-GB"/>
    </w:rPr>
  </w:style>
  <w:style w:type="paragraph" w:styleId="Heading1">
    <w:name w:val="heading 1"/>
    <w:aliases w:val="MD_Heading"/>
    <w:basedOn w:val="Heading2"/>
    <w:next w:val="Normal"/>
    <w:link w:val="Heading1Char"/>
    <w:uiPriority w:val="9"/>
    <w:qFormat/>
    <w:rsid w:val="00E315CC"/>
    <w:pPr>
      <w:spacing w:before="480" w:after="240"/>
      <w:jc w:val="center"/>
      <w:outlineLvl w:val="0"/>
    </w:pPr>
    <w:rPr>
      <w:rFonts w:asciiTheme="minorHAnsi" w:hAnsiTheme="minorHAnsi"/>
      <w:color w:val="548DD4" w:themeColor="text2" w:themeTint="99"/>
      <w:sz w:val="40"/>
      <w:szCs w:val="40"/>
    </w:rPr>
  </w:style>
  <w:style w:type="paragraph" w:styleId="Heading2">
    <w:name w:val="heading 2"/>
    <w:basedOn w:val="Normal"/>
    <w:next w:val="Normal"/>
    <w:link w:val="Heading2Char"/>
    <w:uiPriority w:val="9"/>
    <w:unhideWhenUsed/>
    <w:rsid w:val="004C215E"/>
    <w:pPr>
      <w:keepNext/>
      <w:keepLines/>
      <w:spacing w:before="200" w:after="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rsid w:val="00447443"/>
    <w:pPr>
      <w:keepNext/>
      <w:keepLines/>
      <w:spacing w:before="200" w:after="0"/>
      <w:outlineLvl w:val="2"/>
    </w:pPr>
    <w:rPr>
      <w:rFonts w:eastAsiaTheme="majorEastAsia" w:cstheme="majorBidi"/>
      <w:b/>
      <w:bCs/>
      <w:i/>
      <w:sz w:val="28"/>
      <w:szCs w:val="28"/>
    </w:rPr>
  </w:style>
  <w:style w:type="paragraph" w:styleId="Heading4">
    <w:name w:val="heading 4"/>
    <w:aliases w:val="Heading 1 - Body"/>
    <w:basedOn w:val="Normal"/>
    <w:next w:val="Normal"/>
    <w:link w:val="Heading4Char"/>
    <w:uiPriority w:val="9"/>
    <w:unhideWhenUsed/>
    <w:rsid w:val="004C215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aliases w:val="Heading 2 - Body"/>
    <w:basedOn w:val="Normal"/>
    <w:next w:val="Normal"/>
    <w:link w:val="Heading5Char"/>
    <w:uiPriority w:val="9"/>
    <w:unhideWhenUsed/>
    <w:rsid w:val="004C215E"/>
    <w:pPr>
      <w:keepNext/>
      <w:keepLines/>
      <w:numPr>
        <w:ilvl w:val="4"/>
        <w:numId w:val="4"/>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aliases w:val="Heading 3 - Body"/>
    <w:basedOn w:val="Normal"/>
    <w:next w:val="Normal"/>
    <w:link w:val="Heading6Char"/>
    <w:uiPriority w:val="9"/>
    <w:unhideWhenUsed/>
    <w:rsid w:val="004C215E"/>
    <w:pPr>
      <w:keepNext/>
      <w:keepLines/>
      <w:numPr>
        <w:ilvl w:val="5"/>
        <w:numId w:val="4"/>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aliases w:val="App Heading 1"/>
    <w:basedOn w:val="Normal"/>
    <w:next w:val="Normal"/>
    <w:link w:val="Heading7Char"/>
    <w:uiPriority w:val="9"/>
    <w:unhideWhenUsed/>
    <w:rsid w:val="004C215E"/>
    <w:pPr>
      <w:keepNext/>
      <w:keepLines/>
      <w:numPr>
        <w:ilvl w:val="6"/>
        <w:numId w:val="4"/>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aliases w:val="App Heading 2"/>
    <w:basedOn w:val="Normal"/>
    <w:next w:val="Normal"/>
    <w:link w:val="Heading8Char"/>
    <w:uiPriority w:val="9"/>
    <w:unhideWhenUsed/>
    <w:rsid w:val="004C215E"/>
    <w:pPr>
      <w:keepNext/>
      <w:keepLines/>
      <w:numPr>
        <w:ilvl w:val="7"/>
        <w:numId w:val="4"/>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aliases w:val="Section heading - Body,App Heading 3"/>
    <w:basedOn w:val="Normal"/>
    <w:next w:val="Normal"/>
    <w:link w:val="Heading9Char"/>
    <w:uiPriority w:val="9"/>
    <w:unhideWhenUsed/>
    <w:rsid w:val="004C215E"/>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MD_Heading Char"/>
    <w:basedOn w:val="DefaultParagraphFont"/>
    <w:link w:val="Heading1"/>
    <w:uiPriority w:val="9"/>
    <w:rsid w:val="00E315CC"/>
    <w:rPr>
      <w:rFonts w:asciiTheme="minorHAnsi" w:eastAsiaTheme="majorEastAsia" w:hAnsiTheme="minorHAnsi" w:cstheme="majorBidi"/>
      <w:b/>
      <w:bCs/>
      <w:color w:val="548DD4" w:themeColor="text2" w:themeTint="99"/>
      <w:sz w:val="40"/>
      <w:szCs w:val="40"/>
      <w:lang w:val="en-GB"/>
    </w:rPr>
  </w:style>
  <w:style w:type="character" w:customStyle="1" w:styleId="Heading2Char">
    <w:name w:val="Heading 2 Char"/>
    <w:basedOn w:val="DefaultParagraphFont"/>
    <w:link w:val="Heading2"/>
    <w:uiPriority w:val="9"/>
    <w:rsid w:val="004C215E"/>
    <w:rPr>
      <w:rFonts w:asciiTheme="majorHAnsi" w:eastAsiaTheme="majorEastAsia" w:hAnsiTheme="majorHAnsi" w:cstheme="majorBidi"/>
      <w:b/>
      <w:bCs/>
      <w:color w:val="4F81BD" w:themeColor="accent1"/>
      <w:szCs w:val="26"/>
    </w:rPr>
  </w:style>
  <w:style w:type="character" w:customStyle="1" w:styleId="Heading3Char">
    <w:name w:val="Heading 3 Char"/>
    <w:basedOn w:val="DefaultParagraphFont"/>
    <w:link w:val="Heading3"/>
    <w:uiPriority w:val="9"/>
    <w:rsid w:val="00447443"/>
    <w:rPr>
      <w:rFonts w:asciiTheme="minorHAnsi" w:eastAsiaTheme="majorEastAsia" w:hAnsiTheme="minorHAnsi" w:cstheme="majorBidi"/>
      <w:b/>
      <w:bCs/>
      <w:i/>
      <w:sz w:val="28"/>
      <w:szCs w:val="28"/>
    </w:rPr>
  </w:style>
  <w:style w:type="paragraph" w:styleId="ListParagraph">
    <w:name w:val="List Paragraph"/>
    <w:aliases w:val="Footnote,BulletPoints,List Paragraph1,Recommendation"/>
    <w:basedOn w:val="Normal"/>
    <w:link w:val="ListParagraphChar"/>
    <w:uiPriority w:val="72"/>
    <w:qFormat/>
    <w:rsid w:val="004C215E"/>
    <w:pPr>
      <w:ind w:left="720"/>
      <w:contextualSpacing/>
    </w:pPr>
  </w:style>
  <w:style w:type="paragraph" w:styleId="NormalWeb">
    <w:name w:val="Normal (Web)"/>
    <w:basedOn w:val="Normal"/>
    <w:link w:val="NormalWebChar"/>
    <w:uiPriority w:val="99"/>
    <w:unhideWhenUsed/>
    <w:rsid w:val="00EC1701"/>
    <w:pPr>
      <w:spacing w:before="100" w:beforeAutospacing="1" w:after="100" w:afterAutospacing="1"/>
    </w:pPr>
    <w:rPr>
      <w:rFonts w:eastAsia="Times New Roman" w:cs="Times New Roman"/>
      <w:szCs w:val="24"/>
    </w:rPr>
  </w:style>
  <w:style w:type="paragraph" w:styleId="BalloonText">
    <w:name w:val="Balloon Text"/>
    <w:basedOn w:val="Normal"/>
    <w:link w:val="BalloonTextChar"/>
    <w:uiPriority w:val="99"/>
    <w:semiHidden/>
    <w:unhideWhenUsed/>
    <w:rsid w:val="008567A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67AC"/>
    <w:rPr>
      <w:rFonts w:ascii="Tahoma" w:hAnsi="Tahoma" w:cs="Tahoma"/>
      <w:sz w:val="16"/>
      <w:szCs w:val="16"/>
    </w:rPr>
  </w:style>
  <w:style w:type="character" w:customStyle="1" w:styleId="normalchar">
    <w:name w:val="normal_char"/>
    <w:rsid w:val="008567AC"/>
    <w:rPr>
      <w:color w:val="auto"/>
    </w:rPr>
  </w:style>
  <w:style w:type="character" w:styleId="Hyperlink">
    <w:name w:val="Hyperlink"/>
    <w:basedOn w:val="DefaultParagraphFont"/>
    <w:uiPriority w:val="99"/>
    <w:rsid w:val="00876B6E"/>
    <w:rPr>
      <w:color w:val="0000FF" w:themeColor="hyperlink"/>
      <w:u w:val="single"/>
    </w:rPr>
  </w:style>
  <w:style w:type="character" w:styleId="CommentReference">
    <w:name w:val="annotation reference"/>
    <w:aliases w:val="Table Title"/>
    <w:basedOn w:val="DefaultParagraphFont"/>
    <w:uiPriority w:val="99"/>
    <w:unhideWhenUsed/>
    <w:rsid w:val="00FF593A"/>
    <w:rPr>
      <w:sz w:val="16"/>
      <w:szCs w:val="16"/>
    </w:rPr>
  </w:style>
  <w:style w:type="paragraph" w:styleId="CommentText">
    <w:name w:val="annotation text"/>
    <w:basedOn w:val="Normal"/>
    <w:link w:val="CommentTextChar"/>
    <w:uiPriority w:val="99"/>
    <w:unhideWhenUsed/>
    <w:rsid w:val="00FF593A"/>
    <w:rPr>
      <w:sz w:val="20"/>
      <w:szCs w:val="20"/>
    </w:rPr>
  </w:style>
  <w:style w:type="character" w:customStyle="1" w:styleId="CommentTextChar">
    <w:name w:val="Comment Text Char"/>
    <w:basedOn w:val="DefaultParagraphFont"/>
    <w:link w:val="CommentText"/>
    <w:uiPriority w:val="99"/>
    <w:rsid w:val="00FF593A"/>
    <w:rPr>
      <w:sz w:val="20"/>
      <w:szCs w:val="20"/>
    </w:rPr>
  </w:style>
  <w:style w:type="paragraph" w:styleId="CommentSubject">
    <w:name w:val="annotation subject"/>
    <w:basedOn w:val="CommentText"/>
    <w:next w:val="CommentText"/>
    <w:link w:val="CommentSubjectChar"/>
    <w:uiPriority w:val="99"/>
    <w:semiHidden/>
    <w:unhideWhenUsed/>
    <w:rsid w:val="00FF593A"/>
    <w:rPr>
      <w:b/>
      <w:bCs/>
    </w:rPr>
  </w:style>
  <w:style w:type="character" w:customStyle="1" w:styleId="CommentSubjectChar">
    <w:name w:val="Comment Subject Char"/>
    <w:basedOn w:val="CommentTextChar"/>
    <w:link w:val="CommentSubject"/>
    <w:uiPriority w:val="99"/>
    <w:semiHidden/>
    <w:rsid w:val="00FF593A"/>
    <w:rPr>
      <w:b/>
      <w:bCs/>
      <w:sz w:val="20"/>
      <w:szCs w:val="20"/>
    </w:rPr>
  </w:style>
  <w:style w:type="paragraph" w:styleId="BodyTextIndent3">
    <w:name w:val="Body Text Indent 3"/>
    <w:basedOn w:val="Normal"/>
    <w:link w:val="BodyTextIndent3Char"/>
    <w:rsid w:val="00981C16"/>
    <w:pPr>
      <w:spacing w:after="120"/>
      <w:ind w:left="283"/>
    </w:pPr>
    <w:rPr>
      <w:rFonts w:eastAsia="Times New Roman" w:cs="Times New Roman"/>
      <w:sz w:val="16"/>
      <w:szCs w:val="16"/>
    </w:rPr>
  </w:style>
  <w:style w:type="character" w:customStyle="1" w:styleId="BodyTextIndent3Char">
    <w:name w:val="Body Text Indent 3 Char"/>
    <w:basedOn w:val="DefaultParagraphFont"/>
    <w:link w:val="BodyTextIndent3"/>
    <w:rsid w:val="00981C16"/>
    <w:rPr>
      <w:rFonts w:eastAsia="Times New Roman" w:cs="Times New Roman"/>
      <w:sz w:val="16"/>
      <w:szCs w:val="16"/>
    </w:rPr>
  </w:style>
  <w:style w:type="character" w:customStyle="1" w:styleId="Heading4Char">
    <w:name w:val="Heading 4 Char"/>
    <w:aliases w:val="Heading 1 - Body Char"/>
    <w:basedOn w:val="DefaultParagraphFont"/>
    <w:link w:val="Heading4"/>
    <w:uiPriority w:val="9"/>
    <w:rsid w:val="004C215E"/>
    <w:rPr>
      <w:rFonts w:asciiTheme="majorHAnsi" w:eastAsiaTheme="majorEastAsia" w:hAnsiTheme="majorHAnsi" w:cstheme="majorBidi"/>
      <w:b/>
      <w:bCs/>
      <w:i/>
      <w:iCs/>
      <w:color w:val="4F81BD" w:themeColor="accent1"/>
    </w:rPr>
  </w:style>
  <w:style w:type="character" w:customStyle="1" w:styleId="Heading5Char">
    <w:name w:val="Heading 5 Char"/>
    <w:aliases w:val="Heading 2 - Body Char"/>
    <w:basedOn w:val="DefaultParagraphFont"/>
    <w:link w:val="Heading5"/>
    <w:uiPriority w:val="9"/>
    <w:rsid w:val="004C215E"/>
    <w:rPr>
      <w:rFonts w:asciiTheme="majorHAnsi" w:eastAsiaTheme="majorEastAsia" w:hAnsiTheme="majorHAnsi" w:cstheme="majorBidi"/>
      <w:color w:val="243F60" w:themeColor="accent1" w:themeShade="7F"/>
      <w:lang w:val="en-GB"/>
    </w:rPr>
  </w:style>
  <w:style w:type="character" w:customStyle="1" w:styleId="Heading6Char">
    <w:name w:val="Heading 6 Char"/>
    <w:aliases w:val="Heading 3 - Body Char"/>
    <w:basedOn w:val="DefaultParagraphFont"/>
    <w:link w:val="Heading6"/>
    <w:uiPriority w:val="9"/>
    <w:rsid w:val="004C215E"/>
    <w:rPr>
      <w:rFonts w:asciiTheme="majorHAnsi" w:eastAsiaTheme="majorEastAsia" w:hAnsiTheme="majorHAnsi" w:cstheme="majorBidi"/>
      <w:i/>
      <w:iCs/>
      <w:color w:val="243F60" w:themeColor="accent1" w:themeShade="7F"/>
      <w:lang w:val="en-GB"/>
    </w:rPr>
  </w:style>
  <w:style w:type="character" w:customStyle="1" w:styleId="Heading7Char">
    <w:name w:val="Heading 7 Char"/>
    <w:aliases w:val="App Heading 1 Char"/>
    <w:basedOn w:val="DefaultParagraphFont"/>
    <w:link w:val="Heading7"/>
    <w:uiPriority w:val="9"/>
    <w:rsid w:val="004C215E"/>
    <w:rPr>
      <w:rFonts w:asciiTheme="majorHAnsi" w:eastAsiaTheme="majorEastAsia" w:hAnsiTheme="majorHAnsi" w:cstheme="majorBidi"/>
      <w:i/>
      <w:iCs/>
      <w:color w:val="404040" w:themeColor="text1" w:themeTint="BF"/>
      <w:lang w:val="en-GB"/>
    </w:rPr>
  </w:style>
  <w:style w:type="character" w:customStyle="1" w:styleId="Heading8Char">
    <w:name w:val="Heading 8 Char"/>
    <w:aliases w:val="App Heading 2 Char"/>
    <w:basedOn w:val="DefaultParagraphFont"/>
    <w:link w:val="Heading8"/>
    <w:uiPriority w:val="9"/>
    <w:rsid w:val="004C215E"/>
    <w:rPr>
      <w:rFonts w:asciiTheme="majorHAnsi" w:eastAsiaTheme="majorEastAsia" w:hAnsiTheme="majorHAnsi" w:cstheme="majorBidi"/>
      <w:color w:val="404040" w:themeColor="text1" w:themeTint="BF"/>
      <w:sz w:val="20"/>
      <w:szCs w:val="20"/>
      <w:lang w:val="en-GB"/>
    </w:rPr>
  </w:style>
  <w:style w:type="character" w:customStyle="1" w:styleId="Heading9Char">
    <w:name w:val="Heading 9 Char"/>
    <w:aliases w:val="Section heading - Body Char,App Heading 3 Char"/>
    <w:basedOn w:val="DefaultParagraphFont"/>
    <w:link w:val="Heading9"/>
    <w:uiPriority w:val="9"/>
    <w:rsid w:val="004C215E"/>
    <w:rPr>
      <w:rFonts w:asciiTheme="majorHAnsi" w:eastAsiaTheme="majorEastAsia" w:hAnsiTheme="majorHAnsi" w:cstheme="majorBidi"/>
      <w:i/>
      <w:iCs/>
      <w:color w:val="404040" w:themeColor="text1" w:themeTint="BF"/>
      <w:sz w:val="20"/>
      <w:szCs w:val="20"/>
      <w:lang w:val="en-GB"/>
    </w:rPr>
  </w:style>
  <w:style w:type="paragraph" w:styleId="Header">
    <w:name w:val="header"/>
    <w:basedOn w:val="Normal"/>
    <w:link w:val="HeaderChar"/>
    <w:uiPriority w:val="99"/>
    <w:unhideWhenUsed/>
    <w:rsid w:val="00131A64"/>
    <w:pPr>
      <w:tabs>
        <w:tab w:val="center" w:pos="4513"/>
        <w:tab w:val="right" w:pos="9026"/>
      </w:tabs>
      <w:spacing w:after="0"/>
    </w:pPr>
  </w:style>
  <w:style w:type="character" w:customStyle="1" w:styleId="HeaderChar">
    <w:name w:val="Header Char"/>
    <w:basedOn w:val="DefaultParagraphFont"/>
    <w:link w:val="Header"/>
    <w:uiPriority w:val="99"/>
    <w:rsid w:val="00131A64"/>
  </w:style>
  <w:style w:type="paragraph" w:styleId="Footer">
    <w:name w:val="footer"/>
    <w:basedOn w:val="Normal"/>
    <w:link w:val="FooterChar"/>
    <w:uiPriority w:val="99"/>
    <w:unhideWhenUsed/>
    <w:rsid w:val="00131A64"/>
    <w:pPr>
      <w:tabs>
        <w:tab w:val="center" w:pos="4513"/>
        <w:tab w:val="right" w:pos="9026"/>
      </w:tabs>
      <w:spacing w:after="0"/>
    </w:pPr>
  </w:style>
  <w:style w:type="character" w:customStyle="1" w:styleId="FooterChar">
    <w:name w:val="Footer Char"/>
    <w:basedOn w:val="DefaultParagraphFont"/>
    <w:link w:val="Footer"/>
    <w:uiPriority w:val="99"/>
    <w:rsid w:val="00131A64"/>
  </w:style>
  <w:style w:type="paragraph" w:styleId="TOCHeading">
    <w:name w:val="TOC Heading"/>
    <w:basedOn w:val="Heading1"/>
    <w:next w:val="Normal"/>
    <w:uiPriority w:val="39"/>
    <w:unhideWhenUsed/>
    <w:qFormat/>
    <w:rsid w:val="004C215E"/>
    <w:pPr>
      <w:outlineLvl w:val="9"/>
    </w:pPr>
    <w:rPr>
      <w:lang w:val="en-US" w:eastAsia="ja-JP"/>
    </w:rPr>
  </w:style>
  <w:style w:type="paragraph" w:styleId="TOC1">
    <w:name w:val="toc 1"/>
    <w:basedOn w:val="Normal"/>
    <w:next w:val="Normal"/>
    <w:autoRedefine/>
    <w:uiPriority w:val="39"/>
    <w:unhideWhenUsed/>
    <w:rsid w:val="00C34CDD"/>
    <w:pPr>
      <w:spacing w:after="100"/>
    </w:pPr>
  </w:style>
  <w:style w:type="paragraph" w:styleId="TOC2">
    <w:name w:val="toc 2"/>
    <w:basedOn w:val="Normal"/>
    <w:next w:val="Normal"/>
    <w:autoRedefine/>
    <w:uiPriority w:val="39"/>
    <w:unhideWhenUsed/>
    <w:rsid w:val="00C34CDD"/>
    <w:pPr>
      <w:spacing w:after="100"/>
      <w:ind w:left="240"/>
    </w:pPr>
  </w:style>
  <w:style w:type="paragraph" w:styleId="TOC3">
    <w:name w:val="toc 3"/>
    <w:basedOn w:val="Normal"/>
    <w:next w:val="Normal"/>
    <w:autoRedefine/>
    <w:uiPriority w:val="39"/>
    <w:unhideWhenUsed/>
    <w:rsid w:val="00C34CDD"/>
    <w:pPr>
      <w:spacing w:after="100"/>
      <w:ind w:left="480"/>
    </w:pPr>
  </w:style>
  <w:style w:type="paragraph" w:styleId="NoSpacing">
    <w:name w:val="No Spacing"/>
    <w:aliases w:val="Figure footer"/>
    <w:uiPriority w:val="1"/>
    <w:rsid w:val="004C215E"/>
    <w:pPr>
      <w:spacing w:after="0" w:line="240" w:lineRule="auto"/>
    </w:pPr>
  </w:style>
  <w:style w:type="character" w:customStyle="1" w:styleId="apple-converted-space">
    <w:name w:val="apple-converted-space"/>
    <w:basedOn w:val="DefaultParagraphFont"/>
    <w:rsid w:val="00152166"/>
  </w:style>
  <w:style w:type="character" w:styleId="FollowedHyperlink">
    <w:name w:val="FollowedHyperlink"/>
    <w:uiPriority w:val="99"/>
    <w:semiHidden/>
    <w:unhideWhenUsed/>
    <w:rsid w:val="00082A22"/>
    <w:rPr>
      <w:color w:val="800080"/>
      <w:u w:val="single"/>
    </w:rPr>
  </w:style>
  <w:style w:type="character" w:styleId="HTMLCite">
    <w:name w:val="HTML Cite"/>
    <w:uiPriority w:val="99"/>
    <w:semiHidden/>
    <w:unhideWhenUsed/>
    <w:rsid w:val="00082A22"/>
    <w:rPr>
      <w:b w:val="0"/>
      <w:bCs w:val="0"/>
      <w:i w:val="0"/>
      <w:iCs w:val="0"/>
      <w:vanish w:val="0"/>
      <w:webHidden w:val="0"/>
      <w:specVanish w:val="0"/>
    </w:rPr>
  </w:style>
  <w:style w:type="character" w:customStyle="1" w:styleId="author4">
    <w:name w:val="author4"/>
    <w:rsid w:val="00082A22"/>
    <w:rPr>
      <w:b w:val="0"/>
      <w:bCs w:val="0"/>
      <w:i w:val="0"/>
      <w:iCs w:val="0"/>
      <w:smallCaps w:val="0"/>
      <w:sz w:val="24"/>
      <w:szCs w:val="24"/>
    </w:rPr>
  </w:style>
  <w:style w:type="character" w:customStyle="1" w:styleId="articletitle7">
    <w:name w:val="articletitle7"/>
    <w:basedOn w:val="DefaultParagraphFont"/>
    <w:rsid w:val="00082A22"/>
  </w:style>
  <w:style w:type="character" w:customStyle="1" w:styleId="journaltitle4">
    <w:name w:val="journaltitle4"/>
    <w:rsid w:val="00082A22"/>
    <w:rPr>
      <w:i/>
      <w:iCs/>
    </w:rPr>
  </w:style>
  <w:style w:type="character" w:customStyle="1" w:styleId="pubyear">
    <w:name w:val="pubyear"/>
    <w:basedOn w:val="DefaultParagraphFont"/>
    <w:rsid w:val="00082A22"/>
  </w:style>
  <w:style w:type="character" w:customStyle="1" w:styleId="citedissue">
    <w:name w:val="citedissue"/>
    <w:basedOn w:val="DefaultParagraphFont"/>
    <w:rsid w:val="00082A22"/>
  </w:style>
  <w:style w:type="character" w:customStyle="1" w:styleId="frlabel1">
    <w:name w:val="fr_label1"/>
    <w:rsid w:val="00082A22"/>
    <w:rPr>
      <w:b/>
      <w:bCs/>
    </w:rPr>
  </w:style>
  <w:style w:type="character" w:styleId="Strong">
    <w:name w:val="Strong"/>
    <w:uiPriority w:val="22"/>
    <w:rsid w:val="004C215E"/>
    <w:rPr>
      <w:b/>
      <w:bCs/>
    </w:rPr>
  </w:style>
  <w:style w:type="character" w:customStyle="1" w:styleId="hithilite3">
    <w:name w:val="hithilite3"/>
    <w:rsid w:val="00082A22"/>
    <w:rPr>
      <w:shd w:val="clear" w:color="auto" w:fill="FFFF00"/>
    </w:rPr>
  </w:style>
  <w:style w:type="character" w:customStyle="1" w:styleId="maintitle4">
    <w:name w:val="maintitle4"/>
    <w:rsid w:val="00082A22"/>
    <w:rPr>
      <w:vanish w:val="0"/>
      <w:webHidden w:val="0"/>
      <w:specVanish w:val="0"/>
    </w:rPr>
  </w:style>
  <w:style w:type="character" w:customStyle="1" w:styleId="override-xref-content-element7">
    <w:name w:val="override-xref-content-element7"/>
    <w:rsid w:val="00082A22"/>
    <w:rPr>
      <w:color w:val="007E8A"/>
    </w:rPr>
  </w:style>
  <w:style w:type="paragraph" w:customStyle="1" w:styleId="para10">
    <w:name w:val="para10"/>
    <w:basedOn w:val="Normal"/>
    <w:rsid w:val="00082A22"/>
    <w:pPr>
      <w:spacing w:after="240" w:line="360" w:lineRule="atLeast"/>
    </w:pPr>
    <w:rPr>
      <w:rFonts w:eastAsia="Times New Roman" w:cs="Times New Roman"/>
      <w:sz w:val="29"/>
      <w:szCs w:val="29"/>
    </w:rPr>
  </w:style>
  <w:style w:type="table" w:styleId="TableGrid">
    <w:name w:val="Table Grid"/>
    <w:aliases w:val="Summary box,Table Gridbeth"/>
    <w:basedOn w:val="TableNormal"/>
    <w:uiPriority w:val="59"/>
    <w:rsid w:val="00082A22"/>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7">
    <w:name w:val="i7"/>
    <w:rsid w:val="00082A22"/>
    <w:rPr>
      <w:i/>
      <w:iCs/>
    </w:rPr>
  </w:style>
  <w:style w:type="paragraph" w:customStyle="1" w:styleId="CM18">
    <w:name w:val="CM18"/>
    <w:basedOn w:val="Normal"/>
    <w:next w:val="Normal"/>
    <w:uiPriority w:val="99"/>
    <w:rsid w:val="00082A22"/>
    <w:pPr>
      <w:widowControl w:val="0"/>
      <w:autoSpaceDE w:val="0"/>
      <w:autoSpaceDN w:val="0"/>
      <w:adjustRightInd w:val="0"/>
      <w:spacing w:after="0"/>
    </w:pPr>
    <w:rPr>
      <w:rFonts w:ascii="MuseeBold" w:eastAsia="Times New Roman" w:hAnsi="MuseeBold" w:cs="Times New Roman"/>
      <w:szCs w:val="24"/>
    </w:rPr>
  </w:style>
  <w:style w:type="paragraph" w:customStyle="1" w:styleId="Heading5new">
    <w:name w:val="Heading 5 new"/>
    <w:basedOn w:val="NormalWeb"/>
    <w:link w:val="Heading5newChar"/>
    <w:rsid w:val="004C215E"/>
    <w:pPr>
      <w:spacing w:before="0" w:beforeAutospacing="0" w:after="240" w:afterAutospacing="0" w:line="312" w:lineRule="atLeast"/>
    </w:pPr>
    <w:rPr>
      <w:rFonts w:ascii="Times New Roman" w:hAnsi="Times New Roman"/>
      <w:b/>
      <w:i/>
      <w:color w:val="000000"/>
      <w:u w:val="single"/>
    </w:rPr>
  </w:style>
  <w:style w:type="character" w:customStyle="1" w:styleId="NormalWebChar">
    <w:name w:val="Normal (Web) Char"/>
    <w:link w:val="NormalWeb"/>
    <w:uiPriority w:val="99"/>
    <w:rsid w:val="00082A22"/>
    <w:rPr>
      <w:rFonts w:eastAsia="Times New Roman" w:cs="Times New Roman"/>
      <w:szCs w:val="24"/>
      <w:lang w:eastAsia="en-AU"/>
    </w:rPr>
  </w:style>
  <w:style w:type="character" w:customStyle="1" w:styleId="Heading5newChar">
    <w:name w:val="Heading 5 new Char"/>
    <w:link w:val="Heading5new"/>
    <w:rsid w:val="004C215E"/>
    <w:rPr>
      <w:rFonts w:eastAsia="Times New Roman" w:cs="Times New Roman"/>
      <w:b/>
      <w:i/>
      <w:color w:val="000000"/>
      <w:szCs w:val="24"/>
      <w:u w:val="single"/>
    </w:rPr>
  </w:style>
  <w:style w:type="paragraph" w:customStyle="1" w:styleId="Heading4new">
    <w:name w:val="Heading 4 new"/>
    <w:basedOn w:val="Heading5new"/>
    <w:link w:val="Heading4newChar"/>
    <w:rsid w:val="004C215E"/>
  </w:style>
  <w:style w:type="character" w:customStyle="1" w:styleId="Heading4newChar">
    <w:name w:val="Heading 4 new Char"/>
    <w:link w:val="Heading4new"/>
    <w:rsid w:val="004C215E"/>
    <w:rPr>
      <w:rFonts w:eastAsia="Times New Roman" w:cs="Times New Roman"/>
      <w:b/>
      <w:i/>
      <w:color w:val="000000"/>
      <w:szCs w:val="24"/>
      <w:u w:val="single"/>
    </w:rPr>
  </w:style>
  <w:style w:type="character" w:customStyle="1" w:styleId="label31">
    <w:name w:val="label31"/>
    <w:basedOn w:val="DefaultParagraphFont"/>
    <w:rsid w:val="00082A22"/>
  </w:style>
  <w:style w:type="character" w:customStyle="1" w:styleId="b7">
    <w:name w:val="b7"/>
    <w:rsid w:val="00082A22"/>
    <w:rPr>
      <w:b/>
      <w:bCs/>
    </w:rPr>
  </w:style>
  <w:style w:type="character" w:customStyle="1" w:styleId="tablenotes-note">
    <w:name w:val="tablenotes-note"/>
    <w:basedOn w:val="DefaultParagraphFont"/>
    <w:rsid w:val="00082A22"/>
  </w:style>
  <w:style w:type="character" w:customStyle="1" w:styleId="section-title3">
    <w:name w:val="section-title3"/>
    <w:rsid w:val="00082A22"/>
    <w:rPr>
      <w:vanish w:val="0"/>
      <w:webHidden w:val="0"/>
      <w:specVanish w:val="0"/>
    </w:rPr>
  </w:style>
  <w:style w:type="paragraph" w:customStyle="1" w:styleId="Default">
    <w:name w:val="Default"/>
    <w:rsid w:val="00082A22"/>
    <w:pPr>
      <w:widowControl w:val="0"/>
      <w:autoSpaceDE w:val="0"/>
      <w:autoSpaceDN w:val="0"/>
      <w:adjustRightInd w:val="0"/>
      <w:spacing w:after="0" w:line="240" w:lineRule="auto"/>
    </w:pPr>
    <w:rPr>
      <w:rFonts w:ascii="Arial" w:eastAsia="Times New Roman" w:hAnsi="Arial" w:cs="Arial"/>
      <w:color w:val="000000"/>
      <w:szCs w:val="24"/>
    </w:rPr>
  </w:style>
  <w:style w:type="paragraph" w:styleId="TOC4">
    <w:name w:val="toc 4"/>
    <w:basedOn w:val="Normal"/>
    <w:next w:val="Normal"/>
    <w:autoRedefine/>
    <w:uiPriority w:val="39"/>
    <w:unhideWhenUsed/>
    <w:rsid w:val="00082A22"/>
    <w:pPr>
      <w:spacing w:after="100"/>
      <w:ind w:left="660"/>
    </w:pPr>
    <w:rPr>
      <w:rFonts w:ascii="Calibri" w:eastAsia="Times New Roman" w:hAnsi="Calibri" w:cs="Times New Roman"/>
      <w:sz w:val="22"/>
    </w:rPr>
  </w:style>
  <w:style w:type="paragraph" w:styleId="Revision">
    <w:name w:val="Revision"/>
    <w:hidden/>
    <w:uiPriority w:val="99"/>
    <w:semiHidden/>
    <w:rsid w:val="00082A22"/>
    <w:pPr>
      <w:spacing w:after="0" w:line="240" w:lineRule="auto"/>
    </w:pPr>
    <w:rPr>
      <w:rFonts w:ascii="Calibri" w:eastAsia="Times New Roman" w:hAnsi="Calibri" w:cs="Times New Roman"/>
      <w:sz w:val="22"/>
    </w:rPr>
  </w:style>
  <w:style w:type="paragraph" w:styleId="FootnoteText">
    <w:name w:val="footnote text"/>
    <w:basedOn w:val="Normal"/>
    <w:link w:val="FootnoteTextChar"/>
    <w:uiPriority w:val="99"/>
    <w:unhideWhenUsed/>
    <w:rsid w:val="00082A22"/>
    <w:pPr>
      <w:spacing w:after="0"/>
    </w:pPr>
    <w:rPr>
      <w:rFonts w:ascii="Calibri" w:eastAsia="Times New Roman" w:hAnsi="Calibri" w:cs="Times New Roman"/>
      <w:sz w:val="20"/>
      <w:szCs w:val="20"/>
    </w:rPr>
  </w:style>
  <w:style w:type="character" w:customStyle="1" w:styleId="FootnoteTextChar">
    <w:name w:val="Footnote Text Char"/>
    <w:basedOn w:val="DefaultParagraphFont"/>
    <w:link w:val="FootnoteText"/>
    <w:uiPriority w:val="99"/>
    <w:rsid w:val="00082A22"/>
    <w:rPr>
      <w:rFonts w:ascii="Calibri" w:eastAsia="Times New Roman" w:hAnsi="Calibri" w:cs="Times New Roman"/>
      <w:sz w:val="20"/>
      <w:szCs w:val="20"/>
      <w:lang w:eastAsia="en-AU"/>
    </w:rPr>
  </w:style>
  <w:style w:type="character" w:styleId="FootnoteReference">
    <w:name w:val="footnote reference"/>
    <w:uiPriority w:val="99"/>
    <w:unhideWhenUsed/>
    <w:rsid w:val="00082A22"/>
    <w:rPr>
      <w:vertAlign w:val="superscript"/>
    </w:rPr>
  </w:style>
  <w:style w:type="table" w:customStyle="1" w:styleId="TableGrid1">
    <w:name w:val="Table Grid1"/>
    <w:basedOn w:val="TableNormal"/>
    <w:next w:val="TableGrid"/>
    <w:uiPriority w:val="59"/>
    <w:rsid w:val="00082A22"/>
    <w:pPr>
      <w:spacing w:after="0" w:line="240" w:lineRule="auto"/>
    </w:pPr>
    <w:rPr>
      <w:rFonts w:ascii="Calibri" w:eastAsia="Times New Roman"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Quote">
    <w:name w:val="Quote"/>
    <w:basedOn w:val="Normal"/>
    <w:next w:val="Normal"/>
    <w:link w:val="QuoteChar"/>
    <w:uiPriority w:val="29"/>
    <w:rsid w:val="004C215E"/>
    <w:rPr>
      <w:rFonts w:ascii="Calibri" w:eastAsia="Times New Roman" w:hAnsi="Calibri" w:cs="Times New Roman"/>
      <w:i/>
      <w:iCs/>
      <w:color w:val="000000"/>
      <w:sz w:val="22"/>
    </w:rPr>
  </w:style>
  <w:style w:type="character" w:customStyle="1" w:styleId="QuoteChar">
    <w:name w:val="Quote Char"/>
    <w:basedOn w:val="DefaultParagraphFont"/>
    <w:link w:val="Quote"/>
    <w:uiPriority w:val="29"/>
    <w:rsid w:val="004C215E"/>
    <w:rPr>
      <w:rFonts w:ascii="Calibri" w:eastAsia="Times New Roman" w:hAnsi="Calibri" w:cs="Times New Roman"/>
      <w:i/>
      <w:iCs/>
      <w:color w:val="000000"/>
      <w:sz w:val="22"/>
    </w:rPr>
  </w:style>
  <w:style w:type="paragraph" w:styleId="EndnoteText">
    <w:name w:val="endnote text"/>
    <w:basedOn w:val="Normal"/>
    <w:link w:val="EndnoteTextChar"/>
    <w:uiPriority w:val="99"/>
    <w:unhideWhenUsed/>
    <w:rsid w:val="00082A22"/>
    <w:pPr>
      <w:spacing w:after="0"/>
    </w:pPr>
    <w:rPr>
      <w:rFonts w:ascii="Calibri" w:eastAsia="Times New Roman" w:hAnsi="Calibri" w:cs="Times New Roman"/>
      <w:sz w:val="20"/>
      <w:szCs w:val="20"/>
    </w:rPr>
  </w:style>
  <w:style w:type="character" w:customStyle="1" w:styleId="EndnoteTextChar">
    <w:name w:val="Endnote Text Char"/>
    <w:basedOn w:val="DefaultParagraphFont"/>
    <w:link w:val="EndnoteText"/>
    <w:uiPriority w:val="99"/>
    <w:rsid w:val="00082A22"/>
    <w:rPr>
      <w:rFonts w:ascii="Calibri" w:eastAsia="Times New Roman" w:hAnsi="Calibri" w:cs="Times New Roman"/>
      <w:sz w:val="20"/>
      <w:szCs w:val="20"/>
      <w:lang w:eastAsia="en-AU"/>
    </w:rPr>
  </w:style>
  <w:style w:type="character" w:styleId="EndnoteReference">
    <w:name w:val="endnote reference"/>
    <w:uiPriority w:val="99"/>
    <w:unhideWhenUsed/>
    <w:rsid w:val="00082A22"/>
    <w:rPr>
      <w:vertAlign w:val="superscript"/>
    </w:rPr>
  </w:style>
  <w:style w:type="paragraph" w:customStyle="1" w:styleId="para">
    <w:name w:val="para"/>
    <w:basedOn w:val="Normal"/>
    <w:rsid w:val="00601F48"/>
    <w:pPr>
      <w:spacing w:before="100" w:beforeAutospacing="1" w:after="100" w:afterAutospacing="1"/>
    </w:pPr>
    <w:rPr>
      <w:rFonts w:eastAsia="Times New Roman" w:cs="Times New Roman"/>
      <w:szCs w:val="24"/>
    </w:rPr>
  </w:style>
  <w:style w:type="paragraph" w:styleId="Caption">
    <w:name w:val="caption"/>
    <w:basedOn w:val="Normal"/>
    <w:next w:val="Normal"/>
    <w:link w:val="CaptionChar"/>
    <w:uiPriority w:val="35"/>
    <w:unhideWhenUsed/>
    <w:rsid w:val="004C215E"/>
    <w:rPr>
      <w:rFonts w:eastAsia="Times New Roman" w:cs="Times New Roman"/>
      <w:b/>
      <w:bCs/>
      <w:szCs w:val="18"/>
    </w:rPr>
  </w:style>
  <w:style w:type="paragraph" w:customStyle="1" w:styleId="ListBullet1">
    <w:name w:val="List Bullet1"/>
    <w:basedOn w:val="Normal"/>
    <w:uiPriority w:val="5"/>
    <w:rsid w:val="004C215E"/>
    <w:pPr>
      <w:numPr>
        <w:numId w:val="5"/>
      </w:numPr>
      <w:shd w:val="clear" w:color="auto" w:fill="FFFFFF" w:themeFill="background1"/>
      <w:spacing w:before="120" w:after="120" w:line="260" w:lineRule="exact"/>
      <w:contextualSpacing/>
    </w:pPr>
    <w:rPr>
      <w:rFonts w:ascii="Arial" w:eastAsia="Times New Roman" w:hAnsi="Arial" w:cs="Arial"/>
      <w:sz w:val="20"/>
      <w:szCs w:val="20"/>
    </w:rPr>
  </w:style>
  <w:style w:type="character" w:customStyle="1" w:styleId="Bold">
    <w:name w:val="Bold"/>
    <w:uiPriority w:val="99"/>
    <w:rsid w:val="004C215E"/>
    <w:rPr>
      <w:b/>
      <w:lang w:val="en-AU" w:eastAsia="en-US"/>
    </w:rPr>
  </w:style>
  <w:style w:type="character" w:customStyle="1" w:styleId="Italic">
    <w:name w:val="Italic"/>
    <w:uiPriority w:val="3"/>
    <w:rsid w:val="0009621D"/>
    <w:rPr>
      <w:i/>
      <w:lang w:val="en-AU" w:eastAsia="en-US"/>
    </w:rPr>
  </w:style>
  <w:style w:type="character" w:customStyle="1" w:styleId="HighlightOrange">
    <w:name w:val="Highlight Orange"/>
    <w:basedOn w:val="DefaultParagraphFont"/>
    <w:uiPriority w:val="75"/>
    <w:rsid w:val="004C215E"/>
    <w:rPr>
      <w:color w:val="F47B28"/>
    </w:rPr>
  </w:style>
  <w:style w:type="table" w:customStyle="1" w:styleId="Boxorange">
    <w:name w:val="Box orange"/>
    <w:basedOn w:val="TableNormal"/>
    <w:uiPriority w:val="99"/>
    <w:qFormat/>
    <w:rsid w:val="0009621D"/>
    <w:pPr>
      <w:spacing w:after="0" w:line="240" w:lineRule="auto"/>
    </w:pPr>
    <w:rPr>
      <w:rFonts w:eastAsia="Times New Roman" w:cs="Times New Roman"/>
      <w:sz w:val="20"/>
      <w:szCs w:val="20"/>
    </w:rPr>
    <w:tblPr>
      <w:tblInd w:w="113" w:type="dxa"/>
      <w:tblBorders>
        <w:top w:val="single" w:sz="18" w:space="0" w:color="F47B28"/>
        <w:left w:val="single" w:sz="18" w:space="0" w:color="F47B28"/>
        <w:bottom w:val="single" w:sz="18" w:space="0" w:color="F47B28"/>
        <w:right w:val="single" w:sz="18" w:space="0" w:color="F47B28"/>
      </w:tblBorders>
    </w:tblPr>
    <w:trPr>
      <w:cantSplit/>
    </w:trPr>
  </w:style>
  <w:style w:type="character" w:customStyle="1" w:styleId="Highlighter">
    <w:name w:val="Highlighter"/>
    <w:basedOn w:val="DefaultParagraphFont"/>
    <w:uiPriority w:val="21"/>
    <w:rsid w:val="00CA142D"/>
    <w:rPr>
      <w:bdr w:val="none" w:sz="0" w:space="0" w:color="auto"/>
      <w:shd w:val="clear" w:color="auto" w:fill="FFFF00"/>
    </w:rPr>
  </w:style>
  <w:style w:type="character" w:styleId="IntenseReference">
    <w:name w:val="Intense Reference"/>
    <w:basedOn w:val="DefaultParagraphFont"/>
    <w:uiPriority w:val="32"/>
    <w:rsid w:val="004C215E"/>
    <w:rPr>
      <w:b/>
      <w:bCs/>
      <w:i/>
      <w:smallCaps/>
      <w:color w:val="C0504D" w:themeColor="accent2"/>
      <w:spacing w:val="5"/>
      <w:u w:val="none"/>
    </w:rPr>
  </w:style>
  <w:style w:type="paragraph" w:styleId="TOC5">
    <w:name w:val="toc 5"/>
    <w:basedOn w:val="Normal"/>
    <w:next w:val="Normal"/>
    <w:autoRedefine/>
    <w:uiPriority w:val="39"/>
    <w:unhideWhenUsed/>
    <w:rsid w:val="00D35EC1"/>
    <w:pPr>
      <w:spacing w:after="100"/>
      <w:ind w:left="880"/>
    </w:pPr>
    <w:rPr>
      <w:rFonts w:eastAsiaTheme="minorEastAsia"/>
      <w:sz w:val="22"/>
    </w:rPr>
  </w:style>
  <w:style w:type="paragraph" w:styleId="TOC6">
    <w:name w:val="toc 6"/>
    <w:basedOn w:val="Normal"/>
    <w:next w:val="Normal"/>
    <w:autoRedefine/>
    <w:uiPriority w:val="39"/>
    <w:unhideWhenUsed/>
    <w:rsid w:val="00D35EC1"/>
    <w:pPr>
      <w:spacing w:after="100"/>
      <w:ind w:left="1100"/>
    </w:pPr>
    <w:rPr>
      <w:rFonts w:eastAsiaTheme="minorEastAsia"/>
      <w:sz w:val="22"/>
    </w:rPr>
  </w:style>
  <w:style w:type="paragraph" w:styleId="TOC7">
    <w:name w:val="toc 7"/>
    <w:basedOn w:val="Normal"/>
    <w:next w:val="Normal"/>
    <w:autoRedefine/>
    <w:uiPriority w:val="39"/>
    <w:unhideWhenUsed/>
    <w:rsid w:val="00D35EC1"/>
    <w:pPr>
      <w:spacing w:after="100"/>
      <w:ind w:left="1320"/>
    </w:pPr>
    <w:rPr>
      <w:rFonts w:eastAsiaTheme="minorEastAsia"/>
      <w:sz w:val="22"/>
    </w:rPr>
  </w:style>
  <w:style w:type="paragraph" w:styleId="TOC8">
    <w:name w:val="toc 8"/>
    <w:basedOn w:val="Normal"/>
    <w:next w:val="Normal"/>
    <w:autoRedefine/>
    <w:uiPriority w:val="39"/>
    <w:unhideWhenUsed/>
    <w:rsid w:val="00D35EC1"/>
    <w:pPr>
      <w:spacing w:after="100"/>
      <w:ind w:left="1540"/>
    </w:pPr>
    <w:rPr>
      <w:rFonts w:eastAsiaTheme="minorEastAsia"/>
      <w:sz w:val="22"/>
    </w:rPr>
  </w:style>
  <w:style w:type="paragraph" w:styleId="TOC9">
    <w:name w:val="toc 9"/>
    <w:basedOn w:val="Normal"/>
    <w:next w:val="Normal"/>
    <w:autoRedefine/>
    <w:uiPriority w:val="39"/>
    <w:unhideWhenUsed/>
    <w:rsid w:val="00D35EC1"/>
    <w:pPr>
      <w:spacing w:after="100"/>
      <w:ind w:left="1760"/>
    </w:pPr>
    <w:rPr>
      <w:rFonts w:eastAsiaTheme="minorEastAsia"/>
      <w:sz w:val="22"/>
    </w:rPr>
  </w:style>
  <w:style w:type="table" w:styleId="LightGrid-Accent4">
    <w:name w:val="Light Grid Accent 4"/>
    <w:basedOn w:val="TableNormal"/>
    <w:uiPriority w:val="62"/>
    <w:rsid w:val="005B1FB7"/>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1">
    <w:name w:val="Light Grid Accent 1"/>
    <w:basedOn w:val="TableNormal"/>
    <w:uiPriority w:val="62"/>
    <w:rsid w:val="005B1FB7"/>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form-strength">
    <w:name w:val="form-strength"/>
    <w:basedOn w:val="DefaultParagraphFont"/>
    <w:rsid w:val="005B1FB7"/>
  </w:style>
  <w:style w:type="table" w:styleId="LightGrid-Accent6">
    <w:name w:val="Light Grid Accent 6"/>
    <w:basedOn w:val="TableNormal"/>
    <w:uiPriority w:val="62"/>
    <w:rsid w:val="005B1FB7"/>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Grid-Accent3">
    <w:name w:val="Light Grid Accent 3"/>
    <w:basedOn w:val="TableNormal"/>
    <w:uiPriority w:val="62"/>
    <w:rsid w:val="005B1FB7"/>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character" w:styleId="Emphasis">
    <w:name w:val="Emphasis"/>
    <w:basedOn w:val="DefaultParagraphFont"/>
    <w:uiPriority w:val="20"/>
    <w:rsid w:val="004C215E"/>
    <w:rPr>
      <w:i/>
      <w:iCs/>
    </w:rPr>
  </w:style>
  <w:style w:type="paragraph" w:customStyle="1" w:styleId="Heading51">
    <w:name w:val="Heading 51"/>
    <w:basedOn w:val="Normal"/>
    <w:link w:val="heading5Char0"/>
    <w:rsid w:val="004C215E"/>
    <w:pPr>
      <w:keepNext/>
      <w:keepLines/>
      <w:spacing w:before="120" w:after="120"/>
    </w:pPr>
    <w:rPr>
      <w:rFonts w:asciiTheme="majorHAnsi" w:hAnsiTheme="majorHAnsi"/>
      <w:b/>
      <w:i/>
      <w:szCs w:val="24"/>
    </w:rPr>
  </w:style>
  <w:style w:type="character" w:customStyle="1" w:styleId="heading5Char0">
    <w:name w:val="heading 5 Char"/>
    <w:basedOn w:val="DefaultParagraphFont"/>
    <w:link w:val="Heading51"/>
    <w:rsid w:val="004C215E"/>
    <w:rPr>
      <w:rFonts w:asciiTheme="majorHAnsi" w:hAnsiTheme="majorHAnsi"/>
      <w:b/>
      <w:i/>
      <w:szCs w:val="24"/>
    </w:rPr>
  </w:style>
  <w:style w:type="paragraph" w:customStyle="1" w:styleId="TableText">
    <w:name w:val="Table Text"/>
    <w:basedOn w:val="Normal"/>
    <w:link w:val="TableTextChar"/>
    <w:uiPriority w:val="1"/>
    <w:rsid w:val="000869D0"/>
    <w:pPr>
      <w:shd w:val="clear" w:color="auto" w:fill="FFFFFF" w:themeFill="background1"/>
      <w:spacing w:before="60" w:after="60"/>
    </w:pPr>
    <w:rPr>
      <w:rFonts w:eastAsia="Times New Roman" w:cs="Arial"/>
      <w:sz w:val="20"/>
      <w:szCs w:val="20"/>
    </w:rPr>
  </w:style>
  <w:style w:type="character" w:customStyle="1" w:styleId="TableTextChar">
    <w:name w:val="Table Text Char"/>
    <w:basedOn w:val="DefaultParagraphFont"/>
    <w:link w:val="TableText"/>
    <w:uiPriority w:val="1"/>
    <w:rsid w:val="000869D0"/>
    <w:rPr>
      <w:rFonts w:asciiTheme="minorHAnsi" w:eastAsia="Times New Roman" w:hAnsiTheme="minorHAnsi" w:cs="Arial"/>
      <w:sz w:val="20"/>
      <w:szCs w:val="20"/>
      <w:shd w:val="clear" w:color="auto" w:fill="FFFFFF" w:themeFill="background1"/>
      <w:lang w:val="en-GB"/>
    </w:rPr>
  </w:style>
  <w:style w:type="paragraph" w:customStyle="1" w:styleId="Tablefootnote">
    <w:name w:val="Table footnote"/>
    <w:basedOn w:val="Normal"/>
    <w:next w:val="TableText"/>
    <w:link w:val="TablefootnoteCharChar"/>
    <w:uiPriority w:val="57"/>
    <w:rsid w:val="00ED25C7"/>
    <w:pPr>
      <w:spacing w:before="60" w:after="60"/>
      <w:ind w:left="426"/>
    </w:pPr>
    <w:rPr>
      <w:rFonts w:ascii="Arial Narrow" w:eastAsia="Times New Roman" w:hAnsi="Arial Narrow" w:cs="Times New Roman"/>
      <w:sz w:val="16"/>
      <w:szCs w:val="20"/>
    </w:rPr>
  </w:style>
  <w:style w:type="character" w:customStyle="1" w:styleId="TablefootnoteCharChar">
    <w:name w:val="Table footnote Char Char"/>
    <w:basedOn w:val="DefaultParagraphFont"/>
    <w:link w:val="Tablefootnote"/>
    <w:uiPriority w:val="57"/>
    <w:rsid w:val="00ED25C7"/>
    <w:rPr>
      <w:rFonts w:ascii="Arial Narrow" w:eastAsia="Times New Roman" w:hAnsi="Arial Narrow" w:cs="Times New Roman"/>
      <w:sz w:val="16"/>
      <w:szCs w:val="20"/>
    </w:rPr>
  </w:style>
  <w:style w:type="paragraph" w:customStyle="1" w:styleId="Tabletitle">
    <w:name w:val="Table title"/>
    <w:basedOn w:val="Normal"/>
    <w:next w:val="TableText"/>
    <w:uiPriority w:val="99"/>
    <w:rsid w:val="00ED25C7"/>
    <w:pPr>
      <w:keepNext/>
      <w:numPr>
        <w:numId w:val="2"/>
      </w:numPr>
      <w:shd w:val="clear" w:color="auto" w:fill="FFFFFF" w:themeFill="background1"/>
      <w:spacing w:before="240" w:after="120" w:line="260" w:lineRule="exact"/>
      <w:outlineLvl w:val="2"/>
    </w:pPr>
    <w:rPr>
      <w:rFonts w:ascii="Arial Narrow" w:eastAsia="Times New Roman" w:hAnsi="Arial Narrow" w:cs="Arial"/>
      <w:b/>
      <w:caps/>
      <w:color w:val="4B306A"/>
      <w:sz w:val="16"/>
      <w:szCs w:val="20"/>
    </w:rPr>
  </w:style>
  <w:style w:type="table" w:customStyle="1" w:styleId="TableNPSstandard">
    <w:name w:val="Table NPS standard"/>
    <w:basedOn w:val="TableNormal"/>
    <w:rsid w:val="00ED25C7"/>
    <w:pPr>
      <w:spacing w:before="60" w:after="0" w:line="264" w:lineRule="auto"/>
    </w:pPr>
    <w:rPr>
      <w:rFonts w:ascii="Arial Narrow" w:eastAsia="Times New Roman" w:hAnsi="Arial Narrow" w:cs="Times New Roman"/>
      <w:sz w:val="20"/>
      <w:szCs w:val="20"/>
    </w:rPr>
    <w:tblPr>
      <w:tblInd w:w="142" w:type="dxa"/>
      <w:tblBorders>
        <w:bottom w:val="single" w:sz="12" w:space="0" w:color="401E6C"/>
        <w:insideH w:val="single" w:sz="4" w:space="0" w:color="C0C0C0"/>
        <w:insideV w:val="single" w:sz="8" w:space="0" w:color="FFFFFF"/>
      </w:tblBorders>
      <w:tblCellMar>
        <w:top w:w="28" w:type="dxa"/>
        <w:bottom w:w="28" w:type="dxa"/>
      </w:tblCellMar>
    </w:tblPr>
    <w:trPr>
      <w:cantSplit/>
    </w:trPr>
    <w:tblStylePr w:type="firstRow">
      <w:pPr>
        <w:jc w:val="left"/>
      </w:pPr>
      <w:rPr>
        <w:b/>
        <w:sz w:val="20"/>
      </w:rPr>
      <w:tblPr/>
      <w:trPr>
        <w:cantSplit w:val="0"/>
        <w:tblHeader/>
      </w:trPr>
      <w:tcPr>
        <w:tcBorders>
          <w:top w:val="nil"/>
          <w:left w:val="nil"/>
          <w:bottom w:val="single" w:sz="12" w:space="0" w:color="4B306A"/>
          <w:right w:val="nil"/>
          <w:insideH w:val="nil"/>
          <w:insideV w:val="nil"/>
          <w:tl2br w:val="nil"/>
          <w:tr2bl w:val="nil"/>
        </w:tcBorders>
        <w:vAlign w:val="bottom"/>
      </w:tcPr>
    </w:tblStylePr>
    <w:tblStylePr w:type="lastRow">
      <w:rPr>
        <w:b/>
      </w:rPr>
      <w:tblPr/>
      <w:tcPr>
        <w:tcBorders>
          <w:top w:val="nil"/>
          <w:left w:val="nil"/>
          <w:bottom w:val="single" w:sz="12" w:space="0" w:color="401E6C"/>
          <w:right w:val="nil"/>
          <w:insideH w:val="nil"/>
          <w:insideV w:val="single" w:sz="8" w:space="0" w:color="FFFFFF"/>
          <w:tl2br w:val="nil"/>
          <w:tr2bl w:val="nil"/>
        </w:tcBorders>
      </w:tcPr>
    </w:tblStylePr>
  </w:style>
  <w:style w:type="paragraph" w:customStyle="1" w:styleId="Tablebullet">
    <w:name w:val="Table bullet"/>
    <w:basedOn w:val="Normal"/>
    <w:uiPriority w:val="53"/>
    <w:rsid w:val="00ED25C7"/>
    <w:pPr>
      <w:numPr>
        <w:numId w:val="3"/>
      </w:numPr>
      <w:spacing w:after="0"/>
    </w:pPr>
    <w:rPr>
      <w:rFonts w:ascii="Arial Narrow" w:eastAsia="Times New Roman" w:hAnsi="Arial Narrow" w:cs="Times New Roman"/>
      <w:sz w:val="20"/>
      <w:szCs w:val="24"/>
    </w:rPr>
  </w:style>
  <w:style w:type="character" w:customStyle="1" w:styleId="Superscript">
    <w:name w:val="Superscript"/>
    <w:uiPriority w:val="18"/>
    <w:rsid w:val="00ED25C7"/>
    <w:rPr>
      <w:vertAlign w:val="superscript"/>
    </w:rPr>
  </w:style>
  <w:style w:type="paragraph" w:customStyle="1" w:styleId="ReportSubtitle">
    <w:name w:val="Report Subtitle"/>
    <w:basedOn w:val="Normal"/>
    <w:rsid w:val="00C212D4"/>
    <w:pPr>
      <w:spacing w:after="240"/>
      <w:ind w:left="720"/>
      <w:jc w:val="right"/>
    </w:pPr>
    <w:rPr>
      <w:rFonts w:ascii="Arial Bold" w:eastAsia="Times New Roman" w:hAnsi="Arial Bold" w:cs="Times New Roman"/>
      <w:b/>
      <w:bCs/>
      <w:color w:val="000000"/>
      <w:sz w:val="40"/>
      <w:szCs w:val="20"/>
    </w:rPr>
  </w:style>
  <w:style w:type="character" w:customStyle="1" w:styleId="label-">
    <w:name w:val="label-"/>
    <w:basedOn w:val="DefaultParagraphFont"/>
    <w:rsid w:val="00AF0471"/>
  </w:style>
  <w:style w:type="table" w:customStyle="1" w:styleId="TableGrid2">
    <w:name w:val="Table Grid2"/>
    <w:basedOn w:val="TableNormal"/>
    <w:next w:val="TableGrid"/>
    <w:uiPriority w:val="59"/>
    <w:rsid w:val="00325CA6"/>
    <w:pPr>
      <w:spacing w:after="0" w:line="240" w:lineRule="auto"/>
    </w:pPr>
    <w:rPr>
      <w:rFonts w:asciiTheme="minorHAnsi" w:hAnsiTheme="minorHAnsi"/>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3">
    <w:name w:val="Table Grid3"/>
    <w:basedOn w:val="TableNormal"/>
    <w:next w:val="TableGrid"/>
    <w:rsid w:val="00B65026"/>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B63B31"/>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sid w:val="00B63B31"/>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rsid w:val="00073BF6"/>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uiPriority w:val="59"/>
    <w:rsid w:val="00E4187D"/>
    <w:pPr>
      <w:spacing w:after="0" w:line="240" w:lineRule="auto"/>
    </w:pPr>
    <w:rPr>
      <w:rFonts w:ascii="Calibri" w:eastAsia="Calibri" w:hAnsi="Calibri" w:cs="Times New Roman"/>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ListParagraphChar">
    <w:name w:val="List Paragraph Char"/>
    <w:aliases w:val="Footnote Char,BulletPoints Char,List Paragraph1 Char,Recommendation Char"/>
    <w:basedOn w:val="DefaultParagraphFont"/>
    <w:link w:val="ListParagraph"/>
    <w:uiPriority w:val="34"/>
    <w:locked/>
    <w:rsid w:val="004C215E"/>
    <w:rPr>
      <w:rFonts w:ascii="Cambria" w:hAnsi="Cambria"/>
    </w:rPr>
  </w:style>
  <w:style w:type="table" w:customStyle="1" w:styleId="GridTable1Light1">
    <w:name w:val="Grid Table 1 Light1"/>
    <w:basedOn w:val="TableNormal"/>
    <w:uiPriority w:val="46"/>
    <w:rsid w:val="00C83EE8"/>
    <w:pPr>
      <w:spacing w:after="0" w:line="240" w:lineRule="auto"/>
    </w:pPr>
    <w:rPr>
      <w:rFonts w:asciiTheme="minorHAnsi" w:hAnsiTheme="minorHAnsi"/>
      <w:sz w:val="22"/>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BodyText">
    <w:name w:val="Body Text"/>
    <w:basedOn w:val="Normal"/>
    <w:link w:val="BodyTextChar"/>
    <w:unhideWhenUsed/>
    <w:rsid w:val="008B5A16"/>
  </w:style>
  <w:style w:type="character" w:customStyle="1" w:styleId="BodyTextChar">
    <w:name w:val="Body Text Char"/>
    <w:basedOn w:val="DefaultParagraphFont"/>
    <w:link w:val="BodyText"/>
    <w:rsid w:val="008B5A16"/>
    <w:rPr>
      <w:rFonts w:asciiTheme="minorHAnsi" w:hAnsiTheme="minorHAnsi"/>
      <w:lang w:val="en-GB"/>
    </w:rPr>
  </w:style>
  <w:style w:type="paragraph" w:customStyle="1" w:styleId="BulletLast">
    <w:name w:val="Bullet Last"/>
    <w:basedOn w:val="BodyText"/>
    <w:link w:val="BulletLastChar"/>
    <w:rsid w:val="00470C5B"/>
    <w:pPr>
      <w:numPr>
        <w:numId w:val="8"/>
      </w:numPr>
      <w:ind w:left="714" w:right="57" w:hanging="357"/>
    </w:pPr>
    <w:rPr>
      <w:rFonts w:eastAsiaTheme="minorEastAsia" w:cs="Calibri"/>
      <w:iCs/>
      <w:szCs w:val="24"/>
      <w:lang w:val="en-US"/>
    </w:rPr>
  </w:style>
  <w:style w:type="paragraph" w:customStyle="1" w:styleId="oldTablefooter">
    <w:name w:val="old Table footer"/>
    <w:basedOn w:val="Normal"/>
    <w:link w:val="oldTablefooterChar"/>
    <w:rsid w:val="00470C5B"/>
    <w:pPr>
      <w:spacing w:after="0"/>
      <w:ind w:right="57"/>
      <w:contextualSpacing/>
    </w:pPr>
    <w:rPr>
      <w:rFonts w:eastAsiaTheme="minorEastAsia" w:cs="Arial"/>
      <w:sz w:val="18"/>
      <w:szCs w:val="18"/>
      <w:lang w:val="en-US"/>
    </w:rPr>
  </w:style>
  <w:style w:type="character" w:customStyle="1" w:styleId="oldTablefooterChar">
    <w:name w:val="old Table footer Char"/>
    <w:basedOn w:val="DefaultParagraphFont"/>
    <w:link w:val="oldTablefooter"/>
    <w:rsid w:val="00470C5B"/>
    <w:rPr>
      <w:rFonts w:asciiTheme="minorHAnsi" w:eastAsiaTheme="minorEastAsia" w:hAnsiTheme="minorHAnsi" w:cs="Arial"/>
      <w:sz w:val="18"/>
      <w:szCs w:val="18"/>
      <w:lang w:val="en-US"/>
    </w:rPr>
  </w:style>
  <w:style w:type="paragraph" w:customStyle="1" w:styleId="MDSubsubheding">
    <w:name w:val="MD_Sub sub heding"/>
    <w:basedOn w:val="Heading3"/>
    <w:next w:val="Normal"/>
    <w:qFormat/>
    <w:rsid w:val="007F6ACD"/>
    <w:pPr>
      <w:spacing w:before="0" w:after="200"/>
    </w:pPr>
  </w:style>
  <w:style w:type="paragraph" w:customStyle="1" w:styleId="TableFooter">
    <w:name w:val="Table Footer"/>
    <w:basedOn w:val="Normal"/>
    <w:link w:val="TableFooterChar"/>
    <w:qFormat/>
    <w:rsid w:val="00E315CC"/>
    <w:pPr>
      <w:contextualSpacing/>
    </w:pPr>
    <w:rPr>
      <w:rFonts w:eastAsia="Calibri"/>
      <w:sz w:val="20"/>
      <w:szCs w:val="20"/>
      <w:lang w:val="en-AU"/>
    </w:rPr>
  </w:style>
  <w:style w:type="character" w:customStyle="1" w:styleId="TableFooterChar">
    <w:name w:val="Table Footer Char"/>
    <w:link w:val="TableFooter"/>
    <w:rsid w:val="00E315CC"/>
    <w:rPr>
      <w:rFonts w:asciiTheme="minorHAnsi" w:eastAsia="Calibri" w:hAnsiTheme="minorHAnsi" w:cstheme="minorHAnsi"/>
      <w:sz w:val="20"/>
      <w:szCs w:val="20"/>
    </w:rPr>
  </w:style>
  <w:style w:type="paragraph" w:customStyle="1" w:styleId="TableHeader">
    <w:name w:val="Table Header"/>
    <w:basedOn w:val="Normal"/>
    <w:next w:val="Normal"/>
    <w:uiPriority w:val="3"/>
    <w:rsid w:val="00E7072A"/>
    <w:pPr>
      <w:widowControl w:val="0"/>
      <w:spacing w:before="60" w:after="60"/>
      <w:contextualSpacing/>
    </w:pPr>
    <w:rPr>
      <w:rFonts w:eastAsia="Times New Roman"/>
      <w:b/>
      <w:snapToGrid w:val="0"/>
      <w:sz w:val="20"/>
      <w:szCs w:val="20"/>
    </w:rPr>
  </w:style>
  <w:style w:type="paragraph" w:customStyle="1" w:styleId="TableFigNote">
    <w:name w:val="TableFigNote"/>
    <w:basedOn w:val="Normal"/>
    <w:rsid w:val="00470C5B"/>
    <w:pPr>
      <w:spacing w:after="0"/>
      <w:ind w:right="57"/>
      <w:contextualSpacing/>
    </w:pPr>
    <w:rPr>
      <w:rFonts w:eastAsiaTheme="minorEastAsia" w:cs="Calibri"/>
      <w:sz w:val="18"/>
      <w:szCs w:val="20"/>
    </w:rPr>
  </w:style>
  <w:style w:type="paragraph" w:customStyle="1" w:styleId="TableFigNoteLast">
    <w:name w:val="TableFigNote Last"/>
    <w:basedOn w:val="Normal"/>
    <w:rsid w:val="00470C5B"/>
    <w:pPr>
      <w:spacing w:after="360"/>
      <w:ind w:right="57"/>
      <w:contextualSpacing/>
    </w:pPr>
    <w:rPr>
      <w:rFonts w:eastAsiaTheme="minorEastAsia" w:cs="Calibri"/>
      <w:sz w:val="18"/>
      <w:szCs w:val="20"/>
    </w:rPr>
  </w:style>
  <w:style w:type="paragraph" w:customStyle="1" w:styleId="TableHeading">
    <w:name w:val="TableHeading"/>
    <w:basedOn w:val="MDFiguretitle"/>
    <w:qFormat/>
    <w:rsid w:val="00E7072A"/>
    <w:rPr>
      <w:sz w:val="20"/>
    </w:rPr>
  </w:style>
  <w:style w:type="paragraph" w:customStyle="1" w:styleId="TableName">
    <w:name w:val="TableName"/>
    <w:basedOn w:val="Normal"/>
    <w:qFormat/>
    <w:rsid w:val="00470C5B"/>
    <w:pPr>
      <w:keepNext/>
      <w:spacing w:after="240"/>
      <w:ind w:left="1418" w:right="57" w:hanging="1418"/>
      <w:contextualSpacing/>
    </w:pPr>
    <w:rPr>
      <w:rFonts w:ascii="Franklin Gothic Medium" w:eastAsiaTheme="minorEastAsia" w:hAnsi="Franklin Gothic Medium" w:cs="Calibri"/>
      <w:sz w:val="22"/>
      <w:szCs w:val="20"/>
    </w:rPr>
  </w:style>
  <w:style w:type="paragraph" w:customStyle="1" w:styleId="TableNotes">
    <w:name w:val="TableNotes"/>
    <w:basedOn w:val="TableFooter"/>
    <w:qFormat/>
    <w:rsid w:val="00470C5B"/>
    <w:pPr>
      <w:spacing w:after="0"/>
    </w:pPr>
  </w:style>
  <w:style w:type="paragraph" w:customStyle="1" w:styleId="V50Heading1nonumbers">
    <w:name w:val="V5.0 Heading 1 no numbers"/>
    <w:basedOn w:val="Heading1"/>
    <w:rsid w:val="00470C5B"/>
    <w:pPr>
      <w:spacing w:before="400"/>
      <w:ind w:right="57"/>
      <w:contextualSpacing/>
      <w:jc w:val="left"/>
    </w:pPr>
    <w:rPr>
      <w:bCs w:val="0"/>
      <w:color w:val="auto"/>
      <w:szCs w:val="28"/>
    </w:rPr>
  </w:style>
  <w:style w:type="paragraph" w:customStyle="1" w:styleId="V50Heading2nonumbers">
    <w:name w:val="V5.0 Heading 2 no numbers"/>
    <w:basedOn w:val="Normal"/>
    <w:rsid w:val="00470C5B"/>
    <w:pPr>
      <w:pageBreakBefore/>
      <w:spacing w:before="480" w:after="240"/>
      <w:ind w:right="57"/>
      <w:contextualSpacing/>
      <w:jc w:val="center"/>
      <w:outlineLvl w:val="0"/>
    </w:pPr>
    <w:rPr>
      <w:rFonts w:eastAsiaTheme="minorEastAsia" w:cs="Calibri"/>
      <w:b/>
      <w:color w:val="548DD4" w:themeColor="text2" w:themeTint="99"/>
      <w:sz w:val="40"/>
      <w:szCs w:val="40"/>
    </w:rPr>
  </w:style>
  <w:style w:type="paragraph" w:customStyle="1" w:styleId="MDSubheading">
    <w:name w:val="MD_Subheading"/>
    <w:basedOn w:val="Heading2"/>
    <w:next w:val="Normal"/>
    <w:link w:val="MDSubheadingChar"/>
    <w:qFormat/>
    <w:rsid w:val="00EB2E6F"/>
    <w:pPr>
      <w:spacing w:before="240" w:after="200"/>
    </w:pPr>
    <w:rPr>
      <w:rFonts w:ascii="Calibri" w:hAnsi="Calibri"/>
      <w:iCs/>
      <w:color w:val="548DD4" w:themeColor="text2" w:themeTint="99"/>
      <w:sz w:val="32"/>
      <w:szCs w:val="32"/>
    </w:rPr>
  </w:style>
  <w:style w:type="character" w:customStyle="1" w:styleId="MDSubheadingChar">
    <w:name w:val="MD_Subheading Char"/>
    <w:basedOn w:val="DefaultParagraphFont"/>
    <w:link w:val="MDSubheading"/>
    <w:rsid w:val="00EB2E6F"/>
    <w:rPr>
      <w:rFonts w:ascii="Calibri" w:eastAsiaTheme="majorEastAsia" w:hAnsi="Calibri" w:cstheme="majorBidi"/>
      <w:b/>
      <w:bCs/>
      <w:iCs/>
      <w:color w:val="548DD4" w:themeColor="text2" w:themeTint="99"/>
      <w:sz w:val="32"/>
      <w:szCs w:val="32"/>
      <w:lang w:val="en-GB"/>
    </w:rPr>
  </w:style>
  <w:style w:type="paragraph" w:customStyle="1" w:styleId="V50InstructionsBullets">
    <w:name w:val="V5.0 Instructions Bullets"/>
    <w:basedOn w:val="MDSubheading"/>
    <w:rsid w:val="00470C5B"/>
    <w:pPr>
      <w:numPr>
        <w:numId w:val="6"/>
      </w:numPr>
      <w:spacing w:before="0" w:after="0"/>
      <w:ind w:left="360"/>
    </w:pPr>
  </w:style>
  <w:style w:type="paragraph" w:customStyle="1" w:styleId="MDTabCaption">
    <w:name w:val="MD_TabCaption"/>
    <w:basedOn w:val="TableName"/>
    <w:next w:val="Normal"/>
    <w:link w:val="MDTabCaptionChar"/>
    <w:qFormat/>
    <w:rsid w:val="00B67975"/>
    <w:pPr>
      <w:spacing w:before="200" w:after="20"/>
      <w:ind w:left="0" w:firstLine="0"/>
    </w:pPr>
    <w:rPr>
      <w:rFonts w:asciiTheme="minorHAnsi" w:hAnsiTheme="minorHAnsi"/>
      <w:b/>
      <w:sz w:val="24"/>
      <w:szCs w:val="24"/>
      <w:lang w:val="en-US" w:eastAsia="en-US"/>
    </w:rPr>
  </w:style>
  <w:style w:type="character" w:customStyle="1" w:styleId="MDTabCaptionChar">
    <w:name w:val="MD_TabCaption Char"/>
    <w:basedOn w:val="DefaultParagraphFont"/>
    <w:link w:val="MDTabCaption"/>
    <w:rsid w:val="00B67975"/>
    <w:rPr>
      <w:rFonts w:asciiTheme="minorHAnsi" w:eastAsiaTheme="minorEastAsia" w:hAnsiTheme="minorHAnsi" w:cs="Calibri"/>
      <w:b/>
      <w:szCs w:val="24"/>
      <w:lang w:val="en-US" w:eastAsia="en-US"/>
    </w:rPr>
  </w:style>
  <w:style w:type="paragraph" w:customStyle="1" w:styleId="V50Tablename">
    <w:name w:val="V5.0 Table name"/>
    <w:basedOn w:val="MDTabCaption"/>
    <w:link w:val="V50TablenameChar"/>
    <w:rsid w:val="00470C5B"/>
    <w:rPr>
      <w:b w:val="0"/>
    </w:rPr>
  </w:style>
  <w:style w:type="character" w:customStyle="1" w:styleId="V50TablenameChar">
    <w:name w:val="V5.0 Table name Char"/>
    <w:basedOn w:val="DefaultParagraphFont"/>
    <w:link w:val="V50Tablename"/>
    <w:rsid w:val="00470C5B"/>
    <w:rPr>
      <w:rFonts w:asciiTheme="minorHAnsi" w:hAnsiTheme="minorHAnsi"/>
      <w:b/>
      <w:sz w:val="20"/>
      <w:szCs w:val="24"/>
      <w:lang w:val="en-US" w:eastAsia="en-US"/>
    </w:rPr>
  </w:style>
  <w:style w:type="paragraph" w:customStyle="1" w:styleId="V50Tablenote">
    <w:name w:val="V5.0 Tablenote"/>
    <w:basedOn w:val="MDTabCaption"/>
    <w:link w:val="V50TablenoteChar"/>
    <w:rsid w:val="00470C5B"/>
    <w:pPr>
      <w:spacing w:after="120"/>
      <w:jc w:val="both"/>
    </w:pPr>
    <w:rPr>
      <w:sz w:val="18"/>
      <w:szCs w:val="18"/>
    </w:rPr>
  </w:style>
  <w:style w:type="character" w:customStyle="1" w:styleId="V50TablenoteChar">
    <w:name w:val="V5.0 Tablenote Char"/>
    <w:basedOn w:val="DefaultParagraphFont"/>
    <w:link w:val="V50Tablenote"/>
    <w:rsid w:val="00470C5B"/>
    <w:rPr>
      <w:rFonts w:asciiTheme="minorHAnsi" w:hAnsiTheme="minorHAnsi"/>
      <w:sz w:val="18"/>
      <w:szCs w:val="18"/>
      <w:lang w:val="en-US" w:eastAsia="en-US"/>
    </w:rPr>
  </w:style>
  <w:style w:type="paragraph" w:customStyle="1" w:styleId="V50TableTextInstruction">
    <w:name w:val="V5.0 TableText Instruction"/>
    <w:basedOn w:val="MDTabCaption"/>
    <w:rsid w:val="00470C5B"/>
    <w:rPr>
      <w:b w:val="0"/>
      <w:color w:val="4BACC6" w:themeColor="accent5"/>
    </w:rPr>
  </w:style>
  <w:style w:type="paragraph" w:customStyle="1" w:styleId="EndNoteBibliographyTitle">
    <w:name w:val="EndNote Bibliography Title"/>
    <w:basedOn w:val="Normal"/>
    <w:link w:val="EndNoteBibliographyTitleChar"/>
    <w:rsid w:val="00470C5B"/>
    <w:pPr>
      <w:spacing w:before="60" w:after="0"/>
      <w:ind w:right="57"/>
      <w:contextualSpacing/>
      <w:jc w:val="center"/>
    </w:pPr>
    <w:rPr>
      <w:rFonts w:ascii="Cambria" w:eastAsiaTheme="minorEastAsia" w:hAnsi="Cambria" w:cs="Calibri"/>
      <w:noProof/>
      <w:szCs w:val="20"/>
      <w:lang w:val="en-US"/>
    </w:rPr>
  </w:style>
  <w:style w:type="character" w:customStyle="1" w:styleId="EndNoteBibliographyTitleChar">
    <w:name w:val="EndNote Bibliography Title Char"/>
    <w:basedOn w:val="DefaultParagraphFont"/>
    <w:link w:val="EndNoteBibliographyTitle"/>
    <w:rsid w:val="00470C5B"/>
    <w:rPr>
      <w:rFonts w:ascii="Cambria" w:eastAsiaTheme="minorEastAsia" w:hAnsi="Cambria" w:cs="Calibri"/>
      <w:noProof/>
      <w:szCs w:val="20"/>
      <w:lang w:val="en-US"/>
    </w:rPr>
  </w:style>
  <w:style w:type="paragraph" w:customStyle="1" w:styleId="EndNoteBibliography">
    <w:name w:val="EndNote Bibliography"/>
    <w:basedOn w:val="Normal"/>
    <w:link w:val="EndNoteBibliographyChar"/>
    <w:rsid w:val="00470C5B"/>
    <w:pPr>
      <w:spacing w:before="60" w:after="60"/>
      <w:ind w:right="57"/>
      <w:contextualSpacing/>
    </w:pPr>
    <w:rPr>
      <w:rFonts w:ascii="Cambria" w:eastAsiaTheme="minorEastAsia" w:hAnsi="Cambria" w:cs="Calibri"/>
      <w:noProof/>
      <w:szCs w:val="20"/>
      <w:lang w:val="en-US"/>
    </w:rPr>
  </w:style>
  <w:style w:type="character" w:customStyle="1" w:styleId="EndNoteBibliographyChar">
    <w:name w:val="EndNote Bibliography Char"/>
    <w:basedOn w:val="DefaultParagraphFont"/>
    <w:link w:val="EndNoteBibliography"/>
    <w:rsid w:val="00470C5B"/>
    <w:rPr>
      <w:rFonts w:ascii="Cambria" w:eastAsiaTheme="minorEastAsia" w:hAnsi="Cambria" w:cs="Calibri"/>
      <w:noProof/>
      <w:szCs w:val="20"/>
      <w:lang w:val="en-US"/>
    </w:rPr>
  </w:style>
  <w:style w:type="paragraph" w:customStyle="1" w:styleId="Bullettext">
    <w:name w:val="Bullet text"/>
    <w:link w:val="BullettextChar"/>
    <w:rsid w:val="00470C5B"/>
    <w:pPr>
      <w:spacing w:before="120" w:after="0"/>
      <w:contextualSpacing/>
      <w:jc w:val="both"/>
    </w:pPr>
    <w:rPr>
      <w:rFonts w:ascii="Cambria" w:eastAsia="Calibri" w:hAnsi="Cambria" w:cs="Times New Roman"/>
      <w:szCs w:val="24"/>
      <w:lang w:eastAsia="en-US"/>
    </w:rPr>
  </w:style>
  <w:style w:type="character" w:customStyle="1" w:styleId="BullettextChar">
    <w:name w:val="Bullet text Char"/>
    <w:link w:val="Bullettext"/>
    <w:rsid w:val="00470C5B"/>
    <w:rPr>
      <w:rFonts w:ascii="Cambria" w:eastAsia="Calibri" w:hAnsi="Cambria" w:cs="Times New Roman"/>
      <w:szCs w:val="24"/>
      <w:lang w:eastAsia="en-US"/>
    </w:rPr>
  </w:style>
  <w:style w:type="character" w:customStyle="1" w:styleId="searchhistory-search-term">
    <w:name w:val="searchhistory-search-term"/>
    <w:basedOn w:val="DefaultParagraphFont"/>
    <w:rsid w:val="00470C5B"/>
  </w:style>
  <w:style w:type="numbering" w:customStyle="1" w:styleId="Headings">
    <w:name w:val="Headings"/>
    <w:uiPriority w:val="99"/>
    <w:rsid w:val="00470C5B"/>
    <w:pPr>
      <w:numPr>
        <w:numId w:val="7"/>
      </w:numPr>
    </w:pPr>
  </w:style>
  <w:style w:type="paragraph" w:customStyle="1" w:styleId="MDFiguretitle">
    <w:name w:val="MD_Figure title"/>
    <w:basedOn w:val="Normal"/>
    <w:next w:val="Normal"/>
    <w:link w:val="MDFiguretitleChar"/>
    <w:qFormat/>
    <w:rsid w:val="00376C8B"/>
    <w:pPr>
      <w:spacing w:before="60" w:after="60"/>
      <w:contextualSpacing/>
    </w:pPr>
    <w:rPr>
      <w:rFonts w:eastAsiaTheme="minorEastAsia" w:cs="Calibri"/>
      <w:b/>
      <w:szCs w:val="24"/>
      <w:lang w:val="en-US"/>
    </w:rPr>
  </w:style>
  <w:style w:type="character" w:customStyle="1" w:styleId="MDFiguretitleChar">
    <w:name w:val="MD_Figure title Char"/>
    <w:basedOn w:val="DefaultParagraphFont"/>
    <w:link w:val="MDFiguretitle"/>
    <w:rsid w:val="00376C8B"/>
    <w:rPr>
      <w:rFonts w:asciiTheme="minorHAnsi" w:eastAsiaTheme="minorEastAsia" w:hAnsiTheme="minorHAnsi" w:cs="Calibri"/>
      <w:b/>
      <w:szCs w:val="24"/>
      <w:lang w:val="en-US"/>
    </w:rPr>
  </w:style>
  <w:style w:type="paragraph" w:customStyle="1" w:styleId="Footnotes">
    <w:name w:val="Footnotes"/>
    <w:basedOn w:val="Normal"/>
    <w:link w:val="FootnotesChar"/>
    <w:qFormat/>
    <w:rsid w:val="00470C5B"/>
    <w:pPr>
      <w:ind w:right="57"/>
      <w:contextualSpacing/>
    </w:pPr>
    <w:rPr>
      <w:rFonts w:eastAsiaTheme="minorEastAsia" w:cs="Calibri"/>
      <w:sz w:val="20"/>
      <w:szCs w:val="20"/>
    </w:rPr>
  </w:style>
  <w:style w:type="character" w:customStyle="1" w:styleId="FootnotesChar">
    <w:name w:val="Footnotes Char"/>
    <w:basedOn w:val="DefaultParagraphFont"/>
    <w:link w:val="Footnotes"/>
    <w:rsid w:val="00470C5B"/>
    <w:rPr>
      <w:rFonts w:asciiTheme="minorHAnsi" w:eastAsiaTheme="minorEastAsia" w:hAnsiTheme="minorHAnsi" w:cs="Calibri"/>
      <w:sz w:val="20"/>
      <w:szCs w:val="20"/>
    </w:rPr>
  </w:style>
  <w:style w:type="paragraph" w:styleId="Title">
    <w:name w:val="Title"/>
    <w:aliases w:val="ToR box"/>
    <w:basedOn w:val="Normal"/>
    <w:next w:val="Normal"/>
    <w:link w:val="TitleChar"/>
    <w:uiPriority w:val="7"/>
    <w:rsid w:val="00470C5B"/>
    <w:pPr>
      <w:pBdr>
        <w:top w:val="single" w:sz="4" w:space="1" w:color="auto"/>
        <w:left w:val="single" w:sz="4" w:space="4" w:color="auto"/>
        <w:bottom w:val="single" w:sz="4" w:space="1" w:color="auto"/>
        <w:right w:val="single" w:sz="4" w:space="4" w:color="auto"/>
      </w:pBdr>
      <w:ind w:right="57"/>
      <w:contextualSpacing/>
    </w:pPr>
    <w:rPr>
      <w:rFonts w:eastAsiaTheme="minorEastAsia" w:cs="Calibri"/>
      <w:b/>
      <w:color w:val="365F91" w:themeColor="accent1" w:themeShade="BF"/>
      <w:szCs w:val="20"/>
    </w:rPr>
  </w:style>
  <w:style w:type="character" w:customStyle="1" w:styleId="TitleChar">
    <w:name w:val="Title Char"/>
    <w:aliases w:val="ToR box Char"/>
    <w:basedOn w:val="DefaultParagraphFont"/>
    <w:link w:val="Title"/>
    <w:uiPriority w:val="7"/>
    <w:rsid w:val="00470C5B"/>
    <w:rPr>
      <w:rFonts w:asciiTheme="minorHAnsi" w:eastAsiaTheme="minorEastAsia" w:hAnsiTheme="minorHAnsi" w:cs="Calibri"/>
      <w:b/>
      <w:color w:val="365F91" w:themeColor="accent1" w:themeShade="BF"/>
      <w:szCs w:val="20"/>
    </w:rPr>
  </w:style>
  <w:style w:type="paragraph" w:customStyle="1" w:styleId="sub-dotpoint">
    <w:name w:val="sub-dot point"/>
    <w:basedOn w:val="BulletLast"/>
    <w:link w:val="sub-dotpointChar"/>
    <w:rsid w:val="00470C5B"/>
    <w:pPr>
      <w:numPr>
        <w:ilvl w:val="1"/>
      </w:numPr>
      <w:ind w:left="1134" w:hanging="283"/>
    </w:pPr>
    <w:rPr>
      <w:rFonts w:eastAsia="Calibri"/>
    </w:rPr>
  </w:style>
  <w:style w:type="character" w:customStyle="1" w:styleId="BulletLastChar">
    <w:name w:val="Bullet Last Char"/>
    <w:basedOn w:val="BodyTextChar"/>
    <w:link w:val="BulletLast"/>
    <w:rsid w:val="00470C5B"/>
    <w:rPr>
      <w:rFonts w:asciiTheme="minorHAnsi" w:eastAsiaTheme="minorEastAsia" w:hAnsiTheme="minorHAnsi" w:cs="Calibri"/>
      <w:iCs/>
      <w:szCs w:val="24"/>
      <w:lang w:val="en-US"/>
    </w:rPr>
  </w:style>
  <w:style w:type="character" w:customStyle="1" w:styleId="sub-dotpointChar">
    <w:name w:val="sub-dot point Char"/>
    <w:basedOn w:val="BulletLastChar"/>
    <w:link w:val="sub-dotpoint"/>
    <w:rsid w:val="00470C5B"/>
    <w:rPr>
      <w:rFonts w:asciiTheme="minorHAnsi" w:eastAsia="Calibri" w:hAnsiTheme="minorHAnsi" w:cs="Calibri"/>
      <w:iCs/>
      <w:szCs w:val="24"/>
      <w:lang w:val="en-US"/>
    </w:rPr>
  </w:style>
  <w:style w:type="paragraph" w:styleId="Subtitle">
    <w:name w:val="Subtitle"/>
    <w:aliases w:val="FIRST ROW TABLE"/>
    <w:basedOn w:val="Normal"/>
    <w:next w:val="Normal"/>
    <w:link w:val="SubtitleChar"/>
    <w:uiPriority w:val="9"/>
    <w:rsid w:val="00470C5B"/>
    <w:pPr>
      <w:spacing w:before="60" w:after="60"/>
      <w:ind w:right="57"/>
      <w:contextualSpacing/>
    </w:pPr>
    <w:rPr>
      <w:rFonts w:eastAsiaTheme="minorEastAsia" w:cs="Calibri"/>
      <w:b/>
      <w:sz w:val="20"/>
      <w:szCs w:val="20"/>
    </w:rPr>
  </w:style>
  <w:style w:type="character" w:customStyle="1" w:styleId="SubtitleChar">
    <w:name w:val="Subtitle Char"/>
    <w:aliases w:val="FIRST ROW TABLE Char"/>
    <w:basedOn w:val="DefaultParagraphFont"/>
    <w:link w:val="Subtitle"/>
    <w:uiPriority w:val="9"/>
    <w:rsid w:val="00470C5B"/>
    <w:rPr>
      <w:rFonts w:asciiTheme="minorHAnsi" w:eastAsiaTheme="minorEastAsia" w:hAnsiTheme="minorHAnsi" w:cs="Calibri"/>
      <w:b/>
      <w:sz w:val="20"/>
      <w:szCs w:val="20"/>
    </w:rPr>
  </w:style>
  <w:style w:type="table" w:customStyle="1" w:styleId="TableGrid7">
    <w:name w:val="Table Grid7"/>
    <w:basedOn w:val="TableNormal"/>
    <w:next w:val="TableGrid"/>
    <w:uiPriority w:val="59"/>
    <w:rsid w:val="00005CD4"/>
    <w:pPr>
      <w:spacing w:after="0" w:line="240" w:lineRule="auto"/>
    </w:pPr>
    <w:rPr>
      <w:rFonts w:asciiTheme="minorHAnsi" w:hAnsiTheme="minorHAnsi"/>
      <w:sz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8B5A16"/>
    <w:pPr>
      <w:spacing w:after="0" w:line="240" w:lineRule="auto"/>
    </w:pPr>
    <w:rPr>
      <w:rFonts w:asciiTheme="minorHAnsi" w:hAnsiTheme="minorHAnsi"/>
      <w:sz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iguretitle">
    <w:name w:val="Figure title"/>
    <w:basedOn w:val="Normal"/>
    <w:link w:val="FiguretitleChar"/>
    <w:rsid w:val="00787723"/>
    <w:pPr>
      <w:spacing w:before="60" w:after="60"/>
      <w:ind w:right="57"/>
      <w:contextualSpacing/>
      <w:outlineLvl w:val="3"/>
    </w:pPr>
    <w:rPr>
      <w:rFonts w:eastAsiaTheme="minorEastAsia" w:cs="Calibri"/>
      <w:b/>
      <w:szCs w:val="24"/>
      <w:lang w:val="en-US"/>
    </w:rPr>
  </w:style>
  <w:style w:type="character" w:customStyle="1" w:styleId="FiguretitleChar">
    <w:name w:val="Figure title Char"/>
    <w:basedOn w:val="DefaultParagraphFont"/>
    <w:link w:val="Figuretitle"/>
    <w:rsid w:val="00787723"/>
    <w:rPr>
      <w:rFonts w:asciiTheme="minorHAnsi" w:eastAsiaTheme="minorEastAsia" w:hAnsiTheme="minorHAnsi" w:cs="Calibri"/>
      <w:b/>
      <w:szCs w:val="24"/>
      <w:lang w:val="en-US"/>
    </w:rPr>
  </w:style>
  <w:style w:type="paragraph" w:customStyle="1" w:styleId="Subsubheding">
    <w:name w:val="Sub sub heding"/>
    <w:basedOn w:val="TableHeading"/>
    <w:rsid w:val="00071F2B"/>
    <w:pPr>
      <w:spacing w:before="200" w:after="200"/>
      <w:ind w:right="57"/>
    </w:pPr>
    <w:rPr>
      <w:i/>
      <w:sz w:val="28"/>
      <w:szCs w:val="28"/>
    </w:rPr>
  </w:style>
  <w:style w:type="paragraph" w:customStyle="1" w:styleId="Subheading">
    <w:name w:val="Subheading"/>
    <w:basedOn w:val="TableHeading"/>
    <w:link w:val="SubheadingChar"/>
    <w:rsid w:val="00071F2B"/>
    <w:pPr>
      <w:spacing w:before="200" w:after="200"/>
      <w:ind w:right="57"/>
      <w:outlineLvl w:val="2"/>
    </w:pPr>
    <w:rPr>
      <w:rFonts w:eastAsiaTheme="majorEastAsia" w:cstheme="majorBidi"/>
      <w:iCs/>
      <w:color w:val="4F81BD" w:themeColor="accent1"/>
      <w:sz w:val="32"/>
      <w:szCs w:val="32"/>
    </w:rPr>
  </w:style>
  <w:style w:type="character" w:customStyle="1" w:styleId="SubheadingChar">
    <w:name w:val="Subheading Char"/>
    <w:basedOn w:val="DefaultParagraphFont"/>
    <w:link w:val="Subheading"/>
    <w:rsid w:val="00071F2B"/>
    <w:rPr>
      <w:rFonts w:asciiTheme="minorHAnsi" w:eastAsiaTheme="majorEastAsia" w:hAnsiTheme="minorHAnsi" w:cstheme="majorBidi"/>
      <w:b/>
      <w:iCs/>
      <w:color w:val="4F81BD" w:themeColor="accent1"/>
      <w:sz w:val="32"/>
      <w:szCs w:val="32"/>
      <w:lang w:val="en-US"/>
    </w:rPr>
  </w:style>
  <w:style w:type="paragraph" w:customStyle="1" w:styleId="V50TableText">
    <w:name w:val="V5.0 TableText"/>
    <w:link w:val="V50TableTextChar"/>
    <w:rsid w:val="00071F2B"/>
    <w:pPr>
      <w:spacing w:after="0" w:line="240" w:lineRule="auto"/>
    </w:pPr>
    <w:rPr>
      <w:rFonts w:asciiTheme="minorHAnsi" w:hAnsiTheme="minorHAnsi"/>
      <w:sz w:val="20"/>
      <w:szCs w:val="24"/>
      <w:lang w:val="en-US" w:eastAsia="en-US"/>
    </w:rPr>
  </w:style>
  <w:style w:type="character" w:customStyle="1" w:styleId="V50TableTextChar">
    <w:name w:val="V5.0 TableText Char"/>
    <w:basedOn w:val="DefaultParagraphFont"/>
    <w:link w:val="V50TableText"/>
    <w:rsid w:val="00071F2B"/>
    <w:rPr>
      <w:rFonts w:asciiTheme="minorHAnsi" w:hAnsiTheme="minorHAnsi"/>
      <w:sz w:val="20"/>
      <w:szCs w:val="24"/>
      <w:lang w:val="en-US" w:eastAsia="en-US"/>
    </w:rPr>
  </w:style>
  <w:style w:type="paragraph" w:customStyle="1" w:styleId="BodyText1">
    <w:name w:val="Body Text1"/>
    <w:basedOn w:val="Normal"/>
    <w:link w:val="BodytextChar0"/>
    <w:uiPriority w:val="1"/>
    <w:rsid w:val="00071F2B"/>
    <w:pPr>
      <w:shd w:val="clear" w:color="auto" w:fill="FFFFFF" w:themeFill="background1"/>
      <w:spacing w:before="120" w:after="120" w:line="260" w:lineRule="exact"/>
    </w:pPr>
    <w:rPr>
      <w:rFonts w:ascii="Arial" w:eastAsia="Times New Roman" w:hAnsi="Arial" w:cs="Arial"/>
      <w:sz w:val="20"/>
      <w:szCs w:val="20"/>
      <w:lang w:val="en-AU"/>
    </w:rPr>
  </w:style>
  <w:style w:type="character" w:customStyle="1" w:styleId="BodytextChar0">
    <w:name w:val="Body text Char"/>
    <w:basedOn w:val="DefaultParagraphFont"/>
    <w:link w:val="BodyText1"/>
    <w:uiPriority w:val="1"/>
    <w:rsid w:val="00071F2B"/>
    <w:rPr>
      <w:rFonts w:ascii="Arial" w:eastAsia="Times New Roman" w:hAnsi="Arial" w:cs="Arial"/>
      <w:sz w:val="20"/>
      <w:szCs w:val="20"/>
      <w:shd w:val="clear" w:color="auto" w:fill="FFFFFF" w:themeFill="background1"/>
    </w:rPr>
  </w:style>
  <w:style w:type="paragraph" w:customStyle="1" w:styleId="Tableheading0">
    <w:name w:val="Table heading"/>
    <w:basedOn w:val="Caption"/>
    <w:link w:val="TableheadingChar"/>
    <w:rsid w:val="00071F2B"/>
    <w:pPr>
      <w:spacing w:after="0"/>
    </w:pPr>
    <w:rPr>
      <w:sz w:val="22"/>
    </w:rPr>
  </w:style>
  <w:style w:type="paragraph" w:customStyle="1" w:styleId="Tablefooter0">
    <w:name w:val="Table footer"/>
    <w:basedOn w:val="ListParagraph"/>
    <w:link w:val="TablefooterChar0"/>
    <w:uiPriority w:val="5"/>
    <w:rsid w:val="00071F2B"/>
    <w:pPr>
      <w:ind w:left="0"/>
    </w:pPr>
    <w:rPr>
      <w:rFonts w:ascii="Cambria" w:hAnsi="Cambria" w:cstheme="minorBidi"/>
      <w:sz w:val="20"/>
      <w:szCs w:val="24"/>
      <w:lang w:val="en-AU"/>
    </w:rPr>
  </w:style>
  <w:style w:type="character" w:customStyle="1" w:styleId="CaptionChar">
    <w:name w:val="Caption Char"/>
    <w:basedOn w:val="DefaultParagraphFont"/>
    <w:link w:val="Caption"/>
    <w:uiPriority w:val="35"/>
    <w:rsid w:val="00071F2B"/>
    <w:rPr>
      <w:rFonts w:asciiTheme="minorHAnsi" w:eastAsia="Times New Roman" w:hAnsiTheme="minorHAnsi" w:cs="Times New Roman"/>
      <w:b/>
      <w:bCs/>
      <w:szCs w:val="18"/>
      <w:lang w:val="en-GB"/>
    </w:rPr>
  </w:style>
  <w:style w:type="character" w:customStyle="1" w:styleId="TableheadingChar">
    <w:name w:val="Table heading Char"/>
    <w:basedOn w:val="CaptionChar"/>
    <w:link w:val="Tableheading0"/>
    <w:rsid w:val="00071F2B"/>
    <w:rPr>
      <w:rFonts w:asciiTheme="minorHAnsi" w:eastAsia="Times New Roman" w:hAnsiTheme="minorHAnsi" w:cs="Times New Roman"/>
      <w:b/>
      <w:bCs/>
      <w:sz w:val="22"/>
      <w:szCs w:val="18"/>
      <w:lang w:val="en-GB"/>
    </w:rPr>
  </w:style>
  <w:style w:type="character" w:customStyle="1" w:styleId="TablefooterChar0">
    <w:name w:val="Table footer Char"/>
    <w:basedOn w:val="ListParagraphChar"/>
    <w:link w:val="Tablefooter0"/>
    <w:rsid w:val="00071F2B"/>
    <w:rPr>
      <w:rFonts w:ascii="Cambria" w:hAnsi="Cambria"/>
      <w:sz w:val="20"/>
      <w:szCs w:val="24"/>
    </w:rPr>
  </w:style>
  <w:style w:type="character" w:customStyle="1" w:styleId="st">
    <w:name w:val="st"/>
    <w:basedOn w:val="DefaultParagraphFont"/>
    <w:rsid w:val="00071F2B"/>
  </w:style>
  <w:style w:type="paragraph" w:customStyle="1" w:styleId="TableHeading1">
    <w:name w:val="Table Heading"/>
    <w:basedOn w:val="Normal"/>
    <w:link w:val="TableHeadingChar0"/>
    <w:rsid w:val="00071F2B"/>
    <w:pPr>
      <w:keepNext/>
      <w:spacing w:after="60"/>
    </w:pPr>
    <w:rPr>
      <w:rFonts w:ascii="Arial Narrow" w:hAnsi="Arial Narrow" w:cstheme="minorBidi"/>
      <w:b/>
      <w:sz w:val="20"/>
      <w:lang w:val="en-AU" w:eastAsia="en-US"/>
    </w:rPr>
  </w:style>
  <w:style w:type="paragraph" w:customStyle="1" w:styleId="Figure">
    <w:name w:val="Figure"/>
    <w:basedOn w:val="NormalWeb"/>
    <w:link w:val="FigureChar"/>
    <w:rsid w:val="00071F2B"/>
    <w:pPr>
      <w:spacing w:before="60" w:beforeAutospacing="0" w:after="60" w:afterAutospacing="0"/>
    </w:pPr>
    <w:rPr>
      <w:rFonts w:ascii="Calibri" w:hAnsi="Calibri"/>
      <w:b/>
      <w:color w:val="000000"/>
      <w:lang w:val="en-AU"/>
    </w:rPr>
  </w:style>
  <w:style w:type="character" w:customStyle="1" w:styleId="FigureChar">
    <w:name w:val="Figure Char"/>
    <w:link w:val="Figure"/>
    <w:rsid w:val="00071F2B"/>
    <w:rPr>
      <w:rFonts w:ascii="Calibri" w:eastAsia="Times New Roman" w:hAnsi="Calibri" w:cs="Times New Roman"/>
      <w:b/>
      <w:color w:val="000000"/>
      <w:szCs w:val="24"/>
    </w:rPr>
  </w:style>
  <w:style w:type="character" w:customStyle="1" w:styleId="TableHeadingChar0">
    <w:name w:val="Table Heading Char"/>
    <w:link w:val="TableHeading1"/>
    <w:rsid w:val="00071F2B"/>
    <w:rPr>
      <w:rFonts w:ascii="Arial Narrow" w:hAnsi="Arial Narrow"/>
      <w:b/>
      <w:sz w:val="20"/>
      <w:lang w:eastAsia="en-US"/>
    </w:rPr>
  </w:style>
  <w:style w:type="paragraph" w:customStyle="1" w:styleId="Sub-heading">
    <w:name w:val="Sub-heading"/>
    <w:basedOn w:val="Normal"/>
    <w:link w:val="Sub-headingChar"/>
    <w:rsid w:val="00071F2B"/>
    <w:pPr>
      <w:keepNext/>
      <w:keepLines/>
      <w:spacing w:before="240"/>
    </w:pPr>
    <w:rPr>
      <w:rFonts w:cstheme="minorBidi"/>
      <w:b/>
      <w:i/>
      <w:sz w:val="28"/>
      <w:szCs w:val="24"/>
      <w:lang w:val="en-AU"/>
    </w:rPr>
  </w:style>
  <w:style w:type="character" w:customStyle="1" w:styleId="Sub-headingChar">
    <w:name w:val="Sub-heading Char"/>
    <w:basedOn w:val="DefaultParagraphFont"/>
    <w:link w:val="Sub-heading"/>
    <w:rsid w:val="00071F2B"/>
    <w:rPr>
      <w:rFonts w:asciiTheme="minorHAnsi" w:hAnsiTheme="minorHAnsi"/>
      <w:b/>
      <w:i/>
      <w:sz w:val="28"/>
      <w:szCs w:val="24"/>
    </w:rPr>
  </w:style>
  <w:style w:type="paragraph" w:customStyle="1" w:styleId="Tabletext0">
    <w:name w:val="Table text"/>
    <w:basedOn w:val="Normal"/>
    <w:link w:val="TabletextChar0"/>
    <w:uiPriority w:val="1"/>
    <w:qFormat/>
    <w:rsid w:val="00071F2B"/>
    <w:pPr>
      <w:shd w:val="clear" w:color="auto" w:fill="FFFFFF" w:themeFill="background1"/>
      <w:spacing w:before="60" w:after="60"/>
    </w:pPr>
    <w:rPr>
      <w:rFonts w:ascii="Calibri" w:eastAsia="Times New Roman" w:hAnsi="Calibri" w:cs="Arial"/>
      <w:sz w:val="20"/>
      <w:szCs w:val="20"/>
      <w:lang w:val="en-AU"/>
    </w:rPr>
  </w:style>
  <w:style w:type="character" w:customStyle="1" w:styleId="TabletextChar0">
    <w:name w:val="Table text Char"/>
    <w:basedOn w:val="DefaultParagraphFont"/>
    <w:link w:val="Tabletext0"/>
    <w:uiPriority w:val="1"/>
    <w:rsid w:val="00071F2B"/>
    <w:rPr>
      <w:rFonts w:ascii="Calibri" w:eastAsia="Times New Roman" w:hAnsi="Calibri" w:cs="Arial"/>
      <w:sz w:val="20"/>
      <w:szCs w:val="20"/>
      <w:shd w:val="clear" w:color="auto" w:fill="FFFFFF" w:themeFill="background1"/>
    </w:rPr>
  </w:style>
  <w:style w:type="paragraph" w:customStyle="1" w:styleId="TableFootnote0">
    <w:name w:val="Table Footnote"/>
    <w:basedOn w:val="Normal"/>
    <w:uiPriority w:val="99"/>
    <w:rsid w:val="00071F2B"/>
    <w:pPr>
      <w:keepNext/>
      <w:autoSpaceDE w:val="0"/>
      <w:autoSpaceDN w:val="0"/>
      <w:adjustRightInd w:val="0"/>
    </w:pPr>
    <w:rPr>
      <w:rFonts w:eastAsiaTheme="minorEastAsia" w:cs="Calibri"/>
      <w:color w:val="000000"/>
      <w:sz w:val="20"/>
      <w:szCs w:val="20"/>
      <w:lang w:val="en-AU"/>
    </w:rPr>
  </w:style>
  <w:style w:type="paragraph" w:customStyle="1" w:styleId="FigureDUSC">
    <w:name w:val="Figure DUSC"/>
    <w:basedOn w:val="Normal"/>
    <w:link w:val="FigureDUSCChar"/>
    <w:rsid w:val="00071F2B"/>
    <w:pPr>
      <w:spacing w:before="60" w:after="60"/>
      <w:outlineLvl w:val="3"/>
    </w:pPr>
    <w:rPr>
      <w:rFonts w:eastAsiaTheme="minorEastAsia" w:cstheme="majorBidi"/>
      <w:b/>
      <w:szCs w:val="24"/>
      <w:lang w:val="en-US"/>
    </w:rPr>
  </w:style>
  <w:style w:type="character" w:customStyle="1" w:styleId="FigureDUSCChar">
    <w:name w:val="Figure DUSC Char"/>
    <w:basedOn w:val="DefaultParagraphFont"/>
    <w:link w:val="FigureDUSC"/>
    <w:rsid w:val="00071F2B"/>
    <w:rPr>
      <w:rFonts w:asciiTheme="minorHAnsi" w:eastAsiaTheme="minorEastAsia" w:hAnsiTheme="minorHAnsi" w:cstheme="majorBidi"/>
      <w:b/>
      <w:szCs w:val="24"/>
      <w:lang w:val="en-US"/>
    </w:rPr>
  </w:style>
  <w:style w:type="paragraph" w:customStyle="1" w:styleId="Tableheading-row">
    <w:name w:val="Table heading-row"/>
    <w:basedOn w:val="Normal"/>
    <w:qFormat/>
    <w:rsid w:val="004F7393"/>
    <w:pPr>
      <w:autoSpaceDE w:val="0"/>
      <w:autoSpaceDN w:val="0"/>
      <w:adjustRightInd w:val="0"/>
      <w:spacing w:before="60" w:after="60"/>
    </w:pPr>
    <w:rPr>
      <w:rFonts w:eastAsiaTheme="minorEastAsia" w:cs="Calibri"/>
      <w:b/>
      <w:color w:val="000000" w:themeColor="text1"/>
      <w:sz w:val="20"/>
      <w:szCs w:val="24"/>
      <w:lang w:val="en-AU"/>
    </w:rPr>
  </w:style>
  <w:style w:type="paragraph" w:customStyle="1" w:styleId="TableTextDusc">
    <w:name w:val="Table Text _Dusc"/>
    <w:basedOn w:val="Normal"/>
    <w:link w:val="TableTextDuscChar"/>
    <w:qFormat/>
    <w:rsid w:val="00071F2B"/>
    <w:pPr>
      <w:autoSpaceDE w:val="0"/>
      <w:autoSpaceDN w:val="0"/>
      <w:adjustRightInd w:val="0"/>
      <w:spacing w:before="60" w:after="60"/>
    </w:pPr>
    <w:rPr>
      <w:rFonts w:eastAsia="MS Mincho" w:cs="Calibri"/>
      <w:sz w:val="20"/>
      <w:szCs w:val="20"/>
      <w:lang w:val="en-AU"/>
    </w:rPr>
  </w:style>
  <w:style w:type="character" w:customStyle="1" w:styleId="TableTextDuscChar">
    <w:name w:val="Table Text _Dusc Char"/>
    <w:basedOn w:val="DefaultParagraphFont"/>
    <w:link w:val="TableTextDusc"/>
    <w:rsid w:val="00071F2B"/>
    <w:rPr>
      <w:rFonts w:asciiTheme="minorHAnsi" w:eastAsia="MS Mincho" w:hAnsiTheme="minorHAnsi" w:cs="Calibri"/>
      <w:sz w:val="20"/>
      <w:szCs w:val="20"/>
    </w:rPr>
  </w:style>
  <w:style w:type="numbering" w:customStyle="1" w:styleId="NoList1">
    <w:name w:val="No List1"/>
    <w:next w:val="NoList"/>
    <w:uiPriority w:val="99"/>
    <w:semiHidden/>
    <w:unhideWhenUsed/>
    <w:rsid w:val="00071F2B"/>
  </w:style>
  <w:style w:type="table" w:customStyle="1" w:styleId="TableGrid71">
    <w:name w:val="Table Grid71"/>
    <w:basedOn w:val="TableNormal"/>
    <w:uiPriority w:val="59"/>
    <w:rsid w:val="00071F2B"/>
    <w:pPr>
      <w:spacing w:after="0" w:line="240" w:lineRule="auto"/>
    </w:pPr>
    <w:rPr>
      <w:rFonts w:ascii="Calibri" w:eastAsia="Times New Roman" w:hAnsi="Calibri" w:cs="Times New Roman"/>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
    <w:name w:val="Table Grid72"/>
    <w:basedOn w:val="TableNormal"/>
    <w:next w:val="TableGrid"/>
    <w:uiPriority w:val="59"/>
    <w:rsid w:val="00071F2B"/>
    <w:pPr>
      <w:spacing w:after="0" w:line="240" w:lineRule="auto"/>
    </w:pPr>
    <w:rPr>
      <w:rFonts w:asciiTheme="minorHAnsi" w:eastAsia="Times New Roman"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igurecaption">
    <w:name w:val="Figure caption"/>
    <w:basedOn w:val="Normal"/>
    <w:link w:val="FigurecaptionChar"/>
    <w:qFormat/>
    <w:rsid w:val="00B67975"/>
    <w:pPr>
      <w:spacing w:before="60" w:after="60"/>
    </w:pPr>
    <w:rPr>
      <w:rFonts w:eastAsiaTheme="minorEastAsia" w:cstheme="minorBidi"/>
      <w:sz w:val="20"/>
      <w:szCs w:val="20"/>
      <w:lang w:val="en-AU" w:eastAsia="en-US"/>
    </w:rPr>
  </w:style>
  <w:style w:type="character" w:customStyle="1" w:styleId="FigurecaptionChar">
    <w:name w:val="Figure caption Char"/>
    <w:basedOn w:val="DefaultParagraphFont"/>
    <w:link w:val="Figurecaption"/>
    <w:rsid w:val="00B67975"/>
    <w:rPr>
      <w:rFonts w:asciiTheme="minorHAnsi" w:eastAsiaTheme="minorEastAsia" w:hAnsiTheme="minorHAnsi"/>
      <w:sz w:val="20"/>
      <w:szCs w:val="20"/>
      <w:lang w:eastAsia="en-US"/>
    </w:rPr>
  </w:style>
  <w:style w:type="paragraph" w:customStyle="1" w:styleId="ToRText">
    <w:name w:val="ToR Text"/>
    <w:basedOn w:val="Normal"/>
    <w:link w:val="ToRTextChar"/>
    <w:qFormat/>
    <w:rsid w:val="00B67975"/>
    <w:pPr>
      <w:pBdr>
        <w:top w:val="single" w:sz="4" w:space="1" w:color="auto"/>
        <w:left w:val="single" w:sz="4" w:space="4" w:color="auto"/>
        <w:bottom w:val="single" w:sz="4" w:space="1" w:color="auto"/>
        <w:right w:val="single" w:sz="4" w:space="4" w:color="auto"/>
      </w:pBdr>
    </w:pPr>
    <w:rPr>
      <w:b/>
      <w:color w:val="365F91" w:themeColor="accent1" w:themeShade="BF"/>
    </w:rPr>
  </w:style>
  <w:style w:type="paragraph" w:customStyle="1" w:styleId="MDsubHead3">
    <w:name w:val="MD sub Head 3"/>
    <w:basedOn w:val="Heading4"/>
    <w:link w:val="MDsubHead3Char"/>
    <w:qFormat/>
    <w:rsid w:val="00EB2E6F"/>
  </w:style>
  <w:style w:type="character" w:customStyle="1" w:styleId="ToRTextChar">
    <w:name w:val="ToR Text Char"/>
    <w:basedOn w:val="DefaultParagraphFont"/>
    <w:link w:val="ToRText"/>
    <w:rsid w:val="00B67975"/>
    <w:rPr>
      <w:rFonts w:asciiTheme="minorHAnsi" w:hAnsiTheme="minorHAnsi" w:cstheme="minorHAnsi"/>
      <w:b/>
      <w:color w:val="365F91" w:themeColor="accent1" w:themeShade="BF"/>
      <w:lang w:val="en-GB"/>
    </w:rPr>
  </w:style>
  <w:style w:type="character" w:customStyle="1" w:styleId="MDsubHead3Char">
    <w:name w:val="MD sub Head 3 Char"/>
    <w:basedOn w:val="Heading4Char"/>
    <w:link w:val="MDsubHead3"/>
    <w:rsid w:val="00EB2E6F"/>
    <w:rPr>
      <w:rFonts w:asciiTheme="majorHAnsi" w:eastAsiaTheme="majorEastAsia" w:hAnsiTheme="majorHAnsi" w:cstheme="majorBidi"/>
      <w:b/>
      <w:bCs/>
      <w:i/>
      <w:iCs/>
      <w:color w:val="4F81BD" w:themeColor="accent1"/>
      <w:lang w:val="en-GB"/>
    </w:rPr>
  </w:style>
  <w:style w:type="paragraph" w:styleId="BodyText2">
    <w:name w:val="Body Text 2"/>
    <w:basedOn w:val="Normal"/>
    <w:link w:val="BodyText2Char"/>
    <w:uiPriority w:val="99"/>
    <w:semiHidden/>
    <w:unhideWhenUsed/>
    <w:rsid w:val="00096511"/>
    <w:pPr>
      <w:spacing w:after="120" w:line="480" w:lineRule="auto"/>
    </w:pPr>
  </w:style>
  <w:style w:type="character" w:customStyle="1" w:styleId="BodyText2Char">
    <w:name w:val="Body Text 2 Char"/>
    <w:basedOn w:val="DefaultParagraphFont"/>
    <w:link w:val="BodyText2"/>
    <w:uiPriority w:val="99"/>
    <w:semiHidden/>
    <w:rsid w:val="00096511"/>
    <w:rPr>
      <w:rFonts w:asciiTheme="minorHAnsi" w:hAnsiTheme="minorHAnsi" w:cstheme="minorHAnsi"/>
      <w:lang w:val="en-GB"/>
    </w:rPr>
  </w:style>
  <w:style w:type="table" w:customStyle="1" w:styleId="TableGrid73">
    <w:name w:val="Table Grid73"/>
    <w:basedOn w:val="TableNormal"/>
    <w:next w:val="TableGrid"/>
    <w:uiPriority w:val="59"/>
    <w:rsid w:val="009B5C65"/>
    <w:pPr>
      <w:spacing w:after="0" w:line="240" w:lineRule="auto"/>
    </w:pPr>
    <w:rPr>
      <w:rFonts w:ascii="Calibri" w:hAnsi="Calibri"/>
      <w:sz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unhideWhenUsed/>
    <w:rsid w:val="000F704D"/>
    <w:pPr>
      <w:spacing w:after="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lsdException w:name="heading 3" w:uiPriority="9"/>
    <w:lsdException w:name="heading 4" w:uiPriority="9"/>
    <w:lsdException w:name="heading 5" w:uiPriority="9"/>
    <w:lsdException w:name="heading 6" w:uiPriority="9"/>
    <w:lsdException w:name="heading 7" w:uiPriority="9"/>
    <w:lsdException w:name="heading 8" w:uiPriority="9"/>
    <w:lsdException w:name="heading 9"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7" w:unhideWhenUsed="0"/>
    <w:lsdException w:name="Default Paragraph Font" w:uiPriority="1"/>
    <w:lsdException w:name="Body Text" w:uiPriority="0"/>
    <w:lsdException w:name="Subtitle" w:semiHidden="0" w:uiPriority="9" w:unhideWhenUsed="0"/>
    <w:lsdException w:name="Body Text Indent 3" w:uiPriority="0"/>
    <w:lsdException w:name="Strong" w:semiHidden="0" w:uiPriority="22" w:unhideWhenUsed="0"/>
    <w:lsdException w:name="Emphasis" w:semiHidden="0" w:uiPriority="20" w:unhideWhenUsed="0"/>
    <w:lsdException w:name="Table Grid" w:uiPriority="59"/>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aliases w:val="MD_Normal"/>
    <w:qFormat/>
    <w:rsid w:val="005A1B39"/>
    <w:pPr>
      <w:spacing w:line="240" w:lineRule="auto"/>
    </w:pPr>
    <w:rPr>
      <w:rFonts w:asciiTheme="minorHAnsi" w:hAnsiTheme="minorHAnsi" w:cstheme="minorHAnsi"/>
      <w:lang w:val="en-GB"/>
    </w:rPr>
  </w:style>
  <w:style w:type="paragraph" w:styleId="Heading1">
    <w:name w:val="heading 1"/>
    <w:aliases w:val="MD_Heading"/>
    <w:basedOn w:val="Heading2"/>
    <w:next w:val="Normal"/>
    <w:link w:val="Heading1Char"/>
    <w:uiPriority w:val="9"/>
    <w:qFormat/>
    <w:rsid w:val="00E315CC"/>
    <w:pPr>
      <w:spacing w:before="480" w:after="240"/>
      <w:jc w:val="center"/>
      <w:outlineLvl w:val="0"/>
    </w:pPr>
    <w:rPr>
      <w:rFonts w:asciiTheme="minorHAnsi" w:hAnsiTheme="minorHAnsi"/>
      <w:color w:val="548DD4" w:themeColor="text2" w:themeTint="99"/>
      <w:sz w:val="40"/>
      <w:szCs w:val="40"/>
    </w:rPr>
  </w:style>
  <w:style w:type="paragraph" w:styleId="Heading2">
    <w:name w:val="heading 2"/>
    <w:basedOn w:val="Normal"/>
    <w:next w:val="Normal"/>
    <w:link w:val="Heading2Char"/>
    <w:uiPriority w:val="9"/>
    <w:unhideWhenUsed/>
    <w:rsid w:val="004C215E"/>
    <w:pPr>
      <w:keepNext/>
      <w:keepLines/>
      <w:spacing w:before="200" w:after="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rsid w:val="00447443"/>
    <w:pPr>
      <w:keepNext/>
      <w:keepLines/>
      <w:spacing w:before="200" w:after="0"/>
      <w:outlineLvl w:val="2"/>
    </w:pPr>
    <w:rPr>
      <w:rFonts w:eastAsiaTheme="majorEastAsia" w:cstheme="majorBidi"/>
      <w:b/>
      <w:bCs/>
      <w:i/>
      <w:sz w:val="28"/>
      <w:szCs w:val="28"/>
    </w:rPr>
  </w:style>
  <w:style w:type="paragraph" w:styleId="Heading4">
    <w:name w:val="heading 4"/>
    <w:aliases w:val="Heading 1 - Body"/>
    <w:basedOn w:val="Normal"/>
    <w:next w:val="Normal"/>
    <w:link w:val="Heading4Char"/>
    <w:uiPriority w:val="9"/>
    <w:unhideWhenUsed/>
    <w:rsid w:val="004C215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aliases w:val="Heading 2 - Body"/>
    <w:basedOn w:val="Normal"/>
    <w:next w:val="Normal"/>
    <w:link w:val="Heading5Char"/>
    <w:uiPriority w:val="9"/>
    <w:unhideWhenUsed/>
    <w:rsid w:val="004C215E"/>
    <w:pPr>
      <w:keepNext/>
      <w:keepLines/>
      <w:numPr>
        <w:ilvl w:val="4"/>
        <w:numId w:val="4"/>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aliases w:val="Heading 3 - Body"/>
    <w:basedOn w:val="Normal"/>
    <w:next w:val="Normal"/>
    <w:link w:val="Heading6Char"/>
    <w:uiPriority w:val="9"/>
    <w:unhideWhenUsed/>
    <w:rsid w:val="004C215E"/>
    <w:pPr>
      <w:keepNext/>
      <w:keepLines/>
      <w:numPr>
        <w:ilvl w:val="5"/>
        <w:numId w:val="4"/>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aliases w:val="App Heading 1"/>
    <w:basedOn w:val="Normal"/>
    <w:next w:val="Normal"/>
    <w:link w:val="Heading7Char"/>
    <w:uiPriority w:val="9"/>
    <w:unhideWhenUsed/>
    <w:rsid w:val="004C215E"/>
    <w:pPr>
      <w:keepNext/>
      <w:keepLines/>
      <w:numPr>
        <w:ilvl w:val="6"/>
        <w:numId w:val="4"/>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aliases w:val="App Heading 2"/>
    <w:basedOn w:val="Normal"/>
    <w:next w:val="Normal"/>
    <w:link w:val="Heading8Char"/>
    <w:uiPriority w:val="9"/>
    <w:unhideWhenUsed/>
    <w:rsid w:val="004C215E"/>
    <w:pPr>
      <w:keepNext/>
      <w:keepLines/>
      <w:numPr>
        <w:ilvl w:val="7"/>
        <w:numId w:val="4"/>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aliases w:val="Section heading - Body,App Heading 3"/>
    <w:basedOn w:val="Normal"/>
    <w:next w:val="Normal"/>
    <w:link w:val="Heading9Char"/>
    <w:uiPriority w:val="9"/>
    <w:unhideWhenUsed/>
    <w:rsid w:val="004C215E"/>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MD_Heading Char"/>
    <w:basedOn w:val="DefaultParagraphFont"/>
    <w:link w:val="Heading1"/>
    <w:uiPriority w:val="9"/>
    <w:rsid w:val="00E315CC"/>
    <w:rPr>
      <w:rFonts w:asciiTheme="minorHAnsi" w:eastAsiaTheme="majorEastAsia" w:hAnsiTheme="minorHAnsi" w:cstheme="majorBidi"/>
      <w:b/>
      <w:bCs/>
      <w:color w:val="548DD4" w:themeColor="text2" w:themeTint="99"/>
      <w:sz w:val="40"/>
      <w:szCs w:val="40"/>
      <w:lang w:val="en-GB"/>
    </w:rPr>
  </w:style>
  <w:style w:type="character" w:customStyle="1" w:styleId="Heading2Char">
    <w:name w:val="Heading 2 Char"/>
    <w:basedOn w:val="DefaultParagraphFont"/>
    <w:link w:val="Heading2"/>
    <w:uiPriority w:val="9"/>
    <w:rsid w:val="004C215E"/>
    <w:rPr>
      <w:rFonts w:asciiTheme="majorHAnsi" w:eastAsiaTheme="majorEastAsia" w:hAnsiTheme="majorHAnsi" w:cstheme="majorBidi"/>
      <w:b/>
      <w:bCs/>
      <w:color w:val="4F81BD" w:themeColor="accent1"/>
      <w:szCs w:val="26"/>
    </w:rPr>
  </w:style>
  <w:style w:type="character" w:customStyle="1" w:styleId="Heading3Char">
    <w:name w:val="Heading 3 Char"/>
    <w:basedOn w:val="DefaultParagraphFont"/>
    <w:link w:val="Heading3"/>
    <w:uiPriority w:val="9"/>
    <w:rsid w:val="00447443"/>
    <w:rPr>
      <w:rFonts w:asciiTheme="minorHAnsi" w:eastAsiaTheme="majorEastAsia" w:hAnsiTheme="minorHAnsi" w:cstheme="majorBidi"/>
      <w:b/>
      <w:bCs/>
      <w:i/>
      <w:sz w:val="28"/>
      <w:szCs w:val="28"/>
    </w:rPr>
  </w:style>
  <w:style w:type="paragraph" w:styleId="ListParagraph">
    <w:name w:val="List Paragraph"/>
    <w:aliases w:val="Footnote,BulletPoints,List Paragraph1,Recommendation"/>
    <w:basedOn w:val="Normal"/>
    <w:link w:val="ListParagraphChar"/>
    <w:uiPriority w:val="72"/>
    <w:qFormat/>
    <w:rsid w:val="004C215E"/>
    <w:pPr>
      <w:ind w:left="720"/>
      <w:contextualSpacing/>
    </w:pPr>
  </w:style>
  <w:style w:type="paragraph" w:styleId="NormalWeb">
    <w:name w:val="Normal (Web)"/>
    <w:basedOn w:val="Normal"/>
    <w:link w:val="NormalWebChar"/>
    <w:uiPriority w:val="99"/>
    <w:unhideWhenUsed/>
    <w:rsid w:val="00EC1701"/>
    <w:pPr>
      <w:spacing w:before="100" w:beforeAutospacing="1" w:after="100" w:afterAutospacing="1"/>
    </w:pPr>
    <w:rPr>
      <w:rFonts w:eastAsia="Times New Roman" w:cs="Times New Roman"/>
      <w:szCs w:val="24"/>
    </w:rPr>
  </w:style>
  <w:style w:type="paragraph" w:styleId="BalloonText">
    <w:name w:val="Balloon Text"/>
    <w:basedOn w:val="Normal"/>
    <w:link w:val="BalloonTextChar"/>
    <w:uiPriority w:val="99"/>
    <w:semiHidden/>
    <w:unhideWhenUsed/>
    <w:rsid w:val="008567A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67AC"/>
    <w:rPr>
      <w:rFonts w:ascii="Tahoma" w:hAnsi="Tahoma" w:cs="Tahoma"/>
      <w:sz w:val="16"/>
      <w:szCs w:val="16"/>
    </w:rPr>
  </w:style>
  <w:style w:type="character" w:customStyle="1" w:styleId="normalchar">
    <w:name w:val="normal_char"/>
    <w:rsid w:val="008567AC"/>
    <w:rPr>
      <w:color w:val="auto"/>
    </w:rPr>
  </w:style>
  <w:style w:type="character" w:styleId="Hyperlink">
    <w:name w:val="Hyperlink"/>
    <w:basedOn w:val="DefaultParagraphFont"/>
    <w:uiPriority w:val="99"/>
    <w:rsid w:val="00876B6E"/>
    <w:rPr>
      <w:color w:val="0000FF" w:themeColor="hyperlink"/>
      <w:u w:val="single"/>
    </w:rPr>
  </w:style>
  <w:style w:type="character" w:styleId="CommentReference">
    <w:name w:val="annotation reference"/>
    <w:aliases w:val="Table Title"/>
    <w:basedOn w:val="DefaultParagraphFont"/>
    <w:uiPriority w:val="99"/>
    <w:unhideWhenUsed/>
    <w:rsid w:val="00FF593A"/>
    <w:rPr>
      <w:sz w:val="16"/>
      <w:szCs w:val="16"/>
    </w:rPr>
  </w:style>
  <w:style w:type="paragraph" w:styleId="CommentText">
    <w:name w:val="annotation text"/>
    <w:basedOn w:val="Normal"/>
    <w:link w:val="CommentTextChar"/>
    <w:uiPriority w:val="99"/>
    <w:unhideWhenUsed/>
    <w:rsid w:val="00FF593A"/>
    <w:rPr>
      <w:sz w:val="20"/>
      <w:szCs w:val="20"/>
    </w:rPr>
  </w:style>
  <w:style w:type="character" w:customStyle="1" w:styleId="CommentTextChar">
    <w:name w:val="Comment Text Char"/>
    <w:basedOn w:val="DefaultParagraphFont"/>
    <w:link w:val="CommentText"/>
    <w:uiPriority w:val="99"/>
    <w:rsid w:val="00FF593A"/>
    <w:rPr>
      <w:sz w:val="20"/>
      <w:szCs w:val="20"/>
    </w:rPr>
  </w:style>
  <w:style w:type="paragraph" w:styleId="CommentSubject">
    <w:name w:val="annotation subject"/>
    <w:basedOn w:val="CommentText"/>
    <w:next w:val="CommentText"/>
    <w:link w:val="CommentSubjectChar"/>
    <w:uiPriority w:val="99"/>
    <w:semiHidden/>
    <w:unhideWhenUsed/>
    <w:rsid w:val="00FF593A"/>
    <w:rPr>
      <w:b/>
      <w:bCs/>
    </w:rPr>
  </w:style>
  <w:style w:type="character" w:customStyle="1" w:styleId="CommentSubjectChar">
    <w:name w:val="Comment Subject Char"/>
    <w:basedOn w:val="CommentTextChar"/>
    <w:link w:val="CommentSubject"/>
    <w:uiPriority w:val="99"/>
    <w:semiHidden/>
    <w:rsid w:val="00FF593A"/>
    <w:rPr>
      <w:b/>
      <w:bCs/>
      <w:sz w:val="20"/>
      <w:szCs w:val="20"/>
    </w:rPr>
  </w:style>
  <w:style w:type="paragraph" w:styleId="BodyTextIndent3">
    <w:name w:val="Body Text Indent 3"/>
    <w:basedOn w:val="Normal"/>
    <w:link w:val="BodyTextIndent3Char"/>
    <w:rsid w:val="00981C16"/>
    <w:pPr>
      <w:spacing w:after="120"/>
      <w:ind w:left="283"/>
    </w:pPr>
    <w:rPr>
      <w:rFonts w:eastAsia="Times New Roman" w:cs="Times New Roman"/>
      <w:sz w:val="16"/>
      <w:szCs w:val="16"/>
    </w:rPr>
  </w:style>
  <w:style w:type="character" w:customStyle="1" w:styleId="BodyTextIndent3Char">
    <w:name w:val="Body Text Indent 3 Char"/>
    <w:basedOn w:val="DefaultParagraphFont"/>
    <w:link w:val="BodyTextIndent3"/>
    <w:rsid w:val="00981C16"/>
    <w:rPr>
      <w:rFonts w:eastAsia="Times New Roman" w:cs="Times New Roman"/>
      <w:sz w:val="16"/>
      <w:szCs w:val="16"/>
    </w:rPr>
  </w:style>
  <w:style w:type="character" w:customStyle="1" w:styleId="Heading4Char">
    <w:name w:val="Heading 4 Char"/>
    <w:aliases w:val="Heading 1 - Body Char"/>
    <w:basedOn w:val="DefaultParagraphFont"/>
    <w:link w:val="Heading4"/>
    <w:uiPriority w:val="9"/>
    <w:rsid w:val="004C215E"/>
    <w:rPr>
      <w:rFonts w:asciiTheme="majorHAnsi" w:eastAsiaTheme="majorEastAsia" w:hAnsiTheme="majorHAnsi" w:cstheme="majorBidi"/>
      <w:b/>
      <w:bCs/>
      <w:i/>
      <w:iCs/>
      <w:color w:val="4F81BD" w:themeColor="accent1"/>
    </w:rPr>
  </w:style>
  <w:style w:type="character" w:customStyle="1" w:styleId="Heading5Char">
    <w:name w:val="Heading 5 Char"/>
    <w:aliases w:val="Heading 2 - Body Char"/>
    <w:basedOn w:val="DefaultParagraphFont"/>
    <w:link w:val="Heading5"/>
    <w:uiPriority w:val="9"/>
    <w:rsid w:val="004C215E"/>
    <w:rPr>
      <w:rFonts w:asciiTheme="majorHAnsi" w:eastAsiaTheme="majorEastAsia" w:hAnsiTheme="majorHAnsi" w:cstheme="majorBidi"/>
      <w:color w:val="243F60" w:themeColor="accent1" w:themeShade="7F"/>
      <w:lang w:val="en-GB"/>
    </w:rPr>
  </w:style>
  <w:style w:type="character" w:customStyle="1" w:styleId="Heading6Char">
    <w:name w:val="Heading 6 Char"/>
    <w:aliases w:val="Heading 3 - Body Char"/>
    <w:basedOn w:val="DefaultParagraphFont"/>
    <w:link w:val="Heading6"/>
    <w:uiPriority w:val="9"/>
    <w:rsid w:val="004C215E"/>
    <w:rPr>
      <w:rFonts w:asciiTheme="majorHAnsi" w:eastAsiaTheme="majorEastAsia" w:hAnsiTheme="majorHAnsi" w:cstheme="majorBidi"/>
      <w:i/>
      <w:iCs/>
      <w:color w:val="243F60" w:themeColor="accent1" w:themeShade="7F"/>
      <w:lang w:val="en-GB"/>
    </w:rPr>
  </w:style>
  <w:style w:type="character" w:customStyle="1" w:styleId="Heading7Char">
    <w:name w:val="Heading 7 Char"/>
    <w:aliases w:val="App Heading 1 Char"/>
    <w:basedOn w:val="DefaultParagraphFont"/>
    <w:link w:val="Heading7"/>
    <w:uiPriority w:val="9"/>
    <w:rsid w:val="004C215E"/>
    <w:rPr>
      <w:rFonts w:asciiTheme="majorHAnsi" w:eastAsiaTheme="majorEastAsia" w:hAnsiTheme="majorHAnsi" w:cstheme="majorBidi"/>
      <w:i/>
      <w:iCs/>
      <w:color w:val="404040" w:themeColor="text1" w:themeTint="BF"/>
      <w:lang w:val="en-GB"/>
    </w:rPr>
  </w:style>
  <w:style w:type="character" w:customStyle="1" w:styleId="Heading8Char">
    <w:name w:val="Heading 8 Char"/>
    <w:aliases w:val="App Heading 2 Char"/>
    <w:basedOn w:val="DefaultParagraphFont"/>
    <w:link w:val="Heading8"/>
    <w:uiPriority w:val="9"/>
    <w:rsid w:val="004C215E"/>
    <w:rPr>
      <w:rFonts w:asciiTheme="majorHAnsi" w:eastAsiaTheme="majorEastAsia" w:hAnsiTheme="majorHAnsi" w:cstheme="majorBidi"/>
      <w:color w:val="404040" w:themeColor="text1" w:themeTint="BF"/>
      <w:sz w:val="20"/>
      <w:szCs w:val="20"/>
      <w:lang w:val="en-GB"/>
    </w:rPr>
  </w:style>
  <w:style w:type="character" w:customStyle="1" w:styleId="Heading9Char">
    <w:name w:val="Heading 9 Char"/>
    <w:aliases w:val="Section heading - Body Char,App Heading 3 Char"/>
    <w:basedOn w:val="DefaultParagraphFont"/>
    <w:link w:val="Heading9"/>
    <w:uiPriority w:val="9"/>
    <w:rsid w:val="004C215E"/>
    <w:rPr>
      <w:rFonts w:asciiTheme="majorHAnsi" w:eastAsiaTheme="majorEastAsia" w:hAnsiTheme="majorHAnsi" w:cstheme="majorBidi"/>
      <w:i/>
      <w:iCs/>
      <w:color w:val="404040" w:themeColor="text1" w:themeTint="BF"/>
      <w:sz w:val="20"/>
      <w:szCs w:val="20"/>
      <w:lang w:val="en-GB"/>
    </w:rPr>
  </w:style>
  <w:style w:type="paragraph" w:styleId="Header">
    <w:name w:val="header"/>
    <w:basedOn w:val="Normal"/>
    <w:link w:val="HeaderChar"/>
    <w:uiPriority w:val="99"/>
    <w:unhideWhenUsed/>
    <w:rsid w:val="00131A64"/>
    <w:pPr>
      <w:tabs>
        <w:tab w:val="center" w:pos="4513"/>
        <w:tab w:val="right" w:pos="9026"/>
      </w:tabs>
      <w:spacing w:after="0"/>
    </w:pPr>
  </w:style>
  <w:style w:type="character" w:customStyle="1" w:styleId="HeaderChar">
    <w:name w:val="Header Char"/>
    <w:basedOn w:val="DefaultParagraphFont"/>
    <w:link w:val="Header"/>
    <w:uiPriority w:val="99"/>
    <w:rsid w:val="00131A64"/>
  </w:style>
  <w:style w:type="paragraph" w:styleId="Footer">
    <w:name w:val="footer"/>
    <w:basedOn w:val="Normal"/>
    <w:link w:val="FooterChar"/>
    <w:uiPriority w:val="99"/>
    <w:unhideWhenUsed/>
    <w:rsid w:val="00131A64"/>
    <w:pPr>
      <w:tabs>
        <w:tab w:val="center" w:pos="4513"/>
        <w:tab w:val="right" w:pos="9026"/>
      </w:tabs>
      <w:spacing w:after="0"/>
    </w:pPr>
  </w:style>
  <w:style w:type="character" w:customStyle="1" w:styleId="FooterChar">
    <w:name w:val="Footer Char"/>
    <w:basedOn w:val="DefaultParagraphFont"/>
    <w:link w:val="Footer"/>
    <w:uiPriority w:val="99"/>
    <w:rsid w:val="00131A64"/>
  </w:style>
  <w:style w:type="paragraph" w:styleId="TOCHeading">
    <w:name w:val="TOC Heading"/>
    <w:basedOn w:val="Heading1"/>
    <w:next w:val="Normal"/>
    <w:uiPriority w:val="39"/>
    <w:unhideWhenUsed/>
    <w:qFormat/>
    <w:rsid w:val="004C215E"/>
    <w:pPr>
      <w:outlineLvl w:val="9"/>
    </w:pPr>
    <w:rPr>
      <w:lang w:val="en-US" w:eastAsia="ja-JP"/>
    </w:rPr>
  </w:style>
  <w:style w:type="paragraph" w:styleId="TOC1">
    <w:name w:val="toc 1"/>
    <w:basedOn w:val="Normal"/>
    <w:next w:val="Normal"/>
    <w:autoRedefine/>
    <w:uiPriority w:val="39"/>
    <w:unhideWhenUsed/>
    <w:rsid w:val="00C34CDD"/>
    <w:pPr>
      <w:spacing w:after="100"/>
    </w:pPr>
  </w:style>
  <w:style w:type="paragraph" w:styleId="TOC2">
    <w:name w:val="toc 2"/>
    <w:basedOn w:val="Normal"/>
    <w:next w:val="Normal"/>
    <w:autoRedefine/>
    <w:uiPriority w:val="39"/>
    <w:unhideWhenUsed/>
    <w:rsid w:val="00C34CDD"/>
    <w:pPr>
      <w:spacing w:after="100"/>
      <w:ind w:left="240"/>
    </w:pPr>
  </w:style>
  <w:style w:type="paragraph" w:styleId="TOC3">
    <w:name w:val="toc 3"/>
    <w:basedOn w:val="Normal"/>
    <w:next w:val="Normal"/>
    <w:autoRedefine/>
    <w:uiPriority w:val="39"/>
    <w:unhideWhenUsed/>
    <w:rsid w:val="00C34CDD"/>
    <w:pPr>
      <w:spacing w:after="100"/>
      <w:ind w:left="480"/>
    </w:pPr>
  </w:style>
  <w:style w:type="paragraph" w:styleId="NoSpacing">
    <w:name w:val="No Spacing"/>
    <w:aliases w:val="Figure footer"/>
    <w:uiPriority w:val="1"/>
    <w:rsid w:val="004C215E"/>
    <w:pPr>
      <w:spacing w:after="0" w:line="240" w:lineRule="auto"/>
    </w:pPr>
  </w:style>
  <w:style w:type="character" w:customStyle="1" w:styleId="apple-converted-space">
    <w:name w:val="apple-converted-space"/>
    <w:basedOn w:val="DefaultParagraphFont"/>
    <w:rsid w:val="00152166"/>
  </w:style>
  <w:style w:type="character" w:styleId="FollowedHyperlink">
    <w:name w:val="FollowedHyperlink"/>
    <w:uiPriority w:val="99"/>
    <w:semiHidden/>
    <w:unhideWhenUsed/>
    <w:rsid w:val="00082A22"/>
    <w:rPr>
      <w:color w:val="800080"/>
      <w:u w:val="single"/>
    </w:rPr>
  </w:style>
  <w:style w:type="character" w:styleId="HTMLCite">
    <w:name w:val="HTML Cite"/>
    <w:uiPriority w:val="99"/>
    <w:semiHidden/>
    <w:unhideWhenUsed/>
    <w:rsid w:val="00082A22"/>
    <w:rPr>
      <w:b w:val="0"/>
      <w:bCs w:val="0"/>
      <w:i w:val="0"/>
      <w:iCs w:val="0"/>
      <w:vanish w:val="0"/>
      <w:webHidden w:val="0"/>
      <w:specVanish w:val="0"/>
    </w:rPr>
  </w:style>
  <w:style w:type="character" w:customStyle="1" w:styleId="author4">
    <w:name w:val="author4"/>
    <w:rsid w:val="00082A22"/>
    <w:rPr>
      <w:b w:val="0"/>
      <w:bCs w:val="0"/>
      <w:i w:val="0"/>
      <w:iCs w:val="0"/>
      <w:smallCaps w:val="0"/>
      <w:sz w:val="24"/>
      <w:szCs w:val="24"/>
    </w:rPr>
  </w:style>
  <w:style w:type="character" w:customStyle="1" w:styleId="articletitle7">
    <w:name w:val="articletitle7"/>
    <w:basedOn w:val="DefaultParagraphFont"/>
    <w:rsid w:val="00082A22"/>
  </w:style>
  <w:style w:type="character" w:customStyle="1" w:styleId="journaltitle4">
    <w:name w:val="journaltitle4"/>
    <w:rsid w:val="00082A22"/>
    <w:rPr>
      <w:i/>
      <w:iCs/>
    </w:rPr>
  </w:style>
  <w:style w:type="character" w:customStyle="1" w:styleId="pubyear">
    <w:name w:val="pubyear"/>
    <w:basedOn w:val="DefaultParagraphFont"/>
    <w:rsid w:val="00082A22"/>
  </w:style>
  <w:style w:type="character" w:customStyle="1" w:styleId="citedissue">
    <w:name w:val="citedissue"/>
    <w:basedOn w:val="DefaultParagraphFont"/>
    <w:rsid w:val="00082A22"/>
  </w:style>
  <w:style w:type="character" w:customStyle="1" w:styleId="frlabel1">
    <w:name w:val="fr_label1"/>
    <w:rsid w:val="00082A22"/>
    <w:rPr>
      <w:b/>
      <w:bCs/>
    </w:rPr>
  </w:style>
  <w:style w:type="character" w:styleId="Strong">
    <w:name w:val="Strong"/>
    <w:uiPriority w:val="22"/>
    <w:rsid w:val="004C215E"/>
    <w:rPr>
      <w:b/>
      <w:bCs/>
    </w:rPr>
  </w:style>
  <w:style w:type="character" w:customStyle="1" w:styleId="hithilite3">
    <w:name w:val="hithilite3"/>
    <w:rsid w:val="00082A22"/>
    <w:rPr>
      <w:shd w:val="clear" w:color="auto" w:fill="FFFF00"/>
    </w:rPr>
  </w:style>
  <w:style w:type="character" w:customStyle="1" w:styleId="maintitle4">
    <w:name w:val="maintitle4"/>
    <w:rsid w:val="00082A22"/>
    <w:rPr>
      <w:vanish w:val="0"/>
      <w:webHidden w:val="0"/>
      <w:specVanish w:val="0"/>
    </w:rPr>
  </w:style>
  <w:style w:type="character" w:customStyle="1" w:styleId="override-xref-content-element7">
    <w:name w:val="override-xref-content-element7"/>
    <w:rsid w:val="00082A22"/>
    <w:rPr>
      <w:color w:val="007E8A"/>
    </w:rPr>
  </w:style>
  <w:style w:type="paragraph" w:customStyle="1" w:styleId="para10">
    <w:name w:val="para10"/>
    <w:basedOn w:val="Normal"/>
    <w:rsid w:val="00082A22"/>
    <w:pPr>
      <w:spacing w:after="240" w:line="360" w:lineRule="atLeast"/>
    </w:pPr>
    <w:rPr>
      <w:rFonts w:eastAsia="Times New Roman" w:cs="Times New Roman"/>
      <w:sz w:val="29"/>
      <w:szCs w:val="29"/>
    </w:rPr>
  </w:style>
  <w:style w:type="table" w:styleId="TableGrid">
    <w:name w:val="Table Grid"/>
    <w:aliases w:val="Summary box,Table Gridbeth"/>
    <w:basedOn w:val="TableNormal"/>
    <w:uiPriority w:val="59"/>
    <w:rsid w:val="00082A22"/>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7">
    <w:name w:val="i7"/>
    <w:rsid w:val="00082A22"/>
    <w:rPr>
      <w:i/>
      <w:iCs/>
    </w:rPr>
  </w:style>
  <w:style w:type="paragraph" w:customStyle="1" w:styleId="CM18">
    <w:name w:val="CM18"/>
    <w:basedOn w:val="Normal"/>
    <w:next w:val="Normal"/>
    <w:uiPriority w:val="99"/>
    <w:rsid w:val="00082A22"/>
    <w:pPr>
      <w:widowControl w:val="0"/>
      <w:autoSpaceDE w:val="0"/>
      <w:autoSpaceDN w:val="0"/>
      <w:adjustRightInd w:val="0"/>
      <w:spacing w:after="0"/>
    </w:pPr>
    <w:rPr>
      <w:rFonts w:ascii="MuseeBold" w:eastAsia="Times New Roman" w:hAnsi="MuseeBold" w:cs="Times New Roman"/>
      <w:szCs w:val="24"/>
    </w:rPr>
  </w:style>
  <w:style w:type="paragraph" w:customStyle="1" w:styleId="Heading5new">
    <w:name w:val="Heading 5 new"/>
    <w:basedOn w:val="NormalWeb"/>
    <w:link w:val="Heading5newChar"/>
    <w:rsid w:val="004C215E"/>
    <w:pPr>
      <w:spacing w:before="0" w:beforeAutospacing="0" w:after="240" w:afterAutospacing="0" w:line="312" w:lineRule="atLeast"/>
    </w:pPr>
    <w:rPr>
      <w:rFonts w:ascii="Times New Roman" w:hAnsi="Times New Roman"/>
      <w:b/>
      <w:i/>
      <w:color w:val="000000"/>
      <w:u w:val="single"/>
    </w:rPr>
  </w:style>
  <w:style w:type="character" w:customStyle="1" w:styleId="NormalWebChar">
    <w:name w:val="Normal (Web) Char"/>
    <w:link w:val="NormalWeb"/>
    <w:uiPriority w:val="99"/>
    <w:rsid w:val="00082A22"/>
    <w:rPr>
      <w:rFonts w:eastAsia="Times New Roman" w:cs="Times New Roman"/>
      <w:szCs w:val="24"/>
      <w:lang w:eastAsia="en-AU"/>
    </w:rPr>
  </w:style>
  <w:style w:type="character" w:customStyle="1" w:styleId="Heading5newChar">
    <w:name w:val="Heading 5 new Char"/>
    <w:link w:val="Heading5new"/>
    <w:rsid w:val="004C215E"/>
    <w:rPr>
      <w:rFonts w:eastAsia="Times New Roman" w:cs="Times New Roman"/>
      <w:b/>
      <w:i/>
      <w:color w:val="000000"/>
      <w:szCs w:val="24"/>
      <w:u w:val="single"/>
    </w:rPr>
  </w:style>
  <w:style w:type="paragraph" w:customStyle="1" w:styleId="Heading4new">
    <w:name w:val="Heading 4 new"/>
    <w:basedOn w:val="Heading5new"/>
    <w:link w:val="Heading4newChar"/>
    <w:rsid w:val="004C215E"/>
  </w:style>
  <w:style w:type="character" w:customStyle="1" w:styleId="Heading4newChar">
    <w:name w:val="Heading 4 new Char"/>
    <w:link w:val="Heading4new"/>
    <w:rsid w:val="004C215E"/>
    <w:rPr>
      <w:rFonts w:eastAsia="Times New Roman" w:cs="Times New Roman"/>
      <w:b/>
      <w:i/>
      <w:color w:val="000000"/>
      <w:szCs w:val="24"/>
      <w:u w:val="single"/>
    </w:rPr>
  </w:style>
  <w:style w:type="character" w:customStyle="1" w:styleId="label31">
    <w:name w:val="label31"/>
    <w:basedOn w:val="DefaultParagraphFont"/>
    <w:rsid w:val="00082A22"/>
  </w:style>
  <w:style w:type="character" w:customStyle="1" w:styleId="b7">
    <w:name w:val="b7"/>
    <w:rsid w:val="00082A22"/>
    <w:rPr>
      <w:b/>
      <w:bCs/>
    </w:rPr>
  </w:style>
  <w:style w:type="character" w:customStyle="1" w:styleId="tablenotes-note">
    <w:name w:val="tablenotes-note"/>
    <w:basedOn w:val="DefaultParagraphFont"/>
    <w:rsid w:val="00082A22"/>
  </w:style>
  <w:style w:type="character" w:customStyle="1" w:styleId="section-title3">
    <w:name w:val="section-title3"/>
    <w:rsid w:val="00082A22"/>
    <w:rPr>
      <w:vanish w:val="0"/>
      <w:webHidden w:val="0"/>
      <w:specVanish w:val="0"/>
    </w:rPr>
  </w:style>
  <w:style w:type="paragraph" w:customStyle="1" w:styleId="Default">
    <w:name w:val="Default"/>
    <w:rsid w:val="00082A22"/>
    <w:pPr>
      <w:widowControl w:val="0"/>
      <w:autoSpaceDE w:val="0"/>
      <w:autoSpaceDN w:val="0"/>
      <w:adjustRightInd w:val="0"/>
      <w:spacing w:after="0" w:line="240" w:lineRule="auto"/>
    </w:pPr>
    <w:rPr>
      <w:rFonts w:ascii="Arial" w:eastAsia="Times New Roman" w:hAnsi="Arial" w:cs="Arial"/>
      <w:color w:val="000000"/>
      <w:szCs w:val="24"/>
    </w:rPr>
  </w:style>
  <w:style w:type="paragraph" w:styleId="TOC4">
    <w:name w:val="toc 4"/>
    <w:basedOn w:val="Normal"/>
    <w:next w:val="Normal"/>
    <w:autoRedefine/>
    <w:uiPriority w:val="39"/>
    <w:unhideWhenUsed/>
    <w:rsid w:val="00082A22"/>
    <w:pPr>
      <w:spacing w:after="100"/>
      <w:ind w:left="660"/>
    </w:pPr>
    <w:rPr>
      <w:rFonts w:ascii="Calibri" w:eastAsia="Times New Roman" w:hAnsi="Calibri" w:cs="Times New Roman"/>
      <w:sz w:val="22"/>
    </w:rPr>
  </w:style>
  <w:style w:type="paragraph" w:styleId="Revision">
    <w:name w:val="Revision"/>
    <w:hidden/>
    <w:uiPriority w:val="99"/>
    <w:semiHidden/>
    <w:rsid w:val="00082A22"/>
    <w:pPr>
      <w:spacing w:after="0" w:line="240" w:lineRule="auto"/>
    </w:pPr>
    <w:rPr>
      <w:rFonts w:ascii="Calibri" w:eastAsia="Times New Roman" w:hAnsi="Calibri" w:cs="Times New Roman"/>
      <w:sz w:val="22"/>
    </w:rPr>
  </w:style>
  <w:style w:type="paragraph" w:styleId="FootnoteText">
    <w:name w:val="footnote text"/>
    <w:basedOn w:val="Normal"/>
    <w:link w:val="FootnoteTextChar"/>
    <w:uiPriority w:val="99"/>
    <w:unhideWhenUsed/>
    <w:rsid w:val="00082A22"/>
    <w:pPr>
      <w:spacing w:after="0"/>
    </w:pPr>
    <w:rPr>
      <w:rFonts w:ascii="Calibri" w:eastAsia="Times New Roman" w:hAnsi="Calibri" w:cs="Times New Roman"/>
      <w:sz w:val="20"/>
      <w:szCs w:val="20"/>
    </w:rPr>
  </w:style>
  <w:style w:type="character" w:customStyle="1" w:styleId="FootnoteTextChar">
    <w:name w:val="Footnote Text Char"/>
    <w:basedOn w:val="DefaultParagraphFont"/>
    <w:link w:val="FootnoteText"/>
    <w:uiPriority w:val="99"/>
    <w:rsid w:val="00082A22"/>
    <w:rPr>
      <w:rFonts w:ascii="Calibri" w:eastAsia="Times New Roman" w:hAnsi="Calibri" w:cs="Times New Roman"/>
      <w:sz w:val="20"/>
      <w:szCs w:val="20"/>
      <w:lang w:eastAsia="en-AU"/>
    </w:rPr>
  </w:style>
  <w:style w:type="character" w:styleId="FootnoteReference">
    <w:name w:val="footnote reference"/>
    <w:uiPriority w:val="99"/>
    <w:unhideWhenUsed/>
    <w:rsid w:val="00082A22"/>
    <w:rPr>
      <w:vertAlign w:val="superscript"/>
    </w:rPr>
  </w:style>
  <w:style w:type="table" w:customStyle="1" w:styleId="TableGrid1">
    <w:name w:val="Table Grid1"/>
    <w:basedOn w:val="TableNormal"/>
    <w:next w:val="TableGrid"/>
    <w:uiPriority w:val="59"/>
    <w:rsid w:val="00082A22"/>
    <w:pPr>
      <w:spacing w:after="0" w:line="240" w:lineRule="auto"/>
    </w:pPr>
    <w:rPr>
      <w:rFonts w:ascii="Calibri" w:eastAsia="Times New Roman"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Quote">
    <w:name w:val="Quote"/>
    <w:basedOn w:val="Normal"/>
    <w:next w:val="Normal"/>
    <w:link w:val="QuoteChar"/>
    <w:uiPriority w:val="29"/>
    <w:rsid w:val="004C215E"/>
    <w:rPr>
      <w:rFonts w:ascii="Calibri" w:eastAsia="Times New Roman" w:hAnsi="Calibri" w:cs="Times New Roman"/>
      <w:i/>
      <w:iCs/>
      <w:color w:val="000000"/>
      <w:sz w:val="22"/>
    </w:rPr>
  </w:style>
  <w:style w:type="character" w:customStyle="1" w:styleId="QuoteChar">
    <w:name w:val="Quote Char"/>
    <w:basedOn w:val="DefaultParagraphFont"/>
    <w:link w:val="Quote"/>
    <w:uiPriority w:val="29"/>
    <w:rsid w:val="004C215E"/>
    <w:rPr>
      <w:rFonts w:ascii="Calibri" w:eastAsia="Times New Roman" w:hAnsi="Calibri" w:cs="Times New Roman"/>
      <w:i/>
      <w:iCs/>
      <w:color w:val="000000"/>
      <w:sz w:val="22"/>
    </w:rPr>
  </w:style>
  <w:style w:type="paragraph" w:styleId="EndnoteText">
    <w:name w:val="endnote text"/>
    <w:basedOn w:val="Normal"/>
    <w:link w:val="EndnoteTextChar"/>
    <w:uiPriority w:val="99"/>
    <w:unhideWhenUsed/>
    <w:rsid w:val="00082A22"/>
    <w:pPr>
      <w:spacing w:after="0"/>
    </w:pPr>
    <w:rPr>
      <w:rFonts w:ascii="Calibri" w:eastAsia="Times New Roman" w:hAnsi="Calibri" w:cs="Times New Roman"/>
      <w:sz w:val="20"/>
      <w:szCs w:val="20"/>
    </w:rPr>
  </w:style>
  <w:style w:type="character" w:customStyle="1" w:styleId="EndnoteTextChar">
    <w:name w:val="Endnote Text Char"/>
    <w:basedOn w:val="DefaultParagraphFont"/>
    <w:link w:val="EndnoteText"/>
    <w:uiPriority w:val="99"/>
    <w:rsid w:val="00082A22"/>
    <w:rPr>
      <w:rFonts w:ascii="Calibri" w:eastAsia="Times New Roman" w:hAnsi="Calibri" w:cs="Times New Roman"/>
      <w:sz w:val="20"/>
      <w:szCs w:val="20"/>
      <w:lang w:eastAsia="en-AU"/>
    </w:rPr>
  </w:style>
  <w:style w:type="character" w:styleId="EndnoteReference">
    <w:name w:val="endnote reference"/>
    <w:uiPriority w:val="99"/>
    <w:unhideWhenUsed/>
    <w:rsid w:val="00082A22"/>
    <w:rPr>
      <w:vertAlign w:val="superscript"/>
    </w:rPr>
  </w:style>
  <w:style w:type="paragraph" w:customStyle="1" w:styleId="para">
    <w:name w:val="para"/>
    <w:basedOn w:val="Normal"/>
    <w:rsid w:val="00601F48"/>
    <w:pPr>
      <w:spacing w:before="100" w:beforeAutospacing="1" w:after="100" w:afterAutospacing="1"/>
    </w:pPr>
    <w:rPr>
      <w:rFonts w:eastAsia="Times New Roman" w:cs="Times New Roman"/>
      <w:szCs w:val="24"/>
    </w:rPr>
  </w:style>
  <w:style w:type="paragraph" w:styleId="Caption">
    <w:name w:val="caption"/>
    <w:basedOn w:val="Normal"/>
    <w:next w:val="Normal"/>
    <w:link w:val="CaptionChar"/>
    <w:uiPriority w:val="35"/>
    <w:unhideWhenUsed/>
    <w:rsid w:val="004C215E"/>
    <w:rPr>
      <w:rFonts w:eastAsia="Times New Roman" w:cs="Times New Roman"/>
      <w:b/>
      <w:bCs/>
      <w:szCs w:val="18"/>
    </w:rPr>
  </w:style>
  <w:style w:type="paragraph" w:customStyle="1" w:styleId="ListBullet1">
    <w:name w:val="List Bullet1"/>
    <w:basedOn w:val="Normal"/>
    <w:uiPriority w:val="5"/>
    <w:rsid w:val="004C215E"/>
    <w:pPr>
      <w:numPr>
        <w:numId w:val="5"/>
      </w:numPr>
      <w:shd w:val="clear" w:color="auto" w:fill="FFFFFF" w:themeFill="background1"/>
      <w:spacing w:before="120" w:after="120" w:line="260" w:lineRule="exact"/>
      <w:contextualSpacing/>
    </w:pPr>
    <w:rPr>
      <w:rFonts w:ascii="Arial" w:eastAsia="Times New Roman" w:hAnsi="Arial" w:cs="Arial"/>
      <w:sz w:val="20"/>
      <w:szCs w:val="20"/>
    </w:rPr>
  </w:style>
  <w:style w:type="character" w:customStyle="1" w:styleId="Bold">
    <w:name w:val="Bold"/>
    <w:uiPriority w:val="99"/>
    <w:rsid w:val="004C215E"/>
    <w:rPr>
      <w:b/>
      <w:lang w:val="en-AU" w:eastAsia="en-US"/>
    </w:rPr>
  </w:style>
  <w:style w:type="character" w:customStyle="1" w:styleId="Italic">
    <w:name w:val="Italic"/>
    <w:uiPriority w:val="3"/>
    <w:rsid w:val="0009621D"/>
    <w:rPr>
      <w:i/>
      <w:lang w:val="en-AU" w:eastAsia="en-US"/>
    </w:rPr>
  </w:style>
  <w:style w:type="character" w:customStyle="1" w:styleId="HighlightOrange">
    <w:name w:val="Highlight Orange"/>
    <w:basedOn w:val="DefaultParagraphFont"/>
    <w:uiPriority w:val="75"/>
    <w:rsid w:val="004C215E"/>
    <w:rPr>
      <w:color w:val="F47B28"/>
    </w:rPr>
  </w:style>
  <w:style w:type="table" w:customStyle="1" w:styleId="Boxorange">
    <w:name w:val="Box orange"/>
    <w:basedOn w:val="TableNormal"/>
    <w:uiPriority w:val="99"/>
    <w:qFormat/>
    <w:rsid w:val="0009621D"/>
    <w:pPr>
      <w:spacing w:after="0" w:line="240" w:lineRule="auto"/>
    </w:pPr>
    <w:rPr>
      <w:rFonts w:eastAsia="Times New Roman" w:cs="Times New Roman"/>
      <w:sz w:val="20"/>
      <w:szCs w:val="20"/>
    </w:rPr>
    <w:tblPr>
      <w:tblInd w:w="113" w:type="dxa"/>
      <w:tblBorders>
        <w:top w:val="single" w:sz="18" w:space="0" w:color="F47B28"/>
        <w:left w:val="single" w:sz="18" w:space="0" w:color="F47B28"/>
        <w:bottom w:val="single" w:sz="18" w:space="0" w:color="F47B28"/>
        <w:right w:val="single" w:sz="18" w:space="0" w:color="F47B28"/>
      </w:tblBorders>
    </w:tblPr>
    <w:trPr>
      <w:cantSplit/>
    </w:trPr>
  </w:style>
  <w:style w:type="character" w:customStyle="1" w:styleId="Highlighter">
    <w:name w:val="Highlighter"/>
    <w:basedOn w:val="DefaultParagraphFont"/>
    <w:uiPriority w:val="21"/>
    <w:rsid w:val="00CA142D"/>
    <w:rPr>
      <w:bdr w:val="none" w:sz="0" w:space="0" w:color="auto"/>
      <w:shd w:val="clear" w:color="auto" w:fill="FFFF00"/>
    </w:rPr>
  </w:style>
  <w:style w:type="character" w:styleId="IntenseReference">
    <w:name w:val="Intense Reference"/>
    <w:basedOn w:val="DefaultParagraphFont"/>
    <w:uiPriority w:val="32"/>
    <w:rsid w:val="004C215E"/>
    <w:rPr>
      <w:b/>
      <w:bCs/>
      <w:i/>
      <w:smallCaps/>
      <w:color w:val="C0504D" w:themeColor="accent2"/>
      <w:spacing w:val="5"/>
      <w:u w:val="none"/>
    </w:rPr>
  </w:style>
  <w:style w:type="paragraph" w:styleId="TOC5">
    <w:name w:val="toc 5"/>
    <w:basedOn w:val="Normal"/>
    <w:next w:val="Normal"/>
    <w:autoRedefine/>
    <w:uiPriority w:val="39"/>
    <w:unhideWhenUsed/>
    <w:rsid w:val="00D35EC1"/>
    <w:pPr>
      <w:spacing w:after="100"/>
      <w:ind w:left="880"/>
    </w:pPr>
    <w:rPr>
      <w:rFonts w:eastAsiaTheme="minorEastAsia"/>
      <w:sz w:val="22"/>
    </w:rPr>
  </w:style>
  <w:style w:type="paragraph" w:styleId="TOC6">
    <w:name w:val="toc 6"/>
    <w:basedOn w:val="Normal"/>
    <w:next w:val="Normal"/>
    <w:autoRedefine/>
    <w:uiPriority w:val="39"/>
    <w:unhideWhenUsed/>
    <w:rsid w:val="00D35EC1"/>
    <w:pPr>
      <w:spacing w:after="100"/>
      <w:ind w:left="1100"/>
    </w:pPr>
    <w:rPr>
      <w:rFonts w:eastAsiaTheme="minorEastAsia"/>
      <w:sz w:val="22"/>
    </w:rPr>
  </w:style>
  <w:style w:type="paragraph" w:styleId="TOC7">
    <w:name w:val="toc 7"/>
    <w:basedOn w:val="Normal"/>
    <w:next w:val="Normal"/>
    <w:autoRedefine/>
    <w:uiPriority w:val="39"/>
    <w:unhideWhenUsed/>
    <w:rsid w:val="00D35EC1"/>
    <w:pPr>
      <w:spacing w:after="100"/>
      <w:ind w:left="1320"/>
    </w:pPr>
    <w:rPr>
      <w:rFonts w:eastAsiaTheme="minorEastAsia"/>
      <w:sz w:val="22"/>
    </w:rPr>
  </w:style>
  <w:style w:type="paragraph" w:styleId="TOC8">
    <w:name w:val="toc 8"/>
    <w:basedOn w:val="Normal"/>
    <w:next w:val="Normal"/>
    <w:autoRedefine/>
    <w:uiPriority w:val="39"/>
    <w:unhideWhenUsed/>
    <w:rsid w:val="00D35EC1"/>
    <w:pPr>
      <w:spacing w:after="100"/>
      <w:ind w:left="1540"/>
    </w:pPr>
    <w:rPr>
      <w:rFonts w:eastAsiaTheme="minorEastAsia"/>
      <w:sz w:val="22"/>
    </w:rPr>
  </w:style>
  <w:style w:type="paragraph" w:styleId="TOC9">
    <w:name w:val="toc 9"/>
    <w:basedOn w:val="Normal"/>
    <w:next w:val="Normal"/>
    <w:autoRedefine/>
    <w:uiPriority w:val="39"/>
    <w:unhideWhenUsed/>
    <w:rsid w:val="00D35EC1"/>
    <w:pPr>
      <w:spacing w:after="100"/>
      <w:ind w:left="1760"/>
    </w:pPr>
    <w:rPr>
      <w:rFonts w:eastAsiaTheme="minorEastAsia"/>
      <w:sz w:val="22"/>
    </w:rPr>
  </w:style>
  <w:style w:type="table" w:styleId="LightGrid-Accent4">
    <w:name w:val="Light Grid Accent 4"/>
    <w:basedOn w:val="TableNormal"/>
    <w:uiPriority w:val="62"/>
    <w:rsid w:val="005B1FB7"/>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1">
    <w:name w:val="Light Grid Accent 1"/>
    <w:basedOn w:val="TableNormal"/>
    <w:uiPriority w:val="62"/>
    <w:rsid w:val="005B1FB7"/>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form-strength">
    <w:name w:val="form-strength"/>
    <w:basedOn w:val="DefaultParagraphFont"/>
    <w:rsid w:val="005B1FB7"/>
  </w:style>
  <w:style w:type="table" w:styleId="LightGrid-Accent6">
    <w:name w:val="Light Grid Accent 6"/>
    <w:basedOn w:val="TableNormal"/>
    <w:uiPriority w:val="62"/>
    <w:rsid w:val="005B1FB7"/>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Grid-Accent3">
    <w:name w:val="Light Grid Accent 3"/>
    <w:basedOn w:val="TableNormal"/>
    <w:uiPriority w:val="62"/>
    <w:rsid w:val="005B1FB7"/>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character" w:styleId="Emphasis">
    <w:name w:val="Emphasis"/>
    <w:basedOn w:val="DefaultParagraphFont"/>
    <w:uiPriority w:val="20"/>
    <w:rsid w:val="004C215E"/>
    <w:rPr>
      <w:i/>
      <w:iCs/>
    </w:rPr>
  </w:style>
  <w:style w:type="paragraph" w:customStyle="1" w:styleId="Heading51">
    <w:name w:val="Heading 51"/>
    <w:basedOn w:val="Normal"/>
    <w:link w:val="heading5Char0"/>
    <w:rsid w:val="004C215E"/>
    <w:pPr>
      <w:keepNext/>
      <w:keepLines/>
      <w:spacing w:before="120" w:after="120"/>
    </w:pPr>
    <w:rPr>
      <w:rFonts w:asciiTheme="majorHAnsi" w:hAnsiTheme="majorHAnsi"/>
      <w:b/>
      <w:i/>
      <w:szCs w:val="24"/>
    </w:rPr>
  </w:style>
  <w:style w:type="character" w:customStyle="1" w:styleId="heading5Char0">
    <w:name w:val="heading 5 Char"/>
    <w:basedOn w:val="DefaultParagraphFont"/>
    <w:link w:val="Heading51"/>
    <w:rsid w:val="004C215E"/>
    <w:rPr>
      <w:rFonts w:asciiTheme="majorHAnsi" w:hAnsiTheme="majorHAnsi"/>
      <w:b/>
      <w:i/>
      <w:szCs w:val="24"/>
    </w:rPr>
  </w:style>
  <w:style w:type="paragraph" w:customStyle="1" w:styleId="TableText">
    <w:name w:val="Table Text"/>
    <w:basedOn w:val="Normal"/>
    <w:link w:val="TableTextChar"/>
    <w:uiPriority w:val="1"/>
    <w:rsid w:val="000869D0"/>
    <w:pPr>
      <w:shd w:val="clear" w:color="auto" w:fill="FFFFFF" w:themeFill="background1"/>
      <w:spacing w:before="60" w:after="60"/>
    </w:pPr>
    <w:rPr>
      <w:rFonts w:eastAsia="Times New Roman" w:cs="Arial"/>
      <w:sz w:val="20"/>
      <w:szCs w:val="20"/>
    </w:rPr>
  </w:style>
  <w:style w:type="character" w:customStyle="1" w:styleId="TableTextChar">
    <w:name w:val="Table Text Char"/>
    <w:basedOn w:val="DefaultParagraphFont"/>
    <w:link w:val="TableText"/>
    <w:uiPriority w:val="1"/>
    <w:rsid w:val="000869D0"/>
    <w:rPr>
      <w:rFonts w:asciiTheme="minorHAnsi" w:eastAsia="Times New Roman" w:hAnsiTheme="minorHAnsi" w:cs="Arial"/>
      <w:sz w:val="20"/>
      <w:szCs w:val="20"/>
      <w:shd w:val="clear" w:color="auto" w:fill="FFFFFF" w:themeFill="background1"/>
      <w:lang w:val="en-GB"/>
    </w:rPr>
  </w:style>
  <w:style w:type="paragraph" w:customStyle="1" w:styleId="Tablefootnote">
    <w:name w:val="Table footnote"/>
    <w:basedOn w:val="Normal"/>
    <w:next w:val="TableText"/>
    <w:link w:val="TablefootnoteCharChar"/>
    <w:uiPriority w:val="57"/>
    <w:rsid w:val="00ED25C7"/>
    <w:pPr>
      <w:spacing w:before="60" w:after="60"/>
      <w:ind w:left="426"/>
    </w:pPr>
    <w:rPr>
      <w:rFonts w:ascii="Arial Narrow" w:eastAsia="Times New Roman" w:hAnsi="Arial Narrow" w:cs="Times New Roman"/>
      <w:sz w:val="16"/>
      <w:szCs w:val="20"/>
    </w:rPr>
  </w:style>
  <w:style w:type="character" w:customStyle="1" w:styleId="TablefootnoteCharChar">
    <w:name w:val="Table footnote Char Char"/>
    <w:basedOn w:val="DefaultParagraphFont"/>
    <w:link w:val="Tablefootnote"/>
    <w:uiPriority w:val="57"/>
    <w:rsid w:val="00ED25C7"/>
    <w:rPr>
      <w:rFonts w:ascii="Arial Narrow" w:eastAsia="Times New Roman" w:hAnsi="Arial Narrow" w:cs="Times New Roman"/>
      <w:sz w:val="16"/>
      <w:szCs w:val="20"/>
    </w:rPr>
  </w:style>
  <w:style w:type="paragraph" w:customStyle="1" w:styleId="Tabletitle">
    <w:name w:val="Table title"/>
    <w:basedOn w:val="Normal"/>
    <w:next w:val="TableText"/>
    <w:uiPriority w:val="99"/>
    <w:rsid w:val="00ED25C7"/>
    <w:pPr>
      <w:keepNext/>
      <w:numPr>
        <w:numId w:val="2"/>
      </w:numPr>
      <w:shd w:val="clear" w:color="auto" w:fill="FFFFFF" w:themeFill="background1"/>
      <w:spacing w:before="240" w:after="120" w:line="260" w:lineRule="exact"/>
      <w:outlineLvl w:val="2"/>
    </w:pPr>
    <w:rPr>
      <w:rFonts w:ascii="Arial Narrow" w:eastAsia="Times New Roman" w:hAnsi="Arial Narrow" w:cs="Arial"/>
      <w:b/>
      <w:caps/>
      <w:color w:val="4B306A"/>
      <w:sz w:val="16"/>
      <w:szCs w:val="20"/>
    </w:rPr>
  </w:style>
  <w:style w:type="table" w:customStyle="1" w:styleId="TableNPSstandard">
    <w:name w:val="Table NPS standard"/>
    <w:basedOn w:val="TableNormal"/>
    <w:rsid w:val="00ED25C7"/>
    <w:pPr>
      <w:spacing w:before="60" w:after="0" w:line="264" w:lineRule="auto"/>
    </w:pPr>
    <w:rPr>
      <w:rFonts w:ascii="Arial Narrow" w:eastAsia="Times New Roman" w:hAnsi="Arial Narrow" w:cs="Times New Roman"/>
      <w:sz w:val="20"/>
      <w:szCs w:val="20"/>
    </w:rPr>
    <w:tblPr>
      <w:tblInd w:w="142" w:type="dxa"/>
      <w:tblBorders>
        <w:bottom w:val="single" w:sz="12" w:space="0" w:color="401E6C"/>
        <w:insideH w:val="single" w:sz="4" w:space="0" w:color="C0C0C0"/>
        <w:insideV w:val="single" w:sz="8" w:space="0" w:color="FFFFFF"/>
      </w:tblBorders>
      <w:tblCellMar>
        <w:top w:w="28" w:type="dxa"/>
        <w:bottom w:w="28" w:type="dxa"/>
      </w:tblCellMar>
    </w:tblPr>
    <w:trPr>
      <w:cantSplit/>
    </w:trPr>
    <w:tblStylePr w:type="firstRow">
      <w:pPr>
        <w:jc w:val="left"/>
      </w:pPr>
      <w:rPr>
        <w:b/>
        <w:sz w:val="20"/>
      </w:rPr>
      <w:tblPr/>
      <w:trPr>
        <w:cantSplit w:val="0"/>
        <w:tblHeader/>
      </w:trPr>
      <w:tcPr>
        <w:tcBorders>
          <w:top w:val="nil"/>
          <w:left w:val="nil"/>
          <w:bottom w:val="single" w:sz="12" w:space="0" w:color="4B306A"/>
          <w:right w:val="nil"/>
          <w:insideH w:val="nil"/>
          <w:insideV w:val="nil"/>
          <w:tl2br w:val="nil"/>
          <w:tr2bl w:val="nil"/>
        </w:tcBorders>
        <w:vAlign w:val="bottom"/>
      </w:tcPr>
    </w:tblStylePr>
    <w:tblStylePr w:type="lastRow">
      <w:rPr>
        <w:b/>
      </w:rPr>
      <w:tblPr/>
      <w:tcPr>
        <w:tcBorders>
          <w:top w:val="nil"/>
          <w:left w:val="nil"/>
          <w:bottom w:val="single" w:sz="12" w:space="0" w:color="401E6C"/>
          <w:right w:val="nil"/>
          <w:insideH w:val="nil"/>
          <w:insideV w:val="single" w:sz="8" w:space="0" w:color="FFFFFF"/>
          <w:tl2br w:val="nil"/>
          <w:tr2bl w:val="nil"/>
        </w:tcBorders>
      </w:tcPr>
    </w:tblStylePr>
  </w:style>
  <w:style w:type="paragraph" w:customStyle="1" w:styleId="Tablebullet">
    <w:name w:val="Table bullet"/>
    <w:basedOn w:val="Normal"/>
    <w:uiPriority w:val="53"/>
    <w:rsid w:val="00ED25C7"/>
    <w:pPr>
      <w:numPr>
        <w:numId w:val="3"/>
      </w:numPr>
      <w:spacing w:after="0"/>
    </w:pPr>
    <w:rPr>
      <w:rFonts w:ascii="Arial Narrow" w:eastAsia="Times New Roman" w:hAnsi="Arial Narrow" w:cs="Times New Roman"/>
      <w:sz w:val="20"/>
      <w:szCs w:val="24"/>
    </w:rPr>
  </w:style>
  <w:style w:type="character" w:customStyle="1" w:styleId="Superscript">
    <w:name w:val="Superscript"/>
    <w:uiPriority w:val="18"/>
    <w:rsid w:val="00ED25C7"/>
    <w:rPr>
      <w:vertAlign w:val="superscript"/>
    </w:rPr>
  </w:style>
  <w:style w:type="paragraph" w:customStyle="1" w:styleId="ReportSubtitle">
    <w:name w:val="Report Subtitle"/>
    <w:basedOn w:val="Normal"/>
    <w:rsid w:val="00C212D4"/>
    <w:pPr>
      <w:spacing w:after="240"/>
      <w:ind w:left="720"/>
      <w:jc w:val="right"/>
    </w:pPr>
    <w:rPr>
      <w:rFonts w:ascii="Arial Bold" w:eastAsia="Times New Roman" w:hAnsi="Arial Bold" w:cs="Times New Roman"/>
      <w:b/>
      <w:bCs/>
      <w:color w:val="000000"/>
      <w:sz w:val="40"/>
      <w:szCs w:val="20"/>
    </w:rPr>
  </w:style>
  <w:style w:type="character" w:customStyle="1" w:styleId="label-">
    <w:name w:val="label-"/>
    <w:basedOn w:val="DefaultParagraphFont"/>
    <w:rsid w:val="00AF0471"/>
  </w:style>
  <w:style w:type="table" w:customStyle="1" w:styleId="TableGrid2">
    <w:name w:val="Table Grid2"/>
    <w:basedOn w:val="TableNormal"/>
    <w:next w:val="TableGrid"/>
    <w:uiPriority w:val="59"/>
    <w:rsid w:val="00325CA6"/>
    <w:pPr>
      <w:spacing w:after="0" w:line="240" w:lineRule="auto"/>
    </w:pPr>
    <w:rPr>
      <w:rFonts w:asciiTheme="minorHAnsi" w:hAnsiTheme="minorHAnsi"/>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3">
    <w:name w:val="Table Grid3"/>
    <w:basedOn w:val="TableNormal"/>
    <w:next w:val="TableGrid"/>
    <w:rsid w:val="00B65026"/>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B63B31"/>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sid w:val="00B63B31"/>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rsid w:val="00073BF6"/>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uiPriority w:val="59"/>
    <w:rsid w:val="00E4187D"/>
    <w:pPr>
      <w:spacing w:after="0" w:line="240" w:lineRule="auto"/>
    </w:pPr>
    <w:rPr>
      <w:rFonts w:ascii="Calibri" w:eastAsia="Calibri" w:hAnsi="Calibri" w:cs="Times New Roman"/>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ListParagraphChar">
    <w:name w:val="List Paragraph Char"/>
    <w:aliases w:val="Footnote Char,BulletPoints Char,List Paragraph1 Char,Recommendation Char"/>
    <w:basedOn w:val="DefaultParagraphFont"/>
    <w:link w:val="ListParagraph"/>
    <w:uiPriority w:val="34"/>
    <w:locked/>
    <w:rsid w:val="004C215E"/>
    <w:rPr>
      <w:rFonts w:ascii="Cambria" w:hAnsi="Cambria"/>
    </w:rPr>
  </w:style>
  <w:style w:type="table" w:customStyle="1" w:styleId="GridTable1Light1">
    <w:name w:val="Grid Table 1 Light1"/>
    <w:basedOn w:val="TableNormal"/>
    <w:uiPriority w:val="46"/>
    <w:rsid w:val="00C83EE8"/>
    <w:pPr>
      <w:spacing w:after="0" w:line="240" w:lineRule="auto"/>
    </w:pPr>
    <w:rPr>
      <w:rFonts w:asciiTheme="minorHAnsi" w:hAnsiTheme="minorHAnsi"/>
      <w:sz w:val="22"/>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BodyText">
    <w:name w:val="Body Text"/>
    <w:basedOn w:val="Normal"/>
    <w:link w:val="BodyTextChar"/>
    <w:unhideWhenUsed/>
    <w:rsid w:val="008B5A16"/>
  </w:style>
  <w:style w:type="character" w:customStyle="1" w:styleId="BodyTextChar">
    <w:name w:val="Body Text Char"/>
    <w:basedOn w:val="DefaultParagraphFont"/>
    <w:link w:val="BodyText"/>
    <w:rsid w:val="008B5A16"/>
    <w:rPr>
      <w:rFonts w:asciiTheme="minorHAnsi" w:hAnsiTheme="minorHAnsi"/>
      <w:lang w:val="en-GB"/>
    </w:rPr>
  </w:style>
  <w:style w:type="paragraph" w:customStyle="1" w:styleId="BulletLast">
    <w:name w:val="Bullet Last"/>
    <w:basedOn w:val="BodyText"/>
    <w:link w:val="BulletLastChar"/>
    <w:rsid w:val="00470C5B"/>
    <w:pPr>
      <w:numPr>
        <w:numId w:val="8"/>
      </w:numPr>
      <w:ind w:left="714" w:right="57" w:hanging="357"/>
    </w:pPr>
    <w:rPr>
      <w:rFonts w:eastAsiaTheme="minorEastAsia" w:cs="Calibri"/>
      <w:iCs/>
      <w:szCs w:val="24"/>
      <w:lang w:val="en-US"/>
    </w:rPr>
  </w:style>
  <w:style w:type="paragraph" w:customStyle="1" w:styleId="oldTablefooter">
    <w:name w:val="old Table footer"/>
    <w:basedOn w:val="Normal"/>
    <w:link w:val="oldTablefooterChar"/>
    <w:rsid w:val="00470C5B"/>
    <w:pPr>
      <w:spacing w:after="0"/>
      <w:ind w:right="57"/>
      <w:contextualSpacing/>
    </w:pPr>
    <w:rPr>
      <w:rFonts w:eastAsiaTheme="minorEastAsia" w:cs="Arial"/>
      <w:sz w:val="18"/>
      <w:szCs w:val="18"/>
      <w:lang w:val="en-US"/>
    </w:rPr>
  </w:style>
  <w:style w:type="character" w:customStyle="1" w:styleId="oldTablefooterChar">
    <w:name w:val="old Table footer Char"/>
    <w:basedOn w:val="DefaultParagraphFont"/>
    <w:link w:val="oldTablefooter"/>
    <w:rsid w:val="00470C5B"/>
    <w:rPr>
      <w:rFonts w:asciiTheme="minorHAnsi" w:eastAsiaTheme="minorEastAsia" w:hAnsiTheme="minorHAnsi" w:cs="Arial"/>
      <w:sz w:val="18"/>
      <w:szCs w:val="18"/>
      <w:lang w:val="en-US"/>
    </w:rPr>
  </w:style>
  <w:style w:type="paragraph" w:customStyle="1" w:styleId="MDSubsubheding">
    <w:name w:val="MD_Sub sub heding"/>
    <w:basedOn w:val="Heading3"/>
    <w:next w:val="Normal"/>
    <w:qFormat/>
    <w:rsid w:val="007F6ACD"/>
    <w:pPr>
      <w:spacing w:before="0" w:after="200"/>
    </w:pPr>
  </w:style>
  <w:style w:type="paragraph" w:customStyle="1" w:styleId="TableFooter">
    <w:name w:val="Table Footer"/>
    <w:basedOn w:val="Normal"/>
    <w:link w:val="TableFooterChar"/>
    <w:qFormat/>
    <w:rsid w:val="00E315CC"/>
    <w:pPr>
      <w:contextualSpacing/>
    </w:pPr>
    <w:rPr>
      <w:rFonts w:eastAsia="Calibri"/>
      <w:sz w:val="20"/>
      <w:szCs w:val="20"/>
      <w:lang w:val="en-AU"/>
    </w:rPr>
  </w:style>
  <w:style w:type="character" w:customStyle="1" w:styleId="TableFooterChar">
    <w:name w:val="Table Footer Char"/>
    <w:link w:val="TableFooter"/>
    <w:rsid w:val="00E315CC"/>
    <w:rPr>
      <w:rFonts w:asciiTheme="minorHAnsi" w:eastAsia="Calibri" w:hAnsiTheme="minorHAnsi" w:cstheme="minorHAnsi"/>
      <w:sz w:val="20"/>
      <w:szCs w:val="20"/>
    </w:rPr>
  </w:style>
  <w:style w:type="paragraph" w:customStyle="1" w:styleId="TableHeader">
    <w:name w:val="Table Header"/>
    <w:basedOn w:val="Normal"/>
    <w:next w:val="Normal"/>
    <w:uiPriority w:val="3"/>
    <w:rsid w:val="00E7072A"/>
    <w:pPr>
      <w:widowControl w:val="0"/>
      <w:spacing w:before="60" w:after="60"/>
      <w:contextualSpacing/>
    </w:pPr>
    <w:rPr>
      <w:rFonts w:eastAsia="Times New Roman"/>
      <w:b/>
      <w:snapToGrid w:val="0"/>
      <w:sz w:val="20"/>
      <w:szCs w:val="20"/>
    </w:rPr>
  </w:style>
  <w:style w:type="paragraph" w:customStyle="1" w:styleId="TableFigNote">
    <w:name w:val="TableFigNote"/>
    <w:basedOn w:val="Normal"/>
    <w:rsid w:val="00470C5B"/>
    <w:pPr>
      <w:spacing w:after="0"/>
      <w:ind w:right="57"/>
      <w:contextualSpacing/>
    </w:pPr>
    <w:rPr>
      <w:rFonts w:eastAsiaTheme="minorEastAsia" w:cs="Calibri"/>
      <w:sz w:val="18"/>
      <w:szCs w:val="20"/>
    </w:rPr>
  </w:style>
  <w:style w:type="paragraph" w:customStyle="1" w:styleId="TableFigNoteLast">
    <w:name w:val="TableFigNote Last"/>
    <w:basedOn w:val="Normal"/>
    <w:rsid w:val="00470C5B"/>
    <w:pPr>
      <w:spacing w:after="360"/>
      <w:ind w:right="57"/>
      <w:contextualSpacing/>
    </w:pPr>
    <w:rPr>
      <w:rFonts w:eastAsiaTheme="minorEastAsia" w:cs="Calibri"/>
      <w:sz w:val="18"/>
      <w:szCs w:val="20"/>
    </w:rPr>
  </w:style>
  <w:style w:type="paragraph" w:customStyle="1" w:styleId="TableHeading">
    <w:name w:val="TableHeading"/>
    <w:basedOn w:val="MDFiguretitle"/>
    <w:qFormat/>
    <w:rsid w:val="00E7072A"/>
    <w:rPr>
      <w:sz w:val="20"/>
    </w:rPr>
  </w:style>
  <w:style w:type="paragraph" w:customStyle="1" w:styleId="TableName">
    <w:name w:val="TableName"/>
    <w:basedOn w:val="Normal"/>
    <w:qFormat/>
    <w:rsid w:val="00470C5B"/>
    <w:pPr>
      <w:keepNext/>
      <w:spacing w:after="240"/>
      <w:ind w:left="1418" w:right="57" w:hanging="1418"/>
      <w:contextualSpacing/>
    </w:pPr>
    <w:rPr>
      <w:rFonts w:ascii="Franklin Gothic Medium" w:eastAsiaTheme="minorEastAsia" w:hAnsi="Franklin Gothic Medium" w:cs="Calibri"/>
      <w:sz w:val="22"/>
      <w:szCs w:val="20"/>
    </w:rPr>
  </w:style>
  <w:style w:type="paragraph" w:customStyle="1" w:styleId="TableNotes">
    <w:name w:val="TableNotes"/>
    <w:basedOn w:val="TableFooter"/>
    <w:qFormat/>
    <w:rsid w:val="00470C5B"/>
    <w:pPr>
      <w:spacing w:after="0"/>
    </w:pPr>
  </w:style>
  <w:style w:type="paragraph" w:customStyle="1" w:styleId="V50Heading1nonumbers">
    <w:name w:val="V5.0 Heading 1 no numbers"/>
    <w:basedOn w:val="Heading1"/>
    <w:rsid w:val="00470C5B"/>
    <w:pPr>
      <w:spacing w:before="400"/>
      <w:ind w:right="57"/>
      <w:contextualSpacing/>
      <w:jc w:val="left"/>
    </w:pPr>
    <w:rPr>
      <w:bCs w:val="0"/>
      <w:color w:val="auto"/>
      <w:szCs w:val="28"/>
    </w:rPr>
  </w:style>
  <w:style w:type="paragraph" w:customStyle="1" w:styleId="V50Heading2nonumbers">
    <w:name w:val="V5.0 Heading 2 no numbers"/>
    <w:basedOn w:val="Normal"/>
    <w:rsid w:val="00470C5B"/>
    <w:pPr>
      <w:pageBreakBefore/>
      <w:spacing w:before="480" w:after="240"/>
      <w:ind w:right="57"/>
      <w:contextualSpacing/>
      <w:jc w:val="center"/>
      <w:outlineLvl w:val="0"/>
    </w:pPr>
    <w:rPr>
      <w:rFonts w:eastAsiaTheme="minorEastAsia" w:cs="Calibri"/>
      <w:b/>
      <w:color w:val="548DD4" w:themeColor="text2" w:themeTint="99"/>
      <w:sz w:val="40"/>
      <w:szCs w:val="40"/>
    </w:rPr>
  </w:style>
  <w:style w:type="paragraph" w:customStyle="1" w:styleId="MDSubheading">
    <w:name w:val="MD_Subheading"/>
    <w:basedOn w:val="Heading2"/>
    <w:next w:val="Normal"/>
    <w:link w:val="MDSubheadingChar"/>
    <w:qFormat/>
    <w:rsid w:val="00EB2E6F"/>
    <w:pPr>
      <w:spacing w:before="240" w:after="200"/>
    </w:pPr>
    <w:rPr>
      <w:rFonts w:ascii="Calibri" w:hAnsi="Calibri"/>
      <w:iCs/>
      <w:color w:val="548DD4" w:themeColor="text2" w:themeTint="99"/>
      <w:sz w:val="32"/>
      <w:szCs w:val="32"/>
    </w:rPr>
  </w:style>
  <w:style w:type="character" w:customStyle="1" w:styleId="MDSubheadingChar">
    <w:name w:val="MD_Subheading Char"/>
    <w:basedOn w:val="DefaultParagraphFont"/>
    <w:link w:val="MDSubheading"/>
    <w:rsid w:val="00EB2E6F"/>
    <w:rPr>
      <w:rFonts w:ascii="Calibri" w:eastAsiaTheme="majorEastAsia" w:hAnsi="Calibri" w:cstheme="majorBidi"/>
      <w:b/>
      <w:bCs/>
      <w:iCs/>
      <w:color w:val="548DD4" w:themeColor="text2" w:themeTint="99"/>
      <w:sz w:val="32"/>
      <w:szCs w:val="32"/>
      <w:lang w:val="en-GB"/>
    </w:rPr>
  </w:style>
  <w:style w:type="paragraph" w:customStyle="1" w:styleId="V50InstructionsBullets">
    <w:name w:val="V5.0 Instructions Bullets"/>
    <w:basedOn w:val="MDSubheading"/>
    <w:rsid w:val="00470C5B"/>
    <w:pPr>
      <w:numPr>
        <w:numId w:val="6"/>
      </w:numPr>
      <w:spacing w:before="0" w:after="0"/>
      <w:ind w:left="360"/>
    </w:pPr>
  </w:style>
  <w:style w:type="paragraph" w:customStyle="1" w:styleId="MDTabCaption">
    <w:name w:val="MD_TabCaption"/>
    <w:basedOn w:val="TableName"/>
    <w:next w:val="Normal"/>
    <w:link w:val="MDTabCaptionChar"/>
    <w:qFormat/>
    <w:rsid w:val="00B67975"/>
    <w:pPr>
      <w:spacing w:before="200" w:after="20"/>
      <w:ind w:left="0" w:firstLine="0"/>
    </w:pPr>
    <w:rPr>
      <w:rFonts w:asciiTheme="minorHAnsi" w:hAnsiTheme="minorHAnsi"/>
      <w:b/>
      <w:sz w:val="24"/>
      <w:szCs w:val="24"/>
      <w:lang w:val="en-US" w:eastAsia="en-US"/>
    </w:rPr>
  </w:style>
  <w:style w:type="character" w:customStyle="1" w:styleId="MDTabCaptionChar">
    <w:name w:val="MD_TabCaption Char"/>
    <w:basedOn w:val="DefaultParagraphFont"/>
    <w:link w:val="MDTabCaption"/>
    <w:rsid w:val="00B67975"/>
    <w:rPr>
      <w:rFonts w:asciiTheme="minorHAnsi" w:eastAsiaTheme="minorEastAsia" w:hAnsiTheme="minorHAnsi" w:cs="Calibri"/>
      <w:b/>
      <w:szCs w:val="24"/>
      <w:lang w:val="en-US" w:eastAsia="en-US"/>
    </w:rPr>
  </w:style>
  <w:style w:type="paragraph" w:customStyle="1" w:styleId="V50Tablename">
    <w:name w:val="V5.0 Table name"/>
    <w:basedOn w:val="MDTabCaption"/>
    <w:link w:val="V50TablenameChar"/>
    <w:rsid w:val="00470C5B"/>
    <w:rPr>
      <w:b w:val="0"/>
    </w:rPr>
  </w:style>
  <w:style w:type="character" w:customStyle="1" w:styleId="V50TablenameChar">
    <w:name w:val="V5.0 Table name Char"/>
    <w:basedOn w:val="DefaultParagraphFont"/>
    <w:link w:val="V50Tablename"/>
    <w:rsid w:val="00470C5B"/>
    <w:rPr>
      <w:rFonts w:asciiTheme="minorHAnsi" w:hAnsiTheme="minorHAnsi"/>
      <w:b/>
      <w:sz w:val="20"/>
      <w:szCs w:val="24"/>
      <w:lang w:val="en-US" w:eastAsia="en-US"/>
    </w:rPr>
  </w:style>
  <w:style w:type="paragraph" w:customStyle="1" w:styleId="V50Tablenote">
    <w:name w:val="V5.0 Tablenote"/>
    <w:basedOn w:val="MDTabCaption"/>
    <w:link w:val="V50TablenoteChar"/>
    <w:rsid w:val="00470C5B"/>
    <w:pPr>
      <w:spacing w:after="120"/>
      <w:jc w:val="both"/>
    </w:pPr>
    <w:rPr>
      <w:sz w:val="18"/>
      <w:szCs w:val="18"/>
    </w:rPr>
  </w:style>
  <w:style w:type="character" w:customStyle="1" w:styleId="V50TablenoteChar">
    <w:name w:val="V5.0 Tablenote Char"/>
    <w:basedOn w:val="DefaultParagraphFont"/>
    <w:link w:val="V50Tablenote"/>
    <w:rsid w:val="00470C5B"/>
    <w:rPr>
      <w:rFonts w:asciiTheme="minorHAnsi" w:hAnsiTheme="minorHAnsi"/>
      <w:sz w:val="18"/>
      <w:szCs w:val="18"/>
      <w:lang w:val="en-US" w:eastAsia="en-US"/>
    </w:rPr>
  </w:style>
  <w:style w:type="paragraph" w:customStyle="1" w:styleId="V50TableTextInstruction">
    <w:name w:val="V5.0 TableText Instruction"/>
    <w:basedOn w:val="MDTabCaption"/>
    <w:rsid w:val="00470C5B"/>
    <w:rPr>
      <w:b w:val="0"/>
      <w:color w:val="4BACC6" w:themeColor="accent5"/>
    </w:rPr>
  </w:style>
  <w:style w:type="paragraph" w:customStyle="1" w:styleId="EndNoteBibliographyTitle">
    <w:name w:val="EndNote Bibliography Title"/>
    <w:basedOn w:val="Normal"/>
    <w:link w:val="EndNoteBibliographyTitleChar"/>
    <w:rsid w:val="00470C5B"/>
    <w:pPr>
      <w:spacing w:before="60" w:after="0"/>
      <w:ind w:right="57"/>
      <w:contextualSpacing/>
      <w:jc w:val="center"/>
    </w:pPr>
    <w:rPr>
      <w:rFonts w:ascii="Cambria" w:eastAsiaTheme="minorEastAsia" w:hAnsi="Cambria" w:cs="Calibri"/>
      <w:noProof/>
      <w:szCs w:val="20"/>
      <w:lang w:val="en-US"/>
    </w:rPr>
  </w:style>
  <w:style w:type="character" w:customStyle="1" w:styleId="EndNoteBibliographyTitleChar">
    <w:name w:val="EndNote Bibliography Title Char"/>
    <w:basedOn w:val="DefaultParagraphFont"/>
    <w:link w:val="EndNoteBibliographyTitle"/>
    <w:rsid w:val="00470C5B"/>
    <w:rPr>
      <w:rFonts w:ascii="Cambria" w:eastAsiaTheme="minorEastAsia" w:hAnsi="Cambria" w:cs="Calibri"/>
      <w:noProof/>
      <w:szCs w:val="20"/>
      <w:lang w:val="en-US"/>
    </w:rPr>
  </w:style>
  <w:style w:type="paragraph" w:customStyle="1" w:styleId="EndNoteBibliography">
    <w:name w:val="EndNote Bibliography"/>
    <w:basedOn w:val="Normal"/>
    <w:link w:val="EndNoteBibliographyChar"/>
    <w:rsid w:val="00470C5B"/>
    <w:pPr>
      <w:spacing w:before="60" w:after="60"/>
      <w:ind w:right="57"/>
      <w:contextualSpacing/>
    </w:pPr>
    <w:rPr>
      <w:rFonts w:ascii="Cambria" w:eastAsiaTheme="minorEastAsia" w:hAnsi="Cambria" w:cs="Calibri"/>
      <w:noProof/>
      <w:szCs w:val="20"/>
      <w:lang w:val="en-US"/>
    </w:rPr>
  </w:style>
  <w:style w:type="character" w:customStyle="1" w:styleId="EndNoteBibliographyChar">
    <w:name w:val="EndNote Bibliography Char"/>
    <w:basedOn w:val="DefaultParagraphFont"/>
    <w:link w:val="EndNoteBibliography"/>
    <w:rsid w:val="00470C5B"/>
    <w:rPr>
      <w:rFonts w:ascii="Cambria" w:eastAsiaTheme="minorEastAsia" w:hAnsi="Cambria" w:cs="Calibri"/>
      <w:noProof/>
      <w:szCs w:val="20"/>
      <w:lang w:val="en-US"/>
    </w:rPr>
  </w:style>
  <w:style w:type="paragraph" w:customStyle="1" w:styleId="Bullettext">
    <w:name w:val="Bullet text"/>
    <w:link w:val="BullettextChar"/>
    <w:rsid w:val="00470C5B"/>
    <w:pPr>
      <w:spacing w:before="120" w:after="0"/>
      <w:contextualSpacing/>
      <w:jc w:val="both"/>
    </w:pPr>
    <w:rPr>
      <w:rFonts w:ascii="Cambria" w:eastAsia="Calibri" w:hAnsi="Cambria" w:cs="Times New Roman"/>
      <w:szCs w:val="24"/>
      <w:lang w:eastAsia="en-US"/>
    </w:rPr>
  </w:style>
  <w:style w:type="character" w:customStyle="1" w:styleId="BullettextChar">
    <w:name w:val="Bullet text Char"/>
    <w:link w:val="Bullettext"/>
    <w:rsid w:val="00470C5B"/>
    <w:rPr>
      <w:rFonts w:ascii="Cambria" w:eastAsia="Calibri" w:hAnsi="Cambria" w:cs="Times New Roman"/>
      <w:szCs w:val="24"/>
      <w:lang w:eastAsia="en-US"/>
    </w:rPr>
  </w:style>
  <w:style w:type="character" w:customStyle="1" w:styleId="searchhistory-search-term">
    <w:name w:val="searchhistory-search-term"/>
    <w:basedOn w:val="DefaultParagraphFont"/>
    <w:rsid w:val="00470C5B"/>
  </w:style>
  <w:style w:type="numbering" w:customStyle="1" w:styleId="Headings">
    <w:name w:val="Headings"/>
    <w:uiPriority w:val="99"/>
    <w:rsid w:val="00470C5B"/>
    <w:pPr>
      <w:numPr>
        <w:numId w:val="7"/>
      </w:numPr>
    </w:pPr>
  </w:style>
  <w:style w:type="paragraph" w:customStyle="1" w:styleId="MDFiguretitle">
    <w:name w:val="MD_Figure title"/>
    <w:basedOn w:val="Normal"/>
    <w:next w:val="Normal"/>
    <w:link w:val="MDFiguretitleChar"/>
    <w:qFormat/>
    <w:rsid w:val="00376C8B"/>
    <w:pPr>
      <w:spacing w:before="60" w:after="60"/>
      <w:contextualSpacing/>
    </w:pPr>
    <w:rPr>
      <w:rFonts w:eastAsiaTheme="minorEastAsia" w:cs="Calibri"/>
      <w:b/>
      <w:szCs w:val="24"/>
      <w:lang w:val="en-US"/>
    </w:rPr>
  </w:style>
  <w:style w:type="character" w:customStyle="1" w:styleId="MDFiguretitleChar">
    <w:name w:val="MD_Figure title Char"/>
    <w:basedOn w:val="DefaultParagraphFont"/>
    <w:link w:val="MDFiguretitle"/>
    <w:rsid w:val="00376C8B"/>
    <w:rPr>
      <w:rFonts w:asciiTheme="minorHAnsi" w:eastAsiaTheme="minorEastAsia" w:hAnsiTheme="minorHAnsi" w:cs="Calibri"/>
      <w:b/>
      <w:szCs w:val="24"/>
      <w:lang w:val="en-US"/>
    </w:rPr>
  </w:style>
  <w:style w:type="paragraph" w:customStyle="1" w:styleId="Footnotes">
    <w:name w:val="Footnotes"/>
    <w:basedOn w:val="Normal"/>
    <w:link w:val="FootnotesChar"/>
    <w:qFormat/>
    <w:rsid w:val="00470C5B"/>
    <w:pPr>
      <w:ind w:right="57"/>
      <w:contextualSpacing/>
    </w:pPr>
    <w:rPr>
      <w:rFonts w:eastAsiaTheme="minorEastAsia" w:cs="Calibri"/>
      <w:sz w:val="20"/>
      <w:szCs w:val="20"/>
    </w:rPr>
  </w:style>
  <w:style w:type="character" w:customStyle="1" w:styleId="FootnotesChar">
    <w:name w:val="Footnotes Char"/>
    <w:basedOn w:val="DefaultParagraphFont"/>
    <w:link w:val="Footnotes"/>
    <w:rsid w:val="00470C5B"/>
    <w:rPr>
      <w:rFonts w:asciiTheme="minorHAnsi" w:eastAsiaTheme="minorEastAsia" w:hAnsiTheme="minorHAnsi" w:cs="Calibri"/>
      <w:sz w:val="20"/>
      <w:szCs w:val="20"/>
    </w:rPr>
  </w:style>
  <w:style w:type="paragraph" w:styleId="Title">
    <w:name w:val="Title"/>
    <w:aliases w:val="ToR box"/>
    <w:basedOn w:val="Normal"/>
    <w:next w:val="Normal"/>
    <w:link w:val="TitleChar"/>
    <w:uiPriority w:val="7"/>
    <w:rsid w:val="00470C5B"/>
    <w:pPr>
      <w:pBdr>
        <w:top w:val="single" w:sz="4" w:space="1" w:color="auto"/>
        <w:left w:val="single" w:sz="4" w:space="4" w:color="auto"/>
        <w:bottom w:val="single" w:sz="4" w:space="1" w:color="auto"/>
        <w:right w:val="single" w:sz="4" w:space="4" w:color="auto"/>
      </w:pBdr>
      <w:ind w:right="57"/>
      <w:contextualSpacing/>
    </w:pPr>
    <w:rPr>
      <w:rFonts w:eastAsiaTheme="minorEastAsia" w:cs="Calibri"/>
      <w:b/>
      <w:color w:val="365F91" w:themeColor="accent1" w:themeShade="BF"/>
      <w:szCs w:val="20"/>
    </w:rPr>
  </w:style>
  <w:style w:type="character" w:customStyle="1" w:styleId="TitleChar">
    <w:name w:val="Title Char"/>
    <w:aliases w:val="ToR box Char"/>
    <w:basedOn w:val="DefaultParagraphFont"/>
    <w:link w:val="Title"/>
    <w:uiPriority w:val="7"/>
    <w:rsid w:val="00470C5B"/>
    <w:rPr>
      <w:rFonts w:asciiTheme="minorHAnsi" w:eastAsiaTheme="minorEastAsia" w:hAnsiTheme="minorHAnsi" w:cs="Calibri"/>
      <w:b/>
      <w:color w:val="365F91" w:themeColor="accent1" w:themeShade="BF"/>
      <w:szCs w:val="20"/>
    </w:rPr>
  </w:style>
  <w:style w:type="paragraph" w:customStyle="1" w:styleId="sub-dotpoint">
    <w:name w:val="sub-dot point"/>
    <w:basedOn w:val="BulletLast"/>
    <w:link w:val="sub-dotpointChar"/>
    <w:rsid w:val="00470C5B"/>
    <w:pPr>
      <w:numPr>
        <w:ilvl w:val="1"/>
      </w:numPr>
      <w:ind w:left="1134" w:hanging="283"/>
    </w:pPr>
    <w:rPr>
      <w:rFonts w:eastAsia="Calibri"/>
    </w:rPr>
  </w:style>
  <w:style w:type="character" w:customStyle="1" w:styleId="BulletLastChar">
    <w:name w:val="Bullet Last Char"/>
    <w:basedOn w:val="BodyTextChar"/>
    <w:link w:val="BulletLast"/>
    <w:rsid w:val="00470C5B"/>
    <w:rPr>
      <w:rFonts w:asciiTheme="minorHAnsi" w:eastAsiaTheme="minorEastAsia" w:hAnsiTheme="minorHAnsi" w:cs="Calibri"/>
      <w:iCs/>
      <w:szCs w:val="24"/>
      <w:lang w:val="en-US"/>
    </w:rPr>
  </w:style>
  <w:style w:type="character" w:customStyle="1" w:styleId="sub-dotpointChar">
    <w:name w:val="sub-dot point Char"/>
    <w:basedOn w:val="BulletLastChar"/>
    <w:link w:val="sub-dotpoint"/>
    <w:rsid w:val="00470C5B"/>
    <w:rPr>
      <w:rFonts w:asciiTheme="minorHAnsi" w:eastAsia="Calibri" w:hAnsiTheme="minorHAnsi" w:cs="Calibri"/>
      <w:iCs/>
      <w:szCs w:val="24"/>
      <w:lang w:val="en-US"/>
    </w:rPr>
  </w:style>
  <w:style w:type="paragraph" w:styleId="Subtitle">
    <w:name w:val="Subtitle"/>
    <w:aliases w:val="FIRST ROW TABLE"/>
    <w:basedOn w:val="Normal"/>
    <w:next w:val="Normal"/>
    <w:link w:val="SubtitleChar"/>
    <w:uiPriority w:val="9"/>
    <w:rsid w:val="00470C5B"/>
    <w:pPr>
      <w:spacing w:before="60" w:after="60"/>
      <w:ind w:right="57"/>
      <w:contextualSpacing/>
    </w:pPr>
    <w:rPr>
      <w:rFonts w:eastAsiaTheme="minorEastAsia" w:cs="Calibri"/>
      <w:b/>
      <w:sz w:val="20"/>
      <w:szCs w:val="20"/>
    </w:rPr>
  </w:style>
  <w:style w:type="character" w:customStyle="1" w:styleId="SubtitleChar">
    <w:name w:val="Subtitle Char"/>
    <w:aliases w:val="FIRST ROW TABLE Char"/>
    <w:basedOn w:val="DefaultParagraphFont"/>
    <w:link w:val="Subtitle"/>
    <w:uiPriority w:val="9"/>
    <w:rsid w:val="00470C5B"/>
    <w:rPr>
      <w:rFonts w:asciiTheme="minorHAnsi" w:eastAsiaTheme="minorEastAsia" w:hAnsiTheme="minorHAnsi" w:cs="Calibri"/>
      <w:b/>
      <w:sz w:val="20"/>
      <w:szCs w:val="20"/>
    </w:rPr>
  </w:style>
  <w:style w:type="table" w:customStyle="1" w:styleId="TableGrid7">
    <w:name w:val="Table Grid7"/>
    <w:basedOn w:val="TableNormal"/>
    <w:next w:val="TableGrid"/>
    <w:uiPriority w:val="59"/>
    <w:rsid w:val="00005CD4"/>
    <w:pPr>
      <w:spacing w:after="0" w:line="240" w:lineRule="auto"/>
    </w:pPr>
    <w:rPr>
      <w:rFonts w:asciiTheme="minorHAnsi" w:hAnsiTheme="minorHAnsi"/>
      <w:sz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8B5A16"/>
    <w:pPr>
      <w:spacing w:after="0" w:line="240" w:lineRule="auto"/>
    </w:pPr>
    <w:rPr>
      <w:rFonts w:asciiTheme="minorHAnsi" w:hAnsiTheme="minorHAnsi"/>
      <w:sz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iguretitle">
    <w:name w:val="Figure title"/>
    <w:basedOn w:val="Normal"/>
    <w:link w:val="FiguretitleChar"/>
    <w:rsid w:val="00787723"/>
    <w:pPr>
      <w:spacing w:before="60" w:after="60"/>
      <w:ind w:right="57"/>
      <w:contextualSpacing/>
      <w:outlineLvl w:val="3"/>
    </w:pPr>
    <w:rPr>
      <w:rFonts w:eastAsiaTheme="minorEastAsia" w:cs="Calibri"/>
      <w:b/>
      <w:szCs w:val="24"/>
      <w:lang w:val="en-US"/>
    </w:rPr>
  </w:style>
  <w:style w:type="character" w:customStyle="1" w:styleId="FiguretitleChar">
    <w:name w:val="Figure title Char"/>
    <w:basedOn w:val="DefaultParagraphFont"/>
    <w:link w:val="Figuretitle"/>
    <w:rsid w:val="00787723"/>
    <w:rPr>
      <w:rFonts w:asciiTheme="minorHAnsi" w:eastAsiaTheme="minorEastAsia" w:hAnsiTheme="minorHAnsi" w:cs="Calibri"/>
      <w:b/>
      <w:szCs w:val="24"/>
      <w:lang w:val="en-US"/>
    </w:rPr>
  </w:style>
  <w:style w:type="paragraph" w:customStyle="1" w:styleId="Subsubheding">
    <w:name w:val="Sub sub heding"/>
    <w:basedOn w:val="TableHeading"/>
    <w:rsid w:val="00071F2B"/>
    <w:pPr>
      <w:spacing w:before="200" w:after="200"/>
      <w:ind w:right="57"/>
    </w:pPr>
    <w:rPr>
      <w:i/>
      <w:sz w:val="28"/>
      <w:szCs w:val="28"/>
    </w:rPr>
  </w:style>
  <w:style w:type="paragraph" w:customStyle="1" w:styleId="Subheading">
    <w:name w:val="Subheading"/>
    <w:basedOn w:val="TableHeading"/>
    <w:link w:val="SubheadingChar"/>
    <w:rsid w:val="00071F2B"/>
    <w:pPr>
      <w:spacing w:before="200" w:after="200"/>
      <w:ind w:right="57"/>
      <w:outlineLvl w:val="2"/>
    </w:pPr>
    <w:rPr>
      <w:rFonts w:eastAsiaTheme="majorEastAsia" w:cstheme="majorBidi"/>
      <w:iCs/>
      <w:color w:val="4F81BD" w:themeColor="accent1"/>
      <w:sz w:val="32"/>
      <w:szCs w:val="32"/>
    </w:rPr>
  </w:style>
  <w:style w:type="character" w:customStyle="1" w:styleId="SubheadingChar">
    <w:name w:val="Subheading Char"/>
    <w:basedOn w:val="DefaultParagraphFont"/>
    <w:link w:val="Subheading"/>
    <w:rsid w:val="00071F2B"/>
    <w:rPr>
      <w:rFonts w:asciiTheme="minorHAnsi" w:eastAsiaTheme="majorEastAsia" w:hAnsiTheme="minorHAnsi" w:cstheme="majorBidi"/>
      <w:b/>
      <w:iCs/>
      <w:color w:val="4F81BD" w:themeColor="accent1"/>
      <w:sz w:val="32"/>
      <w:szCs w:val="32"/>
      <w:lang w:val="en-US"/>
    </w:rPr>
  </w:style>
  <w:style w:type="paragraph" w:customStyle="1" w:styleId="V50TableText">
    <w:name w:val="V5.0 TableText"/>
    <w:link w:val="V50TableTextChar"/>
    <w:rsid w:val="00071F2B"/>
    <w:pPr>
      <w:spacing w:after="0" w:line="240" w:lineRule="auto"/>
    </w:pPr>
    <w:rPr>
      <w:rFonts w:asciiTheme="minorHAnsi" w:hAnsiTheme="minorHAnsi"/>
      <w:sz w:val="20"/>
      <w:szCs w:val="24"/>
      <w:lang w:val="en-US" w:eastAsia="en-US"/>
    </w:rPr>
  </w:style>
  <w:style w:type="character" w:customStyle="1" w:styleId="V50TableTextChar">
    <w:name w:val="V5.0 TableText Char"/>
    <w:basedOn w:val="DefaultParagraphFont"/>
    <w:link w:val="V50TableText"/>
    <w:rsid w:val="00071F2B"/>
    <w:rPr>
      <w:rFonts w:asciiTheme="minorHAnsi" w:hAnsiTheme="minorHAnsi"/>
      <w:sz w:val="20"/>
      <w:szCs w:val="24"/>
      <w:lang w:val="en-US" w:eastAsia="en-US"/>
    </w:rPr>
  </w:style>
  <w:style w:type="paragraph" w:customStyle="1" w:styleId="BodyText1">
    <w:name w:val="Body Text1"/>
    <w:basedOn w:val="Normal"/>
    <w:link w:val="BodytextChar0"/>
    <w:uiPriority w:val="1"/>
    <w:rsid w:val="00071F2B"/>
    <w:pPr>
      <w:shd w:val="clear" w:color="auto" w:fill="FFFFFF" w:themeFill="background1"/>
      <w:spacing w:before="120" w:after="120" w:line="260" w:lineRule="exact"/>
    </w:pPr>
    <w:rPr>
      <w:rFonts w:ascii="Arial" w:eastAsia="Times New Roman" w:hAnsi="Arial" w:cs="Arial"/>
      <w:sz w:val="20"/>
      <w:szCs w:val="20"/>
      <w:lang w:val="en-AU"/>
    </w:rPr>
  </w:style>
  <w:style w:type="character" w:customStyle="1" w:styleId="BodytextChar0">
    <w:name w:val="Body text Char"/>
    <w:basedOn w:val="DefaultParagraphFont"/>
    <w:link w:val="BodyText1"/>
    <w:uiPriority w:val="1"/>
    <w:rsid w:val="00071F2B"/>
    <w:rPr>
      <w:rFonts w:ascii="Arial" w:eastAsia="Times New Roman" w:hAnsi="Arial" w:cs="Arial"/>
      <w:sz w:val="20"/>
      <w:szCs w:val="20"/>
      <w:shd w:val="clear" w:color="auto" w:fill="FFFFFF" w:themeFill="background1"/>
    </w:rPr>
  </w:style>
  <w:style w:type="paragraph" w:customStyle="1" w:styleId="Tableheading0">
    <w:name w:val="Table heading"/>
    <w:basedOn w:val="Caption"/>
    <w:link w:val="TableheadingChar"/>
    <w:rsid w:val="00071F2B"/>
    <w:pPr>
      <w:spacing w:after="0"/>
    </w:pPr>
    <w:rPr>
      <w:sz w:val="22"/>
    </w:rPr>
  </w:style>
  <w:style w:type="paragraph" w:customStyle="1" w:styleId="Tablefooter0">
    <w:name w:val="Table footer"/>
    <w:basedOn w:val="ListParagraph"/>
    <w:link w:val="TablefooterChar0"/>
    <w:uiPriority w:val="5"/>
    <w:rsid w:val="00071F2B"/>
    <w:pPr>
      <w:ind w:left="0"/>
    </w:pPr>
    <w:rPr>
      <w:rFonts w:ascii="Cambria" w:hAnsi="Cambria" w:cstheme="minorBidi"/>
      <w:sz w:val="20"/>
      <w:szCs w:val="24"/>
      <w:lang w:val="en-AU"/>
    </w:rPr>
  </w:style>
  <w:style w:type="character" w:customStyle="1" w:styleId="CaptionChar">
    <w:name w:val="Caption Char"/>
    <w:basedOn w:val="DefaultParagraphFont"/>
    <w:link w:val="Caption"/>
    <w:uiPriority w:val="35"/>
    <w:rsid w:val="00071F2B"/>
    <w:rPr>
      <w:rFonts w:asciiTheme="minorHAnsi" w:eastAsia="Times New Roman" w:hAnsiTheme="minorHAnsi" w:cs="Times New Roman"/>
      <w:b/>
      <w:bCs/>
      <w:szCs w:val="18"/>
      <w:lang w:val="en-GB"/>
    </w:rPr>
  </w:style>
  <w:style w:type="character" w:customStyle="1" w:styleId="TableheadingChar">
    <w:name w:val="Table heading Char"/>
    <w:basedOn w:val="CaptionChar"/>
    <w:link w:val="Tableheading0"/>
    <w:rsid w:val="00071F2B"/>
    <w:rPr>
      <w:rFonts w:asciiTheme="minorHAnsi" w:eastAsia="Times New Roman" w:hAnsiTheme="minorHAnsi" w:cs="Times New Roman"/>
      <w:b/>
      <w:bCs/>
      <w:sz w:val="22"/>
      <w:szCs w:val="18"/>
      <w:lang w:val="en-GB"/>
    </w:rPr>
  </w:style>
  <w:style w:type="character" w:customStyle="1" w:styleId="TablefooterChar0">
    <w:name w:val="Table footer Char"/>
    <w:basedOn w:val="ListParagraphChar"/>
    <w:link w:val="Tablefooter0"/>
    <w:rsid w:val="00071F2B"/>
    <w:rPr>
      <w:rFonts w:ascii="Cambria" w:hAnsi="Cambria"/>
      <w:sz w:val="20"/>
      <w:szCs w:val="24"/>
    </w:rPr>
  </w:style>
  <w:style w:type="character" w:customStyle="1" w:styleId="st">
    <w:name w:val="st"/>
    <w:basedOn w:val="DefaultParagraphFont"/>
    <w:rsid w:val="00071F2B"/>
  </w:style>
  <w:style w:type="paragraph" w:customStyle="1" w:styleId="TableHeading1">
    <w:name w:val="Table Heading"/>
    <w:basedOn w:val="Normal"/>
    <w:link w:val="TableHeadingChar0"/>
    <w:rsid w:val="00071F2B"/>
    <w:pPr>
      <w:keepNext/>
      <w:spacing w:after="60"/>
    </w:pPr>
    <w:rPr>
      <w:rFonts w:ascii="Arial Narrow" w:hAnsi="Arial Narrow" w:cstheme="minorBidi"/>
      <w:b/>
      <w:sz w:val="20"/>
      <w:lang w:val="en-AU" w:eastAsia="en-US"/>
    </w:rPr>
  </w:style>
  <w:style w:type="paragraph" w:customStyle="1" w:styleId="Figure">
    <w:name w:val="Figure"/>
    <w:basedOn w:val="NormalWeb"/>
    <w:link w:val="FigureChar"/>
    <w:rsid w:val="00071F2B"/>
    <w:pPr>
      <w:spacing w:before="60" w:beforeAutospacing="0" w:after="60" w:afterAutospacing="0"/>
    </w:pPr>
    <w:rPr>
      <w:rFonts w:ascii="Calibri" w:hAnsi="Calibri"/>
      <w:b/>
      <w:color w:val="000000"/>
      <w:lang w:val="en-AU"/>
    </w:rPr>
  </w:style>
  <w:style w:type="character" w:customStyle="1" w:styleId="FigureChar">
    <w:name w:val="Figure Char"/>
    <w:link w:val="Figure"/>
    <w:rsid w:val="00071F2B"/>
    <w:rPr>
      <w:rFonts w:ascii="Calibri" w:eastAsia="Times New Roman" w:hAnsi="Calibri" w:cs="Times New Roman"/>
      <w:b/>
      <w:color w:val="000000"/>
      <w:szCs w:val="24"/>
    </w:rPr>
  </w:style>
  <w:style w:type="character" w:customStyle="1" w:styleId="TableHeadingChar0">
    <w:name w:val="Table Heading Char"/>
    <w:link w:val="TableHeading1"/>
    <w:rsid w:val="00071F2B"/>
    <w:rPr>
      <w:rFonts w:ascii="Arial Narrow" w:hAnsi="Arial Narrow"/>
      <w:b/>
      <w:sz w:val="20"/>
      <w:lang w:eastAsia="en-US"/>
    </w:rPr>
  </w:style>
  <w:style w:type="paragraph" w:customStyle="1" w:styleId="Sub-heading">
    <w:name w:val="Sub-heading"/>
    <w:basedOn w:val="Normal"/>
    <w:link w:val="Sub-headingChar"/>
    <w:rsid w:val="00071F2B"/>
    <w:pPr>
      <w:keepNext/>
      <w:keepLines/>
      <w:spacing w:before="240"/>
    </w:pPr>
    <w:rPr>
      <w:rFonts w:cstheme="minorBidi"/>
      <w:b/>
      <w:i/>
      <w:sz w:val="28"/>
      <w:szCs w:val="24"/>
      <w:lang w:val="en-AU"/>
    </w:rPr>
  </w:style>
  <w:style w:type="character" w:customStyle="1" w:styleId="Sub-headingChar">
    <w:name w:val="Sub-heading Char"/>
    <w:basedOn w:val="DefaultParagraphFont"/>
    <w:link w:val="Sub-heading"/>
    <w:rsid w:val="00071F2B"/>
    <w:rPr>
      <w:rFonts w:asciiTheme="minorHAnsi" w:hAnsiTheme="minorHAnsi"/>
      <w:b/>
      <w:i/>
      <w:sz w:val="28"/>
      <w:szCs w:val="24"/>
    </w:rPr>
  </w:style>
  <w:style w:type="paragraph" w:customStyle="1" w:styleId="Tabletext0">
    <w:name w:val="Table text"/>
    <w:basedOn w:val="Normal"/>
    <w:link w:val="TabletextChar0"/>
    <w:uiPriority w:val="1"/>
    <w:qFormat/>
    <w:rsid w:val="00071F2B"/>
    <w:pPr>
      <w:shd w:val="clear" w:color="auto" w:fill="FFFFFF" w:themeFill="background1"/>
      <w:spacing w:before="60" w:after="60"/>
    </w:pPr>
    <w:rPr>
      <w:rFonts w:ascii="Calibri" w:eastAsia="Times New Roman" w:hAnsi="Calibri" w:cs="Arial"/>
      <w:sz w:val="20"/>
      <w:szCs w:val="20"/>
      <w:lang w:val="en-AU"/>
    </w:rPr>
  </w:style>
  <w:style w:type="character" w:customStyle="1" w:styleId="TabletextChar0">
    <w:name w:val="Table text Char"/>
    <w:basedOn w:val="DefaultParagraphFont"/>
    <w:link w:val="Tabletext0"/>
    <w:uiPriority w:val="1"/>
    <w:rsid w:val="00071F2B"/>
    <w:rPr>
      <w:rFonts w:ascii="Calibri" w:eastAsia="Times New Roman" w:hAnsi="Calibri" w:cs="Arial"/>
      <w:sz w:val="20"/>
      <w:szCs w:val="20"/>
      <w:shd w:val="clear" w:color="auto" w:fill="FFFFFF" w:themeFill="background1"/>
    </w:rPr>
  </w:style>
  <w:style w:type="paragraph" w:customStyle="1" w:styleId="TableFootnote0">
    <w:name w:val="Table Footnote"/>
    <w:basedOn w:val="Normal"/>
    <w:uiPriority w:val="99"/>
    <w:rsid w:val="00071F2B"/>
    <w:pPr>
      <w:keepNext/>
      <w:autoSpaceDE w:val="0"/>
      <w:autoSpaceDN w:val="0"/>
      <w:adjustRightInd w:val="0"/>
    </w:pPr>
    <w:rPr>
      <w:rFonts w:eastAsiaTheme="minorEastAsia" w:cs="Calibri"/>
      <w:color w:val="000000"/>
      <w:sz w:val="20"/>
      <w:szCs w:val="20"/>
      <w:lang w:val="en-AU"/>
    </w:rPr>
  </w:style>
  <w:style w:type="paragraph" w:customStyle="1" w:styleId="FigureDUSC">
    <w:name w:val="Figure DUSC"/>
    <w:basedOn w:val="Normal"/>
    <w:link w:val="FigureDUSCChar"/>
    <w:rsid w:val="00071F2B"/>
    <w:pPr>
      <w:spacing w:before="60" w:after="60"/>
      <w:outlineLvl w:val="3"/>
    </w:pPr>
    <w:rPr>
      <w:rFonts w:eastAsiaTheme="minorEastAsia" w:cstheme="majorBidi"/>
      <w:b/>
      <w:szCs w:val="24"/>
      <w:lang w:val="en-US"/>
    </w:rPr>
  </w:style>
  <w:style w:type="character" w:customStyle="1" w:styleId="FigureDUSCChar">
    <w:name w:val="Figure DUSC Char"/>
    <w:basedOn w:val="DefaultParagraphFont"/>
    <w:link w:val="FigureDUSC"/>
    <w:rsid w:val="00071F2B"/>
    <w:rPr>
      <w:rFonts w:asciiTheme="minorHAnsi" w:eastAsiaTheme="minorEastAsia" w:hAnsiTheme="minorHAnsi" w:cstheme="majorBidi"/>
      <w:b/>
      <w:szCs w:val="24"/>
      <w:lang w:val="en-US"/>
    </w:rPr>
  </w:style>
  <w:style w:type="paragraph" w:customStyle="1" w:styleId="Tableheading-row">
    <w:name w:val="Table heading-row"/>
    <w:basedOn w:val="Normal"/>
    <w:qFormat/>
    <w:rsid w:val="004F7393"/>
    <w:pPr>
      <w:autoSpaceDE w:val="0"/>
      <w:autoSpaceDN w:val="0"/>
      <w:adjustRightInd w:val="0"/>
      <w:spacing w:before="60" w:after="60"/>
    </w:pPr>
    <w:rPr>
      <w:rFonts w:eastAsiaTheme="minorEastAsia" w:cs="Calibri"/>
      <w:b/>
      <w:color w:val="000000" w:themeColor="text1"/>
      <w:sz w:val="20"/>
      <w:szCs w:val="24"/>
      <w:lang w:val="en-AU"/>
    </w:rPr>
  </w:style>
  <w:style w:type="paragraph" w:customStyle="1" w:styleId="TableTextDusc">
    <w:name w:val="Table Text _Dusc"/>
    <w:basedOn w:val="Normal"/>
    <w:link w:val="TableTextDuscChar"/>
    <w:qFormat/>
    <w:rsid w:val="00071F2B"/>
    <w:pPr>
      <w:autoSpaceDE w:val="0"/>
      <w:autoSpaceDN w:val="0"/>
      <w:adjustRightInd w:val="0"/>
      <w:spacing w:before="60" w:after="60"/>
    </w:pPr>
    <w:rPr>
      <w:rFonts w:eastAsia="MS Mincho" w:cs="Calibri"/>
      <w:sz w:val="20"/>
      <w:szCs w:val="20"/>
      <w:lang w:val="en-AU"/>
    </w:rPr>
  </w:style>
  <w:style w:type="character" w:customStyle="1" w:styleId="TableTextDuscChar">
    <w:name w:val="Table Text _Dusc Char"/>
    <w:basedOn w:val="DefaultParagraphFont"/>
    <w:link w:val="TableTextDusc"/>
    <w:rsid w:val="00071F2B"/>
    <w:rPr>
      <w:rFonts w:asciiTheme="minorHAnsi" w:eastAsia="MS Mincho" w:hAnsiTheme="minorHAnsi" w:cs="Calibri"/>
      <w:sz w:val="20"/>
      <w:szCs w:val="20"/>
    </w:rPr>
  </w:style>
  <w:style w:type="numbering" w:customStyle="1" w:styleId="NoList1">
    <w:name w:val="No List1"/>
    <w:next w:val="NoList"/>
    <w:uiPriority w:val="99"/>
    <w:semiHidden/>
    <w:unhideWhenUsed/>
    <w:rsid w:val="00071F2B"/>
  </w:style>
  <w:style w:type="table" w:customStyle="1" w:styleId="TableGrid71">
    <w:name w:val="Table Grid71"/>
    <w:basedOn w:val="TableNormal"/>
    <w:uiPriority w:val="59"/>
    <w:rsid w:val="00071F2B"/>
    <w:pPr>
      <w:spacing w:after="0" w:line="240" w:lineRule="auto"/>
    </w:pPr>
    <w:rPr>
      <w:rFonts w:ascii="Calibri" w:eastAsia="Times New Roman" w:hAnsi="Calibri" w:cs="Times New Roman"/>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
    <w:name w:val="Table Grid72"/>
    <w:basedOn w:val="TableNormal"/>
    <w:next w:val="TableGrid"/>
    <w:uiPriority w:val="59"/>
    <w:rsid w:val="00071F2B"/>
    <w:pPr>
      <w:spacing w:after="0" w:line="240" w:lineRule="auto"/>
    </w:pPr>
    <w:rPr>
      <w:rFonts w:asciiTheme="minorHAnsi" w:eastAsia="Times New Roman"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igurecaption">
    <w:name w:val="Figure caption"/>
    <w:basedOn w:val="Normal"/>
    <w:link w:val="FigurecaptionChar"/>
    <w:qFormat/>
    <w:rsid w:val="00B67975"/>
    <w:pPr>
      <w:spacing w:before="60" w:after="60"/>
    </w:pPr>
    <w:rPr>
      <w:rFonts w:eastAsiaTheme="minorEastAsia" w:cstheme="minorBidi"/>
      <w:sz w:val="20"/>
      <w:szCs w:val="20"/>
      <w:lang w:val="en-AU" w:eastAsia="en-US"/>
    </w:rPr>
  </w:style>
  <w:style w:type="character" w:customStyle="1" w:styleId="FigurecaptionChar">
    <w:name w:val="Figure caption Char"/>
    <w:basedOn w:val="DefaultParagraphFont"/>
    <w:link w:val="Figurecaption"/>
    <w:rsid w:val="00B67975"/>
    <w:rPr>
      <w:rFonts w:asciiTheme="minorHAnsi" w:eastAsiaTheme="minorEastAsia" w:hAnsiTheme="minorHAnsi"/>
      <w:sz w:val="20"/>
      <w:szCs w:val="20"/>
      <w:lang w:eastAsia="en-US"/>
    </w:rPr>
  </w:style>
  <w:style w:type="paragraph" w:customStyle="1" w:styleId="ToRText">
    <w:name w:val="ToR Text"/>
    <w:basedOn w:val="Normal"/>
    <w:link w:val="ToRTextChar"/>
    <w:qFormat/>
    <w:rsid w:val="00B67975"/>
    <w:pPr>
      <w:pBdr>
        <w:top w:val="single" w:sz="4" w:space="1" w:color="auto"/>
        <w:left w:val="single" w:sz="4" w:space="4" w:color="auto"/>
        <w:bottom w:val="single" w:sz="4" w:space="1" w:color="auto"/>
        <w:right w:val="single" w:sz="4" w:space="4" w:color="auto"/>
      </w:pBdr>
    </w:pPr>
    <w:rPr>
      <w:b/>
      <w:color w:val="365F91" w:themeColor="accent1" w:themeShade="BF"/>
    </w:rPr>
  </w:style>
  <w:style w:type="paragraph" w:customStyle="1" w:styleId="MDsubHead3">
    <w:name w:val="MD sub Head 3"/>
    <w:basedOn w:val="Heading4"/>
    <w:link w:val="MDsubHead3Char"/>
    <w:qFormat/>
    <w:rsid w:val="00EB2E6F"/>
  </w:style>
  <w:style w:type="character" w:customStyle="1" w:styleId="ToRTextChar">
    <w:name w:val="ToR Text Char"/>
    <w:basedOn w:val="DefaultParagraphFont"/>
    <w:link w:val="ToRText"/>
    <w:rsid w:val="00B67975"/>
    <w:rPr>
      <w:rFonts w:asciiTheme="minorHAnsi" w:hAnsiTheme="minorHAnsi" w:cstheme="minorHAnsi"/>
      <w:b/>
      <w:color w:val="365F91" w:themeColor="accent1" w:themeShade="BF"/>
      <w:lang w:val="en-GB"/>
    </w:rPr>
  </w:style>
  <w:style w:type="character" w:customStyle="1" w:styleId="MDsubHead3Char">
    <w:name w:val="MD sub Head 3 Char"/>
    <w:basedOn w:val="Heading4Char"/>
    <w:link w:val="MDsubHead3"/>
    <w:rsid w:val="00EB2E6F"/>
    <w:rPr>
      <w:rFonts w:asciiTheme="majorHAnsi" w:eastAsiaTheme="majorEastAsia" w:hAnsiTheme="majorHAnsi" w:cstheme="majorBidi"/>
      <w:b/>
      <w:bCs/>
      <w:i/>
      <w:iCs/>
      <w:color w:val="4F81BD" w:themeColor="accent1"/>
      <w:lang w:val="en-GB"/>
    </w:rPr>
  </w:style>
  <w:style w:type="paragraph" w:styleId="BodyText2">
    <w:name w:val="Body Text 2"/>
    <w:basedOn w:val="Normal"/>
    <w:link w:val="BodyText2Char"/>
    <w:uiPriority w:val="99"/>
    <w:semiHidden/>
    <w:unhideWhenUsed/>
    <w:rsid w:val="00096511"/>
    <w:pPr>
      <w:spacing w:after="120" w:line="480" w:lineRule="auto"/>
    </w:pPr>
  </w:style>
  <w:style w:type="character" w:customStyle="1" w:styleId="BodyText2Char">
    <w:name w:val="Body Text 2 Char"/>
    <w:basedOn w:val="DefaultParagraphFont"/>
    <w:link w:val="BodyText2"/>
    <w:uiPriority w:val="99"/>
    <w:semiHidden/>
    <w:rsid w:val="00096511"/>
    <w:rPr>
      <w:rFonts w:asciiTheme="minorHAnsi" w:hAnsiTheme="minorHAnsi" w:cstheme="minorHAnsi"/>
      <w:lang w:val="en-GB"/>
    </w:rPr>
  </w:style>
  <w:style w:type="table" w:customStyle="1" w:styleId="TableGrid73">
    <w:name w:val="Table Grid73"/>
    <w:basedOn w:val="TableNormal"/>
    <w:next w:val="TableGrid"/>
    <w:uiPriority w:val="59"/>
    <w:rsid w:val="009B5C65"/>
    <w:pPr>
      <w:spacing w:after="0" w:line="240" w:lineRule="auto"/>
    </w:pPr>
    <w:rPr>
      <w:rFonts w:ascii="Calibri" w:hAnsi="Calibri"/>
      <w:sz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unhideWhenUsed/>
    <w:rsid w:val="000F704D"/>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856886">
      <w:bodyDiv w:val="1"/>
      <w:marLeft w:val="0"/>
      <w:marRight w:val="0"/>
      <w:marTop w:val="0"/>
      <w:marBottom w:val="0"/>
      <w:divBdr>
        <w:top w:val="none" w:sz="0" w:space="0" w:color="auto"/>
        <w:left w:val="none" w:sz="0" w:space="0" w:color="auto"/>
        <w:bottom w:val="none" w:sz="0" w:space="0" w:color="auto"/>
        <w:right w:val="none" w:sz="0" w:space="0" w:color="auto"/>
      </w:divBdr>
    </w:div>
    <w:div w:id="122969476">
      <w:bodyDiv w:val="1"/>
      <w:marLeft w:val="0"/>
      <w:marRight w:val="0"/>
      <w:marTop w:val="0"/>
      <w:marBottom w:val="0"/>
      <w:divBdr>
        <w:top w:val="none" w:sz="0" w:space="0" w:color="auto"/>
        <w:left w:val="none" w:sz="0" w:space="0" w:color="auto"/>
        <w:bottom w:val="none" w:sz="0" w:space="0" w:color="auto"/>
        <w:right w:val="none" w:sz="0" w:space="0" w:color="auto"/>
      </w:divBdr>
      <w:divsChild>
        <w:div w:id="93788899">
          <w:marLeft w:val="0"/>
          <w:marRight w:val="0"/>
          <w:marTop w:val="0"/>
          <w:marBottom w:val="0"/>
          <w:divBdr>
            <w:top w:val="none" w:sz="0" w:space="0" w:color="auto"/>
            <w:left w:val="none" w:sz="0" w:space="0" w:color="auto"/>
            <w:bottom w:val="none" w:sz="0" w:space="0" w:color="auto"/>
            <w:right w:val="none" w:sz="0" w:space="0" w:color="auto"/>
          </w:divBdr>
          <w:divsChild>
            <w:div w:id="1224873485">
              <w:marLeft w:val="0"/>
              <w:marRight w:val="0"/>
              <w:marTop w:val="0"/>
              <w:marBottom w:val="0"/>
              <w:divBdr>
                <w:top w:val="none" w:sz="0" w:space="0" w:color="auto"/>
                <w:left w:val="none" w:sz="0" w:space="0" w:color="auto"/>
                <w:bottom w:val="none" w:sz="0" w:space="0" w:color="auto"/>
                <w:right w:val="none" w:sz="0" w:space="0" w:color="auto"/>
              </w:divBdr>
              <w:divsChild>
                <w:div w:id="1678967500">
                  <w:marLeft w:val="-360"/>
                  <w:marRight w:val="0"/>
                  <w:marTop w:val="0"/>
                  <w:marBottom w:val="0"/>
                  <w:divBdr>
                    <w:top w:val="none" w:sz="0" w:space="0" w:color="auto"/>
                    <w:left w:val="none" w:sz="0" w:space="0" w:color="auto"/>
                    <w:bottom w:val="none" w:sz="0" w:space="0" w:color="auto"/>
                    <w:right w:val="none" w:sz="0" w:space="0" w:color="auto"/>
                  </w:divBdr>
                  <w:divsChild>
                    <w:div w:id="1141844294">
                      <w:marLeft w:val="0"/>
                      <w:marRight w:val="0"/>
                      <w:marTop w:val="0"/>
                      <w:marBottom w:val="0"/>
                      <w:divBdr>
                        <w:top w:val="none" w:sz="0" w:space="0" w:color="auto"/>
                        <w:left w:val="none" w:sz="0" w:space="0" w:color="auto"/>
                        <w:bottom w:val="none" w:sz="0" w:space="0" w:color="auto"/>
                        <w:right w:val="none" w:sz="0" w:space="0" w:color="auto"/>
                      </w:divBdr>
                      <w:divsChild>
                        <w:div w:id="1315068125">
                          <w:marLeft w:val="0"/>
                          <w:marRight w:val="0"/>
                          <w:marTop w:val="0"/>
                          <w:marBottom w:val="0"/>
                          <w:divBdr>
                            <w:top w:val="none" w:sz="0" w:space="0" w:color="auto"/>
                            <w:left w:val="none" w:sz="0" w:space="0" w:color="auto"/>
                            <w:bottom w:val="none" w:sz="0" w:space="0" w:color="auto"/>
                            <w:right w:val="none" w:sz="0" w:space="0" w:color="auto"/>
                          </w:divBdr>
                          <w:divsChild>
                            <w:div w:id="98066207">
                              <w:marLeft w:val="0"/>
                              <w:marRight w:val="0"/>
                              <w:marTop w:val="0"/>
                              <w:marBottom w:val="0"/>
                              <w:divBdr>
                                <w:top w:val="none" w:sz="0" w:space="0" w:color="auto"/>
                                <w:left w:val="none" w:sz="0" w:space="0" w:color="auto"/>
                                <w:bottom w:val="none" w:sz="0" w:space="0" w:color="auto"/>
                                <w:right w:val="none" w:sz="0" w:space="0" w:color="auto"/>
                              </w:divBdr>
                              <w:divsChild>
                                <w:div w:id="288703900">
                                  <w:marLeft w:val="0"/>
                                  <w:marRight w:val="0"/>
                                  <w:marTop w:val="0"/>
                                  <w:marBottom w:val="0"/>
                                  <w:divBdr>
                                    <w:top w:val="none" w:sz="0" w:space="0" w:color="auto"/>
                                    <w:left w:val="none" w:sz="0" w:space="0" w:color="auto"/>
                                    <w:bottom w:val="none" w:sz="0" w:space="0" w:color="auto"/>
                                    <w:right w:val="none" w:sz="0" w:space="0" w:color="auto"/>
                                  </w:divBdr>
                                  <w:divsChild>
                                    <w:div w:id="1119186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6552947">
      <w:bodyDiv w:val="1"/>
      <w:marLeft w:val="0"/>
      <w:marRight w:val="0"/>
      <w:marTop w:val="0"/>
      <w:marBottom w:val="0"/>
      <w:divBdr>
        <w:top w:val="none" w:sz="0" w:space="0" w:color="auto"/>
        <w:left w:val="none" w:sz="0" w:space="0" w:color="auto"/>
        <w:bottom w:val="none" w:sz="0" w:space="0" w:color="auto"/>
        <w:right w:val="none" w:sz="0" w:space="0" w:color="auto"/>
      </w:divBdr>
    </w:div>
    <w:div w:id="128979338">
      <w:bodyDiv w:val="1"/>
      <w:marLeft w:val="0"/>
      <w:marRight w:val="0"/>
      <w:marTop w:val="0"/>
      <w:marBottom w:val="0"/>
      <w:divBdr>
        <w:top w:val="none" w:sz="0" w:space="0" w:color="auto"/>
        <w:left w:val="none" w:sz="0" w:space="0" w:color="auto"/>
        <w:bottom w:val="none" w:sz="0" w:space="0" w:color="auto"/>
        <w:right w:val="none" w:sz="0" w:space="0" w:color="auto"/>
      </w:divBdr>
      <w:divsChild>
        <w:div w:id="1781989466">
          <w:marLeft w:val="0"/>
          <w:marRight w:val="0"/>
          <w:marTop w:val="0"/>
          <w:marBottom w:val="0"/>
          <w:divBdr>
            <w:top w:val="none" w:sz="0" w:space="0" w:color="auto"/>
            <w:left w:val="none" w:sz="0" w:space="0" w:color="auto"/>
            <w:bottom w:val="none" w:sz="0" w:space="0" w:color="auto"/>
            <w:right w:val="none" w:sz="0" w:space="0" w:color="auto"/>
          </w:divBdr>
          <w:divsChild>
            <w:div w:id="1848789734">
              <w:marLeft w:val="0"/>
              <w:marRight w:val="0"/>
              <w:marTop w:val="0"/>
              <w:marBottom w:val="0"/>
              <w:divBdr>
                <w:top w:val="none" w:sz="0" w:space="0" w:color="auto"/>
                <w:left w:val="none" w:sz="0" w:space="0" w:color="auto"/>
                <w:bottom w:val="none" w:sz="0" w:space="0" w:color="auto"/>
                <w:right w:val="none" w:sz="0" w:space="0" w:color="auto"/>
              </w:divBdr>
              <w:divsChild>
                <w:div w:id="2119520675">
                  <w:marLeft w:val="-360"/>
                  <w:marRight w:val="0"/>
                  <w:marTop w:val="0"/>
                  <w:marBottom w:val="0"/>
                  <w:divBdr>
                    <w:top w:val="none" w:sz="0" w:space="0" w:color="auto"/>
                    <w:left w:val="none" w:sz="0" w:space="0" w:color="auto"/>
                    <w:bottom w:val="none" w:sz="0" w:space="0" w:color="auto"/>
                    <w:right w:val="none" w:sz="0" w:space="0" w:color="auto"/>
                  </w:divBdr>
                  <w:divsChild>
                    <w:div w:id="781799943">
                      <w:marLeft w:val="0"/>
                      <w:marRight w:val="0"/>
                      <w:marTop w:val="0"/>
                      <w:marBottom w:val="0"/>
                      <w:divBdr>
                        <w:top w:val="none" w:sz="0" w:space="0" w:color="auto"/>
                        <w:left w:val="none" w:sz="0" w:space="0" w:color="auto"/>
                        <w:bottom w:val="none" w:sz="0" w:space="0" w:color="auto"/>
                        <w:right w:val="none" w:sz="0" w:space="0" w:color="auto"/>
                      </w:divBdr>
                      <w:divsChild>
                        <w:div w:id="217326012">
                          <w:marLeft w:val="0"/>
                          <w:marRight w:val="0"/>
                          <w:marTop w:val="0"/>
                          <w:marBottom w:val="0"/>
                          <w:divBdr>
                            <w:top w:val="none" w:sz="0" w:space="0" w:color="auto"/>
                            <w:left w:val="none" w:sz="0" w:space="0" w:color="auto"/>
                            <w:bottom w:val="none" w:sz="0" w:space="0" w:color="auto"/>
                            <w:right w:val="none" w:sz="0" w:space="0" w:color="auto"/>
                          </w:divBdr>
                          <w:divsChild>
                            <w:div w:id="230778871">
                              <w:marLeft w:val="0"/>
                              <w:marRight w:val="0"/>
                              <w:marTop w:val="0"/>
                              <w:marBottom w:val="0"/>
                              <w:divBdr>
                                <w:top w:val="none" w:sz="0" w:space="0" w:color="auto"/>
                                <w:left w:val="none" w:sz="0" w:space="0" w:color="auto"/>
                                <w:bottom w:val="none" w:sz="0" w:space="0" w:color="auto"/>
                                <w:right w:val="none" w:sz="0" w:space="0" w:color="auto"/>
                              </w:divBdr>
                              <w:divsChild>
                                <w:div w:id="1103764522">
                                  <w:marLeft w:val="0"/>
                                  <w:marRight w:val="0"/>
                                  <w:marTop w:val="0"/>
                                  <w:marBottom w:val="0"/>
                                  <w:divBdr>
                                    <w:top w:val="none" w:sz="0" w:space="0" w:color="auto"/>
                                    <w:left w:val="none" w:sz="0" w:space="0" w:color="auto"/>
                                    <w:bottom w:val="none" w:sz="0" w:space="0" w:color="auto"/>
                                    <w:right w:val="none" w:sz="0" w:space="0" w:color="auto"/>
                                  </w:divBdr>
                                  <w:divsChild>
                                    <w:div w:id="1080978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357922">
      <w:bodyDiv w:val="1"/>
      <w:marLeft w:val="0"/>
      <w:marRight w:val="0"/>
      <w:marTop w:val="0"/>
      <w:marBottom w:val="0"/>
      <w:divBdr>
        <w:top w:val="none" w:sz="0" w:space="0" w:color="auto"/>
        <w:left w:val="none" w:sz="0" w:space="0" w:color="auto"/>
        <w:bottom w:val="none" w:sz="0" w:space="0" w:color="auto"/>
        <w:right w:val="none" w:sz="0" w:space="0" w:color="auto"/>
      </w:divBdr>
    </w:div>
    <w:div w:id="252517768">
      <w:bodyDiv w:val="1"/>
      <w:marLeft w:val="0"/>
      <w:marRight w:val="0"/>
      <w:marTop w:val="0"/>
      <w:marBottom w:val="0"/>
      <w:divBdr>
        <w:top w:val="none" w:sz="0" w:space="0" w:color="auto"/>
        <w:left w:val="none" w:sz="0" w:space="0" w:color="auto"/>
        <w:bottom w:val="none" w:sz="0" w:space="0" w:color="auto"/>
        <w:right w:val="none" w:sz="0" w:space="0" w:color="auto"/>
      </w:divBdr>
    </w:div>
    <w:div w:id="267544348">
      <w:bodyDiv w:val="1"/>
      <w:marLeft w:val="0"/>
      <w:marRight w:val="0"/>
      <w:marTop w:val="0"/>
      <w:marBottom w:val="0"/>
      <w:divBdr>
        <w:top w:val="none" w:sz="0" w:space="0" w:color="auto"/>
        <w:left w:val="none" w:sz="0" w:space="0" w:color="auto"/>
        <w:bottom w:val="none" w:sz="0" w:space="0" w:color="auto"/>
        <w:right w:val="none" w:sz="0" w:space="0" w:color="auto"/>
      </w:divBdr>
      <w:divsChild>
        <w:div w:id="104234573">
          <w:marLeft w:val="0"/>
          <w:marRight w:val="0"/>
          <w:marTop w:val="0"/>
          <w:marBottom w:val="0"/>
          <w:divBdr>
            <w:top w:val="none" w:sz="0" w:space="0" w:color="auto"/>
            <w:left w:val="none" w:sz="0" w:space="0" w:color="auto"/>
            <w:bottom w:val="none" w:sz="0" w:space="0" w:color="auto"/>
            <w:right w:val="none" w:sz="0" w:space="0" w:color="auto"/>
          </w:divBdr>
        </w:div>
        <w:div w:id="390080454">
          <w:marLeft w:val="0"/>
          <w:marRight w:val="0"/>
          <w:marTop w:val="0"/>
          <w:marBottom w:val="0"/>
          <w:divBdr>
            <w:top w:val="none" w:sz="0" w:space="0" w:color="auto"/>
            <w:left w:val="none" w:sz="0" w:space="0" w:color="auto"/>
            <w:bottom w:val="none" w:sz="0" w:space="0" w:color="auto"/>
            <w:right w:val="none" w:sz="0" w:space="0" w:color="auto"/>
          </w:divBdr>
        </w:div>
        <w:div w:id="947397678">
          <w:marLeft w:val="0"/>
          <w:marRight w:val="0"/>
          <w:marTop w:val="0"/>
          <w:marBottom w:val="0"/>
          <w:divBdr>
            <w:top w:val="none" w:sz="0" w:space="0" w:color="auto"/>
            <w:left w:val="none" w:sz="0" w:space="0" w:color="auto"/>
            <w:bottom w:val="none" w:sz="0" w:space="0" w:color="auto"/>
            <w:right w:val="none" w:sz="0" w:space="0" w:color="auto"/>
          </w:divBdr>
        </w:div>
        <w:div w:id="1740404124">
          <w:marLeft w:val="0"/>
          <w:marRight w:val="0"/>
          <w:marTop w:val="0"/>
          <w:marBottom w:val="0"/>
          <w:divBdr>
            <w:top w:val="none" w:sz="0" w:space="0" w:color="auto"/>
            <w:left w:val="none" w:sz="0" w:space="0" w:color="auto"/>
            <w:bottom w:val="none" w:sz="0" w:space="0" w:color="auto"/>
            <w:right w:val="none" w:sz="0" w:space="0" w:color="auto"/>
          </w:divBdr>
        </w:div>
      </w:divsChild>
    </w:div>
    <w:div w:id="305018058">
      <w:bodyDiv w:val="1"/>
      <w:marLeft w:val="0"/>
      <w:marRight w:val="0"/>
      <w:marTop w:val="0"/>
      <w:marBottom w:val="0"/>
      <w:divBdr>
        <w:top w:val="none" w:sz="0" w:space="0" w:color="auto"/>
        <w:left w:val="none" w:sz="0" w:space="0" w:color="auto"/>
        <w:bottom w:val="none" w:sz="0" w:space="0" w:color="auto"/>
        <w:right w:val="none" w:sz="0" w:space="0" w:color="auto"/>
      </w:divBdr>
    </w:div>
    <w:div w:id="384067570">
      <w:bodyDiv w:val="1"/>
      <w:marLeft w:val="0"/>
      <w:marRight w:val="0"/>
      <w:marTop w:val="0"/>
      <w:marBottom w:val="0"/>
      <w:divBdr>
        <w:top w:val="none" w:sz="0" w:space="0" w:color="auto"/>
        <w:left w:val="none" w:sz="0" w:space="0" w:color="auto"/>
        <w:bottom w:val="none" w:sz="0" w:space="0" w:color="auto"/>
        <w:right w:val="none" w:sz="0" w:space="0" w:color="auto"/>
      </w:divBdr>
    </w:div>
    <w:div w:id="407121976">
      <w:bodyDiv w:val="1"/>
      <w:marLeft w:val="0"/>
      <w:marRight w:val="0"/>
      <w:marTop w:val="0"/>
      <w:marBottom w:val="0"/>
      <w:divBdr>
        <w:top w:val="none" w:sz="0" w:space="0" w:color="auto"/>
        <w:left w:val="none" w:sz="0" w:space="0" w:color="auto"/>
        <w:bottom w:val="none" w:sz="0" w:space="0" w:color="auto"/>
        <w:right w:val="none" w:sz="0" w:space="0" w:color="auto"/>
      </w:divBdr>
    </w:div>
    <w:div w:id="525945100">
      <w:bodyDiv w:val="1"/>
      <w:marLeft w:val="0"/>
      <w:marRight w:val="0"/>
      <w:marTop w:val="0"/>
      <w:marBottom w:val="0"/>
      <w:divBdr>
        <w:top w:val="none" w:sz="0" w:space="0" w:color="auto"/>
        <w:left w:val="none" w:sz="0" w:space="0" w:color="auto"/>
        <w:bottom w:val="none" w:sz="0" w:space="0" w:color="auto"/>
        <w:right w:val="none" w:sz="0" w:space="0" w:color="auto"/>
      </w:divBdr>
    </w:div>
    <w:div w:id="528416786">
      <w:bodyDiv w:val="1"/>
      <w:marLeft w:val="0"/>
      <w:marRight w:val="0"/>
      <w:marTop w:val="0"/>
      <w:marBottom w:val="0"/>
      <w:divBdr>
        <w:top w:val="none" w:sz="0" w:space="0" w:color="auto"/>
        <w:left w:val="none" w:sz="0" w:space="0" w:color="auto"/>
        <w:bottom w:val="none" w:sz="0" w:space="0" w:color="auto"/>
        <w:right w:val="none" w:sz="0" w:space="0" w:color="auto"/>
      </w:divBdr>
      <w:divsChild>
        <w:div w:id="1081563902">
          <w:marLeft w:val="0"/>
          <w:marRight w:val="0"/>
          <w:marTop w:val="0"/>
          <w:marBottom w:val="0"/>
          <w:divBdr>
            <w:top w:val="none" w:sz="0" w:space="0" w:color="auto"/>
            <w:left w:val="none" w:sz="0" w:space="0" w:color="auto"/>
            <w:bottom w:val="none" w:sz="0" w:space="0" w:color="auto"/>
            <w:right w:val="none" w:sz="0" w:space="0" w:color="auto"/>
          </w:divBdr>
        </w:div>
        <w:div w:id="1463108433">
          <w:marLeft w:val="0"/>
          <w:marRight w:val="0"/>
          <w:marTop w:val="0"/>
          <w:marBottom w:val="0"/>
          <w:divBdr>
            <w:top w:val="none" w:sz="0" w:space="0" w:color="auto"/>
            <w:left w:val="none" w:sz="0" w:space="0" w:color="auto"/>
            <w:bottom w:val="none" w:sz="0" w:space="0" w:color="auto"/>
            <w:right w:val="none" w:sz="0" w:space="0" w:color="auto"/>
          </w:divBdr>
        </w:div>
      </w:divsChild>
    </w:div>
    <w:div w:id="587736538">
      <w:bodyDiv w:val="1"/>
      <w:marLeft w:val="0"/>
      <w:marRight w:val="0"/>
      <w:marTop w:val="0"/>
      <w:marBottom w:val="0"/>
      <w:divBdr>
        <w:top w:val="none" w:sz="0" w:space="0" w:color="auto"/>
        <w:left w:val="none" w:sz="0" w:space="0" w:color="auto"/>
        <w:bottom w:val="none" w:sz="0" w:space="0" w:color="auto"/>
        <w:right w:val="none" w:sz="0" w:space="0" w:color="auto"/>
      </w:divBdr>
      <w:divsChild>
        <w:div w:id="1711299004">
          <w:marLeft w:val="0"/>
          <w:marRight w:val="0"/>
          <w:marTop w:val="0"/>
          <w:marBottom w:val="0"/>
          <w:divBdr>
            <w:top w:val="none" w:sz="0" w:space="0" w:color="auto"/>
            <w:left w:val="none" w:sz="0" w:space="0" w:color="auto"/>
            <w:bottom w:val="none" w:sz="0" w:space="0" w:color="auto"/>
            <w:right w:val="none" w:sz="0" w:space="0" w:color="auto"/>
          </w:divBdr>
          <w:divsChild>
            <w:div w:id="1621379433">
              <w:marLeft w:val="0"/>
              <w:marRight w:val="0"/>
              <w:marTop w:val="0"/>
              <w:marBottom w:val="0"/>
              <w:divBdr>
                <w:top w:val="none" w:sz="0" w:space="0" w:color="auto"/>
                <w:left w:val="none" w:sz="0" w:space="0" w:color="auto"/>
                <w:bottom w:val="none" w:sz="0" w:space="0" w:color="auto"/>
                <w:right w:val="none" w:sz="0" w:space="0" w:color="auto"/>
              </w:divBdr>
              <w:divsChild>
                <w:div w:id="1715277581">
                  <w:marLeft w:val="0"/>
                  <w:marRight w:val="0"/>
                  <w:marTop w:val="0"/>
                  <w:marBottom w:val="0"/>
                  <w:divBdr>
                    <w:top w:val="none" w:sz="0" w:space="0" w:color="auto"/>
                    <w:left w:val="none" w:sz="0" w:space="0" w:color="auto"/>
                    <w:bottom w:val="none" w:sz="0" w:space="0" w:color="auto"/>
                    <w:right w:val="none" w:sz="0" w:space="0" w:color="auto"/>
                  </w:divBdr>
                  <w:divsChild>
                    <w:div w:id="210195147">
                      <w:marLeft w:val="-360"/>
                      <w:marRight w:val="0"/>
                      <w:marTop w:val="0"/>
                      <w:marBottom w:val="0"/>
                      <w:divBdr>
                        <w:top w:val="none" w:sz="0" w:space="0" w:color="auto"/>
                        <w:left w:val="none" w:sz="0" w:space="0" w:color="auto"/>
                        <w:bottom w:val="none" w:sz="0" w:space="0" w:color="auto"/>
                        <w:right w:val="none" w:sz="0" w:space="0" w:color="auto"/>
                      </w:divBdr>
                      <w:divsChild>
                        <w:div w:id="98452945">
                          <w:marLeft w:val="0"/>
                          <w:marRight w:val="0"/>
                          <w:marTop w:val="0"/>
                          <w:marBottom w:val="0"/>
                          <w:divBdr>
                            <w:top w:val="none" w:sz="0" w:space="0" w:color="auto"/>
                            <w:left w:val="none" w:sz="0" w:space="0" w:color="auto"/>
                            <w:bottom w:val="none" w:sz="0" w:space="0" w:color="auto"/>
                            <w:right w:val="none" w:sz="0" w:space="0" w:color="auto"/>
                          </w:divBdr>
                          <w:divsChild>
                            <w:div w:id="2106923563">
                              <w:marLeft w:val="0"/>
                              <w:marRight w:val="0"/>
                              <w:marTop w:val="0"/>
                              <w:marBottom w:val="0"/>
                              <w:divBdr>
                                <w:top w:val="none" w:sz="0" w:space="0" w:color="auto"/>
                                <w:left w:val="none" w:sz="0" w:space="0" w:color="auto"/>
                                <w:bottom w:val="none" w:sz="0" w:space="0" w:color="auto"/>
                                <w:right w:val="none" w:sz="0" w:space="0" w:color="auto"/>
                              </w:divBdr>
                              <w:divsChild>
                                <w:div w:id="927733071">
                                  <w:marLeft w:val="0"/>
                                  <w:marRight w:val="0"/>
                                  <w:marTop w:val="0"/>
                                  <w:marBottom w:val="0"/>
                                  <w:divBdr>
                                    <w:top w:val="none" w:sz="0" w:space="0" w:color="auto"/>
                                    <w:left w:val="none" w:sz="0" w:space="0" w:color="auto"/>
                                    <w:bottom w:val="none" w:sz="0" w:space="0" w:color="auto"/>
                                    <w:right w:val="none" w:sz="0" w:space="0" w:color="auto"/>
                                  </w:divBdr>
                                  <w:divsChild>
                                    <w:div w:id="604000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05776064">
      <w:bodyDiv w:val="1"/>
      <w:marLeft w:val="0"/>
      <w:marRight w:val="0"/>
      <w:marTop w:val="0"/>
      <w:marBottom w:val="0"/>
      <w:divBdr>
        <w:top w:val="none" w:sz="0" w:space="0" w:color="auto"/>
        <w:left w:val="none" w:sz="0" w:space="0" w:color="auto"/>
        <w:bottom w:val="none" w:sz="0" w:space="0" w:color="auto"/>
        <w:right w:val="none" w:sz="0" w:space="0" w:color="auto"/>
      </w:divBdr>
    </w:div>
    <w:div w:id="646784341">
      <w:bodyDiv w:val="1"/>
      <w:marLeft w:val="0"/>
      <w:marRight w:val="0"/>
      <w:marTop w:val="0"/>
      <w:marBottom w:val="0"/>
      <w:divBdr>
        <w:top w:val="none" w:sz="0" w:space="0" w:color="auto"/>
        <w:left w:val="none" w:sz="0" w:space="0" w:color="auto"/>
        <w:bottom w:val="none" w:sz="0" w:space="0" w:color="auto"/>
        <w:right w:val="none" w:sz="0" w:space="0" w:color="auto"/>
      </w:divBdr>
    </w:div>
    <w:div w:id="683090086">
      <w:bodyDiv w:val="1"/>
      <w:marLeft w:val="0"/>
      <w:marRight w:val="0"/>
      <w:marTop w:val="0"/>
      <w:marBottom w:val="0"/>
      <w:divBdr>
        <w:top w:val="none" w:sz="0" w:space="0" w:color="auto"/>
        <w:left w:val="none" w:sz="0" w:space="0" w:color="auto"/>
        <w:bottom w:val="none" w:sz="0" w:space="0" w:color="auto"/>
        <w:right w:val="none" w:sz="0" w:space="0" w:color="auto"/>
      </w:divBdr>
    </w:div>
    <w:div w:id="689405908">
      <w:bodyDiv w:val="1"/>
      <w:marLeft w:val="0"/>
      <w:marRight w:val="0"/>
      <w:marTop w:val="0"/>
      <w:marBottom w:val="0"/>
      <w:divBdr>
        <w:top w:val="none" w:sz="0" w:space="0" w:color="auto"/>
        <w:left w:val="none" w:sz="0" w:space="0" w:color="auto"/>
        <w:bottom w:val="none" w:sz="0" w:space="0" w:color="auto"/>
        <w:right w:val="none" w:sz="0" w:space="0" w:color="auto"/>
      </w:divBdr>
    </w:div>
    <w:div w:id="777868404">
      <w:bodyDiv w:val="1"/>
      <w:marLeft w:val="0"/>
      <w:marRight w:val="0"/>
      <w:marTop w:val="0"/>
      <w:marBottom w:val="0"/>
      <w:divBdr>
        <w:top w:val="none" w:sz="0" w:space="0" w:color="auto"/>
        <w:left w:val="none" w:sz="0" w:space="0" w:color="auto"/>
        <w:bottom w:val="none" w:sz="0" w:space="0" w:color="auto"/>
        <w:right w:val="none" w:sz="0" w:space="0" w:color="auto"/>
      </w:divBdr>
    </w:div>
    <w:div w:id="780688644">
      <w:bodyDiv w:val="1"/>
      <w:marLeft w:val="0"/>
      <w:marRight w:val="0"/>
      <w:marTop w:val="0"/>
      <w:marBottom w:val="0"/>
      <w:divBdr>
        <w:top w:val="none" w:sz="0" w:space="0" w:color="auto"/>
        <w:left w:val="none" w:sz="0" w:space="0" w:color="auto"/>
        <w:bottom w:val="none" w:sz="0" w:space="0" w:color="auto"/>
        <w:right w:val="none" w:sz="0" w:space="0" w:color="auto"/>
      </w:divBdr>
    </w:div>
    <w:div w:id="794101784">
      <w:bodyDiv w:val="1"/>
      <w:marLeft w:val="0"/>
      <w:marRight w:val="0"/>
      <w:marTop w:val="0"/>
      <w:marBottom w:val="0"/>
      <w:divBdr>
        <w:top w:val="none" w:sz="0" w:space="0" w:color="auto"/>
        <w:left w:val="none" w:sz="0" w:space="0" w:color="auto"/>
        <w:bottom w:val="none" w:sz="0" w:space="0" w:color="auto"/>
        <w:right w:val="none" w:sz="0" w:space="0" w:color="auto"/>
      </w:divBdr>
    </w:div>
    <w:div w:id="976491365">
      <w:bodyDiv w:val="1"/>
      <w:marLeft w:val="0"/>
      <w:marRight w:val="0"/>
      <w:marTop w:val="0"/>
      <w:marBottom w:val="0"/>
      <w:divBdr>
        <w:top w:val="none" w:sz="0" w:space="0" w:color="auto"/>
        <w:left w:val="none" w:sz="0" w:space="0" w:color="auto"/>
        <w:bottom w:val="none" w:sz="0" w:space="0" w:color="auto"/>
        <w:right w:val="none" w:sz="0" w:space="0" w:color="auto"/>
      </w:divBdr>
      <w:divsChild>
        <w:div w:id="67382321">
          <w:marLeft w:val="0"/>
          <w:marRight w:val="0"/>
          <w:marTop w:val="0"/>
          <w:marBottom w:val="0"/>
          <w:divBdr>
            <w:top w:val="none" w:sz="0" w:space="0" w:color="auto"/>
            <w:left w:val="none" w:sz="0" w:space="0" w:color="auto"/>
            <w:bottom w:val="none" w:sz="0" w:space="0" w:color="auto"/>
            <w:right w:val="none" w:sz="0" w:space="0" w:color="auto"/>
          </w:divBdr>
        </w:div>
        <w:div w:id="413744287">
          <w:marLeft w:val="0"/>
          <w:marRight w:val="0"/>
          <w:marTop w:val="0"/>
          <w:marBottom w:val="0"/>
          <w:divBdr>
            <w:top w:val="none" w:sz="0" w:space="0" w:color="auto"/>
            <w:left w:val="none" w:sz="0" w:space="0" w:color="auto"/>
            <w:bottom w:val="none" w:sz="0" w:space="0" w:color="auto"/>
            <w:right w:val="none" w:sz="0" w:space="0" w:color="auto"/>
          </w:divBdr>
        </w:div>
        <w:div w:id="1056244052">
          <w:marLeft w:val="0"/>
          <w:marRight w:val="0"/>
          <w:marTop w:val="0"/>
          <w:marBottom w:val="0"/>
          <w:divBdr>
            <w:top w:val="none" w:sz="0" w:space="0" w:color="auto"/>
            <w:left w:val="none" w:sz="0" w:space="0" w:color="auto"/>
            <w:bottom w:val="none" w:sz="0" w:space="0" w:color="auto"/>
            <w:right w:val="none" w:sz="0" w:space="0" w:color="auto"/>
          </w:divBdr>
        </w:div>
        <w:div w:id="1448115784">
          <w:marLeft w:val="0"/>
          <w:marRight w:val="0"/>
          <w:marTop w:val="0"/>
          <w:marBottom w:val="0"/>
          <w:divBdr>
            <w:top w:val="none" w:sz="0" w:space="0" w:color="auto"/>
            <w:left w:val="none" w:sz="0" w:space="0" w:color="auto"/>
            <w:bottom w:val="none" w:sz="0" w:space="0" w:color="auto"/>
            <w:right w:val="none" w:sz="0" w:space="0" w:color="auto"/>
          </w:divBdr>
        </w:div>
        <w:div w:id="1531727364">
          <w:marLeft w:val="0"/>
          <w:marRight w:val="0"/>
          <w:marTop w:val="0"/>
          <w:marBottom w:val="0"/>
          <w:divBdr>
            <w:top w:val="none" w:sz="0" w:space="0" w:color="auto"/>
            <w:left w:val="none" w:sz="0" w:space="0" w:color="auto"/>
            <w:bottom w:val="none" w:sz="0" w:space="0" w:color="auto"/>
            <w:right w:val="none" w:sz="0" w:space="0" w:color="auto"/>
          </w:divBdr>
        </w:div>
      </w:divsChild>
    </w:div>
    <w:div w:id="1011298268">
      <w:bodyDiv w:val="1"/>
      <w:marLeft w:val="0"/>
      <w:marRight w:val="0"/>
      <w:marTop w:val="0"/>
      <w:marBottom w:val="0"/>
      <w:divBdr>
        <w:top w:val="none" w:sz="0" w:space="0" w:color="auto"/>
        <w:left w:val="none" w:sz="0" w:space="0" w:color="auto"/>
        <w:bottom w:val="none" w:sz="0" w:space="0" w:color="auto"/>
        <w:right w:val="none" w:sz="0" w:space="0" w:color="auto"/>
      </w:divBdr>
    </w:div>
    <w:div w:id="1043021559">
      <w:bodyDiv w:val="1"/>
      <w:marLeft w:val="0"/>
      <w:marRight w:val="0"/>
      <w:marTop w:val="0"/>
      <w:marBottom w:val="0"/>
      <w:divBdr>
        <w:top w:val="none" w:sz="0" w:space="0" w:color="auto"/>
        <w:left w:val="none" w:sz="0" w:space="0" w:color="auto"/>
        <w:bottom w:val="none" w:sz="0" w:space="0" w:color="auto"/>
        <w:right w:val="none" w:sz="0" w:space="0" w:color="auto"/>
      </w:divBdr>
    </w:div>
    <w:div w:id="1072966211">
      <w:bodyDiv w:val="1"/>
      <w:marLeft w:val="0"/>
      <w:marRight w:val="0"/>
      <w:marTop w:val="0"/>
      <w:marBottom w:val="0"/>
      <w:divBdr>
        <w:top w:val="none" w:sz="0" w:space="0" w:color="auto"/>
        <w:left w:val="none" w:sz="0" w:space="0" w:color="auto"/>
        <w:bottom w:val="none" w:sz="0" w:space="0" w:color="auto"/>
        <w:right w:val="none" w:sz="0" w:space="0" w:color="auto"/>
      </w:divBdr>
    </w:div>
    <w:div w:id="1075972693">
      <w:bodyDiv w:val="1"/>
      <w:marLeft w:val="0"/>
      <w:marRight w:val="0"/>
      <w:marTop w:val="0"/>
      <w:marBottom w:val="0"/>
      <w:divBdr>
        <w:top w:val="none" w:sz="0" w:space="0" w:color="auto"/>
        <w:left w:val="none" w:sz="0" w:space="0" w:color="auto"/>
        <w:bottom w:val="none" w:sz="0" w:space="0" w:color="auto"/>
        <w:right w:val="none" w:sz="0" w:space="0" w:color="auto"/>
      </w:divBdr>
    </w:div>
    <w:div w:id="1091705683">
      <w:bodyDiv w:val="1"/>
      <w:marLeft w:val="0"/>
      <w:marRight w:val="0"/>
      <w:marTop w:val="0"/>
      <w:marBottom w:val="0"/>
      <w:divBdr>
        <w:top w:val="none" w:sz="0" w:space="0" w:color="auto"/>
        <w:left w:val="none" w:sz="0" w:space="0" w:color="auto"/>
        <w:bottom w:val="none" w:sz="0" w:space="0" w:color="auto"/>
        <w:right w:val="none" w:sz="0" w:space="0" w:color="auto"/>
      </w:divBdr>
    </w:div>
    <w:div w:id="1100881138">
      <w:bodyDiv w:val="1"/>
      <w:marLeft w:val="0"/>
      <w:marRight w:val="0"/>
      <w:marTop w:val="0"/>
      <w:marBottom w:val="0"/>
      <w:divBdr>
        <w:top w:val="none" w:sz="0" w:space="0" w:color="auto"/>
        <w:left w:val="none" w:sz="0" w:space="0" w:color="auto"/>
        <w:bottom w:val="none" w:sz="0" w:space="0" w:color="auto"/>
        <w:right w:val="none" w:sz="0" w:space="0" w:color="auto"/>
      </w:divBdr>
    </w:div>
    <w:div w:id="1123616341">
      <w:bodyDiv w:val="1"/>
      <w:marLeft w:val="0"/>
      <w:marRight w:val="0"/>
      <w:marTop w:val="0"/>
      <w:marBottom w:val="0"/>
      <w:divBdr>
        <w:top w:val="none" w:sz="0" w:space="0" w:color="auto"/>
        <w:left w:val="none" w:sz="0" w:space="0" w:color="auto"/>
        <w:bottom w:val="none" w:sz="0" w:space="0" w:color="auto"/>
        <w:right w:val="none" w:sz="0" w:space="0" w:color="auto"/>
      </w:divBdr>
    </w:div>
    <w:div w:id="1171330354">
      <w:bodyDiv w:val="1"/>
      <w:marLeft w:val="0"/>
      <w:marRight w:val="0"/>
      <w:marTop w:val="0"/>
      <w:marBottom w:val="0"/>
      <w:divBdr>
        <w:top w:val="none" w:sz="0" w:space="0" w:color="auto"/>
        <w:left w:val="none" w:sz="0" w:space="0" w:color="auto"/>
        <w:bottom w:val="none" w:sz="0" w:space="0" w:color="auto"/>
        <w:right w:val="none" w:sz="0" w:space="0" w:color="auto"/>
      </w:divBdr>
    </w:div>
    <w:div w:id="1184398980">
      <w:bodyDiv w:val="1"/>
      <w:marLeft w:val="0"/>
      <w:marRight w:val="0"/>
      <w:marTop w:val="0"/>
      <w:marBottom w:val="0"/>
      <w:divBdr>
        <w:top w:val="none" w:sz="0" w:space="0" w:color="auto"/>
        <w:left w:val="none" w:sz="0" w:space="0" w:color="auto"/>
        <w:bottom w:val="none" w:sz="0" w:space="0" w:color="auto"/>
        <w:right w:val="none" w:sz="0" w:space="0" w:color="auto"/>
      </w:divBdr>
    </w:div>
    <w:div w:id="1223247237">
      <w:bodyDiv w:val="1"/>
      <w:marLeft w:val="0"/>
      <w:marRight w:val="0"/>
      <w:marTop w:val="0"/>
      <w:marBottom w:val="0"/>
      <w:divBdr>
        <w:top w:val="none" w:sz="0" w:space="0" w:color="auto"/>
        <w:left w:val="none" w:sz="0" w:space="0" w:color="auto"/>
        <w:bottom w:val="none" w:sz="0" w:space="0" w:color="auto"/>
        <w:right w:val="none" w:sz="0" w:space="0" w:color="auto"/>
      </w:divBdr>
    </w:div>
    <w:div w:id="1239055723">
      <w:bodyDiv w:val="1"/>
      <w:marLeft w:val="0"/>
      <w:marRight w:val="0"/>
      <w:marTop w:val="0"/>
      <w:marBottom w:val="0"/>
      <w:divBdr>
        <w:top w:val="none" w:sz="0" w:space="0" w:color="auto"/>
        <w:left w:val="none" w:sz="0" w:space="0" w:color="auto"/>
        <w:bottom w:val="none" w:sz="0" w:space="0" w:color="auto"/>
        <w:right w:val="none" w:sz="0" w:space="0" w:color="auto"/>
      </w:divBdr>
    </w:div>
    <w:div w:id="1302467911">
      <w:bodyDiv w:val="1"/>
      <w:marLeft w:val="0"/>
      <w:marRight w:val="0"/>
      <w:marTop w:val="0"/>
      <w:marBottom w:val="0"/>
      <w:divBdr>
        <w:top w:val="none" w:sz="0" w:space="0" w:color="auto"/>
        <w:left w:val="none" w:sz="0" w:space="0" w:color="auto"/>
        <w:bottom w:val="none" w:sz="0" w:space="0" w:color="auto"/>
        <w:right w:val="none" w:sz="0" w:space="0" w:color="auto"/>
      </w:divBdr>
    </w:div>
    <w:div w:id="1417168340">
      <w:bodyDiv w:val="1"/>
      <w:marLeft w:val="0"/>
      <w:marRight w:val="0"/>
      <w:marTop w:val="0"/>
      <w:marBottom w:val="0"/>
      <w:divBdr>
        <w:top w:val="none" w:sz="0" w:space="0" w:color="auto"/>
        <w:left w:val="none" w:sz="0" w:space="0" w:color="auto"/>
        <w:bottom w:val="none" w:sz="0" w:space="0" w:color="auto"/>
        <w:right w:val="none" w:sz="0" w:space="0" w:color="auto"/>
      </w:divBdr>
    </w:div>
    <w:div w:id="1440905385">
      <w:bodyDiv w:val="1"/>
      <w:marLeft w:val="0"/>
      <w:marRight w:val="0"/>
      <w:marTop w:val="0"/>
      <w:marBottom w:val="0"/>
      <w:divBdr>
        <w:top w:val="none" w:sz="0" w:space="0" w:color="auto"/>
        <w:left w:val="none" w:sz="0" w:space="0" w:color="auto"/>
        <w:bottom w:val="none" w:sz="0" w:space="0" w:color="auto"/>
        <w:right w:val="none" w:sz="0" w:space="0" w:color="auto"/>
      </w:divBdr>
      <w:divsChild>
        <w:div w:id="1464231615">
          <w:marLeft w:val="0"/>
          <w:marRight w:val="0"/>
          <w:marTop w:val="0"/>
          <w:marBottom w:val="0"/>
          <w:divBdr>
            <w:top w:val="none" w:sz="0" w:space="0" w:color="auto"/>
            <w:left w:val="none" w:sz="0" w:space="0" w:color="auto"/>
            <w:bottom w:val="none" w:sz="0" w:space="0" w:color="auto"/>
            <w:right w:val="none" w:sz="0" w:space="0" w:color="auto"/>
          </w:divBdr>
        </w:div>
        <w:div w:id="1523321385">
          <w:marLeft w:val="0"/>
          <w:marRight w:val="0"/>
          <w:marTop w:val="0"/>
          <w:marBottom w:val="0"/>
          <w:divBdr>
            <w:top w:val="none" w:sz="0" w:space="0" w:color="auto"/>
            <w:left w:val="none" w:sz="0" w:space="0" w:color="auto"/>
            <w:bottom w:val="none" w:sz="0" w:space="0" w:color="auto"/>
            <w:right w:val="none" w:sz="0" w:space="0" w:color="auto"/>
          </w:divBdr>
        </w:div>
      </w:divsChild>
    </w:div>
    <w:div w:id="1443186532">
      <w:bodyDiv w:val="1"/>
      <w:marLeft w:val="0"/>
      <w:marRight w:val="0"/>
      <w:marTop w:val="0"/>
      <w:marBottom w:val="0"/>
      <w:divBdr>
        <w:top w:val="none" w:sz="0" w:space="0" w:color="auto"/>
        <w:left w:val="none" w:sz="0" w:space="0" w:color="auto"/>
        <w:bottom w:val="none" w:sz="0" w:space="0" w:color="auto"/>
        <w:right w:val="none" w:sz="0" w:space="0" w:color="auto"/>
      </w:divBdr>
    </w:div>
    <w:div w:id="1507163411">
      <w:bodyDiv w:val="1"/>
      <w:marLeft w:val="0"/>
      <w:marRight w:val="0"/>
      <w:marTop w:val="0"/>
      <w:marBottom w:val="0"/>
      <w:divBdr>
        <w:top w:val="none" w:sz="0" w:space="0" w:color="auto"/>
        <w:left w:val="none" w:sz="0" w:space="0" w:color="auto"/>
        <w:bottom w:val="none" w:sz="0" w:space="0" w:color="auto"/>
        <w:right w:val="none" w:sz="0" w:space="0" w:color="auto"/>
      </w:divBdr>
    </w:div>
    <w:div w:id="1511942541">
      <w:bodyDiv w:val="1"/>
      <w:marLeft w:val="0"/>
      <w:marRight w:val="0"/>
      <w:marTop w:val="0"/>
      <w:marBottom w:val="0"/>
      <w:divBdr>
        <w:top w:val="none" w:sz="0" w:space="0" w:color="auto"/>
        <w:left w:val="none" w:sz="0" w:space="0" w:color="auto"/>
        <w:bottom w:val="none" w:sz="0" w:space="0" w:color="auto"/>
        <w:right w:val="none" w:sz="0" w:space="0" w:color="auto"/>
      </w:divBdr>
      <w:divsChild>
        <w:div w:id="461852159">
          <w:marLeft w:val="0"/>
          <w:marRight w:val="0"/>
          <w:marTop w:val="0"/>
          <w:marBottom w:val="0"/>
          <w:divBdr>
            <w:top w:val="none" w:sz="0" w:space="0" w:color="auto"/>
            <w:left w:val="none" w:sz="0" w:space="0" w:color="auto"/>
            <w:bottom w:val="none" w:sz="0" w:space="0" w:color="auto"/>
            <w:right w:val="none" w:sz="0" w:space="0" w:color="auto"/>
          </w:divBdr>
        </w:div>
        <w:div w:id="673924696">
          <w:marLeft w:val="0"/>
          <w:marRight w:val="0"/>
          <w:marTop w:val="0"/>
          <w:marBottom w:val="0"/>
          <w:divBdr>
            <w:top w:val="none" w:sz="0" w:space="0" w:color="auto"/>
            <w:left w:val="none" w:sz="0" w:space="0" w:color="auto"/>
            <w:bottom w:val="none" w:sz="0" w:space="0" w:color="auto"/>
            <w:right w:val="none" w:sz="0" w:space="0" w:color="auto"/>
          </w:divBdr>
        </w:div>
        <w:div w:id="1088961577">
          <w:marLeft w:val="0"/>
          <w:marRight w:val="75"/>
          <w:marTop w:val="0"/>
          <w:marBottom w:val="0"/>
          <w:divBdr>
            <w:top w:val="none" w:sz="0" w:space="0" w:color="auto"/>
            <w:left w:val="none" w:sz="0" w:space="0" w:color="auto"/>
            <w:bottom w:val="none" w:sz="0" w:space="0" w:color="auto"/>
            <w:right w:val="none" w:sz="0" w:space="0" w:color="auto"/>
          </w:divBdr>
        </w:div>
        <w:div w:id="1657687807">
          <w:marLeft w:val="0"/>
          <w:marRight w:val="75"/>
          <w:marTop w:val="0"/>
          <w:marBottom w:val="0"/>
          <w:divBdr>
            <w:top w:val="none" w:sz="0" w:space="0" w:color="auto"/>
            <w:left w:val="none" w:sz="0" w:space="0" w:color="auto"/>
            <w:bottom w:val="none" w:sz="0" w:space="0" w:color="auto"/>
            <w:right w:val="none" w:sz="0" w:space="0" w:color="auto"/>
          </w:divBdr>
        </w:div>
      </w:divsChild>
    </w:div>
    <w:div w:id="1557668923">
      <w:bodyDiv w:val="1"/>
      <w:marLeft w:val="0"/>
      <w:marRight w:val="0"/>
      <w:marTop w:val="0"/>
      <w:marBottom w:val="0"/>
      <w:divBdr>
        <w:top w:val="none" w:sz="0" w:space="0" w:color="auto"/>
        <w:left w:val="none" w:sz="0" w:space="0" w:color="auto"/>
        <w:bottom w:val="none" w:sz="0" w:space="0" w:color="auto"/>
        <w:right w:val="none" w:sz="0" w:space="0" w:color="auto"/>
      </w:divBdr>
      <w:divsChild>
        <w:div w:id="121581796">
          <w:marLeft w:val="0"/>
          <w:marRight w:val="0"/>
          <w:marTop w:val="0"/>
          <w:marBottom w:val="0"/>
          <w:divBdr>
            <w:top w:val="none" w:sz="0" w:space="0" w:color="auto"/>
            <w:left w:val="none" w:sz="0" w:space="0" w:color="auto"/>
            <w:bottom w:val="none" w:sz="0" w:space="0" w:color="auto"/>
            <w:right w:val="none" w:sz="0" w:space="0" w:color="auto"/>
          </w:divBdr>
        </w:div>
        <w:div w:id="798381057">
          <w:marLeft w:val="0"/>
          <w:marRight w:val="0"/>
          <w:marTop w:val="0"/>
          <w:marBottom w:val="0"/>
          <w:divBdr>
            <w:top w:val="none" w:sz="0" w:space="0" w:color="auto"/>
            <w:left w:val="none" w:sz="0" w:space="0" w:color="auto"/>
            <w:bottom w:val="none" w:sz="0" w:space="0" w:color="auto"/>
            <w:right w:val="none" w:sz="0" w:space="0" w:color="auto"/>
          </w:divBdr>
        </w:div>
      </w:divsChild>
    </w:div>
    <w:div w:id="1617054629">
      <w:bodyDiv w:val="1"/>
      <w:marLeft w:val="0"/>
      <w:marRight w:val="0"/>
      <w:marTop w:val="0"/>
      <w:marBottom w:val="0"/>
      <w:divBdr>
        <w:top w:val="none" w:sz="0" w:space="0" w:color="auto"/>
        <w:left w:val="none" w:sz="0" w:space="0" w:color="auto"/>
        <w:bottom w:val="none" w:sz="0" w:space="0" w:color="auto"/>
        <w:right w:val="none" w:sz="0" w:space="0" w:color="auto"/>
      </w:divBdr>
      <w:divsChild>
        <w:div w:id="1135835284">
          <w:marLeft w:val="0"/>
          <w:marRight w:val="0"/>
          <w:marTop w:val="0"/>
          <w:marBottom w:val="0"/>
          <w:divBdr>
            <w:top w:val="none" w:sz="0" w:space="0" w:color="auto"/>
            <w:left w:val="none" w:sz="0" w:space="0" w:color="auto"/>
            <w:bottom w:val="none" w:sz="0" w:space="0" w:color="auto"/>
            <w:right w:val="none" w:sz="0" w:space="0" w:color="auto"/>
          </w:divBdr>
          <w:divsChild>
            <w:div w:id="468983298">
              <w:marLeft w:val="0"/>
              <w:marRight w:val="0"/>
              <w:marTop w:val="0"/>
              <w:marBottom w:val="0"/>
              <w:divBdr>
                <w:top w:val="none" w:sz="0" w:space="0" w:color="auto"/>
                <w:left w:val="none" w:sz="0" w:space="0" w:color="auto"/>
                <w:bottom w:val="none" w:sz="0" w:space="0" w:color="auto"/>
                <w:right w:val="none" w:sz="0" w:space="0" w:color="auto"/>
              </w:divBdr>
              <w:divsChild>
                <w:div w:id="271212158">
                  <w:marLeft w:val="0"/>
                  <w:marRight w:val="0"/>
                  <w:marTop w:val="0"/>
                  <w:marBottom w:val="0"/>
                  <w:divBdr>
                    <w:top w:val="none" w:sz="0" w:space="0" w:color="auto"/>
                    <w:left w:val="none" w:sz="0" w:space="0" w:color="auto"/>
                    <w:bottom w:val="none" w:sz="0" w:space="0" w:color="auto"/>
                    <w:right w:val="none" w:sz="0" w:space="0" w:color="auto"/>
                  </w:divBdr>
                  <w:divsChild>
                    <w:div w:id="8258697">
                      <w:marLeft w:val="-360"/>
                      <w:marRight w:val="0"/>
                      <w:marTop w:val="0"/>
                      <w:marBottom w:val="0"/>
                      <w:divBdr>
                        <w:top w:val="none" w:sz="0" w:space="0" w:color="auto"/>
                        <w:left w:val="none" w:sz="0" w:space="0" w:color="auto"/>
                        <w:bottom w:val="none" w:sz="0" w:space="0" w:color="auto"/>
                        <w:right w:val="none" w:sz="0" w:space="0" w:color="auto"/>
                      </w:divBdr>
                      <w:divsChild>
                        <w:div w:id="1493134821">
                          <w:marLeft w:val="0"/>
                          <w:marRight w:val="0"/>
                          <w:marTop w:val="0"/>
                          <w:marBottom w:val="0"/>
                          <w:divBdr>
                            <w:top w:val="none" w:sz="0" w:space="0" w:color="auto"/>
                            <w:left w:val="none" w:sz="0" w:space="0" w:color="auto"/>
                            <w:bottom w:val="none" w:sz="0" w:space="0" w:color="auto"/>
                            <w:right w:val="none" w:sz="0" w:space="0" w:color="auto"/>
                          </w:divBdr>
                          <w:divsChild>
                            <w:div w:id="745953382">
                              <w:marLeft w:val="0"/>
                              <w:marRight w:val="0"/>
                              <w:marTop w:val="0"/>
                              <w:marBottom w:val="0"/>
                              <w:divBdr>
                                <w:top w:val="none" w:sz="0" w:space="0" w:color="auto"/>
                                <w:left w:val="none" w:sz="0" w:space="0" w:color="auto"/>
                                <w:bottom w:val="none" w:sz="0" w:space="0" w:color="auto"/>
                                <w:right w:val="none" w:sz="0" w:space="0" w:color="auto"/>
                              </w:divBdr>
                              <w:divsChild>
                                <w:div w:id="740643420">
                                  <w:marLeft w:val="0"/>
                                  <w:marRight w:val="0"/>
                                  <w:marTop w:val="0"/>
                                  <w:marBottom w:val="0"/>
                                  <w:divBdr>
                                    <w:top w:val="none" w:sz="0" w:space="0" w:color="auto"/>
                                    <w:left w:val="none" w:sz="0" w:space="0" w:color="auto"/>
                                    <w:bottom w:val="none" w:sz="0" w:space="0" w:color="auto"/>
                                    <w:right w:val="none" w:sz="0" w:space="0" w:color="auto"/>
                                  </w:divBdr>
                                  <w:divsChild>
                                    <w:div w:id="562646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16006040">
      <w:bodyDiv w:val="1"/>
      <w:marLeft w:val="0"/>
      <w:marRight w:val="0"/>
      <w:marTop w:val="0"/>
      <w:marBottom w:val="0"/>
      <w:divBdr>
        <w:top w:val="none" w:sz="0" w:space="0" w:color="auto"/>
        <w:left w:val="none" w:sz="0" w:space="0" w:color="auto"/>
        <w:bottom w:val="none" w:sz="0" w:space="0" w:color="auto"/>
        <w:right w:val="none" w:sz="0" w:space="0" w:color="auto"/>
      </w:divBdr>
      <w:divsChild>
        <w:div w:id="32459804">
          <w:marLeft w:val="0"/>
          <w:marRight w:val="0"/>
          <w:marTop w:val="0"/>
          <w:marBottom w:val="0"/>
          <w:divBdr>
            <w:top w:val="none" w:sz="0" w:space="0" w:color="auto"/>
            <w:left w:val="none" w:sz="0" w:space="0" w:color="auto"/>
            <w:bottom w:val="none" w:sz="0" w:space="0" w:color="auto"/>
            <w:right w:val="none" w:sz="0" w:space="0" w:color="auto"/>
          </w:divBdr>
          <w:divsChild>
            <w:div w:id="420369490">
              <w:marLeft w:val="0"/>
              <w:marRight w:val="0"/>
              <w:marTop w:val="0"/>
              <w:marBottom w:val="0"/>
              <w:divBdr>
                <w:top w:val="none" w:sz="0" w:space="0" w:color="auto"/>
                <w:left w:val="none" w:sz="0" w:space="0" w:color="auto"/>
                <w:bottom w:val="none" w:sz="0" w:space="0" w:color="auto"/>
                <w:right w:val="none" w:sz="0" w:space="0" w:color="auto"/>
              </w:divBdr>
              <w:divsChild>
                <w:div w:id="755781451">
                  <w:marLeft w:val="0"/>
                  <w:marRight w:val="0"/>
                  <w:marTop w:val="0"/>
                  <w:marBottom w:val="0"/>
                  <w:divBdr>
                    <w:top w:val="none" w:sz="0" w:space="0" w:color="auto"/>
                    <w:left w:val="none" w:sz="0" w:space="0" w:color="auto"/>
                    <w:bottom w:val="none" w:sz="0" w:space="0" w:color="auto"/>
                    <w:right w:val="none" w:sz="0" w:space="0" w:color="auto"/>
                  </w:divBdr>
                  <w:divsChild>
                    <w:div w:id="1061290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0934540">
      <w:bodyDiv w:val="1"/>
      <w:marLeft w:val="0"/>
      <w:marRight w:val="0"/>
      <w:marTop w:val="0"/>
      <w:marBottom w:val="0"/>
      <w:divBdr>
        <w:top w:val="none" w:sz="0" w:space="0" w:color="auto"/>
        <w:left w:val="none" w:sz="0" w:space="0" w:color="auto"/>
        <w:bottom w:val="none" w:sz="0" w:space="0" w:color="auto"/>
        <w:right w:val="none" w:sz="0" w:space="0" w:color="auto"/>
      </w:divBdr>
      <w:divsChild>
        <w:div w:id="325012121">
          <w:marLeft w:val="0"/>
          <w:marRight w:val="0"/>
          <w:marTop w:val="0"/>
          <w:marBottom w:val="0"/>
          <w:divBdr>
            <w:top w:val="none" w:sz="0" w:space="0" w:color="auto"/>
            <w:left w:val="none" w:sz="0" w:space="0" w:color="auto"/>
            <w:bottom w:val="none" w:sz="0" w:space="0" w:color="auto"/>
            <w:right w:val="none" w:sz="0" w:space="0" w:color="auto"/>
          </w:divBdr>
          <w:divsChild>
            <w:div w:id="2059236858">
              <w:marLeft w:val="0"/>
              <w:marRight w:val="0"/>
              <w:marTop w:val="0"/>
              <w:marBottom w:val="0"/>
              <w:divBdr>
                <w:top w:val="none" w:sz="0" w:space="0" w:color="auto"/>
                <w:left w:val="none" w:sz="0" w:space="0" w:color="auto"/>
                <w:bottom w:val="none" w:sz="0" w:space="0" w:color="auto"/>
                <w:right w:val="none" w:sz="0" w:space="0" w:color="auto"/>
              </w:divBdr>
              <w:divsChild>
                <w:div w:id="467017099">
                  <w:marLeft w:val="0"/>
                  <w:marRight w:val="0"/>
                  <w:marTop w:val="0"/>
                  <w:marBottom w:val="0"/>
                  <w:divBdr>
                    <w:top w:val="none" w:sz="0" w:space="0" w:color="auto"/>
                    <w:left w:val="none" w:sz="0" w:space="0" w:color="auto"/>
                    <w:bottom w:val="none" w:sz="0" w:space="0" w:color="auto"/>
                    <w:right w:val="none" w:sz="0" w:space="0" w:color="auto"/>
                  </w:divBdr>
                  <w:divsChild>
                    <w:div w:id="1059866733">
                      <w:marLeft w:val="-360"/>
                      <w:marRight w:val="0"/>
                      <w:marTop w:val="0"/>
                      <w:marBottom w:val="0"/>
                      <w:divBdr>
                        <w:top w:val="none" w:sz="0" w:space="0" w:color="auto"/>
                        <w:left w:val="none" w:sz="0" w:space="0" w:color="auto"/>
                        <w:bottom w:val="none" w:sz="0" w:space="0" w:color="auto"/>
                        <w:right w:val="none" w:sz="0" w:space="0" w:color="auto"/>
                      </w:divBdr>
                      <w:divsChild>
                        <w:div w:id="1279877502">
                          <w:marLeft w:val="0"/>
                          <w:marRight w:val="0"/>
                          <w:marTop w:val="0"/>
                          <w:marBottom w:val="0"/>
                          <w:divBdr>
                            <w:top w:val="none" w:sz="0" w:space="0" w:color="auto"/>
                            <w:left w:val="none" w:sz="0" w:space="0" w:color="auto"/>
                            <w:bottom w:val="none" w:sz="0" w:space="0" w:color="auto"/>
                            <w:right w:val="none" w:sz="0" w:space="0" w:color="auto"/>
                          </w:divBdr>
                          <w:divsChild>
                            <w:div w:id="1685325776">
                              <w:marLeft w:val="0"/>
                              <w:marRight w:val="0"/>
                              <w:marTop w:val="0"/>
                              <w:marBottom w:val="0"/>
                              <w:divBdr>
                                <w:top w:val="none" w:sz="0" w:space="0" w:color="auto"/>
                                <w:left w:val="none" w:sz="0" w:space="0" w:color="auto"/>
                                <w:bottom w:val="none" w:sz="0" w:space="0" w:color="auto"/>
                                <w:right w:val="none" w:sz="0" w:space="0" w:color="auto"/>
                              </w:divBdr>
                              <w:divsChild>
                                <w:div w:id="129716482">
                                  <w:marLeft w:val="0"/>
                                  <w:marRight w:val="0"/>
                                  <w:marTop w:val="0"/>
                                  <w:marBottom w:val="0"/>
                                  <w:divBdr>
                                    <w:top w:val="none" w:sz="0" w:space="0" w:color="auto"/>
                                    <w:left w:val="none" w:sz="0" w:space="0" w:color="auto"/>
                                    <w:bottom w:val="none" w:sz="0" w:space="0" w:color="auto"/>
                                    <w:right w:val="none" w:sz="0" w:space="0" w:color="auto"/>
                                  </w:divBdr>
                                  <w:divsChild>
                                    <w:div w:id="608925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8310370">
      <w:bodyDiv w:val="1"/>
      <w:marLeft w:val="0"/>
      <w:marRight w:val="0"/>
      <w:marTop w:val="0"/>
      <w:marBottom w:val="0"/>
      <w:divBdr>
        <w:top w:val="none" w:sz="0" w:space="0" w:color="auto"/>
        <w:left w:val="none" w:sz="0" w:space="0" w:color="auto"/>
        <w:bottom w:val="none" w:sz="0" w:space="0" w:color="auto"/>
        <w:right w:val="none" w:sz="0" w:space="0" w:color="auto"/>
      </w:divBdr>
    </w:div>
    <w:div w:id="1779988852">
      <w:bodyDiv w:val="1"/>
      <w:marLeft w:val="0"/>
      <w:marRight w:val="0"/>
      <w:marTop w:val="0"/>
      <w:marBottom w:val="0"/>
      <w:divBdr>
        <w:top w:val="none" w:sz="0" w:space="0" w:color="auto"/>
        <w:left w:val="none" w:sz="0" w:space="0" w:color="auto"/>
        <w:bottom w:val="none" w:sz="0" w:space="0" w:color="auto"/>
        <w:right w:val="none" w:sz="0" w:space="0" w:color="auto"/>
      </w:divBdr>
    </w:div>
    <w:div w:id="1870947917">
      <w:bodyDiv w:val="1"/>
      <w:marLeft w:val="0"/>
      <w:marRight w:val="0"/>
      <w:marTop w:val="0"/>
      <w:marBottom w:val="0"/>
      <w:divBdr>
        <w:top w:val="none" w:sz="0" w:space="0" w:color="auto"/>
        <w:left w:val="none" w:sz="0" w:space="0" w:color="auto"/>
        <w:bottom w:val="none" w:sz="0" w:space="0" w:color="auto"/>
        <w:right w:val="none" w:sz="0" w:space="0" w:color="auto"/>
      </w:divBdr>
    </w:div>
    <w:div w:id="1897888885">
      <w:bodyDiv w:val="1"/>
      <w:marLeft w:val="0"/>
      <w:marRight w:val="0"/>
      <w:marTop w:val="0"/>
      <w:marBottom w:val="0"/>
      <w:divBdr>
        <w:top w:val="none" w:sz="0" w:space="0" w:color="auto"/>
        <w:left w:val="none" w:sz="0" w:space="0" w:color="auto"/>
        <w:bottom w:val="none" w:sz="0" w:space="0" w:color="auto"/>
        <w:right w:val="none" w:sz="0" w:space="0" w:color="auto"/>
      </w:divBdr>
    </w:div>
    <w:div w:id="1937209386">
      <w:bodyDiv w:val="1"/>
      <w:marLeft w:val="0"/>
      <w:marRight w:val="0"/>
      <w:marTop w:val="0"/>
      <w:marBottom w:val="0"/>
      <w:divBdr>
        <w:top w:val="none" w:sz="0" w:space="0" w:color="auto"/>
        <w:left w:val="none" w:sz="0" w:space="0" w:color="auto"/>
        <w:bottom w:val="none" w:sz="0" w:space="0" w:color="auto"/>
        <w:right w:val="none" w:sz="0" w:space="0" w:color="auto"/>
      </w:divBdr>
    </w:div>
    <w:div w:id="1982541463">
      <w:bodyDiv w:val="1"/>
      <w:marLeft w:val="0"/>
      <w:marRight w:val="0"/>
      <w:marTop w:val="0"/>
      <w:marBottom w:val="0"/>
      <w:divBdr>
        <w:top w:val="none" w:sz="0" w:space="0" w:color="auto"/>
        <w:left w:val="none" w:sz="0" w:space="0" w:color="auto"/>
        <w:bottom w:val="none" w:sz="0" w:space="0" w:color="auto"/>
        <w:right w:val="none" w:sz="0" w:space="0" w:color="auto"/>
      </w:divBdr>
      <w:divsChild>
        <w:div w:id="457647313">
          <w:marLeft w:val="0"/>
          <w:marRight w:val="0"/>
          <w:marTop w:val="0"/>
          <w:marBottom w:val="0"/>
          <w:divBdr>
            <w:top w:val="none" w:sz="0" w:space="0" w:color="auto"/>
            <w:left w:val="none" w:sz="0" w:space="0" w:color="auto"/>
            <w:bottom w:val="none" w:sz="0" w:space="0" w:color="auto"/>
            <w:right w:val="none" w:sz="0" w:space="0" w:color="auto"/>
          </w:divBdr>
          <w:divsChild>
            <w:div w:id="610893106">
              <w:marLeft w:val="0"/>
              <w:marRight w:val="0"/>
              <w:marTop w:val="0"/>
              <w:marBottom w:val="0"/>
              <w:divBdr>
                <w:top w:val="none" w:sz="0" w:space="0" w:color="auto"/>
                <w:left w:val="none" w:sz="0" w:space="0" w:color="auto"/>
                <w:bottom w:val="none" w:sz="0" w:space="0" w:color="auto"/>
                <w:right w:val="none" w:sz="0" w:space="0" w:color="auto"/>
              </w:divBdr>
              <w:divsChild>
                <w:div w:id="1119714424">
                  <w:marLeft w:val="0"/>
                  <w:marRight w:val="0"/>
                  <w:marTop w:val="0"/>
                  <w:marBottom w:val="0"/>
                  <w:divBdr>
                    <w:top w:val="none" w:sz="0" w:space="0" w:color="auto"/>
                    <w:left w:val="none" w:sz="0" w:space="0" w:color="auto"/>
                    <w:bottom w:val="none" w:sz="0" w:space="0" w:color="auto"/>
                    <w:right w:val="none" w:sz="0" w:space="0" w:color="auto"/>
                  </w:divBdr>
                  <w:divsChild>
                    <w:div w:id="1419205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6517410">
      <w:bodyDiv w:val="1"/>
      <w:marLeft w:val="0"/>
      <w:marRight w:val="0"/>
      <w:marTop w:val="0"/>
      <w:marBottom w:val="0"/>
      <w:divBdr>
        <w:top w:val="none" w:sz="0" w:space="0" w:color="auto"/>
        <w:left w:val="none" w:sz="0" w:space="0" w:color="auto"/>
        <w:bottom w:val="none" w:sz="0" w:space="0" w:color="auto"/>
        <w:right w:val="none" w:sz="0" w:space="0" w:color="auto"/>
      </w:divBdr>
    </w:div>
    <w:div w:id="2015566884">
      <w:bodyDiv w:val="1"/>
      <w:marLeft w:val="0"/>
      <w:marRight w:val="0"/>
      <w:marTop w:val="0"/>
      <w:marBottom w:val="0"/>
      <w:divBdr>
        <w:top w:val="none" w:sz="0" w:space="0" w:color="auto"/>
        <w:left w:val="none" w:sz="0" w:space="0" w:color="auto"/>
        <w:bottom w:val="none" w:sz="0" w:space="0" w:color="auto"/>
        <w:right w:val="none" w:sz="0" w:space="0" w:color="auto"/>
      </w:divBdr>
    </w:div>
    <w:div w:id="2062632084">
      <w:bodyDiv w:val="1"/>
      <w:marLeft w:val="0"/>
      <w:marRight w:val="0"/>
      <w:marTop w:val="0"/>
      <w:marBottom w:val="0"/>
      <w:divBdr>
        <w:top w:val="none" w:sz="0" w:space="0" w:color="auto"/>
        <w:left w:val="none" w:sz="0" w:space="0" w:color="auto"/>
        <w:bottom w:val="none" w:sz="0" w:space="0" w:color="auto"/>
        <w:right w:val="none" w:sz="0" w:space="0" w:color="auto"/>
      </w:divBdr>
    </w:div>
    <w:div w:id="2068527110">
      <w:bodyDiv w:val="1"/>
      <w:marLeft w:val="0"/>
      <w:marRight w:val="0"/>
      <w:marTop w:val="0"/>
      <w:marBottom w:val="0"/>
      <w:divBdr>
        <w:top w:val="none" w:sz="0" w:space="0" w:color="auto"/>
        <w:left w:val="none" w:sz="0" w:space="0" w:color="auto"/>
        <w:bottom w:val="none" w:sz="0" w:space="0" w:color="auto"/>
        <w:right w:val="none" w:sz="0" w:space="0" w:color="auto"/>
      </w:divBdr>
    </w:div>
    <w:div w:id="2093357735">
      <w:bodyDiv w:val="1"/>
      <w:marLeft w:val="0"/>
      <w:marRight w:val="0"/>
      <w:marTop w:val="0"/>
      <w:marBottom w:val="0"/>
      <w:divBdr>
        <w:top w:val="none" w:sz="0" w:space="0" w:color="auto"/>
        <w:left w:val="none" w:sz="0" w:space="0" w:color="auto"/>
        <w:bottom w:val="none" w:sz="0" w:space="0" w:color="auto"/>
        <w:right w:val="none" w:sz="0" w:space="0" w:color="auto"/>
      </w:divBdr>
    </w:div>
    <w:div w:id="2146655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image" Target="media/image4.png"/><Relationship Id="rId26" Type="http://schemas.openxmlformats.org/officeDocument/2006/relationships/image" Target="media/image11.emf"/><Relationship Id="rId39" Type="http://schemas.openxmlformats.org/officeDocument/2006/relationships/image" Target="media/image20.emf"/><Relationship Id="rId3" Type="http://schemas.openxmlformats.org/officeDocument/2006/relationships/styles" Target="styles.xml"/><Relationship Id="rId21" Type="http://schemas.openxmlformats.org/officeDocument/2006/relationships/image" Target="media/image7.png"/><Relationship Id="rId34" Type="http://schemas.openxmlformats.org/officeDocument/2006/relationships/image" Target="media/image15.emf"/><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3.tiff"/><Relationship Id="rId25" Type="http://schemas.openxmlformats.org/officeDocument/2006/relationships/image" Target="media/image10.emf"/><Relationship Id="rId33" Type="http://schemas.openxmlformats.org/officeDocument/2006/relationships/image" Target="media/image14.emf"/><Relationship Id="rId38" Type="http://schemas.openxmlformats.org/officeDocument/2006/relationships/image" Target="media/image19.emf"/><Relationship Id="rId2" Type="http://schemas.openxmlformats.org/officeDocument/2006/relationships/numbering" Target="numbering.xml"/><Relationship Id="rId16" Type="http://schemas.openxmlformats.org/officeDocument/2006/relationships/image" Target="media/image2.tmp"/><Relationship Id="rId20" Type="http://schemas.openxmlformats.org/officeDocument/2006/relationships/image" Target="media/image6.png"/><Relationship Id="rId29" Type="http://schemas.openxmlformats.org/officeDocument/2006/relationships/header" Target="header4.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9.emf"/><Relationship Id="rId32" Type="http://schemas.openxmlformats.org/officeDocument/2006/relationships/header" Target="header6.xml"/><Relationship Id="rId37" Type="http://schemas.openxmlformats.org/officeDocument/2006/relationships/image" Target="media/image18.png"/><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1.tmp"/><Relationship Id="rId23" Type="http://schemas.openxmlformats.org/officeDocument/2006/relationships/chart" Target="charts/chart1.xml"/><Relationship Id="rId28" Type="http://schemas.openxmlformats.org/officeDocument/2006/relationships/image" Target="media/image13.emf"/><Relationship Id="rId36" Type="http://schemas.openxmlformats.org/officeDocument/2006/relationships/image" Target="media/image17.png"/><Relationship Id="rId10" Type="http://schemas.openxmlformats.org/officeDocument/2006/relationships/header" Target="header2.xml"/><Relationship Id="rId19" Type="http://schemas.openxmlformats.org/officeDocument/2006/relationships/image" Target="media/image5.png"/><Relationship Id="rId31" Type="http://schemas.openxmlformats.org/officeDocument/2006/relationships/footer" Target="footer4.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8.png"/><Relationship Id="rId27" Type="http://schemas.openxmlformats.org/officeDocument/2006/relationships/image" Target="media/image12.emf"/><Relationship Id="rId30" Type="http://schemas.openxmlformats.org/officeDocument/2006/relationships/header" Target="header5.xml"/><Relationship Id="rId35" Type="http://schemas.openxmlformats.org/officeDocument/2006/relationships/image" Target="media/image16.png"/></Relationships>
</file>

<file path=word/charts/_rels/chart1.xml.rels><?xml version="1.0" encoding="UTF-8" standalone="yes"?>
<Relationships xmlns="http://schemas.openxmlformats.org/package/2006/relationships"><Relationship Id="rId1" Type="http://schemas.openxmlformats.org/officeDocument/2006/relationships/oleObject" Target="file:///\\researchdata.student.ad.griffith.edu.au\data\CAHE\Research%20Projects\PBAC\Other%20PBAC%20projects\Biologics%20in%20severe%20chronic%20plaque%20psoriasis\TOR3%20-%20usage\Data\Overall%20utilisation%20of%20biologics%20for%20CPP\Overall%20utilisation.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areaChart>
        <c:grouping val="stacked"/>
        <c:varyColors val="0"/>
        <c:ser>
          <c:idx val="0"/>
          <c:order val="0"/>
          <c:tx>
            <c:strRef>
              <c:f>'Tot Expenditure'!$A$2</c:f>
              <c:strCache>
                <c:ptCount val="1"/>
                <c:pt idx="0">
                  <c:v>Adalimumab</c:v>
                </c:pt>
              </c:strCache>
            </c:strRef>
          </c:tx>
          <c:spPr>
            <a:solidFill>
              <a:schemeClr val="accent1"/>
            </a:solidFill>
            <a:ln w="25400">
              <a:noFill/>
            </a:ln>
            <a:effectLst/>
          </c:spPr>
          <c:cat>
            <c:numRef>
              <c:f>'Tot Expenditure'!$B$1:$E$1</c:f>
              <c:numCache>
                <c:formatCode>General</c:formatCode>
                <c:ptCount val="4"/>
                <c:pt idx="0">
                  <c:v>2013</c:v>
                </c:pt>
                <c:pt idx="1">
                  <c:v>2014</c:v>
                </c:pt>
                <c:pt idx="2">
                  <c:v>2015</c:v>
                </c:pt>
                <c:pt idx="3">
                  <c:v>2016</c:v>
                </c:pt>
              </c:numCache>
            </c:numRef>
          </c:cat>
          <c:val>
            <c:numRef>
              <c:f>'Tot Expenditure'!$B$2:$E$2</c:f>
              <c:numCache>
                <c:formatCode>"$"#,##0</c:formatCode>
                <c:ptCount val="4"/>
                <c:pt idx="0">
                  <c:v>11724985</c:v>
                </c:pt>
                <c:pt idx="1">
                  <c:v>21961118</c:v>
                </c:pt>
                <c:pt idx="2">
                  <c:v>24103684</c:v>
                </c:pt>
                <c:pt idx="3">
                  <c:v>24530716</c:v>
                </c:pt>
              </c:numCache>
            </c:numRef>
          </c:val>
          <c:extLst xmlns:c16r2="http://schemas.microsoft.com/office/drawing/2015/06/chart">
            <c:ext xmlns:c16="http://schemas.microsoft.com/office/drawing/2014/chart" uri="{C3380CC4-5D6E-409C-BE32-E72D297353CC}">
              <c16:uniqueId val="{00000000-4185-49F0-922C-3BFB37CE4700}"/>
            </c:ext>
          </c:extLst>
        </c:ser>
        <c:ser>
          <c:idx val="1"/>
          <c:order val="1"/>
          <c:tx>
            <c:strRef>
              <c:f>'Tot Expenditure'!$A$3</c:f>
              <c:strCache>
                <c:ptCount val="1"/>
                <c:pt idx="0">
                  <c:v>Etanercept</c:v>
                </c:pt>
              </c:strCache>
            </c:strRef>
          </c:tx>
          <c:spPr>
            <a:solidFill>
              <a:srgbClr val="FF0000"/>
            </a:solidFill>
            <a:ln w="25400">
              <a:solidFill>
                <a:srgbClr val="FF0000"/>
              </a:solidFill>
            </a:ln>
            <a:effectLst/>
          </c:spPr>
          <c:cat>
            <c:numRef>
              <c:f>'Tot Expenditure'!$B$1:$E$1</c:f>
              <c:numCache>
                <c:formatCode>General</c:formatCode>
                <c:ptCount val="4"/>
                <c:pt idx="0">
                  <c:v>2013</c:v>
                </c:pt>
                <c:pt idx="1">
                  <c:v>2014</c:v>
                </c:pt>
                <c:pt idx="2">
                  <c:v>2015</c:v>
                </c:pt>
                <c:pt idx="3">
                  <c:v>2016</c:v>
                </c:pt>
              </c:numCache>
            </c:numRef>
          </c:cat>
          <c:val>
            <c:numRef>
              <c:f>'Tot Expenditure'!$B$3:$E$3</c:f>
              <c:numCache>
                <c:formatCode>"$"#,##0</c:formatCode>
                <c:ptCount val="4"/>
                <c:pt idx="0">
                  <c:v>3408964</c:v>
                </c:pt>
                <c:pt idx="1">
                  <c:v>4667700</c:v>
                </c:pt>
                <c:pt idx="2">
                  <c:v>5909870</c:v>
                </c:pt>
                <c:pt idx="3">
                  <c:v>6532959</c:v>
                </c:pt>
              </c:numCache>
            </c:numRef>
          </c:val>
          <c:extLst xmlns:c16r2="http://schemas.microsoft.com/office/drawing/2015/06/chart">
            <c:ext xmlns:c16="http://schemas.microsoft.com/office/drawing/2014/chart" uri="{C3380CC4-5D6E-409C-BE32-E72D297353CC}">
              <c16:uniqueId val="{00000001-4185-49F0-922C-3BFB37CE4700}"/>
            </c:ext>
          </c:extLst>
        </c:ser>
        <c:ser>
          <c:idx val="2"/>
          <c:order val="2"/>
          <c:tx>
            <c:strRef>
              <c:f>'Tot Expenditure'!$A$5</c:f>
              <c:strCache>
                <c:ptCount val="1"/>
                <c:pt idx="0">
                  <c:v>Secukinumab</c:v>
                </c:pt>
              </c:strCache>
            </c:strRef>
          </c:tx>
          <c:spPr>
            <a:solidFill>
              <a:srgbClr val="FFFF00"/>
            </a:solidFill>
            <a:ln w="25400">
              <a:solidFill>
                <a:srgbClr val="FFFF00"/>
              </a:solidFill>
            </a:ln>
            <a:effectLst/>
          </c:spPr>
          <c:cat>
            <c:numRef>
              <c:f>'Tot Expenditure'!$B$1:$E$1</c:f>
              <c:numCache>
                <c:formatCode>General</c:formatCode>
                <c:ptCount val="4"/>
                <c:pt idx="0">
                  <c:v>2013</c:v>
                </c:pt>
                <c:pt idx="1">
                  <c:v>2014</c:v>
                </c:pt>
                <c:pt idx="2">
                  <c:v>2015</c:v>
                </c:pt>
                <c:pt idx="3">
                  <c:v>2016</c:v>
                </c:pt>
              </c:numCache>
            </c:numRef>
          </c:cat>
          <c:val>
            <c:numRef>
              <c:f>'Tot Expenditure'!$B$5:$E$5</c:f>
              <c:numCache>
                <c:formatCode>General</c:formatCode>
                <c:ptCount val="4"/>
                <c:pt idx="2" formatCode="&quot;$&quot;#,##0">
                  <c:v>3205624</c:v>
                </c:pt>
                <c:pt idx="3" formatCode="&quot;$&quot;#,##0">
                  <c:v>20144662</c:v>
                </c:pt>
              </c:numCache>
            </c:numRef>
          </c:val>
          <c:extLst xmlns:c16r2="http://schemas.microsoft.com/office/drawing/2015/06/chart">
            <c:ext xmlns:c16="http://schemas.microsoft.com/office/drawing/2014/chart" uri="{C3380CC4-5D6E-409C-BE32-E72D297353CC}">
              <c16:uniqueId val="{00000002-4185-49F0-922C-3BFB37CE4700}"/>
            </c:ext>
          </c:extLst>
        </c:ser>
        <c:ser>
          <c:idx val="3"/>
          <c:order val="3"/>
          <c:tx>
            <c:strRef>
              <c:f>'Tot Expenditure'!$A$6</c:f>
              <c:strCache>
                <c:ptCount val="1"/>
                <c:pt idx="0">
                  <c:v>Ustekinumab</c:v>
                </c:pt>
              </c:strCache>
            </c:strRef>
          </c:tx>
          <c:spPr>
            <a:solidFill>
              <a:srgbClr val="00B050"/>
            </a:solidFill>
            <a:ln w="25400">
              <a:solidFill>
                <a:srgbClr val="00B050"/>
              </a:solidFill>
            </a:ln>
            <a:effectLst/>
          </c:spPr>
          <c:cat>
            <c:numRef>
              <c:f>'Tot Expenditure'!$B$1:$E$1</c:f>
              <c:numCache>
                <c:formatCode>General</c:formatCode>
                <c:ptCount val="4"/>
                <c:pt idx="0">
                  <c:v>2013</c:v>
                </c:pt>
                <c:pt idx="1">
                  <c:v>2014</c:v>
                </c:pt>
                <c:pt idx="2">
                  <c:v>2015</c:v>
                </c:pt>
                <c:pt idx="3">
                  <c:v>2016</c:v>
                </c:pt>
              </c:numCache>
            </c:numRef>
          </c:cat>
          <c:val>
            <c:numRef>
              <c:f>'Tot Expenditure'!$B$6:$E$6</c:f>
              <c:numCache>
                <c:formatCode>"$"#,##0</c:formatCode>
                <c:ptCount val="4"/>
                <c:pt idx="0">
                  <c:v>19358908</c:v>
                </c:pt>
                <c:pt idx="1">
                  <c:v>47269588</c:v>
                </c:pt>
                <c:pt idx="2">
                  <c:v>57396604</c:v>
                </c:pt>
                <c:pt idx="3">
                  <c:v>62457372</c:v>
                </c:pt>
              </c:numCache>
            </c:numRef>
          </c:val>
          <c:extLst xmlns:c16r2="http://schemas.microsoft.com/office/drawing/2015/06/chart">
            <c:ext xmlns:c16="http://schemas.microsoft.com/office/drawing/2014/chart" uri="{C3380CC4-5D6E-409C-BE32-E72D297353CC}">
              <c16:uniqueId val="{00000003-4185-49F0-922C-3BFB37CE4700}"/>
            </c:ext>
          </c:extLst>
        </c:ser>
        <c:ser>
          <c:idx val="4"/>
          <c:order val="4"/>
          <c:tx>
            <c:strRef>
              <c:f>'Tot Expenditure'!$A$4</c:f>
              <c:strCache>
                <c:ptCount val="1"/>
                <c:pt idx="0">
                  <c:v>Infliximab</c:v>
                </c:pt>
              </c:strCache>
            </c:strRef>
          </c:tx>
          <c:spPr>
            <a:solidFill>
              <a:schemeClr val="tx1"/>
            </a:solidFill>
            <a:ln w="25400">
              <a:solidFill>
                <a:schemeClr val="tx1"/>
              </a:solidFill>
            </a:ln>
            <a:effectLst/>
          </c:spPr>
          <c:cat>
            <c:numRef>
              <c:f>'Tot Expenditure'!$B$1:$E$1</c:f>
              <c:numCache>
                <c:formatCode>General</c:formatCode>
                <c:ptCount val="4"/>
                <c:pt idx="0">
                  <c:v>2013</c:v>
                </c:pt>
                <c:pt idx="1">
                  <c:v>2014</c:v>
                </c:pt>
                <c:pt idx="2">
                  <c:v>2015</c:v>
                </c:pt>
                <c:pt idx="3">
                  <c:v>2016</c:v>
                </c:pt>
              </c:numCache>
            </c:numRef>
          </c:cat>
          <c:val>
            <c:numRef>
              <c:f>'Tot Expenditure'!$B$4:$E$4</c:f>
              <c:numCache>
                <c:formatCode>"$"#,##0</c:formatCode>
                <c:ptCount val="4"/>
                <c:pt idx="0">
                  <c:v>3698230</c:v>
                </c:pt>
                <c:pt idx="1">
                  <c:v>5307585</c:v>
                </c:pt>
                <c:pt idx="2">
                  <c:v>7231884</c:v>
                </c:pt>
                <c:pt idx="3">
                  <c:v>7357199</c:v>
                </c:pt>
              </c:numCache>
            </c:numRef>
          </c:val>
          <c:extLst xmlns:c16r2="http://schemas.microsoft.com/office/drawing/2015/06/chart">
            <c:ext xmlns:c16="http://schemas.microsoft.com/office/drawing/2014/chart" uri="{C3380CC4-5D6E-409C-BE32-E72D297353CC}">
              <c16:uniqueId val="{00000004-4185-49F0-922C-3BFB37CE4700}"/>
            </c:ext>
          </c:extLst>
        </c:ser>
        <c:dLbls>
          <c:showLegendKey val="0"/>
          <c:showVal val="0"/>
          <c:showCatName val="0"/>
          <c:showSerName val="0"/>
          <c:showPercent val="0"/>
          <c:showBubbleSize val="0"/>
        </c:dLbls>
        <c:axId val="486090240"/>
        <c:axId val="424985344"/>
      </c:areaChart>
      <c:catAx>
        <c:axId val="486090240"/>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24985344"/>
        <c:crosses val="autoZero"/>
        <c:auto val="1"/>
        <c:lblAlgn val="ctr"/>
        <c:lblOffset val="100"/>
        <c:noMultiLvlLbl val="0"/>
      </c:catAx>
      <c:valAx>
        <c:axId val="424985344"/>
        <c:scaling>
          <c:orientation val="minMax"/>
        </c:scaling>
        <c:delete val="0"/>
        <c:axPos val="l"/>
        <c:majorGridlines>
          <c:spPr>
            <a:ln w="9525" cap="flat" cmpd="sng" algn="ctr">
              <a:solidFill>
                <a:schemeClr val="tx1">
                  <a:lumMod val="15000"/>
                  <a:lumOff val="85000"/>
                </a:schemeClr>
              </a:solidFill>
              <a:round/>
            </a:ln>
            <a:effectLst/>
          </c:spPr>
        </c:majorGridlines>
        <c:numFmt formatCode="&quot;$&quot;#,##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86090240"/>
        <c:crosses val="autoZero"/>
        <c:crossBetween val="midCat"/>
      </c:valAx>
      <c:spPr>
        <a:noFill/>
        <a:ln>
          <a:noFill/>
        </a:ln>
        <a:effectLst/>
      </c:spPr>
    </c:plotArea>
    <c:legend>
      <c:legendPos val="b"/>
      <c:layout>
        <c:manualLayout>
          <c:xMode val="edge"/>
          <c:yMode val="edge"/>
          <c:x val="0.13904859839339301"/>
          <c:y val="0.90750053331889902"/>
          <c:w val="0.72639045329700702"/>
          <c:h val="6.8237436757930495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spcAft>
          <a:spcPts val="0"/>
        </a:spcAft>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A33F0D15-988F-43A1-A3A2-A2752C1DB3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65</Pages>
  <Words>17431</Words>
  <Characters>99359</Characters>
  <Application>Microsoft Office Word</Application>
  <DocSecurity>0</DocSecurity>
  <Lines>827</Lines>
  <Paragraphs>233</Paragraphs>
  <ScaleCrop>false</ScaleCrop>
  <Company/>
  <LinksUpToDate>false</LinksUpToDate>
  <CharactersWithSpaces>116557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2018-01-17T03:13:00Z</dcterms:created>
  <dcterms:modified xsi:type="dcterms:W3CDTF">2018-01-17T03:14:00Z</dcterms:modified>
</cp:coreProperties>
</file>