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B5634" w14:textId="1BEEE2CD" w:rsidR="00E37575" w:rsidRPr="003B6F04" w:rsidRDefault="00E922E5" w:rsidP="00A92A50">
      <w:pPr>
        <w:pStyle w:val="Heading1"/>
        <w:pBdr>
          <w:bottom w:val="none" w:sz="0" w:space="0" w:color="auto"/>
        </w:pBdr>
        <w:spacing w:before="120" w:after="120"/>
        <w:rPr>
          <w:sz w:val="32"/>
          <w:szCs w:val="36"/>
        </w:rPr>
      </w:pPr>
      <w:r>
        <w:rPr>
          <w:sz w:val="32"/>
          <w:szCs w:val="36"/>
        </w:rPr>
        <w:t xml:space="preserve">Clarity on Price </w:t>
      </w:r>
      <w:r w:rsidR="00A37763">
        <w:rPr>
          <w:sz w:val="32"/>
          <w:szCs w:val="36"/>
        </w:rPr>
        <w:t xml:space="preserve">Disclosure </w:t>
      </w:r>
      <w:r>
        <w:rPr>
          <w:sz w:val="32"/>
          <w:szCs w:val="36"/>
        </w:rPr>
        <w:t>Reduction Thresholds</w:t>
      </w:r>
      <w:r w:rsidR="00604C18">
        <w:rPr>
          <w:sz w:val="32"/>
          <w:szCs w:val="36"/>
        </w:rPr>
        <w:t xml:space="preserve"> and Designated Brands</w:t>
      </w:r>
      <w:r w:rsidRPr="003B6F04">
        <w:rPr>
          <w:sz w:val="32"/>
          <w:szCs w:val="36"/>
        </w:rPr>
        <w:t xml:space="preserve"> </w:t>
      </w:r>
      <w:r w:rsidR="0055293C" w:rsidRPr="003B6F04">
        <w:rPr>
          <w:sz w:val="32"/>
          <w:szCs w:val="36"/>
        </w:rPr>
        <w:t xml:space="preserve">– </w:t>
      </w:r>
      <w:r w:rsidR="00B731AF" w:rsidRPr="003B6F04">
        <w:rPr>
          <w:sz w:val="32"/>
          <w:szCs w:val="36"/>
        </w:rPr>
        <w:t>F</w:t>
      </w:r>
      <w:r w:rsidR="0055293C" w:rsidRPr="003B6F04">
        <w:rPr>
          <w:sz w:val="32"/>
          <w:szCs w:val="36"/>
        </w:rPr>
        <w:t xml:space="preserve">act </w:t>
      </w:r>
      <w:r w:rsidR="00B731AF" w:rsidRPr="003B6F04">
        <w:rPr>
          <w:sz w:val="32"/>
          <w:szCs w:val="36"/>
        </w:rPr>
        <w:t>Sh</w:t>
      </w:r>
      <w:r w:rsidR="0055293C" w:rsidRPr="003B6F04">
        <w:rPr>
          <w:sz w:val="32"/>
          <w:szCs w:val="36"/>
        </w:rPr>
        <w:t>eet</w:t>
      </w:r>
    </w:p>
    <w:p w14:paraId="04C64670" w14:textId="76DD64FF" w:rsidR="0029512B" w:rsidRPr="00BF3CF1" w:rsidRDefault="00707EDB" w:rsidP="00DD0336">
      <w:pPr>
        <w:jc w:val="both"/>
        <w:rPr>
          <w:rFonts w:cstheme="minorHAnsi"/>
          <w:sz w:val="24"/>
          <w:szCs w:val="24"/>
        </w:rPr>
      </w:pPr>
      <w:r>
        <w:rPr>
          <w:rFonts w:cstheme="minorHAnsi"/>
          <w:sz w:val="24"/>
          <w:szCs w:val="24"/>
        </w:rPr>
        <w:t>T</w:t>
      </w:r>
      <w:r w:rsidR="00E922E5" w:rsidRPr="00BF3CF1">
        <w:rPr>
          <w:rFonts w:cstheme="minorHAnsi"/>
          <w:sz w:val="24"/>
          <w:szCs w:val="24"/>
        </w:rPr>
        <w:t xml:space="preserve">he </w:t>
      </w:r>
      <w:hyperlink r:id="rId8" w:history="1">
        <w:r w:rsidR="00E922E5" w:rsidRPr="00F170A9">
          <w:rPr>
            <w:rStyle w:val="Hyperlink"/>
            <w:rFonts w:cstheme="minorHAnsi"/>
            <w:i/>
            <w:iCs/>
            <w:sz w:val="24"/>
            <w:szCs w:val="24"/>
          </w:rPr>
          <w:t xml:space="preserve">National Health Amendment (Technical Changes to Averaging Price </w:t>
        </w:r>
        <w:r w:rsidR="000C695C" w:rsidRPr="00F170A9">
          <w:rPr>
            <w:rStyle w:val="Hyperlink"/>
            <w:rFonts w:cstheme="minorHAnsi"/>
            <w:i/>
            <w:iCs/>
            <w:sz w:val="24"/>
            <w:szCs w:val="24"/>
          </w:rPr>
          <w:t xml:space="preserve">Disclosure Threshold and Other Matters) Act </w:t>
        </w:r>
        <w:r w:rsidR="00D70D97" w:rsidRPr="00F170A9">
          <w:rPr>
            <w:rStyle w:val="Hyperlink"/>
            <w:rFonts w:cstheme="minorHAnsi"/>
            <w:i/>
            <w:iCs/>
            <w:sz w:val="24"/>
            <w:szCs w:val="24"/>
          </w:rPr>
          <w:t>2024</w:t>
        </w:r>
      </w:hyperlink>
      <w:r w:rsidR="00D70D97" w:rsidRPr="00BF3CF1">
        <w:rPr>
          <w:rFonts w:cstheme="minorHAnsi"/>
          <w:i/>
          <w:iCs/>
          <w:sz w:val="24"/>
          <w:szCs w:val="24"/>
        </w:rPr>
        <w:t xml:space="preserve"> </w:t>
      </w:r>
      <w:r w:rsidR="00A959AC" w:rsidRPr="00BF3CF1">
        <w:rPr>
          <w:rFonts w:cstheme="minorHAnsi"/>
          <w:sz w:val="24"/>
          <w:szCs w:val="24"/>
        </w:rPr>
        <w:t>(</w:t>
      </w:r>
      <w:r w:rsidR="00A50CD7" w:rsidRPr="00BF3CF1">
        <w:rPr>
          <w:rFonts w:cstheme="minorHAnsi"/>
          <w:b/>
          <w:bCs/>
          <w:sz w:val="24"/>
          <w:szCs w:val="24"/>
        </w:rPr>
        <w:t xml:space="preserve">the </w:t>
      </w:r>
      <w:r w:rsidR="00DD0336">
        <w:rPr>
          <w:rFonts w:cstheme="minorHAnsi"/>
          <w:b/>
          <w:bCs/>
          <w:sz w:val="24"/>
          <w:szCs w:val="24"/>
        </w:rPr>
        <w:t>2024</w:t>
      </w:r>
      <w:r w:rsidR="00A959AC" w:rsidRPr="00BF3CF1">
        <w:rPr>
          <w:rFonts w:cstheme="minorHAnsi"/>
          <w:b/>
          <w:bCs/>
          <w:sz w:val="24"/>
          <w:szCs w:val="24"/>
        </w:rPr>
        <w:t xml:space="preserve"> Amendment Act</w:t>
      </w:r>
      <w:r w:rsidR="00A959AC" w:rsidRPr="00BF3CF1">
        <w:rPr>
          <w:rFonts w:cstheme="minorHAnsi"/>
          <w:sz w:val="24"/>
          <w:szCs w:val="24"/>
        </w:rPr>
        <w:t>)</w:t>
      </w:r>
      <w:r w:rsidR="00817E5C" w:rsidRPr="00BF3CF1">
        <w:rPr>
          <w:rFonts w:cstheme="minorHAnsi"/>
          <w:sz w:val="24"/>
          <w:szCs w:val="24"/>
        </w:rPr>
        <w:t xml:space="preserve"> </w:t>
      </w:r>
      <w:r w:rsidR="00CB7FC3" w:rsidRPr="00BF3CF1">
        <w:rPr>
          <w:rFonts w:cstheme="minorHAnsi"/>
          <w:sz w:val="24"/>
          <w:szCs w:val="24"/>
        </w:rPr>
        <w:t>(</w:t>
      </w:r>
      <w:r w:rsidR="00641242">
        <w:rPr>
          <w:rFonts w:cstheme="minorHAnsi"/>
          <w:sz w:val="24"/>
          <w:szCs w:val="24"/>
        </w:rPr>
        <w:t>Royal Assent received on 26 September </w:t>
      </w:r>
      <w:r w:rsidR="00273CCF">
        <w:rPr>
          <w:rFonts w:cstheme="minorHAnsi"/>
          <w:sz w:val="24"/>
          <w:szCs w:val="24"/>
        </w:rPr>
        <w:t xml:space="preserve">2024, </w:t>
      </w:r>
      <w:r w:rsidR="00CB7FC3" w:rsidRPr="00BF3CF1">
        <w:rPr>
          <w:rFonts w:cstheme="minorHAnsi"/>
          <w:sz w:val="24"/>
          <w:szCs w:val="24"/>
        </w:rPr>
        <w:t xml:space="preserve">effective </w:t>
      </w:r>
      <w:r w:rsidR="00273CCF">
        <w:rPr>
          <w:rFonts w:cstheme="minorHAnsi"/>
          <w:sz w:val="24"/>
          <w:szCs w:val="24"/>
        </w:rPr>
        <w:t xml:space="preserve">from </w:t>
      </w:r>
      <w:r w:rsidR="00022927">
        <w:rPr>
          <w:rFonts w:cstheme="minorHAnsi"/>
          <w:sz w:val="24"/>
          <w:szCs w:val="24"/>
        </w:rPr>
        <w:t xml:space="preserve">1 July </w:t>
      </w:r>
      <w:r w:rsidR="003A2188" w:rsidRPr="00BF3CF1">
        <w:rPr>
          <w:rFonts w:cstheme="minorHAnsi"/>
          <w:sz w:val="24"/>
          <w:szCs w:val="24"/>
        </w:rPr>
        <w:t>202</w:t>
      </w:r>
      <w:r w:rsidR="00A70F9E">
        <w:rPr>
          <w:rFonts w:cstheme="minorHAnsi"/>
          <w:sz w:val="24"/>
          <w:szCs w:val="24"/>
        </w:rPr>
        <w:t>2</w:t>
      </w:r>
      <w:r w:rsidR="003A2188" w:rsidRPr="00BF3CF1">
        <w:rPr>
          <w:rFonts w:cstheme="minorHAnsi"/>
          <w:sz w:val="24"/>
          <w:szCs w:val="24"/>
        </w:rPr>
        <w:t xml:space="preserve">) </w:t>
      </w:r>
      <w:r w:rsidR="00834848" w:rsidRPr="00BF3CF1">
        <w:rPr>
          <w:rFonts w:cstheme="minorHAnsi"/>
          <w:sz w:val="24"/>
          <w:szCs w:val="24"/>
        </w:rPr>
        <w:t>amend</w:t>
      </w:r>
      <w:r>
        <w:rPr>
          <w:rFonts w:cstheme="minorHAnsi"/>
          <w:sz w:val="24"/>
          <w:szCs w:val="24"/>
        </w:rPr>
        <w:t>s</w:t>
      </w:r>
      <w:r w:rsidR="003A2188" w:rsidRPr="00BF3CF1">
        <w:rPr>
          <w:rFonts w:cstheme="minorHAnsi"/>
          <w:sz w:val="24"/>
          <w:szCs w:val="24"/>
        </w:rPr>
        <w:t xml:space="preserve"> </w:t>
      </w:r>
      <w:r w:rsidR="00834848" w:rsidRPr="00BF3CF1">
        <w:rPr>
          <w:rFonts w:cstheme="minorHAnsi"/>
          <w:sz w:val="24"/>
          <w:szCs w:val="24"/>
        </w:rPr>
        <w:t xml:space="preserve">Part VII of the </w:t>
      </w:r>
      <w:hyperlink r:id="rId9" w:history="1">
        <w:r w:rsidR="0066450F" w:rsidRPr="00BF3CF1">
          <w:rPr>
            <w:rStyle w:val="Hyperlink"/>
            <w:rFonts w:cstheme="minorHAnsi"/>
            <w:i/>
            <w:iCs/>
            <w:sz w:val="24"/>
            <w:szCs w:val="24"/>
          </w:rPr>
          <w:t>National Health Act</w:t>
        </w:r>
        <w:r w:rsidR="00A50CD7" w:rsidRPr="00BF3CF1">
          <w:rPr>
            <w:rStyle w:val="Hyperlink"/>
            <w:rFonts w:cstheme="minorHAnsi"/>
            <w:i/>
            <w:iCs/>
            <w:sz w:val="24"/>
            <w:szCs w:val="24"/>
          </w:rPr>
          <w:t xml:space="preserve"> 1953</w:t>
        </w:r>
      </w:hyperlink>
      <w:r w:rsidR="00A50CD7" w:rsidRPr="00BF3CF1">
        <w:rPr>
          <w:rFonts w:cstheme="minorHAnsi"/>
          <w:sz w:val="24"/>
          <w:szCs w:val="24"/>
        </w:rPr>
        <w:t xml:space="preserve"> (</w:t>
      </w:r>
      <w:r w:rsidR="00A50CD7" w:rsidRPr="00BF3CF1">
        <w:rPr>
          <w:rFonts w:cstheme="minorHAnsi"/>
          <w:b/>
          <w:bCs/>
          <w:sz w:val="24"/>
          <w:szCs w:val="24"/>
        </w:rPr>
        <w:t>the Act</w:t>
      </w:r>
      <w:r w:rsidR="00A50CD7" w:rsidRPr="00BF3CF1">
        <w:rPr>
          <w:rFonts w:cstheme="minorHAnsi"/>
          <w:sz w:val="24"/>
          <w:szCs w:val="24"/>
        </w:rPr>
        <w:t xml:space="preserve">) </w:t>
      </w:r>
      <w:r w:rsidR="00041C4A" w:rsidRPr="00BF3CF1">
        <w:rPr>
          <w:rFonts w:cstheme="minorHAnsi"/>
          <w:sz w:val="24"/>
          <w:szCs w:val="24"/>
        </w:rPr>
        <w:t xml:space="preserve">to clarify the operation of </w:t>
      </w:r>
      <w:r>
        <w:rPr>
          <w:rFonts w:cstheme="minorHAnsi"/>
          <w:sz w:val="24"/>
          <w:szCs w:val="24"/>
        </w:rPr>
        <w:t xml:space="preserve">certain </w:t>
      </w:r>
      <w:r w:rsidR="0029512B" w:rsidRPr="00BF3CF1">
        <w:rPr>
          <w:rFonts w:cstheme="minorHAnsi"/>
          <w:sz w:val="24"/>
          <w:szCs w:val="24"/>
        </w:rPr>
        <w:t>provisions relating to pricing and supply arrangements for older and low-cost medicines</w:t>
      </w:r>
      <w:r w:rsidR="00732DCE">
        <w:rPr>
          <w:rFonts w:cstheme="minorHAnsi"/>
          <w:sz w:val="24"/>
          <w:szCs w:val="24"/>
        </w:rPr>
        <w:t xml:space="preserve"> referred to </w:t>
      </w:r>
      <w:r w:rsidR="00934F70">
        <w:rPr>
          <w:rFonts w:cstheme="minorHAnsi"/>
          <w:sz w:val="24"/>
          <w:szCs w:val="24"/>
        </w:rPr>
        <w:t xml:space="preserve">in the Act </w:t>
      </w:r>
      <w:r w:rsidR="00732DCE">
        <w:rPr>
          <w:rFonts w:cstheme="minorHAnsi"/>
          <w:sz w:val="24"/>
          <w:szCs w:val="24"/>
        </w:rPr>
        <w:t>as ‘</w:t>
      </w:r>
      <w:r w:rsidR="00B6708F">
        <w:rPr>
          <w:rFonts w:cstheme="minorHAnsi"/>
          <w:sz w:val="24"/>
          <w:szCs w:val="24"/>
        </w:rPr>
        <w:t>d</w:t>
      </w:r>
      <w:r w:rsidR="00732DCE">
        <w:rPr>
          <w:rFonts w:cstheme="minorHAnsi"/>
          <w:sz w:val="24"/>
          <w:szCs w:val="24"/>
        </w:rPr>
        <w:t>esignated brands’</w:t>
      </w:r>
      <w:r w:rsidR="0029512B" w:rsidRPr="00BF3CF1">
        <w:rPr>
          <w:rFonts w:cstheme="minorHAnsi"/>
          <w:sz w:val="24"/>
          <w:szCs w:val="24"/>
        </w:rPr>
        <w:t>.</w:t>
      </w:r>
    </w:p>
    <w:p w14:paraId="3003B548" w14:textId="3E890F97" w:rsidR="00094BEC" w:rsidRPr="003C065E" w:rsidRDefault="00094BEC" w:rsidP="00A92A50">
      <w:pPr>
        <w:pStyle w:val="Heading2"/>
        <w:spacing w:before="0" w:after="120"/>
        <w:jc w:val="both"/>
        <w:rPr>
          <w:rFonts w:cstheme="minorHAnsi"/>
          <w:sz w:val="28"/>
          <w:szCs w:val="28"/>
        </w:rPr>
      </w:pPr>
      <w:bookmarkStart w:id="0" w:name="_Designated_brands"/>
      <w:bookmarkEnd w:id="0"/>
      <w:r w:rsidRPr="003C065E">
        <w:rPr>
          <w:rFonts w:asciiTheme="minorHAnsi" w:hAnsiTheme="minorHAnsi" w:cstheme="minorHAnsi"/>
          <w:sz w:val="28"/>
          <w:szCs w:val="28"/>
        </w:rPr>
        <w:t>Designated brands</w:t>
      </w:r>
    </w:p>
    <w:p w14:paraId="00895334" w14:textId="326C62AD" w:rsidR="00074B6D" w:rsidRDefault="000A286B" w:rsidP="00A92A50">
      <w:pPr>
        <w:spacing w:after="120"/>
        <w:jc w:val="both"/>
        <w:rPr>
          <w:rFonts w:cstheme="minorHAnsi"/>
          <w:bCs/>
          <w:sz w:val="24"/>
          <w:szCs w:val="24"/>
        </w:rPr>
      </w:pPr>
      <w:r w:rsidRPr="00BF3CF1">
        <w:rPr>
          <w:rFonts w:cstheme="minorHAnsi"/>
          <w:sz w:val="24"/>
          <w:szCs w:val="24"/>
        </w:rPr>
        <w:t xml:space="preserve">The </w:t>
      </w:r>
      <w:r w:rsidR="00DD0336">
        <w:rPr>
          <w:rFonts w:cstheme="minorHAnsi"/>
          <w:sz w:val="24"/>
          <w:szCs w:val="24"/>
        </w:rPr>
        <w:t xml:space="preserve">2024 </w:t>
      </w:r>
      <w:r w:rsidRPr="00BF3CF1">
        <w:rPr>
          <w:rFonts w:cstheme="minorHAnsi"/>
          <w:sz w:val="24"/>
          <w:szCs w:val="24"/>
        </w:rPr>
        <w:t xml:space="preserve">Amendment Act clarifies provisions </w:t>
      </w:r>
      <w:r w:rsidR="00707EDB">
        <w:rPr>
          <w:rFonts w:cstheme="minorHAnsi"/>
          <w:sz w:val="24"/>
          <w:szCs w:val="24"/>
        </w:rPr>
        <w:t xml:space="preserve">which were </w:t>
      </w:r>
      <w:r w:rsidRPr="00BF3CF1">
        <w:rPr>
          <w:rFonts w:cstheme="minorHAnsi"/>
          <w:sz w:val="24"/>
          <w:szCs w:val="24"/>
        </w:rPr>
        <w:t xml:space="preserve">introduced through the </w:t>
      </w:r>
      <w:hyperlink r:id="rId10" w:history="1">
        <w:r w:rsidR="00D867F0" w:rsidRPr="00BF3CF1">
          <w:rPr>
            <w:rStyle w:val="Hyperlink"/>
            <w:rFonts w:cstheme="minorHAnsi"/>
            <w:bCs/>
            <w:i/>
            <w:iCs/>
            <w:sz w:val="24"/>
            <w:szCs w:val="24"/>
          </w:rPr>
          <w:t>National Health Amendment (Enhancing the Pharmaceutical Benefits Scheme) Act 2021</w:t>
        </w:r>
      </w:hyperlink>
      <w:r w:rsidR="00D867F0" w:rsidRPr="00BF3CF1">
        <w:rPr>
          <w:rFonts w:cstheme="minorHAnsi"/>
          <w:bCs/>
          <w:sz w:val="24"/>
          <w:szCs w:val="24"/>
        </w:rPr>
        <w:t xml:space="preserve"> (</w:t>
      </w:r>
      <w:r w:rsidR="00D867F0" w:rsidRPr="00BF3CF1">
        <w:rPr>
          <w:rFonts w:cstheme="minorHAnsi"/>
          <w:b/>
          <w:sz w:val="24"/>
          <w:szCs w:val="24"/>
        </w:rPr>
        <w:t xml:space="preserve">the </w:t>
      </w:r>
      <w:r w:rsidR="00DD0336">
        <w:rPr>
          <w:rFonts w:cstheme="minorHAnsi"/>
          <w:b/>
          <w:sz w:val="24"/>
          <w:szCs w:val="24"/>
        </w:rPr>
        <w:t xml:space="preserve">2021 </w:t>
      </w:r>
      <w:r w:rsidR="00D867F0" w:rsidRPr="00BF3CF1">
        <w:rPr>
          <w:rFonts w:cstheme="minorHAnsi"/>
          <w:b/>
          <w:sz w:val="24"/>
          <w:szCs w:val="24"/>
        </w:rPr>
        <w:t>Amendment Act</w:t>
      </w:r>
      <w:r w:rsidR="00D867F0" w:rsidRPr="00BF3CF1">
        <w:rPr>
          <w:rFonts w:cstheme="minorHAnsi"/>
          <w:bCs/>
          <w:sz w:val="24"/>
          <w:szCs w:val="24"/>
        </w:rPr>
        <w:t xml:space="preserve">) </w:t>
      </w:r>
      <w:r w:rsidR="0098012B" w:rsidRPr="00BF3CF1">
        <w:rPr>
          <w:rFonts w:cstheme="minorHAnsi"/>
          <w:bCs/>
          <w:sz w:val="24"/>
          <w:szCs w:val="24"/>
        </w:rPr>
        <w:t>to</w:t>
      </w:r>
      <w:r w:rsidR="00A30227" w:rsidRPr="00BF3CF1">
        <w:rPr>
          <w:rFonts w:cstheme="minorHAnsi"/>
          <w:bCs/>
          <w:sz w:val="24"/>
          <w:szCs w:val="24"/>
        </w:rPr>
        <w:t xml:space="preserve"> provide </w:t>
      </w:r>
      <w:r w:rsidR="001F1626" w:rsidRPr="00BF3CF1">
        <w:rPr>
          <w:rFonts w:cstheme="minorHAnsi"/>
          <w:bCs/>
          <w:sz w:val="24"/>
          <w:szCs w:val="24"/>
        </w:rPr>
        <w:t xml:space="preserve">improved pricing arrangements and more reliable supply for older and low-cost medicines that can be more susceptible to medicine shortages. The provisions </w:t>
      </w:r>
      <w:r w:rsidR="001F1626" w:rsidRPr="00BF3CF1">
        <w:rPr>
          <w:rFonts w:cstheme="minorHAnsi"/>
          <w:bCs/>
          <w:iCs/>
          <w:sz w:val="24"/>
          <w:szCs w:val="24"/>
        </w:rPr>
        <w:t xml:space="preserve">established </w:t>
      </w:r>
      <w:r w:rsidR="001F1626" w:rsidRPr="00BF3CF1">
        <w:rPr>
          <w:rFonts w:cstheme="minorHAnsi"/>
          <w:bCs/>
          <w:sz w:val="24"/>
          <w:szCs w:val="24"/>
        </w:rPr>
        <w:t>designated brands (</w:t>
      </w:r>
      <w:r w:rsidR="007B7BDA">
        <w:rPr>
          <w:rFonts w:cstheme="minorHAnsi"/>
          <w:bCs/>
          <w:sz w:val="24"/>
          <w:szCs w:val="24"/>
        </w:rPr>
        <w:t>s</w:t>
      </w:r>
      <w:r w:rsidR="001F1626" w:rsidRPr="00BF3CF1">
        <w:rPr>
          <w:rFonts w:cstheme="minorHAnsi"/>
          <w:bCs/>
          <w:sz w:val="24"/>
          <w:szCs w:val="24"/>
        </w:rPr>
        <w:t>99ADHC) which are subject to</w:t>
      </w:r>
      <w:r w:rsidR="00074B6D">
        <w:rPr>
          <w:rFonts w:cstheme="minorHAnsi"/>
          <w:bCs/>
          <w:sz w:val="24"/>
          <w:szCs w:val="24"/>
        </w:rPr>
        <w:t>:</w:t>
      </w:r>
    </w:p>
    <w:p w14:paraId="4E2913DB" w14:textId="5C0AB7E1" w:rsidR="00074B6D" w:rsidRPr="00074B6D" w:rsidRDefault="009835FB" w:rsidP="00074B6D">
      <w:pPr>
        <w:pStyle w:val="ListParagraph"/>
        <w:numPr>
          <w:ilvl w:val="0"/>
          <w:numId w:val="6"/>
        </w:numPr>
        <w:jc w:val="both"/>
        <w:rPr>
          <w:rFonts w:cstheme="minorHAnsi"/>
          <w:sz w:val="24"/>
          <w:szCs w:val="24"/>
        </w:rPr>
      </w:pPr>
      <w:r w:rsidRPr="003C065E">
        <w:rPr>
          <w:rFonts w:cstheme="minorHAnsi"/>
          <w:sz w:val="24"/>
          <w:szCs w:val="24"/>
          <w:u w:val="single"/>
        </w:rPr>
        <w:t>protective</w:t>
      </w:r>
      <w:r w:rsidR="001F1626" w:rsidRPr="003C065E">
        <w:rPr>
          <w:rFonts w:cstheme="minorHAnsi"/>
          <w:sz w:val="24"/>
          <w:szCs w:val="24"/>
          <w:u w:val="single"/>
        </w:rPr>
        <w:t xml:space="preserve"> price disclosure thresholds</w:t>
      </w:r>
      <w:r w:rsidR="001F1626" w:rsidRPr="004148CC">
        <w:rPr>
          <w:rFonts w:cstheme="minorHAnsi"/>
          <w:sz w:val="24"/>
          <w:szCs w:val="24"/>
        </w:rPr>
        <w:t xml:space="preserve"> </w:t>
      </w:r>
      <w:r w:rsidR="007C71A9">
        <w:rPr>
          <w:rFonts w:cstheme="minorHAnsi"/>
          <w:bCs/>
          <w:sz w:val="24"/>
          <w:szCs w:val="24"/>
        </w:rPr>
        <w:t>–</w:t>
      </w:r>
      <w:r w:rsidR="001F1626" w:rsidRPr="003C065E">
        <w:rPr>
          <w:rFonts w:cstheme="minorHAnsi"/>
          <w:bCs/>
          <w:sz w:val="24"/>
          <w:szCs w:val="24"/>
        </w:rPr>
        <w:t xml:space="preserve"> </w:t>
      </w:r>
      <w:r w:rsidR="001F1626" w:rsidRPr="004148CC">
        <w:rPr>
          <w:rFonts w:cstheme="minorHAnsi"/>
          <w:sz w:val="24"/>
          <w:szCs w:val="24"/>
        </w:rPr>
        <w:t>of 30% or a lower price disclosure threshold of 10% where the 12.5% average test (</w:t>
      </w:r>
      <w:r w:rsidR="00934F70">
        <w:rPr>
          <w:rFonts w:cstheme="minorHAnsi"/>
          <w:sz w:val="24"/>
          <w:szCs w:val="24"/>
        </w:rPr>
        <w:t xml:space="preserve">set out in </w:t>
      </w:r>
      <w:r w:rsidR="001F1626" w:rsidRPr="004148CC">
        <w:rPr>
          <w:rFonts w:cstheme="minorHAnsi"/>
          <w:sz w:val="24"/>
          <w:szCs w:val="24"/>
        </w:rPr>
        <w:t>s99ADH(6)) is met</w:t>
      </w:r>
      <w:r w:rsidR="00074B6D">
        <w:rPr>
          <w:rFonts w:cstheme="minorHAnsi"/>
          <w:bCs/>
          <w:sz w:val="24"/>
          <w:szCs w:val="24"/>
        </w:rPr>
        <w:t>;</w:t>
      </w:r>
    </w:p>
    <w:p w14:paraId="7EA07ACD" w14:textId="323A7407" w:rsidR="00074B6D" w:rsidRPr="00D91128" w:rsidRDefault="001F1626" w:rsidP="00074B6D">
      <w:pPr>
        <w:pStyle w:val="ListParagraph"/>
        <w:numPr>
          <w:ilvl w:val="0"/>
          <w:numId w:val="6"/>
        </w:numPr>
        <w:jc w:val="both"/>
        <w:rPr>
          <w:rFonts w:cstheme="minorHAnsi"/>
          <w:sz w:val="24"/>
          <w:szCs w:val="24"/>
        </w:rPr>
      </w:pPr>
      <w:r w:rsidRPr="003C065E">
        <w:rPr>
          <w:rFonts w:cstheme="minorHAnsi"/>
          <w:sz w:val="24"/>
          <w:szCs w:val="24"/>
          <w:u w:val="single"/>
        </w:rPr>
        <w:t>floor price protections</w:t>
      </w:r>
      <w:r w:rsidR="006227E5">
        <w:rPr>
          <w:rFonts w:cstheme="minorHAnsi"/>
          <w:bCs/>
          <w:sz w:val="24"/>
          <w:szCs w:val="24"/>
        </w:rPr>
        <w:t xml:space="preserve"> </w:t>
      </w:r>
      <w:r w:rsidR="00D95097">
        <w:rPr>
          <w:rFonts w:cstheme="minorHAnsi"/>
          <w:bCs/>
          <w:sz w:val="24"/>
          <w:szCs w:val="24"/>
        </w:rPr>
        <w:t>–</w:t>
      </w:r>
      <w:r w:rsidR="000D0D4D">
        <w:rPr>
          <w:rFonts w:cstheme="minorHAnsi"/>
          <w:bCs/>
          <w:sz w:val="24"/>
          <w:szCs w:val="24"/>
        </w:rPr>
        <w:t xml:space="preserve"> </w:t>
      </w:r>
      <w:r w:rsidR="009C2B34" w:rsidRPr="00BB4E13">
        <w:rPr>
          <w:rFonts w:cstheme="minorHAnsi"/>
          <w:bCs/>
          <w:sz w:val="24"/>
          <w:szCs w:val="24"/>
        </w:rPr>
        <w:t>no price reductions apply</w:t>
      </w:r>
      <w:r w:rsidR="009C2B34">
        <w:rPr>
          <w:rFonts w:cstheme="minorHAnsi"/>
          <w:bCs/>
          <w:sz w:val="24"/>
          <w:szCs w:val="24"/>
        </w:rPr>
        <w:t xml:space="preserve"> to</w:t>
      </w:r>
      <w:r w:rsidR="009C2B34" w:rsidRPr="00BB4E13">
        <w:rPr>
          <w:rFonts w:cstheme="minorHAnsi"/>
          <w:bCs/>
          <w:sz w:val="24"/>
          <w:szCs w:val="24"/>
        </w:rPr>
        <w:t xml:space="preserve"> </w:t>
      </w:r>
      <w:r w:rsidR="00BB4E13" w:rsidRPr="00BB4E13">
        <w:rPr>
          <w:rFonts w:cstheme="minorHAnsi"/>
          <w:bCs/>
          <w:sz w:val="24"/>
          <w:szCs w:val="24"/>
        </w:rPr>
        <w:t xml:space="preserve">designated brands with an </w:t>
      </w:r>
      <w:r w:rsidR="00F21B89">
        <w:rPr>
          <w:rFonts w:cstheme="minorHAnsi"/>
          <w:bCs/>
          <w:sz w:val="24"/>
          <w:szCs w:val="24"/>
        </w:rPr>
        <w:t>approved ex-manufacturer price (</w:t>
      </w:r>
      <w:r w:rsidR="00BB4E13" w:rsidRPr="00F21B89">
        <w:rPr>
          <w:rFonts w:cstheme="minorHAnsi"/>
          <w:b/>
          <w:sz w:val="24"/>
          <w:szCs w:val="24"/>
        </w:rPr>
        <w:t>AEMP</w:t>
      </w:r>
      <w:r w:rsidR="00F21B89">
        <w:rPr>
          <w:rFonts w:cstheme="minorHAnsi"/>
          <w:bCs/>
          <w:sz w:val="24"/>
          <w:szCs w:val="24"/>
        </w:rPr>
        <w:t>)</w:t>
      </w:r>
      <w:r w:rsidR="00BB4E13" w:rsidRPr="00BB4E13">
        <w:rPr>
          <w:rFonts w:cstheme="minorHAnsi"/>
          <w:bCs/>
          <w:sz w:val="24"/>
          <w:szCs w:val="24"/>
        </w:rPr>
        <w:t xml:space="preserve"> of $4 or less</w:t>
      </w:r>
      <w:r w:rsidR="009C2B34">
        <w:rPr>
          <w:rFonts w:cstheme="minorHAnsi"/>
          <w:bCs/>
          <w:sz w:val="24"/>
          <w:szCs w:val="24"/>
        </w:rPr>
        <w:t>.</w:t>
      </w:r>
      <w:r w:rsidR="00BB4E13" w:rsidRPr="00BB4E13">
        <w:rPr>
          <w:rFonts w:cstheme="minorHAnsi"/>
          <w:bCs/>
          <w:sz w:val="24"/>
          <w:szCs w:val="24"/>
        </w:rPr>
        <w:t xml:space="preserve"> For designated brands with an </w:t>
      </w:r>
      <w:r w:rsidR="00BB4E13" w:rsidRPr="00F21B89">
        <w:rPr>
          <w:rFonts w:cstheme="minorHAnsi"/>
          <w:bCs/>
          <w:sz w:val="24"/>
          <w:szCs w:val="24"/>
        </w:rPr>
        <w:t>AEMP</w:t>
      </w:r>
      <w:r w:rsidR="00BB4E13" w:rsidRPr="00BB4E13">
        <w:rPr>
          <w:rFonts w:cstheme="minorHAnsi"/>
          <w:bCs/>
          <w:sz w:val="24"/>
          <w:szCs w:val="24"/>
        </w:rPr>
        <w:t xml:space="preserve"> more than $4, price reductions are capped at a floor price of $4</w:t>
      </w:r>
      <w:r w:rsidR="00074B6D">
        <w:rPr>
          <w:rFonts w:cstheme="minorHAnsi"/>
          <w:bCs/>
          <w:sz w:val="24"/>
          <w:szCs w:val="24"/>
        </w:rPr>
        <w:t>;</w:t>
      </w:r>
    </w:p>
    <w:p w14:paraId="78A76DB5" w14:textId="3B784CC0" w:rsidR="00074B6D" w:rsidRPr="003718BD" w:rsidRDefault="007462FA" w:rsidP="003718BD">
      <w:pPr>
        <w:pStyle w:val="ListParagraph"/>
        <w:numPr>
          <w:ilvl w:val="0"/>
          <w:numId w:val="6"/>
        </w:numPr>
        <w:jc w:val="both"/>
        <w:rPr>
          <w:rFonts w:cstheme="minorHAnsi"/>
          <w:sz w:val="24"/>
          <w:szCs w:val="24"/>
        </w:rPr>
      </w:pPr>
      <w:r w:rsidRPr="003C065E">
        <w:rPr>
          <w:rFonts w:cstheme="minorHAnsi"/>
          <w:sz w:val="24"/>
          <w:szCs w:val="24"/>
          <w:u w:val="single"/>
        </w:rPr>
        <w:t>adjusted net revenue calculations</w:t>
      </w:r>
      <w:r w:rsidR="00A6756D" w:rsidRPr="003718BD">
        <w:rPr>
          <w:rFonts w:cstheme="minorHAnsi"/>
          <w:sz w:val="24"/>
          <w:szCs w:val="24"/>
        </w:rPr>
        <w:t xml:space="preserve"> </w:t>
      </w:r>
      <w:r w:rsidR="00737771">
        <w:rPr>
          <w:rFonts w:cstheme="minorHAnsi"/>
          <w:sz w:val="24"/>
          <w:szCs w:val="24"/>
        </w:rPr>
        <w:t>–</w:t>
      </w:r>
      <w:r w:rsidR="0088003C" w:rsidRPr="003718BD">
        <w:rPr>
          <w:rFonts w:cstheme="minorHAnsi"/>
          <w:sz w:val="24"/>
          <w:szCs w:val="24"/>
        </w:rPr>
        <w:t xml:space="preserve"> </w:t>
      </w:r>
      <w:r w:rsidR="00385644">
        <w:rPr>
          <w:rFonts w:cstheme="minorHAnsi"/>
          <w:bCs/>
          <w:sz w:val="24"/>
          <w:szCs w:val="24"/>
        </w:rPr>
        <w:t>any</w:t>
      </w:r>
      <w:r w:rsidR="001F1626" w:rsidRPr="003C065E">
        <w:rPr>
          <w:rFonts w:cstheme="minorHAnsi"/>
          <w:bCs/>
          <w:sz w:val="24"/>
          <w:szCs w:val="24"/>
        </w:rPr>
        <w:t xml:space="preserve"> discount</w:t>
      </w:r>
      <w:r w:rsidR="00385644">
        <w:rPr>
          <w:rFonts w:cstheme="minorHAnsi"/>
          <w:bCs/>
          <w:sz w:val="24"/>
          <w:szCs w:val="24"/>
        </w:rPr>
        <w:t>s</w:t>
      </w:r>
      <w:r w:rsidR="001F1626" w:rsidRPr="003C065E">
        <w:rPr>
          <w:rFonts w:cstheme="minorHAnsi"/>
          <w:bCs/>
          <w:sz w:val="24"/>
          <w:szCs w:val="24"/>
        </w:rPr>
        <w:t xml:space="preserve"> or incentive</w:t>
      </w:r>
      <w:r w:rsidR="00385644">
        <w:rPr>
          <w:rFonts w:cstheme="minorHAnsi"/>
          <w:bCs/>
          <w:sz w:val="24"/>
          <w:szCs w:val="24"/>
        </w:rPr>
        <w:t>s</w:t>
      </w:r>
      <w:r w:rsidR="001F1626" w:rsidRPr="004148CC">
        <w:rPr>
          <w:rFonts w:cstheme="minorHAnsi"/>
          <w:sz w:val="24"/>
          <w:szCs w:val="24"/>
        </w:rPr>
        <w:t xml:space="preserve"> in relation to sales of a designated brand with an AEMP of $4 or less</w:t>
      </w:r>
      <w:r w:rsidR="00385644">
        <w:rPr>
          <w:rFonts w:cstheme="minorHAnsi"/>
          <w:bCs/>
          <w:sz w:val="24"/>
          <w:szCs w:val="24"/>
        </w:rPr>
        <w:t xml:space="preserve"> wi</w:t>
      </w:r>
      <w:r w:rsidR="000049FB">
        <w:rPr>
          <w:rFonts w:cstheme="minorHAnsi"/>
          <w:bCs/>
          <w:sz w:val="24"/>
          <w:szCs w:val="24"/>
        </w:rPr>
        <w:t>ll</w:t>
      </w:r>
      <w:r w:rsidR="00385644">
        <w:rPr>
          <w:rFonts w:cstheme="minorHAnsi"/>
          <w:bCs/>
          <w:sz w:val="24"/>
          <w:szCs w:val="24"/>
        </w:rPr>
        <w:t xml:space="preserve"> be apportioned through Step 3A </w:t>
      </w:r>
      <w:r w:rsidR="0051753D">
        <w:rPr>
          <w:rFonts w:cstheme="minorHAnsi"/>
          <w:bCs/>
          <w:sz w:val="24"/>
          <w:szCs w:val="24"/>
        </w:rPr>
        <w:t xml:space="preserve">of the price disclosure calculations </w:t>
      </w:r>
      <w:r w:rsidR="00385644">
        <w:rPr>
          <w:rFonts w:cstheme="minorHAnsi"/>
          <w:bCs/>
          <w:sz w:val="24"/>
          <w:szCs w:val="24"/>
        </w:rPr>
        <w:t xml:space="preserve">to other brands </w:t>
      </w:r>
      <w:r w:rsidR="005F630B">
        <w:rPr>
          <w:rFonts w:cstheme="minorHAnsi"/>
          <w:bCs/>
          <w:sz w:val="24"/>
          <w:szCs w:val="24"/>
        </w:rPr>
        <w:t>of the Responsible Person</w:t>
      </w:r>
      <w:r w:rsidR="00AC367B">
        <w:rPr>
          <w:rFonts w:cstheme="minorHAnsi"/>
          <w:bCs/>
          <w:sz w:val="24"/>
          <w:szCs w:val="24"/>
        </w:rPr>
        <w:t xml:space="preserve"> (</w:t>
      </w:r>
      <w:r w:rsidR="00AC367B" w:rsidRPr="003A2DB3">
        <w:rPr>
          <w:rFonts w:cstheme="minorHAnsi"/>
          <w:b/>
          <w:sz w:val="24"/>
          <w:szCs w:val="24"/>
        </w:rPr>
        <w:t>RP</w:t>
      </w:r>
      <w:r w:rsidR="00AC367B">
        <w:rPr>
          <w:rFonts w:cstheme="minorHAnsi"/>
          <w:bCs/>
          <w:sz w:val="24"/>
          <w:szCs w:val="24"/>
        </w:rPr>
        <w:t>)</w:t>
      </w:r>
      <w:r w:rsidR="005F630B">
        <w:rPr>
          <w:rFonts w:cstheme="minorHAnsi"/>
          <w:bCs/>
          <w:sz w:val="24"/>
          <w:szCs w:val="24"/>
        </w:rPr>
        <w:t>. The</w:t>
      </w:r>
      <w:r w:rsidR="00385644">
        <w:rPr>
          <w:rFonts w:cstheme="minorHAnsi"/>
          <w:bCs/>
          <w:sz w:val="24"/>
          <w:szCs w:val="24"/>
        </w:rPr>
        <w:t xml:space="preserve"> </w:t>
      </w:r>
      <w:r w:rsidR="003718BD" w:rsidRPr="003718BD">
        <w:rPr>
          <w:rFonts w:cstheme="minorHAnsi"/>
          <w:bCs/>
          <w:sz w:val="24"/>
          <w:szCs w:val="24"/>
        </w:rPr>
        <w:t>Minister</w:t>
      </w:r>
      <w:r w:rsidR="005F630B">
        <w:rPr>
          <w:rFonts w:cstheme="minorHAnsi"/>
          <w:bCs/>
          <w:sz w:val="24"/>
          <w:szCs w:val="24"/>
        </w:rPr>
        <w:t xml:space="preserve"> </w:t>
      </w:r>
      <w:r w:rsidR="00934F70">
        <w:rPr>
          <w:rFonts w:cstheme="minorHAnsi"/>
          <w:bCs/>
          <w:sz w:val="24"/>
          <w:szCs w:val="24"/>
        </w:rPr>
        <w:t xml:space="preserve">also </w:t>
      </w:r>
      <w:r w:rsidR="005F630B">
        <w:rPr>
          <w:rFonts w:cstheme="minorHAnsi"/>
          <w:bCs/>
          <w:sz w:val="24"/>
          <w:szCs w:val="24"/>
        </w:rPr>
        <w:t xml:space="preserve">has </w:t>
      </w:r>
      <w:r w:rsidR="003718BD" w:rsidRPr="003718BD">
        <w:rPr>
          <w:rFonts w:cstheme="minorHAnsi"/>
          <w:bCs/>
          <w:sz w:val="24"/>
          <w:szCs w:val="24"/>
        </w:rPr>
        <w:t>powers under Division 3CA</w:t>
      </w:r>
      <w:r w:rsidR="000D0D4D">
        <w:rPr>
          <w:rFonts w:cstheme="minorHAnsi"/>
          <w:bCs/>
          <w:sz w:val="24"/>
          <w:szCs w:val="24"/>
        </w:rPr>
        <w:t xml:space="preserve"> that</w:t>
      </w:r>
      <w:r w:rsidR="005F630B">
        <w:rPr>
          <w:rFonts w:cstheme="minorHAnsi"/>
          <w:bCs/>
          <w:sz w:val="24"/>
          <w:szCs w:val="24"/>
        </w:rPr>
        <w:t xml:space="preserve"> they can choose to utilise if </w:t>
      </w:r>
      <w:r w:rsidR="000D0D4D">
        <w:rPr>
          <w:rFonts w:cstheme="minorHAnsi"/>
          <w:bCs/>
          <w:sz w:val="24"/>
          <w:szCs w:val="24"/>
        </w:rPr>
        <w:t xml:space="preserve">an </w:t>
      </w:r>
      <w:r w:rsidR="00AC367B">
        <w:rPr>
          <w:rFonts w:cstheme="minorHAnsi"/>
          <w:bCs/>
          <w:sz w:val="24"/>
          <w:szCs w:val="24"/>
        </w:rPr>
        <w:t xml:space="preserve">RP is </w:t>
      </w:r>
      <w:r w:rsidR="00023695">
        <w:rPr>
          <w:rFonts w:cstheme="minorHAnsi"/>
          <w:bCs/>
          <w:sz w:val="24"/>
          <w:szCs w:val="24"/>
        </w:rPr>
        <w:t xml:space="preserve">offering </w:t>
      </w:r>
      <w:r w:rsidR="00AC367B">
        <w:rPr>
          <w:rFonts w:cstheme="minorHAnsi"/>
          <w:bCs/>
          <w:sz w:val="24"/>
          <w:szCs w:val="24"/>
        </w:rPr>
        <w:t>discount</w:t>
      </w:r>
      <w:r w:rsidR="00023695">
        <w:rPr>
          <w:rFonts w:cstheme="minorHAnsi"/>
          <w:bCs/>
          <w:sz w:val="24"/>
          <w:szCs w:val="24"/>
        </w:rPr>
        <w:t>s or incentives for</w:t>
      </w:r>
      <w:r w:rsidR="00AC367B">
        <w:rPr>
          <w:rFonts w:cstheme="minorHAnsi"/>
          <w:bCs/>
          <w:sz w:val="24"/>
          <w:szCs w:val="24"/>
        </w:rPr>
        <w:t xml:space="preserve"> </w:t>
      </w:r>
      <w:r w:rsidR="008F470A">
        <w:rPr>
          <w:rFonts w:cstheme="minorHAnsi"/>
          <w:bCs/>
          <w:sz w:val="24"/>
          <w:szCs w:val="24"/>
        </w:rPr>
        <w:t>designated brands with an AEMP of $4 or less</w:t>
      </w:r>
      <w:r w:rsidR="005F630B">
        <w:rPr>
          <w:rFonts w:cstheme="minorHAnsi"/>
          <w:bCs/>
          <w:sz w:val="24"/>
          <w:szCs w:val="24"/>
        </w:rPr>
        <w:t>; and</w:t>
      </w:r>
    </w:p>
    <w:p w14:paraId="4E14849C" w14:textId="11253034" w:rsidR="00A30227" w:rsidRPr="004148CC" w:rsidRDefault="005F630B" w:rsidP="00A92A50">
      <w:pPr>
        <w:pStyle w:val="ListParagraph"/>
        <w:numPr>
          <w:ilvl w:val="0"/>
          <w:numId w:val="6"/>
        </w:numPr>
        <w:spacing w:after="120"/>
        <w:ind w:left="771" w:hanging="357"/>
        <w:jc w:val="both"/>
        <w:rPr>
          <w:rFonts w:cstheme="minorHAnsi"/>
          <w:sz w:val="24"/>
          <w:szCs w:val="24"/>
        </w:rPr>
      </w:pPr>
      <w:r>
        <w:rPr>
          <w:rFonts w:cstheme="minorHAnsi"/>
          <w:bCs/>
          <w:sz w:val="24"/>
          <w:szCs w:val="24"/>
          <w:u w:val="single"/>
        </w:rPr>
        <w:t>m</w:t>
      </w:r>
      <w:r w:rsidR="001F1626" w:rsidRPr="003C065E">
        <w:rPr>
          <w:rFonts w:cstheme="minorHAnsi"/>
          <w:sz w:val="24"/>
          <w:szCs w:val="24"/>
          <w:u w:val="single"/>
        </w:rPr>
        <w:t>inimum stockholding requirements</w:t>
      </w:r>
      <w:r w:rsidR="001F1626" w:rsidRPr="004148CC">
        <w:rPr>
          <w:rFonts w:cstheme="minorHAnsi"/>
          <w:sz w:val="24"/>
          <w:szCs w:val="24"/>
        </w:rPr>
        <w:t xml:space="preserve"> </w:t>
      </w:r>
      <w:r w:rsidR="000D0D4D">
        <w:rPr>
          <w:rFonts w:cstheme="minorHAnsi"/>
          <w:sz w:val="24"/>
          <w:szCs w:val="24"/>
        </w:rPr>
        <w:t>– RPs must keep in stock in Australia at least the applicable quantity of the brand, which is generally determined by reference to the usual demand of that brand (</w:t>
      </w:r>
      <w:r w:rsidR="001F1626" w:rsidRPr="004148CC">
        <w:rPr>
          <w:rFonts w:cstheme="minorHAnsi"/>
          <w:sz w:val="24"/>
          <w:szCs w:val="24"/>
        </w:rPr>
        <w:t>Division 3CAA of the Act</w:t>
      </w:r>
      <w:r w:rsidR="000D0D4D">
        <w:rPr>
          <w:rFonts w:cstheme="minorHAnsi"/>
          <w:sz w:val="24"/>
          <w:szCs w:val="24"/>
        </w:rPr>
        <w:t>)</w:t>
      </w:r>
      <w:r w:rsidR="001F1626" w:rsidRPr="004148CC">
        <w:rPr>
          <w:rFonts w:cstheme="minorHAnsi"/>
          <w:sz w:val="24"/>
          <w:szCs w:val="24"/>
        </w:rPr>
        <w:t>.</w:t>
      </w:r>
    </w:p>
    <w:p w14:paraId="7EAB8D86" w14:textId="223D1353" w:rsidR="00E922E5" w:rsidRPr="00BF3CF1" w:rsidRDefault="00C265B1" w:rsidP="00A92A50">
      <w:pPr>
        <w:spacing w:after="120"/>
        <w:jc w:val="both"/>
        <w:rPr>
          <w:rFonts w:cstheme="minorHAnsi"/>
          <w:sz w:val="24"/>
          <w:szCs w:val="24"/>
        </w:rPr>
      </w:pPr>
      <w:r w:rsidRPr="004148CC">
        <w:rPr>
          <w:rFonts w:cstheme="minorHAnsi"/>
          <w:sz w:val="24"/>
          <w:szCs w:val="24"/>
        </w:rPr>
        <w:t xml:space="preserve">The </w:t>
      </w:r>
      <w:r w:rsidR="00DD0336" w:rsidRPr="004148CC">
        <w:rPr>
          <w:rFonts w:cstheme="minorHAnsi"/>
          <w:sz w:val="24"/>
          <w:szCs w:val="24"/>
        </w:rPr>
        <w:t>2024</w:t>
      </w:r>
      <w:r w:rsidRPr="004148CC">
        <w:rPr>
          <w:rFonts w:cstheme="minorHAnsi"/>
          <w:sz w:val="24"/>
          <w:szCs w:val="24"/>
        </w:rPr>
        <w:t xml:space="preserve"> Amendment Act</w:t>
      </w:r>
      <w:r w:rsidR="0092487B" w:rsidRPr="004148CC">
        <w:rPr>
          <w:rFonts w:cstheme="minorHAnsi"/>
          <w:sz w:val="24"/>
          <w:szCs w:val="24"/>
        </w:rPr>
        <w:t xml:space="preserve"> </w:t>
      </w:r>
      <w:r w:rsidR="00A517FA" w:rsidRPr="004148CC">
        <w:rPr>
          <w:rFonts w:cstheme="minorHAnsi"/>
          <w:sz w:val="24"/>
          <w:szCs w:val="24"/>
        </w:rPr>
        <w:t xml:space="preserve">clarifies the operation of </w:t>
      </w:r>
      <w:r w:rsidR="002B60E2" w:rsidRPr="003C065E">
        <w:rPr>
          <w:rFonts w:cstheme="minorHAnsi"/>
          <w:bCs/>
          <w:sz w:val="24"/>
          <w:szCs w:val="24"/>
        </w:rPr>
        <w:t xml:space="preserve">the </w:t>
      </w:r>
      <w:r w:rsidR="002B60E2" w:rsidRPr="003C065E">
        <w:rPr>
          <w:rFonts w:cstheme="minorHAnsi"/>
          <w:bCs/>
          <w:iCs/>
          <w:sz w:val="24"/>
          <w:szCs w:val="24"/>
        </w:rPr>
        <w:t>12.5% average test (</w:t>
      </w:r>
      <w:r w:rsidR="00934F70">
        <w:rPr>
          <w:rFonts w:cstheme="minorHAnsi"/>
          <w:bCs/>
          <w:iCs/>
          <w:sz w:val="24"/>
          <w:szCs w:val="24"/>
        </w:rPr>
        <w:t xml:space="preserve">in </w:t>
      </w:r>
      <w:r w:rsidR="002B60E2" w:rsidRPr="003C065E">
        <w:rPr>
          <w:rFonts w:cstheme="minorHAnsi"/>
          <w:bCs/>
          <w:iCs/>
          <w:sz w:val="24"/>
          <w:szCs w:val="24"/>
        </w:rPr>
        <w:t>s99ADH(6))</w:t>
      </w:r>
      <w:r w:rsidR="00934F70">
        <w:rPr>
          <w:rFonts w:cstheme="minorHAnsi"/>
          <w:bCs/>
          <w:iCs/>
          <w:sz w:val="24"/>
          <w:szCs w:val="24"/>
        </w:rPr>
        <w:t>,</w:t>
      </w:r>
      <w:r w:rsidR="002B60E2" w:rsidRPr="003C065E">
        <w:rPr>
          <w:rFonts w:cstheme="minorHAnsi"/>
          <w:bCs/>
          <w:iCs/>
          <w:sz w:val="24"/>
          <w:szCs w:val="24"/>
        </w:rPr>
        <w:t xml:space="preserve"> </w:t>
      </w:r>
      <w:r w:rsidR="00442F75">
        <w:rPr>
          <w:rFonts w:cstheme="minorHAnsi"/>
          <w:bCs/>
          <w:iCs/>
          <w:sz w:val="24"/>
          <w:szCs w:val="24"/>
        </w:rPr>
        <w:t xml:space="preserve">and the timing of when a brand </w:t>
      </w:r>
      <w:r w:rsidR="008B3FB9">
        <w:rPr>
          <w:rFonts w:cstheme="minorHAnsi"/>
          <w:bCs/>
          <w:iCs/>
          <w:sz w:val="24"/>
          <w:szCs w:val="24"/>
        </w:rPr>
        <w:t xml:space="preserve">becomes a designated brand under s99ADHC. </w:t>
      </w:r>
      <w:r w:rsidR="00A517FA" w:rsidRPr="00BF3CF1">
        <w:rPr>
          <w:rFonts w:cstheme="minorHAnsi"/>
          <w:sz w:val="24"/>
          <w:szCs w:val="24"/>
        </w:rPr>
        <w:t>It</w:t>
      </w:r>
      <w:r w:rsidR="00022927">
        <w:rPr>
          <w:rFonts w:cstheme="minorHAnsi"/>
          <w:sz w:val="24"/>
          <w:szCs w:val="24"/>
        </w:rPr>
        <w:t> </w:t>
      </w:r>
      <w:r w:rsidR="0092487B" w:rsidRPr="00BF3CF1">
        <w:rPr>
          <w:rFonts w:cstheme="minorHAnsi"/>
          <w:sz w:val="24"/>
          <w:szCs w:val="24"/>
        </w:rPr>
        <w:t xml:space="preserve">includes technical amendments only, which </w:t>
      </w:r>
      <w:r w:rsidR="005A2B62">
        <w:rPr>
          <w:rFonts w:cstheme="minorHAnsi"/>
          <w:sz w:val="24"/>
          <w:szCs w:val="24"/>
        </w:rPr>
        <w:t>were</w:t>
      </w:r>
      <w:r w:rsidR="0092487B" w:rsidRPr="00BF3CF1">
        <w:rPr>
          <w:rFonts w:cstheme="minorHAnsi"/>
          <w:sz w:val="24"/>
          <w:szCs w:val="24"/>
        </w:rPr>
        <w:t xml:space="preserve"> </w:t>
      </w:r>
      <w:r w:rsidR="00934F70">
        <w:rPr>
          <w:rFonts w:cstheme="minorHAnsi"/>
          <w:sz w:val="24"/>
          <w:szCs w:val="24"/>
        </w:rPr>
        <w:t>made</w:t>
      </w:r>
      <w:r w:rsidR="00934F70" w:rsidRPr="00BF3CF1">
        <w:rPr>
          <w:rFonts w:cstheme="minorHAnsi"/>
          <w:sz w:val="24"/>
          <w:szCs w:val="24"/>
        </w:rPr>
        <w:t xml:space="preserve"> </w:t>
      </w:r>
      <w:r w:rsidR="000B0BB2" w:rsidRPr="00BF3CF1">
        <w:rPr>
          <w:rFonts w:cstheme="minorHAnsi"/>
          <w:sz w:val="24"/>
          <w:szCs w:val="24"/>
        </w:rPr>
        <w:t xml:space="preserve">for </w:t>
      </w:r>
      <w:r w:rsidR="00934F70">
        <w:rPr>
          <w:rFonts w:cstheme="minorHAnsi"/>
          <w:sz w:val="24"/>
          <w:szCs w:val="24"/>
        </w:rPr>
        <w:t xml:space="preserve">the </w:t>
      </w:r>
      <w:r w:rsidR="000B0BB2" w:rsidRPr="00BF3CF1">
        <w:rPr>
          <w:rFonts w:cstheme="minorHAnsi"/>
          <w:sz w:val="24"/>
          <w:szCs w:val="24"/>
        </w:rPr>
        <w:t xml:space="preserve">avoidance of doubt and do not alter the operation of the provisions which have been in effect since 1 July 2022. The amendments </w:t>
      </w:r>
      <w:r w:rsidR="00353C2D" w:rsidRPr="00BF3CF1">
        <w:rPr>
          <w:rFonts w:cstheme="minorHAnsi"/>
          <w:sz w:val="24"/>
          <w:szCs w:val="24"/>
        </w:rPr>
        <w:t xml:space="preserve">apply </w:t>
      </w:r>
      <w:r w:rsidR="00AD2D63">
        <w:rPr>
          <w:rFonts w:cstheme="minorHAnsi"/>
          <w:sz w:val="24"/>
          <w:szCs w:val="24"/>
        </w:rPr>
        <w:t>retrospectively effective from 1 July 20</w:t>
      </w:r>
      <w:r w:rsidR="0095366F">
        <w:rPr>
          <w:rFonts w:cstheme="minorHAnsi"/>
          <w:sz w:val="24"/>
          <w:szCs w:val="24"/>
        </w:rPr>
        <w:t>22</w:t>
      </w:r>
      <w:r w:rsidR="00027ECF" w:rsidRPr="00BF3CF1">
        <w:rPr>
          <w:rFonts w:cstheme="minorHAnsi"/>
          <w:sz w:val="24"/>
          <w:szCs w:val="24"/>
        </w:rPr>
        <w:t>.</w:t>
      </w:r>
    </w:p>
    <w:p w14:paraId="225E964B" w14:textId="6D9F6260" w:rsidR="00584B2E" w:rsidRPr="00BF3CF1" w:rsidRDefault="00584B2E" w:rsidP="00A92A50">
      <w:pPr>
        <w:spacing w:after="120"/>
        <w:jc w:val="both"/>
        <w:rPr>
          <w:rFonts w:cstheme="minorHAnsi"/>
          <w:sz w:val="24"/>
          <w:szCs w:val="24"/>
        </w:rPr>
      </w:pPr>
      <w:r w:rsidRPr="00BF3CF1">
        <w:rPr>
          <w:rFonts w:cstheme="minorHAnsi"/>
          <w:sz w:val="24"/>
          <w:szCs w:val="24"/>
        </w:rPr>
        <w:t xml:space="preserve">The following sections </w:t>
      </w:r>
      <w:r w:rsidR="00934F70">
        <w:rPr>
          <w:rFonts w:cstheme="minorHAnsi"/>
          <w:sz w:val="24"/>
          <w:szCs w:val="24"/>
        </w:rPr>
        <w:t xml:space="preserve">of this Fact Sheet </w:t>
      </w:r>
      <w:r w:rsidRPr="00BF3CF1">
        <w:rPr>
          <w:rFonts w:cstheme="minorHAnsi"/>
          <w:sz w:val="24"/>
          <w:szCs w:val="24"/>
        </w:rPr>
        <w:t>provide a</w:t>
      </w:r>
      <w:r w:rsidR="009A00E3" w:rsidRPr="00BF3CF1">
        <w:rPr>
          <w:rFonts w:cstheme="minorHAnsi"/>
          <w:sz w:val="24"/>
          <w:szCs w:val="24"/>
        </w:rPr>
        <w:t xml:space="preserve">n outline of the amendments. </w:t>
      </w:r>
      <w:r w:rsidR="00FF1EBE" w:rsidRPr="00BF3CF1">
        <w:rPr>
          <w:rFonts w:cstheme="minorHAnsi"/>
          <w:sz w:val="24"/>
          <w:szCs w:val="24"/>
        </w:rPr>
        <w:t xml:space="preserve">For the </w:t>
      </w:r>
      <w:r w:rsidR="002F4EF6" w:rsidRPr="00BF3CF1">
        <w:rPr>
          <w:rFonts w:cstheme="minorHAnsi"/>
          <w:sz w:val="24"/>
          <w:szCs w:val="24"/>
        </w:rPr>
        <w:t xml:space="preserve">full </w:t>
      </w:r>
      <w:r w:rsidR="0095366F">
        <w:rPr>
          <w:rFonts w:cstheme="minorHAnsi"/>
          <w:sz w:val="24"/>
          <w:szCs w:val="24"/>
        </w:rPr>
        <w:t xml:space="preserve">text of the </w:t>
      </w:r>
      <w:r w:rsidR="00B07659" w:rsidRPr="00BF3CF1">
        <w:rPr>
          <w:rFonts w:cstheme="minorHAnsi"/>
          <w:sz w:val="24"/>
          <w:szCs w:val="24"/>
        </w:rPr>
        <w:t>amendments, s</w:t>
      </w:r>
      <w:r w:rsidR="009A00E3" w:rsidRPr="00BF3CF1">
        <w:rPr>
          <w:rFonts w:cstheme="minorHAnsi"/>
          <w:sz w:val="24"/>
          <w:szCs w:val="24"/>
        </w:rPr>
        <w:t xml:space="preserve">ee the </w:t>
      </w:r>
      <w:hyperlink r:id="rId11" w:history="1">
        <w:r w:rsidR="00DD0336" w:rsidRPr="006117C6">
          <w:rPr>
            <w:rStyle w:val="Hyperlink"/>
            <w:rFonts w:cstheme="minorHAnsi"/>
            <w:sz w:val="24"/>
            <w:szCs w:val="24"/>
          </w:rPr>
          <w:t>2024</w:t>
        </w:r>
        <w:r w:rsidR="000103B9" w:rsidRPr="006117C6">
          <w:rPr>
            <w:rStyle w:val="Hyperlink"/>
            <w:rFonts w:cstheme="minorHAnsi"/>
            <w:sz w:val="24"/>
            <w:szCs w:val="24"/>
          </w:rPr>
          <w:t xml:space="preserve"> </w:t>
        </w:r>
        <w:r w:rsidR="009A00E3" w:rsidRPr="006117C6">
          <w:rPr>
            <w:rStyle w:val="Hyperlink"/>
            <w:rFonts w:cstheme="minorHAnsi"/>
            <w:sz w:val="24"/>
            <w:szCs w:val="24"/>
          </w:rPr>
          <w:t>Amendment Act</w:t>
        </w:r>
      </w:hyperlink>
      <w:r w:rsidR="00B07659" w:rsidRPr="00BF3CF1">
        <w:rPr>
          <w:rFonts w:cstheme="minorHAnsi"/>
          <w:sz w:val="24"/>
          <w:szCs w:val="24"/>
        </w:rPr>
        <w:t>.</w:t>
      </w:r>
      <w:r w:rsidR="009A00E3" w:rsidRPr="00BF3CF1">
        <w:rPr>
          <w:rFonts w:cstheme="minorHAnsi"/>
          <w:sz w:val="24"/>
          <w:szCs w:val="24"/>
        </w:rPr>
        <w:t xml:space="preserve"> </w:t>
      </w:r>
      <w:r w:rsidR="00373B6E">
        <w:rPr>
          <w:rFonts w:cstheme="minorHAnsi"/>
          <w:sz w:val="24"/>
          <w:szCs w:val="24"/>
        </w:rPr>
        <w:t>T</w:t>
      </w:r>
      <w:r w:rsidR="00655BE2" w:rsidRPr="00BF3CF1">
        <w:rPr>
          <w:rFonts w:cstheme="minorHAnsi"/>
          <w:sz w:val="24"/>
          <w:szCs w:val="24"/>
        </w:rPr>
        <w:t xml:space="preserve">he </w:t>
      </w:r>
      <w:hyperlink r:id="rId12" w:history="1">
        <w:r w:rsidR="00BC369D" w:rsidRPr="00BF3CF1">
          <w:rPr>
            <w:rStyle w:val="Hyperlink"/>
            <w:rFonts w:cstheme="minorHAnsi"/>
            <w:sz w:val="24"/>
            <w:szCs w:val="24"/>
          </w:rPr>
          <w:t>Explanatory Memorandum</w:t>
        </w:r>
      </w:hyperlink>
      <w:r w:rsidR="00BC369D" w:rsidRPr="00BF3CF1">
        <w:rPr>
          <w:rFonts w:cstheme="minorHAnsi"/>
          <w:sz w:val="24"/>
          <w:szCs w:val="24"/>
        </w:rPr>
        <w:t xml:space="preserve"> for the </w:t>
      </w:r>
      <w:r w:rsidR="00DD0336">
        <w:rPr>
          <w:rFonts w:cstheme="minorHAnsi"/>
          <w:sz w:val="24"/>
          <w:szCs w:val="24"/>
        </w:rPr>
        <w:t>2024</w:t>
      </w:r>
      <w:r w:rsidR="00EF287F">
        <w:rPr>
          <w:rFonts w:cstheme="minorHAnsi"/>
          <w:sz w:val="24"/>
          <w:szCs w:val="24"/>
        </w:rPr>
        <w:t> </w:t>
      </w:r>
      <w:r w:rsidR="00BC369D" w:rsidRPr="00BF3CF1">
        <w:rPr>
          <w:rFonts w:cstheme="minorHAnsi"/>
          <w:sz w:val="24"/>
          <w:szCs w:val="24"/>
        </w:rPr>
        <w:t>Amendment Act</w:t>
      </w:r>
      <w:r w:rsidR="00373B6E">
        <w:rPr>
          <w:rFonts w:cstheme="minorHAnsi"/>
          <w:sz w:val="24"/>
          <w:szCs w:val="24"/>
        </w:rPr>
        <w:t xml:space="preserve"> provides further details of the effect of each individual amendment</w:t>
      </w:r>
      <w:r w:rsidR="00BC369D" w:rsidRPr="00BF3CF1">
        <w:rPr>
          <w:rFonts w:cstheme="minorHAnsi"/>
          <w:sz w:val="24"/>
          <w:szCs w:val="24"/>
        </w:rPr>
        <w:t>.</w:t>
      </w:r>
      <w:r w:rsidR="000103B9" w:rsidRPr="00BF3CF1" w:rsidDel="00373B6E">
        <w:rPr>
          <w:rFonts w:cstheme="minorHAnsi"/>
          <w:sz w:val="24"/>
          <w:szCs w:val="24"/>
        </w:rPr>
        <w:t xml:space="preserve"> </w:t>
      </w:r>
    </w:p>
    <w:p w14:paraId="005D0962" w14:textId="516B25A9" w:rsidR="00821810" w:rsidRDefault="00B97F25" w:rsidP="00DD0336">
      <w:pPr>
        <w:jc w:val="both"/>
        <w:rPr>
          <w:rFonts w:cstheme="minorHAnsi"/>
          <w:sz w:val="24"/>
          <w:szCs w:val="24"/>
        </w:rPr>
      </w:pPr>
      <w:r>
        <w:rPr>
          <w:rFonts w:cstheme="minorHAnsi"/>
          <w:sz w:val="24"/>
          <w:szCs w:val="24"/>
        </w:rPr>
        <w:t xml:space="preserve">Additional information regarding the changes made by the 2021 Amendment Act </w:t>
      </w:r>
      <w:r w:rsidR="009416D2">
        <w:rPr>
          <w:rFonts w:cstheme="minorHAnsi"/>
          <w:sz w:val="24"/>
          <w:szCs w:val="24"/>
        </w:rPr>
        <w:t xml:space="preserve">is available in the </w:t>
      </w:r>
      <w:hyperlink r:id="rId13" w:history="1">
        <w:r w:rsidR="009416D2" w:rsidRPr="009416D2">
          <w:rPr>
            <w:rStyle w:val="Hyperlink"/>
            <w:rFonts w:cstheme="minorHAnsi"/>
            <w:sz w:val="24"/>
            <w:szCs w:val="24"/>
          </w:rPr>
          <w:t>Price Disclosure Reforms under the new Strategic Agreement Fact Sheet</w:t>
        </w:r>
      </w:hyperlink>
      <w:r w:rsidR="009416D2">
        <w:rPr>
          <w:rFonts w:cstheme="minorHAnsi"/>
          <w:sz w:val="24"/>
          <w:szCs w:val="24"/>
        </w:rPr>
        <w:t xml:space="preserve">. Additional information </w:t>
      </w:r>
      <w:r w:rsidR="0027034B">
        <w:rPr>
          <w:rFonts w:cstheme="minorHAnsi"/>
          <w:sz w:val="24"/>
          <w:szCs w:val="24"/>
        </w:rPr>
        <w:t xml:space="preserve">is also available on the </w:t>
      </w:r>
      <w:hyperlink r:id="rId14" w:history="1">
        <w:r w:rsidR="0027034B" w:rsidRPr="00821810">
          <w:rPr>
            <w:rStyle w:val="Hyperlink"/>
            <w:rFonts w:cstheme="minorHAnsi"/>
            <w:sz w:val="24"/>
            <w:szCs w:val="24"/>
          </w:rPr>
          <w:t>Designated Brands</w:t>
        </w:r>
      </w:hyperlink>
      <w:r w:rsidR="0027034B">
        <w:rPr>
          <w:rFonts w:cstheme="minorHAnsi"/>
          <w:sz w:val="24"/>
          <w:szCs w:val="24"/>
        </w:rPr>
        <w:t xml:space="preserve"> page of the PBS website and in the </w:t>
      </w:r>
      <w:hyperlink r:id="rId15" w:history="1">
        <w:r w:rsidR="0027034B" w:rsidRPr="00821810">
          <w:rPr>
            <w:rStyle w:val="Hyperlink"/>
            <w:rFonts w:cstheme="minorHAnsi"/>
            <w:sz w:val="24"/>
            <w:szCs w:val="24"/>
          </w:rPr>
          <w:t>Price Disclosure G</w:t>
        </w:r>
        <w:r w:rsidR="00821810" w:rsidRPr="00821810">
          <w:rPr>
            <w:rStyle w:val="Hyperlink"/>
            <w:rFonts w:cstheme="minorHAnsi"/>
            <w:sz w:val="24"/>
            <w:szCs w:val="24"/>
          </w:rPr>
          <w:t>u</w:t>
        </w:r>
        <w:r w:rsidR="0027034B" w:rsidRPr="00821810">
          <w:rPr>
            <w:rStyle w:val="Hyperlink"/>
            <w:rFonts w:cstheme="minorHAnsi"/>
            <w:sz w:val="24"/>
            <w:szCs w:val="24"/>
          </w:rPr>
          <w:t>idelines</w:t>
        </w:r>
      </w:hyperlink>
      <w:r w:rsidR="00821810">
        <w:rPr>
          <w:rFonts w:cstheme="minorHAnsi"/>
          <w:sz w:val="24"/>
          <w:szCs w:val="24"/>
        </w:rPr>
        <w:t>.</w:t>
      </w:r>
    </w:p>
    <w:p w14:paraId="3C60E880" w14:textId="168953E4" w:rsidR="001961E1" w:rsidRPr="00EB5D15" w:rsidRDefault="001961E1" w:rsidP="00DD0336">
      <w:pPr>
        <w:pStyle w:val="Heading2"/>
        <w:spacing w:before="0" w:after="160"/>
        <w:jc w:val="both"/>
        <w:rPr>
          <w:rFonts w:asciiTheme="minorHAnsi" w:hAnsiTheme="minorHAnsi" w:cstheme="minorHAnsi"/>
          <w:sz w:val="28"/>
          <w:szCs w:val="28"/>
        </w:rPr>
      </w:pPr>
      <w:r w:rsidRPr="00EB5D15">
        <w:rPr>
          <w:rFonts w:asciiTheme="minorHAnsi" w:hAnsiTheme="minorHAnsi" w:cstheme="minorHAnsi"/>
          <w:sz w:val="28"/>
          <w:szCs w:val="28"/>
        </w:rPr>
        <w:lastRenderedPageBreak/>
        <w:t>Amendments to clarify</w:t>
      </w:r>
      <w:r w:rsidR="0072690B">
        <w:rPr>
          <w:rFonts w:asciiTheme="minorHAnsi" w:hAnsiTheme="minorHAnsi" w:cstheme="minorHAnsi"/>
          <w:sz w:val="28"/>
          <w:szCs w:val="28"/>
        </w:rPr>
        <w:t xml:space="preserve"> </w:t>
      </w:r>
      <w:r w:rsidR="0072690B" w:rsidRPr="0072690B">
        <w:rPr>
          <w:rFonts w:asciiTheme="minorHAnsi" w:hAnsiTheme="minorHAnsi" w:cstheme="minorHAnsi"/>
          <w:sz w:val="28"/>
          <w:szCs w:val="28"/>
        </w:rPr>
        <w:t>the operation of the 12.5% average unadjusted price reduction test</w:t>
      </w:r>
    </w:p>
    <w:p w14:paraId="0A458EDC" w14:textId="6F814A17" w:rsidR="001E63AD" w:rsidRPr="00BF3CF1" w:rsidRDefault="00D7187C" w:rsidP="00DD0336">
      <w:pPr>
        <w:jc w:val="both"/>
        <w:rPr>
          <w:rFonts w:cstheme="minorHAnsi"/>
          <w:sz w:val="24"/>
          <w:szCs w:val="24"/>
        </w:rPr>
      </w:pPr>
      <w:r w:rsidRPr="00BF3CF1">
        <w:rPr>
          <w:rFonts w:cstheme="minorHAnsi"/>
          <w:sz w:val="24"/>
          <w:szCs w:val="24"/>
        </w:rPr>
        <w:t xml:space="preserve">Section </w:t>
      </w:r>
      <w:r w:rsidR="00374B07" w:rsidRPr="00BF3CF1">
        <w:rPr>
          <w:rFonts w:cstheme="minorHAnsi"/>
          <w:sz w:val="24"/>
          <w:szCs w:val="24"/>
        </w:rPr>
        <w:t xml:space="preserve">99ADH of the Act </w:t>
      </w:r>
      <w:r w:rsidR="5E5E8E9E" w:rsidRPr="00BF3CF1">
        <w:rPr>
          <w:rFonts w:cstheme="minorHAnsi"/>
          <w:sz w:val="24"/>
          <w:szCs w:val="24"/>
        </w:rPr>
        <w:t xml:space="preserve">is the mechanism through which price disclosure price reductions occur and </w:t>
      </w:r>
      <w:r w:rsidR="00370F7A" w:rsidRPr="00BF3CF1">
        <w:rPr>
          <w:rFonts w:cstheme="minorHAnsi"/>
          <w:sz w:val="24"/>
          <w:szCs w:val="24"/>
        </w:rPr>
        <w:t>provides</w:t>
      </w:r>
      <w:r w:rsidR="5E5E8E9E" w:rsidRPr="00BF3CF1">
        <w:rPr>
          <w:rFonts w:cstheme="minorHAnsi"/>
          <w:sz w:val="24"/>
          <w:szCs w:val="24"/>
        </w:rPr>
        <w:t xml:space="preserve"> the thresholds which must be met for a price reduction to occur </w:t>
      </w:r>
      <w:r w:rsidR="00934F70">
        <w:rPr>
          <w:rFonts w:cstheme="minorHAnsi"/>
          <w:sz w:val="24"/>
          <w:szCs w:val="24"/>
        </w:rPr>
        <w:t>in relation to data from a particular data collection period</w:t>
      </w:r>
      <w:r w:rsidR="5E5E8E9E" w:rsidRPr="00BF3CF1">
        <w:rPr>
          <w:rFonts w:cstheme="minorHAnsi"/>
          <w:sz w:val="24"/>
          <w:szCs w:val="24"/>
        </w:rPr>
        <w:t>.</w:t>
      </w:r>
    </w:p>
    <w:p w14:paraId="4A12EFFD" w14:textId="2805D62F" w:rsidR="003A2BA5" w:rsidRPr="00BF3CF1" w:rsidRDefault="00E41229" w:rsidP="00DD0336">
      <w:pPr>
        <w:jc w:val="both"/>
        <w:rPr>
          <w:rFonts w:cstheme="minorHAnsi"/>
          <w:sz w:val="24"/>
          <w:szCs w:val="24"/>
        </w:rPr>
      </w:pPr>
      <w:r w:rsidRPr="00BF3CF1">
        <w:rPr>
          <w:rFonts w:cstheme="minorHAnsi"/>
          <w:sz w:val="24"/>
          <w:szCs w:val="24"/>
        </w:rPr>
        <w:t xml:space="preserve">Amendments to section </w:t>
      </w:r>
      <w:r w:rsidR="00E042F7" w:rsidRPr="00BF3CF1">
        <w:rPr>
          <w:rFonts w:cstheme="minorHAnsi"/>
          <w:sz w:val="24"/>
          <w:szCs w:val="24"/>
        </w:rPr>
        <w:t xml:space="preserve">99ADH of the Act clarify the operation of </w:t>
      </w:r>
      <w:r w:rsidR="003A2BA5" w:rsidRPr="00BF3CF1">
        <w:rPr>
          <w:rFonts w:cstheme="minorHAnsi"/>
          <w:sz w:val="24"/>
          <w:szCs w:val="24"/>
        </w:rPr>
        <w:t xml:space="preserve">the 12.5% average unadjusted price reduction test </w:t>
      </w:r>
      <w:r w:rsidR="004F49C8">
        <w:rPr>
          <w:rFonts w:cstheme="minorHAnsi"/>
          <w:sz w:val="24"/>
          <w:szCs w:val="24"/>
        </w:rPr>
        <w:t>(</w:t>
      </w:r>
      <w:r w:rsidR="004F49C8" w:rsidRPr="00537998">
        <w:rPr>
          <w:rFonts w:cstheme="minorHAnsi"/>
          <w:b/>
          <w:bCs/>
          <w:sz w:val="24"/>
          <w:szCs w:val="24"/>
        </w:rPr>
        <w:t>12.5% average test</w:t>
      </w:r>
      <w:r w:rsidR="004F49C8">
        <w:rPr>
          <w:rFonts w:cstheme="minorHAnsi"/>
          <w:sz w:val="24"/>
          <w:szCs w:val="24"/>
        </w:rPr>
        <w:t xml:space="preserve">) </w:t>
      </w:r>
      <w:r w:rsidR="003A2BA5" w:rsidRPr="00BF3CF1">
        <w:rPr>
          <w:rFonts w:cstheme="minorHAnsi"/>
          <w:sz w:val="24"/>
          <w:szCs w:val="24"/>
        </w:rPr>
        <w:t>reflect</w:t>
      </w:r>
      <w:r w:rsidR="00171FB1">
        <w:rPr>
          <w:rFonts w:cstheme="minorHAnsi"/>
          <w:sz w:val="24"/>
          <w:szCs w:val="24"/>
        </w:rPr>
        <w:t>ing</w:t>
      </w:r>
      <w:r w:rsidR="003A2BA5" w:rsidRPr="00BF3CF1">
        <w:rPr>
          <w:rFonts w:cstheme="minorHAnsi"/>
          <w:sz w:val="24"/>
          <w:szCs w:val="24"/>
        </w:rPr>
        <w:t xml:space="preserve"> the policy intent outlined in the </w:t>
      </w:r>
      <w:hyperlink r:id="rId16" w:history="1">
        <w:r w:rsidR="003A2BA5" w:rsidRPr="00E94799">
          <w:rPr>
            <w:rStyle w:val="Hyperlink"/>
            <w:rFonts w:cstheme="minorHAnsi"/>
            <w:sz w:val="24"/>
            <w:szCs w:val="24"/>
          </w:rPr>
          <w:t xml:space="preserve">Explanatory Memorandum for the </w:t>
        </w:r>
        <w:r w:rsidR="00DD0336" w:rsidRPr="00E94799">
          <w:rPr>
            <w:rStyle w:val="Hyperlink"/>
            <w:rFonts w:cstheme="minorHAnsi"/>
            <w:sz w:val="24"/>
            <w:szCs w:val="24"/>
          </w:rPr>
          <w:t xml:space="preserve">2021 </w:t>
        </w:r>
        <w:r w:rsidR="00E042F7" w:rsidRPr="00E94799">
          <w:rPr>
            <w:rStyle w:val="Hyperlink"/>
            <w:rFonts w:cstheme="minorHAnsi"/>
            <w:sz w:val="24"/>
            <w:szCs w:val="24"/>
          </w:rPr>
          <w:t>Amendment Act</w:t>
        </w:r>
      </w:hyperlink>
      <w:r w:rsidR="003A2BA5" w:rsidRPr="00BF3CF1">
        <w:rPr>
          <w:rFonts w:cstheme="minorHAnsi"/>
          <w:sz w:val="24"/>
          <w:szCs w:val="24"/>
        </w:rPr>
        <w:t>, which states in relation to designated brands with an AEMP greater than $4:</w:t>
      </w:r>
    </w:p>
    <w:p w14:paraId="538D9A58" w14:textId="77777777" w:rsidR="003A2BA5" w:rsidRPr="00BF3CF1" w:rsidRDefault="003A2BA5" w:rsidP="00DD0336">
      <w:pPr>
        <w:ind w:left="720"/>
        <w:jc w:val="both"/>
        <w:rPr>
          <w:rFonts w:cstheme="minorHAnsi"/>
          <w:bCs/>
          <w:i/>
          <w:iCs/>
        </w:rPr>
      </w:pPr>
      <w:r w:rsidRPr="00BF3CF1">
        <w:rPr>
          <w:rFonts w:cstheme="minorHAnsi"/>
          <w:bCs/>
          <w:i/>
          <w:iCs/>
        </w:rPr>
        <w:t>…there will be no further price reductions under the Act unless, over a period of three consecutive data collection periods (1.5 years), the brand is discounted on average by 12.5% or more without taking a price reduction, or if the brand is discounted by more than 30% in any one price disclosure cycle.</w:t>
      </w:r>
    </w:p>
    <w:p w14:paraId="7A670F36" w14:textId="244F7121" w:rsidR="003A2BA5" w:rsidRPr="00BF3CF1" w:rsidRDefault="003A2BA5" w:rsidP="00DD0336">
      <w:pPr>
        <w:jc w:val="both"/>
        <w:rPr>
          <w:rFonts w:cstheme="minorHAnsi"/>
          <w:i/>
          <w:sz w:val="24"/>
          <w:szCs w:val="24"/>
        </w:rPr>
      </w:pPr>
      <w:r w:rsidRPr="00BF3CF1">
        <w:rPr>
          <w:rFonts w:cstheme="minorHAnsi"/>
          <w:sz w:val="24"/>
          <w:szCs w:val="24"/>
        </w:rPr>
        <w:t xml:space="preserve">The amendments clarify </w:t>
      </w:r>
      <w:r w:rsidR="004D1EC3" w:rsidRPr="00BF3CF1">
        <w:rPr>
          <w:rFonts w:cstheme="minorHAnsi"/>
          <w:sz w:val="24"/>
          <w:szCs w:val="24"/>
        </w:rPr>
        <w:t>paragr</w:t>
      </w:r>
      <w:r w:rsidR="0091127D" w:rsidRPr="00BF3CF1">
        <w:rPr>
          <w:rFonts w:cstheme="minorHAnsi"/>
          <w:sz w:val="24"/>
          <w:szCs w:val="24"/>
        </w:rPr>
        <w:t>aph (b) of section 99ADH(6), which</w:t>
      </w:r>
      <w:r w:rsidR="000975F8" w:rsidRPr="00BF3CF1">
        <w:rPr>
          <w:rFonts w:cstheme="minorHAnsi"/>
          <w:sz w:val="24"/>
          <w:szCs w:val="24"/>
        </w:rPr>
        <w:t xml:space="preserve"> states</w:t>
      </w:r>
      <w:r w:rsidRPr="00BF3CF1">
        <w:rPr>
          <w:rFonts w:cstheme="minorHAnsi"/>
          <w:sz w:val="24"/>
          <w:szCs w:val="24"/>
        </w:rPr>
        <w:t>:</w:t>
      </w:r>
    </w:p>
    <w:p w14:paraId="5EBF8460" w14:textId="45CB25A1" w:rsidR="003A2BA5" w:rsidRPr="00BF3CF1" w:rsidRDefault="003A2BA5" w:rsidP="00DD0336">
      <w:pPr>
        <w:ind w:left="720"/>
        <w:jc w:val="both"/>
        <w:rPr>
          <w:rFonts w:cstheme="minorHAnsi"/>
          <w:i/>
          <w:iCs/>
        </w:rPr>
      </w:pPr>
      <w:r w:rsidRPr="00BF3CF1">
        <w:rPr>
          <w:rFonts w:cstheme="minorHAnsi"/>
          <w:i/>
          <w:iCs/>
        </w:rPr>
        <w:t xml:space="preserve">For the purposes of this section, a </w:t>
      </w:r>
      <w:r w:rsidRPr="00B41EE0">
        <w:rPr>
          <w:rFonts w:cstheme="minorHAnsi"/>
          <w:i/>
          <w:iCs/>
        </w:rPr>
        <w:t>brand of a pharmaceutical item passes the 12.5% average unadjusted price reduction test if there have been 3 consecutive data collection periods in respect of which a weighted average disclosed price has</w:t>
      </w:r>
      <w:r w:rsidRPr="00BF3CF1">
        <w:rPr>
          <w:rFonts w:cstheme="minorHAnsi"/>
          <w:i/>
          <w:iCs/>
        </w:rPr>
        <w:t xml:space="preserve"> been determined for any brand of the pharmaceutical item, where:</w:t>
      </w:r>
    </w:p>
    <w:p w14:paraId="74463728" w14:textId="77777777" w:rsidR="003A2BA5" w:rsidRPr="00BF3CF1" w:rsidRDefault="003A2BA5" w:rsidP="00DD0336">
      <w:pPr>
        <w:pStyle w:val="Default"/>
        <w:spacing w:after="160" w:line="259" w:lineRule="auto"/>
        <w:ind w:left="720"/>
        <w:jc w:val="both"/>
        <w:rPr>
          <w:rFonts w:asciiTheme="minorHAnsi" w:hAnsiTheme="minorHAnsi" w:cstheme="minorHAnsi"/>
          <w:i/>
          <w:iCs/>
          <w:sz w:val="22"/>
          <w:szCs w:val="22"/>
        </w:rPr>
      </w:pPr>
      <w:r w:rsidRPr="00BF3CF1">
        <w:rPr>
          <w:rFonts w:asciiTheme="minorHAnsi" w:hAnsiTheme="minorHAnsi" w:cstheme="minorHAnsi"/>
          <w:i/>
          <w:iCs/>
          <w:sz w:val="22"/>
          <w:szCs w:val="22"/>
        </w:rPr>
        <w:t xml:space="preserve">(a) the percentage obtained by dividing the total of the unadjusted price reductions for a brand of the pharmaceutical item in respect of each of those data collection periods by 3 is at least 12.5%; and </w:t>
      </w:r>
    </w:p>
    <w:p w14:paraId="44BEE308" w14:textId="77777777" w:rsidR="003A2BA5" w:rsidRPr="00BF3CF1" w:rsidRDefault="003A2BA5" w:rsidP="00DD0336">
      <w:pPr>
        <w:pStyle w:val="Default"/>
        <w:spacing w:after="160" w:line="259" w:lineRule="auto"/>
        <w:ind w:left="720"/>
        <w:jc w:val="both"/>
        <w:rPr>
          <w:rFonts w:asciiTheme="minorHAnsi" w:hAnsiTheme="minorHAnsi" w:cstheme="minorHAnsi"/>
          <w:i/>
          <w:iCs/>
          <w:sz w:val="22"/>
          <w:szCs w:val="22"/>
        </w:rPr>
      </w:pPr>
      <w:r w:rsidRPr="003C065E">
        <w:rPr>
          <w:rFonts w:asciiTheme="minorHAnsi" w:hAnsiTheme="minorHAnsi" w:cstheme="minorHAnsi"/>
          <w:b/>
          <w:i/>
          <w:sz w:val="22"/>
          <w:szCs w:val="22"/>
        </w:rPr>
        <w:t>(b) this section did not apply to the brand of the pharmaceutical item in relation to any of those data collection periods;</w:t>
      </w:r>
      <w:r w:rsidRPr="00BF3CF1">
        <w:rPr>
          <w:rFonts w:asciiTheme="minorHAnsi" w:hAnsiTheme="minorHAnsi" w:cstheme="minorHAnsi"/>
          <w:i/>
          <w:iCs/>
          <w:sz w:val="22"/>
          <w:szCs w:val="22"/>
        </w:rPr>
        <w:t xml:space="preserve"> and </w:t>
      </w:r>
    </w:p>
    <w:p w14:paraId="6A187A27" w14:textId="77777777" w:rsidR="003A2BA5" w:rsidRPr="00BF3CF1" w:rsidRDefault="003A2BA5" w:rsidP="00DD0336">
      <w:pPr>
        <w:pStyle w:val="Default"/>
        <w:spacing w:after="160" w:line="259" w:lineRule="auto"/>
        <w:ind w:left="720"/>
        <w:jc w:val="both"/>
        <w:rPr>
          <w:rFonts w:asciiTheme="minorHAnsi" w:hAnsiTheme="minorHAnsi" w:cstheme="minorHAnsi"/>
          <w:i/>
          <w:iCs/>
          <w:sz w:val="22"/>
          <w:szCs w:val="22"/>
        </w:rPr>
      </w:pPr>
      <w:r w:rsidRPr="00BF3CF1">
        <w:rPr>
          <w:rFonts w:asciiTheme="minorHAnsi" w:hAnsiTheme="minorHAnsi" w:cstheme="minorHAnsi"/>
          <w:i/>
          <w:iCs/>
          <w:sz w:val="22"/>
          <w:szCs w:val="22"/>
        </w:rPr>
        <w:t>(c) those data collection periods include the data collection period mentioned in paragraph (1)(a).</w:t>
      </w:r>
    </w:p>
    <w:p w14:paraId="605E733C" w14:textId="02F6997A" w:rsidR="00C521B9" w:rsidRPr="00C521B9" w:rsidRDefault="000D0D4D" w:rsidP="00C521B9">
      <w:pPr>
        <w:jc w:val="both"/>
        <w:rPr>
          <w:rFonts w:cstheme="minorHAnsi"/>
          <w:sz w:val="24"/>
          <w:szCs w:val="24"/>
        </w:rPr>
      </w:pPr>
      <w:r>
        <w:rPr>
          <w:rFonts w:cstheme="minorHAnsi"/>
          <w:sz w:val="24"/>
          <w:szCs w:val="24"/>
        </w:rPr>
        <w:t>P</w:t>
      </w:r>
      <w:r w:rsidR="00C521B9" w:rsidRPr="00C521B9">
        <w:rPr>
          <w:rFonts w:cstheme="minorHAnsi"/>
          <w:sz w:val="24"/>
          <w:szCs w:val="24"/>
        </w:rPr>
        <w:t>aragraph</w:t>
      </w:r>
      <w:r>
        <w:rPr>
          <w:rFonts w:cstheme="minorHAnsi"/>
          <w:sz w:val="24"/>
          <w:szCs w:val="24"/>
        </w:rPr>
        <w:t xml:space="preserve"> (b)</w:t>
      </w:r>
      <w:r w:rsidR="00C521B9" w:rsidRPr="00C521B9">
        <w:rPr>
          <w:rFonts w:cstheme="minorHAnsi"/>
          <w:sz w:val="24"/>
          <w:szCs w:val="24"/>
        </w:rPr>
        <w:t xml:space="preserve"> </w:t>
      </w:r>
      <w:r w:rsidR="00C967BE">
        <w:rPr>
          <w:rFonts w:cstheme="minorHAnsi"/>
          <w:sz w:val="24"/>
          <w:szCs w:val="24"/>
        </w:rPr>
        <w:t>means</w:t>
      </w:r>
      <w:r w:rsidR="00C521B9" w:rsidRPr="00C521B9">
        <w:rPr>
          <w:rFonts w:cstheme="minorHAnsi"/>
          <w:sz w:val="24"/>
          <w:szCs w:val="24"/>
        </w:rPr>
        <w:t xml:space="preserve"> that for a brand to </w:t>
      </w:r>
      <w:r w:rsidR="00BA560C">
        <w:rPr>
          <w:rFonts w:cstheme="minorHAnsi"/>
          <w:sz w:val="24"/>
          <w:szCs w:val="24"/>
        </w:rPr>
        <w:t>pass</w:t>
      </w:r>
      <w:r w:rsidR="00C521B9" w:rsidRPr="00C521B9">
        <w:rPr>
          <w:rFonts w:cstheme="minorHAnsi"/>
          <w:sz w:val="24"/>
          <w:szCs w:val="24"/>
        </w:rPr>
        <w:t xml:space="preserve"> the </w:t>
      </w:r>
      <w:r w:rsidR="00C521B9" w:rsidRPr="00C521B9">
        <w:rPr>
          <w:rFonts w:cstheme="minorHAnsi"/>
          <w:bCs/>
          <w:iCs/>
          <w:sz w:val="24"/>
          <w:szCs w:val="24"/>
        </w:rPr>
        <w:t>12.5% average test</w:t>
      </w:r>
      <w:r w:rsidR="00C521B9" w:rsidRPr="00C521B9">
        <w:rPr>
          <w:rFonts w:cstheme="minorHAnsi"/>
          <w:sz w:val="24"/>
          <w:szCs w:val="24"/>
        </w:rPr>
        <w:t xml:space="preserve">, a price reduction cannot have </w:t>
      </w:r>
      <w:r w:rsidR="00FE2B04">
        <w:rPr>
          <w:rFonts w:cstheme="minorHAnsi"/>
          <w:sz w:val="24"/>
          <w:szCs w:val="24"/>
        </w:rPr>
        <w:t xml:space="preserve">already </w:t>
      </w:r>
      <w:r w:rsidR="00C521B9" w:rsidRPr="00C521B9">
        <w:rPr>
          <w:rFonts w:cstheme="minorHAnsi"/>
          <w:sz w:val="24"/>
          <w:szCs w:val="24"/>
        </w:rPr>
        <w:t xml:space="preserve">occurred as a result of calculations using data from </w:t>
      </w:r>
      <w:r w:rsidR="0016430F">
        <w:rPr>
          <w:rFonts w:cstheme="minorHAnsi"/>
          <w:sz w:val="24"/>
          <w:szCs w:val="24"/>
        </w:rPr>
        <w:t>any of the</w:t>
      </w:r>
      <w:r w:rsidR="00C521B9" w:rsidRPr="00C521B9">
        <w:rPr>
          <w:rFonts w:cstheme="minorHAnsi"/>
          <w:sz w:val="24"/>
          <w:szCs w:val="24"/>
        </w:rPr>
        <w:t xml:space="preserve"> 3</w:t>
      </w:r>
      <w:r w:rsidR="0016430F">
        <w:rPr>
          <w:rFonts w:cstheme="minorHAnsi"/>
          <w:sz w:val="24"/>
          <w:szCs w:val="24"/>
        </w:rPr>
        <w:t> </w:t>
      </w:r>
      <w:r w:rsidR="00C521B9" w:rsidRPr="00C521B9">
        <w:rPr>
          <w:rFonts w:cstheme="minorHAnsi"/>
          <w:sz w:val="24"/>
          <w:szCs w:val="24"/>
        </w:rPr>
        <w:t>consecutive data collection periods used in the test</w:t>
      </w:r>
      <w:r w:rsidR="00265E4B">
        <w:rPr>
          <w:rFonts w:cstheme="minorHAnsi"/>
          <w:sz w:val="24"/>
          <w:szCs w:val="24"/>
        </w:rPr>
        <w:t>.</w:t>
      </w:r>
      <w:r w:rsidR="00C521B9" w:rsidRPr="00C521B9">
        <w:rPr>
          <w:rFonts w:cstheme="minorHAnsi"/>
          <w:sz w:val="24"/>
          <w:szCs w:val="24"/>
        </w:rPr>
        <w:t xml:space="preserve"> Each data collection period is 6 months in duration, therefore three consecutive data collection periods result in a period of 1.5 years between possible price reduction</w:t>
      </w:r>
      <w:r>
        <w:rPr>
          <w:rFonts w:cstheme="minorHAnsi"/>
          <w:sz w:val="24"/>
          <w:szCs w:val="24"/>
        </w:rPr>
        <w:t>s</w:t>
      </w:r>
      <w:r w:rsidR="00C521B9" w:rsidRPr="00C521B9">
        <w:rPr>
          <w:rFonts w:cstheme="minorHAnsi"/>
          <w:sz w:val="24"/>
          <w:szCs w:val="24"/>
        </w:rPr>
        <w:t xml:space="preserve"> for designated brands that have discounted on average by 12.5% or more in those periods.</w:t>
      </w:r>
    </w:p>
    <w:p w14:paraId="70A5B794" w14:textId="5DA9284F" w:rsidR="00A162D6" w:rsidRPr="00BF3CF1" w:rsidRDefault="00A162D6" w:rsidP="00DD0336">
      <w:pPr>
        <w:jc w:val="both"/>
        <w:rPr>
          <w:rFonts w:cstheme="minorHAnsi"/>
          <w:sz w:val="24"/>
          <w:szCs w:val="24"/>
        </w:rPr>
      </w:pPr>
      <w:r w:rsidRPr="00BF3CF1">
        <w:rPr>
          <w:rFonts w:cstheme="minorHAnsi"/>
          <w:sz w:val="24"/>
          <w:szCs w:val="24"/>
        </w:rPr>
        <w:t>Data collection periods occur on a rolling basis each year from 1 April to 30 September and 1 October to 31 March. Each 6-month data collection period is, in practice, followed by a subsequent 6-month processing period where the data collected from the data collection period is analysed and a Weighted Average Disclosed Price (</w:t>
      </w:r>
      <w:r w:rsidRPr="00BF3CF1">
        <w:rPr>
          <w:rFonts w:cstheme="minorHAnsi"/>
          <w:b/>
          <w:sz w:val="24"/>
          <w:szCs w:val="24"/>
        </w:rPr>
        <w:t>WADP</w:t>
      </w:r>
      <w:r w:rsidRPr="00BF3CF1">
        <w:rPr>
          <w:rFonts w:cstheme="minorHAnsi"/>
          <w:sz w:val="24"/>
          <w:szCs w:val="24"/>
        </w:rPr>
        <w:t xml:space="preserve">) is determined, for each listed brand which disclosed data, for that data collection period. The reduction day that </w:t>
      </w:r>
      <w:r w:rsidR="00EA362D">
        <w:rPr>
          <w:rFonts w:cstheme="minorHAnsi"/>
          <w:sz w:val="24"/>
          <w:szCs w:val="24"/>
        </w:rPr>
        <w:t xml:space="preserve">typically </w:t>
      </w:r>
      <w:r w:rsidRPr="00BF3CF1">
        <w:rPr>
          <w:rFonts w:cstheme="minorHAnsi"/>
          <w:sz w:val="24"/>
          <w:szCs w:val="24"/>
        </w:rPr>
        <w:t xml:space="preserve">applies to </w:t>
      </w:r>
      <w:r w:rsidR="00EA362D">
        <w:rPr>
          <w:rFonts w:cstheme="minorHAnsi"/>
          <w:sz w:val="24"/>
          <w:szCs w:val="24"/>
        </w:rPr>
        <w:t xml:space="preserve">those data collection </w:t>
      </w:r>
      <w:r w:rsidRPr="00BF3CF1">
        <w:rPr>
          <w:rFonts w:cstheme="minorHAnsi"/>
          <w:sz w:val="24"/>
          <w:szCs w:val="24"/>
        </w:rPr>
        <w:t xml:space="preserve">periods consequently occurs six months following the end of that period. </w:t>
      </w:r>
      <w:r w:rsidR="00F1266D">
        <w:rPr>
          <w:rFonts w:cstheme="minorHAnsi"/>
          <w:sz w:val="24"/>
          <w:szCs w:val="24"/>
        </w:rPr>
        <w:t>F</w:t>
      </w:r>
      <w:r w:rsidRPr="00BF3CF1">
        <w:rPr>
          <w:rFonts w:cstheme="minorHAnsi"/>
          <w:sz w:val="24"/>
          <w:szCs w:val="24"/>
        </w:rPr>
        <w:t xml:space="preserve">or a data collection period running from 1 April to 30 September, the reduction day </w:t>
      </w:r>
      <w:r w:rsidR="00EA362D">
        <w:rPr>
          <w:rFonts w:cstheme="minorHAnsi"/>
          <w:sz w:val="24"/>
          <w:szCs w:val="24"/>
        </w:rPr>
        <w:t xml:space="preserve">typically </w:t>
      </w:r>
      <w:r w:rsidRPr="00BF3CF1">
        <w:rPr>
          <w:rFonts w:cstheme="minorHAnsi"/>
          <w:sz w:val="24"/>
          <w:szCs w:val="24"/>
        </w:rPr>
        <w:t xml:space="preserve">occurs on 1 April the following year. For the data collection period running from 1 October to 31 March, the reduction day </w:t>
      </w:r>
      <w:r w:rsidR="00EA362D">
        <w:rPr>
          <w:rFonts w:cstheme="minorHAnsi"/>
          <w:sz w:val="24"/>
          <w:szCs w:val="24"/>
        </w:rPr>
        <w:t xml:space="preserve">typically </w:t>
      </w:r>
      <w:r w:rsidRPr="00BF3CF1">
        <w:rPr>
          <w:rFonts w:cstheme="minorHAnsi"/>
          <w:sz w:val="24"/>
          <w:szCs w:val="24"/>
        </w:rPr>
        <w:t>occurs on 1</w:t>
      </w:r>
      <w:r w:rsidR="00F1266D">
        <w:rPr>
          <w:rFonts w:cstheme="minorHAnsi"/>
          <w:sz w:val="24"/>
          <w:szCs w:val="24"/>
        </w:rPr>
        <w:t> </w:t>
      </w:r>
      <w:r w:rsidRPr="00BF3CF1">
        <w:rPr>
          <w:rFonts w:cstheme="minorHAnsi"/>
          <w:sz w:val="24"/>
          <w:szCs w:val="24"/>
        </w:rPr>
        <w:t>October the following year.</w:t>
      </w:r>
    </w:p>
    <w:p w14:paraId="261A8666" w14:textId="496A8CF9" w:rsidR="00FF019E" w:rsidRDefault="00AB426E" w:rsidP="00A92A50">
      <w:pPr>
        <w:keepNext/>
        <w:jc w:val="both"/>
        <w:rPr>
          <w:rFonts w:cstheme="minorHAnsi"/>
          <w:sz w:val="24"/>
          <w:szCs w:val="24"/>
        </w:rPr>
      </w:pPr>
      <w:r w:rsidRPr="00BF3CF1">
        <w:rPr>
          <w:rFonts w:cstheme="minorHAnsi"/>
          <w:sz w:val="24"/>
          <w:szCs w:val="24"/>
        </w:rPr>
        <w:t>Due to th</w:t>
      </w:r>
      <w:r w:rsidR="00EE1EC9" w:rsidRPr="00BF3CF1">
        <w:rPr>
          <w:rFonts w:cstheme="minorHAnsi"/>
          <w:sz w:val="24"/>
          <w:szCs w:val="24"/>
        </w:rPr>
        <w:t>is</w:t>
      </w:r>
      <w:r w:rsidRPr="00BF3CF1">
        <w:rPr>
          <w:rFonts w:cstheme="minorHAnsi"/>
          <w:sz w:val="24"/>
          <w:szCs w:val="24"/>
        </w:rPr>
        <w:t xml:space="preserve"> cyclical nature of price disclosure, and the time lag between data being collected, processed and a price reduction occurring, the 12.5% average test is a backward-looking test which </w:t>
      </w:r>
      <w:r w:rsidRPr="00BF3CF1">
        <w:rPr>
          <w:rFonts w:cstheme="minorHAnsi"/>
          <w:sz w:val="24"/>
          <w:szCs w:val="24"/>
        </w:rPr>
        <w:lastRenderedPageBreak/>
        <w:t>is passed (or not passed) prior to the corresponding reduction day of the third data collection period which is examined by the test.</w:t>
      </w:r>
      <w:r w:rsidR="00906D8E" w:rsidRPr="00BF3CF1">
        <w:rPr>
          <w:rFonts w:cstheme="minorHAnsi"/>
          <w:sz w:val="24"/>
          <w:szCs w:val="24"/>
        </w:rPr>
        <w:t xml:space="preserve"> </w:t>
      </w:r>
      <w:r w:rsidR="00B62C7F" w:rsidRPr="00BF3CF1">
        <w:rPr>
          <w:rFonts w:cstheme="minorHAnsi"/>
          <w:sz w:val="24"/>
          <w:szCs w:val="24"/>
        </w:rPr>
        <w:t>This means that</w:t>
      </w:r>
      <w:r w:rsidR="00FF019E">
        <w:rPr>
          <w:rFonts w:cstheme="minorHAnsi"/>
          <w:sz w:val="24"/>
          <w:szCs w:val="24"/>
        </w:rPr>
        <w:t>:</w:t>
      </w:r>
    </w:p>
    <w:p w14:paraId="7BC7B239" w14:textId="7E619821" w:rsidR="007F2F4B" w:rsidRDefault="00A05757" w:rsidP="00FF019E">
      <w:pPr>
        <w:pStyle w:val="ListParagraph"/>
        <w:numPr>
          <w:ilvl w:val="0"/>
          <w:numId w:val="7"/>
        </w:numPr>
        <w:jc w:val="both"/>
        <w:rPr>
          <w:rFonts w:cstheme="minorHAnsi"/>
          <w:sz w:val="24"/>
          <w:szCs w:val="24"/>
        </w:rPr>
      </w:pPr>
      <w:r>
        <w:rPr>
          <w:rFonts w:cstheme="minorHAnsi"/>
          <w:sz w:val="24"/>
          <w:szCs w:val="24"/>
        </w:rPr>
        <w:t>prior to th</w:t>
      </w:r>
      <w:r w:rsidR="00234B15">
        <w:rPr>
          <w:rFonts w:cstheme="minorHAnsi"/>
          <w:sz w:val="24"/>
          <w:szCs w:val="24"/>
        </w:rPr>
        <w:t>at</w:t>
      </w:r>
      <w:r>
        <w:rPr>
          <w:rFonts w:cstheme="minorHAnsi"/>
          <w:sz w:val="24"/>
          <w:szCs w:val="24"/>
        </w:rPr>
        <w:t xml:space="preserve"> reduction day</w:t>
      </w:r>
      <w:r w:rsidR="00234B15">
        <w:rPr>
          <w:rFonts w:cstheme="minorHAnsi"/>
          <w:sz w:val="24"/>
          <w:szCs w:val="24"/>
        </w:rPr>
        <w:t xml:space="preserve">, </w:t>
      </w:r>
      <w:r w:rsidR="00BF6F95" w:rsidRPr="004148CC">
        <w:rPr>
          <w:rFonts w:cstheme="minorHAnsi"/>
          <w:sz w:val="24"/>
          <w:szCs w:val="24"/>
        </w:rPr>
        <w:t xml:space="preserve">a price reduction cannot have occurred as a result of </w:t>
      </w:r>
      <w:r w:rsidR="00C62CD2" w:rsidRPr="00C521B9">
        <w:rPr>
          <w:rFonts w:cstheme="minorHAnsi"/>
          <w:sz w:val="24"/>
          <w:szCs w:val="24"/>
        </w:rPr>
        <w:t xml:space="preserve">calculations using data from </w:t>
      </w:r>
      <w:r w:rsidR="00C62CD2">
        <w:rPr>
          <w:rFonts w:cstheme="minorHAnsi"/>
          <w:sz w:val="24"/>
          <w:szCs w:val="24"/>
        </w:rPr>
        <w:t>any of the</w:t>
      </w:r>
      <w:r w:rsidR="00C62CD2" w:rsidRPr="00C521B9">
        <w:rPr>
          <w:rFonts w:cstheme="minorHAnsi"/>
          <w:sz w:val="24"/>
          <w:szCs w:val="24"/>
        </w:rPr>
        <w:t xml:space="preserve"> 3</w:t>
      </w:r>
      <w:r w:rsidR="00FC37CE">
        <w:rPr>
          <w:rFonts w:cstheme="minorHAnsi"/>
          <w:sz w:val="24"/>
          <w:szCs w:val="24"/>
        </w:rPr>
        <w:t xml:space="preserve"> </w:t>
      </w:r>
      <w:r w:rsidR="00C62CD2" w:rsidRPr="00C521B9">
        <w:rPr>
          <w:rFonts w:cstheme="minorHAnsi"/>
          <w:sz w:val="24"/>
          <w:szCs w:val="24"/>
        </w:rPr>
        <w:t>consecutive data collection periods used in the test</w:t>
      </w:r>
      <w:r w:rsidR="00B62C7F" w:rsidRPr="004148CC">
        <w:rPr>
          <w:rFonts w:cstheme="minorHAnsi"/>
          <w:sz w:val="24"/>
          <w:szCs w:val="24"/>
        </w:rPr>
        <w:t>.</w:t>
      </w:r>
    </w:p>
    <w:p w14:paraId="1CB44714" w14:textId="17AF1A62" w:rsidR="00797FAE" w:rsidRDefault="0077366A" w:rsidP="00FF019E">
      <w:pPr>
        <w:pStyle w:val="ListParagraph"/>
        <w:numPr>
          <w:ilvl w:val="0"/>
          <w:numId w:val="7"/>
        </w:numPr>
        <w:jc w:val="both"/>
        <w:rPr>
          <w:rFonts w:cstheme="minorHAnsi"/>
          <w:sz w:val="24"/>
          <w:szCs w:val="24"/>
        </w:rPr>
      </w:pPr>
      <w:r>
        <w:rPr>
          <w:rFonts w:cstheme="minorHAnsi"/>
          <w:sz w:val="24"/>
          <w:szCs w:val="24"/>
        </w:rPr>
        <w:t>i</w:t>
      </w:r>
      <w:r w:rsidR="00B62C7F" w:rsidRPr="004148CC">
        <w:rPr>
          <w:rFonts w:cstheme="minorHAnsi"/>
          <w:sz w:val="24"/>
          <w:szCs w:val="24"/>
        </w:rPr>
        <w:t>f data from any of the 3 consecutive data collection periods examined by the 12.5% average test has resulted in a price reduction under section 99ADH, then the test would not be passed.</w:t>
      </w:r>
    </w:p>
    <w:p w14:paraId="3063CE20" w14:textId="1453ADF6" w:rsidR="00B62C7F" w:rsidRPr="004148CC" w:rsidRDefault="00B62C7F" w:rsidP="003C065E">
      <w:pPr>
        <w:pStyle w:val="ListParagraph"/>
        <w:numPr>
          <w:ilvl w:val="0"/>
          <w:numId w:val="7"/>
        </w:numPr>
        <w:jc w:val="both"/>
        <w:rPr>
          <w:rFonts w:cstheme="minorHAnsi"/>
          <w:sz w:val="24"/>
          <w:szCs w:val="24"/>
        </w:rPr>
      </w:pPr>
      <w:r w:rsidRPr="004148CC">
        <w:rPr>
          <w:rFonts w:cstheme="minorHAnsi"/>
          <w:sz w:val="24"/>
          <w:szCs w:val="24"/>
        </w:rPr>
        <w:t xml:space="preserve">a price reduction </w:t>
      </w:r>
      <w:r w:rsidR="005A7E22" w:rsidRPr="003C065E">
        <w:rPr>
          <w:rFonts w:cstheme="minorHAnsi"/>
          <w:sz w:val="24"/>
          <w:szCs w:val="24"/>
        </w:rPr>
        <w:t>occur</w:t>
      </w:r>
      <w:r w:rsidR="00FE3DE7">
        <w:rPr>
          <w:rFonts w:cstheme="minorHAnsi"/>
          <w:sz w:val="24"/>
          <w:szCs w:val="24"/>
        </w:rPr>
        <w:t>ring</w:t>
      </w:r>
      <w:r w:rsidR="005A7E22" w:rsidRPr="003C065E">
        <w:rPr>
          <w:rFonts w:cstheme="minorHAnsi"/>
          <w:sz w:val="24"/>
          <w:szCs w:val="24"/>
        </w:rPr>
        <w:t xml:space="preserve"> </w:t>
      </w:r>
      <w:r w:rsidRPr="004148CC">
        <w:rPr>
          <w:rFonts w:cstheme="minorHAnsi"/>
          <w:sz w:val="24"/>
          <w:szCs w:val="24"/>
        </w:rPr>
        <w:t>on a reduction day that falls within the date range spanned by the 3 consecutive data collection periods</w:t>
      </w:r>
      <w:r w:rsidR="00FE3DE7">
        <w:rPr>
          <w:rFonts w:cstheme="minorHAnsi"/>
          <w:sz w:val="24"/>
          <w:szCs w:val="24"/>
        </w:rPr>
        <w:t xml:space="preserve"> will not prevent the test being passed unless the price reduction occurred as a result of calculations using data from one of the 3 consecutive data collection periods.</w:t>
      </w:r>
      <w:r w:rsidRPr="00BF3CF1">
        <w:rPr>
          <w:rFonts w:cstheme="minorHAnsi"/>
          <w:sz w:val="24"/>
          <w:szCs w:val="24"/>
        </w:rPr>
        <w:t xml:space="preserve"> </w:t>
      </w:r>
    </w:p>
    <w:tbl>
      <w:tblPr>
        <w:tblStyle w:val="TableGrid"/>
        <w:tblW w:w="0" w:type="auto"/>
        <w:tblLook w:val="04A0" w:firstRow="1" w:lastRow="0" w:firstColumn="1" w:lastColumn="0" w:noHBand="0" w:noVBand="1"/>
      </w:tblPr>
      <w:tblGrid>
        <w:gridCol w:w="9736"/>
      </w:tblGrid>
      <w:tr w:rsidR="00057FE4" w14:paraId="7123CB7C" w14:textId="77777777" w:rsidTr="00602D13">
        <w:tc>
          <w:tcPr>
            <w:tcW w:w="9736" w:type="dxa"/>
            <w:shd w:val="clear" w:color="auto" w:fill="B3DEF2"/>
          </w:tcPr>
          <w:p w14:paraId="05FB154A" w14:textId="77777777" w:rsidR="00057FE4" w:rsidRDefault="00057FE4" w:rsidP="00057FE4">
            <w:pPr>
              <w:spacing w:before="120" w:after="120"/>
              <w:jc w:val="both"/>
              <w:rPr>
                <w:rFonts w:cstheme="minorHAnsi"/>
                <w:sz w:val="24"/>
                <w:szCs w:val="24"/>
              </w:rPr>
            </w:pPr>
            <w:r w:rsidRPr="00BF3CF1">
              <w:rPr>
                <w:rFonts w:cstheme="minorHAnsi"/>
                <w:sz w:val="24"/>
                <w:szCs w:val="24"/>
              </w:rPr>
              <w:t xml:space="preserve">For example, if the 12.5% average test </w:t>
            </w:r>
            <w:r>
              <w:rPr>
                <w:rFonts w:cstheme="minorHAnsi"/>
                <w:sz w:val="24"/>
                <w:szCs w:val="24"/>
              </w:rPr>
              <w:t xml:space="preserve">is passed </w:t>
            </w:r>
            <w:r w:rsidRPr="00BF3CF1">
              <w:rPr>
                <w:rFonts w:cstheme="minorHAnsi"/>
                <w:sz w:val="24"/>
                <w:szCs w:val="24"/>
              </w:rPr>
              <w:t>using data from the data collection periods 1</w:t>
            </w:r>
            <w:r>
              <w:rPr>
                <w:rFonts w:cstheme="minorHAnsi"/>
                <w:sz w:val="24"/>
                <w:szCs w:val="24"/>
              </w:rPr>
              <w:t> </w:t>
            </w:r>
            <w:r w:rsidRPr="00BF3CF1">
              <w:rPr>
                <w:rFonts w:cstheme="minorHAnsi"/>
                <w:sz w:val="24"/>
                <w:szCs w:val="24"/>
              </w:rPr>
              <w:t>April</w:t>
            </w:r>
            <w:r>
              <w:rPr>
                <w:rFonts w:cstheme="minorHAnsi"/>
                <w:sz w:val="24"/>
                <w:szCs w:val="24"/>
              </w:rPr>
              <w:t> </w:t>
            </w:r>
            <w:r w:rsidRPr="00BF3CF1">
              <w:rPr>
                <w:rFonts w:cstheme="minorHAnsi"/>
                <w:sz w:val="24"/>
                <w:szCs w:val="24"/>
              </w:rPr>
              <w:t>2022 to 30 September 2022, 1 October 2022 to 31 March 2023, and 1</w:t>
            </w:r>
            <w:r>
              <w:rPr>
                <w:rFonts w:cstheme="minorHAnsi"/>
                <w:sz w:val="24"/>
                <w:szCs w:val="24"/>
              </w:rPr>
              <w:t> </w:t>
            </w:r>
            <w:r w:rsidRPr="00BF3CF1">
              <w:rPr>
                <w:rFonts w:cstheme="minorHAnsi"/>
                <w:sz w:val="24"/>
                <w:szCs w:val="24"/>
              </w:rPr>
              <w:t>April</w:t>
            </w:r>
            <w:r>
              <w:rPr>
                <w:rFonts w:cstheme="minorHAnsi"/>
                <w:sz w:val="24"/>
                <w:szCs w:val="24"/>
              </w:rPr>
              <w:t> </w:t>
            </w:r>
            <w:r w:rsidRPr="00BF3CF1">
              <w:rPr>
                <w:rFonts w:cstheme="minorHAnsi"/>
                <w:sz w:val="24"/>
                <w:szCs w:val="24"/>
              </w:rPr>
              <w:t>2023 to 30</w:t>
            </w:r>
            <w:r>
              <w:rPr>
                <w:rFonts w:cstheme="minorHAnsi"/>
                <w:sz w:val="24"/>
                <w:szCs w:val="24"/>
              </w:rPr>
              <w:t> </w:t>
            </w:r>
            <w:r w:rsidRPr="00BF3CF1">
              <w:rPr>
                <w:rFonts w:cstheme="minorHAnsi"/>
                <w:sz w:val="24"/>
                <w:szCs w:val="24"/>
              </w:rPr>
              <w:t xml:space="preserve">September 2023, a consequent price reduction </w:t>
            </w:r>
            <w:r>
              <w:rPr>
                <w:rFonts w:cstheme="minorHAnsi"/>
                <w:sz w:val="24"/>
                <w:szCs w:val="24"/>
              </w:rPr>
              <w:t>c</w:t>
            </w:r>
            <w:r w:rsidRPr="00BF3CF1">
              <w:rPr>
                <w:rFonts w:cstheme="minorHAnsi"/>
                <w:sz w:val="24"/>
                <w:szCs w:val="24"/>
              </w:rPr>
              <w:t>ould occur on 1 April 2024</w:t>
            </w:r>
            <w:r>
              <w:rPr>
                <w:rFonts w:cstheme="minorHAnsi"/>
                <w:sz w:val="24"/>
                <w:szCs w:val="24"/>
              </w:rPr>
              <w:t xml:space="preserve"> if the 10% threshold is then met with respect to the data collection period 1 April 2023 to 30 September 2023</w:t>
            </w:r>
            <w:r w:rsidRPr="00BF3CF1">
              <w:rPr>
                <w:rFonts w:cstheme="minorHAnsi"/>
                <w:sz w:val="24"/>
                <w:szCs w:val="24"/>
              </w:rPr>
              <w:t xml:space="preserve">. </w:t>
            </w:r>
          </w:p>
          <w:p w14:paraId="7246D366" w14:textId="77777777" w:rsidR="00602D13" w:rsidRDefault="00057FE4" w:rsidP="00057FE4">
            <w:pPr>
              <w:spacing w:before="120" w:after="120"/>
              <w:jc w:val="both"/>
              <w:rPr>
                <w:rFonts w:cstheme="minorHAnsi"/>
                <w:sz w:val="24"/>
                <w:szCs w:val="24"/>
              </w:rPr>
            </w:pPr>
            <w:r w:rsidRPr="00BF3CF1">
              <w:rPr>
                <w:rFonts w:cstheme="minorHAnsi"/>
                <w:sz w:val="24"/>
                <w:szCs w:val="24"/>
              </w:rPr>
              <w:t>Following this, the next reduction day for which the 12.5% average test could be passed would be 1</w:t>
            </w:r>
            <w:r>
              <w:rPr>
                <w:rFonts w:cstheme="minorHAnsi"/>
                <w:sz w:val="24"/>
                <w:szCs w:val="24"/>
              </w:rPr>
              <w:t> </w:t>
            </w:r>
            <w:r w:rsidRPr="00BF3CF1">
              <w:rPr>
                <w:rFonts w:cstheme="minorHAnsi"/>
                <w:sz w:val="24"/>
                <w:szCs w:val="24"/>
              </w:rPr>
              <w:t>October</w:t>
            </w:r>
            <w:r>
              <w:rPr>
                <w:rFonts w:cstheme="minorHAnsi"/>
                <w:sz w:val="24"/>
                <w:szCs w:val="24"/>
              </w:rPr>
              <w:t> </w:t>
            </w:r>
            <w:r w:rsidRPr="00BF3CF1">
              <w:rPr>
                <w:rFonts w:cstheme="minorHAnsi"/>
                <w:sz w:val="24"/>
                <w:szCs w:val="24"/>
              </w:rPr>
              <w:t>2025 using data from the data collection periods of 1 October 2023 to 31 March 2024, 1</w:t>
            </w:r>
            <w:r>
              <w:rPr>
                <w:rFonts w:cstheme="minorHAnsi"/>
                <w:sz w:val="24"/>
                <w:szCs w:val="24"/>
              </w:rPr>
              <w:t> </w:t>
            </w:r>
            <w:r w:rsidRPr="00BF3CF1">
              <w:rPr>
                <w:rFonts w:cstheme="minorHAnsi"/>
                <w:sz w:val="24"/>
                <w:szCs w:val="24"/>
              </w:rPr>
              <w:t xml:space="preserve">April 2024 to 30 September 2024, and 1 October 2024 to 31 March 2025. </w:t>
            </w:r>
            <w:r>
              <w:rPr>
                <w:rFonts w:cstheme="minorHAnsi"/>
                <w:sz w:val="24"/>
                <w:szCs w:val="24"/>
              </w:rPr>
              <w:t>The</w:t>
            </w:r>
            <w:r w:rsidRPr="00BF3CF1">
              <w:rPr>
                <w:rFonts w:cstheme="minorHAnsi"/>
                <w:sz w:val="24"/>
                <w:szCs w:val="24"/>
              </w:rPr>
              <w:t xml:space="preserve"> data collection periods prior to these were used for the 1 April 2024 price reduction and could not therefore </w:t>
            </w:r>
            <w:r>
              <w:rPr>
                <w:rFonts w:cstheme="minorHAnsi"/>
                <w:sz w:val="24"/>
                <w:szCs w:val="24"/>
              </w:rPr>
              <w:t>contribute</w:t>
            </w:r>
            <w:r w:rsidRPr="00BF3CF1">
              <w:rPr>
                <w:rFonts w:cstheme="minorHAnsi"/>
                <w:sz w:val="24"/>
                <w:szCs w:val="24"/>
              </w:rPr>
              <w:t xml:space="preserve"> to any future 12.5% average test. </w:t>
            </w:r>
          </w:p>
          <w:p w14:paraId="26BE648A" w14:textId="6B994707" w:rsidR="00057FE4" w:rsidRDefault="00057FE4" w:rsidP="00057FE4">
            <w:pPr>
              <w:spacing w:before="120" w:after="120"/>
              <w:jc w:val="both"/>
              <w:rPr>
                <w:rFonts w:cstheme="minorHAnsi"/>
                <w:sz w:val="24"/>
                <w:szCs w:val="24"/>
              </w:rPr>
            </w:pPr>
            <w:r>
              <w:rPr>
                <w:rFonts w:cstheme="minorHAnsi"/>
                <w:sz w:val="24"/>
                <w:szCs w:val="24"/>
              </w:rPr>
              <w:t>T</w:t>
            </w:r>
            <w:r w:rsidRPr="00BF3CF1">
              <w:rPr>
                <w:rFonts w:cstheme="minorHAnsi"/>
                <w:sz w:val="24"/>
                <w:szCs w:val="24"/>
              </w:rPr>
              <w:t xml:space="preserve">he next reduction day for which the 12.5% average test could be passed </w:t>
            </w:r>
            <w:r>
              <w:rPr>
                <w:rFonts w:cstheme="minorHAnsi"/>
                <w:sz w:val="24"/>
                <w:szCs w:val="24"/>
              </w:rPr>
              <w:t xml:space="preserve">would also be </w:t>
            </w:r>
            <w:r w:rsidRPr="00BF3CF1">
              <w:rPr>
                <w:rFonts w:cstheme="minorHAnsi"/>
                <w:sz w:val="24"/>
                <w:szCs w:val="24"/>
              </w:rPr>
              <w:t>1</w:t>
            </w:r>
            <w:r>
              <w:rPr>
                <w:rFonts w:cstheme="minorHAnsi"/>
                <w:sz w:val="24"/>
                <w:szCs w:val="24"/>
              </w:rPr>
              <w:t> </w:t>
            </w:r>
            <w:r w:rsidRPr="00BF3CF1">
              <w:rPr>
                <w:rFonts w:cstheme="minorHAnsi"/>
                <w:sz w:val="24"/>
                <w:szCs w:val="24"/>
              </w:rPr>
              <w:t>October 2025 if the 1 April 2024 price reduction had instead resulted from the 30% threshold in section 99ADHC(1)(c)(ii) of the Act being met, that is, using the data from the data collection period of 1 April 2023 to 30 September 2023 only.</w:t>
            </w:r>
          </w:p>
        </w:tc>
      </w:tr>
    </w:tbl>
    <w:p w14:paraId="6D5F9E07" w14:textId="55795F9F" w:rsidR="00911EB9" w:rsidRPr="00BF3CF1" w:rsidRDefault="00911EB9" w:rsidP="00602D13">
      <w:pPr>
        <w:spacing w:before="160"/>
        <w:jc w:val="both"/>
        <w:rPr>
          <w:rFonts w:cstheme="minorHAnsi"/>
          <w:sz w:val="24"/>
          <w:szCs w:val="24"/>
        </w:rPr>
      </w:pPr>
      <w:r>
        <w:rPr>
          <w:bCs/>
          <w:iCs/>
          <w:sz w:val="24"/>
          <w:szCs w:val="24"/>
        </w:rPr>
        <w:t>Refer to</w:t>
      </w:r>
      <w:r w:rsidR="00A54140">
        <w:rPr>
          <w:bCs/>
          <w:iCs/>
          <w:sz w:val="24"/>
          <w:szCs w:val="24"/>
        </w:rPr>
        <w:t xml:space="preserve"> </w:t>
      </w:r>
      <w:hyperlink w:anchor="_Figure_1_–" w:history="1">
        <w:bookmarkStart w:id="1" w:name="AppendixFigure1"/>
        <w:r w:rsidR="00431186">
          <w:rPr>
            <w:rStyle w:val="Hyperlink"/>
            <w:b/>
            <w:iCs/>
            <w:sz w:val="24"/>
            <w:szCs w:val="24"/>
          </w:rPr>
          <w:t>Appendix, Figure 1</w:t>
        </w:r>
        <w:bookmarkEnd w:id="1"/>
      </w:hyperlink>
      <w:r>
        <w:rPr>
          <w:bCs/>
          <w:iCs/>
          <w:sz w:val="24"/>
          <w:szCs w:val="24"/>
        </w:rPr>
        <w:t xml:space="preserve"> for illustrative examples.</w:t>
      </w:r>
    </w:p>
    <w:p w14:paraId="66DB8252" w14:textId="5881E240" w:rsidR="001A2148" w:rsidRPr="00BF3CF1" w:rsidRDefault="00316B12" w:rsidP="00DD0336">
      <w:pPr>
        <w:jc w:val="both"/>
        <w:rPr>
          <w:rFonts w:cstheme="minorHAnsi"/>
          <w:sz w:val="24"/>
          <w:szCs w:val="24"/>
        </w:rPr>
      </w:pPr>
      <w:r w:rsidRPr="00BF3CF1">
        <w:rPr>
          <w:rFonts w:cstheme="minorHAnsi"/>
          <w:sz w:val="24"/>
          <w:szCs w:val="24"/>
        </w:rPr>
        <w:t xml:space="preserve">These amendments </w:t>
      </w:r>
      <w:r w:rsidR="006F06F9">
        <w:rPr>
          <w:rFonts w:cstheme="minorHAnsi"/>
          <w:sz w:val="24"/>
          <w:szCs w:val="24"/>
        </w:rPr>
        <w:t xml:space="preserve">have been made </w:t>
      </w:r>
      <w:r w:rsidRPr="00BF3CF1">
        <w:rPr>
          <w:rFonts w:cstheme="minorHAnsi"/>
          <w:sz w:val="24"/>
          <w:szCs w:val="24"/>
        </w:rPr>
        <w:t>for the avoidance of doubt and reflect how the provision has operated since 1 July 2022.</w:t>
      </w:r>
    </w:p>
    <w:p w14:paraId="6F3F5258" w14:textId="4B3DC014" w:rsidR="00BD2177" w:rsidRPr="00EB5D15" w:rsidRDefault="00316B12" w:rsidP="00DD0336">
      <w:pPr>
        <w:pStyle w:val="Heading2"/>
        <w:spacing w:before="0" w:after="160"/>
        <w:jc w:val="both"/>
        <w:rPr>
          <w:rFonts w:asciiTheme="minorHAnsi" w:hAnsiTheme="minorHAnsi" w:cstheme="minorHAnsi"/>
          <w:sz w:val="28"/>
          <w:szCs w:val="28"/>
        </w:rPr>
      </w:pPr>
      <w:r w:rsidRPr="00EB5D15">
        <w:rPr>
          <w:rFonts w:asciiTheme="minorHAnsi" w:hAnsiTheme="minorHAnsi" w:cstheme="minorHAnsi"/>
          <w:sz w:val="28"/>
          <w:szCs w:val="28"/>
        </w:rPr>
        <w:t xml:space="preserve">Amendments to clarify </w:t>
      </w:r>
      <w:r w:rsidR="00184C67">
        <w:rPr>
          <w:rFonts w:asciiTheme="minorHAnsi" w:hAnsiTheme="minorHAnsi" w:cstheme="minorHAnsi"/>
          <w:sz w:val="28"/>
          <w:szCs w:val="28"/>
        </w:rPr>
        <w:t>the timing for a brand to become a</w:t>
      </w:r>
      <w:r w:rsidRPr="00EB5D15">
        <w:rPr>
          <w:rFonts w:asciiTheme="minorHAnsi" w:hAnsiTheme="minorHAnsi" w:cstheme="minorHAnsi"/>
          <w:sz w:val="28"/>
          <w:szCs w:val="28"/>
        </w:rPr>
        <w:t xml:space="preserve"> </w:t>
      </w:r>
      <w:r w:rsidR="00240ADE">
        <w:rPr>
          <w:rFonts w:asciiTheme="minorHAnsi" w:hAnsiTheme="minorHAnsi" w:cstheme="minorHAnsi"/>
          <w:sz w:val="28"/>
          <w:szCs w:val="28"/>
        </w:rPr>
        <w:t>designated brand</w:t>
      </w:r>
    </w:p>
    <w:p w14:paraId="70BA45C1" w14:textId="4B934C38" w:rsidR="00016685" w:rsidRDefault="001320FB" w:rsidP="00DD0336">
      <w:pPr>
        <w:jc w:val="both"/>
        <w:rPr>
          <w:rFonts w:cstheme="minorHAnsi"/>
          <w:bCs/>
          <w:iCs/>
          <w:sz w:val="24"/>
          <w:szCs w:val="24"/>
        </w:rPr>
      </w:pPr>
      <w:r w:rsidRPr="00BF3CF1">
        <w:rPr>
          <w:rFonts w:cstheme="minorHAnsi"/>
          <w:bCs/>
          <w:iCs/>
          <w:sz w:val="24"/>
          <w:szCs w:val="24"/>
        </w:rPr>
        <w:t>Section 99ADHC of the</w:t>
      </w:r>
      <w:r w:rsidR="00762064">
        <w:rPr>
          <w:rFonts w:cstheme="minorHAnsi"/>
          <w:bCs/>
          <w:iCs/>
          <w:sz w:val="24"/>
          <w:szCs w:val="24"/>
        </w:rPr>
        <w:t xml:space="preserve"> Act </w:t>
      </w:r>
      <w:r w:rsidRPr="00BF3CF1">
        <w:rPr>
          <w:rFonts w:cstheme="minorHAnsi"/>
          <w:bCs/>
          <w:iCs/>
          <w:sz w:val="24"/>
          <w:szCs w:val="24"/>
        </w:rPr>
        <w:t xml:space="preserve">sets out the </w:t>
      </w:r>
      <w:r w:rsidR="00937DAA">
        <w:rPr>
          <w:rFonts w:cstheme="minorHAnsi"/>
          <w:bCs/>
          <w:iCs/>
          <w:sz w:val="24"/>
          <w:szCs w:val="24"/>
        </w:rPr>
        <w:t>criteria</w:t>
      </w:r>
      <w:r w:rsidR="00937DAA" w:rsidRPr="00BF3CF1">
        <w:rPr>
          <w:rFonts w:cstheme="minorHAnsi"/>
          <w:bCs/>
          <w:iCs/>
          <w:sz w:val="24"/>
          <w:szCs w:val="24"/>
        </w:rPr>
        <w:t xml:space="preserve"> </w:t>
      </w:r>
      <w:r w:rsidR="00FE3DE7">
        <w:rPr>
          <w:rFonts w:cstheme="minorHAnsi"/>
          <w:bCs/>
          <w:iCs/>
          <w:sz w:val="24"/>
          <w:szCs w:val="24"/>
        </w:rPr>
        <w:t>that must be met</w:t>
      </w:r>
      <w:r w:rsidR="00FE3DE7" w:rsidRPr="00BF3CF1">
        <w:rPr>
          <w:rFonts w:cstheme="minorHAnsi"/>
          <w:bCs/>
          <w:iCs/>
          <w:sz w:val="24"/>
          <w:szCs w:val="24"/>
        </w:rPr>
        <w:t xml:space="preserve"> </w:t>
      </w:r>
      <w:r w:rsidRPr="00BF3CF1">
        <w:rPr>
          <w:rFonts w:cstheme="minorHAnsi"/>
          <w:bCs/>
          <w:iCs/>
          <w:sz w:val="24"/>
          <w:szCs w:val="24"/>
        </w:rPr>
        <w:t xml:space="preserve">for a brand to be a designated brand and </w:t>
      </w:r>
      <w:r w:rsidR="00FE3DE7">
        <w:rPr>
          <w:rFonts w:cstheme="minorHAnsi"/>
          <w:bCs/>
          <w:iCs/>
          <w:sz w:val="24"/>
          <w:szCs w:val="24"/>
        </w:rPr>
        <w:t xml:space="preserve">as a result, be </w:t>
      </w:r>
      <w:r w:rsidRPr="00BF3CF1">
        <w:rPr>
          <w:rFonts w:cstheme="minorHAnsi"/>
          <w:bCs/>
          <w:iCs/>
          <w:sz w:val="24"/>
          <w:szCs w:val="24"/>
        </w:rPr>
        <w:t>subject to a range of more protective pricing and supply provisions</w:t>
      </w:r>
      <w:r w:rsidR="00583D15">
        <w:rPr>
          <w:rFonts w:cstheme="minorHAnsi"/>
          <w:bCs/>
          <w:iCs/>
          <w:sz w:val="24"/>
          <w:szCs w:val="24"/>
        </w:rPr>
        <w:t xml:space="preserve"> as outlined </w:t>
      </w:r>
      <w:hyperlink w:anchor="_Designated_brands" w:history="1">
        <w:r w:rsidR="00583D15" w:rsidRPr="00583D15">
          <w:rPr>
            <w:rStyle w:val="Hyperlink"/>
            <w:rFonts w:cstheme="minorHAnsi"/>
            <w:bCs/>
            <w:iCs/>
            <w:sz w:val="24"/>
            <w:szCs w:val="24"/>
          </w:rPr>
          <w:t>above</w:t>
        </w:r>
      </w:hyperlink>
      <w:r w:rsidRPr="00BF3CF1">
        <w:rPr>
          <w:rFonts w:cstheme="minorHAnsi"/>
          <w:bCs/>
          <w:iCs/>
          <w:sz w:val="24"/>
          <w:szCs w:val="24"/>
        </w:rPr>
        <w:t xml:space="preserve">. </w:t>
      </w:r>
      <w:r w:rsidR="009D5D45">
        <w:rPr>
          <w:rFonts w:cstheme="minorHAnsi"/>
          <w:bCs/>
          <w:iCs/>
          <w:sz w:val="24"/>
          <w:szCs w:val="24"/>
        </w:rPr>
        <w:t>D</w:t>
      </w:r>
      <w:r w:rsidR="00D70B1E">
        <w:rPr>
          <w:rFonts w:cstheme="minorHAnsi"/>
          <w:bCs/>
          <w:iCs/>
          <w:sz w:val="24"/>
          <w:szCs w:val="24"/>
        </w:rPr>
        <w:t>esignated brand</w:t>
      </w:r>
      <w:r w:rsidR="009D5D45">
        <w:rPr>
          <w:rFonts w:cstheme="minorHAnsi"/>
          <w:bCs/>
          <w:iCs/>
          <w:sz w:val="24"/>
          <w:szCs w:val="24"/>
        </w:rPr>
        <w:t xml:space="preserve">s </w:t>
      </w:r>
      <w:r w:rsidR="00D70B1E">
        <w:rPr>
          <w:rFonts w:cstheme="minorHAnsi"/>
          <w:bCs/>
          <w:iCs/>
          <w:sz w:val="24"/>
          <w:szCs w:val="24"/>
        </w:rPr>
        <w:t xml:space="preserve">must meet one of the following </w:t>
      </w:r>
      <w:r w:rsidR="00937DAA">
        <w:rPr>
          <w:rFonts w:cstheme="minorHAnsi"/>
          <w:bCs/>
          <w:iCs/>
          <w:sz w:val="24"/>
          <w:szCs w:val="24"/>
        </w:rPr>
        <w:t>criteria</w:t>
      </w:r>
      <w:r w:rsidR="00D70B1E">
        <w:rPr>
          <w:rFonts w:cstheme="minorHAnsi"/>
          <w:bCs/>
          <w:iCs/>
          <w:sz w:val="24"/>
          <w:szCs w:val="24"/>
        </w:rPr>
        <w:t>:</w:t>
      </w:r>
    </w:p>
    <w:p w14:paraId="34CC24D5" w14:textId="4C1DF2FC" w:rsidR="0082443C" w:rsidRPr="0082443C" w:rsidRDefault="0082443C" w:rsidP="00DD0336">
      <w:pPr>
        <w:pStyle w:val="ListParagraph"/>
        <w:numPr>
          <w:ilvl w:val="0"/>
          <w:numId w:val="5"/>
        </w:numPr>
        <w:jc w:val="both"/>
        <w:rPr>
          <w:rFonts w:cstheme="minorHAnsi"/>
          <w:sz w:val="24"/>
          <w:szCs w:val="24"/>
        </w:rPr>
      </w:pPr>
      <w:r w:rsidRPr="0082443C">
        <w:rPr>
          <w:rFonts w:cstheme="minorHAnsi"/>
          <w:sz w:val="24"/>
          <w:szCs w:val="24"/>
        </w:rPr>
        <w:t>the drug/</w:t>
      </w:r>
      <w:r w:rsidR="004B7B95">
        <w:rPr>
          <w:rFonts w:cstheme="minorHAnsi"/>
          <w:sz w:val="24"/>
          <w:szCs w:val="24"/>
        </w:rPr>
        <w:t>manner of administration (</w:t>
      </w:r>
      <w:r w:rsidRPr="003A2DB3">
        <w:rPr>
          <w:rFonts w:cstheme="minorHAnsi"/>
          <w:b/>
          <w:bCs/>
          <w:sz w:val="24"/>
          <w:szCs w:val="24"/>
        </w:rPr>
        <w:t>MoA</w:t>
      </w:r>
      <w:r w:rsidR="004B7B95">
        <w:rPr>
          <w:rFonts w:cstheme="minorHAnsi"/>
          <w:sz w:val="24"/>
          <w:szCs w:val="24"/>
        </w:rPr>
        <w:t>)</w:t>
      </w:r>
      <w:r w:rsidRPr="0082443C">
        <w:rPr>
          <w:rFonts w:cstheme="minorHAnsi"/>
          <w:sz w:val="24"/>
          <w:szCs w:val="24"/>
        </w:rPr>
        <w:t xml:space="preserve"> of the brand’s pharmaceutical item has been on F2 for at least 42 months and at least 30 months must have passed since the first price disclosure price reduction for any brand of the same drug/</w:t>
      </w:r>
      <w:r w:rsidRPr="00B403A9">
        <w:rPr>
          <w:rFonts w:cstheme="minorHAnsi"/>
          <w:sz w:val="24"/>
          <w:szCs w:val="24"/>
        </w:rPr>
        <w:t>MoA (</w:t>
      </w:r>
      <w:r w:rsidRPr="003A2DB3">
        <w:rPr>
          <w:rFonts w:cstheme="minorHAnsi"/>
          <w:b/>
          <w:bCs/>
          <w:sz w:val="24"/>
          <w:szCs w:val="24"/>
        </w:rPr>
        <w:t>42-month clock</w:t>
      </w:r>
      <w:r w:rsidRPr="00B403A9">
        <w:rPr>
          <w:rFonts w:cstheme="minorHAnsi"/>
          <w:sz w:val="24"/>
          <w:szCs w:val="24"/>
        </w:rPr>
        <w:t>)</w:t>
      </w:r>
      <w:r w:rsidRPr="0082443C">
        <w:rPr>
          <w:rFonts w:cstheme="minorHAnsi"/>
          <w:sz w:val="24"/>
          <w:szCs w:val="24"/>
        </w:rPr>
        <w:t xml:space="preserve"> (s99ADHC(1)(a)). A</w:t>
      </w:r>
      <w:r w:rsidR="00F21DF1">
        <w:rPr>
          <w:rFonts w:cstheme="minorHAnsi"/>
          <w:sz w:val="24"/>
          <w:szCs w:val="24"/>
        </w:rPr>
        <w:t> </w:t>
      </w:r>
      <w:r w:rsidRPr="0082443C">
        <w:rPr>
          <w:rFonts w:cstheme="minorHAnsi"/>
          <w:sz w:val="24"/>
          <w:szCs w:val="24"/>
        </w:rPr>
        <w:t xml:space="preserve">drug/MoA will be taken to have been on F2 for at least 42 months if at the end of the </w:t>
      </w:r>
      <w:r w:rsidRPr="00B83A6B">
        <w:rPr>
          <w:rFonts w:cstheme="minorHAnsi"/>
          <w:b/>
          <w:bCs/>
          <w:sz w:val="24"/>
          <w:szCs w:val="24"/>
        </w:rPr>
        <w:t>previous data collection period</w:t>
      </w:r>
      <w:r w:rsidRPr="0082443C">
        <w:rPr>
          <w:rFonts w:cstheme="minorHAnsi"/>
          <w:sz w:val="24"/>
          <w:szCs w:val="24"/>
        </w:rPr>
        <w:t xml:space="preserve">, the drug/MoA has been on F2 for at least 42 months, </w:t>
      </w:r>
      <w:r w:rsidRPr="0082443C">
        <w:rPr>
          <w:rFonts w:cstheme="minorHAnsi"/>
          <w:sz w:val="24"/>
          <w:szCs w:val="24"/>
          <w:u w:val="single"/>
        </w:rPr>
        <w:t>and</w:t>
      </w:r>
      <w:r w:rsidRPr="0082443C">
        <w:rPr>
          <w:rFonts w:cstheme="minorHAnsi"/>
          <w:sz w:val="24"/>
          <w:szCs w:val="24"/>
        </w:rPr>
        <w:t xml:space="preserve"> on a day at least 42 months before the end of the previous data collection period, the drug/MoA was multi-branded (s99ADHC(6)); or</w:t>
      </w:r>
    </w:p>
    <w:p w14:paraId="16ADD9E5" w14:textId="77777777" w:rsidR="0082443C" w:rsidRPr="0082443C" w:rsidRDefault="0082443C" w:rsidP="00DD0336">
      <w:pPr>
        <w:pStyle w:val="ListParagraph"/>
        <w:numPr>
          <w:ilvl w:val="0"/>
          <w:numId w:val="5"/>
        </w:numPr>
        <w:jc w:val="both"/>
        <w:rPr>
          <w:rFonts w:cstheme="minorHAnsi"/>
          <w:sz w:val="24"/>
          <w:szCs w:val="24"/>
        </w:rPr>
      </w:pPr>
      <w:r w:rsidRPr="0082443C">
        <w:rPr>
          <w:rFonts w:cstheme="minorHAnsi"/>
          <w:sz w:val="24"/>
          <w:szCs w:val="24"/>
        </w:rPr>
        <w:t>the AEMP of the brand is $4 or less (s99ADHC(1)(b)); or</w:t>
      </w:r>
    </w:p>
    <w:p w14:paraId="268CE9DB" w14:textId="06FB9CB2" w:rsidR="0082443C" w:rsidRPr="0082443C" w:rsidRDefault="0082443C" w:rsidP="00DD0336">
      <w:pPr>
        <w:pStyle w:val="ListParagraph"/>
        <w:numPr>
          <w:ilvl w:val="0"/>
          <w:numId w:val="5"/>
        </w:numPr>
        <w:jc w:val="both"/>
        <w:rPr>
          <w:rFonts w:cstheme="minorHAnsi"/>
          <w:sz w:val="24"/>
          <w:szCs w:val="24"/>
        </w:rPr>
      </w:pPr>
      <w:r w:rsidRPr="0082443C">
        <w:rPr>
          <w:rFonts w:cstheme="minorHAnsi"/>
          <w:sz w:val="24"/>
          <w:szCs w:val="24"/>
        </w:rPr>
        <w:lastRenderedPageBreak/>
        <w:t>the AEMP of the brand has been increased on and after 1 July 2022 through a new price agreement and a determination</w:t>
      </w:r>
      <w:r w:rsidRPr="0082443C">
        <w:rPr>
          <w:vertAlign w:val="superscript"/>
        </w:rPr>
        <w:footnoteReference w:id="2"/>
      </w:r>
      <w:r w:rsidRPr="0082443C">
        <w:rPr>
          <w:rFonts w:cstheme="minorHAnsi"/>
          <w:sz w:val="24"/>
          <w:szCs w:val="24"/>
        </w:rPr>
        <w:t xml:space="preserve"> is in force</w:t>
      </w:r>
      <w:r w:rsidR="00FE3DE7">
        <w:rPr>
          <w:rFonts w:cstheme="minorHAnsi"/>
          <w:sz w:val="24"/>
          <w:szCs w:val="24"/>
        </w:rPr>
        <w:t xml:space="preserve"> under s99ADHC(2)</w:t>
      </w:r>
      <w:r w:rsidRPr="0082443C">
        <w:rPr>
          <w:rFonts w:cstheme="minorHAnsi"/>
          <w:sz w:val="24"/>
          <w:szCs w:val="24"/>
        </w:rPr>
        <w:t xml:space="preserve"> in relation to the brand (s99ADHC(1)(c)); or</w:t>
      </w:r>
    </w:p>
    <w:p w14:paraId="071BF1D6" w14:textId="5BD53C80" w:rsidR="00D70B1E" w:rsidRPr="0082443C" w:rsidRDefault="0082443C" w:rsidP="00DD0336">
      <w:pPr>
        <w:pStyle w:val="ListParagraph"/>
        <w:numPr>
          <w:ilvl w:val="0"/>
          <w:numId w:val="5"/>
        </w:numPr>
        <w:jc w:val="both"/>
        <w:rPr>
          <w:rFonts w:cstheme="minorHAnsi"/>
          <w:sz w:val="24"/>
          <w:szCs w:val="24"/>
        </w:rPr>
      </w:pPr>
      <w:r w:rsidRPr="0082443C">
        <w:rPr>
          <w:rFonts w:cstheme="minorHAnsi"/>
          <w:sz w:val="24"/>
          <w:szCs w:val="24"/>
        </w:rPr>
        <w:t xml:space="preserve">the AEMP of the brand </w:t>
      </w:r>
      <w:r w:rsidR="008301BF">
        <w:rPr>
          <w:rFonts w:cstheme="minorHAnsi"/>
          <w:sz w:val="24"/>
          <w:szCs w:val="24"/>
        </w:rPr>
        <w:t xml:space="preserve">was </w:t>
      </w:r>
      <w:r w:rsidRPr="0082443C">
        <w:rPr>
          <w:rFonts w:cstheme="minorHAnsi"/>
          <w:sz w:val="24"/>
          <w:szCs w:val="24"/>
        </w:rPr>
        <w:t>increase</w:t>
      </w:r>
      <w:r w:rsidR="008301BF">
        <w:rPr>
          <w:rFonts w:cstheme="minorHAnsi"/>
          <w:sz w:val="24"/>
          <w:szCs w:val="24"/>
        </w:rPr>
        <w:t>d</w:t>
      </w:r>
      <w:r w:rsidRPr="0082443C">
        <w:rPr>
          <w:rFonts w:cstheme="minorHAnsi"/>
          <w:sz w:val="24"/>
          <w:szCs w:val="24"/>
        </w:rPr>
        <w:t xml:space="preserve"> on 1 October 2022 under s104B of the Act (s99ADHC(1)(d)). </w:t>
      </w:r>
    </w:p>
    <w:p w14:paraId="720B1086" w14:textId="071CEEBA" w:rsidR="002B4897" w:rsidRDefault="008C7009" w:rsidP="00DD0336">
      <w:pPr>
        <w:jc w:val="both"/>
        <w:rPr>
          <w:bCs/>
          <w:iCs/>
          <w:sz w:val="24"/>
          <w:szCs w:val="24"/>
        </w:rPr>
      </w:pPr>
      <w:r>
        <w:rPr>
          <w:bCs/>
          <w:iCs/>
          <w:sz w:val="24"/>
          <w:szCs w:val="24"/>
        </w:rPr>
        <w:t>To assist RPs in understanding when a brand may meet the condition</w:t>
      </w:r>
      <w:r w:rsidR="00927FC5">
        <w:rPr>
          <w:bCs/>
          <w:iCs/>
          <w:sz w:val="24"/>
          <w:szCs w:val="24"/>
        </w:rPr>
        <w:t>s</w:t>
      </w:r>
      <w:r>
        <w:rPr>
          <w:bCs/>
          <w:iCs/>
          <w:sz w:val="24"/>
          <w:szCs w:val="24"/>
        </w:rPr>
        <w:t xml:space="preserve"> </w:t>
      </w:r>
      <w:r w:rsidR="00927FC5">
        <w:rPr>
          <w:bCs/>
          <w:iCs/>
          <w:sz w:val="24"/>
          <w:szCs w:val="24"/>
        </w:rPr>
        <w:t xml:space="preserve">outlined under </w:t>
      </w:r>
      <w:r w:rsidR="00927FC5" w:rsidRPr="003C065E">
        <w:rPr>
          <w:b/>
          <w:iCs/>
          <w:sz w:val="24"/>
          <w:szCs w:val="24"/>
        </w:rPr>
        <w:t>a)</w:t>
      </w:r>
      <w:r w:rsidR="00331C97">
        <w:rPr>
          <w:bCs/>
          <w:iCs/>
          <w:sz w:val="24"/>
          <w:szCs w:val="24"/>
        </w:rPr>
        <w:t>,</w:t>
      </w:r>
      <w:r w:rsidR="00404125">
        <w:rPr>
          <w:bCs/>
          <w:iCs/>
          <w:sz w:val="24"/>
          <w:szCs w:val="24"/>
        </w:rPr>
        <w:t xml:space="preserve"> </w:t>
      </w:r>
      <w:r w:rsidR="00331C97">
        <w:rPr>
          <w:bCs/>
          <w:iCs/>
          <w:sz w:val="24"/>
          <w:szCs w:val="24"/>
        </w:rPr>
        <w:t>t</w:t>
      </w:r>
      <w:r w:rsidR="008435C0">
        <w:rPr>
          <w:bCs/>
          <w:iCs/>
          <w:sz w:val="24"/>
          <w:szCs w:val="24"/>
        </w:rPr>
        <w:t xml:space="preserve">he </w:t>
      </w:r>
      <w:r w:rsidR="00DD0336">
        <w:rPr>
          <w:bCs/>
          <w:iCs/>
          <w:sz w:val="24"/>
          <w:szCs w:val="24"/>
        </w:rPr>
        <w:t>2024</w:t>
      </w:r>
      <w:r w:rsidR="008435C0">
        <w:rPr>
          <w:bCs/>
          <w:iCs/>
          <w:sz w:val="24"/>
          <w:szCs w:val="24"/>
        </w:rPr>
        <w:t xml:space="preserve"> Amendment Act </w:t>
      </w:r>
      <w:r w:rsidR="009F6B64">
        <w:rPr>
          <w:bCs/>
          <w:iCs/>
          <w:sz w:val="24"/>
          <w:szCs w:val="24"/>
        </w:rPr>
        <w:t>provide</w:t>
      </w:r>
      <w:r w:rsidR="00331C97">
        <w:rPr>
          <w:bCs/>
          <w:iCs/>
          <w:sz w:val="24"/>
          <w:szCs w:val="24"/>
        </w:rPr>
        <w:t>s</w:t>
      </w:r>
      <w:r w:rsidR="009F6B64">
        <w:rPr>
          <w:bCs/>
          <w:iCs/>
          <w:sz w:val="24"/>
          <w:szCs w:val="24"/>
        </w:rPr>
        <w:t xml:space="preserve"> a </w:t>
      </w:r>
      <w:r w:rsidR="000F54BF">
        <w:rPr>
          <w:bCs/>
          <w:iCs/>
          <w:sz w:val="24"/>
          <w:szCs w:val="24"/>
        </w:rPr>
        <w:t xml:space="preserve">definition of </w:t>
      </w:r>
      <w:r w:rsidR="000F54BF" w:rsidRPr="008F75E5">
        <w:rPr>
          <w:sz w:val="24"/>
          <w:szCs w:val="24"/>
        </w:rPr>
        <w:t>‘</w:t>
      </w:r>
      <w:r w:rsidR="000F54BF" w:rsidRPr="003C065E">
        <w:rPr>
          <w:b/>
          <w:sz w:val="24"/>
          <w:szCs w:val="24"/>
        </w:rPr>
        <w:t>previous data collection period</w:t>
      </w:r>
      <w:r w:rsidR="000F54BF" w:rsidRPr="008F75E5">
        <w:rPr>
          <w:sz w:val="24"/>
          <w:szCs w:val="24"/>
        </w:rPr>
        <w:t>’</w:t>
      </w:r>
      <w:r w:rsidR="00773EF6">
        <w:rPr>
          <w:bCs/>
          <w:iCs/>
          <w:sz w:val="24"/>
          <w:szCs w:val="24"/>
        </w:rPr>
        <w:t xml:space="preserve"> </w:t>
      </w:r>
      <w:r w:rsidR="00055AC3">
        <w:rPr>
          <w:bCs/>
          <w:iCs/>
          <w:sz w:val="24"/>
          <w:szCs w:val="24"/>
        </w:rPr>
        <w:t xml:space="preserve">under a </w:t>
      </w:r>
      <w:r w:rsidR="00331C97">
        <w:rPr>
          <w:bCs/>
          <w:iCs/>
          <w:sz w:val="24"/>
          <w:szCs w:val="24"/>
        </w:rPr>
        <w:t>new section of the Act (section 99ADHD)</w:t>
      </w:r>
      <w:r w:rsidR="00055AC3">
        <w:rPr>
          <w:bCs/>
          <w:iCs/>
          <w:sz w:val="24"/>
          <w:szCs w:val="24"/>
        </w:rPr>
        <w:t>. This definition</w:t>
      </w:r>
      <w:r w:rsidR="00773EF6">
        <w:rPr>
          <w:bCs/>
          <w:iCs/>
          <w:sz w:val="24"/>
          <w:szCs w:val="24"/>
        </w:rPr>
        <w:t xml:space="preserve"> make</w:t>
      </w:r>
      <w:r w:rsidR="00055AC3">
        <w:rPr>
          <w:bCs/>
          <w:iCs/>
          <w:sz w:val="24"/>
          <w:szCs w:val="24"/>
        </w:rPr>
        <w:t>s</w:t>
      </w:r>
      <w:r w:rsidR="00773EF6">
        <w:rPr>
          <w:bCs/>
          <w:iCs/>
          <w:sz w:val="24"/>
          <w:szCs w:val="24"/>
        </w:rPr>
        <w:t xml:space="preserve"> clear</w:t>
      </w:r>
      <w:r w:rsidR="00FE3DE7">
        <w:rPr>
          <w:bCs/>
          <w:iCs/>
          <w:sz w:val="24"/>
          <w:szCs w:val="24"/>
        </w:rPr>
        <w:t>,</w:t>
      </w:r>
      <w:r w:rsidR="00773EF6">
        <w:rPr>
          <w:bCs/>
          <w:iCs/>
          <w:sz w:val="24"/>
          <w:szCs w:val="24"/>
        </w:rPr>
        <w:t xml:space="preserve"> </w:t>
      </w:r>
      <w:r w:rsidR="00055AC3">
        <w:rPr>
          <w:bCs/>
          <w:iCs/>
          <w:sz w:val="24"/>
          <w:szCs w:val="24"/>
        </w:rPr>
        <w:t>for the avoidance of doubt,</w:t>
      </w:r>
      <w:r w:rsidR="00773EF6">
        <w:rPr>
          <w:bCs/>
          <w:iCs/>
          <w:sz w:val="24"/>
          <w:szCs w:val="24"/>
        </w:rPr>
        <w:t xml:space="preserve"> which data collection period </w:t>
      </w:r>
      <w:r w:rsidR="009C77ED">
        <w:rPr>
          <w:bCs/>
          <w:iCs/>
          <w:sz w:val="24"/>
          <w:szCs w:val="24"/>
        </w:rPr>
        <w:t xml:space="preserve">the </w:t>
      </w:r>
      <w:r w:rsidR="00055AC3">
        <w:rPr>
          <w:bCs/>
          <w:iCs/>
          <w:sz w:val="24"/>
          <w:szCs w:val="24"/>
        </w:rPr>
        <w:t>‘</w:t>
      </w:r>
      <w:r w:rsidR="009C77ED">
        <w:rPr>
          <w:bCs/>
          <w:iCs/>
          <w:sz w:val="24"/>
          <w:szCs w:val="24"/>
        </w:rPr>
        <w:t>previous data collection</w:t>
      </w:r>
      <w:r w:rsidR="00773EF6">
        <w:rPr>
          <w:bCs/>
          <w:iCs/>
          <w:sz w:val="24"/>
          <w:szCs w:val="24"/>
        </w:rPr>
        <w:t xml:space="preserve"> period</w:t>
      </w:r>
      <w:r w:rsidR="00055AC3">
        <w:rPr>
          <w:bCs/>
          <w:iCs/>
          <w:sz w:val="24"/>
          <w:szCs w:val="24"/>
        </w:rPr>
        <w:t>’</w:t>
      </w:r>
      <w:r w:rsidR="00773EF6">
        <w:rPr>
          <w:bCs/>
          <w:iCs/>
          <w:sz w:val="24"/>
          <w:szCs w:val="24"/>
        </w:rPr>
        <w:t xml:space="preserve"> refers to </w:t>
      </w:r>
      <w:r w:rsidR="00937DAA">
        <w:rPr>
          <w:bCs/>
          <w:iCs/>
          <w:sz w:val="24"/>
          <w:szCs w:val="24"/>
        </w:rPr>
        <w:t xml:space="preserve">and </w:t>
      </w:r>
      <w:r w:rsidR="00773EF6">
        <w:rPr>
          <w:bCs/>
          <w:iCs/>
          <w:sz w:val="24"/>
          <w:szCs w:val="24"/>
        </w:rPr>
        <w:t>is</w:t>
      </w:r>
      <w:r w:rsidR="00293FA9">
        <w:rPr>
          <w:bCs/>
          <w:iCs/>
          <w:sz w:val="24"/>
          <w:szCs w:val="24"/>
        </w:rPr>
        <w:t xml:space="preserve"> </w:t>
      </w:r>
      <w:r w:rsidR="00937DAA">
        <w:rPr>
          <w:bCs/>
          <w:iCs/>
          <w:sz w:val="24"/>
          <w:szCs w:val="24"/>
        </w:rPr>
        <w:t>used when</w:t>
      </w:r>
      <w:r w:rsidR="00293FA9">
        <w:rPr>
          <w:bCs/>
          <w:iCs/>
          <w:sz w:val="24"/>
          <w:szCs w:val="24"/>
        </w:rPr>
        <w:t xml:space="preserve"> determin</w:t>
      </w:r>
      <w:r w:rsidR="00937DAA">
        <w:rPr>
          <w:bCs/>
          <w:iCs/>
          <w:sz w:val="24"/>
          <w:szCs w:val="24"/>
        </w:rPr>
        <w:t>ing</w:t>
      </w:r>
      <w:r w:rsidR="00293FA9">
        <w:rPr>
          <w:bCs/>
          <w:iCs/>
          <w:sz w:val="24"/>
          <w:szCs w:val="24"/>
        </w:rPr>
        <w:t xml:space="preserve"> whether or not the criteria </w:t>
      </w:r>
      <w:r w:rsidR="003F3405">
        <w:rPr>
          <w:bCs/>
          <w:iCs/>
          <w:sz w:val="24"/>
          <w:szCs w:val="24"/>
        </w:rPr>
        <w:t>outlined under</w:t>
      </w:r>
      <w:r w:rsidR="00293FA9">
        <w:rPr>
          <w:bCs/>
          <w:iCs/>
          <w:sz w:val="24"/>
          <w:szCs w:val="24"/>
        </w:rPr>
        <w:t xml:space="preserve"> a) is met. </w:t>
      </w:r>
      <w:r w:rsidR="00B30CA5">
        <w:rPr>
          <w:bCs/>
          <w:iCs/>
          <w:sz w:val="24"/>
          <w:szCs w:val="24"/>
        </w:rPr>
        <w:t>This definition in turn ensures it is clear that each of the</w:t>
      </w:r>
      <w:r w:rsidR="00B7218B">
        <w:rPr>
          <w:bCs/>
          <w:iCs/>
          <w:sz w:val="24"/>
          <w:szCs w:val="24"/>
        </w:rPr>
        <w:t xml:space="preserve"> </w:t>
      </w:r>
      <w:hyperlink w:anchor="_Designated_brands" w:history="1">
        <w:r w:rsidR="00B7218B" w:rsidRPr="00E31D61">
          <w:rPr>
            <w:rStyle w:val="Hyperlink"/>
            <w:bCs/>
            <w:iCs/>
            <w:sz w:val="24"/>
            <w:szCs w:val="24"/>
          </w:rPr>
          <w:t>operative provisions</w:t>
        </w:r>
      </w:hyperlink>
      <w:r w:rsidR="00B7218B">
        <w:rPr>
          <w:bCs/>
          <w:iCs/>
          <w:sz w:val="24"/>
          <w:szCs w:val="24"/>
        </w:rPr>
        <w:t xml:space="preserve"> associated with a designated brand are effective from the same date on which a brand becomes a designated brand.</w:t>
      </w:r>
      <w:r w:rsidR="00D65687">
        <w:rPr>
          <w:bCs/>
          <w:iCs/>
          <w:sz w:val="24"/>
          <w:szCs w:val="24"/>
        </w:rPr>
        <w:t xml:space="preserve"> </w:t>
      </w:r>
    </w:p>
    <w:p w14:paraId="383A47C3" w14:textId="1082035B" w:rsidR="00B62C2A" w:rsidRDefault="00DA0819" w:rsidP="00DD0336">
      <w:pPr>
        <w:jc w:val="both"/>
        <w:rPr>
          <w:bCs/>
          <w:iCs/>
          <w:sz w:val="24"/>
          <w:szCs w:val="24"/>
        </w:rPr>
      </w:pPr>
      <w:r>
        <w:rPr>
          <w:bCs/>
          <w:iCs/>
          <w:sz w:val="24"/>
          <w:szCs w:val="24"/>
        </w:rPr>
        <w:t xml:space="preserve">The new definition provides that </w:t>
      </w:r>
      <w:r w:rsidR="005A23EA">
        <w:rPr>
          <w:bCs/>
          <w:iCs/>
          <w:sz w:val="24"/>
          <w:szCs w:val="24"/>
        </w:rPr>
        <w:t xml:space="preserve">the </w:t>
      </w:r>
      <w:r w:rsidR="005A23EA" w:rsidRPr="00767924">
        <w:rPr>
          <w:bCs/>
          <w:iCs/>
          <w:sz w:val="24"/>
          <w:szCs w:val="24"/>
        </w:rPr>
        <w:t>previous data collection period</w:t>
      </w:r>
      <w:r w:rsidR="0028205A" w:rsidRPr="00767924">
        <w:rPr>
          <w:bCs/>
          <w:iCs/>
          <w:sz w:val="24"/>
          <w:szCs w:val="24"/>
        </w:rPr>
        <w:t xml:space="preserve"> </w:t>
      </w:r>
      <w:r w:rsidR="005A23EA" w:rsidRPr="00767924">
        <w:rPr>
          <w:bCs/>
          <w:iCs/>
          <w:sz w:val="24"/>
          <w:szCs w:val="24"/>
        </w:rPr>
        <w:t>for</w:t>
      </w:r>
      <w:r w:rsidR="005A23EA">
        <w:rPr>
          <w:bCs/>
          <w:iCs/>
          <w:sz w:val="24"/>
          <w:szCs w:val="24"/>
        </w:rPr>
        <w:t xml:space="preserve"> the </w:t>
      </w:r>
      <w:r w:rsidR="0028205A" w:rsidRPr="0028205A">
        <w:rPr>
          <w:bCs/>
          <w:iCs/>
          <w:sz w:val="24"/>
          <w:szCs w:val="24"/>
        </w:rPr>
        <w:t>brand of the pharmaceutical item is the data collection period that immediately preceded the corresponding data collection period for the brand of the pharmaceutical item in the immediately preceding year</w:t>
      </w:r>
      <w:r w:rsidR="00B62C2A">
        <w:rPr>
          <w:bCs/>
          <w:iCs/>
          <w:sz w:val="24"/>
          <w:szCs w:val="24"/>
        </w:rPr>
        <w:t>.</w:t>
      </w:r>
    </w:p>
    <w:tbl>
      <w:tblPr>
        <w:tblStyle w:val="TableGrid"/>
        <w:tblW w:w="0" w:type="auto"/>
        <w:tblLook w:val="04A0" w:firstRow="1" w:lastRow="0" w:firstColumn="1" w:lastColumn="0" w:noHBand="0" w:noVBand="1"/>
      </w:tblPr>
      <w:tblGrid>
        <w:gridCol w:w="9736"/>
      </w:tblGrid>
      <w:tr w:rsidR="00B53C58" w14:paraId="35D53FE0" w14:textId="77777777" w:rsidTr="00B53C58">
        <w:tc>
          <w:tcPr>
            <w:tcW w:w="9736" w:type="dxa"/>
            <w:shd w:val="clear" w:color="auto" w:fill="B3DEF2"/>
          </w:tcPr>
          <w:p w14:paraId="35451221" w14:textId="5A01626A" w:rsidR="00B53C58" w:rsidRDefault="00B53C58" w:rsidP="00B53C58">
            <w:pPr>
              <w:spacing w:before="120" w:after="120"/>
              <w:jc w:val="both"/>
              <w:rPr>
                <w:bCs/>
                <w:iCs/>
                <w:sz w:val="24"/>
                <w:szCs w:val="24"/>
              </w:rPr>
            </w:pPr>
            <w:r>
              <w:rPr>
                <w:bCs/>
                <w:iCs/>
                <w:sz w:val="24"/>
                <w:szCs w:val="24"/>
              </w:rPr>
              <w:t xml:space="preserve">For example, for the 1 October </w:t>
            </w:r>
            <w:r w:rsidRPr="00CA3619">
              <w:rPr>
                <w:bCs/>
                <w:iCs/>
                <w:sz w:val="24"/>
                <w:szCs w:val="24"/>
              </w:rPr>
              <w:t>reduction day, data is processed for the data collection period 1</w:t>
            </w:r>
            <w:r>
              <w:rPr>
                <w:bCs/>
                <w:iCs/>
                <w:sz w:val="24"/>
                <w:szCs w:val="24"/>
              </w:rPr>
              <w:t> </w:t>
            </w:r>
            <w:r w:rsidRPr="00CA3619">
              <w:rPr>
                <w:bCs/>
                <w:iCs/>
                <w:sz w:val="24"/>
                <w:szCs w:val="24"/>
              </w:rPr>
              <w:t xml:space="preserve">October in the previous year </w:t>
            </w:r>
            <w:r w:rsidRPr="00767924">
              <w:rPr>
                <w:bCs/>
                <w:iCs/>
                <w:sz w:val="24"/>
                <w:szCs w:val="24"/>
              </w:rPr>
              <w:t>to 31 March in the current year and the previous data collection period is the</w:t>
            </w:r>
            <w:r w:rsidRPr="00CA3619">
              <w:rPr>
                <w:bCs/>
                <w:iCs/>
                <w:sz w:val="24"/>
                <w:szCs w:val="24"/>
              </w:rPr>
              <w:t xml:space="preserve"> data collection period </w:t>
            </w:r>
            <w:r>
              <w:rPr>
                <w:bCs/>
                <w:iCs/>
                <w:sz w:val="24"/>
                <w:szCs w:val="24"/>
              </w:rPr>
              <w:t>prior to that period, being between 1 April and</w:t>
            </w:r>
            <w:r w:rsidRPr="00CA3619">
              <w:rPr>
                <w:bCs/>
                <w:iCs/>
                <w:sz w:val="24"/>
                <w:szCs w:val="24"/>
              </w:rPr>
              <w:t xml:space="preserve"> 30 September of the previous year. For the 1 April reduction day</w:t>
            </w:r>
            <w:r w:rsidRPr="00767924">
              <w:rPr>
                <w:bCs/>
                <w:iCs/>
                <w:sz w:val="24"/>
                <w:szCs w:val="24"/>
              </w:rPr>
              <w:t>, data is processed for the data collection period 1 April to 30 September in the previous year and the previous data collection period is the data collection period prior to that period, being the period ending on 31 March in the previous</w:t>
            </w:r>
            <w:r w:rsidRPr="00CA3619">
              <w:rPr>
                <w:bCs/>
                <w:iCs/>
                <w:sz w:val="24"/>
                <w:szCs w:val="24"/>
              </w:rPr>
              <w:t xml:space="preserve"> year. A brand will be a designated brand on 1 October in the current year, if the 42- and 30-month clocks are both met by the end of the data collection period which ran from 1 April to 30 September in the previous year. A brand will be a designated brand on 1 April in the current year, if the 42- and 30-month clocks are both met by the end of the data collection period which ended on 31 March in the previous year</w:t>
            </w:r>
            <w:r>
              <w:rPr>
                <w:bCs/>
                <w:iCs/>
                <w:sz w:val="24"/>
                <w:szCs w:val="24"/>
              </w:rPr>
              <w:t>.</w:t>
            </w:r>
          </w:p>
        </w:tc>
      </w:tr>
    </w:tbl>
    <w:p w14:paraId="5588E31D" w14:textId="59B551F8" w:rsidR="00DC532E" w:rsidRDefault="00DC532E" w:rsidP="00B53C58">
      <w:pPr>
        <w:spacing w:before="160"/>
        <w:jc w:val="both"/>
        <w:rPr>
          <w:bCs/>
          <w:iCs/>
          <w:sz w:val="24"/>
          <w:szCs w:val="24"/>
        </w:rPr>
      </w:pPr>
      <w:r w:rsidRPr="001E4694">
        <w:rPr>
          <w:bCs/>
          <w:iCs/>
          <w:sz w:val="24"/>
          <w:szCs w:val="24"/>
        </w:rPr>
        <w:t xml:space="preserve">Refer to </w:t>
      </w:r>
      <w:hyperlink w:anchor="_Figure_2_–" w:history="1">
        <w:bookmarkStart w:id="2" w:name="AppendixFigure2"/>
        <w:r w:rsidR="00431186">
          <w:rPr>
            <w:rStyle w:val="Hyperlink"/>
            <w:b/>
            <w:iCs/>
            <w:sz w:val="24"/>
            <w:szCs w:val="24"/>
          </w:rPr>
          <w:t>Appendix, Figure 2</w:t>
        </w:r>
        <w:bookmarkEnd w:id="2"/>
      </w:hyperlink>
      <w:r w:rsidRPr="001E4694">
        <w:rPr>
          <w:bCs/>
          <w:iCs/>
          <w:sz w:val="24"/>
          <w:szCs w:val="24"/>
        </w:rPr>
        <w:t xml:space="preserve"> for illustrative example</w:t>
      </w:r>
      <w:r w:rsidR="001E4694" w:rsidRPr="001E4694">
        <w:rPr>
          <w:bCs/>
          <w:iCs/>
          <w:sz w:val="24"/>
          <w:szCs w:val="24"/>
        </w:rPr>
        <w:t>s</w:t>
      </w:r>
      <w:r w:rsidRPr="001E4694">
        <w:rPr>
          <w:bCs/>
          <w:iCs/>
          <w:sz w:val="24"/>
          <w:szCs w:val="24"/>
        </w:rPr>
        <w:t>.</w:t>
      </w:r>
    </w:p>
    <w:p w14:paraId="15D719FC" w14:textId="5A5EA3CF" w:rsidR="00123706" w:rsidRDefault="00123706" w:rsidP="00DD0336">
      <w:pPr>
        <w:jc w:val="both"/>
        <w:rPr>
          <w:bCs/>
          <w:iCs/>
          <w:sz w:val="24"/>
          <w:szCs w:val="24"/>
        </w:rPr>
      </w:pPr>
      <w:r>
        <w:rPr>
          <w:bCs/>
          <w:iCs/>
          <w:sz w:val="24"/>
          <w:szCs w:val="24"/>
        </w:rPr>
        <w:t xml:space="preserve">The </w:t>
      </w:r>
      <w:r w:rsidR="00315176">
        <w:rPr>
          <w:bCs/>
          <w:iCs/>
          <w:sz w:val="24"/>
          <w:szCs w:val="24"/>
        </w:rPr>
        <w:t>new section also provides clarification for newly listed brands,</w:t>
      </w:r>
      <w:r w:rsidR="00941AEB">
        <w:rPr>
          <w:bCs/>
          <w:iCs/>
          <w:sz w:val="24"/>
          <w:szCs w:val="24"/>
        </w:rPr>
        <w:t xml:space="preserve"> defining </w:t>
      </w:r>
      <w:r w:rsidR="00941AEB" w:rsidRPr="00941AEB">
        <w:rPr>
          <w:bCs/>
          <w:iCs/>
          <w:sz w:val="24"/>
          <w:szCs w:val="24"/>
        </w:rPr>
        <w:t xml:space="preserve">the ‘previous data collection period’ </w:t>
      </w:r>
      <w:r w:rsidR="00941AEB">
        <w:rPr>
          <w:bCs/>
          <w:iCs/>
          <w:sz w:val="24"/>
          <w:szCs w:val="24"/>
        </w:rPr>
        <w:t xml:space="preserve">as being </w:t>
      </w:r>
      <w:r w:rsidR="00941AEB" w:rsidRPr="00941AEB">
        <w:rPr>
          <w:bCs/>
          <w:iCs/>
          <w:sz w:val="24"/>
          <w:szCs w:val="24"/>
        </w:rPr>
        <w:t xml:space="preserve">the same as the previous data collection period for related brands (brands that have the same drug and </w:t>
      </w:r>
      <w:r w:rsidR="00941AEB">
        <w:rPr>
          <w:bCs/>
          <w:iCs/>
          <w:sz w:val="24"/>
          <w:szCs w:val="24"/>
        </w:rPr>
        <w:t>MoA</w:t>
      </w:r>
      <w:r w:rsidR="00941AEB" w:rsidRPr="00941AEB">
        <w:rPr>
          <w:bCs/>
          <w:iCs/>
          <w:sz w:val="24"/>
          <w:szCs w:val="24"/>
        </w:rPr>
        <w:t>). This is because related brands meet the ‘42- and 30-month clocks’ at the same point in time and are subject to the same price disclosure thresholds under section</w:t>
      </w:r>
      <w:r w:rsidR="001655F4">
        <w:rPr>
          <w:bCs/>
          <w:iCs/>
          <w:sz w:val="24"/>
          <w:szCs w:val="24"/>
        </w:rPr>
        <w:t> </w:t>
      </w:r>
      <w:r w:rsidR="00941AEB" w:rsidRPr="00941AEB">
        <w:rPr>
          <w:bCs/>
          <w:iCs/>
          <w:sz w:val="24"/>
          <w:szCs w:val="24"/>
        </w:rPr>
        <w:t>99ADH</w:t>
      </w:r>
      <w:r w:rsidR="009F0D23">
        <w:rPr>
          <w:bCs/>
          <w:iCs/>
          <w:sz w:val="24"/>
          <w:szCs w:val="24"/>
        </w:rPr>
        <w:t xml:space="preserve"> of the Act</w:t>
      </w:r>
      <w:r w:rsidR="00941AEB" w:rsidRPr="00941AEB">
        <w:rPr>
          <w:bCs/>
          <w:iCs/>
          <w:sz w:val="24"/>
          <w:szCs w:val="24"/>
        </w:rPr>
        <w:t>.</w:t>
      </w:r>
    </w:p>
    <w:tbl>
      <w:tblPr>
        <w:tblStyle w:val="TableGrid"/>
        <w:tblW w:w="0" w:type="auto"/>
        <w:tblLook w:val="04A0" w:firstRow="1" w:lastRow="0" w:firstColumn="1" w:lastColumn="0" w:noHBand="0" w:noVBand="1"/>
      </w:tblPr>
      <w:tblGrid>
        <w:gridCol w:w="9736"/>
      </w:tblGrid>
      <w:tr w:rsidR="00B53C58" w14:paraId="4120D187" w14:textId="77777777" w:rsidTr="00B53C58">
        <w:tc>
          <w:tcPr>
            <w:tcW w:w="9736" w:type="dxa"/>
            <w:shd w:val="clear" w:color="auto" w:fill="B3DEF2"/>
          </w:tcPr>
          <w:p w14:paraId="1D2220E7" w14:textId="77777777" w:rsidR="00B53C58" w:rsidRPr="00FC7139" w:rsidRDefault="00B53C58" w:rsidP="00B53C58">
            <w:pPr>
              <w:spacing w:before="120" w:after="120"/>
              <w:jc w:val="both"/>
              <w:rPr>
                <w:bCs/>
                <w:iCs/>
                <w:sz w:val="24"/>
                <w:szCs w:val="24"/>
              </w:rPr>
            </w:pPr>
            <w:r>
              <w:rPr>
                <w:bCs/>
                <w:iCs/>
                <w:sz w:val="24"/>
                <w:szCs w:val="24"/>
              </w:rPr>
              <w:t xml:space="preserve">For example, a </w:t>
            </w:r>
            <w:r w:rsidRPr="00FC7139">
              <w:rPr>
                <w:bCs/>
                <w:iCs/>
                <w:sz w:val="24"/>
                <w:szCs w:val="24"/>
              </w:rPr>
              <w:t xml:space="preserve">new brand is listed on 1 July 2024 and its first data collection period ends on 30 September 2024. The immediately following data collection period ends on 31 March 2025. </w:t>
            </w:r>
            <w:r>
              <w:rPr>
                <w:bCs/>
                <w:iCs/>
                <w:sz w:val="24"/>
                <w:szCs w:val="24"/>
              </w:rPr>
              <w:t>This means that</w:t>
            </w:r>
            <w:r w:rsidRPr="00FC7139">
              <w:rPr>
                <w:bCs/>
                <w:iCs/>
                <w:sz w:val="24"/>
                <w:szCs w:val="24"/>
              </w:rPr>
              <w:t>:</w:t>
            </w:r>
          </w:p>
          <w:p w14:paraId="4154F211" w14:textId="77777777" w:rsidR="00B53C58" w:rsidRPr="00FC7139" w:rsidRDefault="00B53C58" w:rsidP="00B53C58">
            <w:pPr>
              <w:spacing w:before="120" w:after="120"/>
              <w:ind w:left="720"/>
              <w:jc w:val="both"/>
              <w:rPr>
                <w:bCs/>
                <w:iCs/>
                <w:sz w:val="24"/>
                <w:szCs w:val="24"/>
              </w:rPr>
            </w:pPr>
            <w:r w:rsidRPr="00FC7139">
              <w:rPr>
                <w:bCs/>
                <w:iCs/>
                <w:sz w:val="24"/>
                <w:szCs w:val="24"/>
              </w:rPr>
              <w:t>(a)</w:t>
            </w:r>
            <w:r>
              <w:rPr>
                <w:bCs/>
                <w:iCs/>
                <w:sz w:val="24"/>
                <w:szCs w:val="24"/>
              </w:rPr>
              <w:t xml:space="preserve"> </w:t>
            </w:r>
            <w:r w:rsidRPr="00FC7139">
              <w:rPr>
                <w:bCs/>
                <w:iCs/>
                <w:sz w:val="24"/>
                <w:szCs w:val="24"/>
              </w:rPr>
              <w:t xml:space="preserve">on any day between 1 July 2024 and 30 September 2024, the corresponding data collection period for any related brand is the data collection period </w:t>
            </w:r>
            <w:r w:rsidRPr="00373749">
              <w:rPr>
                <w:bCs/>
                <w:iCs/>
                <w:sz w:val="24"/>
                <w:szCs w:val="24"/>
              </w:rPr>
              <w:t>between 1 April 2023 and</w:t>
            </w:r>
            <w:r w:rsidRPr="00FC7139">
              <w:rPr>
                <w:bCs/>
                <w:iCs/>
                <w:sz w:val="24"/>
                <w:szCs w:val="24"/>
              </w:rPr>
              <w:t xml:space="preserve"> 30 September 2023, and the previous data collection period for the related brand (and </w:t>
            </w:r>
            <w:r w:rsidRPr="00FC7139">
              <w:rPr>
                <w:bCs/>
                <w:iCs/>
                <w:sz w:val="24"/>
                <w:szCs w:val="24"/>
              </w:rPr>
              <w:lastRenderedPageBreak/>
              <w:t xml:space="preserve">the new brand) is the data collection period </w:t>
            </w:r>
            <w:r w:rsidRPr="00373749">
              <w:rPr>
                <w:bCs/>
                <w:iCs/>
                <w:sz w:val="24"/>
                <w:szCs w:val="24"/>
              </w:rPr>
              <w:t>between 1 October 2022 and</w:t>
            </w:r>
            <w:r w:rsidRPr="00FC7139">
              <w:rPr>
                <w:bCs/>
                <w:iCs/>
                <w:sz w:val="24"/>
                <w:szCs w:val="24"/>
              </w:rPr>
              <w:t xml:space="preserve"> 31 March 2023; and</w:t>
            </w:r>
          </w:p>
          <w:p w14:paraId="140C90EF" w14:textId="56E0A12E" w:rsidR="00B53C58" w:rsidRPr="00B53C58" w:rsidRDefault="00B53C58" w:rsidP="00B53C58">
            <w:pPr>
              <w:spacing w:before="120" w:after="120"/>
              <w:ind w:left="720"/>
              <w:jc w:val="both"/>
            </w:pPr>
            <w:r w:rsidRPr="00373749">
              <w:rPr>
                <w:bCs/>
                <w:iCs/>
                <w:sz w:val="24"/>
                <w:szCs w:val="24"/>
              </w:rPr>
              <w:t>(b) on any day between 1 October 2024 and 31 March 2025, the corresponding data collection period for any related brand is the data collection period between 1 October 2023 and 31 March 2024 and the previous data collection period for the related brand (and the new brand) is the data collection period between 1 April 2023 and</w:t>
            </w:r>
            <w:r w:rsidRPr="00B17DF4">
              <w:rPr>
                <w:bCs/>
                <w:iCs/>
                <w:sz w:val="24"/>
                <w:szCs w:val="24"/>
              </w:rPr>
              <w:t xml:space="preserve"> 30 September 2023.</w:t>
            </w:r>
          </w:p>
        </w:tc>
      </w:tr>
    </w:tbl>
    <w:p w14:paraId="62D85D48" w14:textId="7FB78391" w:rsidR="00070CB0" w:rsidRDefault="008301BF" w:rsidP="0007246D">
      <w:pPr>
        <w:spacing w:before="160"/>
        <w:jc w:val="both"/>
        <w:rPr>
          <w:rFonts w:cstheme="minorHAnsi"/>
          <w:sz w:val="24"/>
          <w:szCs w:val="24"/>
        </w:rPr>
      </w:pPr>
      <w:r>
        <w:rPr>
          <w:rFonts w:cstheme="minorHAnsi"/>
          <w:sz w:val="24"/>
          <w:szCs w:val="24"/>
        </w:rPr>
        <w:lastRenderedPageBreak/>
        <w:t>Again, t</w:t>
      </w:r>
      <w:r w:rsidR="00B06EF9" w:rsidRPr="00BF3CF1">
        <w:rPr>
          <w:rFonts w:cstheme="minorHAnsi"/>
          <w:sz w:val="24"/>
          <w:szCs w:val="24"/>
        </w:rPr>
        <w:t>hese amendments are for the avoidance of doubt and reflect how the provision has operated since 1 July 2022</w:t>
      </w:r>
      <w:r w:rsidR="0038758A">
        <w:rPr>
          <w:rFonts w:cstheme="minorHAnsi"/>
          <w:sz w:val="24"/>
          <w:szCs w:val="24"/>
        </w:rPr>
        <w:t>.</w:t>
      </w:r>
      <w:r w:rsidR="009B6DAB">
        <w:rPr>
          <w:rFonts w:cstheme="minorHAnsi"/>
          <w:sz w:val="24"/>
          <w:szCs w:val="24"/>
        </w:rPr>
        <w:t xml:space="preserve"> </w:t>
      </w:r>
      <w:r w:rsidR="00620F76">
        <w:rPr>
          <w:rFonts w:cstheme="minorHAnsi"/>
          <w:sz w:val="24"/>
          <w:szCs w:val="24"/>
        </w:rPr>
        <w:t xml:space="preserve">The </w:t>
      </w:r>
      <w:r w:rsidR="00F830D1">
        <w:rPr>
          <w:rFonts w:cstheme="minorHAnsi"/>
          <w:sz w:val="24"/>
          <w:szCs w:val="24"/>
        </w:rPr>
        <w:t xml:space="preserve">price disclosure price reduction provisions which applied </w:t>
      </w:r>
      <w:r w:rsidR="00C46616">
        <w:rPr>
          <w:rFonts w:cstheme="minorHAnsi"/>
          <w:sz w:val="24"/>
          <w:szCs w:val="24"/>
        </w:rPr>
        <w:t xml:space="preserve">prior to 1 July 2022 also utilised the term ‘previous data collection period’ with respect to </w:t>
      </w:r>
      <w:r w:rsidR="00CA090D">
        <w:rPr>
          <w:rFonts w:cstheme="minorHAnsi"/>
          <w:sz w:val="24"/>
          <w:szCs w:val="24"/>
        </w:rPr>
        <w:t xml:space="preserve">those brands which were subject to </w:t>
      </w:r>
      <w:r w:rsidR="00427FD5">
        <w:rPr>
          <w:rFonts w:cstheme="minorHAnsi"/>
          <w:sz w:val="24"/>
          <w:szCs w:val="24"/>
        </w:rPr>
        <w:t>a</w:t>
      </w:r>
      <w:r w:rsidR="00CA090D">
        <w:rPr>
          <w:rFonts w:cstheme="minorHAnsi"/>
          <w:sz w:val="24"/>
          <w:szCs w:val="24"/>
        </w:rPr>
        <w:t xml:space="preserve"> more protective price reduction threshold</w:t>
      </w:r>
      <w:r w:rsidR="00446560">
        <w:rPr>
          <w:rFonts w:cstheme="minorHAnsi"/>
          <w:sz w:val="24"/>
          <w:szCs w:val="24"/>
        </w:rPr>
        <w:t xml:space="preserve"> (</w:t>
      </w:r>
      <w:r w:rsidR="002E7BE3">
        <w:rPr>
          <w:rFonts w:cstheme="minorHAnsi"/>
          <w:sz w:val="24"/>
          <w:szCs w:val="24"/>
        </w:rPr>
        <w:t xml:space="preserve">the previous </w:t>
      </w:r>
      <w:r w:rsidR="00446560">
        <w:rPr>
          <w:rFonts w:cstheme="minorHAnsi"/>
          <w:sz w:val="24"/>
          <w:szCs w:val="24"/>
        </w:rPr>
        <w:t>30% threshold</w:t>
      </w:r>
      <w:r w:rsidR="002E7BE3">
        <w:rPr>
          <w:rFonts w:cstheme="minorHAnsi"/>
          <w:sz w:val="24"/>
          <w:szCs w:val="24"/>
        </w:rPr>
        <w:t xml:space="preserve"> test</w:t>
      </w:r>
      <w:r w:rsidR="00446560">
        <w:rPr>
          <w:rFonts w:cstheme="minorHAnsi"/>
          <w:sz w:val="24"/>
          <w:szCs w:val="24"/>
        </w:rPr>
        <w:t>)</w:t>
      </w:r>
      <w:r w:rsidR="00D730B4">
        <w:rPr>
          <w:rFonts w:cstheme="minorHAnsi"/>
          <w:sz w:val="24"/>
          <w:szCs w:val="24"/>
        </w:rPr>
        <w:t xml:space="preserve">. </w:t>
      </w:r>
      <w:r w:rsidR="00A175D2">
        <w:rPr>
          <w:rFonts w:cstheme="minorHAnsi"/>
          <w:sz w:val="24"/>
          <w:szCs w:val="24"/>
        </w:rPr>
        <w:t xml:space="preserve">The definition included in the </w:t>
      </w:r>
      <w:r w:rsidR="001E51C4">
        <w:rPr>
          <w:rFonts w:cstheme="minorHAnsi"/>
          <w:sz w:val="24"/>
          <w:szCs w:val="24"/>
        </w:rPr>
        <w:t xml:space="preserve">2024 </w:t>
      </w:r>
      <w:r w:rsidR="00A175D2">
        <w:rPr>
          <w:rFonts w:cstheme="minorHAnsi"/>
          <w:sz w:val="24"/>
          <w:szCs w:val="24"/>
        </w:rPr>
        <w:t xml:space="preserve">Amendment Act is consistent with how the previous </w:t>
      </w:r>
      <w:r w:rsidR="00F23A14">
        <w:rPr>
          <w:rFonts w:cstheme="minorHAnsi"/>
          <w:sz w:val="24"/>
          <w:szCs w:val="24"/>
        </w:rPr>
        <w:t>data collection period</w:t>
      </w:r>
      <w:r w:rsidR="00A175D2">
        <w:rPr>
          <w:rFonts w:cstheme="minorHAnsi"/>
          <w:sz w:val="24"/>
          <w:szCs w:val="24"/>
        </w:rPr>
        <w:t xml:space="preserve"> operated </w:t>
      </w:r>
      <w:r w:rsidR="00F23A14">
        <w:rPr>
          <w:rFonts w:cstheme="minorHAnsi"/>
          <w:sz w:val="24"/>
          <w:szCs w:val="24"/>
        </w:rPr>
        <w:t>under the previous 30% threshold test.</w:t>
      </w:r>
    </w:p>
    <w:p w14:paraId="5053C26E" w14:textId="3A2C4940" w:rsidR="00056276" w:rsidRDefault="00000000" w:rsidP="00DD0336">
      <w:pPr>
        <w:jc w:val="both"/>
        <w:rPr>
          <w:rFonts w:cstheme="minorHAnsi"/>
          <w:sz w:val="24"/>
          <w:szCs w:val="24"/>
        </w:rPr>
      </w:pPr>
      <w:hyperlink w:anchor="_Figure_3_–" w:history="1">
        <w:bookmarkStart w:id="3" w:name="AppendixFigure3"/>
        <w:r w:rsidR="00431186">
          <w:rPr>
            <w:rStyle w:val="Hyperlink"/>
            <w:rFonts w:cstheme="minorHAnsi"/>
            <w:b/>
            <w:bCs/>
            <w:sz w:val="24"/>
            <w:szCs w:val="24"/>
          </w:rPr>
          <w:t>Appendix, Figure 3</w:t>
        </w:r>
        <w:bookmarkEnd w:id="3"/>
      </w:hyperlink>
      <w:r w:rsidR="00056276">
        <w:rPr>
          <w:rFonts w:cstheme="minorHAnsi"/>
          <w:sz w:val="24"/>
          <w:szCs w:val="24"/>
        </w:rPr>
        <w:t xml:space="preserve"> </w:t>
      </w:r>
      <w:r w:rsidR="000A5941">
        <w:rPr>
          <w:rFonts w:cstheme="minorHAnsi"/>
          <w:sz w:val="24"/>
          <w:szCs w:val="24"/>
        </w:rPr>
        <w:t xml:space="preserve">outlines the application of s99ADHC(1)(a) of the Act </w:t>
      </w:r>
      <w:r w:rsidR="00B67737">
        <w:rPr>
          <w:rFonts w:cstheme="minorHAnsi"/>
          <w:sz w:val="24"/>
          <w:szCs w:val="24"/>
        </w:rPr>
        <w:t xml:space="preserve">for </w:t>
      </w:r>
      <w:r w:rsidR="00F16B09">
        <w:rPr>
          <w:rFonts w:cstheme="minorHAnsi"/>
          <w:sz w:val="24"/>
          <w:szCs w:val="24"/>
        </w:rPr>
        <w:t xml:space="preserve">two groups of related brands </w:t>
      </w:r>
      <w:r w:rsidR="00B67737">
        <w:rPr>
          <w:rFonts w:cstheme="minorHAnsi"/>
          <w:sz w:val="24"/>
          <w:szCs w:val="24"/>
        </w:rPr>
        <w:t xml:space="preserve">with </w:t>
      </w:r>
      <w:r w:rsidR="00F16B09">
        <w:rPr>
          <w:rFonts w:cstheme="minorHAnsi"/>
          <w:sz w:val="24"/>
          <w:szCs w:val="24"/>
        </w:rPr>
        <w:t xml:space="preserve">a drug </w:t>
      </w:r>
      <w:r w:rsidR="00B67737">
        <w:rPr>
          <w:rFonts w:cstheme="minorHAnsi"/>
          <w:sz w:val="24"/>
          <w:szCs w:val="24"/>
        </w:rPr>
        <w:t>(Asclepius) which is common to both groups but with different manners of administration</w:t>
      </w:r>
      <w:r w:rsidR="00EF097F">
        <w:rPr>
          <w:rFonts w:cstheme="minorHAnsi"/>
          <w:sz w:val="24"/>
          <w:szCs w:val="24"/>
        </w:rPr>
        <w:t xml:space="preserve"> (Oral and Injection)</w:t>
      </w:r>
      <w:r w:rsidR="00B67737">
        <w:rPr>
          <w:rFonts w:cstheme="minorHAnsi"/>
          <w:sz w:val="24"/>
          <w:szCs w:val="24"/>
        </w:rPr>
        <w:t xml:space="preserve">. </w:t>
      </w:r>
      <w:r w:rsidR="00CB1643">
        <w:rPr>
          <w:rFonts w:cstheme="minorHAnsi"/>
          <w:sz w:val="24"/>
          <w:szCs w:val="24"/>
        </w:rPr>
        <w:t>The diagram indicates the trigger events which start</w:t>
      </w:r>
      <w:r w:rsidR="003A0B6E">
        <w:rPr>
          <w:rFonts w:cstheme="minorHAnsi"/>
          <w:sz w:val="24"/>
          <w:szCs w:val="24"/>
        </w:rPr>
        <w:t xml:space="preserve"> time running against both parts of the 42-month clock in s99ADHC(1)(a)(i) and (6) of the Act, and against the </w:t>
      </w:r>
      <w:r w:rsidR="00236571">
        <w:rPr>
          <w:rFonts w:cstheme="minorHAnsi"/>
          <w:sz w:val="24"/>
          <w:szCs w:val="24"/>
        </w:rPr>
        <w:br/>
      </w:r>
      <w:r w:rsidR="003A0B6E">
        <w:rPr>
          <w:rFonts w:cstheme="minorHAnsi"/>
          <w:sz w:val="24"/>
          <w:szCs w:val="24"/>
        </w:rPr>
        <w:t xml:space="preserve">30-month clock in s99ADHC(1)(a)(ii) of the Act. The diagram indicates the </w:t>
      </w:r>
      <w:r w:rsidR="00884B8B">
        <w:rPr>
          <w:rFonts w:cstheme="minorHAnsi"/>
          <w:sz w:val="24"/>
          <w:szCs w:val="24"/>
        </w:rPr>
        <w:t xml:space="preserve">interval after which </w:t>
      </w:r>
      <w:r w:rsidR="003A0B6E">
        <w:rPr>
          <w:rFonts w:cstheme="minorHAnsi"/>
          <w:sz w:val="24"/>
          <w:szCs w:val="24"/>
        </w:rPr>
        <w:t>the relevant period of time has elapsed against each clock for each drug and manner of administration</w:t>
      </w:r>
      <w:r w:rsidR="00EF097F">
        <w:rPr>
          <w:rFonts w:cstheme="minorHAnsi"/>
          <w:sz w:val="24"/>
          <w:szCs w:val="24"/>
        </w:rPr>
        <w:t xml:space="preserve"> </w:t>
      </w:r>
      <w:r w:rsidR="006D7D90">
        <w:rPr>
          <w:rFonts w:cstheme="minorHAnsi"/>
          <w:sz w:val="24"/>
          <w:szCs w:val="24"/>
        </w:rPr>
        <w:t>(</w:t>
      </w:r>
      <w:r w:rsidR="006D7D90" w:rsidRPr="006D7D90">
        <w:rPr>
          <w:rFonts w:cstheme="minorHAnsi"/>
          <w:b/>
          <w:bCs/>
          <w:sz w:val="24"/>
          <w:szCs w:val="24"/>
        </w:rPr>
        <w:t>MoA</w:t>
      </w:r>
      <w:r w:rsidR="006D7D90">
        <w:rPr>
          <w:rFonts w:cstheme="minorHAnsi"/>
          <w:sz w:val="24"/>
          <w:szCs w:val="24"/>
        </w:rPr>
        <w:t xml:space="preserve">) </w:t>
      </w:r>
      <w:r w:rsidR="00EF097F">
        <w:rPr>
          <w:rFonts w:cstheme="minorHAnsi"/>
          <w:sz w:val="24"/>
          <w:szCs w:val="24"/>
        </w:rPr>
        <w:t>(Asclepius/Oral and Asclepius/Injection)</w:t>
      </w:r>
      <w:r w:rsidR="00587A95">
        <w:rPr>
          <w:rFonts w:cstheme="minorHAnsi"/>
          <w:sz w:val="24"/>
          <w:szCs w:val="24"/>
        </w:rPr>
        <w:t>, as well as the timing for when brands in each group of related brands will become designated brands once s99ADHC(1)(a) is satisfied.</w:t>
      </w:r>
    </w:p>
    <w:tbl>
      <w:tblPr>
        <w:tblStyle w:val="TableGrid"/>
        <w:tblW w:w="0" w:type="auto"/>
        <w:tblLook w:val="04A0" w:firstRow="1" w:lastRow="0" w:firstColumn="1" w:lastColumn="0" w:noHBand="0" w:noVBand="1"/>
      </w:tblPr>
      <w:tblGrid>
        <w:gridCol w:w="4248"/>
        <w:gridCol w:w="2835"/>
        <w:gridCol w:w="2653"/>
      </w:tblGrid>
      <w:tr w:rsidR="009C5883" w14:paraId="3EB9E8C3" w14:textId="77777777" w:rsidTr="002B607E">
        <w:tc>
          <w:tcPr>
            <w:tcW w:w="9736" w:type="dxa"/>
            <w:gridSpan w:val="3"/>
            <w:shd w:val="clear" w:color="auto" w:fill="B3DEF2"/>
          </w:tcPr>
          <w:p w14:paraId="5356A9B8" w14:textId="7E438EC5" w:rsidR="009C5883" w:rsidRPr="002B607E" w:rsidRDefault="00E83B2E" w:rsidP="002B607E">
            <w:pPr>
              <w:spacing w:before="120" w:after="120"/>
              <w:jc w:val="both"/>
            </w:pPr>
            <w:r>
              <w:rPr>
                <w:bCs/>
                <w:iCs/>
                <w:sz w:val="24"/>
                <w:szCs w:val="24"/>
              </w:rPr>
              <w:t>For example, s</w:t>
            </w:r>
            <w:r w:rsidRPr="006953F1">
              <w:rPr>
                <w:bCs/>
                <w:iCs/>
                <w:sz w:val="24"/>
                <w:szCs w:val="24"/>
              </w:rPr>
              <w:t xml:space="preserve">tarting from a notional date of 1 April 2022 for the drug Asclepius to move to F2, the table below </w:t>
            </w:r>
            <w:r>
              <w:rPr>
                <w:bCs/>
                <w:iCs/>
                <w:sz w:val="24"/>
                <w:szCs w:val="24"/>
              </w:rPr>
              <w:t xml:space="preserve">provides </w:t>
            </w:r>
            <w:r w:rsidRPr="006953F1">
              <w:rPr>
                <w:bCs/>
                <w:iCs/>
                <w:sz w:val="24"/>
                <w:szCs w:val="24"/>
              </w:rPr>
              <w:t xml:space="preserve">dates </w:t>
            </w:r>
            <w:r>
              <w:rPr>
                <w:bCs/>
                <w:iCs/>
                <w:sz w:val="24"/>
                <w:szCs w:val="24"/>
              </w:rPr>
              <w:t xml:space="preserve">for </w:t>
            </w:r>
            <w:r w:rsidRPr="006953F1">
              <w:rPr>
                <w:bCs/>
                <w:iCs/>
                <w:sz w:val="24"/>
                <w:szCs w:val="24"/>
              </w:rPr>
              <w:t>each trigger event in Figure 3, and the date from which brands with each drug/MoA would become designated brands.</w:t>
            </w:r>
          </w:p>
        </w:tc>
      </w:tr>
      <w:tr w:rsidR="004246E4" w14:paraId="12E6D183" w14:textId="77777777" w:rsidTr="002B607E">
        <w:tc>
          <w:tcPr>
            <w:tcW w:w="4248" w:type="dxa"/>
            <w:shd w:val="clear" w:color="auto" w:fill="B3DEF2"/>
          </w:tcPr>
          <w:p w14:paraId="62A8DECB" w14:textId="60D4BC0D" w:rsidR="004246E4" w:rsidRPr="00060F9A" w:rsidRDefault="004246E4" w:rsidP="00681576">
            <w:pPr>
              <w:jc w:val="center"/>
            </w:pPr>
            <w:r w:rsidRPr="00756146">
              <w:rPr>
                <w:b/>
                <w:bCs/>
                <w:i/>
                <w:iCs/>
              </w:rPr>
              <w:t>Trigger event/criteria satisfied</w:t>
            </w:r>
          </w:p>
        </w:tc>
        <w:tc>
          <w:tcPr>
            <w:tcW w:w="2835" w:type="dxa"/>
            <w:shd w:val="clear" w:color="auto" w:fill="B3DEF2"/>
          </w:tcPr>
          <w:p w14:paraId="03780B35" w14:textId="5C3F1F9B" w:rsidR="004246E4" w:rsidRPr="00060F9A" w:rsidRDefault="004246E4" w:rsidP="00681576">
            <w:pPr>
              <w:jc w:val="center"/>
            </w:pPr>
            <w:r w:rsidRPr="00756146">
              <w:rPr>
                <w:b/>
                <w:bCs/>
                <w:i/>
                <w:iCs/>
              </w:rPr>
              <w:t>Date (for the drug/MoA Asclepius/Oral)</w:t>
            </w:r>
          </w:p>
        </w:tc>
        <w:tc>
          <w:tcPr>
            <w:tcW w:w="2653" w:type="dxa"/>
            <w:shd w:val="clear" w:color="auto" w:fill="B3DEF2"/>
          </w:tcPr>
          <w:p w14:paraId="2F52B497" w14:textId="7CAC51D3" w:rsidR="004246E4" w:rsidRPr="00060F9A" w:rsidRDefault="004246E4" w:rsidP="00681576">
            <w:pPr>
              <w:jc w:val="center"/>
            </w:pPr>
            <w:r w:rsidRPr="00756146">
              <w:rPr>
                <w:b/>
                <w:bCs/>
                <w:i/>
                <w:iCs/>
              </w:rPr>
              <w:t>Date (for the drug/MoA Asclepius/Injection)</w:t>
            </w:r>
          </w:p>
        </w:tc>
      </w:tr>
      <w:tr w:rsidR="004246E4" w14:paraId="4315AB13" w14:textId="77777777" w:rsidTr="002B607E">
        <w:tc>
          <w:tcPr>
            <w:tcW w:w="4248" w:type="dxa"/>
            <w:shd w:val="clear" w:color="auto" w:fill="B3DEF2"/>
          </w:tcPr>
          <w:p w14:paraId="3C003B19" w14:textId="79CC07A8" w:rsidR="004246E4" w:rsidRPr="00060F9A" w:rsidRDefault="004246E4" w:rsidP="004246E4">
            <w:pPr>
              <w:jc w:val="both"/>
            </w:pPr>
            <w:r>
              <w:t>F2 movement</w:t>
            </w:r>
          </w:p>
        </w:tc>
        <w:tc>
          <w:tcPr>
            <w:tcW w:w="2835" w:type="dxa"/>
            <w:shd w:val="clear" w:color="auto" w:fill="B3DEF2"/>
          </w:tcPr>
          <w:p w14:paraId="6FE803DF" w14:textId="447DFA18" w:rsidR="004246E4" w:rsidRPr="00060F9A" w:rsidRDefault="004246E4" w:rsidP="004246E4">
            <w:pPr>
              <w:jc w:val="both"/>
            </w:pPr>
            <w:r>
              <w:t xml:space="preserve">1 </w:t>
            </w:r>
            <w:r w:rsidR="009C27CC">
              <w:t>April 2022</w:t>
            </w:r>
          </w:p>
        </w:tc>
        <w:tc>
          <w:tcPr>
            <w:tcW w:w="2653" w:type="dxa"/>
            <w:shd w:val="clear" w:color="auto" w:fill="B3DEF2"/>
          </w:tcPr>
          <w:p w14:paraId="32E98164" w14:textId="6DAAC770" w:rsidR="004246E4" w:rsidRPr="00060F9A" w:rsidRDefault="004246E4" w:rsidP="004246E4">
            <w:pPr>
              <w:jc w:val="both"/>
            </w:pPr>
            <w:r>
              <w:t xml:space="preserve">1 </w:t>
            </w:r>
            <w:r w:rsidR="009C27CC">
              <w:t>April 2022</w:t>
            </w:r>
          </w:p>
        </w:tc>
      </w:tr>
      <w:tr w:rsidR="004246E4" w14:paraId="572705F3" w14:textId="77777777" w:rsidTr="002B607E">
        <w:tc>
          <w:tcPr>
            <w:tcW w:w="4248" w:type="dxa"/>
            <w:shd w:val="clear" w:color="auto" w:fill="B3DEF2"/>
          </w:tcPr>
          <w:p w14:paraId="3150D843" w14:textId="5F854D48" w:rsidR="004246E4" w:rsidRPr="00060F9A" w:rsidRDefault="004246E4" w:rsidP="004246E4">
            <w:pPr>
              <w:jc w:val="both"/>
            </w:pPr>
            <w:r>
              <w:t>First date on which multi-branded</w:t>
            </w:r>
          </w:p>
        </w:tc>
        <w:tc>
          <w:tcPr>
            <w:tcW w:w="2835" w:type="dxa"/>
            <w:shd w:val="clear" w:color="auto" w:fill="B3DEF2"/>
          </w:tcPr>
          <w:p w14:paraId="05854C73" w14:textId="58179AF3" w:rsidR="004246E4" w:rsidRPr="00060F9A" w:rsidRDefault="004246E4" w:rsidP="004246E4">
            <w:pPr>
              <w:jc w:val="both"/>
            </w:pPr>
            <w:r>
              <w:t xml:space="preserve">1 </w:t>
            </w:r>
            <w:r w:rsidR="004A2773">
              <w:t>April 2022</w:t>
            </w:r>
          </w:p>
        </w:tc>
        <w:tc>
          <w:tcPr>
            <w:tcW w:w="2653" w:type="dxa"/>
            <w:shd w:val="clear" w:color="auto" w:fill="B3DEF2"/>
          </w:tcPr>
          <w:p w14:paraId="65D27D8A" w14:textId="774DC411" w:rsidR="004246E4" w:rsidRPr="00060F9A" w:rsidRDefault="00761E58" w:rsidP="004246E4">
            <w:pPr>
              <w:jc w:val="both"/>
            </w:pPr>
            <w:r w:rsidRPr="00060F9A">
              <w:t>1 October 2023</w:t>
            </w:r>
          </w:p>
        </w:tc>
      </w:tr>
      <w:tr w:rsidR="004246E4" w14:paraId="259EC84E" w14:textId="77777777" w:rsidTr="002B607E">
        <w:tc>
          <w:tcPr>
            <w:tcW w:w="4248" w:type="dxa"/>
            <w:shd w:val="clear" w:color="auto" w:fill="B3DEF2"/>
          </w:tcPr>
          <w:p w14:paraId="0F1C2DEC" w14:textId="55604790" w:rsidR="004246E4" w:rsidRPr="00060F9A" w:rsidRDefault="004246E4" w:rsidP="004246E4">
            <w:pPr>
              <w:jc w:val="both"/>
            </w:pPr>
            <w:r>
              <w:t>First PD price reduction</w:t>
            </w:r>
          </w:p>
        </w:tc>
        <w:tc>
          <w:tcPr>
            <w:tcW w:w="2835" w:type="dxa"/>
            <w:shd w:val="clear" w:color="auto" w:fill="B3DEF2"/>
          </w:tcPr>
          <w:p w14:paraId="471A66C3" w14:textId="7FDD1506" w:rsidR="004246E4" w:rsidRPr="00060F9A" w:rsidRDefault="004A2773" w:rsidP="004246E4">
            <w:pPr>
              <w:jc w:val="both"/>
            </w:pPr>
            <w:r>
              <w:t>1 April 2023</w:t>
            </w:r>
          </w:p>
        </w:tc>
        <w:tc>
          <w:tcPr>
            <w:tcW w:w="2653" w:type="dxa"/>
            <w:shd w:val="clear" w:color="auto" w:fill="B3DEF2"/>
          </w:tcPr>
          <w:p w14:paraId="5AE5313D" w14:textId="17BE9FC7" w:rsidR="004246E4" w:rsidRPr="00060F9A" w:rsidRDefault="004E0926" w:rsidP="004246E4">
            <w:pPr>
              <w:jc w:val="both"/>
            </w:pPr>
            <w:r w:rsidRPr="00060F9A">
              <w:t>1 April 2025</w:t>
            </w:r>
          </w:p>
        </w:tc>
      </w:tr>
      <w:tr w:rsidR="004246E4" w14:paraId="2C06C06A" w14:textId="77777777" w:rsidTr="002B607E">
        <w:tc>
          <w:tcPr>
            <w:tcW w:w="4248" w:type="dxa"/>
            <w:shd w:val="clear" w:color="auto" w:fill="B3DEF2"/>
          </w:tcPr>
          <w:p w14:paraId="57771554" w14:textId="27E2EABD" w:rsidR="004246E4" w:rsidRPr="00060F9A" w:rsidRDefault="004246E4" w:rsidP="004246E4">
            <w:pPr>
              <w:jc w:val="both"/>
            </w:pPr>
            <w:r>
              <w:t>42 months since F2 movement satisfied at end of DCP ending</w:t>
            </w:r>
          </w:p>
        </w:tc>
        <w:tc>
          <w:tcPr>
            <w:tcW w:w="2835" w:type="dxa"/>
            <w:shd w:val="clear" w:color="auto" w:fill="B3DEF2"/>
          </w:tcPr>
          <w:p w14:paraId="0E7A0BD0" w14:textId="05530ABA" w:rsidR="004246E4" w:rsidRPr="00060F9A" w:rsidRDefault="002948C6" w:rsidP="004246E4">
            <w:pPr>
              <w:jc w:val="both"/>
            </w:pPr>
            <w:r w:rsidRPr="00060F9A">
              <w:t>30 September 202</w:t>
            </w:r>
            <w:r w:rsidR="004502AE" w:rsidRPr="00060F9A">
              <w:t>5</w:t>
            </w:r>
          </w:p>
        </w:tc>
        <w:tc>
          <w:tcPr>
            <w:tcW w:w="2653" w:type="dxa"/>
            <w:shd w:val="clear" w:color="auto" w:fill="B3DEF2"/>
          </w:tcPr>
          <w:p w14:paraId="7B23EB4C" w14:textId="143F3AB0" w:rsidR="004246E4" w:rsidRPr="00060F9A" w:rsidRDefault="00B211D0" w:rsidP="004246E4">
            <w:pPr>
              <w:jc w:val="both"/>
            </w:pPr>
            <w:r w:rsidRPr="00060F9A">
              <w:t>30 Sept</w:t>
            </w:r>
            <w:r w:rsidR="00631D6A" w:rsidRPr="00060F9A">
              <w:t>ember 20</w:t>
            </w:r>
            <w:r w:rsidR="00BF3AFB" w:rsidRPr="00060F9A">
              <w:t>25</w:t>
            </w:r>
          </w:p>
        </w:tc>
      </w:tr>
      <w:tr w:rsidR="004246E4" w14:paraId="3B6C6EE8" w14:textId="77777777" w:rsidTr="002B607E">
        <w:tc>
          <w:tcPr>
            <w:tcW w:w="4248" w:type="dxa"/>
            <w:shd w:val="clear" w:color="auto" w:fill="B3DEF2"/>
          </w:tcPr>
          <w:p w14:paraId="1A107B73" w14:textId="02CAFEB6" w:rsidR="004246E4" w:rsidRPr="00060F9A" w:rsidRDefault="004246E4" w:rsidP="004246E4">
            <w:pPr>
              <w:jc w:val="both"/>
            </w:pPr>
            <w:r>
              <w:t>Multi-branded on a day at least 42 months earlier at end of DCP ending</w:t>
            </w:r>
          </w:p>
        </w:tc>
        <w:tc>
          <w:tcPr>
            <w:tcW w:w="2835" w:type="dxa"/>
            <w:shd w:val="clear" w:color="auto" w:fill="B3DEF2"/>
          </w:tcPr>
          <w:p w14:paraId="055CB58F" w14:textId="6BE59872" w:rsidR="004246E4" w:rsidRPr="00060F9A" w:rsidRDefault="004246E4" w:rsidP="004246E4">
            <w:pPr>
              <w:jc w:val="both"/>
            </w:pPr>
            <w:r>
              <w:t>30 September 202</w:t>
            </w:r>
            <w:r w:rsidR="008E28D2">
              <w:t>5</w:t>
            </w:r>
          </w:p>
        </w:tc>
        <w:tc>
          <w:tcPr>
            <w:tcW w:w="2653" w:type="dxa"/>
            <w:shd w:val="clear" w:color="auto" w:fill="B3DEF2"/>
          </w:tcPr>
          <w:p w14:paraId="50ADED10" w14:textId="0511D9C4" w:rsidR="004246E4" w:rsidRPr="00060F9A" w:rsidRDefault="00B211D0" w:rsidP="004246E4">
            <w:pPr>
              <w:jc w:val="both"/>
            </w:pPr>
            <w:r w:rsidRPr="00060F9A">
              <w:t>31 March 202</w:t>
            </w:r>
            <w:r w:rsidR="00912784" w:rsidRPr="00060F9A">
              <w:t>7</w:t>
            </w:r>
          </w:p>
        </w:tc>
      </w:tr>
      <w:tr w:rsidR="004246E4" w14:paraId="7C6DBCA0" w14:textId="77777777" w:rsidTr="002B607E">
        <w:tc>
          <w:tcPr>
            <w:tcW w:w="4248" w:type="dxa"/>
            <w:shd w:val="clear" w:color="auto" w:fill="B3DEF2"/>
          </w:tcPr>
          <w:p w14:paraId="49E789EE" w14:textId="78F976B7" w:rsidR="004246E4" w:rsidRPr="00060F9A" w:rsidRDefault="004246E4" w:rsidP="004246E4">
            <w:pPr>
              <w:jc w:val="both"/>
            </w:pPr>
            <w:r>
              <w:t>30 months since first PD price reduction at end of DCP ending</w:t>
            </w:r>
          </w:p>
        </w:tc>
        <w:tc>
          <w:tcPr>
            <w:tcW w:w="2835" w:type="dxa"/>
            <w:shd w:val="clear" w:color="auto" w:fill="B3DEF2"/>
          </w:tcPr>
          <w:p w14:paraId="52A34C85" w14:textId="039DAEF8" w:rsidR="004246E4" w:rsidRPr="00060F9A" w:rsidRDefault="004246E4" w:rsidP="004246E4">
            <w:pPr>
              <w:jc w:val="both"/>
            </w:pPr>
            <w:r>
              <w:t>30 September 202</w:t>
            </w:r>
            <w:r w:rsidR="001161EF">
              <w:t>5</w:t>
            </w:r>
          </w:p>
        </w:tc>
        <w:tc>
          <w:tcPr>
            <w:tcW w:w="2653" w:type="dxa"/>
            <w:shd w:val="clear" w:color="auto" w:fill="B3DEF2"/>
          </w:tcPr>
          <w:p w14:paraId="5DBB7B15" w14:textId="09CD5243" w:rsidR="004246E4" w:rsidRPr="00060F9A" w:rsidRDefault="009204A0" w:rsidP="004246E4">
            <w:pPr>
              <w:jc w:val="both"/>
            </w:pPr>
            <w:r w:rsidRPr="00060F9A">
              <w:t>30 September 2027</w:t>
            </w:r>
          </w:p>
        </w:tc>
      </w:tr>
      <w:tr w:rsidR="004246E4" w14:paraId="75177172" w14:textId="77777777" w:rsidTr="002B607E">
        <w:tc>
          <w:tcPr>
            <w:tcW w:w="4248" w:type="dxa"/>
            <w:shd w:val="clear" w:color="auto" w:fill="B3DEF2"/>
          </w:tcPr>
          <w:p w14:paraId="18EA4AD3" w14:textId="27AA3C3E" w:rsidR="004246E4" w:rsidRPr="00060F9A" w:rsidRDefault="004246E4" w:rsidP="004246E4">
            <w:pPr>
              <w:jc w:val="both"/>
            </w:pPr>
            <w:r>
              <w:rPr>
                <w:b/>
                <w:bCs/>
              </w:rPr>
              <w:t xml:space="preserve">Brands with the relevant drug/MoA will </w:t>
            </w:r>
            <w:r w:rsidR="006953F1">
              <w:rPr>
                <w:b/>
                <w:bCs/>
              </w:rPr>
              <w:t xml:space="preserve">each </w:t>
            </w:r>
            <w:r>
              <w:rPr>
                <w:b/>
                <w:bCs/>
              </w:rPr>
              <w:t>be a designated brand effective from</w:t>
            </w:r>
          </w:p>
        </w:tc>
        <w:tc>
          <w:tcPr>
            <w:tcW w:w="2835" w:type="dxa"/>
            <w:shd w:val="clear" w:color="auto" w:fill="B3DEF2"/>
          </w:tcPr>
          <w:p w14:paraId="6F454E80" w14:textId="37FB98C4" w:rsidR="004246E4" w:rsidRPr="00060F9A" w:rsidRDefault="004246E4" w:rsidP="004246E4">
            <w:pPr>
              <w:jc w:val="both"/>
            </w:pPr>
            <w:r>
              <w:rPr>
                <w:b/>
                <w:bCs/>
              </w:rPr>
              <w:t>1 October 202</w:t>
            </w:r>
            <w:r w:rsidR="000A2EBD">
              <w:rPr>
                <w:b/>
                <w:bCs/>
              </w:rPr>
              <w:t>6</w:t>
            </w:r>
          </w:p>
        </w:tc>
        <w:tc>
          <w:tcPr>
            <w:tcW w:w="2653" w:type="dxa"/>
            <w:shd w:val="clear" w:color="auto" w:fill="B3DEF2"/>
          </w:tcPr>
          <w:p w14:paraId="50E17A23" w14:textId="3AF00E55" w:rsidR="004246E4" w:rsidRPr="00060F9A" w:rsidRDefault="00B61A7C" w:rsidP="004246E4">
            <w:pPr>
              <w:jc w:val="both"/>
              <w:rPr>
                <w:b/>
              </w:rPr>
            </w:pPr>
            <w:r w:rsidRPr="00060F9A">
              <w:rPr>
                <w:b/>
              </w:rPr>
              <w:t>1 October 2028</w:t>
            </w:r>
          </w:p>
        </w:tc>
      </w:tr>
    </w:tbl>
    <w:p w14:paraId="61673BAE" w14:textId="77777777" w:rsidR="004246E4" w:rsidRDefault="004246E4" w:rsidP="00AA46F4">
      <w:pPr>
        <w:jc w:val="both"/>
        <w:rPr>
          <w:bCs/>
          <w:iCs/>
          <w:sz w:val="24"/>
          <w:szCs w:val="24"/>
        </w:rPr>
      </w:pPr>
    </w:p>
    <w:p w14:paraId="3213FD17" w14:textId="77777777" w:rsidR="0099172B" w:rsidRDefault="0099172B" w:rsidP="00DD0336">
      <w:pPr>
        <w:jc w:val="both"/>
        <w:rPr>
          <w:bCs/>
          <w:iCs/>
          <w:sz w:val="24"/>
          <w:szCs w:val="24"/>
        </w:rPr>
      </w:pPr>
    </w:p>
    <w:p w14:paraId="42BED3BF" w14:textId="77777777" w:rsidR="008445A7" w:rsidRDefault="008445A7" w:rsidP="002165AD">
      <w:pPr>
        <w:rPr>
          <w:sz w:val="28"/>
          <w:szCs w:val="28"/>
        </w:rPr>
        <w:sectPr w:rsidR="008445A7" w:rsidSect="00A92A50">
          <w:footerReference w:type="even" r:id="rId17"/>
          <w:footerReference w:type="default" r:id="rId18"/>
          <w:headerReference w:type="first" r:id="rId19"/>
          <w:footerReference w:type="first" r:id="rId20"/>
          <w:pgSz w:w="11906" w:h="16838"/>
          <w:pgMar w:top="1346" w:right="1080" w:bottom="1276" w:left="1080" w:header="708" w:footer="708" w:gutter="0"/>
          <w:cols w:space="708"/>
          <w:titlePg/>
          <w:docGrid w:linePitch="360"/>
        </w:sectPr>
      </w:pPr>
    </w:p>
    <w:p w14:paraId="6265ACE1" w14:textId="1D5CA002" w:rsidR="00D73DCD" w:rsidRPr="00561FB0" w:rsidRDefault="00561FB0" w:rsidP="00561FB0">
      <w:pPr>
        <w:pStyle w:val="Heading2"/>
        <w:jc w:val="center"/>
        <w:rPr>
          <w:sz w:val="32"/>
          <w:szCs w:val="32"/>
          <w:u w:val="single"/>
        </w:rPr>
      </w:pPr>
      <w:r w:rsidRPr="00561FB0">
        <w:rPr>
          <w:sz w:val="32"/>
          <w:szCs w:val="32"/>
          <w:u w:val="single"/>
        </w:rPr>
        <w:lastRenderedPageBreak/>
        <w:t>Appendix</w:t>
      </w:r>
    </w:p>
    <w:p w14:paraId="3FDEA7F1" w14:textId="753C8D4F" w:rsidR="00590008" w:rsidRDefault="008445A7" w:rsidP="00590008">
      <w:pPr>
        <w:pStyle w:val="Heading2"/>
      </w:pPr>
      <w:r>
        <w:t>Figure 1</w:t>
      </w:r>
      <w:r w:rsidR="001E4694">
        <w:t xml:space="preserve"> – </w:t>
      </w:r>
      <w:r>
        <w:t>Application of 12.5% average test</w:t>
      </w:r>
      <w:r w:rsidR="00384C94">
        <w:t xml:space="preserve"> under different scenarios</w:t>
      </w:r>
    </w:p>
    <w:p w14:paraId="1AAFE7DE" w14:textId="056DDC0C" w:rsidR="00CE4261" w:rsidRDefault="000208FA" w:rsidP="00761D5C">
      <w:pPr>
        <w:jc w:val="both"/>
        <w:rPr>
          <w:rFonts w:cstheme="minorHAnsi"/>
          <w:sz w:val="24"/>
          <w:szCs w:val="24"/>
        </w:rPr>
      </w:pPr>
      <w:r>
        <w:rPr>
          <w:rFonts w:cstheme="minorHAnsi"/>
          <w:sz w:val="24"/>
          <w:szCs w:val="24"/>
        </w:rPr>
        <w:t>T</w:t>
      </w:r>
      <w:r w:rsidRPr="000208FA">
        <w:rPr>
          <w:rFonts w:cstheme="minorHAnsi"/>
          <w:sz w:val="24"/>
          <w:szCs w:val="24"/>
        </w:rPr>
        <w:t xml:space="preserve">he diagrams on the following pages illustrate </w:t>
      </w:r>
      <w:r>
        <w:rPr>
          <w:rFonts w:cstheme="minorHAnsi"/>
          <w:sz w:val="24"/>
          <w:szCs w:val="24"/>
        </w:rPr>
        <w:t xml:space="preserve">the application of the price reduction thresholds in s99ADH of the Act for </w:t>
      </w:r>
      <w:r w:rsidR="00965048">
        <w:rPr>
          <w:rFonts w:cstheme="minorHAnsi"/>
          <w:sz w:val="24"/>
          <w:szCs w:val="24"/>
        </w:rPr>
        <w:t>a number of sequential reduction days</w:t>
      </w:r>
      <w:r w:rsidR="00FA3BF0">
        <w:rPr>
          <w:rFonts w:cstheme="minorHAnsi"/>
          <w:sz w:val="24"/>
          <w:szCs w:val="24"/>
        </w:rPr>
        <w:t xml:space="preserve"> 6 months apart</w:t>
      </w:r>
      <w:r w:rsidR="00A3789B">
        <w:rPr>
          <w:rFonts w:cstheme="minorHAnsi"/>
          <w:sz w:val="24"/>
          <w:szCs w:val="24"/>
        </w:rPr>
        <w:t xml:space="preserve">. Where the 30% threshold is met </w:t>
      </w:r>
      <w:r w:rsidR="00EC670B">
        <w:rPr>
          <w:rFonts w:cstheme="minorHAnsi"/>
          <w:sz w:val="24"/>
          <w:szCs w:val="24"/>
        </w:rPr>
        <w:t>in relation to a data collection period (</w:t>
      </w:r>
      <w:r w:rsidR="00EC670B" w:rsidRPr="00761D5C">
        <w:rPr>
          <w:rFonts w:cstheme="minorHAnsi"/>
          <w:b/>
          <w:bCs/>
          <w:sz w:val="24"/>
          <w:szCs w:val="24"/>
        </w:rPr>
        <w:t>DCP</w:t>
      </w:r>
      <w:r w:rsidR="00EC670B">
        <w:rPr>
          <w:rFonts w:cstheme="minorHAnsi"/>
          <w:sz w:val="24"/>
          <w:szCs w:val="24"/>
        </w:rPr>
        <w:t xml:space="preserve">) </w:t>
      </w:r>
      <w:r w:rsidR="0062522B">
        <w:rPr>
          <w:rFonts w:cstheme="minorHAnsi"/>
          <w:sz w:val="24"/>
          <w:szCs w:val="24"/>
        </w:rPr>
        <w:t>for a reduction to occur</w:t>
      </w:r>
      <w:r w:rsidR="003D2069">
        <w:rPr>
          <w:rFonts w:cstheme="minorHAnsi"/>
          <w:sz w:val="24"/>
          <w:szCs w:val="24"/>
        </w:rPr>
        <w:t xml:space="preserve"> on a particular reduction day</w:t>
      </w:r>
      <w:r w:rsidR="0062522B">
        <w:rPr>
          <w:rFonts w:cstheme="minorHAnsi"/>
          <w:sz w:val="24"/>
          <w:szCs w:val="24"/>
        </w:rPr>
        <w:t xml:space="preserve">, </w:t>
      </w:r>
      <w:r w:rsidR="005D147A">
        <w:rPr>
          <w:rFonts w:cstheme="minorHAnsi"/>
          <w:sz w:val="24"/>
          <w:szCs w:val="24"/>
        </w:rPr>
        <w:t xml:space="preserve">it is not necessary to consider/apply </w:t>
      </w:r>
      <w:r w:rsidR="0062522B">
        <w:rPr>
          <w:rFonts w:cstheme="minorHAnsi"/>
          <w:sz w:val="24"/>
          <w:szCs w:val="24"/>
        </w:rPr>
        <w:t xml:space="preserve">the 12.5% average test </w:t>
      </w:r>
      <w:r w:rsidR="003D2069">
        <w:rPr>
          <w:rFonts w:cstheme="minorHAnsi"/>
          <w:sz w:val="24"/>
          <w:szCs w:val="24"/>
        </w:rPr>
        <w:t xml:space="preserve">for that reduction day. If the 30% threshold is not met, the second scenario under each reduction day below illustrates whether </w:t>
      </w:r>
      <w:r w:rsidR="006A7301">
        <w:rPr>
          <w:rFonts w:cstheme="minorHAnsi"/>
          <w:sz w:val="24"/>
          <w:szCs w:val="24"/>
        </w:rPr>
        <w:t xml:space="preserve">it is possible for the 12.5% average test to be passed </w:t>
      </w:r>
      <w:r w:rsidR="00F07C15">
        <w:rPr>
          <w:rFonts w:cstheme="minorHAnsi"/>
          <w:sz w:val="24"/>
          <w:szCs w:val="24"/>
        </w:rPr>
        <w:t>or not</w:t>
      </w:r>
      <w:r w:rsidR="00761D5C">
        <w:rPr>
          <w:rFonts w:cstheme="minorHAnsi"/>
          <w:sz w:val="24"/>
          <w:szCs w:val="24"/>
        </w:rPr>
        <w:t xml:space="preserve">. </w:t>
      </w:r>
      <w:r w:rsidR="00310D93">
        <w:rPr>
          <w:rFonts w:cstheme="minorHAnsi"/>
          <w:sz w:val="24"/>
          <w:szCs w:val="24"/>
        </w:rPr>
        <w:t xml:space="preserve">If </w:t>
      </w:r>
      <w:r w:rsidR="00156D94">
        <w:rPr>
          <w:rFonts w:cstheme="minorHAnsi"/>
          <w:sz w:val="24"/>
          <w:szCs w:val="24"/>
        </w:rPr>
        <w:t xml:space="preserve">the data from one of the three </w:t>
      </w:r>
      <w:r w:rsidR="00736D45">
        <w:rPr>
          <w:rFonts w:cstheme="minorHAnsi"/>
          <w:sz w:val="24"/>
          <w:szCs w:val="24"/>
        </w:rPr>
        <w:t xml:space="preserve">DCPs </w:t>
      </w:r>
      <w:r w:rsidR="001F2F08">
        <w:rPr>
          <w:rFonts w:cstheme="minorHAnsi"/>
          <w:sz w:val="24"/>
          <w:szCs w:val="24"/>
        </w:rPr>
        <w:t xml:space="preserve">examined by the </w:t>
      </w:r>
      <w:r w:rsidR="00156D94">
        <w:rPr>
          <w:rFonts w:cstheme="minorHAnsi"/>
          <w:sz w:val="24"/>
          <w:szCs w:val="24"/>
        </w:rPr>
        <w:t xml:space="preserve">12.5% average test </w:t>
      </w:r>
      <w:r w:rsidR="001F2F08">
        <w:rPr>
          <w:rFonts w:cstheme="minorHAnsi"/>
          <w:sz w:val="24"/>
          <w:szCs w:val="24"/>
        </w:rPr>
        <w:t>has resulted in a PD reduction</w:t>
      </w:r>
      <w:r w:rsidR="00310D93">
        <w:rPr>
          <w:rFonts w:cstheme="minorHAnsi"/>
          <w:sz w:val="24"/>
          <w:szCs w:val="24"/>
        </w:rPr>
        <w:t>, the 12.5% average test cannot be passed</w:t>
      </w:r>
      <w:r w:rsidR="001F2F08">
        <w:rPr>
          <w:rFonts w:cstheme="minorHAnsi"/>
          <w:sz w:val="24"/>
          <w:szCs w:val="24"/>
        </w:rPr>
        <w:t>.</w:t>
      </w:r>
    </w:p>
    <w:p w14:paraId="498A68F7" w14:textId="23404ABC" w:rsidR="00CE4261" w:rsidRDefault="0007441A" w:rsidP="0007441A">
      <w:pPr>
        <w:jc w:val="center"/>
        <w:rPr>
          <w:rFonts w:cstheme="minorHAnsi"/>
          <w:sz w:val="24"/>
          <w:szCs w:val="24"/>
        </w:rPr>
      </w:pPr>
      <w:r>
        <w:rPr>
          <w:noProof/>
        </w:rPr>
        <w:drawing>
          <wp:inline distT="0" distB="0" distL="0" distR="0" wp14:anchorId="747FE151" wp14:editId="07C1EFFC">
            <wp:extent cx="4524378" cy="1666875"/>
            <wp:effectExtent l="0" t="0" r="9525" b="0"/>
            <wp:docPr id="895762819" name="Picture 1" descr="Key indicating the colour-coding of the diagrams on subsequent p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762819" name="Picture 1" descr="Key indicating the colour-coding of the diagrams on subsequent pages."/>
                    <pic:cNvPicPr/>
                  </pic:nvPicPr>
                  <pic:blipFill>
                    <a:blip r:embed="rId21">
                      <a:extLst>
                        <a:ext uri="{28A0092B-C50C-407E-A947-70E740481C1C}">
                          <a14:useLocalDpi xmlns:a14="http://schemas.microsoft.com/office/drawing/2010/main" val="0"/>
                        </a:ext>
                      </a:extLst>
                    </a:blip>
                    <a:stretch>
                      <a:fillRect/>
                    </a:stretch>
                  </pic:blipFill>
                  <pic:spPr>
                    <a:xfrm>
                      <a:off x="0" y="0"/>
                      <a:ext cx="4562633" cy="1680969"/>
                    </a:xfrm>
                    <a:prstGeom prst="rect">
                      <a:avLst/>
                    </a:prstGeom>
                  </pic:spPr>
                </pic:pic>
              </a:graphicData>
            </a:graphic>
          </wp:inline>
        </w:drawing>
      </w:r>
    </w:p>
    <w:p w14:paraId="4DA415FE" w14:textId="59348368" w:rsidR="00CD0695" w:rsidRPr="002F265A" w:rsidRDefault="00000000" w:rsidP="00BF0F1D">
      <w:pPr>
        <w:jc w:val="center"/>
        <w:rPr>
          <w:bCs/>
          <w:iCs/>
          <w:sz w:val="24"/>
          <w:szCs w:val="24"/>
        </w:rPr>
      </w:pPr>
      <w:hyperlink w:anchor="AppendixFigure1" w:history="1">
        <w:r w:rsidR="00CD0695" w:rsidRPr="006A51A5">
          <w:rPr>
            <w:rStyle w:val="Hyperlink"/>
            <w:noProof/>
          </w:rPr>
          <w:t>Click link to return to Fact Sheet</w:t>
        </w:r>
      </w:hyperlink>
    </w:p>
    <w:p w14:paraId="27050B2E" w14:textId="77777777" w:rsidR="00CE4261" w:rsidRDefault="00CE4261">
      <w:pPr>
        <w:rPr>
          <w:noProof/>
        </w:rPr>
      </w:pPr>
      <w:r>
        <w:rPr>
          <w:noProof/>
        </w:rPr>
        <w:br w:type="page"/>
      </w:r>
    </w:p>
    <w:p w14:paraId="473E1FC0" w14:textId="5DCE0A7C" w:rsidR="00E12C28" w:rsidRDefault="0019672D" w:rsidP="00F460DC">
      <w:pPr>
        <w:ind w:left="-993"/>
        <w:jc w:val="center"/>
        <w:rPr>
          <w:b/>
          <w:bCs/>
          <w:noProof/>
        </w:rPr>
      </w:pPr>
      <w:r>
        <w:rPr>
          <w:b/>
          <w:bCs/>
          <w:noProof/>
        </w:rPr>
        <w:lastRenderedPageBreak/>
        <w:drawing>
          <wp:inline distT="0" distB="0" distL="0" distR="0" wp14:anchorId="44751365" wp14:editId="3565AEFD">
            <wp:extent cx="10024711" cy="4742121"/>
            <wp:effectExtent l="0" t="0" r="0" b="1905"/>
            <wp:docPr id="2034075249" name="Picture 1" descr="Diagrams setting out the application of the 12.5% averaging test in s99ADH of the Act to example data collection periods and reduction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075249" name="Picture 1" descr="Diagrams setting out the application of the 12.5% averaging test in s99ADH of the Act to example data collection periods and reduction days."/>
                    <pic:cNvPicPr/>
                  </pic:nvPicPr>
                  <pic:blipFill>
                    <a:blip r:embed="rId22"/>
                    <a:stretch>
                      <a:fillRect/>
                    </a:stretch>
                  </pic:blipFill>
                  <pic:spPr>
                    <a:xfrm>
                      <a:off x="0" y="0"/>
                      <a:ext cx="10032984" cy="4746034"/>
                    </a:xfrm>
                    <a:prstGeom prst="rect">
                      <a:avLst/>
                    </a:prstGeom>
                  </pic:spPr>
                </pic:pic>
              </a:graphicData>
            </a:graphic>
          </wp:inline>
        </w:drawing>
      </w:r>
    </w:p>
    <w:p w14:paraId="45C24B92" w14:textId="2B3920E1" w:rsidR="00D15AB0" w:rsidRDefault="00D15AB0" w:rsidP="004A0E9D">
      <w:pPr>
        <w:ind w:left="-993"/>
        <w:rPr>
          <w:b/>
          <w:bCs/>
        </w:rPr>
      </w:pPr>
    </w:p>
    <w:p w14:paraId="47883E9D" w14:textId="77777777" w:rsidR="00D15AB0" w:rsidRDefault="00D15AB0">
      <w:pPr>
        <w:rPr>
          <w:b/>
          <w:bCs/>
        </w:rPr>
      </w:pPr>
      <w:r>
        <w:rPr>
          <w:b/>
          <w:bCs/>
        </w:rPr>
        <w:br w:type="page"/>
      </w:r>
    </w:p>
    <w:p w14:paraId="594458CD" w14:textId="32A071DC" w:rsidR="00220CD5" w:rsidRDefault="00392A94" w:rsidP="00DA105F">
      <w:pPr>
        <w:ind w:left="-993"/>
        <w:jc w:val="center"/>
        <w:rPr>
          <w:b/>
          <w:bCs/>
        </w:rPr>
      </w:pPr>
      <w:r>
        <w:rPr>
          <w:b/>
          <w:bCs/>
          <w:noProof/>
        </w:rPr>
        <w:lastRenderedPageBreak/>
        <w:drawing>
          <wp:inline distT="0" distB="0" distL="0" distR="0" wp14:anchorId="503CDA1D" wp14:editId="7E4425C0">
            <wp:extent cx="10075399" cy="5061098"/>
            <wp:effectExtent l="0" t="0" r="0" b="0"/>
            <wp:docPr id="248790048" name="Picture 3" descr="Diagrams setting out the application of the 12.5% averaging test in s99ADH of the Act to example data collection periods and reduction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790048" name="Picture 3" descr="Diagrams setting out the application of the 12.5% averaging test in s99ADH of the Act to example data collection periods and reduction days."/>
                    <pic:cNvPicPr/>
                  </pic:nvPicPr>
                  <pic:blipFill rotWithShape="1">
                    <a:blip r:embed="rId23"/>
                    <a:srcRect t="1" r="-766" b="-12693"/>
                    <a:stretch/>
                  </pic:blipFill>
                  <pic:spPr bwMode="auto">
                    <a:xfrm>
                      <a:off x="0" y="0"/>
                      <a:ext cx="10136178" cy="5091629"/>
                    </a:xfrm>
                    <a:prstGeom prst="rect">
                      <a:avLst/>
                    </a:prstGeom>
                    <a:ln>
                      <a:noFill/>
                    </a:ln>
                    <a:extLst>
                      <a:ext uri="{53640926-AAD7-44D8-BBD7-CCE9431645EC}">
                        <a14:shadowObscured xmlns:a14="http://schemas.microsoft.com/office/drawing/2010/main"/>
                      </a:ext>
                    </a:extLst>
                  </pic:spPr>
                </pic:pic>
              </a:graphicData>
            </a:graphic>
          </wp:inline>
        </w:drawing>
      </w:r>
    </w:p>
    <w:p w14:paraId="26D4FE3E" w14:textId="60B66DC4" w:rsidR="00220CD5" w:rsidRDefault="00220CD5" w:rsidP="00CB005E">
      <w:pPr>
        <w:ind w:left="-993"/>
        <w:jc w:val="center"/>
        <w:rPr>
          <w:b/>
          <w:bCs/>
        </w:rPr>
      </w:pPr>
      <w:r>
        <w:rPr>
          <w:b/>
          <w:bCs/>
        </w:rPr>
        <w:br w:type="page"/>
      </w:r>
      <w:r w:rsidR="004F749B">
        <w:rPr>
          <w:b/>
          <w:bCs/>
          <w:noProof/>
        </w:rPr>
        <w:lastRenderedPageBreak/>
        <w:drawing>
          <wp:inline distT="0" distB="0" distL="0" distR="0" wp14:anchorId="519DEA2B" wp14:editId="34BD9912">
            <wp:extent cx="9972675" cy="4826635"/>
            <wp:effectExtent l="0" t="0" r="9525" b="0"/>
            <wp:docPr id="1552782690" name="Picture 4" descr="Diagrams setting out the application of the 12.5% averaging test in s99ADH of the Act to example data collection periods and reduction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782690" name="Picture 4" descr="Diagrams setting out the application of the 12.5% averaging test in s99ADH of the Act to example data collection periods and reduction days."/>
                    <pic:cNvPicPr/>
                  </pic:nvPicPr>
                  <pic:blipFill rotWithShape="1">
                    <a:blip r:embed="rId24"/>
                    <a:srcRect l="286" r="286"/>
                    <a:stretch/>
                  </pic:blipFill>
                  <pic:spPr>
                    <a:xfrm>
                      <a:off x="0" y="0"/>
                      <a:ext cx="10001289" cy="4840484"/>
                    </a:xfrm>
                    <a:prstGeom prst="rect">
                      <a:avLst/>
                    </a:prstGeom>
                  </pic:spPr>
                </pic:pic>
              </a:graphicData>
            </a:graphic>
          </wp:inline>
        </w:drawing>
      </w:r>
    </w:p>
    <w:p w14:paraId="61987559" w14:textId="4FCD7829" w:rsidR="002D09A0" w:rsidRDefault="00B557E0" w:rsidP="00641B4A">
      <w:pPr>
        <w:ind w:left="-993"/>
        <w:jc w:val="center"/>
        <w:rPr>
          <w:b/>
          <w:bCs/>
        </w:rPr>
      </w:pPr>
      <w:r>
        <w:rPr>
          <w:b/>
          <w:bCs/>
          <w:noProof/>
        </w:rPr>
        <w:lastRenderedPageBreak/>
        <w:drawing>
          <wp:inline distT="0" distB="0" distL="0" distR="0" wp14:anchorId="1887ACEA" wp14:editId="4430E7E4">
            <wp:extent cx="10010775" cy="4699000"/>
            <wp:effectExtent l="0" t="0" r="9525" b="6350"/>
            <wp:docPr id="26856503" name="Picture 5" descr="Diagrams setting out the application of the 12.5% averaging test in s99ADH of the Act to example data collection periods and reduction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56503" name="Picture 5" descr="Diagrams setting out the application of the 12.5% averaging test in s99ADH of the Act to example data collection periods and reduction days."/>
                    <pic:cNvPicPr/>
                  </pic:nvPicPr>
                  <pic:blipFill rotWithShape="1">
                    <a:blip r:embed="rId25"/>
                    <a:srcRect l="-51" t="765" r="-51" b="765"/>
                    <a:stretch/>
                  </pic:blipFill>
                  <pic:spPr>
                    <a:xfrm>
                      <a:off x="0" y="0"/>
                      <a:ext cx="10034836" cy="4710294"/>
                    </a:xfrm>
                    <a:prstGeom prst="rect">
                      <a:avLst/>
                    </a:prstGeom>
                  </pic:spPr>
                </pic:pic>
              </a:graphicData>
            </a:graphic>
          </wp:inline>
        </w:drawing>
      </w:r>
    </w:p>
    <w:p w14:paraId="32920F0F" w14:textId="0AC924E8" w:rsidR="003A0344" w:rsidRDefault="00000000" w:rsidP="00021B51">
      <w:pPr>
        <w:ind w:left="-993" w:firstLine="993"/>
        <w:rPr>
          <w:b/>
          <w:bCs/>
        </w:rPr>
      </w:pPr>
      <w:hyperlink w:anchor="AppendixFigure1" w:history="1">
        <w:r w:rsidR="002D09A0" w:rsidRPr="006A51A5">
          <w:rPr>
            <w:rStyle w:val="Hyperlink"/>
            <w:noProof/>
          </w:rPr>
          <w:t>Click link to return to Fact Sheet</w:t>
        </w:r>
      </w:hyperlink>
      <w:r w:rsidR="003A0344">
        <w:rPr>
          <w:b/>
          <w:bCs/>
        </w:rPr>
        <w:br w:type="page"/>
      </w:r>
    </w:p>
    <w:p w14:paraId="14E5792F" w14:textId="0AAE51EB" w:rsidR="00DD0EDA" w:rsidRDefault="00DD0EDA" w:rsidP="00DD0EDA">
      <w:pPr>
        <w:pStyle w:val="Heading2"/>
      </w:pPr>
      <w:bookmarkStart w:id="4" w:name="_Figure_2_–"/>
      <w:bookmarkEnd w:id="4"/>
      <w:r>
        <w:lastRenderedPageBreak/>
        <w:t xml:space="preserve">Figure 2 – Application of </w:t>
      </w:r>
      <w:r w:rsidR="0001487E">
        <w:t>s99ADHD – definition of previous data collection period</w:t>
      </w:r>
    </w:p>
    <w:p w14:paraId="0237634E" w14:textId="5D5C00E1" w:rsidR="008819CB" w:rsidRDefault="00AB72B8" w:rsidP="00AC243D">
      <w:pPr>
        <w:ind w:left="-851"/>
        <w:jc w:val="center"/>
      </w:pPr>
      <w:r>
        <w:rPr>
          <w:noProof/>
        </w:rPr>
        <w:drawing>
          <wp:inline distT="0" distB="0" distL="0" distR="0" wp14:anchorId="2D9A9B78" wp14:editId="02FA7698">
            <wp:extent cx="9963150" cy="5782945"/>
            <wp:effectExtent l="0" t="0" r="0" b="8255"/>
            <wp:docPr id="662151945" name="Picture 13" descr="Diagrams illustrating the corresponding data collection period and previous data collection period for different current data collection peri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151945" name="Picture 13" descr="Diagrams illustrating the corresponding data collection period and previous data collection period for different current data collection periods."/>
                    <pic:cNvPicPr/>
                  </pic:nvPicPr>
                  <pic:blipFill>
                    <a:blip r:embed="rId26"/>
                    <a:stretch>
                      <a:fillRect/>
                    </a:stretch>
                  </pic:blipFill>
                  <pic:spPr>
                    <a:xfrm>
                      <a:off x="0" y="0"/>
                      <a:ext cx="9977965" cy="5791544"/>
                    </a:xfrm>
                    <a:prstGeom prst="rect">
                      <a:avLst/>
                    </a:prstGeom>
                  </pic:spPr>
                </pic:pic>
              </a:graphicData>
            </a:graphic>
          </wp:inline>
        </w:drawing>
      </w:r>
    </w:p>
    <w:p w14:paraId="462BB951" w14:textId="1A3CBC8C" w:rsidR="002225EF" w:rsidRDefault="00000000" w:rsidP="00437117">
      <w:hyperlink w:anchor="AppendixFigure2" w:history="1">
        <w:r w:rsidR="00561FB0" w:rsidRPr="00C7461D">
          <w:rPr>
            <w:rStyle w:val="Hyperlink"/>
            <w:noProof/>
          </w:rPr>
          <w:t>Click link to return to Fact Sheet</w:t>
        </w:r>
      </w:hyperlink>
      <w:r w:rsidR="002225EF">
        <w:br w:type="page"/>
      </w:r>
    </w:p>
    <w:p w14:paraId="20E61188" w14:textId="29F6D1DE" w:rsidR="001C09FF" w:rsidRDefault="004B3836" w:rsidP="00AC243D">
      <w:pPr>
        <w:ind w:left="-851" w:right="-76"/>
        <w:jc w:val="center"/>
        <w:rPr>
          <w:rFonts w:asciiTheme="majorHAnsi" w:eastAsiaTheme="majorEastAsia" w:hAnsiTheme="majorHAnsi" w:cstheme="majorBidi"/>
          <w:b/>
          <w:color w:val="2F5496" w:themeColor="accent1" w:themeShade="BF"/>
          <w:sz w:val="24"/>
          <w:szCs w:val="26"/>
        </w:rPr>
      </w:pPr>
      <w:r>
        <w:rPr>
          <w:noProof/>
        </w:rPr>
        <w:lastRenderedPageBreak/>
        <w:drawing>
          <wp:inline distT="0" distB="0" distL="0" distR="0" wp14:anchorId="7CDE0A0F" wp14:editId="06C2E122">
            <wp:extent cx="9906000" cy="6105525"/>
            <wp:effectExtent l="0" t="0" r="0" b="9525"/>
            <wp:docPr id="1635706579" name="Picture 14" descr="Diagrams illustrating the corresponding data collection period and previous data collection period for different current data collection peri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706579" name="Picture 14" descr="Diagrams illustrating the corresponding data collection period and previous data collection period for different current data collection periods."/>
                    <pic:cNvPicPr/>
                  </pic:nvPicPr>
                  <pic:blipFill>
                    <a:blip r:embed="rId27"/>
                    <a:stretch>
                      <a:fillRect/>
                    </a:stretch>
                  </pic:blipFill>
                  <pic:spPr>
                    <a:xfrm>
                      <a:off x="0" y="0"/>
                      <a:ext cx="9907597" cy="6106509"/>
                    </a:xfrm>
                    <a:prstGeom prst="rect">
                      <a:avLst/>
                    </a:prstGeom>
                  </pic:spPr>
                </pic:pic>
              </a:graphicData>
            </a:graphic>
          </wp:inline>
        </w:drawing>
      </w:r>
      <w:r w:rsidR="001C09FF">
        <w:br w:type="page"/>
      </w:r>
    </w:p>
    <w:p w14:paraId="3C5944F6" w14:textId="63C37857" w:rsidR="00E86866" w:rsidRDefault="00E127B7" w:rsidP="00AC243D">
      <w:pPr>
        <w:ind w:left="-851" w:firstLine="131"/>
        <w:jc w:val="center"/>
      </w:pPr>
      <w:r>
        <w:rPr>
          <w:noProof/>
        </w:rPr>
        <w:lastRenderedPageBreak/>
        <w:drawing>
          <wp:inline distT="0" distB="0" distL="0" distR="0" wp14:anchorId="5CEC80C3" wp14:editId="22B9E0A1">
            <wp:extent cx="9816860" cy="4495532"/>
            <wp:effectExtent l="0" t="0" r="0" b="635"/>
            <wp:docPr id="1751925102" name="Picture 15" descr="Diagrams illustrating the corresponding data collection period and previous data collection period for different current data collection peri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925102" name="Picture 15" descr="Diagrams illustrating the corresponding data collection period and previous data collection period for different current data collection periods."/>
                    <pic:cNvPicPr/>
                  </pic:nvPicPr>
                  <pic:blipFill>
                    <a:blip r:embed="rId28"/>
                    <a:stretch>
                      <a:fillRect/>
                    </a:stretch>
                  </pic:blipFill>
                  <pic:spPr>
                    <a:xfrm>
                      <a:off x="0" y="0"/>
                      <a:ext cx="9848889" cy="4510199"/>
                    </a:xfrm>
                    <a:prstGeom prst="rect">
                      <a:avLst/>
                    </a:prstGeom>
                  </pic:spPr>
                </pic:pic>
              </a:graphicData>
            </a:graphic>
          </wp:inline>
        </w:drawing>
      </w:r>
    </w:p>
    <w:p w14:paraId="2D0ED492" w14:textId="1277439E" w:rsidR="0001487E" w:rsidRDefault="00000000" w:rsidP="00F44831">
      <w:pPr>
        <w:ind w:left="-131" w:firstLine="131"/>
        <w:rPr>
          <w:rFonts w:asciiTheme="majorHAnsi" w:eastAsiaTheme="majorEastAsia" w:hAnsiTheme="majorHAnsi" w:cstheme="majorBidi"/>
          <w:b/>
          <w:color w:val="2F5496" w:themeColor="accent1" w:themeShade="BF"/>
          <w:sz w:val="24"/>
          <w:szCs w:val="26"/>
        </w:rPr>
      </w:pPr>
      <w:hyperlink w:anchor="AppendixFigure2" w:history="1">
        <w:r w:rsidR="00F44831" w:rsidRPr="00C7461D">
          <w:rPr>
            <w:rStyle w:val="Hyperlink"/>
            <w:noProof/>
          </w:rPr>
          <w:t>Click link to return to Fact Sheet</w:t>
        </w:r>
      </w:hyperlink>
      <w:r w:rsidR="0001487E">
        <w:br w:type="page"/>
      </w:r>
    </w:p>
    <w:p w14:paraId="6BC36A5C" w14:textId="4D7217FB" w:rsidR="0001487E" w:rsidRDefault="0001487E" w:rsidP="0001487E">
      <w:pPr>
        <w:pStyle w:val="Heading2"/>
      </w:pPr>
      <w:bookmarkStart w:id="5" w:name="_Figure_3_–"/>
      <w:bookmarkEnd w:id="5"/>
      <w:r>
        <w:lastRenderedPageBreak/>
        <w:t xml:space="preserve">Figure 3 – Application of s99ADHC(1)(a) </w:t>
      </w:r>
      <w:r w:rsidR="00F716C7">
        <w:t xml:space="preserve">– </w:t>
      </w:r>
      <w:r w:rsidR="00F95996">
        <w:t xml:space="preserve">timing for brands to become </w:t>
      </w:r>
      <w:r w:rsidR="00F716C7">
        <w:t>designated brands</w:t>
      </w:r>
      <w:r w:rsidR="00F95996">
        <w:t xml:space="preserve"> once relevant clocks are satisfied</w:t>
      </w:r>
    </w:p>
    <w:p w14:paraId="35DE916D" w14:textId="472AFCFB" w:rsidR="00194261" w:rsidRDefault="00B4023D" w:rsidP="00AC243D">
      <w:pPr>
        <w:ind w:left="-851"/>
        <w:jc w:val="center"/>
      </w:pPr>
      <w:r>
        <w:rPr>
          <w:noProof/>
        </w:rPr>
        <w:drawing>
          <wp:inline distT="0" distB="0" distL="0" distR="0" wp14:anchorId="5738159B" wp14:editId="22397C38">
            <wp:extent cx="9921123" cy="5794745"/>
            <wp:effectExtent l="0" t="0" r="4445" b="0"/>
            <wp:docPr id="1797716655" name="Picture 9" descr="Coloured diagram illustrating certain trigger events occurring and the relevant 42- and 30-month periods of time elapsing after those trigger events, as well as the date on which brands with the drug/MoA Asclepius/Oral and Asclepius/Injection will become designated br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716655" name="Picture 9" descr="Coloured diagram illustrating certain trigger events occurring and the relevant 42- and 30-month periods of time elapsing after those trigger events, as well as the date on which brands with the drug/MoA Asclepius/Oral and Asclepius/Injection will become designated brands."/>
                    <pic:cNvPicPr/>
                  </pic:nvPicPr>
                  <pic:blipFill>
                    <a:blip r:embed="rId29"/>
                    <a:stretch>
                      <a:fillRect/>
                    </a:stretch>
                  </pic:blipFill>
                  <pic:spPr>
                    <a:xfrm>
                      <a:off x="0" y="0"/>
                      <a:ext cx="9986914" cy="5833172"/>
                    </a:xfrm>
                    <a:prstGeom prst="rect">
                      <a:avLst/>
                    </a:prstGeom>
                  </pic:spPr>
                </pic:pic>
              </a:graphicData>
            </a:graphic>
          </wp:inline>
        </w:drawing>
      </w:r>
    </w:p>
    <w:p w14:paraId="030A2164" w14:textId="68E72D23" w:rsidR="00993C2D" w:rsidRPr="00561FB0" w:rsidRDefault="00000000" w:rsidP="00F85C2A">
      <w:hyperlink w:anchor="AppendixFigure3" w:history="1">
        <w:r w:rsidR="00681576" w:rsidRPr="00EF6526">
          <w:rPr>
            <w:rStyle w:val="Hyperlink"/>
            <w:noProof/>
          </w:rPr>
          <w:t>Click link to return to Fact Sheet</w:t>
        </w:r>
      </w:hyperlink>
    </w:p>
    <w:sectPr w:rsidR="00993C2D" w:rsidRPr="00561FB0" w:rsidSect="00184243">
      <w:headerReference w:type="first" r:id="rId30"/>
      <w:pgSz w:w="16838" w:h="11906" w:orient="landscape"/>
      <w:pgMar w:top="1080" w:right="1440"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445C9" w14:textId="77777777" w:rsidR="00A02FDD" w:rsidRDefault="00A02FDD" w:rsidP="0055293C">
      <w:pPr>
        <w:spacing w:after="0" w:line="240" w:lineRule="auto"/>
      </w:pPr>
      <w:r>
        <w:separator/>
      </w:r>
    </w:p>
  </w:endnote>
  <w:endnote w:type="continuationSeparator" w:id="0">
    <w:p w14:paraId="51A352FD" w14:textId="77777777" w:rsidR="00A02FDD" w:rsidRDefault="00A02FDD" w:rsidP="0055293C">
      <w:pPr>
        <w:spacing w:after="0" w:line="240" w:lineRule="auto"/>
      </w:pPr>
      <w:r>
        <w:continuationSeparator/>
      </w:r>
    </w:p>
  </w:endnote>
  <w:endnote w:type="continuationNotice" w:id="1">
    <w:p w14:paraId="6400A600" w14:textId="77777777" w:rsidR="00A02FDD" w:rsidRDefault="00A02F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8494A" w14:textId="0E912C23" w:rsidR="0055293C" w:rsidRDefault="00707EDB">
    <w:pPr>
      <w:pStyle w:val="Footer"/>
    </w:pPr>
    <w:r>
      <w:rPr>
        <w:sz w:val="16"/>
      </w:rPr>
      <w:fldChar w:fldCharType="begin"/>
    </w:r>
    <w:r>
      <w:rPr>
        <w:sz w:val="16"/>
      </w:rPr>
      <w:instrText xml:space="preserve"> if </w:instrText>
    </w:r>
    <w:r>
      <w:rPr>
        <w:sz w:val="16"/>
      </w:rPr>
      <w:fldChar w:fldCharType="begin"/>
    </w:r>
    <w:r>
      <w:rPr>
        <w:sz w:val="16"/>
      </w:rPr>
      <w:instrText xml:space="preserve"> docproperty mDocID </w:instrText>
    </w:r>
    <w:r>
      <w:rPr>
        <w:sz w:val="16"/>
      </w:rPr>
      <w:fldChar w:fldCharType="separate"/>
    </w:r>
    <w:r w:rsidR="00E21236">
      <w:rPr>
        <w:b/>
        <w:bCs/>
        <w:sz w:val="16"/>
        <w:lang w:val="en-US"/>
      </w:rPr>
      <w:instrText>Error! Unknown document property name.</w:instrText>
    </w:r>
    <w:r>
      <w:rPr>
        <w:sz w:val="16"/>
      </w:rPr>
      <w:fldChar w:fldCharType="end"/>
    </w:r>
    <w:r>
      <w:rPr>
        <w:sz w:val="16"/>
      </w:rPr>
      <w:instrText xml:space="preserve"> = "" "</w:instrText>
    </w:r>
    <w:r>
      <w:rPr>
        <w:sz w:val="16"/>
      </w:rPr>
      <w:fldChar w:fldCharType="begin"/>
    </w:r>
    <w:r>
      <w:rPr>
        <w:sz w:val="16"/>
      </w:rPr>
      <w:instrText xml:space="preserve"> FILENAME \p </w:instrText>
    </w:r>
    <w:r>
      <w:rPr>
        <w:sz w:val="16"/>
      </w:rPr>
      <w:fldChar w:fldCharType="separate"/>
    </w:r>
    <w:r>
      <w:rPr>
        <w:sz w:val="16"/>
      </w:rPr>
      <w:instrText>C:\program files\microsoft office\templates\ccw\Letter.dot</w:instrText>
    </w:r>
    <w:r>
      <w:rPr>
        <w:sz w:val="16"/>
      </w:rPr>
      <w:fldChar w:fldCharType="end"/>
    </w:r>
    <w:r>
      <w:rPr>
        <w:sz w:val="16"/>
      </w:rPr>
      <w:instrText>" "</w:instrText>
    </w:r>
    <w:r>
      <w:rPr>
        <w:sz w:val="16"/>
      </w:rPr>
      <w:fldChar w:fldCharType="begin"/>
    </w:r>
    <w:r>
      <w:rPr>
        <w:sz w:val="16"/>
      </w:rPr>
      <w:instrText xml:space="preserve"> docproperty  mDocID  \* charFORMAT </w:instrText>
    </w:r>
    <w:r>
      <w:rPr>
        <w:sz w:val="16"/>
      </w:rPr>
      <w:fldChar w:fldCharType="separate"/>
    </w:r>
    <w:r w:rsidR="00E21236">
      <w:rPr>
        <w:b/>
        <w:bCs/>
        <w:sz w:val="16"/>
        <w:lang w:val="en-US"/>
      </w:rPr>
      <w:instrText>Error! Unknown document property name.</w:instrText>
    </w:r>
    <w:r>
      <w:rPr>
        <w:sz w:val="16"/>
      </w:rPr>
      <w:fldChar w:fldCharType="end"/>
    </w:r>
    <w:r>
      <w:rPr>
        <w:sz w:val="16"/>
      </w:rPr>
      <w:instrText xml:space="preserve">" </w:instrText>
    </w:r>
    <w:r>
      <w:rPr>
        <w:sz w:val="16"/>
      </w:rPr>
      <w:fldChar w:fldCharType="separate"/>
    </w:r>
    <w:r w:rsidR="00E21236">
      <w:rPr>
        <w:b/>
        <w:bCs/>
        <w:noProof/>
        <w:sz w:val="16"/>
        <w:lang w:val="en-US"/>
      </w:rPr>
      <w:t>Error! Unknown document property name.</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3CAA5" w14:textId="4555719E" w:rsidR="0055293C" w:rsidRDefault="00000000" w:rsidP="001F6D7E">
    <w:pPr>
      <w:pStyle w:val="Footer"/>
      <w:jc w:val="center"/>
    </w:pPr>
    <w:sdt>
      <w:sdtPr>
        <w:id w:val="-185516077"/>
        <w:docPartObj>
          <w:docPartGallery w:val="Page Numbers (Bottom of Page)"/>
          <w:docPartUnique/>
        </w:docPartObj>
      </w:sdtPr>
      <w:sdtEndPr>
        <w:rPr>
          <w:noProof/>
          <w:sz w:val="18"/>
          <w:szCs w:val="18"/>
        </w:rPr>
      </w:sdtEndPr>
      <w:sdtContent>
        <w:r w:rsidR="0055293C" w:rsidRPr="00920684">
          <w:rPr>
            <w:sz w:val="18"/>
            <w:szCs w:val="18"/>
          </w:rPr>
          <w:fldChar w:fldCharType="begin"/>
        </w:r>
        <w:r w:rsidR="0055293C" w:rsidRPr="00920684">
          <w:rPr>
            <w:sz w:val="18"/>
            <w:szCs w:val="18"/>
          </w:rPr>
          <w:instrText xml:space="preserve"> PAGE   \* MERGEFORMAT </w:instrText>
        </w:r>
        <w:r w:rsidR="0055293C" w:rsidRPr="00920684">
          <w:rPr>
            <w:sz w:val="18"/>
            <w:szCs w:val="18"/>
          </w:rPr>
          <w:fldChar w:fldCharType="separate"/>
        </w:r>
        <w:r w:rsidR="0055293C" w:rsidRPr="00920684">
          <w:rPr>
            <w:noProof/>
            <w:sz w:val="18"/>
            <w:szCs w:val="18"/>
          </w:rPr>
          <w:t>2</w:t>
        </w:r>
        <w:r w:rsidR="0055293C" w:rsidRPr="00920684">
          <w:rPr>
            <w:noProof/>
            <w:sz w:val="18"/>
            <w:szCs w:val="18"/>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0045407"/>
      <w:docPartObj>
        <w:docPartGallery w:val="Page Numbers (Bottom of Page)"/>
        <w:docPartUnique/>
      </w:docPartObj>
    </w:sdtPr>
    <w:sdtEndPr>
      <w:rPr>
        <w:noProof/>
      </w:rPr>
    </w:sdtEndPr>
    <w:sdtContent>
      <w:p w14:paraId="4223F83B" w14:textId="5AFE6CC5" w:rsidR="0055293C" w:rsidRDefault="001F6D7E" w:rsidP="00A95147">
        <w:pPr>
          <w:pStyle w:val="Footer"/>
          <w:jc w:val="center"/>
        </w:pPr>
        <w:r w:rsidRPr="001F6D7E">
          <w:rPr>
            <w:sz w:val="18"/>
            <w:szCs w:val="18"/>
          </w:rPr>
          <w:fldChar w:fldCharType="begin"/>
        </w:r>
        <w:r w:rsidRPr="001F6D7E">
          <w:rPr>
            <w:sz w:val="18"/>
            <w:szCs w:val="18"/>
          </w:rPr>
          <w:instrText xml:space="preserve"> PAGE   \* MERGEFORMAT </w:instrText>
        </w:r>
        <w:r w:rsidRPr="001F6D7E">
          <w:rPr>
            <w:sz w:val="18"/>
            <w:szCs w:val="18"/>
          </w:rPr>
          <w:fldChar w:fldCharType="separate"/>
        </w:r>
        <w:r w:rsidRPr="001F6D7E">
          <w:rPr>
            <w:noProof/>
            <w:sz w:val="18"/>
            <w:szCs w:val="18"/>
          </w:rPr>
          <w:t>2</w:t>
        </w:r>
        <w:r w:rsidRPr="001F6D7E">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61F87" w14:textId="77777777" w:rsidR="00A02FDD" w:rsidRDefault="00A02FDD" w:rsidP="0055293C">
      <w:pPr>
        <w:spacing w:after="0" w:line="240" w:lineRule="auto"/>
      </w:pPr>
      <w:r>
        <w:separator/>
      </w:r>
    </w:p>
  </w:footnote>
  <w:footnote w:type="continuationSeparator" w:id="0">
    <w:p w14:paraId="359C191D" w14:textId="77777777" w:rsidR="00A02FDD" w:rsidRDefault="00A02FDD" w:rsidP="0055293C">
      <w:pPr>
        <w:spacing w:after="0" w:line="240" w:lineRule="auto"/>
      </w:pPr>
      <w:r>
        <w:continuationSeparator/>
      </w:r>
    </w:p>
  </w:footnote>
  <w:footnote w:type="continuationNotice" w:id="1">
    <w:p w14:paraId="794F909D" w14:textId="77777777" w:rsidR="00A02FDD" w:rsidRDefault="00A02FDD">
      <w:pPr>
        <w:spacing w:after="0" w:line="240" w:lineRule="auto"/>
      </w:pPr>
    </w:p>
  </w:footnote>
  <w:footnote w:id="2">
    <w:p w14:paraId="601D0B84" w14:textId="77777777" w:rsidR="0082443C" w:rsidRDefault="0082443C" w:rsidP="0082443C">
      <w:pPr>
        <w:pStyle w:val="FootnoteText"/>
      </w:pPr>
      <w:r>
        <w:rPr>
          <w:rStyle w:val="FootnoteReference"/>
        </w:rPr>
        <w:footnoteRef/>
      </w:r>
      <w:r>
        <w:t xml:space="preserve"> </w:t>
      </w:r>
      <w:r w:rsidRPr="00395D43">
        <w:rPr>
          <w:rFonts w:asciiTheme="minorHAnsi" w:hAnsiTheme="minorHAnsi" w:cstheme="minorHAnsi"/>
          <w:sz w:val="18"/>
          <w:szCs w:val="18"/>
        </w:rPr>
        <w:t>The Minister may make this determination under s99ADHC(2) by notifiable instrument.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DB85E" w14:textId="6BD6C19E" w:rsidR="00203C66" w:rsidRDefault="00A92A50">
    <w:pPr>
      <w:pStyle w:val="Header"/>
    </w:pPr>
    <w:r>
      <w:rPr>
        <w:noProof/>
        <w:lang w:eastAsia="en-AU"/>
      </w:rPr>
      <w:drawing>
        <wp:inline distT="0" distB="0" distL="0" distR="0" wp14:anchorId="40547666" wp14:editId="034EEEB1">
          <wp:extent cx="5759450" cy="941705"/>
          <wp:effectExtent l="0" t="0" r="6350" b="0"/>
          <wp:docPr id="1242790096" name="Picture 1242790096" descr="Australian Government Department of Health and Aged Car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and Aged Care banner"/>
                  <pic:cNvPicPr/>
                </pic:nvPicPr>
                <pic:blipFill rotWithShape="1">
                  <a:blip r:embed="rId1">
                    <a:extLst>
                      <a:ext uri="{28A0092B-C50C-407E-A947-70E740481C1C}">
                        <a14:useLocalDpi xmlns:a14="http://schemas.microsoft.com/office/drawing/2010/main" val="0"/>
                      </a:ext>
                    </a:extLst>
                  </a:blip>
                  <a:srcRect t="-11037"/>
                  <a:stretch/>
                </pic:blipFill>
                <pic:spPr bwMode="auto">
                  <a:xfrm>
                    <a:off x="0" y="0"/>
                    <a:ext cx="5759450" cy="941705"/>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E4246" w14:textId="026242AE" w:rsidR="00AB53E1" w:rsidRDefault="00AB53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80763"/>
    <w:multiLevelType w:val="hybridMultilevel"/>
    <w:tmpl w:val="FCFE4476"/>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 w15:restartNumberingAfterBreak="0">
    <w:nsid w:val="17392DD4"/>
    <w:multiLevelType w:val="multilevel"/>
    <w:tmpl w:val="B4360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4C0CB9"/>
    <w:multiLevelType w:val="hybridMultilevel"/>
    <w:tmpl w:val="6E2E5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C27099E"/>
    <w:multiLevelType w:val="hybridMultilevel"/>
    <w:tmpl w:val="7B2CEC8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DAC5E6E"/>
    <w:multiLevelType w:val="hybridMultilevel"/>
    <w:tmpl w:val="E4A4FCE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DBA7D10"/>
    <w:multiLevelType w:val="hybridMultilevel"/>
    <w:tmpl w:val="3A9CDB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BB64921"/>
    <w:multiLevelType w:val="hybridMultilevel"/>
    <w:tmpl w:val="7F241C4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num w:numId="1" w16cid:durableId="1350834107">
    <w:abstractNumId w:val="1"/>
  </w:num>
  <w:num w:numId="2" w16cid:durableId="1337339605">
    <w:abstractNumId w:val="3"/>
  </w:num>
  <w:num w:numId="3" w16cid:durableId="2051497">
    <w:abstractNumId w:val="5"/>
  </w:num>
  <w:num w:numId="4" w16cid:durableId="334188497">
    <w:abstractNumId w:val="6"/>
  </w:num>
  <w:num w:numId="5" w16cid:durableId="208415301">
    <w:abstractNumId w:val="4"/>
  </w:num>
  <w:num w:numId="6" w16cid:durableId="901332742">
    <w:abstractNumId w:val="0"/>
  </w:num>
  <w:num w:numId="7" w16cid:durableId="3400881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CDocsNumber" w:val="3457-5895-6847"/>
  </w:docVars>
  <w:rsids>
    <w:rsidRoot w:val="00E37575"/>
    <w:rsid w:val="00000C06"/>
    <w:rsid w:val="000049FB"/>
    <w:rsid w:val="00005A97"/>
    <w:rsid w:val="0000736B"/>
    <w:rsid w:val="000103B9"/>
    <w:rsid w:val="00012C03"/>
    <w:rsid w:val="0001487E"/>
    <w:rsid w:val="00016685"/>
    <w:rsid w:val="000208FA"/>
    <w:rsid w:val="00021B51"/>
    <w:rsid w:val="00021ECE"/>
    <w:rsid w:val="00022927"/>
    <w:rsid w:val="00023476"/>
    <w:rsid w:val="00023695"/>
    <w:rsid w:val="00027A90"/>
    <w:rsid w:val="00027ECF"/>
    <w:rsid w:val="00032B3A"/>
    <w:rsid w:val="000335DF"/>
    <w:rsid w:val="00036901"/>
    <w:rsid w:val="00041C4A"/>
    <w:rsid w:val="00041E62"/>
    <w:rsid w:val="0004437F"/>
    <w:rsid w:val="000451B9"/>
    <w:rsid w:val="00046B0A"/>
    <w:rsid w:val="000477CF"/>
    <w:rsid w:val="00050E3E"/>
    <w:rsid w:val="0005236C"/>
    <w:rsid w:val="0005361C"/>
    <w:rsid w:val="00054849"/>
    <w:rsid w:val="00054D3B"/>
    <w:rsid w:val="000551D0"/>
    <w:rsid w:val="00055AC3"/>
    <w:rsid w:val="00056276"/>
    <w:rsid w:val="0005665B"/>
    <w:rsid w:val="000576F8"/>
    <w:rsid w:val="00057FE4"/>
    <w:rsid w:val="000600E7"/>
    <w:rsid w:val="00060F9A"/>
    <w:rsid w:val="00063F35"/>
    <w:rsid w:val="00070CB0"/>
    <w:rsid w:val="0007246D"/>
    <w:rsid w:val="00073471"/>
    <w:rsid w:val="0007441A"/>
    <w:rsid w:val="00074B6D"/>
    <w:rsid w:val="00081FB5"/>
    <w:rsid w:val="00084562"/>
    <w:rsid w:val="00084651"/>
    <w:rsid w:val="00085650"/>
    <w:rsid w:val="000873FA"/>
    <w:rsid w:val="00094AED"/>
    <w:rsid w:val="00094BEC"/>
    <w:rsid w:val="00094D42"/>
    <w:rsid w:val="00095B95"/>
    <w:rsid w:val="000975F8"/>
    <w:rsid w:val="000A06B0"/>
    <w:rsid w:val="000A286B"/>
    <w:rsid w:val="000A2EBD"/>
    <w:rsid w:val="000A31B4"/>
    <w:rsid w:val="000A36A8"/>
    <w:rsid w:val="000A5941"/>
    <w:rsid w:val="000A7F7C"/>
    <w:rsid w:val="000B0BB2"/>
    <w:rsid w:val="000B3320"/>
    <w:rsid w:val="000B54EE"/>
    <w:rsid w:val="000B732C"/>
    <w:rsid w:val="000C082C"/>
    <w:rsid w:val="000C086E"/>
    <w:rsid w:val="000C1740"/>
    <w:rsid w:val="000C33EC"/>
    <w:rsid w:val="000C4C30"/>
    <w:rsid w:val="000C66C3"/>
    <w:rsid w:val="000C695C"/>
    <w:rsid w:val="000C796C"/>
    <w:rsid w:val="000D0D4D"/>
    <w:rsid w:val="000D1D37"/>
    <w:rsid w:val="000D5C11"/>
    <w:rsid w:val="000D5D1C"/>
    <w:rsid w:val="000D6471"/>
    <w:rsid w:val="000D6D4F"/>
    <w:rsid w:val="000E0C00"/>
    <w:rsid w:val="000E17F0"/>
    <w:rsid w:val="000E2ABB"/>
    <w:rsid w:val="000F28B5"/>
    <w:rsid w:val="000F2ECA"/>
    <w:rsid w:val="000F3369"/>
    <w:rsid w:val="000F54BF"/>
    <w:rsid w:val="000F6B8D"/>
    <w:rsid w:val="000F7C1E"/>
    <w:rsid w:val="001015B5"/>
    <w:rsid w:val="00105357"/>
    <w:rsid w:val="00107051"/>
    <w:rsid w:val="00107AD4"/>
    <w:rsid w:val="00110221"/>
    <w:rsid w:val="00114199"/>
    <w:rsid w:val="00114C1A"/>
    <w:rsid w:val="00115314"/>
    <w:rsid w:val="001161EF"/>
    <w:rsid w:val="00120EDF"/>
    <w:rsid w:val="001214BE"/>
    <w:rsid w:val="001230D8"/>
    <w:rsid w:val="00123706"/>
    <w:rsid w:val="00124D86"/>
    <w:rsid w:val="001259EE"/>
    <w:rsid w:val="00126D22"/>
    <w:rsid w:val="00127A24"/>
    <w:rsid w:val="001320FB"/>
    <w:rsid w:val="00133FE7"/>
    <w:rsid w:val="00134C60"/>
    <w:rsid w:val="001368CA"/>
    <w:rsid w:val="001373AD"/>
    <w:rsid w:val="0014097C"/>
    <w:rsid w:val="001425FD"/>
    <w:rsid w:val="001447EC"/>
    <w:rsid w:val="001475AC"/>
    <w:rsid w:val="00154076"/>
    <w:rsid w:val="00154384"/>
    <w:rsid w:val="00154DC4"/>
    <w:rsid w:val="00156D94"/>
    <w:rsid w:val="001575BB"/>
    <w:rsid w:val="00160220"/>
    <w:rsid w:val="0016430F"/>
    <w:rsid w:val="001655F4"/>
    <w:rsid w:val="00165C22"/>
    <w:rsid w:val="00166D0D"/>
    <w:rsid w:val="00171FB1"/>
    <w:rsid w:val="00172270"/>
    <w:rsid w:val="00174A5D"/>
    <w:rsid w:val="001759DA"/>
    <w:rsid w:val="001773B3"/>
    <w:rsid w:val="00177CE2"/>
    <w:rsid w:val="00180ADE"/>
    <w:rsid w:val="00181D62"/>
    <w:rsid w:val="00182628"/>
    <w:rsid w:val="00183529"/>
    <w:rsid w:val="00184243"/>
    <w:rsid w:val="00184943"/>
    <w:rsid w:val="00184C67"/>
    <w:rsid w:val="0018776F"/>
    <w:rsid w:val="00187BA2"/>
    <w:rsid w:val="001908F8"/>
    <w:rsid w:val="0019172C"/>
    <w:rsid w:val="00191A29"/>
    <w:rsid w:val="00191E78"/>
    <w:rsid w:val="00193FBB"/>
    <w:rsid w:val="00194261"/>
    <w:rsid w:val="0019481E"/>
    <w:rsid w:val="001957CD"/>
    <w:rsid w:val="001961E1"/>
    <w:rsid w:val="0019672D"/>
    <w:rsid w:val="001A2148"/>
    <w:rsid w:val="001A3467"/>
    <w:rsid w:val="001A401C"/>
    <w:rsid w:val="001A462C"/>
    <w:rsid w:val="001A5CFC"/>
    <w:rsid w:val="001B266C"/>
    <w:rsid w:val="001B42F0"/>
    <w:rsid w:val="001B4F77"/>
    <w:rsid w:val="001B5E3C"/>
    <w:rsid w:val="001C09FF"/>
    <w:rsid w:val="001C1C99"/>
    <w:rsid w:val="001C4E4F"/>
    <w:rsid w:val="001C5DE8"/>
    <w:rsid w:val="001C7388"/>
    <w:rsid w:val="001D1089"/>
    <w:rsid w:val="001D1C14"/>
    <w:rsid w:val="001D44AC"/>
    <w:rsid w:val="001E2686"/>
    <w:rsid w:val="001E27E4"/>
    <w:rsid w:val="001E41F9"/>
    <w:rsid w:val="001E4694"/>
    <w:rsid w:val="001E4BE8"/>
    <w:rsid w:val="001E51C4"/>
    <w:rsid w:val="001E63AD"/>
    <w:rsid w:val="001E667F"/>
    <w:rsid w:val="001E7749"/>
    <w:rsid w:val="001E7880"/>
    <w:rsid w:val="001F1626"/>
    <w:rsid w:val="001F1E38"/>
    <w:rsid w:val="001F2F08"/>
    <w:rsid w:val="001F483A"/>
    <w:rsid w:val="001F6872"/>
    <w:rsid w:val="001F6D7E"/>
    <w:rsid w:val="001F6DBF"/>
    <w:rsid w:val="001F78A8"/>
    <w:rsid w:val="00203C66"/>
    <w:rsid w:val="00204DCF"/>
    <w:rsid w:val="00204DED"/>
    <w:rsid w:val="00205CF0"/>
    <w:rsid w:val="002146B7"/>
    <w:rsid w:val="0021580B"/>
    <w:rsid w:val="00215B17"/>
    <w:rsid w:val="002165AD"/>
    <w:rsid w:val="00217F5A"/>
    <w:rsid w:val="00220237"/>
    <w:rsid w:val="002203FD"/>
    <w:rsid w:val="00220CD5"/>
    <w:rsid w:val="00221F40"/>
    <w:rsid w:val="00222427"/>
    <w:rsid w:val="002225EF"/>
    <w:rsid w:val="00222B5A"/>
    <w:rsid w:val="00222E41"/>
    <w:rsid w:val="00226D28"/>
    <w:rsid w:val="00231EA9"/>
    <w:rsid w:val="00233089"/>
    <w:rsid w:val="00234B15"/>
    <w:rsid w:val="00236571"/>
    <w:rsid w:val="002368E8"/>
    <w:rsid w:val="0023799F"/>
    <w:rsid w:val="00240ADE"/>
    <w:rsid w:val="00241624"/>
    <w:rsid w:val="00241AE9"/>
    <w:rsid w:val="00242096"/>
    <w:rsid w:val="0024587E"/>
    <w:rsid w:val="002460C9"/>
    <w:rsid w:val="00251DAC"/>
    <w:rsid w:val="00255AEB"/>
    <w:rsid w:val="00255E69"/>
    <w:rsid w:val="00260AC8"/>
    <w:rsid w:val="0026239B"/>
    <w:rsid w:val="00263F63"/>
    <w:rsid w:val="002649AA"/>
    <w:rsid w:val="002650DF"/>
    <w:rsid w:val="00265673"/>
    <w:rsid w:val="00265E4B"/>
    <w:rsid w:val="00267EE7"/>
    <w:rsid w:val="0027034B"/>
    <w:rsid w:val="00271750"/>
    <w:rsid w:val="00273CCF"/>
    <w:rsid w:val="00275048"/>
    <w:rsid w:val="0027566D"/>
    <w:rsid w:val="00276828"/>
    <w:rsid w:val="00276A19"/>
    <w:rsid w:val="0028205A"/>
    <w:rsid w:val="002920E2"/>
    <w:rsid w:val="00293FA9"/>
    <w:rsid w:val="002948C6"/>
    <w:rsid w:val="0029512B"/>
    <w:rsid w:val="002A14E2"/>
    <w:rsid w:val="002A3085"/>
    <w:rsid w:val="002B005F"/>
    <w:rsid w:val="002B3BA8"/>
    <w:rsid w:val="002B3FA0"/>
    <w:rsid w:val="002B40F1"/>
    <w:rsid w:val="002B411B"/>
    <w:rsid w:val="002B476C"/>
    <w:rsid w:val="002B4897"/>
    <w:rsid w:val="002B495C"/>
    <w:rsid w:val="002B607E"/>
    <w:rsid w:val="002B60E2"/>
    <w:rsid w:val="002B7684"/>
    <w:rsid w:val="002C3381"/>
    <w:rsid w:val="002C3FD0"/>
    <w:rsid w:val="002C438B"/>
    <w:rsid w:val="002C4630"/>
    <w:rsid w:val="002C4669"/>
    <w:rsid w:val="002C48A1"/>
    <w:rsid w:val="002C5588"/>
    <w:rsid w:val="002C57AF"/>
    <w:rsid w:val="002D09A0"/>
    <w:rsid w:val="002D3996"/>
    <w:rsid w:val="002D4CE4"/>
    <w:rsid w:val="002D52DF"/>
    <w:rsid w:val="002D6D83"/>
    <w:rsid w:val="002D7562"/>
    <w:rsid w:val="002E045D"/>
    <w:rsid w:val="002E3557"/>
    <w:rsid w:val="002E3E27"/>
    <w:rsid w:val="002E64FF"/>
    <w:rsid w:val="002E7BE3"/>
    <w:rsid w:val="002F0789"/>
    <w:rsid w:val="002F265A"/>
    <w:rsid w:val="002F3350"/>
    <w:rsid w:val="002F4E0F"/>
    <w:rsid w:val="002F4EF6"/>
    <w:rsid w:val="002F6FE7"/>
    <w:rsid w:val="002F7692"/>
    <w:rsid w:val="003006F2"/>
    <w:rsid w:val="00300AA0"/>
    <w:rsid w:val="0030169B"/>
    <w:rsid w:val="00301A0D"/>
    <w:rsid w:val="00302CEC"/>
    <w:rsid w:val="00307E91"/>
    <w:rsid w:val="00310D93"/>
    <w:rsid w:val="00311FCE"/>
    <w:rsid w:val="00315176"/>
    <w:rsid w:val="00316B12"/>
    <w:rsid w:val="00320154"/>
    <w:rsid w:val="00321302"/>
    <w:rsid w:val="00322486"/>
    <w:rsid w:val="0032307B"/>
    <w:rsid w:val="00323AE7"/>
    <w:rsid w:val="00331C97"/>
    <w:rsid w:val="00334154"/>
    <w:rsid w:val="00336EA9"/>
    <w:rsid w:val="0033783C"/>
    <w:rsid w:val="00343A6F"/>
    <w:rsid w:val="00353C2D"/>
    <w:rsid w:val="00357456"/>
    <w:rsid w:val="0035762C"/>
    <w:rsid w:val="0036183F"/>
    <w:rsid w:val="00362FD4"/>
    <w:rsid w:val="00363239"/>
    <w:rsid w:val="00363991"/>
    <w:rsid w:val="003648F9"/>
    <w:rsid w:val="003662FF"/>
    <w:rsid w:val="003670C9"/>
    <w:rsid w:val="00370F7A"/>
    <w:rsid w:val="0037117E"/>
    <w:rsid w:val="00371530"/>
    <w:rsid w:val="003718BD"/>
    <w:rsid w:val="003729CA"/>
    <w:rsid w:val="003730C1"/>
    <w:rsid w:val="00373749"/>
    <w:rsid w:val="00373B6E"/>
    <w:rsid w:val="00374B07"/>
    <w:rsid w:val="00376BF8"/>
    <w:rsid w:val="003810F6"/>
    <w:rsid w:val="00383675"/>
    <w:rsid w:val="00384C94"/>
    <w:rsid w:val="00384DBC"/>
    <w:rsid w:val="00385644"/>
    <w:rsid w:val="0038688C"/>
    <w:rsid w:val="00386BDA"/>
    <w:rsid w:val="00387581"/>
    <w:rsid w:val="0038758A"/>
    <w:rsid w:val="003916C7"/>
    <w:rsid w:val="00391930"/>
    <w:rsid w:val="00392A94"/>
    <w:rsid w:val="00393AD2"/>
    <w:rsid w:val="00394974"/>
    <w:rsid w:val="00395D43"/>
    <w:rsid w:val="003976FB"/>
    <w:rsid w:val="003A0344"/>
    <w:rsid w:val="003A0B6E"/>
    <w:rsid w:val="003A193A"/>
    <w:rsid w:val="003A20EF"/>
    <w:rsid w:val="003A2188"/>
    <w:rsid w:val="003A294C"/>
    <w:rsid w:val="003A2BA5"/>
    <w:rsid w:val="003A2DB3"/>
    <w:rsid w:val="003A481C"/>
    <w:rsid w:val="003A5404"/>
    <w:rsid w:val="003A5EB3"/>
    <w:rsid w:val="003A5F78"/>
    <w:rsid w:val="003B531E"/>
    <w:rsid w:val="003B6F04"/>
    <w:rsid w:val="003C03FC"/>
    <w:rsid w:val="003C065E"/>
    <w:rsid w:val="003C1AB3"/>
    <w:rsid w:val="003C2A90"/>
    <w:rsid w:val="003D1C97"/>
    <w:rsid w:val="003D1E91"/>
    <w:rsid w:val="003D2069"/>
    <w:rsid w:val="003E19A0"/>
    <w:rsid w:val="003E5301"/>
    <w:rsid w:val="003F163B"/>
    <w:rsid w:val="003F3405"/>
    <w:rsid w:val="003F3BAE"/>
    <w:rsid w:val="003F5993"/>
    <w:rsid w:val="00404125"/>
    <w:rsid w:val="00404172"/>
    <w:rsid w:val="00405E6B"/>
    <w:rsid w:val="004078DA"/>
    <w:rsid w:val="004148CC"/>
    <w:rsid w:val="00421B19"/>
    <w:rsid w:val="0042244C"/>
    <w:rsid w:val="00422AC2"/>
    <w:rsid w:val="0042398E"/>
    <w:rsid w:val="00423E54"/>
    <w:rsid w:val="004246E4"/>
    <w:rsid w:val="004255D5"/>
    <w:rsid w:val="00427FD5"/>
    <w:rsid w:val="00430781"/>
    <w:rsid w:val="00430C78"/>
    <w:rsid w:val="00431186"/>
    <w:rsid w:val="00437117"/>
    <w:rsid w:val="0044192A"/>
    <w:rsid w:val="00442F75"/>
    <w:rsid w:val="00446560"/>
    <w:rsid w:val="004502AE"/>
    <w:rsid w:val="00450307"/>
    <w:rsid w:val="0045295C"/>
    <w:rsid w:val="004545BB"/>
    <w:rsid w:val="004551EA"/>
    <w:rsid w:val="00456BF9"/>
    <w:rsid w:val="00456D10"/>
    <w:rsid w:val="00457221"/>
    <w:rsid w:val="00460AD8"/>
    <w:rsid w:val="004610E1"/>
    <w:rsid w:val="00461C65"/>
    <w:rsid w:val="00462F3D"/>
    <w:rsid w:val="00463C80"/>
    <w:rsid w:val="004642C6"/>
    <w:rsid w:val="00464A94"/>
    <w:rsid w:val="00471891"/>
    <w:rsid w:val="00474945"/>
    <w:rsid w:val="004771EB"/>
    <w:rsid w:val="00477356"/>
    <w:rsid w:val="00481847"/>
    <w:rsid w:val="0048473E"/>
    <w:rsid w:val="00484DBA"/>
    <w:rsid w:val="00485E2E"/>
    <w:rsid w:val="004866A5"/>
    <w:rsid w:val="00497095"/>
    <w:rsid w:val="004A0E9D"/>
    <w:rsid w:val="004A142A"/>
    <w:rsid w:val="004A168F"/>
    <w:rsid w:val="004A19A0"/>
    <w:rsid w:val="004A2773"/>
    <w:rsid w:val="004A411B"/>
    <w:rsid w:val="004A6AC6"/>
    <w:rsid w:val="004A6F5F"/>
    <w:rsid w:val="004A79F0"/>
    <w:rsid w:val="004A7EE0"/>
    <w:rsid w:val="004B3836"/>
    <w:rsid w:val="004B44E8"/>
    <w:rsid w:val="004B67D3"/>
    <w:rsid w:val="004B7B95"/>
    <w:rsid w:val="004C0872"/>
    <w:rsid w:val="004C0AA5"/>
    <w:rsid w:val="004C0BAA"/>
    <w:rsid w:val="004C0DA0"/>
    <w:rsid w:val="004C1C4B"/>
    <w:rsid w:val="004C2E31"/>
    <w:rsid w:val="004D081E"/>
    <w:rsid w:val="004D1EC3"/>
    <w:rsid w:val="004D1F5B"/>
    <w:rsid w:val="004D266D"/>
    <w:rsid w:val="004D382D"/>
    <w:rsid w:val="004D3F28"/>
    <w:rsid w:val="004D5ABA"/>
    <w:rsid w:val="004D7629"/>
    <w:rsid w:val="004E0926"/>
    <w:rsid w:val="004E2D4B"/>
    <w:rsid w:val="004E4625"/>
    <w:rsid w:val="004E63C8"/>
    <w:rsid w:val="004F131A"/>
    <w:rsid w:val="004F1639"/>
    <w:rsid w:val="004F29F1"/>
    <w:rsid w:val="004F41E2"/>
    <w:rsid w:val="004F49C8"/>
    <w:rsid w:val="004F7004"/>
    <w:rsid w:val="004F749B"/>
    <w:rsid w:val="004F75BC"/>
    <w:rsid w:val="00503231"/>
    <w:rsid w:val="00505653"/>
    <w:rsid w:val="005069FD"/>
    <w:rsid w:val="005074E6"/>
    <w:rsid w:val="00507979"/>
    <w:rsid w:val="005129B9"/>
    <w:rsid w:val="00513E71"/>
    <w:rsid w:val="00516A7A"/>
    <w:rsid w:val="0051753D"/>
    <w:rsid w:val="0051785D"/>
    <w:rsid w:val="005239BA"/>
    <w:rsid w:val="00523AA1"/>
    <w:rsid w:val="00527BAF"/>
    <w:rsid w:val="00530BEC"/>
    <w:rsid w:val="0053394C"/>
    <w:rsid w:val="00537998"/>
    <w:rsid w:val="00543A1C"/>
    <w:rsid w:val="00543EE7"/>
    <w:rsid w:val="0054458B"/>
    <w:rsid w:val="00545106"/>
    <w:rsid w:val="0055293C"/>
    <w:rsid w:val="00554B65"/>
    <w:rsid w:val="00555971"/>
    <w:rsid w:val="00556C91"/>
    <w:rsid w:val="00561FB0"/>
    <w:rsid w:val="00563368"/>
    <w:rsid w:val="00570422"/>
    <w:rsid w:val="00570CF6"/>
    <w:rsid w:val="00572E44"/>
    <w:rsid w:val="00575AA0"/>
    <w:rsid w:val="00575DE0"/>
    <w:rsid w:val="00576E34"/>
    <w:rsid w:val="00577EDC"/>
    <w:rsid w:val="005800D9"/>
    <w:rsid w:val="0058194C"/>
    <w:rsid w:val="00582917"/>
    <w:rsid w:val="00583D15"/>
    <w:rsid w:val="00584B2E"/>
    <w:rsid w:val="00586FCD"/>
    <w:rsid w:val="00587A95"/>
    <w:rsid w:val="00590008"/>
    <w:rsid w:val="0059493D"/>
    <w:rsid w:val="005962F7"/>
    <w:rsid w:val="005A0427"/>
    <w:rsid w:val="005A086F"/>
    <w:rsid w:val="005A23EA"/>
    <w:rsid w:val="005A2B62"/>
    <w:rsid w:val="005A3D75"/>
    <w:rsid w:val="005A523B"/>
    <w:rsid w:val="005A6546"/>
    <w:rsid w:val="005A7E22"/>
    <w:rsid w:val="005B1592"/>
    <w:rsid w:val="005B6BB0"/>
    <w:rsid w:val="005C1B52"/>
    <w:rsid w:val="005C1E71"/>
    <w:rsid w:val="005C3296"/>
    <w:rsid w:val="005C3C6A"/>
    <w:rsid w:val="005C413C"/>
    <w:rsid w:val="005C646A"/>
    <w:rsid w:val="005C6647"/>
    <w:rsid w:val="005D147A"/>
    <w:rsid w:val="005D3BE3"/>
    <w:rsid w:val="005D416A"/>
    <w:rsid w:val="005E0E4B"/>
    <w:rsid w:val="005E1FEF"/>
    <w:rsid w:val="005E2EA1"/>
    <w:rsid w:val="005E3EF0"/>
    <w:rsid w:val="005E4B63"/>
    <w:rsid w:val="005E7985"/>
    <w:rsid w:val="005F280F"/>
    <w:rsid w:val="005F2A4F"/>
    <w:rsid w:val="005F630B"/>
    <w:rsid w:val="006005E6"/>
    <w:rsid w:val="00600B30"/>
    <w:rsid w:val="006025D5"/>
    <w:rsid w:val="00602D13"/>
    <w:rsid w:val="00602E76"/>
    <w:rsid w:val="00603310"/>
    <w:rsid w:val="006044FB"/>
    <w:rsid w:val="00604C18"/>
    <w:rsid w:val="006102BF"/>
    <w:rsid w:val="00610E5B"/>
    <w:rsid w:val="006117C6"/>
    <w:rsid w:val="00611B43"/>
    <w:rsid w:val="00614623"/>
    <w:rsid w:val="00617C76"/>
    <w:rsid w:val="00620F76"/>
    <w:rsid w:val="00622308"/>
    <w:rsid w:val="006227E5"/>
    <w:rsid w:val="00622D5C"/>
    <w:rsid w:val="0062522B"/>
    <w:rsid w:val="00627844"/>
    <w:rsid w:val="00627B8B"/>
    <w:rsid w:val="00630956"/>
    <w:rsid w:val="00631D6A"/>
    <w:rsid w:val="00633F62"/>
    <w:rsid w:val="00634036"/>
    <w:rsid w:val="00641242"/>
    <w:rsid w:val="00641B4A"/>
    <w:rsid w:val="00642494"/>
    <w:rsid w:val="0064335D"/>
    <w:rsid w:val="00644237"/>
    <w:rsid w:val="006456E6"/>
    <w:rsid w:val="00646C80"/>
    <w:rsid w:val="006478BE"/>
    <w:rsid w:val="006479DD"/>
    <w:rsid w:val="00651270"/>
    <w:rsid w:val="00651FFA"/>
    <w:rsid w:val="0065220D"/>
    <w:rsid w:val="00654133"/>
    <w:rsid w:val="0065480C"/>
    <w:rsid w:val="00655BE2"/>
    <w:rsid w:val="0065767A"/>
    <w:rsid w:val="00660057"/>
    <w:rsid w:val="006625F6"/>
    <w:rsid w:val="0066450F"/>
    <w:rsid w:val="0066535B"/>
    <w:rsid w:val="00670C66"/>
    <w:rsid w:val="00672B34"/>
    <w:rsid w:val="00672BD6"/>
    <w:rsid w:val="006745AB"/>
    <w:rsid w:val="0067565A"/>
    <w:rsid w:val="00677199"/>
    <w:rsid w:val="00677B45"/>
    <w:rsid w:val="006805E1"/>
    <w:rsid w:val="0068094D"/>
    <w:rsid w:val="00681576"/>
    <w:rsid w:val="00683AA6"/>
    <w:rsid w:val="00684B2F"/>
    <w:rsid w:val="006858B1"/>
    <w:rsid w:val="006863F7"/>
    <w:rsid w:val="0068775B"/>
    <w:rsid w:val="00693A79"/>
    <w:rsid w:val="006953F1"/>
    <w:rsid w:val="006A1B8C"/>
    <w:rsid w:val="006A51A5"/>
    <w:rsid w:val="006A6453"/>
    <w:rsid w:val="006A7301"/>
    <w:rsid w:val="006B19C6"/>
    <w:rsid w:val="006B2CFB"/>
    <w:rsid w:val="006B7CFC"/>
    <w:rsid w:val="006C0EB3"/>
    <w:rsid w:val="006C2461"/>
    <w:rsid w:val="006C3422"/>
    <w:rsid w:val="006C4475"/>
    <w:rsid w:val="006C7264"/>
    <w:rsid w:val="006C7602"/>
    <w:rsid w:val="006D118B"/>
    <w:rsid w:val="006D4D86"/>
    <w:rsid w:val="006D7D90"/>
    <w:rsid w:val="006D7FB3"/>
    <w:rsid w:val="006E11A3"/>
    <w:rsid w:val="006F054E"/>
    <w:rsid w:val="006F06F9"/>
    <w:rsid w:val="006F118D"/>
    <w:rsid w:val="006F1F58"/>
    <w:rsid w:val="006F3563"/>
    <w:rsid w:val="006F3ED1"/>
    <w:rsid w:val="007006B9"/>
    <w:rsid w:val="00706682"/>
    <w:rsid w:val="00706B29"/>
    <w:rsid w:val="00707EDB"/>
    <w:rsid w:val="00711505"/>
    <w:rsid w:val="0071526F"/>
    <w:rsid w:val="0071741C"/>
    <w:rsid w:val="00720FEE"/>
    <w:rsid w:val="00721C68"/>
    <w:rsid w:val="00722F44"/>
    <w:rsid w:val="007230CD"/>
    <w:rsid w:val="00723215"/>
    <w:rsid w:val="00724330"/>
    <w:rsid w:val="0072690B"/>
    <w:rsid w:val="00731540"/>
    <w:rsid w:val="00732DCE"/>
    <w:rsid w:val="007339EF"/>
    <w:rsid w:val="007355E4"/>
    <w:rsid w:val="0073671D"/>
    <w:rsid w:val="00736945"/>
    <w:rsid w:val="00736D45"/>
    <w:rsid w:val="00737771"/>
    <w:rsid w:val="0073791D"/>
    <w:rsid w:val="007421A8"/>
    <w:rsid w:val="007447EE"/>
    <w:rsid w:val="007449C2"/>
    <w:rsid w:val="007462FA"/>
    <w:rsid w:val="0074780C"/>
    <w:rsid w:val="00752A55"/>
    <w:rsid w:val="007555A7"/>
    <w:rsid w:val="00755A4E"/>
    <w:rsid w:val="00756146"/>
    <w:rsid w:val="007572BB"/>
    <w:rsid w:val="00761D5C"/>
    <w:rsid w:val="00761E58"/>
    <w:rsid w:val="00762064"/>
    <w:rsid w:val="00763BA1"/>
    <w:rsid w:val="0076424D"/>
    <w:rsid w:val="00765BC6"/>
    <w:rsid w:val="00766668"/>
    <w:rsid w:val="007674E6"/>
    <w:rsid w:val="00767924"/>
    <w:rsid w:val="0077036E"/>
    <w:rsid w:val="0077366A"/>
    <w:rsid w:val="00773EF6"/>
    <w:rsid w:val="00775EDA"/>
    <w:rsid w:val="0077626D"/>
    <w:rsid w:val="00777715"/>
    <w:rsid w:val="0078252E"/>
    <w:rsid w:val="007825CE"/>
    <w:rsid w:val="00787A9C"/>
    <w:rsid w:val="007901B8"/>
    <w:rsid w:val="007926CC"/>
    <w:rsid w:val="00795456"/>
    <w:rsid w:val="00797FAE"/>
    <w:rsid w:val="007A1A7D"/>
    <w:rsid w:val="007A69E8"/>
    <w:rsid w:val="007A6E05"/>
    <w:rsid w:val="007B09FF"/>
    <w:rsid w:val="007B1F0F"/>
    <w:rsid w:val="007B4FDA"/>
    <w:rsid w:val="007B6664"/>
    <w:rsid w:val="007B66EC"/>
    <w:rsid w:val="007B7248"/>
    <w:rsid w:val="007B7BDA"/>
    <w:rsid w:val="007B7D97"/>
    <w:rsid w:val="007C291E"/>
    <w:rsid w:val="007C44E8"/>
    <w:rsid w:val="007C5849"/>
    <w:rsid w:val="007C6A4D"/>
    <w:rsid w:val="007C71A9"/>
    <w:rsid w:val="007D17D5"/>
    <w:rsid w:val="007D1EC9"/>
    <w:rsid w:val="007D20AB"/>
    <w:rsid w:val="007D36A9"/>
    <w:rsid w:val="007D4E39"/>
    <w:rsid w:val="007D524B"/>
    <w:rsid w:val="007D6DB5"/>
    <w:rsid w:val="007D728D"/>
    <w:rsid w:val="007E0E85"/>
    <w:rsid w:val="007F0715"/>
    <w:rsid w:val="007F0A00"/>
    <w:rsid w:val="007F0C62"/>
    <w:rsid w:val="007F0FB1"/>
    <w:rsid w:val="007F2F4B"/>
    <w:rsid w:val="007F6507"/>
    <w:rsid w:val="007F723D"/>
    <w:rsid w:val="008028C1"/>
    <w:rsid w:val="008028DE"/>
    <w:rsid w:val="0080786D"/>
    <w:rsid w:val="00811505"/>
    <w:rsid w:val="00812049"/>
    <w:rsid w:val="008144BF"/>
    <w:rsid w:val="00816923"/>
    <w:rsid w:val="00817E5C"/>
    <w:rsid w:val="008202F1"/>
    <w:rsid w:val="008203E8"/>
    <w:rsid w:val="00821810"/>
    <w:rsid w:val="0082328C"/>
    <w:rsid w:val="0082443C"/>
    <w:rsid w:val="00827A5C"/>
    <w:rsid w:val="00827B47"/>
    <w:rsid w:val="008301BF"/>
    <w:rsid w:val="0083280E"/>
    <w:rsid w:val="00834848"/>
    <w:rsid w:val="008359EB"/>
    <w:rsid w:val="00836329"/>
    <w:rsid w:val="00841AA4"/>
    <w:rsid w:val="008420A3"/>
    <w:rsid w:val="008435C0"/>
    <w:rsid w:val="008445A7"/>
    <w:rsid w:val="008525F4"/>
    <w:rsid w:val="008561F5"/>
    <w:rsid w:val="008565A1"/>
    <w:rsid w:val="00861593"/>
    <w:rsid w:val="00862078"/>
    <w:rsid w:val="008632E0"/>
    <w:rsid w:val="00864D5D"/>
    <w:rsid w:val="00865496"/>
    <w:rsid w:val="00865CB1"/>
    <w:rsid w:val="00872E94"/>
    <w:rsid w:val="008758F6"/>
    <w:rsid w:val="008778AE"/>
    <w:rsid w:val="0088003C"/>
    <w:rsid w:val="008809B1"/>
    <w:rsid w:val="00881893"/>
    <w:rsid w:val="008819CB"/>
    <w:rsid w:val="00881D99"/>
    <w:rsid w:val="008829E3"/>
    <w:rsid w:val="0088359E"/>
    <w:rsid w:val="00884B8B"/>
    <w:rsid w:val="00885055"/>
    <w:rsid w:val="0088764C"/>
    <w:rsid w:val="00890BF1"/>
    <w:rsid w:val="008924FA"/>
    <w:rsid w:val="00893179"/>
    <w:rsid w:val="00893638"/>
    <w:rsid w:val="00893AB4"/>
    <w:rsid w:val="00896A5D"/>
    <w:rsid w:val="00896B5A"/>
    <w:rsid w:val="00897260"/>
    <w:rsid w:val="008A047A"/>
    <w:rsid w:val="008A0DDC"/>
    <w:rsid w:val="008A148A"/>
    <w:rsid w:val="008A1675"/>
    <w:rsid w:val="008A29E1"/>
    <w:rsid w:val="008A2B97"/>
    <w:rsid w:val="008A2E9C"/>
    <w:rsid w:val="008A2FA7"/>
    <w:rsid w:val="008A34FD"/>
    <w:rsid w:val="008A66B9"/>
    <w:rsid w:val="008B0DB1"/>
    <w:rsid w:val="008B1F47"/>
    <w:rsid w:val="008B3FB9"/>
    <w:rsid w:val="008B416F"/>
    <w:rsid w:val="008B54EA"/>
    <w:rsid w:val="008B6E94"/>
    <w:rsid w:val="008B6F2B"/>
    <w:rsid w:val="008B7424"/>
    <w:rsid w:val="008C3E1E"/>
    <w:rsid w:val="008C6504"/>
    <w:rsid w:val="008C6A2F"/>
    <w:rsid w:val="008C7009"/>
    <w:rsid w:val="008C753D"/>
    <w:rsid w:val="008C7B67"/>
    <w:rsid w:val="008C7F5C"/>
    <w:rsid w:val="008D2486"/>
    <w:rsid w:val="008D3A8E"/>
    <w:rsid w:val="008D3D9C"/>
    <w:rsid w:val="008E28D2"/>
    <w:rsid w:val="008E3A4C"/>
    <w:rsid w:val="008E4309"/>
    <w:rsid w:val="008F36F3"/>
    <w:rsid w:val="008F40C6"/>
    <w:rsid w:val="008F470A"/>
    <w:rsid w:val="008F65A6"/>
    <w:rsid w:val="008F75E5"/>
    <w:rsid w:val="009008FE"/>
    <w:rsid w:val="00902376"/>
    <w:rsid w:val="00903558"/>
    <w:rsid w:val="00904AD8"/>
    <w:rsid w:val="009052AC"/>
    <w:rsid w:val="00906D8E"/>
    <w:rsid w:val="0091127D"/>
    <w:rsid w:val="009113F9"/>
    <w:rsid w:val="00911EB9"/>
    <w:rsid w:val="00912784"/>
    <w:rsid w:val="009143A4"/>
    <w:rsid w:val="0091592E"/>
    <w:rsid w:val="009204A0"/>
    <w:rsid w:val="00920684"/>
    <w:rsid w:val="00922DA6"/>
    <w:rsid w:val="009230AA"/>
    <w:rsid w:val="0092487B"/>
    <w:rsid w:val="00924BFE"/>
    <w:rsid w:val="00926E57"/>
    <w:rsid w:val="00927FC5"/>
    <w:rsid w:val="00930794"/>
    <w:rsid w:val="009329EA"/>
    <w:rsid w:val="009345C2"/>
    <w:rsid w:val="00934BA5"/>
    <w:rsid w:val="00934F70"/>
    <w:rsid w:val="00937DAA"/>
    <w:rsid w:val="00940FDC"/>
    <w:rsid w:val="009416D2"/>
    <w:rsid w:val="00941AEB"/>
    <w:rsid w:val="00941D82"/>
    <w:rsid w:val="00944012"/>
    <w:rsid w:val="00944532"/>
    <w:rsid w:val="0095293B"/>
    <w:rsid w:val="0095366F"/>
    <w:rsid w:val="009579E2"/>
    <w:rsid w:val="00965048"/>
    <w:rsid w:val="009659C7"/>
    <w:rsid w:val="00970999"/>
    <w:rsid w:val="009722CF"/>
    <w:rsid w:val="0097311D"/>
    <w:rsid w:val="0097421E"/>
    <w:rsid w:val="00975D68"/>
    <w:rsid w:val="0098012B"/>
    <w:rsid w:val="009835FB"/>
    <w:rsid w:val="009849B7"/>
    <w:rsid w:val="00987D47"/>
    <w:rsid w:val="0099172B"/>
    <w:rsid w:val="00993C2D"/>
    <w:rsid w:val="00994FA8"/>
    <w:rsid w:val="009A00E3"/>
    <w:rsid w:val="009A141E"/>
    <w:rsid w:val="009B3B3E"/>
    <w:rsid w:val="009B45B0"/>
    <w:rsid w:val="009B5C44"/>
    <w:rsid w:val="009B65B1"/>
    <w:rsid w:val="009B66B4"/>
    <w:rsid w:val="009B6DAB"/>
    <w:rsid w:val="009B726F"/>
    <w:rsid w:val="009C10F8"/>
    <w:rsid w:val="009C1818"/>
    <w:rsid w:val="009C1C9E"/>
    <w:rsid w:val="009C209F"/>
    <w:rsid w:val="009C27CC"/>
    <w:rsid w:val="009C2B34"/>
    <w:rsid w:val="009C4658"/>
    <w:rsid w:val="009C5883"/>
    <w:rsid w:val="009C77ED"/>
    <w:rsid w:val="009D2F5B"/>
    <w:rsid w:val="009D54A9"/>
    <w:rsid w:val="009D5D45"/>
    <w:rsid w:val="009D7055"/>
    <w:rsid w:val="009E3FCC"/>
    <w:rsid w:val="009F0D23"/>
    <w:rsid w:val="009F4D3D"/>
    <w:rsid w:val="009F619D"/>
    <w:rsid w:val="009F6B64"/>
    <w:rsid w:val="00A01074"/>
    <w:rsid w:val="00A01EE7"/>
    <w:rsid w:val="00A026F8"/>
    <w:rsid w:val="00A02C40"/>
    <w:rsid w:val="00A02FDD"/>
    <w:rsid w:val="00A041CE"/>
    <w:rsid w:val="00A04AB9"/>
    <w:rsid w:val="00A05708"/>
    <w:rsid w:val="00A05757"/>
    <w:rsid w:val="00A104D4"/>
    <w:rsid w:val="00A136EE"/>
    <w:rsid w:val="00A14ECE"/>
    <w:rsid w:val="00A162D6"/>
    <w:rsid w:val="00A171B1"/>
    <w:rsid w:val="00A175D2"/>
    <w:rsid w:val="00A25EAB"/>
    <w:rsid w:val="00A30227"/>
    <w:rsid w:val="00A31D3F"/>
    <w:rsid w:val="00A337ED"/>
    <w:rsid w:val="00A364EE"/>
    <w:rsid w:val="00A369A3"/>
    <w:rsid w:val="00A37763"/>
    <w:rsid w:val="00A3789B"/>
    <w:rsid w:val="00A434A3"/>
    <w:rsid w:val="00A43BF5"/>
    <w:rsid w:val="00A4473B"/>
    <w:rsid w:val="00A50CD7"/>
    <w:rsid w:val="00A517FA"/>
    <w:rsid w:val="00A5272E"/>
    <w:rsid w:val="00A54140"/>
    <w:rsid w:val="00A55162"/>
    <w:rsid w:val="00A625B9"/>
    <w:rsid w:val="00A64170"/>
    <w:rsid w:val="00A6756D"/>
    <w:rsid w:val="00A675FE"/>
    <w:rsid w:val="00A70F41"/>
    <w:rsid w:val="00A70F9E"/>
    <w:rsid w:val="00A718D1"/>
    <w:rsid w:val="00A71DC0"/>
    <w:rsid w:val="00A72C01"/>
    <w:rsid w:val="00A733A1"/>
    <w:rsid w:val="00A85BF9"/>
    <w:rsid w:val="00A8628C"/>
    <w:rsid w:val="00A86725"/>
    <w:rsid w:val="00A86A63"/>
    <w:rsid w:val="00A9098F"/>
    <w:rsid w:val="00A92854"/>
    <w:rsid w:val="00A92A50"/>
    <w:rsid w:val="00A93D6A"/>
    <w:rsid w:val="00A95147"/>
    <w:rsid w:val="00A951A3"/>
    <w:rsid w:val="00A959AC"/>
    <w:rsid w:val="00AA1D42"/>
    <w:rsid w:val="00AA30DD"/>
    <w:rsid w:val="00AA46F4"/>
    <w:rsid w:val="00AA5529"/>
    <w:rsid w:val="00AA6F0C"/>
    <w:rsid w:val="00AA7762"/>
    <w:rsid w:val="00AB05A7"/>
    <w:rsid w:val="00AB2B8E"/>
    <w:rsid w:val="00AB2CB3"/>
    <w:rsid w:val="00AB3AD7"/>
    <w:rsid w:val="00AB426E"/>
    <w:rsid w:val="00AB53E1"/>
    <w:rsid w:val="00AB5792"/>
    <w:rsid w:val="00AB595E"/>
    <w:rsid w:val="00AB72B8"/>
    <w:rsid w:val="00AB745D"/>
    <w:rsid w:val="00AB7840"/>
    <w:rsid w:val="00AB7FB8"/>
    <w:rsid w:val="00AC1826"/>
    <w:rsid w:val="00AC1E08"/>
    <w:rsid w:val="00AC243D"/>
    <w:rsid w:val="00AC367B"/>
    <w:rsid w:val="00AC48F4"/>
    <w:rsid w:val="00AC50EB"/>
    <w:rsid w:val="00AC5DA2"/>
    <w:rsid w:val="00AD2831"/>
    <w:rsid w:val="00AD2D63"/>
    <w:rsid w:val="00AD2DAD"/>
    <w:rsid w:val="00AD3A94"/>
    <w:rsid w:val="00AD501B"/>
    <w:rsid w:val="00AD5607"/>
    <w:rsid w:val="00AD690B"/>
    <w:rsid w:val="00AD6DA6"/>
    <w:rsid w:val="00AE1B8D"/>
    <w:rsid w:val="00AE2247"/>
    <w:rsid w:val="00AE46C1"/>
    <w:rsid w:val="00AE6EA5"/>
    <w:rsid w:val="00AF0C1C"/>
    <w:rsid w:val="00AF1904"/>
    <w:rsid w:val="00AF2ADE"/>
    <w:rsid w:val="00AF3860"/>
    <w:rsid w:val="00B0187F"/>
    <w:rsid w:val="00B01D90"/>
    <w:rsid w:val="00B046FB"/>
    <w:rsid w:val="00B04EF4"/>
    <w:rsid w:val="00B063A3"/>
    <w:rsid w:val="00B06EF9"/>
    <w:rsid w:val="00B07135"/>
    <w:rsid w:val="00B074C1"/>
    <w:rsid w:val="00B07659"/>
    <w:rsid w:val="00B07CEF"/>
    <w:rsid w:val="00B1049F"/>
    <w:rsid w:val="00B127F3"/>
    <w:rsid w:val="00B12898"/>
    <w:rsid w:val="00B1347D"/>
    <w:rsid w:val="00B15E73"/>
    <w:rsid w:val="00B1677E"/>
    <w:rsid w:val="00B17480"/>
    <w:rsid w:val="00B17DF4"/>
    <w:rsid w:val="00B211D0"/>
    <w:rsid w:val="00B22ECE"/>
    <w:rsid w:val="00B23CD6"/>
    <w:rsid w:val="00B24ABA"/>
    <w:rsid w:val="00B3006A"/>
    <w:rsid w:val="00B30B5A"/>
    <w:rsid w:val="00B30CA5"/>
    <w:rsid w:val="00B311CA"/>
    <w:rsid w:val="00B31B59"/>
    <w:rsid w:val="00B33A30"/>
    <w:rsid w:val="00B4023D"/>
    <w:rsid w:val="00B403A9"/>
    <w:rsid w:val="00B40704"/>
    <w:rsid w:val="00B41EE0"/>
    <w:rsid w:val="00B455BC"/>
    <w:rsid w:val="00B45B17"/>
    <w:rsid w:val="00B5009F"/>
    <w:rsid w:val="00B53B7B"/>
    <w:rsid w:val="00B53C58"/>
    <w:rsid w:val="00B557E0"/>
    <w:rsid w:val="00B55B0F"/>
    <w:rsid w:val="00B57465"/>
    <w:rsid w:val="00B61A7C"/>
    <w:rsid w:val="00B620B6"/>
    <w:rsid w:val="00B62C2A"/>
    <w:rsid w:val="00B62C7F"/>
    <w:rsid w:val="00B6708F"/>
    <w:rsid w:val="00B67737"/>
    <w:rsid w:val="00B7218B"/>
    <w:rsid w:val="00B72DAF"/>
    <w:rsid w:val="00B731AF"/>
    <w:rsid w:val="00B7360A"/>
    <w:rsid w:val="00B736EC"/>
    <w:rsid w:val="00B74051"/>
    <w:rsid w:val="00B77786"/>
    <w:rsid w:val="00B779D2"/>
    <w:rsid w:val="00B77BA1"/>
    <w:rsid w:val="00B81A30"/>
    <w:rsid w:val="00B82008"/>
    <w:rsid w:val="00B82626"/>
    <w:rsid w:val="00B83A6B"/>
    <w:rsid w:val="00B90237"/>
    <w:rsid w:val="00B90A56"/>
    <w:rsid w:val="00B94C10"/>
    <w:rsid w:val="00B95ADC"/>
    <w:rsid w:val="00B975E3"/>
    <w:rsid w:val="00B976A0"/>
    <w:rsid w:val="00B97F25"/>
    <w:rsid w:val="00BA2812"/>
    <w:rsid w:val="00BA560C"/>
    <w:rsid w:val="00BB1C35"/>
    <w:rsid w:val="00BB2421"/>
    <w:rsid w:val="00BB3648"/>
    <w:rsid w:val="00BB43C2"/>
    <w:rsid w:val="00BB4E13"/>
    <w:rsid w:val="00BB6B93"/>
    <w:rsid w:val="00BB72A2"/>
    <w:rsid w:val="00BB73B6"/>
    <w:rsid w:val="00BC31E7"/>
    <w:rsid w:val="00BC369D"/>
    <w:rsid w:val="00BC3DA9"/>
    <w:rsid w:val="00BC5355"/>
    <w:rsid w:val="00BD09D7"/>
    <w:rsid w:val="00BD1B19"/>
    <w:rsid w:val="00BD2177"/>
    <w:rsid w:val="00BD6F0A"/>
    <w:rsid w:val="00BE2A15"/>
    <w:rsid w:val="00BE38B8"/>
    <w:rsid w:val="00BE3DC1"/>
    <w:rsid w:val="00BE5F99"/>
    <w:rsid w:val="00BF0F1D"/>
    <w:rsid w:val="00BF3AFB"/>
    <w:rsid w:val="00BF3CF1"/>
    <w:rsid w:val="00BF476C"/>
    <w:rsid w:val="00BF6F95"/>
    <w:rsid w:val="00C00525"/>
    <w:rsid w:val="00C01875"/>
    <w:rsid w:val="00C0381C"/>
    <w:rsid w:val="00C06F2D"/>
    <w:rsid w:val="00C12215"/>
    <w:rsid w:val="00C129D4"/>
    <w:rsid w:val="00C161A7"/>
    <w:rsid w:val="00C20B48"/>
    <w:rsid w:val="00C226E3"/>
    <w:rsid w:val="00C22E26"/>
    <w:rsid w:val="00C23578"/>
    <w:rsid w:val="00C2460D"/>
    <w:rsid w:val="00C25F5A"/>
    <w:rsid w:val="00C265B1"/>
    <w:rsid w:val="00C27C87"/>
    <w:rsid w:val="00C30938"/>
    <w:rsid w:val="00C3515F"/>
    <w:rsid w:val="00C35CBA"/>
    <w:rsid w:val="00C37844"/>
    <w:rsid w:val="00C4219F"/>
    <w:rsid w:val="00C46616"/>
    <w:rsid w:val="00C5006E"/>
    <w:rsid w:val="00C521B9"/>
    <w:rsid w:val="00C52510"/>
    <w:rsid w:val="00C55C96"/>
    <w:rsid w:val="00C55F13"/>
    <w:rsid w:val="00C5650D"/>
    <w:rsid w:val="00C62CD2"/>
    <w:rsid w:val="00C63999"/>
    <w:rsid w:val="00C64410"/>
    <w:rsid w:val="00C64918"/>
    <w:rsid w:val="00C66668"/>
    <w:rsid w:val="00C74521"/>
    <w:rsid w:val="00C7461D"/>
    <w:rsid w:val="00C7588A"/>
    <w:rsid w:val="00C75AE1"/>
    <w:rsid w:val="00C774B3"/>
    <w:rsid w:val="00C77B3D"/>
    <w:rsid w:val="00C77BDE"/>
    <w:rsid w:val="00C805C9"/>
    <w:rsid w:val="00C82A8C"/>
    <w:rsid w:val="00C83ED8"/>
    <w:rsid w:val="00C85AB5"/>
    <w:rsid w:val="00C86B1A"/>
    <w:rsid w:val="00C91743"/>
    <w:rsid w:val="00C967BE"/>
    <w:rsid w:val="00C96E77"/>
    <w:rsid w:val="00CA090D"/>
    <w:rsid w:val="00CA2E9C"/>
    <w:rsid w:val="00CA3619"/>
    <w:rsid w:val="00CA3A90"/>
    <w:rsid w:val="00CB005E"/>
    <w:rsid w:val="00CB00B3"/>
    <w:rsid w:val="00CB1065"/>
    <w:rsid w:val="00CB1643"/>
    <w:rsid w:val="00CB3E73"/>
    <w:rsid w:val="00CB5214"/>
    <w:rsid w:val="00CB7FC3"/>
    <w:rsid w:val="00CC1285"/>
    <w:rsid w:val="00CC4313"/>
    <w:rsid w:val="00CC69F0"/>
    <w:rsid w:val="00CD0695"/>
    <w:rsid w:val="00CD2E91"/>
    <w:rsid w:val="00CD2FE0"/>
    <w:rsid w:val="00CD3D34"/>
    <w:rsid w:val="00CD47AF"/>
    <w:rsid w:val="00CD63B8"/>
    <w:rsid w:val="00CE0316"/>
    <w:rsid w:val="00CE3EAB"/>
    <w:rsid w:val="00CE3F13"/>
    <w:rsid w:val="00CE41F9"/>
    <w:rsid w:val="00CE4261"/>
    <w:rsid w:val="00CF03AC"/>
    <w:rsid w:val="00CF3821"/>
    <w:rsid w:val="00CF6757"/>
    <w:rsid w:val="00CF7BA2"/>
    <w:rsid w:val="00D0088C"/>
    <w:rsid w:val="00D10A81"/>
    <w:rsid w:val="00D11BEF"/>
    <w:rsid w:val="00D141EE"/>
    <w:rsid w:val="00D15AB0"/>
    <w:rsid w:val="00D20C88"/>
    <w:rsid w:val="00D2418F"/>
    <w:rsid w:val="00D24F95"/>
    <w:rsid w:val="00D31C52"/>
    <w:rsid w:val="00D342E9"/>
    <w:rsid w:val="00D36378"/>
    <w:rsid w:val="00D37C14"/>
    <w:rsid w:val="00D37DF9"/>
    <w:rsid w:val="00D40E80"/>
    <w:rsid w:val="00D546EB"/>
    <w:rsid w:val="00D56029"/>
    <w:rsid w:val="00D6000E"/>
    <w:rsid w:val="00D60108"/>
    <w:rsid w:val="00D6566E"/>
    <w:rsid w:val="00D65687"/>
    <w:rsid w:val="00D660E7"/>
    <w:rsid w:val="00D67ED1"/>
    <w:rsid w:val="00D67F20"/>
    <w:rsid w:val="00D70B1E"/>
    <w:rsid w:val="00D70D97"/>
    <w:rsid w:val="00D7187C"/>
    <w:rsid w:val="00D730B4"/>
    <w:rsid w:val="00D7383C"/>
    <w:rsid w:val="00D73DCD"/>
    <w:rsid w:val="00D75802"/>
    <w:rsid w:val="00D76D0C"/>
    <w:rsid w:val="00D7750B"/>
    <w:rsid w:val="00D80F12"/>
    <w:rsid w:val="00D82BE9"/>
    <w:rsid w:val="00D867F0"/>
    <w:rsid w:val="00D90AD1"/>
    <w:rsid w:val="00D91128"/>
    <w:rsid w:val="00D930DD"/>
    <w:rsid w:val="00D95097"/>
    <w:rsid w:val="00D962E5"/>
    <w:rsid w:val="00D9787E"/>
    <w:rsid w:val="00D97E11"/>
    <w:rsid w:val="00DA0819"/>
    <w:rsid w:val="00DA0B88"/>
    <w:rsid w:val="00DA105F"/>
    <w:rsid w:val="00DA170A"/>
    <w:rsid w:val="00DB3281"/>
    <w:rsid w:val="00DB3FBF"/>
    <w:rsid w:val="00DB4637"/>
    <w:rsid w:val="00DB7AED"/>
    <w:rsid w:val="00DC0A4E"/>
    <w:rsid w:val="00DC2D82"/>
    <w:rsid w:val="00DC532E"/>
    <w:rsid w:val="00DC54C1"/>
    <w:rsid w:val="00DC6745"/>
    <w:rsid w:val="00DD007C"/>
    <w:rsid w:val="00DD0336"/>
    <w:rsid w:val="00DD0EDA"/>
    <w:rsid w:val="00DD15BD"/>
    <w:rsid w:val="00DD187E"/>
    <w:rsid w:val="00DD1C5D"/>
    <w:rsid w:val="00DD1F54"/>
    <w:rsid w:val="00DD4895"/>
    <w:rsid w:val="00DE0126"/>
    <w:rsid w:val="00DE1606"/>
    <w:rsid w:val="00DE29FE"/>
    <w:rsid w:val="00DE2CD9"/>
    <w:rsid w:val="00DE3D1C"/>
    <w:rsid w:val="00DE4203"/>
    <w:rsid w:val="00DE4DCA"/>
    <w:rsid w:val="00DE52E7"/>
    <w:rsid w:val="00DE6DD5"/>
    <w:rsid w:val="00DF18A5"/>
    <w:rsid w:val="00DF45D7"/>
    <w:rsid w:val="00DF775C"/>
    <w:rsid w:val="00E042F7"/>
    <w:rsid w:val="00E06CA6"/>
    <w:rsid w:val="00E06EE7"/>
    <w:rsid w:val="00E1065D"/>
    <w:rsid w:val="00E127B7"/>
    <w:rsid w:val="00E12C28"/>
    <w:rsid w:val="00E138B1"/>
    <w:rsid w:val="00E13962"/>
    <w:rsid w:val="00E13BAB"/>
    <w:rsid w:val="00E144B0"/>
    <w:rsid w:val="00E20825"/>
    <w:rsid w:val="00E211D3"/>
    <w:rsid w:val="00E21236"/>
    <w:rsid w:val="00E21E4C"/>
    <w:rsid w:val="00E23998"/>
    <w:rsid w:val="00E24A0B"/>
    <w:rsid w:val="00E2559D"/>
    <w:rsid w:val="00E26710"/>
    <w:rsid w:val="00E31D61"/>
    <w:rsid w:val="00E368D9"/>
    <w:rsid w:val="00E36FA6"/>
    <w:rsid w:val="00E37575"/>
    <w:rsid w:val="00E40DA1"/>
    <w:rsid w:val="00E41229"/>
    <w:rsid w:val="00E434DC"/>
    <w:rsid w:val="00E532F8"/>
    <w:rsid w:val="00E53B2E"/>
    <w:rsid w:val="00E54E8A"/>
    <w:rsid w:val="00E5646B"/>
    <w:rsid w:val="00E64DD8"/>
    <w:rsid w:val="00E65519"/>
    <w:rsid w:val="00E6733D"/>
    <w:rsid w:val="00E67815"/>
    <w:rsid w:val="00E7006B"/>
    <w:rsid w:val="00E72E42"/>
    <w:rsid w:val="00E744D6"/>
    <w:rsid w:val="00E751C7"/>
    <w:rsid w:val="00E803D1"/>
    <w:rsid w:val="00E81E46"/>
    <w:rsid w:val="00E81FEA"/>
    <w:rsid w:val="00E83B2E"/>
    <w:rsid w:val="00E85E39"/>
    <w:rsid w:val="00E86866"/>
    <w:rsid w:val="00E90382"/>
    <w:rsid w:val="00E907B6"/>
    <w:rsid w:val="00E9158D"/>
    <w:rsid w:val="00E922E5"/>
    <w:rsid w:val="00E94799"/>
    <w:rsid w:val="00E9592A"/>
    <w:rsid w:val="00E96310"/>
    <w:rsid w:val="00EA0F89"/>
    <w:rsid w:val="00EA13B7"/>
    <w:rsid w:val="00EA2629"/>
    <w:rsid w:val="00EA362D"/>
    <w:rsid w:val="00EA3A0F"/>
    <w:rsid w:val="00EA67C7"/>
    <w:rsid w:val="00EB0B5D"/>
    <w:rsid w:val="00EB2998"/>
    <w:rsid w:val="00EB5D15"/>
    <w:rsid w:val="00EB5E49"/>
    <w:rsid w:val="00EC0BFE"/>
    <w:rsid w:val="00EC24C6"/>
    <w:rsid w:val="00EC5FFD"/>
    <w:rsid w:val="00EC632F"/>
    <w:rsid w:val="00EC670B"/>
    <w:rsid w:val="00EC6828"/>
    <w:rsid w:val="00EC7EAE"/>
    <w:rsid w:val="00ED1068"/>
    <w:rsid w:val="00ED1231"/>
    <w:rsid w:val="00ED1295"/>
    <w:rsid w:val="00ED3814"/>
    <w:rsid w:val="00ED471C"/>
    <w:rsid w:val="00ED49F4"/>
    <w:rsid w:val="00ED70CF"/>
    <w:rsid w:val="00EE0F87"/>
    <w:rsid w:val="00EE16B1"/>
    <w:rsid w:val="00EE1EC9"/>
    <w:rsid w:val="00EE4E87"/>
    <w:rsid w:val="00EE7A9C"/>
    <w:rsid w:val="00EF00F4"/>
    <w:rsid w:val="00EF097F"/>
    <w:rsid w:val="00EF287F"/>
    <w:rsid w:val="00EF6253"/>
    <w:rsid w:val="00EF6526"/>
    <w:rsid w:val="00F00F9B"/>
    <w:rsid w:val="00F02DBD"/>
    <w:rsid w:val="00F033CA"/>
    <w:rsid w:val="00F0557E"/>
    <w:rsid w:val="00F07BD0"/>
    <w:rsid w:val="00F07C15"/>
    <w:rsid w:val="00F07F2B"/>
    <w:rsid w:val="00F10EFE"/>
    <w:rsid w:val="00F11774"/>
    <w:rsid w:val="00F1200C"/>
    <w:rsid w:val="00F1239B"/>
    <w:rsid w:val="00F12599"/>
    <w:rsid w:val="00F1266D"/>
    <w:rsid w:val="00F14794"/>
    <w:rsid w:val="00F149D5"/>
    <w:rsid w:val="00F14D39"/>
    <w:rsid w:val="00F16B09"/>
    <w:rsid w:val="00F170A9"/>
    <w:rsid w:val="00F21B89"/>
    <w:rsid w:val="00F21DF1"/>
    <w:rsid w:val="00F23A14"/>
    <w:rsid w:val="00F23EEF"/>
    <w:rsid w:val="00F24989"/>
    <w:rsid w:val="00F24ACF"/>
    <w:rsid w:val="00F26971"/>
    <w:rsid w:val="00F30A26"/>
    <w:rsid w:val="00F30EE0"/>
    <w:rsid w:val="00F310B9"/>
    <w:rsid w:val="00F35DF8"/>
    <w:rsid w:val="00F36B88"/>
    <w:rsid w:val="00F3741E"/>
    <w:rsid w:val="00F37722"/>
    <w:rsid w:val="00F4408B"/>
    <w:rsid w:val="00F44831"/>
    <w:rsid w:val="00F449E5"/>
    <w:rsid w:val="00F45D92"/>
    <w:rsid w:val="00F460DC"/>
    <w:rsid w:val="00F52EA8"/>
    <w:rsid w:val="00F52FFB"/>
    <w:rsid w:val="00F53310"/>
    <w:rsid w:val="00F5456F"/>
    <w:rsid w:val="00F61406"/>
    <w:rsid w:val="00F6302F"/>
    <w:rsid w:val="00F634CC"/>
    <w:rsid w:val="00F66ED7"/>
    <w:rsid w:val="00F673F6"/>
    <w:rsid w:val="00F716C7"/>
    <w:rsid w:val="00F71AFC"/>
    <w:rsid w:val="00F727A9"/>
    <w:rsid w:val="00F82745"/>
    <w:rsid w:val="00F830D1"/>
    <w:rsid w:val="00F8442C"/>
    <w:rsid w:val="00F85C2A"/>
    <w:rsid w:val="00F8685B"/>
    <w:rsid w:val="00F902CF"/>
    <w:rsid w:val="00F90BA6"/>
    <w:rsid w:val="00F90C79"/>
    <w:rsid w:val="00F91FA6"/>
    <w:rsid w:val="00F92FF5"/>
    <w:rsid w:val="00F93A66"/>
    <w:rsid w:val="00F95996"/>
    <w:rsid w:val="00FA3BF0"/>
    <w:rsid w:val="00FA4DD9"/>
    <w:rsid w:val="00FA68F8"/>
    <w:rsid w:val="00FB0280"/>
    <w:rsid w:val="00FB1B0D"/>
    <w:rsid w:val="00FB2186"/>
    <w:rsid w:val="00FB4914"/>
    <w:rsid w:val="00FC02EF"/>
    <w:rsid w:val="00FC048E"/>
    <w:rsid w:val="00FC34C4"/>
    <w:rsid w:val="00FC37B7"/>
    <w:rsid w:val="00FC37CE"/>
    <w:rsid w:val="00FC3A7B"/>
    <w:rsid w:val="00FC48D7"/>
    <w:rsid w:val="00FC5A77"/>
    <w:rsid w:val="00FC6386"/>
    <w:rsid w:val="00FC7139"/>
    <w:rsid w:val="00FC7C45"/>
    <w:rsid w:val="00FD3F6C"/>
    <w:rsid w:val="00FD708F"/>
    <w:rsid w:val="00FE10D2"/>
    <w:rsid w:val="00FE2B04"/>
    <w:rsid w:val="00FE3D48"/>
    <w:rsid w:val="00FE3DE7"/>
    <w:rsid w:val="00FE768A"/>
    <w:rsid w:val="00FE7CBD"/>
    <w:rsid w:val="00FF019E"/>
    <w:rsid w:val="00FF042C"/>
    <w:rsid w:val="00FF1EBE"/>
    <w:rsid w:val="04290F96"/>
    <w:rsid w:val="068A2545"/>
    <w:rsid w:val="07AD992E"/>
    <w:rsid w:val="0D58D6B8"/>
    <w:rsid w:val="11491A0E"/>
    <w:rsid w:val="124CE1C3"/>
    <w:rsid w:val="12A3339E"/>
    <w:rsid w:val="177C76CB"/>
    <w:rsid w:val="18B709E7"/>
    <w:rsid w:val="19B0F72A"/>
    <w:rsid w:val="1A651F47"/>
    <w:rsid w:val="1F209DAC"/>
    <w:rsid w:val="2428239F"/>
    <w:rsid w:val="2908BD33"/>
    <w:rsid w:val="2B9FC3C7"/>
    <w:rsid w:val="2DA6BC24"/>
    <w:rsid w:val="3A9B0596"/>
    <w:rsid w:val="3D3A9960"/>
    <w:rsid w:val="3F241EFA"/>
    <w:rsid w:val="405F8BFC"/>
    <w:rsid w:val="428107F2"/>
    <w:rsid w:val="47C6D7CB"/>
    <w:rsid w:val="4AB17AFA"/>
    <w:rsid w:val="53AD4107"/>
    <w:rsid w:val="54A7AD7B"/>
    <w:rsid w:val="5620AB5B"/>
    <w:rsid w:val="56D98F65"/>
    <w:rsid w:val="5E5E8E9E"/>
    <w:rsid w:val="64D913C9"/>
    <w:rsid w:val="653C2AB8"/>
    <w:rsid w:val="6665FE39"/>
    <w:rsid w:val="6AE81C07"/>
    <w:rsid w:val="6C4AFDD5"/>
    <w:rsid w:val="6E5EAA75"/>
    <w:rsid w:val="739CE0BE"/>
    <w:rsid w:val="752930C2"/>
    <w:rsid w:val="76D692D7"/>
    <w:rsid w:val="7768CDBE"/>
    <w:rsid w:val="7E102D4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860ED7"/>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789"/>
  </w:style>
  <w:style w:type="paragraph" w:styleId="Heading1">
    <w:name w:val="heading 1"/>
    <w:basedOn w:val="Normal"/>
    <w:next w:val="Normal"/>
    <w:link w:val="Heading1Char"/>
    <w:uiPriority w:val="9"/>
    <w:qFormat/>
    <w:rsid w:val="008A047A"/>
    <w:pPr>
      <w:keepNext/>
      <w:keepLines/>
      <w:pBdr>
        <w:bottom w:val="single" w:sz="4" w:space="1" w:color="auto"/>
      </w:pBdr>
      <w:spacing w:before="240" w:after="240"/>
      <w:outlineLvl w:val="0"/>
    </w:pPr>
    <w:rPr>
      <w:rFonts w:asciiTheme="majorHAnsi" w:eastAsiaTheme="majorEastAsia" w:hAnsiTheme="majorHAnsi" w:cstheme="majorBidi"/>
      <w:b/>
      <w:sz w:val="28"/>
      <w:szCs w:val="32"/>
    </w:rPr>
  </w:style>
  <w:style w:type="paragraph" w:styleId="Heading2">
    <w:name w:val="heading 2"/>
    <w:basedOn w:val="Normal"/>
    <w:next w:val="Normal"/>
    <w:link w:val="Heading2Char"/>
    <w:uiPriority w:val="9"/>
    <w:unhideWhenUsed/>
    <w:qFormat/>
    <w:rsid w:val="008A047A"/>
    <w:pPr>
      <w:keepNext/>
      <w:keepLines/>
      <w:spacing w:before="120" w:after="0"/>
      <w:outlineLvl w:val="1"/>
    </w:pPr>
    <w:rPr>
      <w:rFonts w:asciiTheme="majorHAnsi" w:eastAsiaTheme="majorEastAsia" w:hAnsiTheme="majorHAnsi" w:cstheme="majorBidi"/>
      <w:b/>
      <w:color w:val="2F5496" w:themeColor="accent1" w:themeShade="BF"/>
      <w:sz w:val="24"/>
      <w:szCs w:val="26"/>
    </w:rPr>
  </w:style>
  <w:style w:type="paragraph" w:styleId="Heading6">
    <w:name w:val="heading 6"/>
    <w:basedOn w:val="Normal"/>
    <w:next w:val="Normal"/>
    <w:link w:val="Heading6Char"/>
    <w:uiPriority w:val="9"/>
    <w:qFormat/>
    <w:rsid w:val="0082443C"/>
    <w:pPr>
      <w:keepNext/>
      <w:spacing w:before="240" w:after="60" w:line="240" w:lineRule="auto"/>
      <w:ind w:left="2835"/>
      <w:outlineLvl w:val="5"/>
    </w:pPr>
    <w:rPr>
      <w:rFonts w:ascii="Arial" w:eastAsia="Times New Roman" w:hAnsi="Arial" w:cs="Times New Roman"/>
      <w:b/>
      <w:bCs/>
      <w:i/>
    </w:rPr>
  </w:style>
  <w:style w:type="paragraph" w:styleId="Heading7">
    <w:name w:val="heading 7"/>
    <w:basedOn w:val="Normal"/>
    <w:next w:val="Normal"/>
    <w:link w:val="Heading7Char"/>
    <w:uiPriority w:val="9"/>
    <w:semiHidden/>
    <w:unhideWhenUsed/>
    <w:qFormat/>
    <w:rsid w:val="0082443C"/>
    <w:pPr>
      <w:keepNext/>
      <w:keepLines/>
      <w:spacing w:before="40" w:after="0" w:line="240" w:lineRule="auto"/>
      <w:ind w:left="3402"/>
      <w:outlineLvl w:val="6"/>
    </w:pPr>
    <w:rPr>
      <w:rFonts w:asciiTheme="majorHAnsi" w:eastAsiaTheme="majorEastAsia" w:hAnsiTheme="majorHAnsi" w:cstheme="majorBidi"/>
      <w:i/>
      <w:iCs/>
      <w:color w:val="1F3763" w:themeColor="accent1" w:themeShade="7F"/>
      <w:szCs w:val="24"/>
    </w:rPr>
  </w:style>
  <w:style w:type="paragraph" w:styleId="Heading8">
    <w:name w:val="heading 8"/>
    <w:basedOn w:val="Normal"/>
    <w:next w:val="Normal"/>
    <w:link w:val="Heading8Char"/>
    <w:uiPriority w:val="9"/>
    <w:semiHidden/>
    <w:unhideWhenUsed/>
    <w:qFormat/>
    <w:rsid w:val="0082443C"/>
    <w:pPr>
      <w:keepNext/>
      <w:keepLines/>
      <w:tabs>
        <w:tab w:val="num" w:pos="360"/>
      </w:tabs>
      <w:spacing w:before="40" w:after="0" w:line="24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2443C"/>
    <w:pPr>
      <w:keepNext/>
      <w:keepLines/>
      <w:tabs>
        <w:tab w:val="num" w:pos="360"/>
      </w:tab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text">
    <w:name w:val="Delete text"/>
    <w:basedOn w:val="NormalWeb"/>
    <w:link w:val="DeletetextChar"/>
    <w:autoRedefine/>
    <w:qFormat/>
    <w:rsid w:val="00944532"/>
    <w:pPr>
      <w:shd w:val="clear" w:color="auto" w:fill="FFFF00"/>
      <w:spacing w:after="240" w:line="300" w:lineRule="atLeast"/>
    </w:pPr>
    <w:rPr>
      <w:rFonts w:eastAsia="Times New Roman" w:cstheme="minorHAnsi"/>
      <w:strike/>
      <w:color w:val="FF0000"/>
      <w:lang w:eastAsia="en-AU"/>
    </w:rPr>
  </w:style>
  <w:style w:type="character" w:customStyle="1" w:styleId="DeletetextChar">
    <w:name w:val="Delete text Char"/>
    <w:basedOn w:val="DefaultParagraphFont"/>
    <w:link w:val="Deletetext"/>
    <w:rsid w:val="00944532"/>
    <w:rPr>
      <w:rFonts w:ascii="Times New Roman" w:eastAsia="Times New Roman" w:hAnsi="Times New Roman" w:cstheme="minorHAnsi"/>
      <w:strike/>
      <w:color w:val="FF0000"/>
      <w:sz w:val="24"/>
      <w:szCs w:val="24"/>
      <w:shd w:val="clear" w:color="auto" w:fill="FFFF00"/>
      <w:lang w:eastAsia="en-AU"/>
    </w:rPr>
  </w:style>
  <w:style w:type="paragraph" w:styleId="NormalWeb">
    <w:name w:val="Normal (Web)"/>
    <w:basedOn w:val="Normal"/>
    <w:uiPriority w:val="99"/>
    <w:semiHidden/>
    <w:unhideWhenUsed/>
    <w:rsid w:val="00944532"/>
    <w:rPr>
      <w:rFonts w:ascii="Times New Roman" w:hAnsi="Times New Roman" w:cs="Times New Roman"/>
      <w:sz w:val="24"/>
      <w:szCs w:val="24"/>
    </w:rPr>
  </w:style>
  <w:style w:type="character" w:customStyle="1" w:styleId="Heading1Char">
    <w:name w:val="Heading 1 Char"/>
    <w:basedOn w:val="DefaultParagraphFont"/>
    <w:link w:val="Heading1"/>
    <w:uiPriority w:val="9"/>
    <w:rsid w:val="008A047A"/>
    <w:rPr>
      <w:rFonts w:asciiTheme="majorHAnsi" w:eastAsiaTheme="majorEastAsia" w:hAnsiTheme="majorHAnsi" w:cstheme="majorBidi"/>
      <w:b/>
      <w:sz w:val="28"/>
      <w:szCs w:val="32"/>
    </w:rPr>
  </w:style>
  <w:style w:type="character" w:customStyle="1" w:styleId="Heading2Char">
    <w:name w:val="Heading 2 Char"/>
    <w:basedOn w:val="DefaultParagraphFont"/>
    <w:link w:val="Heading2"/>
    <w:uiPriority w:val="9"/>
    <w:rsid w:val="008A047A"/>
    <w:rPr>
      <w:rFonts w:asciiTheme="majorHAnsi" w:eastAsiaTheme="majorEastAsia" w:hAnsiTheme="majorHAnsi" w:cstheme="majorBidi"/>
      <w:b/>
      <w:color w:val="2F5496" w:themeColor="accent1" w:themeShade="BF"/>
      <w:sz w:val="24"/>
      <w:szCs w:val="26"/>
    </w:rPr>
  </w:style>
  <w:style w:type="character" w:styleId="Hyperlink">
    <w:name w:val="Hyperlink"/>
    <w:basedOn w:val="DefaultParagraphFont"/>
    <w:uiPriority w:val="99"/>
    <w:unhideWhenUsed/>
    <w:qFormat/>
    <w:rsid w:val="00E37575"/>
    <w:rPr>
      <w:color w:val="0563C1" w:themeColor="hyperlink"/>
      <w:u w:val="single"/>
    </w:rPr>
  </w:style>
  <w:style w:type="paragraph" w:styleId="ListParagraph">
    <w:name w:val="List Paragraph"/>
    <w:basedOn w:val="Normal"/>
    <w:uiPriority w:val="34"/>
    <w:qFormat/>
    <w:rsid w:val="00E37575"/>
    <w:pPr>
      <w:ind w:left="720"/>
      <w:contextualSpacing/>
    </w:pPr>
  </w:style>
  <w:style w:type="character" w:styleId="CommentReference">
    <w:name w:val="annotation reference"/>
    <w:basedOn w:val="DefaultParagraphFont"/>
    <w:uiPriority w:val="99"/>
    <w:unhideWhenUsed/>
    <w:rsid w:val="00E37575"/>
    <w:rPr>
      <w:sz w:val="16"/>
      <w:szCs w:val="16"/>
    </w:rPr>
  </w:style>
  <w:style w:type="paragraph" w:styleId="CommentText">
    <w:name w:val="annotation text"/>
    <w:basedOn w:val="Normal"/>
    <w:link w:val="CommentTextChar"/>
    <w:uiPriority w:val="99"/>
    <w:unhideWhenUsed/>
    <w:rsid w:val="00E37575"/>
    <w:pPr>
      <w:spacing w:line="240" w:lineRule="auto"/>
    </w:pPr>
    <w:rPr>
      <w:sz w:val="20"/>
      <w:szCs w:val="20"/>
    </w:rPr>
  </w:style>
  <w:style w:type="character" w:customStyle="1" w:styleId="CommentTextChar">
    <w:name w:val="Comment Text Char"/>
    <w:basedOn w:val="DefaultParagraphFont"/>
    <w:link w:val="CommentText"/>
    <w:uiPriority w:val="99"/>
    <w:rsid w:val="00E37575"/>
    <w:rPr>
      <w:sz w:val="20"/>
      <w:szCs w:val="20"/>
    </w:rPr>
  </w:style>
  <w:style w:type="paragraph" w:styleId="Header">
    <w:name w:val="header"/>
    <w:basedOn w:val="Normal"/>
    <w:link w:val="HeaderChar"/>
    <w:uiPriority w:val="99"/>
    <w:unhideWhenUsed/>
    <w:rsid w:val="005529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293C"/>
  </w:style>
  <w:style w:type="paragraph" w:styleId="Footer">
    <w:name w:val="footer"/>
    <w:basedOn w:val="Normal"/>
    <w:link w:val="FooterChar"/>
    <w:uiPriority w:val="99"/>
    <w:unhideWhenUsed/>
    <w:rsid w:val="005529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293C"/>
  </w:style>
  <w:style w:type="character" w:styleId="UnresolvedMention">
    <w:name w:val="Unresolved Mention"/>
    <w:basedOn w:val="DefaultParagraphFont"/>
    <w:uiPriority w:val="99"/>
    <w:semiHidden/>
    <w:unhideWhenUsed/>
    <w:rsid w:val="0055293C"/>
    <w:rPr>
      <w:color w:val="605E5C"/>
      <w:shd w:val="clear" w:color="auto" w:fill="E1DFDD"/>
    </w:rPr>
  </w:style>
  <w:style w:type="character" w:styleId="FollowedHyperlink">
    <w:name w:val="FollowedHyperlink"/>
    <w:basedOn w:val="DefaultParagraphFont"/>
    <w:uiPriority w:val="99"/>
    <w:semiHidden/>
    <w:unhideWhenUsed/>
    <w:rsid w:val="00B731AF"/>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F85C2A"/>
    <w:rPr>
      <w:b/>
      <w:bCs/>
    </w:rPr>
  </w:style>
  <w:style w:type="character" w:customStyle="1" w:styleId="CommentSubjectChar">
    <w:name w:val="Comment Subject Char"/>
    <w:basedOn w:val="CommentTextChar"/>
    <w:link w:val="CommentSubject"/>
    <w:uiPriority w:val="99"/>
    <w:semiHidden/>
    <w:rsid w:val="00F85C2A"/>
    <w:rPr>
      <w:b/>
      <w:bCs/>
      <w:sz w:val="20"/>
      <w:szCs w:val="20"/>
    </w:rPr>
  </w:style>
  <w:style w:type="paragraph" w:styleId="Revision">
    <w:name w:val="Revision"/>
    <w:hidden/>
    <w:uiPriority w:val="99"/>
    <w:semiHidden/>
    <w:rsid w:val="00FD708F"/>
    <w:pPr>
      <w:spacing w:after="0" w:line="240" w:lineRule="auto"/>
    </w:pPr>
  </w:style>
  <w:style w:type="character" w:customStyle="1" w:styleId="ui-provider">
    <w:name w:val="ui-provider"/>
    <w:basedOn w:val="DefaultParagraphFont"/>
    <w:rsid w:val="00027ECF"/>
  </w:style>
  <w:style w:type="paragraph" w:customStyle="1" w:styleId="Default">
    <w:name w:val="Default"/>
    <w:rsid w:val="004866A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6Char">
    <w:name w:val="Heading 6 Char"/>
    <w:basedOn w:val="DefaultParagraphFont"/>
    <w:link w:val="Heading6"/>
    <w:uiPriority w:val="9"/>
    <w:rsid w:val="0082443C"/>
    <w:rPr>
      <w:rFonts w:ascii="Arial" w:eastAsia="Times New Roman" w:hAnsi="Arial" w:cs="Times New Roman"/>
      <w:b/>
      <w:bCs/>
      <w:i/>
    </w:rPr>
  </w:style>
  <w:style w:type="character" w:customStyle="1" w:styleId="Heading7Char">
    <w:name w:val="Heading 7 Char"/>
    <w:basedOn w:val="DefaultParagraphFont"/>
    <w:link w:val="Heading7"/>
    <w:uiPriority w:val="9"/>
    <w:semiHidden/>
    <w:rsid w:val="0082443C"/>
    <w:rPr>
      <w:rFonts w:asciiTheme="majorHAnsi" w:eastAsiaTheme="majorEastAsia" w:hAnsiTheme="majorHAnsi" w:cstheme="majorBidi"/>
      <w:i/>
      <w:iCs/>
      <w:color w:val="1F3763" w:themeColor="accent1" w:themeShade="7F"/>
      <w:szCs w:val="24"/>
    </w:rPr>
  </w:style>
  <w:style w:type="character" w:customStyle="1" w:styleId="Heading8Char">
    <w:name w:val="Heading 8 Char"/>
    <w:basedOn w:val="DefaultParagraphFont"/>
    <w:link w:val="Heading8"/>
    <w:uiPriority w:val="9"/>
    <w:semiHidden/>
    <w:rsid w:val="0082443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2443C"/>
    <w:rPr>
      <w:rFonts w:asciiTheme="majorHAnsi" w:eastAsiaTheme="majorEastAsia" w:hAnsiTheme="majorHAnsi" w:cstheme="majorBidi"/>
      <w:i/>
      <w:iCs/>
      <w:color w:val="272727" w:themeColor="text1" w:themeTint="D8"/>
      <w:sz w:val="21"/>
      <w:szCs w:val="21"/>
    </w:rPr>
  </w:style>
  <w:style w:type="paragraph" w:customStyle="1" w:styleId="Paragraphtext">
    <w:name w:val="Paragraph text"/>
    <w:basedOn w:val="Normal"/>
    <w:qFormat/>
    <w:rsid w:val="0082443C"/>
    <w:pPr>
      <w:spacing w:before="120" w:after="0" w:line="240" w:lineRule="auto"/>
      <w:ind w:left="567" w:hanging="567"/>
      <w:jc w:val="both"/>
    </w:pPr>
    <w:rPr>
      <w:rFonts w:ascii="Arial" w:eastAsia="Times New Roman" w:hAnsi="Arial" w:cs="Times New Roman"/>
      <w:color w:val="000000" w:themeColor="text1"/>
      <w:szCs w:val="24"/>
    </w:rPr>
  </w:style>
  <w:style w:type="paragraph" w:styleId="FootnoteText">
    <w:name w:val="footnote text"/>
    <w:basedOn w:val="Normal"/>
    <w:link w:val="FootnoteTextChar"/>
    <w:rsid w:val="0082443C"/>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82443C"/>
    <w:rPr>
      <w:rFonts w:ascii="Arial" w:eastAsia="Times New Roman" w:hAnsi="Arial" w:cs="Times New Roman"/>
      <w:sz w:val="20"/>
      <w:szCs w:val="20"/>
    </w:rPr>
  </w:style>
  <w:style w:type="character" w:styleId="FootnoteReference">
    <w:name w:val="footnote reference"/>
    <w:basedOn w:val="DefaultParagraphFont"/>
    <w:semiHidden/>
    <w:unhideWhenUsed/>
    <w:rsid w:val="0082443C"/>
    <w:rPr>
      <w:vertAlign w:val="superscript"/>
    </w:rPr>
  </w:style>
  <w:style w:type="character" w:styleId="Mention">
    <w:name w:val="Mention"/>
    <w:basedOn w:val="DefaultParagraphFont"/>
    <w:uiPriority w:val="99"/>
    <w:unhideWhenUsed/>
    <w:rsid w:val="004148CC"/>
    <w:rPr>
      <w:color w:val="2B579A"/>
      <w:shd w:val="clear" w:color="auto" w:fill="E1DFDD"/>
    </w:rPr>
  </w:style>
  <w:style w:type="table" w:styleId="TableGrid">
    <w:name w:val="Table Grid"/>
    <w:basedOn w:val="TableNormal"/>
    <w:uiPriority w:val="39"/>
    <w:rsid w:val="00424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2850">
      <w:bodyDiv w:val="1"/>
      <w:marLeft w:val="0"/>
      <w:marRight w:val="0"/>
      <w:marTop w:val="0"/>
      <w:marBottom w:val="0"/>
      <w:divBdr>
        <w:top w:val="none" w:sz="0" w:space="0" w:color="auto"/>
        <w:left w:val="none" w:sz="0" w:space="0" w:color="auto"/>
        <w:bottom w:val="none" w:sz="0" w:space="0" w:color="auto"/>
        <w:right w:val="none" w:sz="0" w:space="0" w:color="auto"/>
      </w:divBdr>
    </w:div>
    <w:div w:id="495533722">
      <w:bodyDiv w:val="1"/>
      <w:marLeft w:val="0"/>
      <w:marRight w:val="0"/>
      <w:marTop w:val="0"/>
      <w:marBottom w:val="0"/>
      <w:divBdr>
        <w:top w:val="none" w:sz="0" w:space="0" w:color="auto"/>
        <w:left w:val="none" w:sz="0" w:space="0" w:color="auto"/>
        <w:bottom w:val="none" w:sz="0" w:space="0" w:color="auto"/>
        <w:right w:val="none" w:sz="0" w:space="0" w:color="auto"/>
      </w:divBdr>
    </w:div>
    <w:div w:id="595792550">
      <w:bodyDiv w:val="1"/>
      <w:marLeft w:val="0"/>
      <w:marRight w:val="0"/>
      <w:marTop w:val="0"/>
      <w:marBottom w:val="0"/>
      <w:divBdr>
        <w:top w:val="none" w:sz="0" w:space="0" w:color="auto"/>
        <w:left w:val="none" w:sz="0" w:space="0" w:color="auto"/>
        <w:bottom w:val="none" w:sz="0" w:space="0" w:color="auto"/>
        <w:right w:val="none" w:sz="0" w:space="0" w:color="auto"/>
      </w:divBdr>
    </w:div>
    <w:div w:id="159608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au/C2024A00088/asmade/text" TargetMode="External"/><Relationship Id="rId13" Type="http://schemas.openxmlformats.org/officeDocument/2006/relationships/hyperlink" Target="https://www.pbs.gov.au/industry/pricing/designated-brands/Price-Disclosure-Reforms-under-the-New-Strategic-Agreement-Fact-Sheet.pdf" TargetMode="External"/><Relationship Id="rId18" Type="http://schemas.openxmlformats.org/officeDocument/2006/relationships/footer" Target="footer2.xml"/><Relationship Id="rId26" Type="http://schemas.openxmlformats.org/officeDocument/2006/relationships/image" Target="media/image7.jpg"/><Relationship Id="rId3" Type="http://schemas.openxmlformats.org/officeDocument/2006/relationships/styles" Target="styles.xml"/><Relationship Id="rId21" Type="http://schemas.openxmlformats.org/officeDocument/2006/relationships/image" Target="media/image2.jpg"/><Relationship Id="rId7" Type="http://schemas.openxmlformats.org/officeDocument/2006/relationships/endnotes" Target="endnotes.xml"/><Relationship Id="rId12" Type="http://schemas.openxmlformats.org/officeDocument/2006/relationships/hyperlink" Target="https://parlinfo.aph.gov.au/parlInfo/search/display/display.w3p;query=Id%3A%22legislation%2Fems%2Fr7235_ems_2f758b1f-1b97-4299-bab8-d936ca595660%22" TargetMode="External"/><Relationship Id="rId17" Type="http://schemas.openxmlformats.org/officeDocument/2006/relationships/footer" Target="footer1.xml"/><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s://parlinfo.aph.gov.au/parlInfo/download/legislation/ems/r6799_ems_8812668a-6b85-4028-8a69-034fe4858fad/upload_pdf/JC003895.pdf" TargetMode="External"/><Relationship Id="rId20" Type="http://schemas.openxmlformats.org/officeDocument/2006/relationships/footer" Target="footer3.xm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au/C2024A00088/asmade/text" TargetMode="External"/><Relationship Id="rId24" Type="http://schemas.openxmlformats.org/officeDocument/2006/relationships/image" Target="media/image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bs.gov.au/info/industry/pricing/price-disclosure-spd/price-disclosure-guidelines" TargetMode="External"/><Relationship Id="rId23" Type="http://schemas.openxmlformats.org/officeDocument/2006/relationships/image" Target="media/image4.png"/><Relationship Id="rId28" Type="http://schemas.openxmlformats.org/officeDocument/2006/relationships/image" Target="media/image9.jpg"/><Relationship Id="rId10" Type="http://schemas.openxmlformats.org/officeDocument/2006/relationships/hyperlink" Target="https://www.legislation.gov.au/C2021A00139/asmade/text" TargetMode="External"/><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egislation.gov.au/C1953A00095/latest/text" TargetMode="External"/><Relationship Id="rId14" Type="http://schemas.openxmlformats.org/officeDocument/2006/relationships/hyperlink" Target="https://www.pbs.gov.au/info/industry/pricing/designated-brands" TargetMode="External"/><Relationship Id="rId22" Type="http://schemas.openxmlformats.org/officeDocument/2006/relationships/image" Target="media/image3.png"/><Relationship Id="rId27" Type="http://schemas.openxmlformats.org/officeDocument/2006/relationships/image" Target="media/image8.jpg"/><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F4E3E-2E53-4DD1-8233-168952C7B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2627</Words>
  <Characters>14979</Characters>
  <Application>Microsoft Office Word</Application>
  <DocSecurity>0</DocSecurity>
  <Lines>124</Lines>
  <Paragraphs>35</Paragraphs>
  <ScaleCrop>false</ScaleCrop>
  <Company/>
  <LinksUpToDate>false</LinksUpToDate>
  <CharactersWithSpaces>17571</CharactersWithSpaces>
  <SharedDoc>false</SharedDoc>
  <HLinks>
    <vt:vector size="114" baseType="variant">
      <vt:variant>
        <vt:i4>7340133</vt:i4>
      </vt:variant>
      <vt:variant>
        <vt:i4>54</vt:i4>
      </vt:variant>
      <vt:variant>
        <vt:i4>0</vt:i4>
      </vt:variant>
      <vt:variant>
        <vt:i4>5</vt:i4>
      </vt:variant>
      <vt:variant>
        <vt:lpwstr/>
      </vt:variant>
      <vt:variant>
        <vt:lpwstr>AppendixFigure3</vt:lpwstr>
      </vt:variant>
      <vt:variant>
        <vt:i4>7340133</vt:i4>
      </vt:variant>
      <vt:variant>
        <vt:i4>51</vt:i4>
      </vt:variant>
      <vt:variant>
        <vt:i4>0</vt:i4>
      </vt:variant>
      <vt:variant>
        <vt:i4>5</vt:i4>
      </vt:variant>
      <vt:variant>
        <vt:lpwstr/>
      </vt:variant>
      <vt:variant>
        <vt:lpwstr>AppendixFigure2</vt:lpwstr>
      </vt:variant>
      <vt:variant>
        <vt:i4>7340133</vt:i4>
      </vt:variant>
      <vt:variant>
        <vt:i4>48</vt:i4>
      </vt:variant>
      <vt:variant>
        <vt:i4>0</vt:i4>
      </vt:variant>
      <vt:variant>
        <vt:i4>5</vt:i4>
      </vt:variant>
      <vt:variant>
        <vt:lpwstr/>
      </vt:variant>
      <vt:variant>
        <vt:lpwstr>AppendixFigure2</vt:lpwstr>
      </vt:variant>
      <vt:variant>
        <vt:i4>7340133</vt:i4>
      </vt:variant>
      <vt:variant>
        <vt:i4>45</vt:i4>
      </vt:variant>
      <vt:variant>
        <vt:i4>0</vt:i4>
      </vt:variant>
      <vt:variant>
        <vt:i4>5</vt:i4>
      </vt:variant>
      <vt:variant>
        <vt:lpwstr/>
      </vt:variant>
      <vt:variant>
        <vt:lpwstr>AppendixFigure1</vt:lpwstr>
      </vt:variant>
      <vt:variant>
        <vt:i4>7340133</vt:i4>
      </vt:variant>
      <vt:variant>
        <vt:i4>42</vt:i4>
      </vt:variant>
      <vt:variant>
        <vt:i4>0</vt:i4>
      </vt:variant>
      <vt:variant>
        <vt:i4>5</vt:i4>
      </vt:variant>
      <vt:variant>
        <vt:lpwstr/>
      </vt:variant>
      <vt:variant>
        <vt:lpwstr>AppendixFigure1</vt:lpwstr>
      </vt:variant>
      <vt:variant>
        <vt:i4>7536661</vt:i4>
      </vt:variant>
      <vt:variant>
        <vt:i4>39</vt:i4>
      </vt:variant>
      <vt:variant>
        <vt:i4>0</vt:i4>
      </vt:variant>
      <vt:variant>
        <vt:i4>5</vt:i4>
      </vt:variant>
      <vt:variant>
        <vt:lpwstr/>
      </vt:variant>
      <vt:variant>
        <vt:lpwstr>_Figure_3_–</vt:lpwstr>
      </vt:variant>
      <vt:variant>
        <vt:i4>7536660</vt:i4>
      </vt:variant>
      <vt:variant>
        <vt:i4>36</vt:i4>
      </vt:variant>
      <vt:variant>
        <vt:i4>0</vt:i4>
      </vt:variant>
      <vt:variant>
        <vt:i4>5</vt:i4>
      </vt:variant>
      <vt:variant>
        <vt:lpwstr/>
      </vt:variant>
      <vt:variant>
        <vt:lpwstr>_Figure_2_–</vt:lpwstr>
      </vt:variant>
      <vt:variant>
        <vt:i4>4456522</vt:i4>
      </vt:variant>
      <vt:variant>
        <vt:i4>33</vt:i4>
      </vt:variant>
      <vt:variant>
        <vt:i4>0</vt:i4>
      </vt:variant>
      <vt:variant>
        <vt:i4>5</vt:i4>
      </vt:variant>
      <vt:variant>
        <vt:lpwstr/>
      </vt:variant>
      <vt:variant>
        <vt:lpwstr>_Designated_brands</vt:lpwstr>
      </vt:variant>
      <vt:variant>
        <vt:i4>4456522</vt:i4>
      </vt:variant>
      <vt:variant>
        <vt:i4>30</vt:i4>
      </vt:variant>
      <vt:variant>
        <vt:i4>0</vt:i4>
      </vt:variant>
      <vt:variant>
        <vt:i4>5</vt:i4>
      </vt:variant>
      <vt:variant>
        <vt:lpwstr/>
      </vt:variant>
      <vt:variant>
        <vt:lpwstr>_Designated_brands</vt:lpwstr>
      </vt:variant>
      <vt:variant>
        <vt:i4>7536663</vt:i4>
      </vt:variant>
      <vt:variant>
        <vt:i4>27</vt:i4>
      </vt:variant>
      <vt:variant>
        <vt:i4>0</vt:i4>
      </vt:variant>
      <vt:variant>
        <vt:i4>5</vt:i4>
      </vt:variant>
      <vt:variant>
        <vt:lpwstr/>
      </vt:variant>
      <vt:variant>
        <vt:lpwstr>_Figure_1_–</vt:lpwstr>
      </vt:variant>
      <vt:variant>
        <vt:i4>2424853</vt:i4>
      </vt:variant>
      <vt:variant>
        <vt:i4>24</vt:i4>
      </vt:variant>
      <vt:variant>
        <vt:i4>0</vt:i4>
      </vt:variant>
      <vt:variant>
        <vt:i4>5</vt:i4>
      </vt:variant>
      <vt:variant>
        <vt:lpwstr>https://parlinfo.aph.gov.au/parlInfo/download/legislation/ems/r6799_ems_8812668a-6b85-4028-8a69-034fe4858fad/upload_pdf/JC003895.pdf</vt:lpwstr>
      </vt:variant>
      <vt:variant>
        <vt:lpwstr/>
      </vt:variant>
      <vt:variant>
        <vt:i4>4915208</vt:i4>
      </vt:variant>
      <vt:variant>
        <vt:i4>21</vt:i4>
      </vt:variant>
      <vt:variant>
        <vt:i4>0</vt:i4>
      </vt:variant>
      <vt:variant>
        <vt:i4>5</vt:i4>
      </vt:variant>
      <vt:variant>
        <vt:lpwstr>https://www.pbs.gov.au/info/industry/pricing/price-disclosure-spd/price-disclosure-guidelines</vt:lpwstr>
      </vt:variant>
      <vt:variant>
        <vt:lpwstr/>
      </vt:variant>
      <vt:variant>
        <vt:i4>2556027</vt:i4>
      </vt:variant>
      <vt:variant>
        <vt:i4>18</vt:i4>
      </vt:variant>
      <vt:variant>
        <vt:i4>0</vt:i4>
      </vt:variant>
      <vt:variant>
        <vt:i4>5</vt:i4>
      </vt:variant>
      <vt:variant>
        <vt:lpwstr>https://www.pbs.gov.au/info/industry/pricing/designated-brands</vt:lpwstr>
      </vt:variant>
      <vt:variant>
        <vt:lpwstr/>
      </vt:variant>
      <vt:variant>
        <vt:i4>3604606</vt:i4>
      </vt:variant>
      <vt:variant>
        <vt:i4>15</vt:i4>
      </vt:variant>
      <vt:variant>
        <vt:i4>0</vt:i4>
      </vt:variant>
      <vt:variant>
        <vt:i4>5</vt:i4>
      </vt:variant>
      <vt:variant>
        <vt:lpwstr>https://www.pbs.gov.au/industry/pricing/designated-brands/Price-Disclosure-Reforms-under-the-New-Strategic-Agreement-Fact-Sheet.pdf</vt:lpwstr>
      </vt:variant>
      <vt:variant>
        <vt:lpwstr/>
      </vt:variant>
      <vt:variant>
        <vt:i4>2228320</vt:i4>
      </vt:variant>
      <vt:variant>
        <vt:i4>12</vt:i4>
      </vt:variant>
      <vt:variant>
        <vt:i4>0</vt:i4>
      </vt:variant>
      <vt:variant>
        <vt:i4>5</vt:i4>
      </vt:variant>
      <vt:variant>
        <vt:lpwstr>https://parlinfo.aph.gov.au/parlInfo/search/display/display.w3p;query=Id%3A%22legislation%2Fems%2Fr7235_ems_2f758b1f-1b97-4299-bab8-d936ca595660%22</vt:lpwstr>
      </vt:variant>
      <vt:variant>
        <vt:lpwstr/>
      </vt:variant>
      <vt:variant>
        <vt:i4>2097212</vt:i4>
      </vt:variant>
      <vt:variant>
        <vt:i4>9</vt:i4>
      </vt:variant>
      <vt:variant>
        <vt:i4>0</vt:i4>
      </vt:variant>
      <vt:variant>
        <vt:i4>5</vt:i4>
      </vt:variant>
      <vt:variant>
        <vt:lpwstr>https://www.legislation.gov.au/C2024A00088/asmade/text</vt:lpwstr>
      </vt:variant>
      <vt:variant>
        <vt:lpwstr/>
      </vt:variant>
      <vt:variant>
        <vt:i4>2424887</vt:i4>
      </vt:variant>
      <vt:variant>
        <vt:i4>6</vt:i4>
      </vt:variant>
      <vt:variant>
        <vt:i4>0</vt:i4>
      </vt:variant>
      <vt:variant>
        <vt:i4>5</vt:i4>
      </vt:variant>
      <vt:variant>
        <vt:lpwstr>https://www.legislation.gov.au/C2021A00139/asmade/text</vt:lpwstr>
      </vt:variant>
      <vt:variant>
        <vt:lpwstr/>
      </vt:variant>
      <vt:variant>
        <vt:i4>2097214</vt:i4>
      </vt:variant>
      <vt:variant>
        <vt:i4>3</vt:i4>
      </vt:variant>
      <vt:variant>
        <vt:i4>0</vt:i4>
      </vt:variant>
      <vt:variant>
        <vt:i4>5</vt:i4>
      </vt:variant>
      <vt:variant>
        <vt:lpwstr>https://www.legislation.gov.au/C1953A00095/latest/text</vt:lpwstr>
      </vt:variant>
      <vt:variant>
        <vt:lpwstr/>
      </vt:variant>
      <vt:variant>
        <vt:i4>2097212</vt:i4>
      </vt:variant>
      <vt:variant>
        <vt:i4>0</vt:i4>
      </vt:variant>
      <vt:variant>
        <vt:i4>0</vt:i4>
      </vt:variant>
      <vt:variant>
        <vt:i4>5</vt:i4>
      </vt:variant>
      <vt:variant>
        <vt:lpwstr>https://www.legislation.gov.au/C2024A00088/asmade/text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2024-10-03T01:47:00Z</dcterms:created>
  <dcterms:modified xsi:type="dcterms:W3CDTF">2024-10-03T04:52:00Z</dcterms:modified>
</cp:coreProperties>
</file>