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14802" w14:textId="77777777" w:rsidR="005578D9" w:rsidRDefault="005578D9" w:rsidP="00527A34">
      <w:pPr>
        <w:pStyle w:val="Title"/>
      </w:pPr>
    </w:p>
    <w:p w14:paraId="6158BCFE" w14:textId="78D95225" w:rsidR="00527A34" w:rsidRDefault="00527A34" w:rsidP="00527A34">
      <w:pPr>
        <w:pStyle w:val="Title"/>
      </w:pPr>
      <w:r>
        <w:t>Pharmaceutical Benefits Scheme Minimum Stockholding Guidelines</w:t>
      </w:r>
    </w:p>
    <w:p w14:paraId="1D27A2A4" w14:textId="77777777" w:rsidR="008E08C0" w:rsidRDefault="008E08C0" w:rsidP="008E08C0">
      <w:pPr>
        <w:rPr>
          <w:lang w:val="en-AU"/>
        </w:rPr>
      </w:pPr>
    </w:p>
    <w:p w14:paraId="36FB7B6E" w14:textId="77777777" w:rsidR="00240277" w:rsidRDefault="00240277" w:rsidP="008E08C0">
      <w:pPr>
        <w:rPr>
          <w:lang w:val="en-AU"/>
        </w:rPr>
      </w:pPr>
    </w:p>
    <w:p w14:paraId="69102584" w14:textId="48EA3D97" w:rsidR="00240277" w:rsidRPr="008E08C0" w:rsidRDefault="00240277" w:rsidP="00240277">
      <w:pPr>
        <w:jc w:val="right"/>
        <w:rPr>
          <w:lang w:val="en-AU"/>
        </w:rPr>
      </w:pPr>
      <w:r>
        <w:rPr>
          <w:lang w:val="en-AU"/>
        </w:rPr>
        <w:t>August 2025</w:t>
      </w:r>
    </w:p>
    <w:p w14:paraId="42B511D5" w14:textId="77777777" w:rsidR="00527A34" w:rsidRDefault="00527A34" w:rsidP="00527A34">
      <w:pPr>
        <w:pStyle w:val="Subtitle"/>
        <w:sectPr w:rsidR="00527A34" w:rsidSect="00527A34">
          <w:headerReference w:type="default" r:id="rId12"/>
          <w:headerReference w:type="first" r:id="rId13"/>
          <w:type w:val="continuous"/>
          <w:pgSz w:w="11906" w:h="16838"/>
          <w:pgMar w:top="1701" w:right="1418" w:bottom="1418" w:left="1418" w:header="709" w:footer="709" w:gutter="0"/>
          <w:cols w:space="708"/>
          <w:titlePg/>
          <w:docGrid w:linePitch="360"/>
        </w:sectPr>
      </w:pPr>
    </w:p>
    <w:sdt>
      <w:sdtPr>
        <w:rPr>
          <w:rFonts w:asciiTheme="minorHAnsi" w:eastAsiaTheme="minorEastAsia" w:hAnsiTheme="minorHAnsi" w:cstheme="minorBidi"/>
          <w:b/>
          <w:bCs/>
          <w:noProof/>
          <w:color w:val="auto"/>
          <w:sz w:val="20"/>
          <w:szCs w:val="20"/>
        </w:rPr>
        <w:id w:val="1496389211"/>
        <w:docPartObj>
          <w:docPartGallery w:val="Table of Contents"/>
          <w:docPartUnique/>
        </w:docPartObj>
      </w:sdtPr>
      <w:sdtContent>
        <w:p w14:paraId="1F2DF7A1" w14:textId="5A05D3BF" w:rsidR="008331F0" w:rsidRDefault="008331F0">
          <w:pPr>
            <w:pStyle w:val="TOCHeading"/>
          </w:pPr>
          <w:r>
            <w:t>Contents</w:t>
          </w:r>
        </w:p>
        <w:p w14:paraId="5469EDF2" w14:textId="0702B7EB" w:rsidR="00C14570" w:rsidRDefault="008331F0">
          <w:pPr>
            <w:pStyle w:val="TOC1"/>
            <w:rPr>
              <w:rFonts w:eastAsiaTheme="minorEastAsia"/>
              <w:b w:val="0"/>
              <w:bCs w:val="0"/>
              <w:kern w:val="2"/>
              <w:sz w:val="24"/>
              <w:szCs w:val="24"/>
              <w:lang w:val="en-AU" w:eastAsia="en-AU"/>
              <w14:ligatures w14:val="standardContextual"/>
            </w:rPr>
          </w:pPr>
          <w:r>
            <w:fldChar w:fldCharType="begin"/>
          </w:r>
          <w:r>
            <w:instrText xml:space="preserve"> TOC \o "1-3" \h \z \u </w:instrText>
          </w:r>
          <w:r>
            <w:fldChar w:fldCharType="separate"/>
          </w:r>
          <w:hyperlink w:anchor="_Toc205482077" w:history="1">
            <w:r w:rsidR="00C14570" w:rsidRPr="00A6294F">
              <w:rPr>
                <w:rStyle w:val="Hyperlink"/>
              </w:rPr>
              <w:t>Section 1.</w:t>
            </w:r>
            <w:r w:rsidR="00C14570">
              <w:rPr>
                <w:rFonts w:eastAsiaTheme="minorEastAsia"/>
                <w:b w:val="0"/>
                <w:bCs w:val="0"/>
                <w:kern w:val="2"/>
                <w:sz w:val="24"/>
                <w:szCs w:val="24"/>
                <w:lang w:val="en-AU" w:eastAsia="en-AU"/>
                <w14:ligatures w14:val="standardContextual"/>
              </w:rPr>
              <w:tab/>
            </w:r>
            <w:r w:rsidR="00C14570" w:rsidRPr="00A6294F">
              <w:rPr>
                <w:rStyle w:val="Hyperlink"/>
              </w:rPr>
              <w:t>Introduction</w:t>
            </w:r>
            <w:r w:rsidR="00C14570">
              <w:rPr>
                <w:webHidden/>
              </w:rPr>
              <w:tab/>
            </w:r>
            <w:r w:rsidR="00C14570">
              <w:rPr>
                <w:webHidden/>
              </w:rPr>
              <w:fldChar w:fldCharType="begin"/>
            </w:r>
            <w:r w:rsidR="00C14570">
              <w:rPr>
                <w:webHidden/>
              </w:rPr>
              <w:instrText xml:space="preserve"> PAGEREF _Toc205482077 \h </w:instrText>
            </w:r>
            <w:r w:rsidR="00C14570">
              <w:rPr>
                <w:webHidden/>
              </w:rPr>
            </w:r>
            <w:r w:rsidR="00C14570">
              <w:rPr>
                <w:webHidden/>
              </w:rPr>
              <w:fldChar w:fldCharType="separate"/>
            </w:r>
            <w:r w:rsidR="008A2A42">
              <w:rPr>
                <w:webHidden/>
              </w:rPr>
              <w:t>4</w:t>
            </w:r>
            <w:r w:rsidR="00C14570">
              <w:rPr>
                <w:webHidden/>
              </w:rPr>
              <w:fldChar w:fldCharType="end"/>
            </w:r>
          </w:hyperlink>
        </w:p>
        <w:p w14:paraId="7EDA4B6E" w14:textId="17EB440F" w:rsidR="00C14570" w:rsidRDefault="00C14570">
          <w:pPr>
            <w:pStyle w:val="TOC1"/>
            <w:rPr>
              <w:rFonts w:eastAsiaTheme="minorEastAsia"/>
              <w:b w:val="0"/>
              <w:bCs w:val="0"/>
              <w:kern w:val="2"/>
              <w:sz w:val="24"/>
              <w:szCs w:val="24"/>
              <w:lang w:val="en-AU" w:eastAsia="en-AU"/>
              <w14:ligatures w14:val="standardContextual"/>
            </w:rPr>
          </w:pPr>
          <w:hyperlink w:anchor="_Toc205482078" w:history="1">
            <w:r w:rsidRPr="00A6294F">
              <w:rPr>
                <w:rStyle w:val="Hyperlink"/>
              </w:rPr>
              <w:t>Section 2.</w:t>
            </w:r>
            <w:r>
              <w:rPr>
                <w:rFonts w:eastAsiaTheme="minorEastAsia"/>
                <w:b w:val="0"/>
                <w:bCs w:val="0"/>
                <w:kern w:val="2"/>
                <w:sz w:val="24"/>
                <w:szCs w:val="24"/>
                <w:lang w:val="en-AU" w:eastAsia="en-AU"/>
                <w14:ligatures w14:val="standardContextual"/>
              </w:rPr>
              <w:tab/>
            </w:r>
            <w:r w:rsidRPr="00A6294F">
              <w:rPr>
                <w:rStyle w:val="Hyperlink"/>
              </w:rPr>
              <w:t>Scope of minimum stockholding requirements</w:t>
            </w:r>
            <w:r>
              <w:rPr>
                <w:webHidden/>
              </w:rPr>
              <w:tab/>
            </w:r>
            <w:r>
              <w:rPr>
                <w:webHidden/>
              </w:rPr>
              <w:fldChar w:fldCharType="begin"/>
            </w:r>
            <w:r>
              <w:rPr>
                <w:webHidden/>
              </w:rPr>
              <w:instrText xml:space="preserve"> PAGEREF _Toc205482078 \h </w:instrText>
            </w:r>
            <w:r>
              <w:rPr>
                <w:webHidden/>
              </w:rPr>
            </w:r>
            <w:r>
              <w:rPr>
                <w:webHidden/>
              </w:rPr>
              <w:fldChar w:fldCharType="separate"/>
            </w:r>
            <w:r w:rsidR="008A2A42">
              <w:rPr>
                <w:webHidden/>
              </w:rPr>
              <w:t>6</w:t>
            </w:r>
            <w:r>
              <w:rPr>
                <w:webHidden/>
              </w:rPr>
              <w:fldChar w:fldCharType="end"/>
            </w:r>
          </w:hyperlink>
        </w:p>
        <w:p w14:paraId="178CB818" w14:textId="5E0911AA" w:rsidR="00C14570" w:rsidRDefault="00C14570">
          <w:pPr>
            <w:pStyle w:val="TOC2"/>
            <w:rPr>
              <w:rFonts w:eastAsiaTheme="minorEastAsia"/>
              <w:noProof/>
              <w:kern w:val="2"/>
              <w:sz w:val="24"/>
              <w:szCs w:val="24"/>
              <w:lang w:val="en-AU" w:eastAsia="en-AU"/>
              <w14:ligatures w14:val="standardContextual"/>
            </w:rPr>
          </w:pPr>
          <w:hyperlink w:anchor="_Toc205482079" w:history="1">
            <w:r w:rsidRPr="00A6294F">
              <w:rPr>
                <w:rStyle w:val="Hyperlink"/>
                <w:noProof/>
              </w:rPr>
              <w:t>Section 2.1.</w:t>
            </w:r>
            <w:r>
              <w:rPr>
                <w:rFonts w:eastAsiaTheme="minorEastAsia"/>
                <w:noProof/>
                <w:kern w:val="2"/>
                <w:sz w:val="24"/>
                <w:szCs w:val="24"/>
                <w:lang w:val="en-AU" w:eastAsia="en-AU"/>
                <w14:ligatures w14:val="standardContextual"/>
              </w:rPr>
              <w:tab/>
            </w:r>
            <w:r w:rsidRPr="00A6294F">
              <w:rPr>
                <w:rStyle w:val="Hyperlink"/>
                <w:noProof/>
              </w:rPr>
              <w:t>Criteria for designated brands to be subject to stockholding requirements</w:t>
            </w:r>
            <w:r>
              <w:rPr>
                <w:noProof/>
                <w:webHidden/>
              </w:rPr>
              <w:tab/>
            </w:r>
            <w:r>
              <w:rPr>
                <w:noProof/>
                <w:webHidden/>
              </w:rPr>
              <w:fldChar w:fldCharType="begin"/>
            </w:r>
            <w:r>
              <w:rPr>
                <w:noProof/>
                <w:webHidden/>
              </w:rPr>
              <w:instrText xml:space="preserve"> PAGEREF _Toc205482079 \h </w:instrText>
            </w:r>
            <w:r>
              <w:rPr>
                <w:noProof/>
                <w:webHidden/>
              </w:rPr>
            </w:r>
            <w:r>
              <w:rPr>
                <w:noProof/>
                <w:webHidden/>
              </w:rPr>
              <w:fldChar w:fldCharType="separate"/>
            </w:r>
            <w:r w:rsidR="008A2A42">
              <w:rPr>
                <w:noProof/>
                <w:webHidden/>
              </w:rPr>
              <w:t>6</w:t>
            </w:r>
            <w:r>
              <w:rPr>
                <w:noProof/>
                <w:webHidden/>
              </w:rPr>
              <w:fldChar w:fldCharType="end"/>
            </w:r>
          </w:hyperlink>
        </w:p>
        <w:p w14:paraId="0C7F3163" w14:textId="5DC2829D" w:rsidR="00C14570" w:rsidRDefault="00C14570">
          <w:pPr>
            <w:pStyle w:val="TOC2"/>
            <w:rPr>
              <w:rFonts w:eastAsiaTheme="minorEastAsia"/>
              <w:noProof/>
              <w:kern w:val="2"/>
              <w:sz w:val="24"/>
              <w:szCs w:val="24"/>
              <w:lang w:val="en-AU" w:eastAsia="en-AU"/>
              <w14:ligatures w14:val="standardContextual"/>
            </w:rPr>
          </w:pPr>
          <w:hyperlink w:anchor="_Toc205482080" w:history="1">
            <w:r w:rsidRPr="00A6294F">
              <w:rPr>
                <w:rStyle w:val="Hyperlink"/>
                <w:noProof/>
              </w:rPr>
              <w:t>Section 2.2.</w:t>
            </w:r>
            <w:r>
              <w:rPr>
                <w:rFonts w:eastAsiaTheme="minorEastAsia"/>
                <w:noProof/>
                <w:kern w:val="2"/>
                <w:sz w:val="24"/>
                <w:szCs w:val="24"/>
                <w:lang w:val="en-AU" w:eastAsia="en-AU"/>
                <w14:ligatures w14:val="standardContextual"/>
              </w:rPr>
              <w:tab/>
            </w:r>
            <w:r w:rsidRPr="00A6294F">
              <w:rPr>
                <w:rStyle w:val="Hyperlink"/>
                <w:noProof/>
              </w:rPr>
              <w:t>Minimum stockholding requirements and ‘usual demand’</w:t>
            </w:r>
            <w:r>
              <w:rPr>
                <w:noProof/>
                <w:webHidden/>
              </w:rPr>
              <w:tab/>
            </w:r>
            <w:r>
              <w:rPr>
                <w:noProof/>
                <w:webHidden/>
              </w:rPr>
              <w:fldChar w:fldCharType="begin"/>
            </w:r>
            <w:r>
              <w:rPr>
                <w:noProof/>
                <w:webHidden/>
              </w:rPr>
              <w:instrText xml:space="preserve"> PAGEREF _Toc205482080 \h </w:instrText>
            </w:r>
            <w:r>
              <w:rPr>
                <w:noProof/>
                <w:webHidden/>
              </w:rPr>
            </w:r>
            <w:r>
              <w:rPr>
                <w:noProof/>
                <w:webHidden/>
              </w:rPr>
              <w:fldChar w:fldCharType="separate"/>
            </w:r>
            <w:r w:rsidR="008A2A42">
              <w:rPr>
                <w:noProof/>
                <w:webHidden/>
              </w:rPr>
              <w:t>7</w:t>
            </w:r>
            <w:r>
              <w:rPr>
                <w:noProof/>
                <w:webHidden/>
              </w:rPr>
              <w:fldChar w:fldCharType="end"/>
            </w:r>
          </w:hyperlink>
        </w:p>
        <w:p w14:paraId="06964D14" w14:textId="17D52152" w:rsidR="00C14570" w:rsidRDefault="00C14570">
          <w:pPr>
            <w:pStyle w:val="TOC2"/>
            <w:rPr>
              <w:rFonts w:eastAsiaTheme="minorEastAsia"/>
              <w:noProof/>
              <w:kern w:val="2"/>
              <w:sz w:val="24"/>
              <w:szCs w:val="24"/>
              <w:lang w:val="en-AU" w:eastAsia="en-AU"/>
              <w14:ligatures w14:val="standardContextual"/>
            </w:rPr>
          </w:pPr>
          <w:hyperlink w:anchor="_Toc205482081" w:history="1">
            <w:r w:rsidRPr="00A6294F">
              <w:rPr>
                <w:rStyle w:val="Hyperlink"/>
                <w:noProof/>
              </w:rPr>
              <w:t>Section 2.3.</w:t>
            </w:r>
            <w:r>
              <w:rPr>
                <w:rFonts w:eastAsiaTheme="minorEastAsia"/>
                <w:noProof/>
                <w:kern w:val="2"/>
                <w:sz w:val="24"/>
                <w:szCs w:val="24"/>
                <w:lang w:val="en-AU" w:eastAsia="en-AU"/>
                <w14:ligatures w14:val="standardContextual"/>
              </w:rPr>
              <w:tab/>
            </w:r>
            <w:r w:rsidRPr="00A6294F">
              <w:rPr>
                <w:rStyle w:val="Hyperlink"/>
                <w:noProof/>
              </w:rPr>
              <w:t>Lists of designated brands subject to minimum stockholding requirements published biannually</w:t>
            </w:r>
            <w:r>
              <w:rPr>
                <w:noProof/>
                <w:webHidden/>
              </w:rPr>
              <w:tab/>
            </w:r>
            <w:r>
              <w:rPr>
                <w:noProof/>
                <w:webHidden/>
              </w:rPr>
              <w:fldChar w:fldCharType="begin"/>
            </w:r>
            <w:r>
              <w:rPr>
                <w:noProof/>
                <w:webHidden/>
              </w:rPr>
              <w:instrText xml:space="preserve"> PAGEREF _Toc205482081 \h </w:instrText>
            </w:r>
            <w:r>
              <w:rPr>
                <w:noProof/>
                <w:webHidden/>
              </w:rPr>
            </w:r>
            <w:r>
              <w:rPr>
                <w:noProof/>
                <w:webHidden/>
              </w:rPr>
              <w:fldChar w:fldCharType="separate"/>
            </w:r>
            <w:r w:rsidR="008A2A42">
              <w:rPr>
                <w:noProof/>
                <w:webHidden/>
              </w:rPr>
              <w:t>7</w:t>
            </w:r>
            <w:r>
              <w:rPr>
                <w:noProof/>
                <w:webHidden/>
              </w:rPr>
              <w:fldChar w:fldCharType="end"/>
            </w:r>
          </w:hyperlink>
        </w:p>
        <w:p w14:paraId="4F17AEE3" w14:textId="57899315" w:rsidR="00C14570" w:rsidRDefault="00C14570">
          <w:pPr>
            <w:pStyle w:val="TOC2"/>
            <w:rPr>
              <w:rFonts w:eastAsiaTheme="minorEastAsia"/>
              <w:noProof/>
              <w:kern w:val="2"/>
              <w:sz w:val="24"/>
              <w:szCs w:val="24"/>
              <w:lang w:val="en-AU" w:eastAsia="en-AU"/>
              <w14:ligatures w14:val="standardContextual"/>
            </w:rPr>
          </w:pPr>
          <w:hyperlink w:anchor="_Toc205482082" w:history="1">
            <w:r w:rsidRPr="00A6294F">
              <w:rPr>
                <w:rStyle w:val="Hyperlink"/>
                <w:noProof/>
              </w:rPr>
              <w:t>Section 2.4.</w:t>
            </w:r>
            <w:r>
              <w:rPr>
                <w:rFonts w:eastAsiaTheme="minorEastAsia"/>
                <w:noProof/>
                <w:kern w:val="2"/>
                <w:sz w:val="24"/>
                <w:szCs w:val="24"/>
                <w:lang w:val="en-AU" w:eastAsia="en-AU"/>
                <w14:ligatures w14:val="standardContextual"/>
              </w:rPr>
              <w:tab/>
            </w:r>
            <w:r w:rsidRPr="00A6294F">
              <w:rPr>
                <w:rStyle w:val="Hyperlink"/>
                <w:bCs/>
                <w:noProof/>
              </w:rPr>
              <w:t>Notices to be provided by the department/Price Disclosure Data Administrator (PDDA)</w:t>
            </w:r>
            <w:r>
              <w:rPr>
                <w:noProof/>
                <w:webHidden/>
              </w:rPr>
              <w:tab/>
            </w:r>
            <w:r w:rsidR="002A0218">
              <w:rPr>
                <w:noProof/>
                <w:webHidden/>
              </w:rPr>
              <w:tab/>
            </w:r>
            <w:r w:rsidR="002A0218">
              <w:rPr>
                <w:noProof/>
                <w:webHidden/>
              </w:rPr>
              <w:tab/>
            </w:r>
            <w:r w:rsidR="002A0218">
              <w:rPr>
                <w:noProof/>
                <w:webHidden/>
              </w:rPr>
              <w:tab/>
            </w:r>
            <w:r>
              <w:rPr>
                <w:noProof/>
                <w:webHidden/>
              </w:rPr>
              <w:fldChar w:fldCharType="begin"/>
            </w:r>
            <w:r>
              <w:rPr>
                <w:noProof/>
                <w:webHidden/>
              </w:rPr>
              <w:instrText xml:space="preserve"> PAGEREF _Toc205482082 \h </w:instrText>
            </w:r>
            <w:r>
              <w:rPr>
                <w:noProof/>
                <w:webHidden/>
              </w:rPr>
            </w:r>
            <w:r>
              <w:rPr>
                <w:noProof/>
                <w:webHidden/>
              </w:rPr>
              <w:fldChar w:fldCharType="separate"/>
            </w:r>
            <w:r w:rsidR="008A2A42">
              <w:rPr>
                <w:noProof/>
                <w:webHidden/>
              </w:rPr>
              <w:t>7</w:t>
            </w:r>
            <w:r>
              <w:rPr>
                <w:noProof/>
                <w:webHidden/>
              </w:rPr>
              <w:fldChar w:fldCharType="end"/>
            </w:r>
          </w:hyperlink>
        </w:p>
        <w:p w14:paraId="5A9D2443" w14:textId="48D560F5" w:rsidR="00C14570" w:rsidRDefault="00C14570">
          <w:pPr>
            <w:pStyle w:val="TOC1"/>
            <w:rPr>
              <w:rFonts w:eastAsiaTheme="minorEastAsia"/>
              <w:b w:val="0"/>
              <w:bCs w:val="0"/>
              <w:kern w:val="2"/>
              <w:sz w:val="24"/>
              <w:szCs w:val="24"/>
              <w:lang w:val="en-AU" w:eastAsia="en-AU"/>
              <w14:ligatures w14:val="standardContextual"/>
            </w:rPr>
          </w:pPr>
          <w:hyperlink w:anchor="_Toc205482083" w:history="1">
            <w:r w:rsidRPr="00A6294F">
              <w:rPr>
                <w:rStyle w:val="Hyperlink"/>
              </w:rPr>
              <w:t>Section 3.</w:t>
            </w:r>
            <w:r>
              <w:rPr>
                <w:rFonts w:eastAsiaTheme="minorEastAsia"/>
                <w:b w:val="0"/>
                <w:bCs w:val="0"/>
                <w:kern w:val="2"/>
                <w:sz w:val="24"/>
                <w:szCs w:val="24"/>
                <w:lang w:val="en-AU" w:eastAsia="en-AU"/>
                <w14:ligatures w14:val="standardContextual"/>
              </w:rPr>
              <w:tab/>
            </w:r>
            <w:r w:rsidRPr="00A6294F">
              <w:rPr>
                <w:rStyle w:val="Hyperlink"/>
              </w:rPr>
              <w:t>Keeping a brand in stock in Australia</w:t>
            </w:r>
            <w:r>
              <w:rPr>
                <w:webHidden/>
              </w:rPr>
              <w:tab/>
            </w:r>
            <w:r>
              <w:rPr>
                <w:webHidden/>
              </w:rPr>
              <w:fldChar w:fldCharType="begin"/>
            </w:r>
            <w:r>
              <w:rPr>
                <w:webHidden/>
              </w:rPr>
              <w:instrText xml:space="preserve"> PAGEREF _Toc205482083 \h </w:instrText>
            </w:r>
            <w:r>
              <w:rPr>
                <w:webHidden/>
              </w:rPr>
            </w:r>
            <w:r>
              <w:rPr>
                <w:webHidden/>
              </w:rPr>
              <w:fldChar w:fldCharType="separate"/>
            </w:r>
            <w:r w:rsidR="008A2A42">
              <w:rPr>
                <w:webHidden/>
              </w:rPr>
              <w:t>9</w:t>
            </w:r>
            <w:r>
              <w:rPr>
                <w:webHidden/>
              </w:rPr>
              <w:fldChar w:fldCharType="end"/>
            </w:r>
          </w:hyperlink>
        </w:p>
        <w:p w14:paraId="59850A76" w14:textId="2D533306" w:rsidR="00C14570" w:rsidRDefault="00C14570">
          <w:pPr>
            <w:pStyle w:val="TOC1"/>
            <w:rPr>
              <w:rFonts w:eastAsiaTheme="minorEastAsia"/>
              <w:b w:val="0"/>
              <w:bCs w:val="0"/>
              <w:kern w:val="2"/>
              <w:sz w:val="24"/>
              <w:szCs w:val="24"/>
              <w:lang w:val="en-AU" w:eastAsia="en-AU"/>
              <w14:ligatures w14:val="standardContextual"/>
            </w:rPr>
          </w:pPr>
          <w:hyperlink w:anchor="_Toc205482084" w:history="1">
            <w:r w:rsidRPr="00A6294F">
              <w:rPr>
                <w:rStyle w:val="Hyperlink"/>
              </w:rPr>
              <w:t>Section 4.</w:t>
            </w:r>
            <w:r>
              <w:rPr>
                <w:rFonts w:eastAsiaTheme="minorEastAsia"/>
                <w:b w:val="0"/>
                <w:bCs w:val="0"/>
                <w:kern w:val="2"/>
                <w:sz w:val="24"/>
                <w:szCs w:val="24"/>
                <w:lang w:val="en-AU" w:eastAsia="en-AU"/>
                <w14:ligatures w14:val="standardContextual"/>
              </w:rPr>
              <w:tab/>
            </w:r>
            <w:r w:rsidRPr="00A6294F">
              <w:rPr>
                <w:rStyle w:val="Hyperlink"/>
              </w:rPr>
              <w:t>Quantity of stock required to be kept</w:t>
            </w:r>
            <w:r>
              <w:rPr>
                <w:webHidden/>
              </w:rPr>
              <w:tab/>
            </w:r>
            <w:r>
              <w:rPr>
                <w:webHidden/>
              </w:rPr>
              <w:fldChar w:fldCharType="begin"/>
            </w:r>
            <w:r>
              <w:rPr>
                <w:webHidden/>
              </w:rPr>
              <w:instrText xml:space="preserve"> PAGEREF _Toc205482084 \h </w:instrText>
            </w:r>
            <w:r>
              <w:rPr>
                <w:webHidden/>
              </w:rPr>
            </w:r>
            <w:r>
              <w:rPr>
                <w:webHidden/>
              </w:rPr>
              <w:fldChar w:fldCharType="separate"/>
            </w:r>
            <w:r w:rsidR="008A2A42">
              <w:rPr>
                <w:webHidden/>
              </w:rPr>
              <w:t>11</w:t>
            </w:r>
            <w:r>
              <w:rPr>
                <w:webHidden/>
              </w:rPr>
              <w:fldChar w:fldCharType="end"/>
            </w:r>
          </w:hyperlink>
        </w:p>
        <w:p w14:paraId="5FEF2ED3" w14:textId="07A37238" w:rsidR="00C14570" w:rsidRDefault="00C14570">
          <w:pPr>
            <w:pStyle w:val="TOC2"/>
            <w:rPr>
              <w:rFonts w:eastAsiaTheme="minorEastAsia"/>
              <w:noProof/>
              <w:kern w:val="2"/>
              <w:sz w:val="24"/>
              <w:szCs w:val="24"/>
              <w:lang w:val="en-AU" w:eastAsia="en-AU"/>
              <w14:ligatures w14:val="standardContextual"/>
            </w:rPr>
          </w:pPr>
          <w:hyperlink w:anchor="_Toc205482085" w:history="1">
            <w:r w:rsidRPr="00A6294F">
              <w:rPr>
                <w:rStyle w:val="Hyperlink"/>
                <w:noProof/>
              </w:rPr>
              <w:t>Section 4.1.</w:t>
            </w:r>
            <w:r>
              <w:rPr>
                <w:rFonts w:eastAsiaTheme="minorEastAsia"/>
                <w:noProof/>
                <w:kern w:val="2"/>
                <w:sz w:val="24"/>
                <w:szCs w:val="24"/>
                <w:lang w:val="en-AU" w:eastAsia="en-AU"/>
                <w14:ligatures w14:val="standardContextual"/>
              </w:rPr>
              <w:tab/>
            </w:r>
            <w:r w:rsidRPr="00A6294F">
              <w:rPr>
                <w:rStyle w:val="Hyperlink"/>
                <w:noProof/>
              </w:rPr>
              <w:t>Demand Variation</w:t>
            </w:r>
            <w:r>
              <w:rPr>
                <w:noProof/>
                <w:webHidden/>
              </w:rPr>
              <w:tab/>
            </w:r>
            <w:r>
              <w:rPr>
                <w:noProof/>
                <w:webHidden/>
              </w:rPr>
              <w:fldChar w:fldCharType="begin"/>
            </w:r>
            <w:r>
              <w:rPr>
                <w:noProof/>
                <w:webHidden/>
              </w:rPr>
              <w:instrText xml:space="preserve"> PAGEREF _Toc205482085 \h </w:instrText>
            </w:r>
            <w:r>
              <w:rPr>
                <w:noProof/>
                <w:webHidden/>
              </w:rPr>
            </w:r>
            <w:r>
              <w:rPr>
                <w:noProof/>
                <w:webHidden/>
              </w:rPr>
              <w:fldChar w:fldCharType="separate"/>
            </w:r>
            <w:r w:rsidR="008A2A42">
              <w:rPr>
                <w:noProof/>
                <w:webHidden/>
              </w:rPr>
              <w:t>11</w:t>
            </w:r>
            <w:r>
              <w:rPr>
                <w:noProof/>
                <w:webHidden/>
              </w:rPr>
              <w:fldChar w:fldCharType="end"/>
            </w:r>
          </w:hyperlink>
        </w:p>
        <w:p w14:paraId="75E44C4F" w14:textId="4BF7A460" w:rsidR="00C14570" w:rsidRDefault="00C14570">
          <w:pPr>
            <w:pStyle w:val="TOC2"/>
            <w:rPr>
              <w:rFonts w:eastAsiaTheme="minorEastAsia"/>
              <w:noProof/>
              <w:kern w:val="2"/>
              <w:sz w:val="24"/>
              <w:szCs w:val="24"/>
              <w:lang w:val="en-AU" w:eastAsia="en-AU"/>
              <w14:ligatures w14:val="standardContextual"/>
            </w:rPr>
          </w:pPr>
          <w:hyperlink w:anchor="_Toc205482086" w:history="1">
            <w:r w:rsidRPr="00A6294F">
              <w:rPr>
                <w:rStyle w:val="Hyperlink"/>
                <w:noProof/>
              </w:rPr>
              <w:t>Section 4.2.</w:t>
            </w:r>
            <w:r>
              <w:rPr>
                <w:rFonts w:eastAsiaTheme="minorEastAsia"/>
                <w:noProof/>
                <w:kern w:val="2"/>
                <w:sz w:val="24"/>
                <w:szCs w:val="24"/>
                <w:lang w:val="en-AU" w:eastAsia="en-AU"/>
                <w14:ligatures w14:val="standardContextual"/>
              </w:rPr>
              <w:tab/>
            </w:r>
            <w:r w:rsidRPr="00A6294F">
              <w:rPr>
                <w:rStyle w:val="Hyperlink"/>
                <w:noProof/>
              </w:rPr>
              <w:t>Calculation of ‘usual demand’ when pricing quantity changes between the reference period and current period</w:t>
            </w:r>
            <w:r>
              <w:rPr>
                <w:noProof/>
                <w:webHidden/>
              </w:rPr>
              <w:tab/>
            </w:r>
            <w:r>
              <w:rPr>
                <w:noProof/>
                <w:webHidden/>
              </w:rPr>
              <w:fldChar w:fldCharType="begin"/>
            </w:r>
            <w:r>
              <w:rPr>
                <w:noProof/>
                <w:webHidden/>
              </w:rPr>
              <w:instrText xml:space="preserve"> PAGEREF _Toc205482086 \h </w:instrText>
            </w:r>
            <w:r>
              <w:rPr>
                <w:noProof/>
                <w:webHidden/>
              </w:rPr>
            </w:r>
            <w:r>
              <w:rPr>
                <w:noProof/>
                <w:webHidden/>
              </w:rPr>
              <w:fldChar w:fldCharType="separate"/>
            </w:r>
            <w:r w:rsidR="008A2A42">
              <w:rPr>
                <w:noProof/>
                <w:webHidden/>
              </w:rPr>
              <w:t>12</w:t>
            </w:r>
            <w:r>
              <w:rPr>
                <w:noProof/>
                <w:webHidden/>
              </w:rPr>
              <w:fldChar w:fldCharType="end"/>
            </w:r>
          </w:hyperlink>
        </w:p>
        <w:p w14:paraId="525075F9" w14:textId="538D18C2" w:rsidR="00C14570" w:rsidRDefault="00C14570">
          <w:pPr>
            <w:pStyle w:val="TOC2"/>
            <w:rPr>
              <w:rFonts w:eastAsiaTheme="minorEastAsia"/>
              <w:noProof/>
              <w:kern w:val="2"/>
              <w:sz w:val="24"/>
              <w:szCs w:val="24"/>
              <w:lang w:val="en-AU" w:eastAsia="en-AU"/>
              <w14:ligatures w14:val="standardContextual"/>
            </w:rPr>
          </w:pPr>
          <w:hyperlink w:anchor="_Toc205482087" w:history="1">
            <w:r w:rsidRPr="00A6294F">
              <w:rPr>
                <w:rStyle w:val="Hyperlink"/>
                <w:noProof/>
              </w:rPr>
              <w:t>Section 4.3.</w:t>
            </w:r>
            <w:r>
              <w:rPr>
                <w:rFonts w:eastAsiaTheme="minorEastAsia"/>
                <w:noProof/>
                <w:kern w:val="2"/>
                <w:sz w:val="24"/>
                <w:szCs w:val="24"/>
                <w:lang w:val="en-AU" w:eastAsia="en-AU"/>
                <w14:ligatures w14:val="standardContextual"/>
              </w:rPr>
              <w:tab/>
            </w:r>
            <w:r w:rsidRPr="00A6294F">
              <w:rPr>
                <w:rStyle w:val="Hyperlink"/>
                <w:noProof/>
              </w:rPr>
              <w:t>Calculation of ‘usual demand’ when there are variations in the length of the reference period and associated availability of PD data</w:t>
            </w:r>
            <w:r>
              <w:rPr>
                <w:noProof/>
                <w:webHidden/>
              </w:rPr>
              <w:tab/>
            </w:r>
            <w:r>
              <w:rPr>
                <w:noProof/>
                <w:webHidden/>
              </w:rPr>
              <w:fldChar w:fldCharType="begin"/>
            </w:r>
            <w:r>
              <w:rPr>
                <w:noProof/>
                <w:webHidden/>
              </w:rPr>
              <w:instrText xml:space="preserve"> PAGEREF _Toc205482087 \h </w:instrText>
            </w:r>
            <w:r>
              <w:rPr>
                <w:noProof/>
                <w:webHidden/>
              </w:rPr>
            </w:r>
            <w:r>
              <w:rPr>
                <w:noProof/>
                <w:webHidden/>
              </w:rPr>
              <w:fldChar w:fldCharType="separate"/>
            </w:r>
            <w:r w:rsidR="008A2A42">
              <w:rPr>
                <w:noProof/>
                <w:webHidden/>
              </w:rPr>
              <w:t>13</w:t>
            </w:r>
            <w:r>
              <w:rPr>
                <w:noProof/>
                <w:webHidden/>
              </w:rPr>
              <w:fldChar w:fldCharType="end"/>
            </w:r>
          </w:hyperlink>
        </w:p>
        <w:p w14:paraId="73CAB449" w14:textId="5DB0968C" w:rsidR="00C14570" w:rsidRDefault="00C14570">
          <w:pPr>
            <w:pStyle w:val="TOC2"/>
            <w:rPr>
              <w:rFonts w:eastAsiaTheme="minorEastAsia"/>
              <w:noProof/>
              <w:kern w:val="2"/>
              <w:sz w:val="24"/>
              <w:szCs w:val="24"/>
              <w:lang w:val="en-AU" w:eastAsia="en-AU"/>
              <w14:ligatures w14:val="standardContextual"/>
            </w:rPr>
          </w:pPr>
          <w:hyperlink w:anchor="_Toc205482088" w:history="1">
            <w:r w:rsidRPr="00A6294F">
              <w:rPr>
                <w:rStyle w:val="Hyperlink"/>
                <w:noProof/>
              </w:rPr>
              <w:t>Section 4.4.</w:t>
            </w:r>
            <w:r>
              <w:rPr>
                <w:rFonts w:eastAsiaTheme="minorEastAsia"/>
                <w:noProof/>
                <w:kern w:val="2"/>
                <w:sz w:val="24"/>
                <w:szCs w:val="24"/>
                <w:lang w:val="en-AU" w:eastAsia="en-AU"/>
                <w14:ligatures w14:val="standardContextual"/>
              </w:rPr>
              <w:tab/>
            </w:r>
            <w:r w:rsidRPr="00A6294F">
              <w:rPr>
                <w:rStyle w:val="Hyperlink"/>
                <w:noProof/>
              </w:rPr>
              <w:t>Determination of ‘usual PBS demand’ where PD data for the reference period is not available</w:t>
            </w:r>
            <w:r>
              <w:rPr>
                <w:noProof/>
                <w:webHidden/>
              </w:rPr>
              <w:tab/>
            </w:r>
            <w:r>
              <w:rPr>
                <w:noProof/>
                <w:webHidden/>
              </w:rPr>
              <w:fldChar w:fldCharType="begin"/>
            </w:r>
            <w:r>
              <w:rPr>
                <w:noProof/>
                <w:webHidden/>
              </w:rPr>
              <w:instrText xml:space="preserve"> PAGEREF _Toc205482088 \h </w:instrText>
            </w:r>
            <w:r>
              <w:rPr>
                <w:noProof/>
                <w:webHidden/>
              </w:rPr>
            </w:r>
            <w:r>
              <w:rPr>
                <w:noProof/>
                <w:webHidden/>
              </w:rPr>
              <w:fldChar w:fldCharType="separate"/>
            </w:r>
            <w:r w:rsidR="008A2A42">
              <w:rPr>
                <w:noProof/>
                <w:webHidden/>
              </w:rPr>
              <w:t>16</w:t>
            </w:r>
            <w:r>
              <w:rPr>
                <w:noProof/>
                <w:webHidden/>
              </w:rPr>
              <w:fldChar w:fldCharType="end"/>
            </w:r>
          </w:hyperlink>
        </w:p>
        <w:p w14:paraId="427344C3" w14:textId="55392418" w:rsidR="00C14570" w:rsidRDefault="00C14570">
          <w:pPr>
            <w:pStyle w:val="TOC2"/>
            <w:rPr>
              <w:rFonts w:eastAsiaTheme="minorEastAsia"/>
              <w:noProof/>
              <w:kern w:val="2"/>
              <w:sz w:val="24"/>
              <w:szCs w:val="24"/>
              <w:lang w:val="en-AU" w:eastAsia="en-AU"/>
              <w14:ligatures w14:val="standardContextual"/>
            </w:rPr>
          </w:pPr>
          <w:hyperlink w:anchor="_Toc205482089" w:history="1">
            <w:r w:rsidRPr="00A6294F">
              <w:rPr>
                <w:rStyle w:val="Hyperlink"/>
                <w:noProof/>
              </w:rPr>
              <w:t>Section 4.5.</w:t>
            </w:r>
            <w:r>
              <w:rPr>
                <w:rFonts w:eastAsiaTheme="minorEastAsia"/>
                <w:noProof/>
                <w:kern w:val="2"/>
                <w:sz w:val="24"/>
                <w:szCs w:val="24"/>
                <w:lang w:val="en-AU" w:eastAsia="en-AU"/>
                <w14:ligatures w14:val="standardContextual"/>
              </w:rPr>
              <w:tab/>
            </w:r>
            <w:r w:rsidRPr="00A6294F">
              <w:rPr>
                <w:rStyle w:val="Hyperlink"/>
                <w:noProof/>
              </w:rPr>
              <w:t>Minimum stockholding requirements leading up to de-listing</w:t>
            </w:r>
            <w:r>
              <w:rPr>
                <w:noProof/>
                <w:webHidden/>
              </w:rPr>
              <w:tab/>
            </w:r>
            <w:r>
              <w:rPr>
                <w:noProof/>
                <w:webHidden/>
              </w:rPr>
              <w:fldChar w:fldCharType="begin"/>
            </w:r>
            <w:r>
              <w:rPr>
                <w:noProof/>
                <w:webHidden/>
              </w:rPr>
              <w:instrText xml:space="preserve"> PAGEREF _Toc205482089 \h </w:instrText>
            </w:r>
            <w:r>
              <w:rPr>
                <w:noProof/>
                <w:webHidden/>
              </w:rPr>
            </w:r>
            <w:r>
              <w:rPr>
                <w:noProof/>
                <w:webHidden/>
              </w:rPr>
              <w:fldChar w:fldCharType="separate"/>
            </w:r>
            <w:r w:rsidR="008A2A42">
              <w:rPr>
                <w:noProof/>
                <w:webHidden/>
              </w:rPr>
              <w:t>18</w:t>
            </w:r>
            <w:r>
              <w:rPr>
                <w:noProof/>
                <w:webHidden/>
              </w:rPr>
              <w:fldChar w:fldCharType="end"/>
            </w:r>
          </w:hyperlink>
        </w:p>
        <w:p w14:paraId="5B21CA93" w14:textId="578161B9" w:rsidR="00C14570" w:rsidRDefault="00C14570">
          <w:pPr>
            <w:pStyle w:val="TOC2"/>
            <w:rPr>
              <w:rFonts w:eastAsiaTheme="minorEastAsia"/>
              <w:noProof/>
              <w:kern w:val="2"/>
              <w:sz w:val="24"/>
              <w:szCs w:val="24"/>
              <w:lang w:val="en-AU" w:eastAsia="en-AU"/>
              <w14:ligatures w14:val="standardContextual"/>
            </w:rPr>
          </w:pPr>
          <w:hyperlink w:anchor="_Toc205482090" w:history="1">
            <w:r w:rsidRPr="00A6294F">
              <w:rPr>
                <w:rStyle w:val="Hyperlink"/>
                <w:noProof/>
              </w:rPr>
              <w:t>Section 4.6.</w:t>
            </w:r>
            <w:r>
              <w:rPr>
                <w:rFonts w:eastAsiaTheme="minorEastAsia"/>
                <w:noProof/>
                <w:kern w:val="2"/>
                <w:sz w:val="24"/>
                <w:szCs w:val="24"/>
                <w:lang w:val="en-AU" w:eastAsia="en-AU"/>
                <w14:ligatures w14:val="standardContextual"/>
              </w:rPr>
              <w:tab/>
            </w:r>
            <w:r w:rsidRPr="00A6294F">
              <w:rPr>
                <w:rStyle w:val="Hyperlink"/>
                <w:noProof/>
              </w:rPr>
              <w:t>‘Usual demand’ calculated when a brand subsequently re-lists following de-listing</w:t>
            </w:r>
            <w:r>
              <w:rPr>
                <w:noProof/>
                <w:webHidden/>
              </w:rPr>
              <w:tab/>
            </w:r>
            <w:r>
              <w:rPr>
                <w:noProof/>
                <w:webHidden/>
              </w:rPr>
              <w:fldChar w:fldCharType="begin"/>
            </w:r>
            <w:r>
              <w:rPr>
                <w:noProof/>
                <w:webHidden/>
              </w:rPr>
              <w:instrText xml:space="preserve"> PAGEREF _Toc205482090 \h </w:instrText>
            </w:r>
            <w:r>
              <w:rPr>
                <w:noProof/>
                <w:webHidden/>
              </w:rPr>
            </w:r>
            <w:r>
              <w:rPr>
                <w:noProof/>
                <w:webHidden/>
              </w:rPr>
              <w:fldChar w:fldCharType="separate"/>
            </w:r>
            <w:r w:rsidR="008A2A42">
              <w:rPr>
                <w:noProof/>
                <w:webHidden/>
              </w:rPr>
              <w:t>19</w:t>
            </w:r>
            <w:r>
              <w:rPr>
                <w:noProof/>
                <w:webHidden/>
              </w:rPr>
              <w:fldChar w:fldCharType="end"/>
            </w:r>
          </w:hyperlink>
        </w:p>
        <w:p w14:paraId="3A654C29" w14:textId="176B670D" w:rsidR="00C14570" w:rsidRDefault="00C14570">
          <w:pPr>
            <w:pStyle w:val="TOC2"/>
            <w:rPr>
              <w:rFonts w:eastAsiaTheme="minorEastAsia"/>
              <w:noProof/>
              <w:kern w:val="2"/>
              <w:sz w:val="24"/>
              <w:szCs w:val="24"/>
              <w:lang w:val="en-AU" w:eastAsia="en-AU"/>
              <w14:ligatures w14:val="standardContextual"/>
            </w:rPr>
          </w:pPr>
          <w:hyperlink w:anchor="_Toc205482091" w:history="1">
            <w:r w:rsidRPr="00A6294F">
              <w:rPr>
                <w:rStyle w:val="Hyperlink"/>
                <w:noProof/>
              </w:rPr>
              <w:t>Section 4.7.</w:t>
            </w:r>
            <w:r>
              <w:rPr>
                <w:rFonts w:eastAsiaTheme="minorEastAsia"/>
                <w:noProof/>
                <w:kern w:val="2"/>
                <w:sz w:val="24"/>
                <w:szCs w:val="24"/>
                <w:lang w:val="en-AU" w:eastAsia="en-AU"/>
                <w14:ligatures w14:val="standardContextual"/>
              </w:rPr>
              <w:tab/>
            </w:r>
            <w:r w:rsidRPr="00A6294F">
              <w:rPr>
                <w:rStyle w:val="Hyperlink"/>
                <w:noProof/>
              </w:rPr>
              <w:t>Rebranding</w:t>
            </w:r>
            <w:r>
              <w:rPr>
                <w:noProof/>
                <w:webHidden/>
              </w:rPr>
              <w:tab/>
            </w:r>
            <w:r>
              <w:rPr>
                <w:noProof/>
                <w:webHidden/>
              </w:rPr>
              <w:fldChar w:fldCharType="begin"/>
            </w:r>
            <w:r>
              <w:rPr>
                <w:noProof/>
                <w:webHidden/>
              </w:rPr>
              <w:instrText xml:space="preserve"> PAGEREF _Toc205482091 \h </w:instrText>
            </w:r>
            <w:r>
              <w:rPr>
                <w:noProof/>
                <w:webHidden/>
              </w:rPr>
            </w:r>
            <w:r>
              <w:rPr>
                <w:noProof/>
                <w:webHidden/>
              </w:rPr>
              <w:fldChar w:fldCharType="separate"/>
            </w:r>
            <w:r w:rsidR="008A2A42">
              <w:rPr>
                <w:noProof/>
                <w:webHidden/>
              </w:rPr>
              <w:t>20</w:t>
            </w:r>
            <w:r>
              <w:rPr>
                <w:noProof/>
                <w:webHidden/>
              </w:rPr>
              <w:fldChar w:fldCharType="end"/>
            </w:r>
          </w:hyperlink>
        </w:p>
        <w:p w14:paraId="5B2783CE" w14:textId="247D96C9" w:rsidR="00C14570" w:rsidRDefault="00C14570">
          <w:pPr>
            <w:pStyle w:val="TOC1"/>
            <w:rPr>
              <w:rFonts w:eastAsiaTheme="minorEastAsia"/>
              <w:b w:val="0"/>
              <w:bCs w:val="0"/>
              <w:kern w:val="2"/>
              <w:sz w:val="24"/>
              <w:szCs w:val="24"/>
              <w:lang w:val="en-AU" w:eastAsia="en-AU"/>
              <w14:ligatures w14:val="standardContextual"/>
            </w:rPr>
          </w:pPr>
          <w:hyperlink w:anchor="_Toc205482092" w:history="1">
            <w:r w:rsidRPr="00A6294F">
              <w:rPr>
                <w:rStyle w:val="Hyperlink"/>
              </w:rPr>
              <w:t>Section 5.</w:t>
            </w:r>
            <w:r>
              <w:rPr>
                <w:rFonts w:eastAsiaTheme="minorEastAsia"/>
                <w:b w:val="0"/>
                <w:bCs w:val="0"/>
                <w:kern w:val="2"/>
                <w:sz w:val="24"/>
                <w:szCs w:val="24"/>
                <w:lang w:val="en-AU" w:eastAsia="en-AU"/>
                <w14:ligatures w14:val="standardContextual"/>
              </w:rPr>
              <w:tab/>
            </w:r>
            <w:r w:rsidRPr="00A6294F">
              <w:rPr>
                <w:rStyle w:val="Hyperlink"/>
              </w:rPr>
              <w:t>Lead times</w:t>
            </w:r>
            <w:r>
              <w:rPr>
                <w:webHidden/>
              </w:rPr>
              <w:tab/>
            </w:r>
            <w:r>
              <w:rPr>
                <w:webHidden/>
              </w:rPr>
              <w:fldChar w:fldCharType="begin"/>
            </w:r>
            <w:r>
              <w:rPr>
                <w:webHidden/>
              </w:rPr>
              <w:instrText xml:space="preserve"> PAGEREF _Toc205482092 \h </w:instrText>
            </w:r>
            <w:r>
              <w:rPr>
                <w:webHidden/>
              </w:rPr>
            </w:r>
            <w:r>
              <w:rPr>
                <w:webHidden/>
              </w:rPr>
              <w:fldChar w:fldCharType="separate"/>
            </w:r>
            <w:r w:rsidR="008A2A42">
              <w:rPr>
                <w:webHidden/>
              </w:rPr>
              <w:t>24</w:t>
            </w:r>
            <w:r>
              <w:rPr>
                <w:webHidden/>
              </w:rPr>
              <w:fldChar w:fldCharType="end"/>
            </w:r>
          </w:hyperlink>
        </w:p>
        <w:p w14:paraId="15F8578C" w14:textId="21157D10" w:rsidR="00C14570" w:rsidRDefault="00C14570">
          <w:pPr>
            <w:pStyle w:val="TOC2"/>
            <w:rPr>
              <w:rFonts w:eastAsiaTheme="minorEastAsia"/>
              <w:noProof/>
              <w:kern w:val="2"/>
              <w:sz w:val="24"/>
              <w:szCs w:val="24"/>
              <w:lang w:val="en-AU" w:eastAsia="en-AU"/>
              <w14:ligatures w14:val="standardContextual"/>
            </w:rPr>
          </w:pPr>
          <w:hyperlink w:anchor="_Toc205482093" w:history="1">
            <w:r w:rsidRPr="00A6294F">
              <w:rPr>
                <w:rStyle w:val="Hyperlink"/>
                <w:noProof/>
              </w:rPr>
              <w:t>Section 5.1.</w:t>
            </w:r>
            <w:r>
              <w:rPr>
                <w:rFonts w:eastAsiaTheme="minorEastAsia"/>
                <w:noProof/>
                <w:kern w:val="2"/>
                <w:sz w:val="24"/>
                <w:szCs w:val="24"/>
                <w:lang w:val="en-AU" w:eastAsia="en-AU"/>
                <w14:ligatures w14:val="standardContextual"/>
              </w:rPr>
              <w:tab/>
            </w:r>
            <w:r w:rsidRPr="00A6294F">
              <w:rPr>
                <w:rStyle w:val="Hyperlink"/>
                <w:noProof/>
              </w:rPr>
              <w:t>Lead time for designated brands with an AEMP of $4 or less</w:t>
            </w:r>
            <w:r>
              <w:rPr>
                <w:noProof/>
                <w:webHidden/>
              </w:rPr>
              <w:tab/>
            </w:r>
            <w:r>
              <w:rPr>
                <w:noProof/>
                <w:webHidden/>
              </w:rPr>
              <w:fldChar w:fldCharType="begin"/>
            </w:r>
            <w:r>
              <w:rPr>
                <w:noProof/>
                <w:webHidden/>
              </w:rPr>
              <w:instrText xml:space="preserve"> PAGEREF _Toc205482093 \h </w:instrText>
            </w:r>
            <w:r>
              <w:rPr>
                <w:noProof/>
                <w:webHidden/>
              </w:rPr>
            </w:r>
            <w:r>
              <w:rPr>
                <w:noProof/>
                <w:webHidden/>
              </w:rPr>
              <w:fldChar w:fldCharType="separate"/>
            </w:r>
            <w:r w:rsidR="008A2A42">
              <w:rPr>
                <w:noProof/>
                <w:webHidden/>
              </w:rPr>
              <w:t>24</w:t>
            </w:r>
            <w:r>
              <w:rPr>
                <w:noProof/>
                <w:webHidden/>
              </w:rPr>
              <w:fldChar w:fldCharType="end"/>
            </w:r>
          </w:hyperlink>
        </w:p>
        <w:p w14:paraId="734343F0" w14:textId="4C2977BD" w:rsidR="00C14570" w:rsidRDefault="00C14570">
          <w:pPr>
            <w:pStyle w:val="TOC2"/>
            <w:rPr>
              <w:rFonts w:eastAsiaTheme="minorEastAsia"/>
              <w:noProof/>
              <w:kern w:val="2"/>
              <w:sz w:val="24"/>
              <w:szCs w:val="24"/>
              <w:lang w:val="en-AU" w:eastAsia="en-AU"/>
              <w14:ligatures w14:val="standardContextual"/>
            </w:rPr>
          </w:pPr>
          <w:hyperlink w:anchor="_Toc205482094" w:history="1">
            <w:r w:rsidRPr="00A6294F">
              <w:rPr>
                <w:rStyle w:val="Hyperlink"/>
                <w:noProof/>
              </w:rPr>
              <w:t>Section 5.2.</w:t>
            </w:r>
            <w:r>
              <w:rPr>
                <w:rFonts w:eastAsiaTheme="minorEastAsia"/>
                <w:noProof/>
                <w:kern w:val="2"/>
                <w:sz w:val="24"/>
                <w:szCs w:val="24"/>
                <w:lang w:val="en-AU" w:eastAsia="en-AU"/>
                <w14:ligatures w14:val="standardContextual"/>
              </w:rPr>
              <w:tab/>
            </w:r>
            <w:r w:rsidRPr="00A6294F">
              <w:rPr>
                <w:rStyle w:val="Hyperlink"/>
                <w:noProof/>
              </w:rPr>
              <w:t>Lead time for designated brands as a result of a price increase</w:t>
            </w:r>
            <w:r>
              <w:rPr>
                <w:noProof/>
                <w:webHidden/>
              </w:rPr>
              <w:tab/>
            </w:r>
            <w:r>
              <w:rPr>
                <w:noProof/>
                <w:webHidden/>
              </w:rPr>
              <w:fldChar w:fldCharType="begin"/>
            </w:r>
            <w:r>
              <w:rPr>
                <w:noProof/>
                <w:webHidden/>
              </w:rPr>
              <w:instrText xml:space="preserve"> PAGEREF _Toc205482094 \h </w:instrText>
            </w:r>
            <w:r>
              <w:rPr>
                <w:noProof/>
                <w:webHidden/>
              </w:rPr>
            </w:r>
            <w:r>
              <w:rPr>
                <w:noProof/>
                <w:webHidden/>
              </w:rPr>
              <w:fldChar w:fldCharType="separate"/>
            </w:r>
            <w:r w:rsidR="008A2A42">
              <w:rPr>
                <w:noProof/>
                <w:webHidden/>
              </w:rPr>
              <w:t>25</w:t>
            </w:r>
            <w:r>
              <w:rPr>
                <w:noProof/>
                <w:webHidden/>
              </w:rPr>
              <w:fldChar w:fldCharType="end"/>
            </w:r>
          </w:hyperlink>
        </w:p>
        <w:p w14:paraId="76924339" w14:textId="49793A7D" w:rsidR="00C14570" w:rsidRDefault="00C14570">
          <w:pPr>
            <w:pStyle w:val="TOC2"/>
            <w:rPr>
              <w:rFonts w:eastAsiaTheme="minorEastAsia"/>
              <w:noProof/>
              <w:kern w:val="2"/>
              <w:sz w:val="24"/>
              <w:szCs w:val="24"/>
              <w:lang w:val="en-AU" w:eastAsia="en-AU"/>
              <w14:ligatures w14:val="standardContextual"/>
            </w:rPr>
          </w:pPr>
          <w:hyperlink w:anchor="_Toc205482095" w:history="1">
            <w:r w:rsidRPr="00A6294F">
              <w:rPr>
                <w:rStyle w:val="Hyperlink"/>
                <w:noProof/>
              </w:rPr>
              <w:t>Section 5.3.</w:t>
            </w:r>
            <w:r>
              <w:rPr>
                <w:rFonts w:eastAsiaTheme="minorEastAsia"/>
                <w:noProof/>
                <w:kern w:val="2"/>
                <w:sz w:val="24"/>
                <w:szCs w:val="24"/>
                <w:lang w:val="en-AU" w:eastAsia="en-AU"/>
                <w14:ligatures w14:val="standardContextual"/>
              </w:rPr>
              <w:tab/>
            </w:r>
            <w:r w:rsidRPr="00A6294F">
              <w:rPr>
                <w:rStyle w:val="Hyperlink"/>
                <w:noProof/>
              </w:rPr>
              <w:t>Lead times in other circumstances</w:t>
            </w:r>
            <w:r>
              <w:rPr>
                <w:noProof/>
                <w:webHidden/>
              </w:rPr>
              <w:tab/>
            </w:r>
            <w:r>
              <w:rPr>
                <w:noProof/>
                <w:webHidden/>
              </w:rPr>
              <w:fldChar w:fldCharType="begin"/>
            </w:r>
            <w:r>
              <w:rPr>
                <w:noProof/>
                <w:webHidden/>
              </w:rPr>
              <w:instrText xml:space="preserve"> PAGEREF _Toc205482095 \h </w:instrText>
            </w:r>
            <w:r>
              <w:rPr>
                <w:noProof/>
                <w:webHidden/>
              </w:rPr>
            </w:r>
            <w:r>
              <w:rPr>
                <w:noProof/>
                <w:webHidden/>
              </w:rPr>
              <w:fldChar w:fldCharType="separate"/>
            </w:r>
            <w:r w:rsidR="008A2A42">
              <w:rPr>
                <w:noProof/>
                <w:webHidden/>
              </w:rPr>
              <w:t>26</w:t>
            </w:r>
            <w:r>
              <w:rPr>
                <w:noProof/>
                <w:webHidden/>
              </w:rPr>
              <w:fldChar w:fldCharType="end"/>
            </w:r>
          </w:hyperlink>
        </w:p>
        <w:p w14:paraId="6429D76B" w14:textId="1C718B21" w:rsidR="00C14570" w:rsidRDefault="00C14570">
          <w:pPr>
            <w:pStyle w:val="TOC1"/>
            <w:rPr>
              <w:rFonts w:eastAsiaTheme="minorEastAsia"/>
              <w:b w:val="0"/>
              <w:bCs w:val="0"/>
              <w:kern w:val="2"/>
              <w:sz w:val="24"/>
              <w:szCs w:val="24"/>
              <w:lang w:val="en-AU" w:eastAsia="en-AU"/>
              <w14:ligatures w14:val="standardContextual"/>
            </w:rPr>
          </w:pPr>
          <w:hyperlink w:anchor="_Toc205482096" w:history="1">
            <w:r w:rsidRPr="00A6294F">
              <w:rPr>
                <w:rStyle w:val="Hyperlink"/>
              </w:rPr>
              <w:t>Section 6.</w:t>
            </w:r>
            <w:r>
              <w:rPr>
                <w:rFonts w:eastAsiaTheme="minorEastAsia"/>
                <w:b w:val="0"/>
                <w:bCs w:val="0"/>
                <w:kern w:val="2"/>
                <w:sz w:val="24"/>
                <w:szCs w:val="24"/>
                <w:lang w:val="en-AU" w:eastAsia="en-AU"/>
                <w14:ligatures w14:val="standardContextual"/>
              </w:rPr>
              <w:tab/>
            </w:r>
            <w:r w:rsidRPr="00A6294F">
              <w:rPr>
                <w:rStyle w:val="Hyperlink"/>
              </w:rPr>
              <w:t>Ministerial determination of ‘another quantity’</w:t>
            </w:r>
            <w:r>
              <w:rPr>
                <w:webHidden/>
              </w:rPr>
              <w:tab/>
            </w:r>
            <w:r>
              <w:rPr>
                <w:webHidden/>
              </w:rPr>
              <w:fldChar w:fldCharType="begin"/>
            </w:r>
            <w:r>
              <w:rPr>
                <w:webHidden/>
              </w:rPr>
              <w:instrText xml:space="preserve"> PAGEREF _Toc205482096 \h </w:instrText>
            </w:r>
            <w:r>
              <w:rPr>
                <w:webHidden/>
              </w:rPr>
            </w:r>
            <w:r>
              <w:rPr>
                <w:webHidden/>
              </w:rPr>
              <w:fldChar w:fldCharType="separate"/>
            </w:r>
            <w:r w:rsidR="008A2A42">
              <w:rPr>
                <w:webHidden/>
              </w:rPr>
              <w:t>27</w:t>
            </w:r>
            <w:r>
              <w:rPr>
                <w:webHidden/>
              </w:rPr>
              <w:fldChar w:fldCharType="end"/>
            </w:r>
          </w:hyperlink>
        </w:p>
        <w:p w14:paraId="343A0B7F" w14:textId="70B8CDA3" w:rsidR="00C14570" w:rsidRDefault="00C14570">
          <w:pPr>
            <w:pStyle w:val="TOC2"/>
            <w:rPr>
              <w:rFonts w:eastAsiaTheme="minorEastAsia"/>
              <w:noProof/>
              <w:kern w:val="2"/>
              <w:sz w:val="24"/>
              <w:szCs w:val="24"/>
              <w:lang w:val="en-AU" w:eastAsia="en-AU"/>
              <w14:ligatures w14:val="standardContextual"/>
            </w:rPr>
          </w:pPr>
          <w:hyperlink w:anchor="_Toc205482097" w:history="1">
            <w:r w:rsidRPr="00A6294F">
              <w:rPr>
                <w:rStyle w:val="Hyperlink"/>
                <w:noProof/>
              </w:rPr>
              <w:t>Section 6.1.</w:t>
            </w:r>
            <w:r>
              <w:rPr>
                <w:rFonts w:eastAsiaTheme="minorEastAsia"/>
                <w:noProof/>
                <w:kern w:val="2"/>
                <w:sz w:val="24"/>
                <w:szCs w:val="24"/>
                <w:lang w:val="en-AU" w:eastAsia="en-AU"/>
                <w14:ligatures w14:val="standardContextual"/>
              </w:rPr>
              <w:tab/>
            </w:r>
            <w:r w:rsidRPr="00A6294F">
              <w:rPr>
                <w:rStyle w:val="Hyperlink"/>
                <w:noProof/>
              </w:rPr>
              <w:t>RPs can request the Minister make a determination of ‘another quantity’</w:t>
            </w:r>
            <w:r>
              <w:rPr>
                <w:noProof/>
                <w:webHidden/>
              </w:rPr>
              <w:tab/>
            </w:r>
            <w:r>
              <w:rPr>
                <w:noProof/>
                <w:webHidden/>
              </w:rPr>
              <w:fldChar w:fldCharType="begin"/>
            </w:r>
            <w:r>
              <w:rPr>
                <w:noProof/>
                <w:webHidden/>
              </w:rPr>
              <w:instrText xml:space="preserve"> PAGEREF _Toc205482097 \h </w:instrText>
            </w:r>
            <w:r>
              <w:rPr>
                <w:noProof/>
                <w:webHidden/>
              </w:rPr>
            </w:r>
            <w:r>
              <w:rPr>
                <w:noProof/>
                <w:webHidden/>
              </w:rPr>
              <w:fldChar w:fldCharType="separate"/>
            </w:r>
            <w:r w:rsidR="008A2A42">
              <w:rPr>
                <w:noProof/>
                <w:webHidden/>
              </w:rPr>
              <w:t>27</w:t>
            </w:r>
            <w:r>
              <w:rPr>
                <w:noProof/>
                <w:webHidden/>
              </w:rPr>
              <w:fldChar w:fldCharType="end"/>
            </w:r>
          </w:hyperlink>
        </w:p>
        <w:p w14:paraId="31D7E8FF" w14:textId="65D490F7" w:rsidR="00C14570" w:rsidRDefault="00C14570">
          <w:pPr>
            <w:pStyle w:val="TOC2"/>
            <w:rPr>
              <w:rFonts w:eastAsiaTheme="minorEastAsia"/>
              <w:noProof/>
              <w:kern w:val="2"/>
              <w:sz w:val="24"/>
              <w:szCs w:val="24"/>
              <w:lang w:val="en-AU" w:eastAsia="en-AU"/>
              <w14:ligatures w14:val="standardContextual"/>
            </w:rPr>
          </w:pPr>
          <w:hyperlink w:anchor="_Toc205482098" w:history="1">
            <w:r w:rsidRPr="00A6294F">
              <w:rPr>
                <w:rStyle w:val="Hyperlink"/>
                <w:noProof/>
              </w:rPr>
              <w:t>Section 6.2.</w:t>
            </w:r>
            <w:r>
              <w:rPr>
                <w:rFonts w:eastAsiaTheme="minorEastAsia"/>
                <w:noProof/>
                <w:kern w:val="2"/>
                <w:sz w:val="24"/>
                <w:szCs w:val="24"/>
                <w:lang w:val="en-AU" w:eastAsia="en-AU"/>
                <w14:ligatures w14:val="standardContextual"/>
              </w:rPr>
              <w:tab/>
            </w:r>
            <w:r w:rsidRPr="00A6294F">
              <w:rPr>
                <w:rStyle w:val="Hyperlink"/>
                <w:noProof/>
              </w:rPr>
              <w:t>The Minister may consider a range of matters in regard to determinations</w:t>
            </w:r>
            <w:r>
              <w:rPr>
                <w:noProof/>
                <w:webHidden/>
              </w:rPr>
              <w:tab/>
            </w:r>
            <w:r>
              <w:rPr>
                <w:noProof/>
                <w:webHidden/>
              </w:rPr>
              <w:fldChar w:fldCharType="begin"/>
            </w:r>
            <w:r>
              <w:rPr>
                <w:noProof/>
                <w:webHidden/>
              </w:rPr>
              <w:instrText xml:space="preserve"> PAGEREF _Toc205482098 \h </w:instrText>
            </w:r>
            <w:r>
              <w:rPr>
                <w:noProof/>
                <w:webHidden/>
              </w:rPr>
            </w:r>
            <w:r>
              <w:rPr>
                <w:noProof/>
                <w:webHidden/>
              </w:rPr>
              <w:fldChar w:fldCharType="separate"/>
            </w:r>
            <w:r w:rsidR="008A2A42">
              <w:rPr>
                <w:noProof/>
                <w:webHidden/>
              </w:rPr>
              <w:t>29</w:t>
            </w:r>
            <w:r>
              <w:rPr>
                <w:noProof/>
                <w:webHidden/>
              </w:rPr>
              <w:fldChar w:fldCharType="end"/>
            </w:r>
          </w:hyperlink>
        </w:p>
        <w:p w14:paraId="43123AA8" w14:textId="3936DE30" w:rsidR="00C14570" w:rsidRDefault="00C14570">
          <w:pPr>
            <w:pStyle w:val="TOC2"/>
            <w:rPr>
              <w:rFonts w:eastAsiaTheme="minorEastAsia"/>
              <w:noProof/>
              <w:kern w:val="2"/>
              <w:sz w:val="24"/>
              <w:szCs w:val="24"/>
              <w:lang w:val="en-AU" w:eastAsia="en-AU"/>
              <w14:ligatures w14:val="standardContextual"/>
            </w:rPr>
          </w:pPr>
          <w:hyperlink w:anchor="_Toc205482099" w:history="1">
            <w:r w:rsidRPr="00A6294F">
              <w:rPr>
                <w:rStyle w:val="Hyperlink"/>
                <w:noProof/>
              </w:rPr>
              <w:t>Section 6.3.</w:t>
            </w:r>
            <w:r>
              <w:rPr>
                <w:rFonts w:eastAsiaTheme="minorEastAsia"/>
                <w:noProof/>
                <w:kern w:val="2"/>
                <w:sz w:val="24"/>
                <w:szCs w:val="24"/>
                <w:lang w:val="en-AU" w:eastAsia="en-AU"/>
                <w14:ligatures w14:val="standardContextual"/>
              </w:rPr>
              <w:tab/>
            </w:r>
            <w:r w:rsidRPr="00A6294F">
              <w:rPr>
                <w:rStyle w:val="Hyperlink"/>
                <w:noProof/>
              </w:rPr>
              <w:t>Assessing applications based on short shelf-life</w:t>
            </w:r>
            <w:r>
              <w:rPr>
                <w:noProof/>
                <w:webHidden/>
              </w:rPr>
              <w:tab/>
            </w:r>
            <w:r>
              <w:rPr>
                <w:noProof/>
                <w:webHidden/>
              </w:rPr>
              <w:fldChar w:fldCharType="begin"/>
            </w:r>
            <w:r>
              <w:rPr>
                <w:noProof/>
                <w:webHidden/>
              </w:rPr>
              <w:instrText xml:space="preserve"> PAGEREF _Toc205482099 \h </w:instrText>
            </w:r>
            <w:r>
              <w:rPr>
                <w:noProof/>
                <w:webHidden/>
              </w:rPr>
            </w:r>
            <w:r>
              <w:rPr>
                <w:noProof/>
                <w:webHidden/>
              </w:rPr>
              <w:fldChar w:fldCharType="separate"/>
            </w:r>
            <w:r w:rsidR="008A2A42">
              <w:rPr>
                <w:noProof/>
                <w:webHidden/>
              </w:rPr>
              <w:t>30</w:t>
            </w:r>
            <w:r>
              <w:rPr>
                <w:noProof/>
                <w:webHidden/>
              </w:rPr>
              <w:fldChar w:fldCharType="end"/>
            </w:r>
          </w:hyperlink>
        </w:p>
        <w:p w14:paraId="2D610577" w14:textId="7BFE76D2" w:rsidR="00C14570" w:rsidRDefault="00C14570">
          <w:pPr>
            <w:pStyle w:val="TOC2"/>
            <w:rPr>
              <w:rFonts w:eastAsiaTheme="minorEastAsia"/>
              <w:noProof/>
              <w:kern w:val="2"/>
              <w:sz w:val="24"/>
              <w:szCs w:val="24"/>
              <w:lang w:val="en-AU" w:eastAsia="en-AU"/>
              <w14:ligatures w14:val="standardContextual"/>
            </w:rPr>
          </w:pPr>
          <w:hyperlink w:anchor="_Toc205482100" w:history="1">
            <w:r w:rsidRPr="00A6294F">
              <w:rPr>
                <w:rStyle w:val="Hyperlink"/>
                <w:noProof/>
              </w:rPr>
              <w:t>Section 6.4.</w:t>
            </w:r>
            <w:r>
              <w:rPr>
                <w:rFonts w:eastAsiaTheme="minorEastAsia"/>
                <w:noProof/>
                <w:kern w:val="2"/>
                <w:sz w:val="24"/>
                <w:szCs w:val="24"/>
                <w:lang w:val="en-AU" w:eastAsia="en-AU"/>
                <w14:ligatures w14:val="standardContextual"/>
              </w:rPr>
              <w:tab/>
            </w:r>
            <w:r w:rsidRPr="00A6294F">
              <w:rPr>
                <w:rStyle w:val="Hyperlink"/>
                <w:noProof/>
              </w:rPr>
              <w:t>RPs should provide supporting evidence</w:t>
            </w:r>
            <w:r>
              <w:rPr>
                <w:noProof/>
                <w:webHidden/>
              </w:rPr>
              <w:tab/>
            </w:r>
            <w:r>
              <w:rPr>
                <w:noProof/>
                <w:webHidden/>
              </w:rPr>
              <w:fldChar w:fldCharType="begin"/>
            </w:r>
            <w:r>
              <w:rPr>
                <w:noProof/>
                <w:webHidden/>
              </w:rPr>
              <w:instrText xml:space="preserve"> PAGEREF _Toc205482100 \h </w:instrText>
            </w:r>
            <w:r>
              <w:rPr>
                <w:noProof/>
                <w:webHidden/>
              </w:rPr>
            </w:r>
            <w:r>
              <w:rPr>
                <w:noProof/>
                <w:webHidden/>
              </w:rPr>
              <w:fldChar w:fldCharType="separate"/>
            </w:r>
            <w:r w:rsidR="008A2A42">
              <w:rPr>
                <w:noProof/>
                <w:webHidden/>
              </w:rPr>
              <w:t>31</w:t>
            </w:r>
            <w:r>
              <w:rPr>
                <w:noProof/>
                <w:webHidden/>
              </w:rPr>
              <w:fldChar w:fldCharType="end"/>
            </w:r>
          </w:hyperlink>
        </w:p>
        <w:p w14:paraId="7E1B762D" w14:textId="57D75C4F" w:rsidR="00C14570" w:rsidRDefault="00C14570">
          <w:pPr>
            <w:pStyle w:val="TOC2"/>
            <w:rPr>
              <w:rFonts w:eastAsiaTheme="minorEastAsia"/>
              <w:noProof/>
              <w:kern w:val="2"/>
              <w:sz w:val="24"/>
              <w:szCs w:val="24"/>
              <w:lang w:val="en-AU" w:eastAsia="en-AU"/>
              <w14:ligatures w14:val="standardContextual"/>
            </w:rPr>
          </w:pPr>
          <w:hyperlink w:anchor="_Toc205482101" w:history="1">
            <w:r w:rsidRPr="00A6294F">
              <w:rPr>
                <w:rStyle w:val="Hyperlink"/>
                <w:noProof/>
              </w:rPr>
              <w:t>Section 6.5.</w:t>
            </w:r>
            <w:r>
              <w:rPr>
                <w:rFonts w:eastAsiaTheme="minorEastAsia"/>
                <w:noProof/>
                <w:kern w:val="2"/>
                <w:sz w:val="24"/>
                <w:szCs w:val="24"/>
                <w:lang w:val="en-AU" w:eastAsia="en-AU"/>
                <w14:ligatures w14:val="standardContextual"/>
              </w:rPr>
              <w:tab/>
            </w:r>
            <w:r w:rsidRPr="00A6294F">
              <w:rPr>
                <w:rStyle w:val="Hyperlink"/>
                <w:noProof/>
              </w:rPr>
              <w:t>Opportunity to provide additional information before final outcome; determinations may apply to all brands of an item</w:t>
            </w:r>
            <w:r>
              <w:rPr>
                <w:noProof/>
                <w:webHidden/>
              </w:rPr>
              <w:tab/>
            </w:r>
            <w:r>
              <w:rPr>
                <w:noProof/>
                <w:webHidden/>
              </w:rPr>
              <w:fldChar w:fldCharType="begin"/>
            </w:r>
            <w:r>
              <w:rPr>
                <w:noProof/>
                <w:webHidden/>
              </w:rPr>
              <w:instrText xml:space="preserve"> PAGEREF _Toc205482101 \h </w:instrText>
            </w:r>
            <w:r>
              <w:rPr>
                <w:noProof/>
                <w:webHidden/>
              </w:rPr>
            </w:r>
            <w:r>
              <w:rPr>
                <w:noProof/>
                <w:webHidden/>
              </w:rPr>
              <w:fldChar w:fldCharType="separate"/>
            </w:r>
            <w:r w:rsidR="008A2A42">
              <w:rPr>
                <w:noProof/>
                <w:webHidden/>
              </w:rPr>
              <w:t>32</w:t>
            </w:r>
            <w:r>
              <w:rPr>
                <w:noProof/>
                <w:webHidden/>
              </w:rPr>
              <w:fldChar w:fldCharType="end"/>
            </w:r>
          </w:hyperlink>
        </w:p>
        <w:p w14:paraId="7E919547" w14:textId="3B6D0714" w:rsidR="00C14570" w:rsidRDefault="00C14570">
          <w:pPr>
            <w:pStyle w:val="TOC1"/>
            <w:rPr>
              <w:rFonts w:eastAsiaTheme="minorEastAsia"/>
              <w:b w:val="0"/>
              <w:bCs w:val="0"/>
              <w:kern w:val="2"/>
              <w:sz w:val="24"/>
              <w:szCs w:val="24"/>
              <w:lang w:val="en-AU" w:eastAsia="en-AU"/>
              <w14:ligatures w14:val="standardContextual"/>
            </w:rPr>
          </w:pPr>
          <w:hyperlink w:anchor="_Toc205482102" w:history="1">
            <w:r w:rsidRPr="00A6294F">
              <w:rPr>
                <w:rStyle w:val="Hyperlink"/>
              </w:rPr>
              <w:t>Section 7.</w:t>
            </w:r>
            <w:r>
              <w:rPr>
                <w:rFonts w:eastAsiaTheme="minorEastAsia"/>
                <w:b w:val="0"/>
                <w:bCs w:val="0"/>
                <w:kern w:val="2"/>
                <w:sz w:val="24"/>
                <w:szCs w:val="24"/>
                <w:lang w:val="en-AU" w:eastAsia="en-AU"/>
                <w14:ligatures w14:val="standardContextual"/>
              </w:rPr>
              <w:tab/>
            </w:r>
            <w:r w:rsidRPr="00A6294F">
              <w:rPr>
                <w:rStyle w:val="Hyperlink"/>
              </w:rPr>
              <w:t>Disclosure and Notifications</w:t>
            </w:r>
            <w:r>
              <w:rPr>
                <w:webHidden/>
              </w:rPr>
              <w:tab/>
            </w:r>
            <w:r>
              <w:rPr>
                <w:webHidden/>
              </w:rPr>
              <w:fldChar w:fldCharType="begin"/>
            </w:r>
            <w:r>
              <w:rPr>
                <w:webHidden/>
              </w:rPr>
              <w:instrText xml:space="preserve"> PAGEREF _Toc205482102 \h </w:instrText>
            </w:r>
            <w:r>
              <w:rPr>
                <w:webHidden/>
              </w:rPr>
            </w:r>
            <w:r>
              <w:rPr>
                <w:webHidden/>
              </w:rPr>
              <w:fldChar w:fldCharType="separate"/>
            </w:r>
            <w:r w:rsidR="008A2A42">
              <w:rPr>
                <w:webHidden/>
              </w:rPr>
              <w:t>34</w:t>
            </w:r>
            <w:r>
              <w:rPr>
                <w:webHidden/>
              </w:rPr>
              <w:fldChar w:fldCharType="end"/>
            </w:r>
          </w:hyperlink>
        </w:p>
        <w:p w14:paraId="3218CB97" w14:textId="26D753A0" w:rsidR="00C14570" w:rsidRDefault="00C14570">
          <w:pPr>
            <w:pStyle w:val="TOC2"/>
            <w:rPr>
              <w:rFonts w:eastAsiaTheme="minorEastAsia"/>
              <w:noProof/>
              <w:kern w:val="2"/>
              <w:sz w:val="24"/>
              <w:szCs w:val="24"/>
              <w:lang w:val="en-AU" w:eastAsia="en-AU"/>
              <w14:ligatures w14:val="standardContextual"/>
            </w:rPr>
          </w:pPr>
          <w:hyperlink w:anchor="_Toc205482103" w:history="1">
            <w:r w:rsidRPr="00A6294F">
              <w:rPr>
                <w:rStyle w:val="Hyperlink"/>
                <w:noProof/>
              </w:rPr>
              <w:t>Section 7.1.</w:t>
            </w:r>
            <w:r>
              <w:rPr>
                <w:rFonts w:eastAsiaTheme="minorEastAsia"/>
                <w:noProof/>
                <w:kern w:val="2"/>
                <w:sz w:val="24"/>
                <w:szCs w:val="24"/>
                <w:lang w:val="en-AU" w:eastAsia="en-AU"/>
                <w14:ligatures w14:val="standardContextual"/>
              </w:rPr>
              <w:tab/>
            </w:r>
            <w:r w:rsidRPr="00A6294F">
              <w:rPr>
                <w:rStyle w:val="Hyperlink"/>
                <w:noProof/>
              </w:rPr>
              <w:t>Disclosure requirements</w:t>
            </w:r>
            <w:r>
              <w:rPr>
                <w:noProof/>
                <w:webHidden/>
              </w:rPr>
              <w:tab/>
            </w:r>
            <w:r>
              <w:rPr>
                <w:noProof/>
                <w:webHidden/>
              </w:rPr>
              <w:fldChar w:fldCharType="begin"/>
            </w:r>
            <w:r>
              <w:rPr>
                <w:noProof/>
                <w:webHidden/>
              </w:rPr>
              <w:instrText xml:space="preserve"> PAGEREF _Toc205482103 \h </w:instrText>
            </w:r>
            <w:r>
              <w:rPr>
                <w:noProof/>
                <w:webHidden/>
              </w:rPr>
            </w:r>
            <w:r>
              <w:rPr>
                <w:noProof/>
                <w:webHidden/>
              </w:rPr>
              <w:fldChar w:fldCharType="separate"/>
            </w:r>
            <w:r w:rsidR="008A2A42">
              <w:rPr>
                <w:noProof/>
                <w:webHidden/>
              </w:rPr>
              <w:t>34</w:t>
            </w:r>
            <w:r>
              <w:rPr>
                <w:noProof/>
                <w:webHidden/>
              </w:rPr>
              <w:fldChar w:fldCharType="end"/>
            </w:r>
          </w:hyperlink>
        </w:p>
        <w:p w14:paraId="7C473100" w14:textId="4F7B9299" w:rsidR="00C14570" w:rsidRDefault="00C14570">
          <w:pPr>
            <w:pStyle w:val="TOC2"/>
            <w:rPr>
              <w:rFonts w:eastAsiaTheme="minorEastAsia"/>
              <w:noProof/>
              <w:kern w:val="2"/>
              <w:sz w:val="24"/>
              <w:szCs w:val="24"/>
              <w:lang w:val="en-AU" w:eastAsia="en-AU"/>
              <w14:ligatures w14:val="standardContextual"/>
            </w:rPr>
          </w:pPr>
          <w:hyperlink w:anchor="_Toc205482104" w:history="1">
            <w:r w:rsidRPr="00A6294F">
              <w:rPr>
                <w:rStyle w:val="Hyperlink"/>
                <w:noProof/>
              </w:rPr>
              <w:t>Section 7.2.</w:t>
            </w:r>
            <w:r>
              <w:rPr>
                <w:rFonts w:eastAsiaTheme="minorEastAsia"/>
                <w:noProof/>
                <w:kern w:val="2"/>
                <w:sz w:val="24"/>
                <w:szCs w:val="24"/>
                <w:lang w:val="en-AU" w:eastAsia="en-AU"/>
                <w14:ligatures w14:val="standardContextual"/>
              </w:rPr>
              <w:tab/>
            </w:r>
            <w:r w:rsidRPr="00A6294F">
              <w:rPr>
                <w:rStyle w:val="Hyperlink"/>
                <w:noProof/>
              </w:rPr>
              <w:t>Notification requirements</w:t>
            </w:r>
            <w:r>
              <w:rPr>
                <w:noProof/>
                <w:webHidden/>
              </w:rPr>
              <w:tab/>
            </w:r>
            <w:r>
              <w:rPr>
                <w:noProof/>
                <w:webHidden/>
              </w:rPr>
              <w:fldChar w:fldCharType="begin"/>
            </w:r>
            <w:r>
              <w:rPr>
                <w:noProof/>
                <w:webHidden/>
              </w:rPr>
              <w:instrText xml:space="preserve"> PAGEREF _Toc205482104 \h </w:instrText>
            </w:r>
            <w:r>
              <w:rPr>
                <w:noProof/>
                <w:webHidden/>
              </w:rPr>
            </w:r>
            <w:r>
              <w:rPr>
                <w:noProof/>
                <w:webHidden/>
              </w:rPr>
              <w:fldChar w:fldCharType="separate"/>
            </w:r>
            <w:r w:rsidR="008A2A42">
              <w:rPr>
                <w:noProof/>
                <w:webHidden/>
              </w:rPr>
              <w:t>36</w:t>
            </w:r>
            <w:r>
              <w:rPr>
                <w:noProof/>
                <w:webHidden/>
              </w:rPr>
              <w:fldChar w:fldCharType="end"/>
            </w:r>
          </w:hyperlink>
        </w:p>
        <w:p w14:paraId="522FC256" w14:textId="56B276B3" w:rsidR="00C14570" w:rsidRDefault="00C14570">
          <w:pPr>
            <w:pStyle w:val="TOC1"/>
            <w:rPr>
              <w:rFonts w:eastAsiaTheme="minorEastAsia"/>
              <w:b w:val="0"/>
              <w:bCs w:val="0"/>
              <w:kern w:val="2"/>
              <w:sz w:val="24"/>
              <w:szCs w:val="24"/>
              <w:lang w:val="en-AU" w:eastAsia="en-AU"/>
              <w14:ligatures w14:val="standardContextual"/>
            </w:rPr>
          </w:pPr>
          <w:hyperlink w:anchor="_Toc205482105" w:history="1">
            <w:r w:rsidRPr="00A6294F">
              <w:rPr>
                <w:rStyle w:val="Hyperlink"/>
              </w:rPr>
              <w:t>Section 8.</w:t>
            </w:r>
            <w:r>
              <w:rPr>
                <w:rFonts w:eastAsiaTheme="minorEastAsia"/>
                <w:b w:val="0"/>
                <w:bCs w:val="0"/>
                <w:kern w:val="2"/>
                <w:sz w:val="24"/>
                <w:szCs w:val="24"/>
                <w:lang w:val="en-AU" w:eastAsia="en-AU"/>
                <w14:ligatures w14:val="standardContextual"/>
              </w:rPr>
              <w:tab/>
            </w:r>
            <w:r w:rsidRPr="00A6294F">
              <w:rPr>
                <w:rStyle w:val="Hyperlink"/>
              </w:rPr>
              <w:t>Managing Compliance</w:t>
            </w:r>
            <w:r>
              <w:rPr>
                <w:webHidden/>
              </w:rPr>
              <w:tab/>
            </w:r>
            <w:r>
              <w:rPr>
                <w:webHidden/>
              </w:rPr>
              <w:fldChar w:fldCharType="begin"/>
            </w:r>
            <w:r>
              <w:rPr>
                <w:webHidden/>
              </w:rPr>
              <w:instrText xml:space="preserve"> PAGEREF _Toc205482105 \h </w:instrText>
            </w:r>
            <w:r>
              <w:rPr>
                <w:webHidden/>
              </w:rPr>
            </w:r>
            <w:r>
              <w:rPr>
                <w:webHidden/>
              </w:rPr>
              <w:fldChar w:fldCharType="separate"/>
            </w:r>
            <w:r w:rsidR="008A2A42">
              <w:rPr>
                <w:webHidden/>
              </w:rPr>
              <w:t>43</w:t>
            </w:r>
            <w:r>
              <w:rPr>
                <w:webHidden/>
              </w:rPr>
              <w:fldChar w:fldCharType="end"/>
            </w:r>
          </w:hyperlink>
        </w:p>
        <w:p w14:paraId="0D3F4878" w14:textId="3B0B64EC" w:rsidR="00C14570" w:rsidRDefault="00C14570">
          <w:pPr>
            <w:pStyle w:val="TOC2"/>
            <w:rPr>
              <w:rFonts w:eastAsiaTheme="minorEastAsia"/>
              <w:noProof/>
              <w:kern w:val="2"/>
              <w:sz w:val="24"/>
              <w:szCs w:val="24"/>
              <w:lang w:val="en-AU" w:eastAsia="en-AU"/>
              <w14:ligatures w14:val="standardContextual"/>
            </w:rPr>
          </w:pPr>
          <w:hyperlink w:anchor="_Toc205482106" w:history="1">
            <w:r w:rsidRPr="00A6294F">
              <w:rPr>
                <w:rStyle w:val="Hyperlink"/>
                <w:noProof/>
              </w:rPr>
              <w:t>Section 8.1.</w:t>
            </w:r>
            <w:r>
              <w:rPr>
                <w:rFonts w:eastAsiaTheme="minorEastAsia"/>
                <w:noProof/>
                <w:kern w:val="2"/>
                <w:sz w:val="24"/>
                <w:szCs w:val="24"/>
                <w:lang w:val="en-AU" w:eastAsia="en-AU"/>
                <w14:ligatures w14:val="standardContextual"/>
              </w:rPr>
              <w:tab/>
            </w:r>
            <w:r w:rsidRPr="00A6294F">
              <w:rPr>
                <w:rStyle w:val="Hyperlink"/>
                <w:noProof/>
              </w:rPr>
              <w:t>Department approach to non-compliance</w:t>
            </w:r>
            <w:r>
              <w:rPr>
                <w:noProof/>
                <w:webHidden/>
              </w:rPr>
              <w:tab/>
            </w:r>
            <w:r>
              <w:rPr>
                <w:noProof/>
                <w:webHidden/>
              </w:rPr>
              <w:fldChar w:fldCharType="begin"/>
            </w:r>
            <w:r>
              <w:rPr>
                <w:noProof/>
                <w:webHidden/>
              </w:rPr>
              <w:instrText xml:space="preserve"> PAGEREF _Toc205482106 \h </w:instrText>
            </w:r>
            <w:r>
              <w:rPr>
                <w:noProof/>
                <w:webHidden/>
              </w:rPr>
            </w:r>
            <w:r>
              <w:rPr>
                <w:noProof/>
                <w:webHidden/>
              </w:rPr>
              <w:fldChar w:fldCharType="separate"/>
            </w:r>
            <w:r w:rsidR="008A2A42">
              <w:rPr>
                <w:noProof/>
                <w:webHidden/>
              </w:rPr>
              <w:t>43</w:t>
            </w:r>
            <w:r>
              <w:rPr>
                <w:noProof/>
                <w:webHidden/>
              </w:rPr>
              <w:fldChar w:fldCharType="end"/>
            </w:r>
          </w:hyperlink>
        </w:p>
        <w:p w14:paraId="4FCBD44C" w14:textId="03DE605B" w:rsidR="00C14570" w:rsidRDefault="00C14570">
          <w:pPr>
            <w:pStyle w:val="TOC2"/>
            <w:rPr>
              <w:rFonts w:eastAsiaTheme="minorEastAsia"/>
              <w:noProof/>
              <w:kern w:val="2"/>
              <w:sz w:val="24"/>
              <w:szCs w:val="24"/>
              <w:lang w:val="en-AU" w:eastAsia="en-AU"/>
              <w14:ligatures w14:val="standardContextual"/>
            </w:rPr>
          </w:pPr>
          <w:hyperlink w:anchor="_Toc205482107" w:history="1">
            <w:r w:rsidRPr="00A6294F">
              <w:rPr>
                <w:rStyle w:val="Hyperlink"/>
                <w:noProof/>
              </w:rPr>
              <w:t>Section 8.2.</w:t>
            </w:r>
            <w:r>
              <w:rPr>
                <w:rFonts w:eastAsiaTheme="minorEastAsia"/>
                <w:noProof/>
                <w:kern w:val="2"/>
                <w:sz w:val="24"/>
                <w:szCs w:val="24"/>
                <w:lang w:val="en-AU" w:eastAsia="en-AU"/>
                <w14:ligatures w14:val="standardContextual"/>
              </w:rPr>
              <w:tab/>
            </w:r>
            <w:r w:rsidRPr="00A6294F">
              <w:rPr>
                <w:rStyle w:val="Hyperlink"/>
                <w:noProof/>
              </w:rPr>
              <w:t>Suggested actions for Responsible Persons to achieve compliance with legislation</w:t>
            </w:r>
            <w:r>
              <w:rPr>
                <w:noProof/>
                <w:webHidden/>
              </w:rPr>
              <w:tab/>
            </w:r>
            <w:r>
              <w:rPr>
                <w:noProof/>
                <w:webHidden/>
              </w:rPr>
              <w:fldChar w:fldCharType="begin"/>
            </w:r>
            <w:r>
              <w:rPr>
                <w:noProof/>
                <w:webHidden/>
              </w:rPr>
              <w:instrText xml:space="preserve"> PAGEREF _Toc205482107 \h </w:instrText>
            </w:r>
            <w:r>
              <w:rPr>
                <w:noProof/>
                <w:webHidden/>
              </w:rPr>
            </w:r>
            <w:r>
              <w:rPr>
                <w:noProof/>
                <w:webHidden/>
              </w:rPr>
              <w:fldChar w:fldCharType="separate"/>
            </w:r>
            <w:r w:rsidR="008A2A42">
              <w:rPr>
                <w:noProof/>
                <w:webHidden/>
              </w:rPr>
              <w:t>44</w:t>
            </w:r>
            <w:r>
              <w:rPr>
                <w:noProof/>
                <w:webHidden/>
              </w:rPr>
              <w:fldChar w:fldCharType="end"/>
            </w:r>
          </w:hyperlink>
        </w:p>
        <w:p w14:paraId="599C43FF" w14:textId="3226C07F" w:rsidR="00C14570" w:rsidRDefault="00C14570">
          <w:pPr>
            <w:pStyle w:val="TOC2"/>
            <w:rPr>
              <w:rFonts w:eastAsiaTheme="minorEastAsia"/>
              <w:noProof/>
              <w:kern w:val="2"/>
              <w:sz w:val="24"/>
              <w:szCs w:val="24"/>
              <w:lang w:val="en-AU" w:eastAsia="en-AU"/>
              <w14:ligatures w14:val="standardContextual"/>
            </w:rPr>
          </w:pPr>
          <w:hyperlink w:anchor="_Toc205482108" w:history="1">
            <w:r w:rsidRPr="00A6294F">
              <w:rPr>
                <w:rStyle w:val="Hyperlink"/>
                <w:noProof/>
              </w:rPr>
              <w:t>Section 8.3.</w:t>
            </w:r>
            <w:r>
              <w:rPr>
                <w:rFonts w:eastAsiaTheme="minorEastAsia"/>
                <w:noProof/>
                <w:kern w:val="2"/>
                <w:sz w:val="24"/>
                <w:szCs w:val="24"/>
                <w:lang w:val="en-AU" w:eastAsia="en-AU"/>
                <w14:ligatures w14:val="standardContextual"/>
              </w:rPr>
              <w:tab/>
            </w:r>
            <w:r w:rsidRPr="00A6294F">
              <w:rPr>
                <w:rStyle w:val="Hyperlink"/>
                <w:noProof/>
              </w:rPr>
              <w:t>Breaches of the minimum stockholding requirement</w:t>
            </w:r>
            <w:r>
              <w:rPr>
                <w:noProof/>
                <w:webHidden/>
              </w:rPr>
              <w:tab/>
            </w:r>
            <w:r>
              <w:rPr>
                <w:noProof/>
                <w:webHidden/>
              </w:rPr>
              <w:fldChar w:fldCharType="begin"/>
            </w:r>
            <w:r>
              <w:rPr>
                <w:noProof/>
                <w:webHidden/>
              </w:rPr>
              <w:instrText xml:space="preserve"> PAGEREF _Toc205482108 \h </w:instrText>
            </w:r>
            <w:r>
              <w:rPr>
                <w:noProof/>
                <w:webHidden/>
              </w:rPr>
            </w:r>
            <w:r>
              <w:rPr>
                <w:noProof/>
                <w:webHidden/>
              </w:rPr>
              <w:fldChar w:fldCharType="separate"/>
            </w:r>
            <w:r w:rsidR="008A2A42">
              <w:rPr>
                <w:noProof/>
                <w:webHidden/>
              </w:rPr>
              <w:t>44</w:t>
            </w:r>
            <w:r>
              <w:rPr>
                <w:noProof/>
                <w:webHidden/>
              </w:rPr>
              <w:fldChar w:fldCharType="end"/>
            </w:r>
          </w:hyperlink>
        </w:p>
        <w:p w14:paraId="5AE9660D" w14:textId="6A856614" w:rsidR="00C14570" w:rsidRDefault="00C14570">
          <w:pPr>
            <w:pStyle w:val="TOC2"/>
            <w:rPr>
              <w:rFonts w:eastAsiaTheme="minorEastAsia"/>
              <w:noProof/>
              <w:kern w:val="2"/>
              <w:sz w:val="24"/>
              <w:szCs w:val="24"/>
              <w:lang w:val="en-AU" w:eastAsia="en-AU"/>
              <w14:ligatures w14:val="standardContextual"/>
            </w:rPr>
          </w:pPr>
          <w:hyperlink w:anchor="_Toc205482109" w:history="1">
            <w:r w:rsidRPr="00A6294F">
              <w:rPr>
                <w:rStyle w:val="Hyperlink"/>
                <w:noProof/>
              </w:rPr>
              <w:t>Section 8.4.</w:t>
            </w:r>
            <w:r>
              <w:rPr>
                <w:rFonts w:eastAsiaTheme="minorEastAsia"/>
                <w:noProof/>
                <w:kern w:val="2"/>
                <w:sz w:val="24"/>
                <w:szCs w:val="24"/>
                <w:lang w:val="en-AU" w:eastAsia="en-AU"/>
                <w14:ligatures w14:val="standardContextual"/>
              </w:rPr>
              <w:tab/>
            </w:r>
            <w:r w:rsidRPr="00A6294F">
              <w:rPr>
                <w:rStyle w:val="Hyperlink"/>
                <w:noProof/>
              </w:rPr>
              <w:t>Breaches of the notification requirements</w:t>
            </w:r>
            <w:r>
              <w:rPr>
                <w:noProof/>
                <w:webHidden/>
              </w:rPr>
              <w:tab/>
            </w:r>
            <w:r>
              <w:rPr>
                <w:noProof/>
                <w:webHidden/>
              </w:rPr>
              <w:fldChar w:fldCharType="begin"/>
            </w:r>
            <w:r>
              <w:rPr>
                <w:noProof/>
                <w:webHidden/>
              </w:rPr>
              <w:instrText xml:space="preserve"> PAGEREF _Toc205482109 \h </w:instrText>
            </w:r>
            <w:r>
              <w:rPr>
                <w:noProof/>
                <w:webHidden/>
              </w:rPr>
            </w:r>
            <w:r>
              <w:rPr>
                <w:noProof/>
                <w:webHidden/>
              </w:rPr>
              <w:fldChar w:fldCharType="separate"/>
            </w:r>
            <w:r w:rsidR="008A2A42">
              <w:rPr>
                <w:noProof/>
                <w:webHidden/>
              </w:rPr>
              <w:t>49</w:t>
            </w:r>
            <w:r>
              <w:rPr>
                <w:noProof/>
                <w:webHidden/>
              </w:rPr>
              <w:fldChar w:fldCharType="end"/>
            </w:r>
          </w:hyperlink>
        </w:p>
        <w:p w14:paraId="46FCE773" w14:textId="0929C264" w:rsidR="00C14570" w:rsidRDefault="00C14570">
          <w:pPr>
            <w:pStyle w:val="TOC2"/>
            <w:rPr>
              <w:rFonts w:eastAsiaTheme="minorEastAsia"/>
              <w:noProof/>
              <w:kern w:val="2"/>
              <w:sz w:val="24"/>
              <w:szCs w:val="24"/>
              <w:lang w:val="en-AU" w:eastAsia="en-AU"/>
              <w14:ligatures w14:val="standardContextual"/>
            </w:rPr>
          </w:pPr>
          <w:hyperlink w:anchor="_Toc205482110" w:history="1">
            <w:r w:rsidRPr="00A6294F">
              <w:rPr>
                <w:rStyle w:val="Hyperlink"/>
                <w:noProof/>
              </w:rPr>
              <w:t>Section 8.5.</w:t>
            </w:r>
            <w:r>
              <w:rPr>
                <w:rFonts w:eastAsiaTheme="minorEastAsia"/>
                <w:noProof/>
                <w:kern w:val="2"/>
                <w:sz w:val="24"/>
                <w:szCs w:val="24"/>
                <w:lang w:val="en-AU" w:eastAsia="en-AU"/>
                <w14:ligatures w14:val="standardContextual"/>
              </w:rPr>
              <w:tab/>
            </w:r>
            <w:r w:rsidRPr="00A6294F">
              <w:rPr>
                <w:rStyle w:val="Hyperlink"/>
                <w:noProof/>
              </w:rPr>
              <w:t>Breaches of the stockholding disclosure requirements</w:t>
            </w:r>
            <w:r>
              <w:rPr>
                <w:noProof/>
                <w:webHidden/>
              </w:rPr>
              <w:tab/>
            </w:r>
            <w:r>
              <w:rPr>
                <w:noProof/>
                <w:webHidden/>
              </w:rPr>
              <w:fldChar w:fldCharType="begin"/>
            </w:r>
            <w:r>
              <w:rPr>
                <w:noProof/>
                <w:webHidden/>
              </w:rPr>
              <w:instrText xml:space="preserve"> PAGEREF _Toc205482110 \h </w:instrText>
            </w:r>
            <w:r>
              <w:rPr>
                <w:noProof/>
                <w:webHidden/>
              </w:rPr>
            </w:r>
            <w:r>
              <w:rPr>
                <w:noProof/>
                <w:webHidden/>
              </w:rPr>
              <w:fldChar w:fldCharType="separate"/>
            </w:r>
            <w:r w:rsidR="008A2A42">
              <w:rPr>
                <w:noProof/>
                <w:webHidden/>
              </w:rPr>
              <w:t>49</w:t>
            </w:r>
            <w:r>
              <w:rPr>
                <w:noProof/>
                <w:webHidden/>
              </w:rPr>
              <w:fldChar w:fldCharType="end"/>
            </w:r>
          </w:hyperlink>
        </w:p>
        <w:p w14:paraId="6F4801BD" w14:textId="52DEA507" w:rsidR="00C14570" w:rsidRDefault="00C14570">
          <w:pPr>
            <w:pStyle w:val="TOC1"/>
            <w:rPr>
              <w:rFonts w:eastAsiaTheme="minorEastAsia"/>
              <w:b w:val="0"/>
              <w:bCs w:val="0"/>
              <w:kern w:val="2"/>
              <w:sz w:val="24"/>
              <w:szCs w:val="24"/>
              <w:lang w:val="en-AU" w:eastAsia="en-AU"/>
              <w14:ligatures w14:val="standardContextual"/>
            </w:rPr>
          </w:pPr>
          <w:hyperlink w:anchor="_Toc205482111" w:history="1">
            <w:r w:rsidRPr="00A6294F">
              <w:rPr>
                <w:rStyle w:val="Hyperlink"/>
              </w:rPr>
              <w:t>Section 9.</w:t>
            </w:r>
            <w:r>
              <w:rPr>
                <w:rFonts w:eastAsiaTheme="minorEastAsia"/>
                <w:b w:val="0"/>
                <w:bCs w:val="0"/>
                <w:kern w:val="2"/>
                <w:sz w:val="24"/>
                <w:szCs w:val="24"/>
                <w:lang w:val="en-AU" w:eastAsia="en-AU"/>
                <w14:ligatures w14:val="standardContextual"/>
              </w:rPr>
              <w:tab/>
            </w:r>
            <w:r w:rsidRPr="00A6294F">
              <w:rPr>
                <w:rStyle w:val="Hyperlink"/>
              </w:rPr>
              <w:t>Revision History</w:t>
            </w:r>
            <w:r>
              <w:rPr>
                <w:webHidden/>
              </w:rPr>
              <w:tab/>
            </w:r>
            <w:r>
              <w:rPr>
                <w:webHidden/>
              </w:rPr>
              <w:fldChar w:fldCharType="begin"/>
            </w:r>
            <w:r>
              <w:rPr>
                <w:webHidden/>
              </w:rPr>
              <w:instrText xml:space="preserve"> PAGEREF _Toc205482111 \h </w:instrText>
            </w:r>
            <w:r>
              <w:rPr>
                <w:webHidden/>
              </w:rPr>
            </w:r>
            <w:r>
              <w:rPr>
                <w:webHidden/>
              </w:rPr>
              <w:fldChar w:fldCharType="separate"/>
            </w:r>
            <w:r w:rsidR="008A2A42">
              <w:rPr>
                <w:webHidden/>
              </w:rPr>
              <w:t>51</w:t>
            </w:r>
            <w:r>
              <w:rPr>
                <w:webHidden/>
              </w:rPr>
              <w:fldChar w:fldCharType="end"/>
            </w:r>
          </w:hyperlink>
        </w:p>
        <w:p w14:paraId="4181ABBD" w14:textId="38779D22" w:rsidR="008331F0" w:rsidRDefault="008331F0" w:rsidP="003F366A">
          <w:pPr>
            <w:pStyle w:val="TOC1"/>
          </w:pPr>
          <w:r>
            <w:rPr>
              <w:b w:val="0"/>
              <w:bCs w:val="0"/>
            </w:rPr>
            <w:fldChar w:fldCharType="end"/>
          </w:r>
        </w:p>
      </w:sdtContent>
    </w:sdt>
    <w:p w14:paraId="78C08E7D" w14:textId="063D3724" w:rsidR="008331F0" w:rsidRDefault="008331F0">
      <w:r>
        <w:br w:type="page"/>
      </w:r>
    </w:p>
    <w:p w14:paraId="7579076A" w14:textId="77777777" w:rsidR="0085356A" w:rsidRDefault="0085356A" w:rsidP="00527A34">
      <w:pPr>
        <w:spacing w:after="0" w:line="240" w:lineRule="auto"/>
      </w:pPr>
    </w:p>
    <w:p w14:paraId="5BD11650" w14:textId="282FEC05" w:rsidR="0070652B" w:rsidRPr="007E0156" w:rsidRDefault="0070652B" w:rsidP="0070652B">
      <w:pPr>
        <w:pStyle w:val="Heading1"/>
      </w:pPr>
      <w:bookmarkStart w:id="0" w:name="_Ref106974091"/>
      <w:bookmarkStart w:id="1" w:name="_Toc205482077"/>
      <w:r w:rsidRPr="007E0156">
        <w:t>Introduction</w:t>
      </w:r>
      <w:bookmarkEnd w:id="0"/>
      <w:bookmarkEnd w:id="1"/>
    </w:p>
    <w:p w14:paraId="7F51D340" w14:textId="35D5DCC2" w:rsidR="0070652B" w:rsidRPr="007E0156" w:rsidRDefault="000F3F55" w:rsidP="007366A8">
      <w:pPr>
        <w:jc w:val="both"/>
        <w:rPr>
          <w:b/>
          <w:sz w:val="24"/>
          <w:szCs w:val="28"/>
        </w:rPr>
      </w:pPr>
      <w:r w:rsidRPr="007E0156">
        <w:rPr>
          <w:b/>
          <w:sz w:val="24"/>
          <w:szCs w:val="28"/>
        </w:rPr>
        <w:t>These guidelines</w:t>
      </w:r>
      <w:r w:rsidR="00783476" w:rsidRPr="007E0156">
        <w:rPr>
          <w:b/>
          <w:sz w:val="24"/>
          <w:szCs w:val="28"/>
        </w:rPr>
        <w:t xml:space="preserve"> support the implementation of</w:t>
      </w:r>
      <w:r w:rsidR="008E3F5F" w:rsidRPr="007E0156">
        <w:rPr>
          <w:b/>
          <w:sz w:val="24"/>
          <w:szCs w:val="28"/>
        </w:rPr>
        <w:t xml:space="preserve"> minimum</w:t>
      </w:r>
      <w:r w:rsidR="00783476" w:rsidRPr="007E0156">
        <w:rPr>
          <w:b/>
          <w:sz w:val="24"/>
          <w:szCs w:val="28"/>
        </w:rPr>
        <w:t xml:space="preserve"> stockholding </w:t>
      </w:r>
      <w:r w:rsidR="00284DA7" w:rsidRPr="007E0156">
        <w:rPr>
          <w:b/>
          <w:sz w:val="24"/>
          <w:szCs w:val="28"/>
        </w:rPr>
        <w:t>requirements</w:t>
      </w:r>
      <w:r w:rsidR="00B243C5" w:rsidRPr="007E0156">
        <w:rPr>
          <w:b/>
          <w:sz w:val="24"/>
          <w:szCs w:val="28"/>
        </w:rPr>
        <w:t xml:space="preserve"> </w:t>
      </w:r>
      <w:r w:rsidR="00783476" w:rsidRPr="007E0156">
        <w:rPr>
          <w:b/>
          <w:sz w:val="24"/>
          <w:szCs w:val="28"/>
        </w:rPr>
        <w:t>to help secure the supply of medicines in Australia</w:t>
      </w:r>
    </w:p>
    <w:p w14:paraId="61CF1A48" w14:textId="469B8943" w:rsidR="0021777C" w:rsidRPr="007E0156" w:rsidRDefault="0021777C" w:rsidP="007366A8">
      <w:pPr>
        <w:jc w:val="both"/>
        <w:rPr>
          <w:rFonts w:eastAsia="Arial" w:cstheme="minorHAnsi"/>
          <w:szCs w:val="20"/>
        </w:rPr>
      </w:pPr>
      <w:r w:rsidRPr="007E0156">
        <w:rPr>
          <w:rFonts w:ascii="Arial" w:eastAsia="Arial" w:hAnsi="Arial" w:cs="Arial"/>
          <w:szCs w:val="20"/>
        </w:rPr>
        <w:t xml:space="preserve">Increasingly, global medicine shortages are interrupting supply of medicines that are the mainstay of treatment for some of the most prevalent health conditions in the Australian community. In 2019 and 2020, </w:t>
      </w:r>
      <w:r w:rsidRPr="007E0156">
        <w:rPr>
          <w:rFonts w:eastAsia="Arial" w:cstheme="minorHAnsi"/>
          <w:szCs w:val="20"/>
        </w:rPr>
        <w:t>medicines supplied by manufacturers for $4 or less per pack were the most susceptible</w:t>
      </w:r>
      <w:r w:rsidR="00A92B1E" w:rsidRPr="007E0156">
        <w:rPr>
          <w:rFonts w:eastAsia="Arial" w:cstheme="minorHAnsi"/>
          <w:szCs w:val="20"/>
        </w:rPr>
        <w:t xml:space="preserve"> to shortages</w:t>
      </w:r>
      <w:r w:rsidRPr="007E0156">
        <w:rPr>
          <w:rFonts w:eastAsia="Arial" w:cstheme="minorHAnsi"/>
          <w:szCs w:val="20"/>
        </w:rPr>
        <w:t>.</w:t>
      </w:r>
    </w:p>
    <w:p w14:paraId="4DF83E89" w14:textId="40542A84" w:rsidR="00653D4D" w:rsidRPr="007E0156" w:rsidRDefault="0021777C" w:rsidP="007366A8">
      <w:pPr>
        <w:jc w:val="both"/>
        <w:rPr>
          <w:rFonts w:eastAsia="Arial" w:cstheme="minorHAnsi"/>
          <w:szCs w:val="20"/>
          <w:lang w:val="en-AU"/>
        </w:rPr>
      </w:pPr>
      <w:r w:rsidRPr="007E0156">
        <w:rPr>
          <w:rFonts w:eastAsia="Arial" w:cstheme="minorHAnsi"/>
          <w:szCs w:val="20"/>
          <w:lang w:val="en-AU"/>
        </w:rPr>
        <w:t xml:space="preserve">Amendments made </w:t>
      </w:r>
      <w:r w:rsidR="00A92B1E" w:rsidRPr="007E0156">
        <w:rPr>
          <w:rFonts w:eastAsia="Arial" w:cstheme="minorHAnsi"/>
          <w:szCs w:val="20"/>
          <w:lang w:val="en-AU"/>
        </w:rPr>
        <w:t xml:space="preserve">to the </w:t>
      </w:r>
      <w:hyperlink r:id="rId14" w:history="1">
        <w:r w:rsidR="00A92B1E" w:rsidRPr="007E0156">
          <w:rPr>
            <w:rStyle w:val="Hyperlink"/>
            <w:rFonts w:eastAsia="Arial" w:cstheme="minorHAnsi"/>
            <w:i/>
            <w:szCs w:val="20"/>
            <w:lang w:val="en-AU"/>
          </w:rPr>
          <w:t>National Health Act 1953</w:t>
        </w:r>
      </w:hyperlink>
      <w:r w:rsidR="00A92B1E" w:rsidRPr="007E0156">
        <w:rPr>
          <w:rFonts w:eastAsia="Arial" w:cstheme="minorHAnsi"/>
          <w:i/>
          <w:szCs w:val="20"/>
          <w:lang w:val="en-AU"/>
        </w:rPr>
        <w:t xml:space="preserve"> </w:t>
      </w:r>
      <w:r w:rsidR="00A92B1E" w:rsidRPr="007E0156">
        <w:rPr>
          <w:rFonts w:eastAsia="Arial" w:cstheme="minorHAnsi"/>
          <w:szCs w:val="20"/>
          <w:lang w:val="en-AU"/>
        </w:rPr>
        <w:t>(</w:t>
      </w:r>
      <w:r w:rsidR="00A92B1E" w:rsidRPr="00F1398F">
        <w:rPr>
          <w:b/>
          <w:lang w:val="en-AU"/>
        </w:rPr>
        <w:t>the</w:t>
      </w:r>
      <w:r w:rsidR="00A92B1E" w:rsidRPr="007E0156">
        <w:rPr>
          <w:rFonts w:eastAsia="Arial" w:cstheme="minorHAnsi"/>
          <w:szCs w:val="20"/>
          <w:lang w:val="en-AU"/>
        </w:rPr>
        <w:t xml:space="preserve"> </w:t>
      </w:r>
      <w:r w:rsidR="00A92B1E" w:rsidRPr="007E0156">
        <w:rPr>
          <w:rFonts w:eastAsia="Arial" w:cstheme="minorHAnsi"/>
          <w:b/>
          <w:szCs w:val="20"/>
          <w:lang w:val="en-AU"/>
        </w:rPr>
        <w:t>Act</w:t>
      </w:r>
      <w:r w:rsidR="00A92B1E" w:rsidRPr="007E0156">
        <w:rPr>
          <w:rFonts w:eastAsia="Arial" w:cstheme="minorHAnsi"/>
          <w:szCs w:val="20"/>
          <w:lang w:val="en-AU"/>
        </w:rPr>
        <w:t xml:space="preserve">) </w:t>
      </w:r>
      <w:r w:rsidRPr="007E0156">
        <w:rPr>
          <w:rFonts w:eastAsia="Arial" w:cstheme="minorHAnsi"/>
          <w:szCs w:val="20"/>
          <w:lang w:val="en-AU"/>
        </w:rPr>
        <w:t xml:space="preserve">by the </w:t>
      </w:r>
      <w:hyperlink r:id="rId15" w:history="1">
        <w:r w:rsidR="00B65192" w:rsidRPr="00B65192">
          <w:rPr>
            <w:rStyle w:val="Hyperlink"/>
            <w:rFonts w:eastAsia="Arial" w:cstheme="minorHAnsi"/>
            <w:i/>
            <w:iCs/>
            <w:szCs w:val="20"/>
            <w:lang w:val="en-AU"/>
          </w:rPr>
          <w:t>National Health Amendment (Enhancing the Pharmaceutical Benefits Scheme) Act 2021</w:t>
        </w:r>
      </w:hyperlink>
      <w:r w:rsidRPr="007E0156">
        <w:rPr>
          <w:rFonts w:eastAsia="Arial" w:cstheme="minorHAnsi"/>
          <w:szCs w:val="20"/>
          <w:lang w:val="en-AU"/>
        </w:rPr>
        <w:t xml:space="preserve"> (</w:t>
      </w:r>
      <w:r w:rsidR="00B65192" w:rsidRPr="00F1398F">
        <w:rPr>
          <w:b/>
          <w:lang w:val="en-AU"/>
        </w:rPr>
        <w:t>the</w:t>
      </w:r>
      <w:r w:rsidR="00B65192">
        <w:rPr>
          <w:rFonts w:eastAsia="Arial" w:cstheme="minorHAnsi"/>
          <w:szCs w:val="20"/>
          <w:lang w:val="en-AU"/>
        </w:rPr>
        <w:t xml:space="preserve"> </w:t>
      </w:r>
      <w:r w:rsidRPr="007E0156">
        <w:rPr>
          <w:rFonts w:eastAsia="Arial" w:cstheme="minorHAnsi"/>
          <w:b/>
          <w:bCs/>
          <w:szCs w:val="20"/>
          <w:lang w:val="en-AU"/>
        </w:rPr>
        <w:t>Amendment Act</w:t>
      </w:r>
      <w:r w:rsidRPr="007E0156">
        <w:rPr>
          <w:rFonts w:eastAsia="Arial" w:cstheme="minorHAnsi"/>
          <w:szCs w:val="20"/>
          <w:lang w:val="en-AU"/>
        </w:rPr>
        <w:t xml:space="preserve">) give effect to the commitments in the new </w:t>
      </w:r>
      <w:hyperlink r:id="rId16" w:history="1">
        <w:r w:rsidRPr="007E0156">
          <w:rPr>
            <w:rStyle w:val="Hyperlink"/>
            <w:rFonts w:eastAsia="Arial" w:cstheme="minorHAnsi"/>
            <w:szCs w:val="20"/>
            <w:lang w:val="en-AU"/>
          </w:rPr>
          <w:t>Strategic Agreements</w:t>
        </w:r>
      </w:hyperlink>
      <w:r w:rsidRPr="007E0156">
        <w:rPr>
          <w:rFonts w:eastAsia="Arial" w:cstheme="minorHAnsi"/>
          <w:szCs w:val="20"/>
          <w:lang w:val="en-AU"/>
        </w:rPr>
        <w:t xml:space="preserve"> with the medicines industry, which includes </w:t>
      </w:r>
      <w:r w:rsidR="00497A1B" w:rsidRPr="007E0156">
        <w:rPr>
          <w:rFonts w:eastAsia="Arial" w:cstheme="minorHAnsi"/>
          <w:szCs w:val="20"/>
          <w:lang w:val="en-AU"/>
        </w:rPr>
        <w:t>m</w:t>
      </w:r>
      <w:r w:rsidRPr="007E0156">
        <w:rPr>
          <w:rFonts w:eastAsia="Arial" w:cstheme="minorHAnsi"/>
          <w:szCs w:val="20"/>
          <w:lang w:val="en-AU"/>
        </w:rPr>
        <w:t xml:space="preserve">inimum </w:t>
      </w:r>
      <w:r w:rsidR="00497A1B" w:rsidRPr="007E0156">
        <w:rPr>
          <w:rFonts w:eastAsia="Arial" w:cstheme="minorHAnsi"/>
          <w:szCs w:val="20"/>
          <w:lang w:val="en-AU"/>
        </w:rPr>
        <w:t>s</w:t>
      </w:r>
      <w:r w:rsidRPr="007E0156">
        <w:rPr>
          <w:rFonts w:eastAsia="Arial" w:cstheme="minorHAnsi"/>
          <w:szCs w:val="20"/>
          <w:lang w:val="en-AU"/>
        </w:rPr>
        <w:t xml:space="preserve">tockholding </w:t>
      </w:r>
      <w:r w:rsidR="00497A1B" w:rsidRPr="007E0156">
        <w:rPr>
          <w:rFonts w:eastAsia="Arial" w:cstheme="minorHAnsi"/>
          <w:szCs w:val="20"/>
          <w:lang w:val="en-AU"/>
        </w:rPr>
        <w:t>r</w:t>
      </w:r>
      <w:r w:rsidRPr="007E0156">
        <w:rPr>
          <w:rFonts w:eastAsia="Arial" w:cstheme="minorHAnsi"/>
          <w:szCs w:val="20"/>
          <w:lang w:val="en-AU"/>
        </w:rPr>
        <w:t xml:space="preserve">equirements. The </w:t>
      </w:r>
      <w:r w:rsidR="00497A1B" w:rsidRPr="007E0156">
        <w:rPr>
          <w:rFonts w:eastAsia="Arial" w:cstheme="minorHAnsi"/>
          <w:szCs w:val="20"/>
          <w:lang w:val="en-AU"/>
        </w:rPr>
        <w:t>m</w:t>
      </w:r>
      <w:r w:rsidRPr="007E0156">
        <w:rPr>
          <w:rFonts w:eastAsia="Arial" w:cstheme="minorHAnsi"/>
          <w:szCs w:val="20"/>
          <w:lang w:val="en-AU"/>
        </w:rPr>
        <w:t xml:space="preserve">inimum </w:t>
      </w:r>
      <w:r w:rsidR="00497A1B" w:rsidRPr="007E0156">
        <w:rPr>
          <w:rFonts w:eastAsia="Arial" w:cstheme="minorHAnsi"/>
          <w:szCs w:val="20"/>
          <w:lang w:val="en-AU"/>
        </w:rPr>
        <w:t>s</w:t>
      </w:r>
      <w:r w:rsidRPr="007E0156">
        <w:rPr>
          <w:rFonts w:eastAsia="Arial" w:cstheme="minorHAnsi"/>
          <w:szCs w:val="20"/>
          <w:lang w:val="en-AU"/>
        </w:rPr>
        <w:t xml:space="preserve">tockholding </w:t>
      </w:r>
      <w:r w:rsidR="00497A1B" w:rsidRPr="007E0156">
        <w:rPr>
          <w:rFonts w:eastAsia="Arial" w:cstheme="minorHAnsi"/>
          <w:szCs w:val="20"/>
          <w:lang w:val="en-AU"/>
        </w:rPr>
        <w:t>r</w:t>
      </w:r>
      <w:r w:rsidRPr="007E0156">
        <w:rPr>
          <w:rFonts w:eastAsia="Arial" w:cstheme="minorHAnsi"/>
          <w:szCs w:val="20"/>
          <w:lang w:val="en-AU"/>
        </w:rPr>
        <w:t xml:space="preserve">equirements are designed to help protect Australian patients, pharmacists, and prescribers from the impact of global medicines shortages. </w:t>
      </w:r>
      <w:r w:rsidR="00653D4D" w:rsidRPr="007E0156">
        <w:rPr>
          <w:rFonts w:cstheme="minorHAnsi"/>
          <w:shd w:val="clear" w:color="auto" w:fill="FFFFFF"/>
        </w:rPr>
        <w:t xml:space="preserve">While these measures will not prevent shortages that are outside of the control of Australian companies, they will help to ensure that Australian manufacturers are better placed to continue supply when global disruptions occur. Greater buffers will allow time for supply disruptions to be resolved and ensure better continuity of supply for Australians, including through identifying alternative sources of supply (where possible). </w:t>
      </w:r>
    </w:p>
    <w:p w14:paraId="7AF7393B" w14:textId="5A673069" w:rsidR="48DC29B3" w:rsidRPr="007E0156" w:rsidRDefault="48DC29B3" w:rsidP="007366A8">
      <w:pPr>
        <w:jc w:val="both"/>
        <w:rPr>
          <w:rFonts w:eastAsia="Arial" w:cstheme="minorHAnsi"/>
          <w:szCs w:val="20"/>
        </w:rPr>
      </w:pPr>
      <w:r w:rsidRPr="007E0156">
        <w:rPr>
          <w:rFonts w:eastAsia="Arial" w:cstheme="minorHAnsi"/>
          <w:szCs w:val="20"/>
        </w:rPr>
        <w:t>From 1 July 2023, the Act impose</w:t>
      </w:r>
      <w:r w:rsidR="003C5A0C">
        <w:rPr>
          <w:rFonts w:eastAsia="Arial" w:cstheme="minorHAnsi"/>
          <w:szCs w:val="20"/>
        </w:rPr>
        <w:t>d</w:t>
      </w:r>
      <w:r w:rsidRPr="007E0156">
        <w:rPr>
          <w:rFonts w:eastAsia="Arial" w:cstheme="minorHAnsi"/>
          <w:szCs w:val="20"/>
        </w:rPr>
        <w:t xml:space="preserve"> a requirement for Responsible Persons</w:t>
      </w:r>
      <w:r w:rsidR="00A92B1E" w:rsidRPr="007E0156">
        <w:rPr>
          <w:rFonts w:eastAsia="Arial" w:cstheme="minorHAnsi"/>
          <w:szCs w:val="20"/>
        </w:rPr>
        <w:t xml:space="preserve"> (</w:t>
      </w:r>
      <w:r w:rsidR="00A92B1E" w:rsidRPr="007E0156">
        <w:rPr>
          <w:rFonts w:cstheme="minorHAnsi"/>
          <w:b/>
        </w:rPr>
        <w:t>RP</w:t>
      </w:r>
      <w:r w:rsidR="00A92B1E" w:rsidRPr="007E0156">
        <w:rPr>
          <w:rFonts w:eastAsia="Arial" w:cstheme="minorHAnsi"/>
          <w:szCs w:val="20"/>
        </w:rPr>
        <w:t>s)</w:t>
      </w:r>
      <w:r w:rsidRPr="007E0156">
        <w:rPr>
          <w:rFonts w:eastAsia="Arial" w:cstheme="minorHAnsi"/>
          <w:szCs w:val="20"/>
        </w:rPr>
        <w:t xml:space="preserve"> to </w:t>
      </w:r>
      <w:r w:rsidR="00A92B1E" w:rsidRPr="007E0156">
        <w:rPr>
          <w:rFonts w:eastAsia="Arial" w:cstheme="minorHAnsi"/>
          <w:szCs w:val="20"/>
        </w:rPr>
        <w:t>keep in stock</w:t>
      </w:r>
      <w:r w:rsidRPr="007E0156">
        <w:rPr>
          <w:rFonts w:eastAsia="Arial" w:cstheme="minorHAnsi"/>
          <w:szCs w:val="20"/>
        </w:rPr>
        <w:t xml:space="preserve"> in Australia, 4 </w:t>
      </w:r>
      <w:r w:rsidR="008653A6" w:rsidRPr="007E0156">
        <w:rPr>
          <w:rFonts w:eastAsia="Arial" w:cstheme="minorHAnsi"/>
          <w:szCs w:val="20"/>
        </w:rPr>
        <w:t xml:space="preserve">or </w:t>
      </w:r>
      <w:r w:rsidRPr="007E0156">
        <w:rPr>
          <w:rFonts w:eastAsia="Arial" w:cstheme="minorHAnsi"/>
          <w:szCs w:val="20"/>
        </w:rPr>
        <w:t xml:space="preserve">6 months of </w:t>
      </w:r>
      <w:r w:rsidR="00821D58" w:rsidRPr="007E0156">
        <w:rPr>
          <w:rFonts w:eastAsia="Arial" w:cstheme="minorHAnsi"/>
          <w:szCs w:val="20"/>
        </w:rPr>
        <w:t>‘</w:t>
      </w:r>
      <w:r w:rsidRPr="007E0156">
        <w:rPr>
          <w:rFonts w:eastAsia="Arial" w:cstheme="minorHAnsi"/>
          <w:szCs w:val="20"/>
        </w:rPr>
        <w:t>usual demand</w:t>
      </w:r>
      <w:r w:rsidR="00821D58" w:rsidRPr="007E0156">
        <w:rPr>
          <w:rFonts w:eastAsia="Arial" w:cstheme="minorHAnsi"/>
          <w:szCs w:val="20"/>
        </w:rPr>
        <w:t>’</w:t>
      </w:r>
      <w:r w:rsidRPr="007E0156">
        <w:rPr>
          <w:rFonts w:eastAsia="Arial" w:cstheme="minorHAnsi"/>
          <w:szCs w:val="20"/>
        </w:rPr>
        <w:t xml:space="preserve"> for brands which meet </w:t>
      </w:r>
      <w:r w:rsidR="00653D4D" w:rsidRPr="007E0156">
        <w:rPr>
          <w:rFonts w:eastAsia="Arial" w:cstheme="minorHAnsi"/>
          <w:szCs w:val="20"/>
        </w:rPr>
        <w:t>one of the</w:t>
      </w:r>
      <w:r w:rsidRPr="007E0156">
        <w:rPr>
          <w:rFonts w:eastAsia="Arial" w:cstheme="minorHAnsi"/>
          <w:szCs w:val="20"/>
        </w:rPr>
        <w:t xml:space="preserve"> criteria</w:t>
      </w:r>
      <w:r w:rsidR="00653D4D" w:rsidRPr="007E0156">
        <w:rPr>
          <w:rFonts w:eastAsia="Arial" w:cstheme="minorHAnsi"/>
          <w:szCs w:val="20"/>
        </w:rPr>
        <w:t xml:space="preserve"> in s99ADHC of the Act</w:t>
      </w:r>
      <w:r w:rsidRPr="007E0156">
        <w:rPr>
          <w:rFonts w:eastAsia="Arial" w:cstheme="minorHAnsi"/>
          <w:szCs w:val="20"/>
        </w:rPr>
        <w:t xml:space="preserve">. Details of the legal requirements are specified in the Act and in </w:t>
      </w:r>
      <w:r w:rsidR="008E3F5F" w:rsidRPr="007E0156">
        <w:rPr>
          <w:rFonts w:eastAsia="Arial" w:cstheme="minorHAnsi"/>
          <w:szCs w:val="20"/>
        </w:rPr>
        <w:t xml:space="preserve">the </w:t>
      </w:r>
      <w:hyperlink r:id="rId17" w:history="1">
        <w:r w:rsidR="008E3F5F" w:rsidRPr="00EF68C2">
          <w:rPr>
            <w:rStyle w:val="Hyperlink"/>
            <w:rFonts w:eastAsia="Arial" w:cstheme="minorHAnsi"/>
            <w:i/>
            <w:szCs w:val="20"/>
          </w:rPr>
          <w:t>National Health (Pharmaceutical Benefits) Regulations 2017</w:t>
        </w:r>
      </w:hyperlink>
      <w:r w:rsidR="006A6BBA" w:rsidRPr="007E0156">
        <w:rPr>
          <w:rStyle w:val="FootnoteReference"/>
          <w:rFonts w:eastAsia="Arial" w:cstheme="minorHAnsi"/>
          <w:i/>
          <w:color w:val="005EB8" w:themeColor="text2"/>
          <w:szCs w:val="20"/>
          <w:u w:val="single"/>
        </w:rPr>
        <w:footnoteReference w:id="2"/>
      </w:r>
      <w:r w:rsidR="008E3F5F" w:rsidRPr="007E0156">
        <w:rPr>
          <w:rFonts w:eastAsia="Arial" w:cstheme="minorHAnsi"/>
          <w:i/>
          <w:szCs w:val="20"/>
        </w:rPr>
        <w:t xml:space="preserve"> </w:t>
      </w:r>
      <w:r w:rsidR="008E3F5F" w:rsidRPr="007E0156">
        <w:rPr>
          <w:rFonts w:eastAsia="Arial" w:cstheme="minorHAnsi"/>
          <w:szCs w:val="20"/>
        </w:rPr>
        <w:t>(</w:t>
      </w:r>
      <w:r w:rsidR="008E3F5F" w:rsidRPr="007E0156">
        <w:rPr>
          <w:rFonts w:eastAsia="Arial" w:cstheme="minorHAnsi"/>
          <w:b/>
          <w:szCs w:val="20"/>
        </w:rPr>
        <w:t>Regulations</w:t>
      </w:r>
      <w:r w:rsidR="008E3F5F" w:rsidRPr="007E0156">
        <w:rPr>
          <w:rFonts w:eastAsia="Arial" w:cstheme="minorHAnsi"/>
          <w:szCs w:val="20"/>
        </w:rPr>
        <w:t>).</w:t>
      </w:r>
    </w:p>
    <w:p w14:paraId="01C682F6" w14:textId="77777777" w:rsidR="0021777C" w:rsidRPr="007E0156" w:rsidRDefault="0021777C" w:rsidP="0021777C">
      <w:pPr>
        <w:spacing w:after="0" w:line="240" w:lineRule="auto"/>
        <w:jc w:val="both"/>
        <w:rPr>
          <w:rFonts w:cstheme="minorHAnsi"/>
          <w:sz w:val="24"/>
          <w:szCs w:val="24"/>
          <w:lang w:eastAsia="en-AU"/>
        </w:rPr>
      </w:pPr>
      <w:r w:rsidRPr="007E0156">
        <w:rPr>
          <w:rFonts w:cstheme="minorHAnsi"/>
          <w:shd w:val="clear" w:color="auto" w:fill="FFFFFF"/>
        </w:rPr>
        <w:t>The investment by the medicines industry in managing supply chain risk through the minimum stockholding requirements is supported by the Australian Government through one-off price increases on 1 October 2022 and floor price protections for low-cost medicines.</w:t>
      </w:r>
    </w:p>
    <w:p w14:paraId="379ABFD4" w14:textId="77777777" w:rsidR="0021777C" w:rsidRPr="007E0156" w:rsidRDefault="0021777C" w:rsidP="0021777C">
      <w:pPr>
        <w:spacing w:after="0" w:line="240" w:lineRule="auto"/>
        <w:jc w:val="both"/>
        <w:rPr>
          <w:rFonts w:cstheme="minorHAnsi"/>
          <w:sz w:val="24"/>
          <w:szCs w:val="24"/>
          <w:lang w:eastAsia="en-AU"/>
        </w:rPr>
      </w:pPr>
    </w:p>
    <w:p w14:paraId="3BD1FC3D" w14:textId="652BDFAF" w:rsidR="0021777C" w:rsidRPr="007E0156" w:rsidRDefault="0021777C" w:rsidP="007366A8">
      <w:pPr>
        <w:jc w:val="both"/>
        <w:rPr>
          <w:rFonts w:cstheme="minorHAnsi"/>
          <w:szCs w:val="20"/>
        </w:rPr>
      </w:pPr>
      <w:r w:rsidRPr="007E0156">
        <w:rPr>
          <w:rFonts w:eastAsia="Arial" w:cstheme="minorHAnsi"/>
          <w:szCs w:val="20"/>
        </w:rPr>
        <w:t>The purpose of this guideline document</w:t>
      </w:r>
      <w:r w:rsidRPr="007E0156" w:rsidDel="008E3F5F">
        <w:rPr>
          <w:rFonts w:eastAsia="Arial" w:cstheme="minorHAnsi"/>
          <w:szCs w:val="20"/>
        </w:rPr>
        <w:t xml:space="preserve"> </w:t>
      </w:r>
      <w:r w:rsidRPr="007E0156">
        <w:rPr>
          <w:rFonts w:eastAsia="Arial" w:cstheme="minorHAnsi"/>
          <w:szCs w:val="20"/>
        </w:rPr>
        <w:t xml:space="preserve">is to assist </w:t>
      </w:r>
      <w:r w:rsidRPr="007E0156">
        <w:rPr>
          <w:rFonts w:cstheme="minorHAnsi"/>
        </w:rPr>
        <w:t>RP</w:t>
      </w:r>
      <w:r w:rsidRPr="007E0156">
        <w:rPr>
          <w:rFonts w:eastAsia="Arial" w:cstheme="minorHAnsi"/>
          <w:szCs w:val="20"/>
        </w:rPr>
        <w:t xml:space="preserve">s to comply with the minimum stockholding requirements outlined in </w:t>
      </w:r>
      <w:r w:rsidR="006D45D6" w:rsidRPr="007E0156">
        <w:rPr>
          <w:rFonts w:eastAsia="Arial" w:cstheme="minorHAnsi"/>
          <w:szCs w:val="20"/>
        </w:rPr>
        <w:t xml:space="preserve">Part VII, </w:t>
      </w:r>
      <w:r w:rsidRPr="007E0156">
        <w:rPr>
          <w:rFonts w:eastAsia="Arial" w:cstheme="minorHAnsi"/>
          <w:szCs w:val="20"/>
        </w:rPr>
        <w:t xml:space="preserve">Division 3CAA of </w:t>
      </w:r>
      <w:r w:rsidRPr="007E0156" w:rsidDel="008E3F5F">
        <w:rPr>
          <w:rFonts w:eastAsia="Arial" w:cstheme="minorHAnsi"/>
          <w:szCs w:val="20"/>
        </w:rPr>
        <w:t>the</w:t>
      </w:r>
      <w:r w:rsidRPr="007E0156">
        <w:rPr>
          <w:rFonts w:eastAsia="Arial" w:cstheme="minorHAnsi"/>
          <w:szCs w:val="20"/>
        </w:rPr>
        <w:t xml:space="preserve"> </w:t>
      </w:r>
      <w:r w:rsidRPr="007E0156" w:rsidDel="008E3F5F">
        <w:rPr>
          <w:rFonts w:eastAsia="Arial" w:cstheme="minorHAnsi"/>
          <w:szCs w:val="20"/>
        </w:rPr>
        <w:t>Act</w:t>
      </w:r>
      <w:r w:rsidR="00A92B1E" w:rsidRPr="007E0156">
        <w:rPr>
          <w:rFonts w:eastAsia="Arial" w:cstheme="minorHAnsi"/>
          <w:szCs w:val="20"/>
        </w:rPr>
        <w:t>, which commences on 1 July 2023</w:t>
      </w:r>
      <w:r w:rsidRPr="007E0156">
        <w:rPr>
          <w:rFonts w:eastAsia="Arial" w:cstheme="minorHAnsi"/>
          <w:szCs w:val="20"/>
        </w:rPr>
        <w:t xml:space="preserve">. </w:t>
      </w:r>
    </w:p>
    <w:p w14:paraId="188F27A7" w14:textId="57851EA8" w:rsidR="0070652B" w:rsidRPr="007E0156" w:rsidRDefault="0070652B" w:rsidP="007366A8">
      <w:pPr>
        <w:jc w:val="both"/>
        <w:rPr>
          <w:rStyle w:val="Hyperlink"/>
        </w:rPr>
      </w:pPr>
      <w:r w:rsidRPr="007E0156">
        <w:t>The</w:t>
      </w:r>
      <w:r w:rsidR="00017DBC" w:rsidRPr="007E0156">
        <w:t>se</w:t>
      </w:r>
      <w:r w:rsidR="008E3F5F" w:rsidRPr="007E0156">
        <w:t xml:space="preserve"> guidelines </w:t>
      </w:r>
      <w:r w:rsidRPr="007E0156">
        <w:t xml:space="preserve">summarise </w:t>
      </w:r>
      <w:r w:rsidR="007324B0" w:rsidRPr="007E0156">
        <w:t xml:space="preserve">compliance </w:t>
      </w:r>
      <w:r w:rsidRPr="007E0156">
        <w:t xml:space="preserve">requirements for </w:t>
      </w:r>
      <w:r w:rsidR="00A92B1E" w:rsidRPr="007E0156">
        <w:t>RPs</w:t>
      </w:r>
      <w:r w:rsidR="007324B0" w:rsidRPr="007E0156">
        <w:t xml:space="preserve"> and provide</w:t>
      </w:r>
      <w:r w:rsidRPr="007E0156">
        <w:t xml:space="preserve"> additional supporting detail. Specifically:</w:t>
      </w:r>
    </w:p>
    <w:p w14:paraId="46F0F7A7" w14:textId="13C1EC38" w:rsidR="0055143E" w:rsidRPr="007E0156" w:rsidRDefault="00A5320A" w:rsidP="007366A8">
      <w:pPr>
        <w:pStyle w:val="Bullet"/>
        <w:jc w:val="both"/>
        <w:rPr>
          <w:iCs w:val="0"/>
        </w:rPr>
      </w:pPr>
      <w:hyperlink w:anchor="_Section_2._Scope">
        <w:r w:rsidRPr="09A3D074">
          <w:rPr>
            <w:rStyle w:val="Hyperlink"/>
          </w:rPr>
          <w:t>Section 2: Scope of minimum stockholding requirements</w:t>
        </w:r>
      </w:hyperlink>
      <w:r w:rsidR="00D24A41" w:rsidRPr="007E0156">
        <w:rPr>
          <w:i/>
          <w:iCs w:val="0"/>
        </w:rPr>
        <w:t xml:space="preserve"> </w:t>
      </w:r>
      <w:r w:rsidR="00210698" w:rsidRPr="007E0156">
        <w:t>d</w:t>
      </w:r>
      <w:r w:rsidR="005522E6" w:rsidRPr="007E0156">
        <w:t>es</w:t>
      </w:r>
      <w:r w:rsidR="005522E6" w:rsidRPr="007E0156">
        <w:rPr>
          <w:iCs w:val="0"/>
        </w:rPr>
        <w:t xml:space="preserve">cribes the criteria that determine which </w:t>
      </w:r>
      <w:r w:rsidR="00B16473" w:rsidRPr="007E0156">
        <w:rPr>
          <w:iCs w:val="0"/>
        </w:rPr>
        <w:t xml:space="preserve">brands </w:t>
      </w:r>
      <w:r w:rsidR="005522E6" w:rsidRPr="007E0156">
        <w:rPr>
          <w:iCs w:val="0"/>
        </w:rPr>
        <w:t>will be subject to the requirements</w:t>
      </w:r>
      <w:r w:rsidR="00B342AA" w:rsidRPr="007E0156">
        <w:rPr>
          <w:iCs w:val="0"/>
        </w:rPr>
        <w:t>.</w:t>
      </w:r>
    </w:p>
    <w:p w14:paraId="255999AC" w14:textId="0EFF3FF2" w:rsidR="0055143E" w:rsidRPr="007E0156" w:rsidRDefault="0030268C" w:rsidP="007366A8">
      <w:pPr>
        <w:pStyle w:val="Bullet"/>
        <w:jc w:val="both"/>
        <w:rPr>
          <w:iCs w:val="0"/>
        </w:rPr>
      </w:pPr>
      <w:r w:rsidRPr="007E0156">
        <w:rPr>
          <w:rStyle w:val="Emphasis"/>
        </w:rPr>
        <w:fldChar w:fldCharType="begin"/>
      </w:r>
      <w:r w:rsidRPr="007E0156">
        <w:rPr>
          <w:rStyle w:val="Emphasis"/>
        </w:rPr>
        <w:instrText xml:space="preserve"> REF _Ref106971468 \w \h </w:instrText>
      </w:r>
      <w:r w:rsidR="003C12B6" w:rsidRPr="007E0156">
        <w:rPr>
          <w:rStyle w:val="Emphasis"/>
        </w:rPr>
        <w:instrText xml:space="preserve"> \* MERGEFORMAT </w:instrText>
      </w:r>
      <w:r w:rsidRPr="007E0156">
        <w:rPr>
          <w:rStyle w:val="Emphasis"/>
        </w:rPr>
      </w:r>
      <w:r w:rsidRPr="007E0156">
        <w:rPr>
          <w:rStyle w:val="Emphasis"/>
        </w:rPr>
        <w:fldChar w:fldCharType="separate"/>
      </w:r>
      <w:r w:rsidR="008A2A42">
        <w:rPr>
          <w:rStyle w:val="Emphasis"/>
        </w:rPr>
        <w:t>Section 3</w:t>
      </w:r>
      <w:r w:rsidRPr="007E0156">
        <w:rPr>
          <w:rStyle w:val="Emphasis"/>
        </w:rPr>
        <w:fldChar w:fldCharType="end"/>
      </w:r>
      <w:r w:rsidRPr="007E0156">
        <w:rPr>
          <w:rStyle w:val="Emphasis"/>
        </w:rPr>
        <w:t xml:space="preserve"> </w:t>
      </w:r>
      <w:r w:rsidR="00DF0A42" w:rsidRPr="007E0156">
        <w:rPr>
          <w:rStyle w:val="Emphasis"/>
        </w:rPr>
        <w:fldChar w:fldCharType="begin"/>
      </w:r>
      <w:r w:rsidR="00DF0A42" w:rsidRPr="007E0156">
        <w:rPr>
          <w:rStyle w:val="Emphasis"/>
        </w:rPr>
        <w:instrText xml:space="preserve"> REF _Ref106971468 \h </w:instrText>
      </w:r>
      <w:r w:rsidR="003C12B6" w:rsidRPr="007E0156">
        <w:rPr>
          <w:rStyle w:val="Emphasis"/>
        </w:rPr>
        <w:instrText xml:space="preserve"> \* MERGEFORMAT </w:instrText>
      </w:r>
      <w:r w:rsidR="00DF0A42" w:rsidRPr="007E0156">
        <w:rPr>
          <w:rStyle w:val="Emphasis"/>
        </w:rPr>
      </w:r>
      <w:r w:rsidR="00DF0A42" w:rsidRPr="007E0156">
        <w:rPr>
          <w:rStyle w:val="Emphasis"/>
        </w:rPr>
        <w:fldChar w:fldCharType="separate"/>
      </w:r>
      <w:r w:rsidR="008A2A42" w:rsidRPr="008A2A42">
        <w:rPr>
          <w:rStyle w:val="Emphasis"/>
        </w:rPr>
        <w:t>Keeping a</w:t>
      </w:r>
      <w:r w:rsidR="008A2A42" w:rsidRPr="00A526BB">
        <w:t xml:space="preserve"> brand in stock in Australia</w:t>
      </w:r>
      <w:r w:rsidR="00DF0A42" w:rsidRPr="007E0156">
        <w:rPr>
          <w:rStyle w:val="Emphasis"/>
        </w:rPr>
        <w:fldChar w:fldCharType="end"/>
      </w:r>
      <w:r w:rsidR="00706718" w:rsidRPr="007E0156">
        <w:rPr>
          <w:iCs w:val="0"/>
        </w:rPr>
        <w:t xml:space="preserve"> </w:t>
      </w:r>
      <w:r w:rsidR="005522E6" w:rsidRPr="007E0156">
        <w:rPr>
          <w:iCs w:val="0"/>
        </w:rPr>
        <w:t>details what types of stock will count towards satisfying the</w:t>
      </w:r>
      <w:r w:rsidR="008653A6" w:rsidRPr="007E0156">
        <w:rPr>
          <w:iCs w:val="0"/>
        </w:rPr>
        <w:t xml:space="preserve"> minimum</w:t>
      </w:r>
      <w:r w:rsidR="005522E6" w:rsidRPr="007E0156">
        <w:rPr>
          <w:iCs w:val="0"/>
        </w:rPr>
        <w:t xml:space="preserve"> stockholding requirement</w:t>
      </w:r>
      <w:r w:rsidR="008E3F5F" w:rsidRPr="007E0156">
        <w:rPr>
          <w:iCs w:val="0"/>
        </w:rPr>
        <w:t>s</w:t>
      </w:r>
      <w:r w:rsidR="00B342AA" w:rsidRPr="007E0156">
        <w:rPr>
          <w:iCs w:val="0"/>
        </w:rPr>
        <w:t>.</w:t>
      </w:r>
    </w:p>
    <w:p w14:paraId="79692F1A" w14:textId="570A53A3" w:rsidR="0055143E" w:rsidRPr="007E0156" w:rsidRDefault="00445C8F" w:rsidP="007366A8">
      <w:pPr>
        <w:pStyle w:val="Bullet"/>
        <w:jc w:val="both"/>
        <w:rPr>
          <w:iCs w:val="0"/>
        </w:rPr>
      </w:pPr>
      <w:hyperlink w:anchor="_Quantity_of_stock">
        <w:r w:rsidRPr="09A3D074">
          <w:rPr>
            <w:rStyle w:val="Hyperlink"/>
          </w:rPr>
          <w:t>Section 4</w:t>
        </w:r>
        <w:r w:rsidR="0030268C" w:rsidRPr="09A3D074">
          <w:rPr>
            <w:rStyle w:val="Hyperlink"/>
          </w:rPr>
          <w:t xml:space="preserve"> </w:t>
        </w:r>
        <w:r w:rsidR="00653C8B" w:rsidRPr="09A3D074">
          <w:rPr>
            <w:rStyle w:val="Hyperlink"/>
          </w:rPr>
          <w:t>Quantity of stock required to be kept</w:t>
        </w:r>
      </w:hyperlink>
      <w:r w:rsidR="00E660DA" w:rsidRPr="007E0156">
        <w:rPr>
          <w:rStyle w:val="Hyperlink"/>
        </w:rPr>
        <w:t xml:space="preserve"> </w:t>
      </w:r>
      <w:r w:rsidR="008E3F5F" w:rsidRPr="007E0156">
        <w:rPr>
          <w:iCs w:val="0"/>
        </w:rPr>
        <w:t xml:space="preserve">describes how </w:t>
      </w:r>
      <w:r w:rsidR="002C003B" w:rsidRPr="007E0156">
        <w:rPr>
          <w:iCs w:val="0"/>
        </w:rPr>
        <w:t xml:space="preserve">minimum stockholding </w:t>
      </w:r>
      <w:r w:rsidR="00284DA7" w:rsidRPr="007E0156">
        <w:rPr>
          <w:iCs w:val="0"/>
        </w:rPr>
        <w:t>requirements</w:t>
      </w:r>
      <w:r w:rsidR="002C003B" w:rsidRPr="007E0156">
        <w:rPr>
          <w:iCs w:val="0"/>
        </w:rPr>
        <w:t xml:space="preserve"> are determined with reference to usual demand or via Ministerial determination </w:t>
      </w:r>
      <w:r w:rsidR="007366A8" w:rsidRPr="007E0156">
        <w:rPr>
          <w:iCs w:val="0"/>
        </w:rPr>
        <w:t xml:space="preserve">of </w:t>
      </w:r>
      <w:r w:rsidR="00B342AA" w:rsidRPr="007E0156">
        <w:rPr>
          <w:iCs w:val="0"/>
        </w:rPr>
        <w:t>‘</w:t>
      </w:r>
      <w:r w:rsidR="002C003B" w:rsidRPr="007E0156">
        <w:rPr>
          <w:iCs w:val="0"/>
        </w:rPr>
        <w:t>another quantity</w:t>
      </w:r>
      <w:r w:rsidR="00B342AA" w:rsidRPr="007E0156">
        <w:rPr>
          <w:iCs w:val="0"/>
        </w:rPr>
        <w:t>’.</w:t>
      </w:r>
    </w:p>
    <w:p w14:paraId="5340ED8F" w14:textId="2CDFB56F" w:rsidR="0055143E" w:rsidRPr="007E0156" w:rsidRDefault="00445C8F" w:rsidP="007366A8">
      <w:pPr>
        <w:pStyle w:val="Bullet"/>
        <w:jc w:val="both"/>
        <w:rPr>
          <w:iCs w:val="0"/>
        </w:rPr>
      </w:pPr>
      <w:hyperlink w:anchor="_Lead_times" w:history="1">
        <w:r w:rsidRPr="007E0156">
          <w:rPr>
            <w:rStyle w:val="Hyperlink"/>
          </w:rPr>
          <w:t>Section 5 Lead times</w:t>
        </w:r>
      </w:hyperlink>
      <w:r w:rsidRPr="007E0156">
        <w:t xml:space="preserve"> </w:t>
      </w:r>
      <w:r w:rsidR="0021777C" w:rsidRPr="007E0156">
        <w:rPr>
          <w:iCs w:val="0"/>
        </w:rPr>
        <w:t xml:space="preserve">discusses the timelines under which </w:t>
      </w:r>
      <w:r w:rsidR="00A92B1E" w:rsidRPr="007E0156">
        <w:rPr>
          <w:iCs w:val="0"/>
        </w:rPr>
        <w:t>RPs</w:t>
      </w:r>
      <w:r w:rsidR="0021777C" w:rsidRPr="007E0156">
        <w:rPr>
          <w:iCs w:val="0"/>
        </w:rPr>
        <w:t xml:space="preserve"> will prepare to meet minimum stockholding requirements and stockholding disclosure requirements. </w:t>
      </w:r>
    </w:p>
    <w:p w14:paraId="7563E53E" w14:textId="709BA8DC" w:rsidR="008314CF" w:rsidRPr="007E0156" w:rsidRDefault="00445C8F" w:rsidP="007366A8">
      <w:pPr>
        <w:pStyle w:val="Bullet"/>
        <w:jc w:val="both"/>
        <w:rPr>
          <w:iCs w:val="0"/>
        </w:rPr>
      </w:pPr>
      <w:hyperlink w:anchor="_Ministerial_determination_of" w:history="1">
        <w:r w:rsidRPr="007E0156">
          <w:rPr>
            <w:rStyle w:val="Hyperlink"/>
          </w:rPr>
          <w:t>Section 6 Ministerial determination of ‘another quantity’</w:t>
        </w:r>
      </w:hyperlink>
      <w:r w:rsidR="005522E6" w:rsidRPr="007E0156">
        <w:rPr>
          <w:iCs w:val="0"/>
        </w:rPr>
        <w:t xml:space="preserve"> describes </w:t>
      </w:r>
      <w:r w:rsidR="00363315" w:rsidRPr="007E0156">
        <w:rPr>
          <w:iCs w:val="0"/>
        </w:rPr>
        <w:t>how</w:t>
      </w:r>
      <w:r w:rsidR="005522E6" w:rsidRPr="007E0156">
        <w:rPr>
          <w:iCs w:val="0"/>
        </w:rPr>
        <w:t xml:space="preserve"> </w:t>
      </w:r>
      <w:r w:rsidR="00A92B1E" w:rsidRPr="007E0156">
        <w:rPr>
          <w:iCs w:val="0"/>
        </w:rPr>
        <w:t>RPs</w:t>
      </w:r>
      <w:r w:rsidR="005522E6" w:rsidRPr="007E0156">
        <w:rPr>
          <w:iCs w:val="0"/>
        </w:rPr>
        <w:t xml:space="preserve"> can request a Ministerial </w:t>
      </w:r>
      <w:r w:rsidR="00051EEC" w:rsidRPr="007E0156">
        <w:rPr>
          <w:iCs w:val="0"/>
        </w:rPr>
        <w:t>d</w:t>
      </w:r>
      <w:r w:rsidR="005522E6" w:rsidRPr="007E0156">
        <w:rPr>
          <w:iCs w:val="0"/>
        </w:rPr>
        <w:t xml:space="preserve">etermination </w:t>
      </w:r>
      <w:r w:rsidR="00C40B33" w:rsidRPr="007E0156">
        <w:rPr>
          <w:iCs w:val="0"/>
        </w:rPr>
        <w:t xml:space="preserve">for </w:t>
      </w:r>
      <w:r w:rsidR="008E3F5F" w:rsidRPr="007E0156">
        <w:rPr>
          <w:iCs w:val="0"/>
        </w:rPr>
        <w:t xml:space="preserve">another </w:t>
      </w:r>
      <w:r w:rsidR="005522E6" w:rsidRPr="007E0156">
        <w:rPr>
          <w:iCs w:val="0"/>
        </w:rPr>
        <w:t xml:space="preserve">stockholding </w:t>
      </w:r>
      <w:r w:rsidR="008E3F5F" w:rsidRPr="007E0156">
        <w:rPr>
          <w:iCs w:val="0"/>
        </w:rPr>
        <w:t xml:space="preserve">quantity </w:t>
      </w:r>
      <w:r w:rsidR="005522E6" w:rsidRPr="007E0156">
        <w:rPr>
          <w:iCs w:val="0"/>
        </w:rPr>
        <w:t>for a particular</w:t>
      </w:r>
      <w:r w:rsidR="005E2C5B" w:rsidRPr="007E0156">
        <w:rPr>
          <w:iCs w:val="0"/>
        </w:rPr>
        <w:t xml:space="preserve"> </w:t>
      </w:r>
      <w:r w:rsidR="008E3F5F" w:rsidRPr="007E0156">
        <w:rPr>
          <w:iCs w:val="0"/>
        </w:rPr>
        <w:t>brand</w:t>
      </w:r>
      <w:r w:rsidR="008314CF" w:rsidRPr="007E0156">
        <w:rPr>
          <w:iCs w:val="0"/>
        </w:rPr>
        <w:t xml:space="preserve">, including </w:t>
      </w:r>
      <w:r w:rsidR="008E3F5F" w:rsidRPr="007E0156">
        <w:rPr>
          <w:iCs w:val="0"/>
        </w:rPr>
        <w:t>the matters</w:t>
      </w:r>
      <w:r w:rsidR="00640CA8" w:rsidRPr="007E0156">
        <w:rPr>
          <w:iCs w:val="0"/>
        </w:rPr>
        <w:t xml:space="preserve"> the Minister </w:t>
      </w:r>
      <w:r w:rsidR="008E3F5F" w:rsidRPr="007E0156">
        <w:rPr>
          <w:iCs w:val="0"/>
        </w:rPr>
        <w:t xml:space="preserve">may consider </w:t>
      </w:r>
      <w:r w:rsidR="00653D4D" w:rsidRPr="007E0156">
        <w:rPr>
          <w:iCs w:val="0"/>
        </w:rPr>
        <w:t>relevant</w:t>
      </w:r>
      <w:r w:rsidR="007B733C" w:rsidRPr="007E0156">
        <w:rPr>
          <w:iCs w:val="0"/>
        </w:rPr>
        <w:t>.</w:t>
      </w:r>
    </w:p>
    <w:p w14:paraId="579F2557" w14:textId="6FF17C8A" w:rsidR="007B3962" w:rsidRPr="007E0156" w:rsidRDefault="00445C8F" w:rsidP="007366A8">
      <w:pPr>
        <w:pStyle w:val="Bullet"/>
        <w:jc w:val="both"/>
        <w:rPr>
          <w:iCs w:val="0"/>
        </w:rPr>
      </w:pPr>
      <w:hyperlink w:anchor="_Reporting_and_monitoring">
        <w:r w:rsidRPr="09A3D074">
          <w:rPr>
            <w:rStyle w:val="Hyperlink"/>
          </w:rPr>
          <w:t>Section 7 Reporting and monitoring</w:t>
        </w:r>
      </w:hyperlink>
      <w:r w:rsidR="00CC0925" w:rsidRPr="007E0156">
        <w:rPr>
          <w:iCs w:val="0"/>
        </w:rPr>
        <w:t xml:space="preserve"> </w:t>
      </w:r>
      <w:r w:rsidR="007B3962" w:rsidRPr="007E0156">
        <w:rPr>
          <w:iCs w:val="0"/>
        </w:rPr>
        <w:t xml:space="preserve">describes the </w:t>
      </w:r>
      <w:r w:rsidR="00E42F30" w:rsidRPr="007E0156">
        <w:rPr>
          <w:iCs w:val="0"/>
        </w:rPr>
        <w:t>disclosure</w:t>
      </w:r>
      <w:r w:rsidR="007B3962" w:rsidRPr="007E0156">
        <w:rPr>
          <w:iCs w:val="0"/>
        </w:rPr>
        <w:t xml:space="preserve"> o</w:t>
      </w:r>
      <w:r w:rsidR="00382F2C" w:rsidRPr="007E0156">
        <w:rPr>
          <w:iCs w:val="0"/>
        </w:rPr>
        <w:t>f</w:t>
      </w:r>
      <w:r w:rsidR="007B3962" w:rsidRPr="007E0156">
        <w:rPr>
          <w:iCs w:val="0"/>
        </w:rPr>
        <w:t xml:space="preserve"> stockholding </w:t>
      </w:r>
      <w:r w:rsidR="00C94571" w:rsidRPr="007E0156">
        <w:rPr>
          <w:iCs w:val="0"/>
        </w:rPr>
        <w:t>levels</w:t>
      </w:r>
      <w:r w:rsidR="007B3962" w:rsidRPr="007E0156">
        <w:rPr>
          <w:iCs w:val="0"/>
        </w:rPr>
        <w:t xml:space="preserve"> and </w:t>
      </w:r>
      <w:r w:rsidR="007A548A" w:rsidRPr="007E0156">
        <w:rPr>
          <w:iCs w:val="0"/>
        </w:rPr>
        <w:t xml:space="preserve">the </w:t>
      </w:r>
      <w:r w:rsidR="00E42F30" w:rsidRPr="007E0156">
        <w:rPr>
          <w:iCs w:val="0"/>
        </w:rPr>
        <w:t>notification</w:t>
      </w:r>
      <w:r w:rsidR="00324D14" w:rsidRPr="007E0156">
        <w:rPr>
          <w:iCs w:val="0"/>
        </w:rPr>
        <w:t xml:space="preserve">s </w:t>
      </w:r>
      <w:r w:rsidR="00B342AA" w:rsidRPr="007E0156">
        <w:rPr>
          <w:iCs w:val="0"/>
        </w:rPr>
        <w:t xml:space="preserve">that </w:t>
      </w:r>
      <w:r w:rsidR="00A92B1E" w:rsidRPr="007E0156">
        <w:rPr>
          <w:iCs w:val="0"/>
        </w:rPr>
        <w:t>RPs</w:t>
      </w:r>
      <w:r w:rsidR="00B342AA" w:rsidRPr="007E0156">
        <w:rPr>
          <w:iCs w:val="0"/>
        </w:rPr>
        <w:t xml:space="preserve"> are required to provide </w:t>
      </w:r>
      <w:r w:rsidR="00324D14" w:rsidRPr="007E0156">
        <w:rPr>
          <w:iCs w:val="0"/>
        </w:rPr>
        <w:t>regarding</w:t>
      </w:r>
      <w:r w:rsidR="00270349" w:rsidRPr="007E0156">
        <w:rPr>
          <w:iCs w:val="0"/>
        </w:rPr>
        <w:t xml:space="preserve"> likely or actual breaches </w:t>
      </w:r>
      <w:r w:rsidR="00324D14" w:rsidRPr="007E0156">
        <w:rPr>
          <w:iCs w:val="0"/>
        </w:rPr>
        <w:t xml:space="preserve">of stockholding </w:t>
      </w:r>
      <w:r w:rsidR="00284DA7" w:rsidRPr="007E0156">
        <w:rPr>
          <w:iCs w:val="0"/>
        </w:rPr>
        <w:t>requirements</w:t>
      </w:r>
      <w:r w:rsidR="00B342AA" w:rsidRPr="007E0156">
        <w:rPr>
          <w:iCs w:val="0"/>
        </w:rPr>
        <w:t>.</w:t>
      </w:r>
    </w:p>
    <w:p w14:paraId="4ABD94F9" w14:textId="0FBDEFCF" w:rsidR="00243AB4" w:rsidRPr="007E0156" w:rsidRDefault="00445C8F" w:rsidP="007366A8">
      <w:pPr>
        <w:pStyle w:val="Bullet"/>
        <w:jc w:val="both"/>
      </w:pPr>
      <w:hyperlink w:anchor="_Management_of_breaches">
        <w:r w:rsidRPr="09A3D074">
          <w:rPr>
            <w:rStyle w:val="Hyperlink"/>
          </w:rPr>
          <w:t>Section 8 Management of breaches</w:t>
        </w:r>
      </w:hyperlink>
      <w:r w:rsidR="005522E6" w:rsidRPr="007E0156">
        <w:rPr>
          <w:iCs w:val="0"/>
        </w:rPr>
        <w:t xml:space="preserve"> describes</w:t>
      </w:r>
      <w:r w:rsidR="00EA10FE" w:rsidRPr="007E0156">
        <w:rPr>
          <w:iCs w:val="0"/>
        </w:rPr>
        <w:t xml:space="preserve"> </w:t>
      </w:r>
      <w:r w:rsidR="005522E6" w:rsidRPr="007E0156">
        <w:rPr>
          <w:iCs w:val="0"/>
        </w:rPr>
        <w:t xml:space="preserve">what </w:t>
      </w:r>
      <w:r w:rsidR="00A92B1E" w:rsidRPr="007E0156">
        <w:rPr>
          <w:iCs w:val="0"/>
        </w:rPr>
        <w:t>RPs</w:t>
      </w:r>
      <w:r w:rsidR="005522E6" w:rsidRPr="007E0156">
        <w:rPr>
          <w:iCs w:val="0"/>
        </w:rPr>
        <w:t xml:space="preserve"> </w:t>
      </w:r>
      <w:r w:rsidR="00EA193C" w:rsidRPr="007E0156">
        <w:rPr>
          <w:iCs w:val="0"/>
        </w:rPr>
        <w:t>are required to do if</w:t>
      </w:r>
      <w:r w:rsidR="005522E6" w:rsidRPr="007E0156">
        <w:rPr>
          <w:iCs w:val="0"/>
        </w:rPr>
        <w:t xml:space="preserve"> </w:t>
      </w:r>
      <w:r w:rsidR="00224B0C" w:rsidRPr="007E0156">
        <w:rPr>
          <w:iCs w:val="0"/>
        </w:rPr>
        <w:t xml:space="preserve">minimum </w:t>
      </w:r>
      <w:r w:rsidR="005522E6" w:rsidRPr="007E0156">
        <w:rPr>
          <w:iCs w:val="0"/>
        </w:rPr>
        <w:t xml:space="preserve">stockholding </w:t>
      </w:r>
      <w:r w:rsidR="000B5B1E" w:rsidRPr="007E0156">
        <w:rPr>
          <w:iCs w:val="0"/>
        </w:rPr>
        <w:t xml:space="preserve">and reporting </w:t>
      </w:r>
      <w:r w:rsidR="005522E6" w:rsidRPr="007E0156">
        <w:rPr>
          <w:iCs w:val="0"/>
        </w:rPr>
        <w:t>requirements</w:t>
      </w:r>
      <w:r w:rsidR="005522E6" w:rsidRPr="007E0156">
        <w:t xml:space="preserve"> have been breached, </w:t>
      </w:r>
      <w:r w:rsidR="000B5B1E" w:rsidRPr="007E0156">
        <w:t xml:space="preserve">and </w:t>
      </w:r>
      <w:r w:rsidR="00EA193C" w:rsidRPr="007E0156">
        <w:t>the</w:t>
      </w:r>
      <w:r w:rsidR="000B5B1E" w:rsidRPr="007E0156">
        <w:t xml:space="preserve"> </w:t>
      </w:r>
      <w:r w:rsidR="002567C2" w:rsidRPr="007E0156">
        <w:t xml:space="preserve">measures and </w:t>
      </w:r>
      <w:r w:rsidR="000B5B1E" w:rsidRPr="007E0156">
        <w:t xml:space="preserve">penalties </w:t>
      </w:r>
      <w:r w:rsidR="00EA193C" w:rsidRPr="007E0156">
        <w:t xml:space="preserve">that </w:t>
      </w:r>
      <w:r w:rsidR="000B5B1E" w:rsidRPr="007E0156">
        <w:t>may apply</w:t>
      </w:r>
      <w:r w:rsidR="00B342AA" w:rsidRPr="007E0156">
        <w:t>.</w:t>
      </w:r>
    </w:p>
    <w:p w14:paraId="5C99E11E" w14:textId="249B1A63" w:rsidR="00497A1B" w:rsidRPr="007E0156" w:rsidRDefault="00497A1B" w:rsidP="00497A1B">
      <w:pPr>
        <w:jc w:val="both"/>
      </w:pPr>
      <w:r w:rsidRPr="007E0156">
        <w:t xml:space="preserve">These Guidelines are intended to provide general guidance to RPs in relation to the minimum stockholding requirements under the Act and Regulations. The Guidelines are not intended to be, and should not be treated as, legal or professional advice, and </w:t>
      </w:r>
      <w:r w:rsidR="00B65192">
        <w:t>RPs</w:t>
      </w:r>
      <w:r w:rsidRPr="007E0156">
        <w:t xml:space="preserve"> should seek their own legal and professional advice where appropriate. Nothing in the Guidelines in any way limits the operation of </w:t>
      </w:r>
      <w:r w:rsidR="00295579">
        <w:t xml:space="preserve">either </w:t>
      </w:r>
      <w:r w:rsidRPr="007E0156">
        <w:t>the Act or</w:t>
      </w:r>
      <w:r w:rsidRPr="09A3D074">
        <w:t xml:space="preserve"> </w:t>
      </w:r>
      <w:r w:rsidRPr="007E0156">
        <w:t xml:space="preserve">Regulations or affects or fetters any function or power </w:t>
      </w:r>
      <w:r w:rsidR="008B0178" w:rsidRPr="007E0156">
        <w:t xml:space="preserve">of </w:t>
      </w:r>
      <w:r w:rsidRPr="007E0156">
        <w:t>the Minister or any other person or body under the Act and Regulations.</w:t>
      </w:r>
    </w:p>
    <w:p w14:paraId="6B2DF2C7" w14:textId="7106DCB1" w:rsidR="0090416C" w:rsidRPr="007E0156" w:rsidRDefault="0090416C">
      <w:pPr>
        <w:rPr>
          <w:rFonts w:asciiTheme="majorHAnsi" w:eastAsiaTheme="majorEastAsia" w:hAnsiTheme="majorHAnsi" w:cstheme="majorBidi"/>
          <w:color w:val="005EB8" w:themeColor="text2"/>
          <w:sz w:val="28"/>
          <w:szCs w:val="32"/>
        </w:rPr>
      </w:pPr>
      <w:r w:rsidRPr="007E0156">
        <w:rPr>
          <w:b/>
        </w:rPr>
        <w:br w:type="page"/>
      </w:r>
    </w:p>
    <w:p w14:paraId="627FA58D" w14:textId="29A6E203" w:rsidR="0070652B" w:rsidRPr="007E0156" w:rsidRDefault="006B3480" w:rsidP="006B3480">
      <w:pPr>
        <w:pStyle w:val="Heading1"/>
        <w:rPr>
          <w:u w:val="single"/>
        </w:rPr>
      </w:pPr>
      <w:bookmarkStart w:id="2" w:name="_Section_2._Scope"/>
      <w:bookmarkStart w:id="3" w:name="_Scope_of_stockholding"/>
      <w:bookmarkStart w:id="4" w:name="_Scope_of_minimum"/>
      <w:bookmarkStart w:id="5" w:name="_Ref106971073"/>
      <w:bookmarkStart w:id="6" w:name="_Toc205482078"/>
      <w:bookmarkEnd w:id="2"/>
      <w:bookmarkEnd w:id="3"/>
      <w:bookmarkEnd w:id="4"/>
      <w:r w:rsidRPr="007E0156">
        <w:lastRenderedPageBreak/>
        <w:t xml:space="preserve">Scope of </w:t>
      </w:r>
      <w:r w:rsidR="00497A1B" w:rsidRPr="007E0156">
        <w:t xml:space="preserve">minimum </w:t>
      </w:r>
      <w:r w:rsidRPr="007E0156">
        <w:t>stockholding requirements</w:t>
      </w:r>
      <w:bookmarkEnd w:id="5"/>
      <w:bookmarkEnd w:id="6"/>
    </w:p>
    <w:p w14:paraId="7B32E091" w14:textId="5047DB31" w:rsidR="006B3480" w:rsidRPr="007E0156" w:rsidRDefault="000B0116" w:rsidP="0052518D">
      <w:pPr>
        <w:pStyle w:val="Heading2"/>
      </w:pPr>
      <w:bookmarkStart w:id="7" w:name="_Criteria_for_designated"/>
      <w:bookmarkStart w:id="8" w:name="_Ref106973813"/>
      <w:bookmarkStart w:id="9" w:name="_Toc205482079"/>
      <w:bookmarkEnd w:id="7"/>
      <w:r w:rsidRPr="007E0156">
        <w:t>C</w:t>
      </w:r>
      <w:r w:rsidR="00783476" w:rsidRPr="007E0156">
        <w:t xml:space="preserve">riteria </w:t>
      </w:r>
      <w:r w:rsidRPr="007E0156">
        <w:t>for</w:t>
      </w:r>
      <w:r w:rsidR="006B3480" w:rsidRPr="007E0156">
        <w:t xml:space="preserve"> </w:t>
      </w:r>
      <w:r w:rsidR="00A562B5" w:rsidRPr="007E0156">
        <w:t xml:space="preserve">designated </w:t>
      </w:r>
      <w:r w:rsidR="00783476" w:rsidRPr="007E0156">
        <w:t xml:space="preserve">brands </w:t>
      </w:r>
      <w:r w:rsidRPr="007E0156">
        <w:t>to</w:t>
      </w:r>
      <w:r w:rsidR="00783476" w:rsidRPr="007E0156">
        <w:t xml:space="preserve"> be</w:t>
      </w:r>
      <w:r w:rsidR="006B3480" w:rsidRPr="007E0156">
        <w:t xml:space="preserve"> subject to stockholding requirements</w:t>
      </w:r>
      <w:bookmarkEnd w:id="8"/>
      <w:bookmarkEnd w:id="9"/>
    </w:p>
    <w:p w14:paraId="5DAFE0C2" w14:textId="5E0CBD02" w:rsidR="00DC7CF1" w:rsidRPr="007E0156" w:rsidRDefault="00B62C0E" w:rsidP="00C40B33">
      <w:pPr>
        <w:jc w:val="both"/>
      </w:pPr>
      <w:r w:rsidRPr="007E0156">
        <w:t>A b</w:t>
      </w:r>
      <w:r w:rsidR="006B3480" w:rsidRPr="007E0156">
        <w:t xml:space="preserve">rand </w:t>
      </w:r>
      <w:r w:rsidRPr="007E0156">
        <w:t xml:space="preserve">of a pharmaceutical item is a ‘designated brand’ (s99ADHC) and will be </w:t>
      </w:r>
      <w:r w:rsidR="006B3480" w:rsidRPr="007E0156">
        <w:t xml:space="preserve">subject to </w:t>
      </w:r>
      <w:r w:rsidR="00A92B1E" w:rsidRPr="007E0156">
        <w:t xml:space="preserve">the </w:t>
      </w:r>
      <w:r w:rsidR="00497A1B" w:rsidRPr="007E0156">
        <w:t>m</w:t>
      </w:r>
      <w:r w:rsidR="00A92B1E" w:rsidRPr="007E0156">
        <w:t xml:space="preserve">inimum </w:t>
      </w:r>
      <w:r w:rsidR="006B3480" w:rsidRPr="007E0156">
        <w:t xml:space="preserve">stockholding </w:t>
      </w:r>
      <w:r w:rsidR="00284DA7" w:rsidRPr="007E0156">
        <w:t>requirements</w:t>
      </w:r>
      <w:r w:rsidR="00B243C5" w:rsidRPr="007E0156">
        <w:t xml:space="preserve"> </w:t>
      </w:r>
      <w:r w:rsidR="00737133">
        <w:t>(</w:t>
      </w:r>
      <w:r w:rsidR="00737133" w:rsidRPr="00737133">
        <w:rPr>
          <w:b/>
          <w:bCs/>
        </w:rPr>
        <w:t>MSR</w:t>
      </w:r>
      <w:r w:rsidR="00737133">
        <w:t xml:space="preserve">) </w:t>
      </w:r>
      <w:r w:rsidR="00711655" w:rsidRPr="007E0156">
        <w:t xml:space="preserve">(s99AEKA) </w:t>
      </w:r>
      <w:r w:rsidR="006B3480" w:rsidRPr="007E0156">
        <w:t xml:space="preserve">from the date that </w:t>
      </w:r>
      <w:r w:rsidR="00B65192">
        <w:t xml:space="preserve">it </w:t>
      </w:r>
      <w:r w:rsidR="006B3480" w:rsidRPr="007E0156">
        <w:t>meet</w:t>
      </w:r>
      <w:r w:rsidR="00B65192">
        <w:t>s</w:t>
      </w:r>
      <w:r w:rsidR="006B3480" w:rsidRPr="007E0156">
        <w:t xml:space="preserve"> </w:t>
      </w:r>
      <w:r w:rsidR="00B953F7" w:rsidRPr="007E0156">
        <w:t xml:space="preserve">one </w:t>
      </w:r>
      <w:r w:rsidR="000E78DB" w:rsidRPr="007E0156">
        <w:t xml:space="preserve">or more </w:t>
      </w:r>
      <w:r w:rsidR="00B953F7" w:rsidRPr="007E0156">
        <w:t xml:space="preserve">of </w:t>
      </w:r>
      <w:r w:rsidR="006B3480" w:rsidRPr="007E0156">
        <w:t>the criteria</w:t>
      </w:r>
      <w:r w:rsidR="00DC7CF1" w:rsidRPr="007E0156">
        <w:t xml:space="preserve"> set out in s99ADHC</w:t>
      </w:r>
      <w:r w:rsidR="00711655" w:rsidRPr="007E0156">
        <w:t>(1)</w:t>
      </w:r>
      <w:r w:rsidR="00DC7CF1" w:rsidRPr="007E0156">
        <w:t xml:space="preserve"> of the Act.</w:t>
      </w:r>
    </w:p>
    <w:p w14:paraId="3475BCA7" w14:textId="126DCB36" w:rsidR="006B3480" w:rsidRPr="007E0156" w:rsidRDefault="00DC7CF1" w:rsidP="00C40B33">
      <w:pPr>
        <w:jc w:val="both"/>
      </w:pPr>
      <w:r w:rsidRPr="007E0156">
        <w:t>The criteria are</w:t>
      </w:r>
      <w:r w:rsidR="006B3480" w:rsidRPr="007E0156">
        <w:t>:</w:t>
      </w:r>
    </w:p>
    <w:p w14:paraId="23D31714" w14:textId="6233F94D" w:rsidR="0055143E" w:rsidRPr="007E0156" w:rsidRDefault="00F00800" w:rsidP="005A2644">
      <w:pPr>
        <w:pStyle w:val="ListParagraph"/>
        <w:numPr>
          <w:ilvl w:val="0"/>
          <w:numId w:val="9"/>
        </w:numPr>
        <w:jc w:val="both"/>
      </w:pPr>
      <w:r>
        <w:t>T</w:t>
      </w:r>
      <w:r w:rsidR="00497A1B" w:rsidRPr="007E0156">
        <w:t>he drug and manner of administration</w:t>
      </w:r>
      <w:r w:rsidR="00052321" w:rsidRPr="007E0156">
        <w:t xml:space="preserve"> (</w:t>
      </w:r>
      <w:r w:rsidR="00052321" w:rsidRPr="007E0156">
        <w:rPr>
          <w:b/>
        </w:rPr>
        <w:t>drug/MoA</w:t>
      </w:r>
      <w:r w:rsidR="00052321" w:rsidRPr="007E0156">
        <w:t>)</w:t>
      </w:r>
      <w:r w:rsidR="00497A1B" w:rsidRPr="007E0156">
        <w:t xml:space="preserve"> of the pharmaceutical item has been on </w:t>
      </w:r>
      <w:r w:rsidR="003A5975" w:rsidRPr="007E0156">
        <w:t>Formulary 2 (</w:t>
      </w:r>
      <w:r w:rsidR="00497A1B" w:rsidRPr="007E0156">
        <w:rPr>
          <w:b/>
          <w:bCs/>
        </w:rPr>
        <w:t>F2</w:t>
      </w:r>
      <w:r w:rsidR="003A5975" w:rsidRPr="007E0156">
        <w:t>)</w:t>
      </w:r>
      <w:r w:rsidR="00497A1B" w:rsidRPr="007E0156">
        <w:t xml:space="preserve"> for at least 42 months </w:t>
      </w:r>
      <w:r w:rsidR="00DC7CF1" w:rsidRPr="007E0156">
        <w:t xml:space="preserve">(defined in s99ADHC(6)) </w:t>
      </w:r>
      <w:r w:rsidR="00497A1B" w:rsidRPr="007E0156">
        <w:t>and at least 30 months must have passed since the first price disclosure price reduction</w:t>
      </w:r>
      <w:r w:rsidR="00FD0878">
        <w:rPr>
          <w:rStyle w:val="FootnoteReference"/>
        </w:rPr>
        <w:footnoteReference w:id="3"/>
      </w:r>
      <w:r w:rsidR="00497A1B" w:rsidRPr="007E0156">
        <w:t xml:space="preserve"> for any brand of the same drug/MoA (</w:t>
      </w:r>
      <w:r w:rsidR="00497A1B" w:rsidRPr="007E0156">
        <w:rPr>
          <w:b/>
        </w:rPr>
        <w:t>42-month clock</w:t>
      </w:r>
      <w:r w:rsidR="00497A1B" w:rsidRPr="007E0156">
        <w:t xml:space="preserve">) (s99ADHC(1)(a)). A drug/MoA will be taken to have been on F2 for at least 42 months if at the end of the previous data collection period, the drug/MoA has been on F2 for at least 42 months, </w:t>
      </w:r>
      <w:r w:rsidR="00497A1B" w:rsidRPr="007E0156">
        <w:rPr>
          <w:u w:val="single"/>
        </w:rPr>
        <w:t>and</w:t>
      </w:r>
      <w:r w:rsidR="00497A1B" w:rsidRPr="007E0156">
        <w:t xml:space="preserve"> on a day at least 42 months before the end of the previous data collection period, the drug/MoA was multi-branded (s99ADHC(6))</w:t>
      </w:r>
      <w:r w:rsidR="005522E6" w:rsidRPr="007E0156">
        <w:t>; or</w:t>
      </w:r>
    </w:p>
    <w:p w14:paraId="656709D4" w14:textId="558DD081" w:rsidR="0030304F" w:rsidRPr="007E0156" w:rsidRDefault="00F00800" w:rsidP="005A2644">
      <w:pPr>
        <w:pStyle w:val="ListParagraph"/>
        <w:numPr>
          <w:ilvl w:val="0"/>
          <w:numId w:val="9"/>
        </w:numPr>
        <w:jc w:val="both"/>
      </w:pPr>
      <w:r>
        <w:t>T</w:t>
      </w:r>
      <w:r w:rsidR="005522E6" w:rsidRPr="007E0156">
        <w:t xml:space="preserve">he </w:t>
      </w:r>
      <w:r w:rsidR="00497A1B" w:rsidRPr="007E0156">
        <w:t>approved ex-manufacturer price (</w:t>
      </w:r>
      <w:r w:rsidR="005522E6" w:rsidRPr="007E0156">
        <w:rPr>
          <w:b/>
        </w:rPr>
        <w:t>AEM</w:t>
      </w:r>
      <w:r w:rsidR="0055569D" w:rsidRPr="007E0156">
        <w:rPr>
          <w:b/>
        </w:rPr>
        <w:t>P</w:t>
      </w:r>
      <w:r w:rsidR="00497A1B" w:rsidRPr="007E0156">
        <w:t>)</w:t>
      </w:r>
      <w:r w:rsidR="0030304F" w:rsidRPr="007E0156">
        <w:t xml:space="preserve"> of the brand is $4 or less</w:t>
      </w:r>
      <w:r w:rsidR="00497A1B" w:rsidRPr="007E0156">
        <w:t xml:space="preserve"> (s99ADHC(1)(b))</w:t>
      </w:r>
      <w:r w:rsidR="0030304F" w:rsidRPr="007E0156">
        <w:t>; or</w:t>
      </w:r>
    </w:p>
    <w:p w14:paraId="1BF7103A" w14:textId="4E5DB0FD" w:rsidR="0055143E" w:rsidRPr="007E0156" w:rsidRDefault="00F00800" w:rsidP="005A2644">
      <w:pPr>
        <w:pStyle w:val="ListParagraph"/>
        <w:numPr>
          <w:ilvl w:val="0"/>
          <w:numId w:val="9"/>
        </w:numPr>
        <w:jc w:val="both"/>
      </w:pPr>
      <w:r>
        <w:t>T</w:t>
      </w:r>
      <w:r w:rsidR="0043558E" w:rsidRPr="007E0156">
        <w:t xml:space="preserve">he </w:t>
      </w:r>
      <w:r w:rsidR="00497A1B" w:rsidRPr="007E0156">
        <w:t xml:space="preserve">AEMP of </w:t>
      </w:r>
      <w:r w:rsidR="00DD1AA2">
        <w:t>a</w:t>
      </w:r>
      <w:r w:rsidR="005522E6" w:rsidRPr="007E0156">
        <w:t xml:space="preserve"> brand</w:t>
      </w:r>
      <w:r w:rsidR="00DD1AA2">
        <w:t xml:space="preserve"> of a pharmaceutical item</w:t>
      </w:r>
      <w:r w:rsidR="005522E6" w:rsidRPr="007E0156">
        <w:t xml:space="preserve"> has </w:t>
      </w:r>
      <w:r w:rsidR="00497A1B" w:rsidRPr="007E0156">
        <w:t>been</w:t>
      </w:r>
      <w:r w:rsidR="005522E6" w:rsidRPr="007E0156">
        <w:t xml:space="preserve"> increase</w:t>
      </w:r>
      <w:r w:rsidR="00497A1B" w:rsidRPr="007E0156">
        <w:t>d</w:t>
      </w:r>
      <w:r w:rsidR="005522E6" w:rsidRPr="007E0156">
        <w:t xml:space="preserve"> on or after 1 July 2022</w:t>
      </w:r>
      <w:r w:rsidR="00497A1B" w:rsidRPr="007E0156">
        <w:t xml:space="preserve"> through a new price agreement</w:t>
      </w:r>
      <w:r w:rsidR="005522E6" w:rsidRPr="007E0156">
        <w:t xml:space="preserve"> and a determination</w:t>
      </w:r>
      <w:r w:rsidR="004831F4">
        <w:rPr>
          <w:rStyle w:val="FootnoteReference"/>
        </w:rPr>
        <w:footnoteReference w:id="4"/>
      </w:r>
      <w:r w:rsidR="005522E6" w:rsidRPr="007E0156">
        <w:t xml:space="preserve"> is in force </w:t>
      </w:r>
      <w:r w:rsidR="00497A1B" w:rsidRPr="007E0156">
        <w:t>in relation to the brand under s99ADHC(2) (</w:t>
      </w:r>
      <w:r w:rsidR="00497A1B" w:rsidRPr="007E0156">
        <w:rPr>
          <w:b/>
          <w:bCs/>
        </w:rPr>
        <w:t>designated brand determination</w:t>
      </w:r>
      <w:r w:rsidR="00497A1B" w:rsidRPr="007E0156">
        <w:t>)(</w:t>
      </w:r>
      <w:r w:rsidR="00DB1C2E" w:rsidRPr="007E0156">
        <w:t>s99ADHC(1)(c)</w:t>
      </w:r>
      <w:r w:rsidR="00497A1B" w:rsidRPr="007E0156">
        <w:t>)</w:t>
      </w:r>
      <w:r w:rsidR="005522E6" w:rsidRPr="007E0156">
        <w:t>; or</w:t>
      </w:r>
    </w:p>
    <w:p w14:paraId="7036373E" w14:textId="0A0B4768" w:rsidR="0055143E" w:rsidRPr="007E0156" w:rsidRDefault="00F00800" w:rsidP="005A2644">
      <w:pPr>
        <w:pStyle w:val="ListParagraph"/>
        <w:numPr>
          <w:ilvl w:val="0"/>
          <w:numId w:val="9"/>
        </w:numPr>
        <w:jc w:val="both"/>
      </w:pPr>
      <w:r>
        <w:t>T</w:t>
      </w:r>
      <w:r w:rsidR="005522E6" w:rsidRPr="007E0156">
        <w:t xml:space="preserve">he AEMP </w:t>
      </w:r>
      <w:r w:rsidR="008B0178" w:rsidRPr="007E0156">
        <w:t xml:space="preserve">of </w:t>
      </w:r>
      <w:r w:rsidR="005522E6" w:rsidRPr="007E0156">
        <w:t xml:space="preserve">the </w:t>
      </w:r>
      <w:r w:rsidR="00497A1B" w:rsidRPr="007E0156">
        <w:t>brand has received a price increase on 1 October 2022 under s104B of the Act</w:t>
      </w:r>
      <w:r w:rsidR="00B65192">
        <w:t xml:space="preserve"> (</w:t>
      </w:r>
      <w:r w:rsidR="00B65192" w:rsidRPr="007E0156">
        <w:t>i.e</w:t>
      </w:r>
      <w:r w:rsidR="00B65192" w:rsidRPr="09A3D074">
        <w:t>.</w:t>
      </w:r>
      <w:r w:rsidR="005522E6" w:rsidRPr="007E0156">
        <w:t xml:space="preserve"> before 1 October 2022 </w:t>
      </w:r>
      <w:r w:rsidR="00075587" w:rsidRPr="007E0156">
        <w:t xml:space="preserve">the </w:t>
      </w:r>
      <w:r w:rsidR="005522E6" w:rsidRPr="007E0156">
        <w:t xml:space="preserve">drug was on F2, and </w:t>
      </w:r>
      <w:r w:rsidR="00075587" w:rsidRPr="007E0156">
        <w:t xml:space="preserve">the </w:t>
      </w:r>
      <w:r w:rsidR="005522E6" w:rsidRPr="007E0156">
        <w:t>brand of pharmaceutical item had an AEMP less than $3.50</w:t>
      </w:r>
      <w:r w:rsidR="00497A1B" w:rsidRPr="007E0156">
        <w:t xml:space="preserve"> (s99ADHC(1)(d</w:t>
      </w:r>
      <w:r w:rsidR="00075587" w:rsidRPr="007E0156">
        <w:t>))</w:t>
      </w:r>
      <w:r w:rsidR="00C40B33" w:rsidRPr="007E0156">
        <w:t>.</w:t>
      </w:r>
    </w:p>
    <w:p w14:paraId="00A9F734" w14:textId="225275A4" w:rsidR="00497A1B" w:rsidRPr="007E0156" w:rsidRDefault="00497A1B" w:rsidP="00C40B33">
      <w:pPr>
        <w:jc w:val="both"/>
      </w:pPr>
      <w:r w:rsidRPr="007E0156">
        <w:t xml:space="preserve">Brands that meet </w:t>
      </w:r>
      <w:r w:rsidR="00075587" w:rsidRPr="007E0156">
        <w:t xml:space="preserve">at least one of </w:t>
      </w:r>
      <w:r w:rsidRPr="007E0156">
        <w:t xml:space="preserve">the criteria </w:t>
      </w:r>
      <w:r w:rsidR="00075587" w:rsidRPr="007E0156">
        <w:t xml:space="preserve">above </w:t>
      </w:r>
      <w:r w:rsidRPr="007E0156">
        <w:t>are referred to as ‘designated brands’.</w:t>
      </w:r>
    </w:p>
    <w:p w14:paraId="2A840572" w14:textId="01B7F10B" w:rsidR="00880878" w:rsidRPr="007E0156" w:rsidRDefault="00880878" w:rsidP="00C40B33">
      <w:pPr>
        <w:jc w:val="both"/>
      </w:pPr>
      <w:r w:rsidRPr="007E0156">
        <w:t xml:space="preserve">Regardless of whether it meets any of the above criteria, a brand </w:t>
      </w:r>
      <w:r w:rsidR="005E78AE" w:rsidRPr="007E0156">
        <w:t xml:space="preserve">will not be a designated brand and will not be subject to </w:t>
      </w:r>
      <w:r w:rsidRPr="007E0156">
        <w:t xml:space="preserve">the </w:t>
      </w:r>
      <w:r w:rsidR="00075587" w:rsidRPr="007E0156">
        <w:t xml:space="preserve">minimum </w:t>
      </w:r>
      <w:r w:rsidRPr="007E0156">
        <w:t xml:space="preserve">stockholding </w:t>
      </w:r>
      <w:r w:rsidR="00284DA7" w:rsidRPr="007E0156">
        <w:t>requirements</w:t>
      </w:r>
      <w:r w:rsidR="00B243C5" w:rsidRPr="007E0156">
        <w:t xml:space="preserve"> </w:t>
      </w:r>
      <w:r w:rsidRPr="007E0156">
        <w:t>if:</w:t>
      </w:r>
    </w:p>
    <w:p w14:paraId="25D1BF81" w14:textId="7DC9A63E" w:rsidR="00880878" w:rsidRPr="007E0156" w:rsidRDefault="00F00800" w:rsidP="005A2644">
      <w:pPr>
        <w:pStyle w:val="ListParagraph"/>
        <w:numPr>
          <w:ilvl w:val="0"/>
          <w:numId w:val="11"/>
        </w:numPr>
        <w:jc w:val="both"/>
      </w:pPr>
      <w:r>
        <w:t>T</w:t>
      </w:r>
      <w:r w:rsidR="00880878" w:rsidRPr="007E0156">
        <w:t xml:space="preserve">he drug in the pharmaceutical item is included in Schedule 2 of the current </w:t>
      </w:r>
      <w:hyperlink r:id="rId18" w:history="1">
        <w:r w:rsidR="00880878" w:rsidRPr="009461DC">
          <w:rPr>
            <w:rStyle w:val="Hyperlink"/>
          </w:rPr>
          <w:t>Poisons Standard</w:t>
        </w:r>
      </w:hyperlink>
      <w:r w:rsidR="00880878" w:rsidRPr="007E0156">
        <w:t xml:space="preserve"> by reference to a quantity or amount of the drug; and</w:t>
      </w:r>
    </w:p>
    <w:p w14:paraId="7AAC9093" w14:textId="2CE2A2D8" w:rsidR="00880878" w:rsidRPr="007E0156" w:rsidRDefault="00F00800" w:rsidP="005A2644">
      <w:pPr>
        <w:pStyle w:val="ListParagraph"/>
        <w:numPr>
          <w:ilvl w:val="0"/>
          <w:numId w:val="11"/>
        </w:numPr>
        <w:jc w:val="both"/>
      </w:pPr>
      <w:r>
        <w:t>T</w:t>
      </w:r>
      <w:r w:rsidR="00880878" w:rsidRPr="007E0156">
        <w:t xml:space="preserve">he quantity or amount of the drug in a pack of the brand is equal to or greater than the </w:t>
      </w:r>
      <w:r w:rsidR="00497A1B" w:rsidRPr="007E0156">
        <w:t xml:space="preserve">quantity or amount </w:t>
      </w:r>
      <w:r w:rsidR="00880878" w:rsidRPr="007E0156">
        <w:t xml:space="preserve">specified </w:t>
      </w:r>
      <w:r w:rsidR="00075587" w:rsidRPr="007E0156">
        <w:t xml:space="preserve">in </w:t>
      </w:r>
      <w:r w:rsidR="00880878" w:rsidRPr="007E0156">
        <w:t>Schedule 2</w:t>
      </w:r>
      <w:r w:rsidR="005E78AE" w:rsidRPr="007E0156">
        <w:t>.</w:t>
      </w:r>
    </w:p>
    <w:p w14:paraId="4BD98955" w14:textId="17CCA0EB" w:rsidR="004D2638" w:rsidRPr="007E0156" w:rsidRDefault="00A15DA9" w:rsidP="00A15DA9">
      <w:pPr>
        <w:jc w:val="both"/>
        <w:rPr>
          <w:rFonts w:asciiTheme="majorHAnsi" w:hAnsiTheme="majorHAnsi" w:cstheme="majorHAnsi"/>
          <w:color w:val="222222"/>
          <w:szCs w:val="20"/>
          <w:shd w:val="clear" w:color="auto" w:fill="FFFFFF"/>
        </w:rPr>
      </w:pPr>
      <w:r w:rsidRPr="007E0156">
        <w:rPr>
          <w:rFonts w:asciiTheme="majorHAnsi" w:hAnsiTheme="majorHAnsi" w:cstheme="majorHAnsi"/>
        </w:rPr>
        <w:t xml:space="preserve">A brand which receives </w:t>
      </w:r>
      <w:hyperlink r:id="rId19" w:history="1">
        <w:r w:rsidRPr="007E0156">
          <w:rPr>
            <w:rStyle w:val="Hyperlink"/>
            <w:rFonts w:asciiTheme="majorHAnsi" w:hAnsiTheme="majorHAnsi" w:cstheme="majorHAnsi"/>
          </w:rPr>
          <w:t>temporary approval under s19A</w:t>
        </w:r>
      </w:hyperlink>
      <w:r w:rsidRPr="007E0156">
        <w:rPr>
          <w:rFonts w:asciiTheme="majorHAnsi" w:hAnsiTheme="majorHAnsi" w:cstheme="majorHAnsi"/>
        </w:rPr>
        <w:t xml:space="preserve"> of the </w:t>
      </w:r>
      <w:r w:rsidRPr="007E0156">
        <w:rPr>
          <w:rFonts w:asciiTheme="majorHAnsi" w:hAnsiTheme="majorHAnsi" w:cstheme="majorHAnsi"/>
          <w:i/>
          <w:iCs/>
          <w:color w:val="222222"/>
          <w:szCs w:val="20"/>
          <w:shd w:val="clear" w:color="auto" w:fill="FFFFFF"/>
        </w:rPr>
        <w:t>Therapeutic Goods Act 1989</w:t>
      </w:r>
      <w:r w:rsidRPr="007E0156">
        <w:rPr>
          <w:rFonts w:asciiTheme="majorHAnsi" w:hAnsiTheme="majorHAnsi" w:cstheme="majorHAnsi"/>
          <w:color w:val="222222"/>
          <w:szCs w:val="20"/>
          <w:shd w:val="clear" w:color="auto" w:fill="FFFFFF"/>
        </w:rPr>
        <w:t xml:space="preserve"> will be subject to the minimum stockholding requirement and stockholding disclosure requirements if the brand otherwise meets the criteria in s99ADHC.</w:t>
      </w:r>
    </w:p>
    <w:p w14:paraId="7B7EE8AA" w14:textId="77777777" w:rsidR="007D609A" w:rsidRPr="007E0156" w:rsidRDefault="007D609A">
      <w:pPr>
        <w:rPr>
          <w:rFonts w:asciiTheme="majorHAnsi" w:eastAsiaTheme="majorEastAsia" w:hAnsiTheme="majorHAnsi" w:cstheme="majorBidi"/>
          <w:b/>
          <w:color w:val="002142" w:themeColor="accent1"/>
          <w:sz w:val="24"/>
          <w:szCs w:val="26"/>
        </w:rPr>
      </w:pPr>
      <w:bookmarkStart w:id="10" w:name="_Minimum_stockholding_requirements"/>
      <w:bookmarkEnd w:id="10"/>
      <w:r w:rsidRPr="007E0156">
        <w:br w:type="page"/>
      </w:r>
    </w:p>
    <w:p w14:paraId="6967A50D" w14:textId="3C6020C0" w:rsidR="006F6AF3" w:rsidRPr="001F1747" w:rsidRDefault="000C035F" w:rsidP="00C40B33">
      <w:pPr>
        <w:pStyle w:val="Heading2"/>
        <w:jc w:val="both"/>
      </w:pPr>
      <w:bookmarkStart w:id="11" w:name="_Ref106974137"/>
      <w:bookmarkStart w:id="12" w:name="_Toc205482080"/>
      <w:r w:rsidRPr="001F1747">
        <w:lastRenderedPageBreak/>
        <w:t xml:space="preserve">Minimum stockholding </w:t>
      </w:r>
      <w:r w:rsidR="00284DA7" w:rsidRPr="001F1747">
        <w:t>requirements</w:t>
      </w:r>
      <w:r w:rsidR="00B243C5" w:rsidRPr="001F1747">
        <w:t xml:space="preserve"> </w:t>
      </w:r>
      <w:r w:rsidR="00F95C74" w:rsidRPr="001F1747">
        <w:t xml:space="preserve">and </w:t>
      </w:r>
      <w:r w:rsidR="00B65192" w:rsidRPr="001F1747">
        <w:t>‘</w:t>
      </w:r>
      <w:r w:rsidR="00F208CD" w:rsidRPr="001F1747">
        <w:t>usual demand</w:t>
      </w:r>
      <w:bookmarkEnd w:id="11"/>
      <w:r w:rsidR="00B65192" w:rsidRPr="001F1747">
        <w:t>’</w:t>
      </w:r>
      <w:bookmarkEnd w:id="12"/>
    </w:p>
    <w:p w14:paraId="499ECBB3" w14:textId="3F25B892" w:rsidR="00431D3C" w:rsidRPr="001F1747" w:rsidRDefault="000C035F" w:rsidP="00C40B33">
      <w:pPr>
        <w:jc w:val="both"/>
      </w:pPr>
      <w:r w:rsidRPr="001F1747">
        <w:t xml:space="preserve">The volume of stock required to be held </w:t>
      </w:r>
      <w:r w:rsidR="00497A1B" w:rsidRPr="001F1747">
        <w:t xml:space="preserve">by RPs </w:t>
      </w:r>
      <w:r w:rsidRPr="001F1747">
        <w:t xml:space="preserve">to satisfy minimum stockholding </w:t>
      </w:r>
      <w:r w:rsidR="00284DA7" w:rsidRPr="001F1747">
        <w:t>requirements</w:t>
      </w:r>
      <w:r w:rsidR="00B243C5" w:rsidRPr="001F1747">
        <w:t xml:space="preserve"> </w:t>
      </w:r>
      <w:r w:rsidRPr="001F1747">
        <w:t>is determined as follows:</w:t>
      </w:r>
    </w:p>
    <w:p w14:paraId="0F42064E" w14:textId="7D9F6115" w:rsidR="005654DF" w:rsidRPr="001F1747" w:rsidRDefault="005654DF" w:rsidP="005A2644">
      <w:pPr>
        <w:pStyle w:val="ListParagraph"/>
        <w:numPr>
          <w:ilvl w:val="0"/>
          <w:numId w:val="21"/>
        </w:numPr>
        <w:jc w:val="both"/>
      </w:pPr>
      <w:r w:rsidRPr="001F1747">
        <w:t xml:space="preserve">If the AEMP of </w:t>
      </w:r>
      <w:r w:rsidR="005E3582" w:rsidRPr="001F1747">
        <w:t xml:space="preserve">a </w:t>
      </w:r>
      <w:r w:rsidRPr="001F1747">
        <w:t xml:space="preserve">designated brand has not been increased on or after 1 July 2022, </w:t>
      </w:r>
      <w:r w:rsidR="005E3582" w:rsidRPr="001F1747">
        <w:t xml:space="preserve">its </w:t>
      </w:r>
      <w:r w:rsidRPr="001F1747">
        <w:t xml:space="preserve">minimum stockholding requirement will be 4 months of ‘usual demand’; </w:t>
      </w:r>
      <w:r w:rsidR="00B65192" w:rsidRPr="001F1747">
        <w:t>or</w:t>
      </w:r>
    </w:p>
    <w:p w14:paraId="3580912E" w14:textId="6A915524" w:rsidR="000C035F" w:rsidRPr="001F1747" w:rsidRDefault="00497A1B" w:rsidP="005A2644">
      <w:pPr>
        <w:pStyle w:val="ListParagraph"/>
        <w:numPr>
          <w:ilvl w:val="0"/>
          <w:numId w:val="21"/>
        </w:numPr>
        <w:jc w:val="both"/>
      </w:pPr>
      <w:r w:rsidRPr="001F1747">
        <w:t>i</w:t>
      </w:r>
      <w:r w:rsidR="000C035F" w:rsidRPr="001F1747">
        <w:t xml:space="preserve">f the </w:t>
      </w:r>
      <w:r w:rsidRPr="001F1747">
        <w:t xml:space="preserve">AEMP of </w:t>
      </w:r>
      <w:r w:rsidR="005E3582" w:rsidRPr="001F1747">
        <w:t xml:space="preserve">a </w:t>
      </w:r>
      <w:r w:rsidR="00075587" w:rsidRPr="001F1747">
        <w:t xml:space="preserve">designated </w:t>
      </w:r>
      <w:r w:rsidRPr="001F1747">
        <w:t>brand has been increased on or after 1 July 2022</w:t>
      </w:r>
      <w:r w:rsidR="000C035F" w:rsidRPr="001F1747">
        <w:t xml:space="preserve">, </w:t>
      </w:r>
      <w:r w:rsidR="005E3582" w:rsidRPr="001F1747">
        <w:t xml:space="preserve">its </w:t>
      </w:r>
      <w:r w:rsidR="000C035F" w:rsidRPr="001F1747">
        <w:t xml:space="preserve">minimum stockholding requirement is 6 months of </w:t>
      </w:r>
      <w:r w:rsidR="00C40B33" w:rsidRPr="001F1747">
        <w:t>‘</w:t>
      </w:r>
      <w:r w:rsidR="000C035F" w:rsidRPr="001F1747">
        <w:t>usual demand</w:t>
      </w:r>
      <w:r w:rsidR="00C40B33" w:rsidRPr="001F1747">
        <w:t>’</w:t>
      </w:r>
      <w:r w:rsidRPr="001F1747">
        <w:t>;</w:t>
      </w:r>
      <w:r w:rsidR="005654DF" w:rsidRPr="001F1747">
        <w:t xml:space="preserve"> or</w:t>
      </w:r>
    </w:p>
    <w:p w14:paraId="7C0338AC" w14:textId="7958818C" w:rsidR="0061719D" w:rsidRPr="001F1747" w:rsidRDefault="00497A1B" w:rsidP="005A2644">
      <w:pPr>
        <w:pStyle w:val="ListParagraph"/>
        <w:numPr>
          <w:ilvl w:val="0"/>
          <w:numId w:val="21"/>
        </w:numPr>
        <w:jc w:val="both"/>
      </w:pPr>
      <w:r w:rsidRPr="001F1747">
        <w:t>if t</w:t>
      </w:r>
      <w:r w:rsidR="0071592C" w:rsidRPr="001F1747">
        <w:t xml:space="preserve">he Minister </w:t>
      </w:r>
      <w:r w:rsidRPr="001F1747">
        <w:t>determines</w:t>
      </w:r>
      <w:r w:rsidR="0071592C" w:rsidRPr="001F1747">
        <w:t xml:space="preserve"> </w:t>
      </w:r>
      <w:r w:rsidR="005E78AE" w:rsidRPr="001F1747">
        <w:t>‘</w:t>
      </w:r>
      <w:r w:rsidR="0071592C" w:rsidRPr="001F1747">
        <w:t>another quantity</w:t>
      </w:r>
      <w:r w:rsidR="005E78AE" w:rsidRPr="001F1747">
        <w:t>’</w:t>
      </w:r>
      <w:r w:rsidR="0071592C" w:rsidRPr="001F1747">
        <w:t xml:space="preserve"> </w:t>
      </w:r>
      <w:r w:rsidRPr="001F1747">
        <w:t xml:space="preserve">under </w:t>
      </w:r>
      <w:r w:rsidR="005E78AE" w:rsidRPr="001F1747">
        <w:t>s99AEKC(2)</w:t>
      </w:r>
      <w:r w:rsidR="00051EEC" w:rsidRPr="001F1747">
        <w:t xml:space="preserve"> (</w:t>
      </w:r>
      <w:r w:rsidR="00051EEC" w:rsidRPr="001F1747">
        <w:rPr>
          <w:b/>
        </w:rPr>
        <w:t>minimum stockholding determination</w:t>
      </w:r>
      <w:r w:rsidR="00051EEC" w:rsidRPr="001F1747">
        <w:t>)</w:t>
      </w:r>
      <w:r w:rsidRPr="001F1747">
        <w:t>, the minimum stockholding requirement will be that quantity</w:t>
      </w:r>
      <w:r w:rsidR="005E78AE" w:rsidRPr="001F1747">
        <w:t xml:space="preserve"> </w:t>
      </w:r>
      <w:r w:rsidR="0071592C" w:rsidRPr="001F1747">
        <w:t xml:space="preserve">(see </w:t>
      </w:r>
      <w:r w:rsidR="00E4633F" w:rsidRPr="001F1747">
        <w:rPr>
          <w:rStyle w:val="Emphasis"/>
        </w:rPr>
        <w:fldChar w:fldCharType="begin"/>
      </w:r>
      <w:r w:rsidR="00E4633F" w:rsidRPr="001F1747">
        <w:rPr>
          <w:rStyle w:val="Emphasis"/>
        </w:rPr>
        <w:instrText xml:space="preserve"> REF _Ref106971504 \w \h </w:instrText>
      </w:r>
      <w:r w:rsidR="00C40B33" w:rsidRPr="001F1747">
        <w:rPr>
          <w:rStyle w:val="Emphasis"/>
        </w:rPr>
        <w:instrText xml:space="preserve"> \* MERGEFORMAT </w:instrText>
      </w:r>
      <w:r w:rsidR="00E4633F" w:rsidRPr="001F1747">
        <w:rPr>
          <w:rStyle w:val="Emphasis"/>
        </w:rPr>
      </w:r>
      <w:r w:rsidR="00E4633F" w:rsidRPr="001F1747">
        <w:rPr>
          <w:rStyle w:val="Emphasis"/>
        </w:rPr>
        <w:fldChar w:fldCharType="separate"/>
      </w:r>
      <w:r w:rsidR="008A2A42">
        <w:rPr>
          <w:rStyle w:val="Emphasis"/>
        </w:rPr>
        <w:t>Section 6</w:t>
      </w:r>
      <w:r w:rsidR="00E4633F" w:rsidRPr="001F1747">
        <w:rPr>
          <w:rStyle w:val="Emphasis"/>
        </w:rPr>
        <w:fldChar w:fldCharType="end"/>
      </w:r>
      <w:r w:rsidR="0071592C" w:rsidRPr="001F1747">
        <w:t>).</w:t>
      </w:r>
    </w:p>
    <w:p w14:paraId="69EAEB83" w14:textId="60019CEF" w:rsidR="004F7FD0" w:rsidRPr="007E0156" w:rsidRDefault="00D82378" w:rsidP="00FE3EE5">
      <w:pPr>
        <w:jc w:val="both"/>
        <w:rPr>
          <w:rFonts w:asciiTheme="majorHAnsi" w:eastAsiaTheme="majorEastAsia" w:hAnsiTheme="majorHAnsi" w:cstheme="majorBidi"/>
          <w:b/>
          <w:color w:val="002142" w:themeColor="accent1"/>
          <w:sz w:val="24"/>
          <w:szCs w:val="26"/>
        </w:rPr>
      </w:pPr>
      <w:r w:rsidRPr="001F1747">
        <w:t>‘</w:t>
      </w:r>
      <w:r w:rsidR="009A31A1" w:rsidRPr="001F1747">
        <w:t>Usual demand</w:t>
      </w:r>
      <w:r w:rsidRPr="001F1747">
        <w:t>’</w:t>
      </w:r>
      <w:r w:rsidR="009A31A1" w:rsidRPr="001F1747">
        <w:t xml:space="preserve"> calculations are based </w:t>
      </w:r>
      <w:r w:rsidR="005E3582" w:rsidRPr="001F1747">
        <w:t>on</w:t>
      </w:r>
      <w:r w:rsidR="009A31A1" w:rsidRPr="001F1747">
        <w:t xml:space="preserve"> price disclosure data where available. </w:t>
      </w:r>
      <w:r w:rsidR="00AA5F2D" w:rsidRPr="001F1747">
        <w:t xml:space="preserve">Where price disclosure data is not available, the Minister </w:t>
      </w:r>
      <w:r w:rsidR="006F67B7" w:rsidRPr="001F1747">
        <w:t xml:space="preserve">may </w:t>
      </w:r>
      <w:r w:rsidR="00AA5F2D" w:rsidRPr="001F1747">
        <w:t>make a determination based upon ‘usual PBS demand’ (see</w:t>
      </w:r>
      <w:r w:rsidR="00F95C74" w:rsidRPr="001F1747">
        <w:t xml:space="preserve"> </w:t>
      </w:r>
      <w:r w:rsidR="00F95C74" w:rsidRPr="001F1747">
        <w:fldChar w:fldCharType="begin"/>
      </w:r>
      <w:r w:rsidR="00F95C74" w:rsidRPr="001F1747">
        <w:instrText xml:space="preserve"> REF _Ref201777880 \r \h </w:instrText>
      </w:r>
      <w:r w:rsidR="001F1747">
        <w:instrText xml:space="preserve"> \* MERGEFORMAT </w:instrText>
      </w:r>
      <w:r w:rsidR="00F95C74" w:rsidRPr="001F1747">
        <w:fldChar w:fldCharType="separate"/>
      </w:r>
      <w:r w:rsidR="008A2A42">
        <w:t>Section 4.4</w:t>
      </w:r>
      <w:r w:rsidR="00F95C74" w:rsidRPr="001F1747">
        <w:fldChar w:fldCharType="end"/>
      </w:r>
      <w:r w:rsidR="00AA5F2D" w:rsidRPr="001F1747">
        <w:t xml:space="preserve">). </w:t>
      </w:r>
      <w:r w:rsidR="004F7FD0" w:rsidRPr="001F1747">
        <w:t xml:space="preserve">See </w:t>
      </w:r>
      <w:hyperlink w:anchor="_Level_of_stockholding" w:history="1">
        <w:r w:rsidR="004F7FD0" w:rsidRPr="001F1747">
          <w:rPr>
            <w:rStyle w:val="Hyperlink"/>
          </w:rPr>
          <w:t>Section 4</w:t>
        </w:r>
      </w:hyperlink>
      <w:r w:rsidR="004F7FD0" w:rsidRPr="001F1747">
        <w:t xml:space="preserve"> below for </w:t>
      </w:r>
      <w:r w:rsidR="009A31A1" w:rsidRPr="001F1747">
        <w:t xml:space="preserve">further detail as to </w:t>
      </w:r>
      <w:r w:rsidR="004F7FD0" w:rsidRPr="001F1747">
        <w:t>how ‘usual demand’ is calculated.</w:t>
      </w:r>
      <w:bookmarkStart w:id="13" w:name="_Ref106974821"/>
    </w:p>
    <w:p w14:paraId="6AF22BE0" w14:textId="67C27D54" w:rsidR="006B3480" w:rsidRPr="007E0156" w:rsidRDefault="00FD0E41" w:rsidP="00C40B33">
      <w:pPr>
        <w:pStyle w:val="Heading2"/>
        <w:jc w:val="both"/>
      </w:pPr>
      <w:bookmarkStart w:id="14" w:name="_Lists_of_designated"/>
      <w:bookmarkStart w:id="15" w:name="_Toc205482081"/>
      <w:bookmarkEnd w:id="14"/>
      <w:r w:rsidRPr="007E0156">
        <w:t>L</w:t>
      </w:r>
      <w:r w:rsidR="006B3480" w:rsidRPr="007E0156">
        <w:t>ist</w:t>
      </w:r>
      <w:r w:rsidR="00D7503D" w:rsidRPr="007E0156">
        <w:t>s</w:t>
      </w:r>
      <w:r w:rsidR="006B3480" w:rsidRPr="007E0156">
        <w:t xml:space="preserve"> of </w:t>
      </w:r>
      <w:r w:rsidR="00A562B5" w:rsidRPr="007E0156">
        <w:t xml:space="preserve">designated </w:t>
      </w:r>
      <w:r w:rsidR="006B3480" w:rsidRPr="007E0156">
        <w:t xml:space="preserve">brands subject to </w:t>
      </w:r>
      <w:r w:rsidR="00497A1B" w:rsidRPr="007E0156">
        <w:t xml:space="preserve">minimum </w:t>
      </w:r>
      <w:r w:rsidR="006B3480" w:rsidRPr="007E0156">
        <w:t xml:space="preserve">stockholding </w:t>
      </w:r>
      <w:r w:rsidR="00284DA7" w:rsidRPr="007E0156">
        <w:t>requirements</w:t>
      </w:r>
      <w:r w:rsidR="00B243C5" w:rsidRPr="007E0156">
        <w:t xml:space="preserve"> </w:t>
      </w:r>
      <w:r w:rsidR="00151BCB" w:rsidRPr="007E0156">
        <w:t xml:space="preserve">published </w:t>
      </w:r>
      <w:r w:rsidR="005D0E79" w:rsidRPr="007E0156">
        <w:t>biannual</w:t>
      </w:r>
      <w:r w:rsidR="0061719D" w:rsidRPr="007E0156">
        <w:t>ly</w:t>
      </w:r>
      <w:bookmarkEnd w:id="13"/>
      <w:bookmarkEnd w:id="15"/>
    </w:p>
    <w:p w14:paraId="186F3284" w14:textId="26D0FA65" w:rsidR="00301B08" w:rsidRPr="007E0156" w:rsidRDefault="00124620" w:rsidP="00C40B33">
      <w:pPr>
        <w:jc w:val="both"/>
      </w:pPr>
      <w:r>
        <w:t>T</w:t>
      </w:r>
      <w:r w:rsidR="002D48E7" w:rsidRPr="007E0156">
        <w:t xml:space="preserve">he </w:t>
      </w:r>
      <w:r w:rsidR="007A785F">
        <w:t>d</w:t>
      </w:r>
      <w:r w:rsidR="002D48E7" w:rsidRPr="007E0156">
        <w:t>epartment publish</w:t>
      </w:r>
      <w:r>
        <w:t>es</w:t>
      </w:r>
      <w:r w:rsidR="002D48E7" w:rsidRPr="007E0156">
        <w:t xml:space="preserve"> two lists </w:t>
      </w:r>
      <w:r>
        <w:t>of designated brands</w:t>
      </w:r>
      <w:r w:rsidR="002D48E7" w:rsidRPr="007E0156">
        <w:t xml:space="preserve"> </w:t>
      </w:r>
      <w:r w:rsidR="004F3126" w:rsidRPr="007E0156">
        <w:t>on 1 April and 1 October</w:t>
      </w:r>
      <w:r w:rsidR="0061719D" w:rsidRPr="007E0156">
        <w:t xml:space="preserve"> of each year</w:t>
      </w:r>
      <w:r w:rsidR="00735B4C" w:rsidRPr="007E0156">
        <w:t xml:space="preserve">, in line with </w:t>
      </w:r>
      <w:r w:rsidR="00D92D7B" w:rsidRPr="007E0156">
        <w:t>Price Disclosure (</w:t>
      </w:r>
      <w:r w:rsidR="00735B4C" w:rsidRPr="007E0156">
        <w:rPr>
          <w:b/>
          <w:bCs/>
        </w:rPr>
        <w:t>PD</w:t>
      </w:r>
      <w:r w:rsidR="00D92D7B" w:rsidRPr="007E0156">
        <w:t>)</w:t>
      </w:r>
      <w:r w:rsidR="00735B4C" w:rsidRPr="007E0156">
        <w:t xml:space="preserve"> data collection period</w:t>
      </w:r>
      <w:r w:rsidR="00947DC1" w:rsidRPr="007E0156">
        <w:t>s:</w:t>
      </w:r>
    </w:p>
    <w:p w14:paraId="2F2ADB39" w14:textId="081FC3F0" w:rsidR="00947DC1" w:rsidRPr="007E0156" w:rsidRDefault="004F2483" w:rsidP="005A2644">
      <w:pPr>
        <w:pStyle w:val="ListParagraph"/>
        <w:numPr>
          <w:ilvl w:val="0"/>
          <w:numId w:val="19"/>
        </w:numPr>
        <w:ind w:left="851"/>
        <w:jc w:val="both"/>
      </w:pPr>
      <w:r w:rsidRPr="007E0156">
        <w:rPr>
          <w:b/>
          <w:bCs/>
        </w:rPr>
        <w:t xml:space="preserve">Current </w:t>
      </w:r>
      <w:r w:rsidR="005E78AE" w:rsidRPr="007E0156">
        <w:rPr>
          <w:b/>
          <w:bCs/>
        </w:rPr>
        <w:t>list of designated brands</w:t>
      </w:r>
      <w:r w:rsidR="009462EE" w:rsidRPr="007E0156">
        <w:rPr>
          <w:b/>
          <w:bCs/>
        </w:rPr>
        <w:t>:</w:t>
      </w:r>
      <w:r w:rsidR="00947DC1" w:rsidRPr="007E0156">
        <w:t xml:space="preserve"> </w:t>
      </w:r>
      <w:r w:rsidR="006637CC" w:rsidRPr="007E0156">
        <w:t xml:space="preserve">This list </w:t>
      </w:r>
      <w:r w:rsidR="0001394A" w:rsidRPr="09A3D074">
        <w:t>identif</w:t>
      </w:r>
      <w:r w:rsidR="00EE7C85">
        <w:t>ies</w:t>
      </w:r>
      <w:r w:rsidR="0091521B" w:rsidRPr="007E0156">
        <w:t xml:space="preserve"> brands subject to stockholding </w:t>
      </w:r>
      <w:r w:rsidR="00284DA7" w:rsidRPr="007E0156">
        <w:t>requirements</w:t>
      </w:r>
      <w:r w:rsidR="00B243C5" w:rsidRPr="007E0156">
        <w:t xml:space="preserve"> </w:t>
      </w:r>
      <w:r w:rsidR="005E78AE" w:rsidRPr="007E0156">
        <w:t xml:space="preserve">as at </w:t>
      </w:r>
      <w:r w:rsidR="00BD6F59" w:rsidRPr="007E0156">
        <w:t>the date of publishing</w:t>
      </w:r>
      <w:r w:rsidR="0091521B" w:rsidRPr="007E0156">
        <w:t xml:space="preserve">, </w:t>
      </w:r>
      <w:r w:rsidR="00F86381" w:rsidRPr="007E0156">
        <w:t xml:space="preserve">and their required </w:t>
      </w:r>
      <w:r w:rsidR="00497A1B" w:rsidRPr="007E0156">
        <w:t xml:space="preserve">minimum </w:t>
      </w:r>
      <w:r w:rsidR="00F86381" w:rsidRPr="007E0156">
        <w:t>stockholding level (i.e</w:t>
      </w:r>
      <w:r w:rsidR="00F86381" w:rsidRPr="09A3D074">
        <w:t>.</w:t>
      </w:r>
      <w:r w:rsidR="00666A4A">
        <w:t> </w:t>
      </w:r>
      <w:r w:rsidR="00F86381" w:rsidRPr="007E0156">
        <w:t>4</w:t>
      </w:r>
      <w:r w:rsidR="003A2C7E" w:rsidRPr="007E0156">
        <w:t> </w:t>
      </w:r>
      <w:r w:rsidR="00F86381" w:rsidRPr="007E0156">
        <w:t>months</w:t>
      </w:r>
      <w:r w:rsidR="005E78AE" w:rsidRPr="007E0156">
        <w:t xml:space="preserve"> or </w:t>
      </w:r>
      <w:r w:rsidR="00F86381" w:rsidRPr="007E0156">
        <w:t>6 months</w:t>
      </w:r>
      <w:r w:rsidR="005E78AE" w:rsidRPr="007E0156">
        <w:t xml:space="preserve"> of ‘usual demand’</w:t>
      </w:r>
      <w:r w:rsidR="005E3582" w:rsidRPr="007E0156">
        <w:t xml:space="preserve"> or an amount determined by a minimum stockholding determination</w:t>
      </w:r>
      <w:r w:rsidR="00F86381" w:rsidRPr="007E0156">
        <w:t>)</w:t>
      </w:r>
      <w:r w:rsidR="005E78AE" w:rsidRPr="007E0156">
        <w:t>.</w:t>
      </w:r>
    </w:p>
    <w:p w14:paraId="774DD58F" w14:textId="0104D777" w:rsidR="00051AAE" w:rsidRPr="007E0156" w:rsidRDefault="005E78AE" w:rsidP="005A2644">
      <w:pPr>
        <w:pStyle w:val="ListParagraph"/>
        <w:numPr>
          <w:ilvl w:val="0"/>
          <w:numId w:val="19"/>
        </w:numPr>
        <w:ind w:left="851"/>
        <w:jc w:val="both"/>
      </w:pPr>
      <w:r w:rsidRPr="007E0156">
        <w:rPr>
          <w:b/>
          <w:bCs/>
        </w:rPr>
        <w:t>Projected list of designated brands</w:t>
      </w:r>
      <w:r w:rsidR="009462EE" w:rsidRPr="007E0156">
        <w:rPr>
          <w:b/>
          <w:bCs/>
        </w:rPr>
        <w:t>:</w:t>
      </w:r>
      <w:r w:rsidR="00947DC1" w:rsidRPr="007E0156">
        <w:rPr>
          <w:b/>
          <w:bCs/>
        </w:rPr>
        <w:t xml:space="preserve"> </w:t>
      </w:r>
      <w:r w:rsidR="0091698C" w:rsidRPr="007E0156">
        <w:t xml:space="preserve">This list </w:t>
      </w:r>
      <w:r w:rsidR="0001394A" w:rsidRPr="09A3D074">
        <w:t>identif</w:t>
      </w:r>
      <w:r w:rsidR="00EE7C85">
        <w:t>ies</w:t>
      </w:r>
      <w:r w:rsidR="0091698C" w:rsidRPr="007E0156">
        <w:t xml:space="preserve"> brands </w:t>
      </w:r>
      <w:r w:rsidR="00B52E16" w:rsidRPr="007E0156">
        <w:t xml:space="preserve">that will </w:t>
      </w:r>
      <w:r w:rsidR="00497A1B" w:rsidRPr="007E0156">
        <w:t>meet the 42-month clock criteria</w:t>
      </w:r>
      <w:r w:rsidR="00FA0683" w:rsidRPr="007E0156">
        <w:t xml:space="preserve"> (s99ADHC(1)(a) of the Act)</w:t>
      </w:r>
      <w:r w:rsidR="00497A1B" w:rsidRPr="007E0156">
        <w:t xml:space="preserve"> </w:t>
      </w:r>
      <w:r w:rsidR="00256556" w:rsidRPr="007E0156">
        <w:t xml:space="preserve">and </w:t>
      </w:r>
      <w:r w:rsidR="00264FF1" w:rsidRPr="007E0156">
        <w:t xml:space="preserve">be </w:t>
      </w:r>
      <w:r w:rsidR="0091698C" w:rsidRPr="007E0156">
        <w:t xml:space="preserve">subject to stockholding </w:t>
      </w:r>
      <w:r w:rsidR="00284DA7" w:rsidRPr="007E0156">
        <w:t>requirements</w:t>
      </w:r>
      <w:r w:rsidR="00B243C5" w:rsidRPr="007E0156">
        <w:t xml:space="preserve"> </w:t>
      </w:r>
      <w:r w:rsidR="008B2E97">
        <w:t>6 or</w:t>
      </w:r>
      <w:r w:rsidR="00895847" w:rsidRPr="007E0156">
        <w:t xml:space="preserve"> 12 months</w:t>
      </w:r>
      <w:r w:rsidR="00E25746">
        <w:t xml:space="preserve"> after the</w:t>
      </w:r>
      <w:r w:rsidR="005C7574">
        <w:t xml:space="preserve"> projected</w:t>
      </w:r>
      <w:r w:rsidR="00E25746">
        <w:t xml:space="preserve"> list is published</w:t>
      </w:r>
      <w:r w:rsidR="00895847" w:rsidRPr="007E0156">
        <w:t>, i.e</w:t>
      </w:r>
      <w:r w:rsidR="00895847" w:rsidRPr="09A3D074">
        <w:t>.</w:t>
      </w:r>
      <w:r w:rsidR="00895847" w:rsidRPr="007E0156">
        <w:t xml:space="preserve"> </w:t>
      </w:r>
      <w:r w:rsidR="00392C18" w:rsidRPr="007E0156">
        <w:t xml:space="preserve">from </w:t>
      </w:r>
      <w:r w:rsidR="00895847" w:rsidRPr="007E0156">
        <w:t>the following 1 April or 1 October</w:t>
      </w:r>
      <w:r w:rsidRPr="007E0156">
        <w:t>.</w:t>
      </w:r>
      <w:r w:rsidR="00200ABC" w:rsidRPr="007E0156">
        <w:t xml:space="preserve"> The list will also include the required </w:t>
      </w:r>
      <w:r w:rsidR="00497A1B" w:rsidRPr="007E0156">
        <w:t xml:space="preserve">minimum </w:t>
      </w:r>
      <w:r w:rsidR="00200ABC" w:rsidRPr="007E0156">
        <w:t>stockholding level (i.e</w:t>
      </w:r>
      <w:r w:rsidR="00200ABC" w:rsidRPr="09A3D074">
        <w:t>.</w:t>
      </w:r>
      <w:r w:rsidR="00200ABC" w:rsidRPr="007E0156">
        <w:t xml:space="preserve"> 4 months or 6</w:t>
      </w:r>
      <w:r w:rsidR="004F7FD0" w:rsidRPr="007E0156">
        <w:t> </w:t>
      </w:r>
      <w:r w:rsidR="00200ABC" w:rsidRPr="007E0156">
        <w:t>months of ‘usual demand’).</w:t>
      </w:r>
    </w:p>
    <w:p w14:paraId="7A0714B5" w14:textId="4784C9B9" w:rsidR="006F6AF3" w:rsidRPr="007E0156" w:rsidRDefault="00051AAE" w:rsidP="00C40B33">
      <w:pPr>
        <w:jc w:val="both"/>
      </w:pPr>
      <w:r w:rsidRPr="007E0156">
        <w:t xml:space="preserve">The </w:t>
      </w:r>
      <w:r w:rsidR="005E78AE" w:rsidRPr="007E0156">
        <w:t xml:space="preserve">projected list of designated brands </w:t>
      </w:r>
      <w:r w:rsidR="00A562B5" w:rsidRPr="007E0156">
        <w:t xml:space="preserve">may </w:t>
      </w:r>
      <w:r w:rsidR="00C2476C" w:rsidRPr="007E0156">
        <w:t xml:space="preserve">not </w:t>
      </w:r>
      <w:r w:rsidR="00612350" w:rsidRPr="007E0156">
        <w:t xml:space="preserve">be a </w:t>
      </w:r>
      <w:r w:rsidR="006A7468" w:rsidRPr="007E0156">
        <w:t xml:space="preserve">comprehensive forward view of brands that will </w:t>
      </w:r>
      <w:r w:rsidR="00497A1B" w:rsidRPr="007E0156">
        <w:t xml:space="preserve">meet the other criteria of a ‘designated brand’ and </w:t>
      </w:r>
      <w:r w:rsidR="006A7468" w:rsidRPr="007E0156">
        <w:t>be subject to minimum stockholding requirements</w:t>
      </w:r>
      <w:r w:rsidR="00497A1B" w:rsidRPr="007E0156">
        <w:t xml:space="preserve"> in </w:t>
      </w:r>
      <w:r w:rsidR="00075587" w:rsidRPr="007E0156">
        <w:t>12</w:t>
      </w:r>
      <w:r w:rsidR="003A2C7E" w:rsidRPr="007E0156">
        <w:t> </w:t>
      </w:r>
      <w:r w:rsidR="00497A1B" w:rsidRPr="007E0156">
        <w:t>months. It may not, for example, include</w:t>
      </w:r>
      <w:r w:rsidR="00B75397" w:rsidRPr="007E0156">
        <w:t xml:space="preserve"> all</w:t>
      </w:r>
      <w:r w:rsidR="00457847" w:rsidRPr="007E0156">
        <w:t xml:space="preserve"> </w:t>
      </w:r>
      <w:r w:rsidR="0061719D" w:rsidRPr="007E0156">
        <w:t>brands</w:t>
      </w:r>
      <w:r w:rsidR="00E735E4" w:rsidRPr="007E0156">
        <w:t xml:space="preserve"> </w:t>
      </w:r>
      <w:r w:rsidR="00B75397" w:rsidRPr="007E0156">
        <w:t xml:space="preserve">with a </w:t>
      </w:r>
      <w:r w:rsidR="007B11AB" w:rsidRPr="007E0156">
        <w:t>price increase after 1 July 2023</w:t>
      </w:r>
      <w:r w:rsidR="00B75397" w:rsidRPr="007E0156">
        <w:t xml:space="preserve"> by agreement</w:t>
      </w:r>
      <w:r w:rsidR="004F7FD0" w:rsidRPr="007E0156">
        <w:t xml:space="preserve">, brands </w:t>
      </w:r>
      <w:r w:rsidR="00B75397" w:rsidRPr="007E0156">
        <w:t xml:space="preserve">subject to statutory </w:t>
      </w:r>
      <w:r w:rsidR="004F7FD0" w:rsidRPr="007E0156">
        <w:t xml:space="preserve">price </w:t>
      </w:r>
      <w:r w:rsidR="00CB0A1F" w:rsidRPr="007E0156">
        <w:t>reductions</w:t>
      </w:r>
      <w:r w:rsidR="004F7FD0" w:rsidRPr="007E0156">
        <w:t xml:space="preserve"> </w:t>
      </w:r>
      <w:r w:rsidR="00B75397" w:rsidRPr="007E0156">
        <w:t xml:space="preserve">which bring their AEMP </w:t>
      </w:r>
      <w:r w:rsidR="004F7FD0" w:rsidRPr="007E0156">
        <w:t>to $4 or less,</w:t>
      </w:r>
      <w:r w:rsidR="00A562B5" w:rsidRPr="007E0156">
        <w:t xml:space="preserve"> or </w:t>
      </w:r>
      <w:r w:rsidR="006F17A9" w:rsidRPr="007E0156">
        <w:t xml:space="preserve">the </w:t>
      </w:r>
      <w:r w:rsidR="00A562B5" w:rsidRPr="007E0156">
        <w:t>new</w:t>
      </w:r>
      <w:r w:rsidR="00075587" w:rsidRPr="007E0156">
        <w:t>ly listed</w:t>
      </w:r>
      <w:r w:rsidR="006F17A9" w:rsidRPr="007E0156">
        <w:t xml:space="preserve"> brands of existing pharmaceutical items</w:t>
      </w:r>
      <w:r w:rsidR="007B11AB" w:rsidRPr="007E0156">
        <w:t xml:space="preserve">, </w:t>
      </w:r>
      <w:r w:rsidR="00075587" w:rsidRPr="007E0156">
        <w:t xml:space="preserve">for </w:t>
      </w:r>
      <w:r w:rsidR="00497A1B" w:rsidRPr="007E0156">
        <w:t xml:space="preserve">which </w:t>
      </w:r>
      <w:r w:rsidR="007B11AB" w:rsidRPr="007E0156">
        <w:t xml:space="preserve">the </w:t>
      </w:r>
      <w:r w:rsidR="007A785F">
        <w:t>d</w:t>
      </w:r>
      <w:r w:rsidR="007B11AB" w:rsidRPr="007E0156">
        <w:t xml:space="preserve">epartment will not have </w:t>
      </w:r>
      <w:r w:rsidR="007F49DB" w:rsidRPr="007E0156">
        <w:t>12</w:t>
      </w:r>
      <w:r w:rsidR="004F7FD0" w:rsidRPr="007E0156">
        <w:t> </w:t>
      </w:r>
      <w:r w:rsidR="007F49DB" w:rsidRPr="007E0156">
        <w:t xml:space="preserve">months of </w:t>
      </w:r>
      <w:r w:rsidR="00E735E4" w:rsidRPr="007E0156">
        <w:t>forward visibility</w:t>
      </w:r>
      <w:r w:rsidRPr="007E0156">
        <w:t>.</w:t>
      </w:r>
      <w:r w:rsidR="00D03040" w:rsidRPr="007E0156">
        <w:t xml:space="preserve"> </w:t>
      </w:r>
      <w:r w:rsidR="006B3480" w:rsidRPr="007E0156">
        <w:t xml:space="preserve">For further detail on </w:t>
      </w:r>
      <w:r w:rsidR="00596C18" w:rsidRPr="007E0156">
        <w:t>notice</w:t>
      </w:r>
      <w:r w:rsidR="006B3480" w:rsidRPr="007E0156">
        <w:t xml:space="preserve"> of stockholding requirements, please see</w:t>
      </w:r>
      <w:r w:rsidR="00FB14E1" w:rsidRPr="007E0156">
        <w:t xml:space="preserve"> </w:t>
      </w:r>
      <w:r w:rsidR="00FE3EE5" w:rsidRPr="007E0156">
        <w:rPr>
          <w:rStyle w:val="Emphasis"/>
        </w:rPr>
        <w:fldChar w:fldCharType="begin"/>
      </w:r>
      <w:r w:rsidR="00FE3EE5" w:rsidRPr="007E0156">
        <w:rPr>
          <w:rStyle w:val="Emphasis"/>
        </w:rPr>
        <w:instrText xml:space="preserve"> REF _Ref107504343 \h  \* MERGEFORMAT </w:instrText>
      </w:r>
      <w:r w:rsidR="00FE3EE5" w:rsidRPr="007E0156">
        <w:rPr>
          <w:rStyle w:val="Emphasis"/>
        </w:rPr>
      </w:r>
      <w:r w:rsidR="00FE3EE5" w:rsidRPr="007E0156">
        <w:rPr>
          <w:rStyle w:val="Emphasis"/>
        </w:rPr>
        <w:fldChar w:fldCharType="separate"/>
      </w:r>
      <w:r w:rsidR="008A2A42" w:rsidRPr="008A2A42">
        <w:rPr>
          <w:rStyle w:val="Emphasis"/>
        </w:rPr>
        <w:t>Exhibit 10</w:t>
      </w:r>
      <w:r w:rsidR="00FE3EE5" w:rsidRPr="007E0156">
        <w:rPr>
          <w:rStyle w:val="Emphasis"/>
        </w:rPr>
        <w:fldChar w:fldCharType="end"/>
      </w:r>
      <w:r w:rsidR="00FB14E1" w:rsidRPr="007E0156">
        <w:rPr>
          <w:rStyle w:val="Emphasis"/>
        </w:rPr>
        <w:t>.</w:t>
      </w:r>
    </w:p>
    <w:p w14:paraId="7A5B6A5B" w14:textId="77DA0D51" w:rsidR="00AB338F" w:rsidRPr="007E0156" w:rsidRDefault="00AB338F" w:rsidP="00AB338F">
      <w:pPr>
        <w:pStyle w:val="Heading2"/>
      </w:pPr>
      <w:bookmarkStart w:id="16" w:name="_Notices_to_be"/>
      <w:bookmarkStart w:id="17" w:name="_Toc205482082"/>
      <w:bookmarkEnd w:id="16"/>
      <w:r w:rsidRPr="007E0156">
        <w:rPr>
          <w:bCs/>
        </w:rPr>
        <w:t xml:space="preserve">Notices to be provided by the </w:t>
      </w:r>
      <w:r w:rsidR="007A785F">
        <w:rPr>
          <w:bCs/>
        </w:rPr>
        <w:t>d</w:t>
      </w:r>
      <w:r w:rsidR="00C25509" w:rsidRPr="007E0156">
        <w:rPr>
          <w:bCs/>
        </w:rPr>
        <w:t>epartment/</w:t>
      </w:r>
      <w:r w:rsidRPr="007E0156">
        <w:rPr>
          <w:bCs/>
        </w:rPr>
        <w:t>Price Disclosure Data Administrator (PDDA)</w:t>
      </w:r>
      <w:bookmarkEnd w:id="17"/>
    </w:p>
    <w:p w14:paraId="200C1202" w14:textId="7BA93967" w:rsidR="00AB338F" w:rsidRPr="007E0156" w:rsidRDefault="00AB338F" w:rsidP="00636116">
      <w:pPr>
        <w:jc w:val="both"/>
      </w:pPr>
      <w:r w:rsidRPr="007E0156">
        <w:t xml:space="preserve">In addition to the publication by the </w:t>
      </w:r>
      <w:r w:rsidR="007A785F">
        <w:t>d</w:t>
      </w:r>
      <w:r w:rsidRPr="007E0156">
        <w:t xml:space="preserve">epartment of the lists referred to above, notices </w:t>
      </w:r>
      <w:r w:rsidR="00302AAC" w:rsidRPr="007E0156">
        <w:t xml:space="preserve">will be sent </w:t>
      </w:r>
      <w:r w:rsidRPr="007E0156">
        <w:t xml:space="preserve">to </w:t>
      </w:r>
      <w:r w:rsidR="00636116" w:rsidRPr="007E0156">
        <w:t xml:space="preserve">RPs </w:t>
      </w:r>
      <w:r w:rsidRPr="007E0156">
        <w:t>for designated brands as follows:</w:t>
      </w:r>
    </w:p>
    <w:p w14:paraId="0A1B8E67" w14:textId="7D6FFC7A" w:rsidR="00AB338F" w:rsidRPr="007E0156" w:rsidRDefault="00AB338F" w:rsidP="005A2644">
      <w:pPr>
        <w:pStyle w:val="ListParagraph"/>
        <w:numPr>
          <w:ilvl w:val="0"/>
          <w:numId w:val="28"/>
        </w:numPr>
        <w:jc w:val="both"/>
      </w:pPr>
      <w:r w:rsidRPr="007E0156">
        <w:lastRenderedPageBreak/>
        <w:t>12 months prior to a brand meeting the s99ADHC(1)(a) criteria</w:t>
      </w:r>
      <w:r w:rsidR="001204A2" w:rsidRPr="007E0156">
        <w:rPr>
          <w:rStyle w:val="FootnoteReference"/>
        </w:rPr>
        <w:footnoteReference w:id="5"/>
      </w:r>
      <w:r w:rsidRPr="007E0156">
        <w:t xml:space="preserve">, </w:t>
      </w:r>
      <w:r w:rsidR="009345E1" w:rsidRPr="007E0156">
        <w:t xml:space="preserve">the PDDA will </w:t>
      </w:r>
      <w:r w:rsidR="00F8226E">
        <w:t>notify</w:t>
      </w:r>
      <w:r w:rsidR="00F8226E" w:rsidRPr="007E0156">
        <w:t xml:space="preserve"> </w:t>
      </w:r>
      <w:r w:rsidR="00ED7DC1" w:rsidRPr="007E0156">
        <w:t xml:space="preserve">the RP </w:t>
      </w:r>
      <w:r w:rsidRPr="007E0156">
        <w:t>that the brand is approaching the 42-month clock and will be subject to minimum stockholding requirements once that criteria is met</w:t>
      </w:r>
      <w:r w:rsidR="00887D22" w:rsidRPr="007E0156">
        <w:t>.</w:t>
      </w:r>
    </w:p>
    <w:p w14:paraId="388A8315" w14:textId="7080861B" w:rsidR="00302AAC" w:rsidRPr="007E0156" w:rsidRDefault="00302AAC" w:rsidP="005A2644">
      <w:pPr>
        <w:pStyle w:val="ListParagraph"/>
        <w:numPr>
          <w:ilvl w:val="0"/>
          <w:numId w:val="28"/>
        </w:numPr>
        <w:jc w:val="both"/>
      </w:pPr>
      <w:r w:rsidRPr="007E0156">
        <w:t>Following a price increase</w:t>
      </w:r>
      <w:r w:rsidR="002833F6" w:rsidRPr="007E0156">
        <w:t xml:space="preserve"> (ss99ADHC(1)(c) or 99ADHC(1)(d)</w:t>
      </w:r>
      <w:r w:rsidR="00C4208E" w:rsidRPr="007E0156">
        <w:t xml:space="preserve"> of the Act</w:t>
      </w:r>
      <w:r w:rsidR="002833F6" w:rsidRPr="007E0156">
        <w:t>)</w:t>
      </w:r>
      <w:r w:rsidRPr="007E0156">
        <w:t xml:space="preserve">, the </w:t>
      </w:r>
      <w:r w:rsidR="007A785F">
        <w:t>d</w:t>
      </w:r>
      <w:r w:rsidRPr="007E0156">
        <w:t xml:space="preserve">epartment will initially advise the </w:t>
      </w:r>
      <w:r w:rsidR="009345E1" w:rsidRPr="007E0156">
        <w:t>RP</w:t>
      </w:r>
      <w:r w:rsidRPr="007E0156">
        <w:t xml:space="preserve"> of stockholding requirements which will be effective 6 months from </w:t>
      </w:r>
      <w:r w:rsidR="00264EBA" w:rsidRPr="007E0156">
        <w:t xml:space="preserve">the </w:t>
      </w:r>
      <w:r w:rsidRPr="007E0156">
        <w:t xml:space="preserve">date </w:t>
      </w:r>
      <w:r w:rsidR="00264EBA" w:rsidRPr="007E0156">
        <w:t xml:space="preserve">the </w:t>
      </w:r>
      <w:r w:rsidRPr="007E0156">
        <w:t xml:space="preserve">price increase </w:t>
      </w:r>
      <w:r w:rsidR="00264EBA" w:rsidRPr="007E0156">
        <w:t xml:space="preserve">takes effect </w:t>
      </w:r>
      <w:r w:rsidRPr="007E0156">
        <w:t>(i.e. when designated brand determination is effective, as well as any minimum stockholding determination).</w:t>
      </w:r>
    </w:p>
    <w:p w14:paraId="5E32B752" w14:textId="0598C355" w:rsidR="00AB338F" w:rsidRPr="007E0156" w:rsidRDefault="00302AAC" w:rsidP="00BE2CBA">
      <w:pPr>
        <w:jc w:val="both"/>
      </w:pPr>
      <w:r w:rsidRPr="007E0156">
        <w:t xml:space="preserve">The </w:t>
      </w:r>
      <w:r w:rsidR="00BE2CBA" w:rsidRPr="007E0156">
        <w:t>PDDA wil</w:t>
      </w:r>
      <w:r w:rsidR="00E44EB5" w:rsidRPr="007E0156">
        <w:t xml:space="preserve">l </w:t>
      </w:r>
      <w:r w:rsidRPr="007E0156">
        <w:t xml:space="preserve">also </w:t>
      </w:r>
      <w:r w:rsidR="00E44EB5" w:rsidRPr="007E0156">
        <w:t xml:space="preserve">send </w:t>
      </w:r>
      <w:r w:rsidRPr="007E0156">
        <w:t xml:space="preserve">routine </w:t>
      </w:r>
      <w:r w:rsidR="00AB338F" w:rsidRPr="007E0156">
        <w:t>notification</w:t>
      </w:r>
      <w:r w:rsidRPr="007E0156">
        <w:t>s</w:t>
      </w:r>
      <w:r w:rsidR="00AB338F" w:rsidRPr="007E0156">
        <w:t xml:space="preserve"> of future stockholding requirements for the brand</w:t>
      </w:r>
      <w:r w:rsidR="00E44EB5" w:rsidRPr="007E0156">
        <w:t xml:space="preserve"> as follows</w:t>
      </w:r>
      <w:r w:rsidR="002833F6" w:rsidRPr="007E0156">
        <w:t>:</w:t>
      </w:r>
    </w:p>
    <w:p w14:paraId="5AAF9D94" w14:textId="5EEC6A94" w:rsidR="00AB338F" w:rsidRPr="007E0156" w:rsidRDefault="00F8226E" w:rsidP="005A2644">
      <w:pPr>
        <w:pStyle w:val="ListParagraph"/>
        <w:numPr>
          <w:ilvl w:val="0"/>
          <w:numId w:val="28"/>
        </w:numPr>
        <w:jc w:val="both"/>
      </w:pPr>
      <w:r>
        <w:t xml:space="preserve">By </w:t>
      </w:r>
      <w:r w:rsidR="00601105" w:rsidRPr="007E0156">
        <w:t>7</w:t>
      </w:r>
      <w:r w:rsidR="00601105" w:rsidRPr="007E0156">
        <w:rPr>
          <w:vertAlign w:val="superscript"/>
        </w:rPr>
        <w:t xml:space="preserve"> </w:t>
      </w:r>
      <w:r w:rsidR="00601105" w:rsidRPr="007E0156">
        <w:t>June and 7 December,</w:t>
      </w:r>
      <w:r w:rsidR="00AB338F" w:rsidRPr="007E0156">
        <w:t xml:space="preserve"> a forward notification to the </w:t>
      </w:r>
      <w:r w:rsidR="00636116" w:rsidRPr="007E0156">
        <w:t xml:space="preserve">RP </w:t>
      </w:r>
      <w:r w:rsidR="00AB338F" w:rsidRPr="007E0156">
        <w:t xml:space="preserve">advising the </w:t>
      </w:r>
      <w:r w:rsidR="00636116" w:rsidRPr="007E0156">
        <w:t xml:space="preserve">quantity </w:t>
      </w:r>
      <w:r w:rsidR="00AB338F" w:rsidRPr="007E0156">
        <w:t>calculated as ‘usual demand’</w:t>
      </w:r>
      <w:r w:rsidR="000262DF" w:rsidRPr="007E0156">
        <w:rPr>
          <w:rStyle w:val="FootnoteReference"/>
        </w:rPr>
        <w:footnoteReference w:id="6"/>
      </w:r>
      <w:r w:rsidR="00AB338F" w:rsidRPr="007E0156">
        <w:t xml:space="preserve"> for the reference period just ended</w:t>
      </w:r>
      <w:r w:rsidR="00014DF7" w:rsidRPr="007E0156">
        <w:t>, in respect of each brand of a pharmaceutical item subject to price disclosure and minimum stockholding requirements</w:t>
      </w:r>
      <w:r w:rsidR="002B257D" w:rsidRPr="007E0156">
        <w:t>.</w:t>
      </w:r>
      <w:r w:rsidR="00271DC2" w:rsidRPr="007E0156">
        <w:t xml:space="preserve"> </w:t>
      </w:r>
      <w:r>
        <w:t>T</w:t>
      </w:r>
      <w:r w:rsidRPr="007E0156">
        <w:t xml:space="preserve">he </w:t>
      </w:r>
      <w:r w:rsidR="007A785F">
        <w:t>d</w:t>
      </w:r>
      <w:r w:rsidRPr="007E0156">
        <w:t>epartment’s intention is that this notification should simply serve as a confirmation for the RP</w:t>
      </w:r>
      <w:r>
        <w:t>, as u</w:t>
      </w:r>
      <w:r w:rsidR="002B257D" w:rsidRPr="007E0156">
        <w:t>sing their own reported volumes</w:t>
      </w:r>
      <w:r w:rsidR="00014DF7" w:rsidRPr="007E0156">
        <w:t xml:space="preserve"> in accordance with PD requirements</w:t>
      </w:r>
      <w:r w:rsidR="002B257D" w:rsidRPr="007E0156">
        <w:t xml:space="preserve">, the </w:t>
      </w:r>
      <w:r w:rsidR="00271DC2" w:rsidRPr="007E0156">
        <w:t xml:space="preserve">RP </w:t>
      </w:r>
      <w:r w:rsidR="002B257D" w:rsidRPr="007E0156">
        <w:t>is</w:t>
      </w:r>
      <w:r w:rsidR="006A25E3" w:rsidRPr="007E0156">
        <w:t xml:space="preserve"> able to calculate </w:t>
      </w:r>
      <w:r w:rsidR="00AE4AA8" w:rsidRPr="007E0156">
        <w:t>what this amount will be prio</w:t>
      </w:r>
      <w:r w:rsidR="002B257D" w:rsidRPr="007E0156">
        <w:t>r to the notification</w:t>
      </w:r>
      <w:r w:rsidR="00B95B36" w:rsidRPr="007E0156">
        <w:t>.</w:t>
      </w:r>
    </w:p>
    <w:p w14:paraId="1E3D19F9" w14:textId="2B6D7B3F" w:rsidR="00AB338F" w:rsidRPr="007E0156" w:rsidRDefault="00AB338F" w:rsidP="00F8226E">
      <w:pPr>
        <w:pStyle w:val="ListParagraph"/>
        <w:jc w:val="both"/>
      </w:pPr>
      <w:r w:rsidRPr="007E0156">
        <w:t xml:space="preserve">(For example by </w:t>
      </w:r>
      <w:r w:rsidR="00601105" w:rsidRPr="007E0156">
        <w:t>7 December</w:t>
      </w:r>
      <w:r w:rsidR="00D63406" w:rsidRPr="007E0156">
        <w:t xml:space="preserve"> 202</w:t>
      </w:r>
      <w:r w:rsidR="004C3CCE" w:rsidRPr="007E0156">
        <w:t>3</w:t>
      </w:r>
      <w:r w:rsidRPr="007E0156">
        <w:t xml:space="preserve"> the </w:t>
      </w:r>
      <w:r w:rsidR="00636116" w:rsidRPr="007E0156">
        <w:t xml:space="preserve">RP </w:t>
      </w:r>
      <w:r w:rsidRPr="007E0156">
        <w:t>will be provided with a forward notification of a brand’s minimum stockholding requirement for the period 1 April 2024 to 30</w:t>
      </w:r>
      <w:r w:rsidR="00636116" w:rsidRPr="007E0156">
        <w:t> </w:t>
      </w:r>
      <w:r w:rsidRPr="007E0156">
        <w:t>September 2024 (based on ‘usual demand’ in the reference period 1 April 2023 to 30</w:t>
      </w:r>
      <w:r w:rsidR="00636116" w:rsidRPr="007E0156">
        <w:t> </w:t>
      </w:r>
      <w:r w:rsidRPr="007E0156">
        <w:t>September 2023)</w:t>
      </w:r>
      <w:r w:rsidR="00F8226E">
        <w:t>.</w:t>
      </w:r>
      <w:r w:rsidRPr="007E0156">
        <w:t>)</w:t>
      </w:r>
    </w:p>
    <w:p w14:paraId="291A2BD1" w14:textId="53D7B135" w:rsidR="00AB338F" w:rsidRPr="007E0156" w:rsidRDefault="00AB338F" w:rsidP="005A2644">
      <w:pPr>
        <w:pStyle w:val="ListParagraph"/>
        <w:numPr>
          <w:ilvl w:val="0"/>
          <w:numId w:val="28"/>
        </w:numPr>
        <w:jc w:val="both"/>
      </w:pPr>
      <w:r w:rsidRPr="007E0156">
        <w:t>On the last business day of each reporting period, an initial reminder email to the R</w:t>
      </w:r>
      <w:r w:rsidR="00636116" w:rsidRPr="007E0156">
        <w:t>P</w:t>
      </w:r>
      <w:r w:rsidRPr="007E0156">
        <w:t xml:space="preserve"> confirming which brands are designated brands for the reporting period which is ending, and the </w:t>
      </w:r>
      <w:r w:rsidR="00636116" w:rsidRPr="007E0156">
        <w:t xml:space="preserve">quantity </w:t>
      </w:r>
      <w:r w:rsidRPr="007E0156">
        <w:t xml:space="preserve">of ‘usual demand’ which was required to be </w:t>
      </w:r>
      <w:r w:rsidR="00636116" w:rsidRPr="007E0156">
        <w:t xml:space="preserve">kept </w:t>
      </w:r>
      <w:r w:rsidRPr="007E0156">
        <w:t>for each designated brand during that period.</w:t>
      </w:r>
    </w:p>
    <w:p w14:paraId="6804EE6B" w14:textId="53FA6870" w:rsidR="00C4208E" w:rsidRPr="007E0156" w:rsidRDefault="00C4208E" w:rsidP="00493135">
      <w:pPr>
        <w:jc w:val="both"/>
        <w:sectPr w:rsidR="00C4208E" w:rsidRPr="007E0156" w:rsidSect="00F82449">
          <w:headerReference w:type="default" r:id="rId20"/>
          <w:footerReference w:type="even" r:id="rId21"/>
          <w:footerReference w:type="default" r:id="rId22"/>
          <w:footerReference w:type="first" r:id="rId23"/>
          <w:type w:val="continuous"/>
          <w:pgSz w:w="12240" w:h="15840"/>
          <w:pgMar w:top="1440" w:right="1440" w:bottom="1440" w:left="1440" w:header="720" w:footer="720" w:gutter="0"/>
          <w:cols w:space="720"/>
          <w:docGrid w:linePitch="360"/>
        </w:sectPr>
      </w:pPr>
    </w:p>
    <w:p w14:paraId="1CE1B900" w14:textId="6D6FC32E" w:rsidR="0013515C" w:rsidRPr="00A526BB" w:rsidRDefault="003A2C7E" w:rsidP="00873834">
      <w:pPr>
        <w:pStyle w:val="Heading1"/>
      </w:pPr>
      <w:bookmarkStart w:id="18" w:name="_Keeping_a_brand"/>
      <w:bookmarkStart w:id="19" w:name="Section_3"/>
      <w:bookmarkStart w:id="20" w:name="_Ref106971468"/>
      <w:bookmarkStart w:id="21" w:name="_Toc205482083"/>
      <w:bookmarkEnd w:id="18"/>
      <w:bookmarkEnd w:id="19"/>
      <w:r w:rsidRPr="00A526BB">
        <w:lastRenderedPageBreak/>
        <w:t>Keeping a brand in stock in Australia</w:t>
      </w:r>
      <w:bookmarkEnd w:id="20"/>
      <w:bookmarkEnd w:id="21"/>
    </w:p>
    <w:p w14:paraId="4B6BDC03" w14:textId="1CCB542D" w:rsidR="00CD7254" w:rsidRPr="007E0156" w:rsidRDefault="00C2643E" w:rsidP="00FE7FAF">
      <w:pPr>
        <w:jc w:val="both"/>
      </w:pPr>
      <w:bookmarkStart w:id="22" w:name="_Definition_of_stockholding"/>
      <w:bookmarkEnd w:id="22"/>
      <w:r w:rsidRPr="007E0156">
        <w:t>To meet</w:t>
      </w:r>
      <w:r w:rsidR="000A2E00" w:rsidRPr="007E0156">
        <w:t xml:space="preserve"> the </w:t>
      </w:r>
      <w:r w:rsidRPr="007E0156">
        <w:t xml:space="preserve">minimum </w:t>
      </w:r>
      <w:r w:rsidR="00DE67DA" w:rsidRPr="007E0156">
        <w:t xml:space="preserve">stockholding </w:t>
      </w:r>
      <w:r w:rsidR="000A2E00" w:rsidRPr="007E0156">
        <w:t>requirement</w:t>
      </w:r>
      <w:r w:rsidRPr="007E0156">
        <w:t xml:space="preserve"> the RP for the brand must keep in stock in Australia at least the applicable quantity of the brand. If a quantity of the brand is not available for sale in Australia by the RP, that quantity of the brand is taken not to be kept in stock.</w:t>
      </w:r>
    </w:p>
    <w:p w14:paraId="2B7011F8" w14:textId="0298BEC0" w:rsidR="003821D1" w:rsidRPr="007E0156" w:rsidRDefault="003821D1" w:rsidP="003821D1">
      <w:pPr>
        <w:jc w:val="both"/>
      </w:pPr>
      <w:r w:rsidRPr="007E0156">
        <w:t xml:space="preserve">The minimum stockholding requirement is an ongoing obligation once a brand is a designated brand. Although disclosure is made of stock levels on the last day of each month (see </w:t>
      </w:r>
      <w:hyperlink w:anchor="_Stockholding_disclosure_requirement">
        <w:r w:rsidRPr="09A3D074">
          <w:rPr>
            <w:rStyle w:val="Hyperlink"/>
          </w:rPr>
          <w:t>Section 7.1</w:t>
        </w:r>
      </w:hyperlink>
      <w:r w:rsidRPr="007E0156">
        <w:t xml:space="preserve"> below), the minimum stockholding requirement must be met at all times.</w:t>
      </w:r>
    </w:p>
    <w:p w14:paraId="53317F8F" w14:textId="5A0009A7" w:rsidR="00F04A87" w:rsidRPr="007E0156" w:rsidRDefault="00F04A87" w:rsidP="00FE7FAF">
      <w:pPr>
        <w:jc w:val="both"/>
      </w:pPr>
      <w:r w:rsidRPr="007E0156">
        <w:t xml:space="preserve">The </w:t>
      </w:r>
      <w:r w:rsidR="007A785F">
        <w:t>d</w:t>
      </w:r>
      <w:r w:rsidRPr="007E0156">
        <w:t>epartment considers that for the brand to be both kept in stock i</w:t>
      </w:r>
      <w:r w:rsidR="005522E6" w:rsidRPr="007E0156">
        <w:t>n Australia</w:t>
      </w:r>
      <w:r w:rsidRPr="007E0156">
        <w:t>,</w:t>
      </w:r>
      <w:r w:rsidR="005522E6" w:rsidRPr="007E0156">
        <w:t xml:space="preserve"> </w:t>
      </w:r>
      <w:r w:rsidRPr="007E0156">
        <w:t>and available for sale in Australia by the RP, it must satisfy the following criteria:</w:t>
      </w:r>
    </w:p>
    <w:p w14:paraId="77629F9C" w14:textId="1A5EA9B8" w:rsidR="0055143E" w:rsidRPr="007E0156" w:rsidRDefault="00F04A87" w:rsidP="005A2644">
      <w:pPr>
        <w:pStyle w:val="ListParagraph"/>
        <w:numPr>
          <w:ilvl w:val="0"/>
          <w:numId w:val="50"/>
        </w:numPr>
        <w:jc w:val="both"/>
      </w:pPr>
      <w:r w:rsidRPr="007E0156">
        <w:t>T</w:t>
      </w:r>
      <w:r w:rsidR="005522E6" w:rsidRPr="007E0156">
        <w:t xml:space="preserve">he stock is </w:t>
      </w:r>
      <w:r w:rsidR="00D64851" w:rsidRPr="007E0156">
        <w:t>physically located</w:t>
      </w:r>
      <w:r w:rsidR="00DE67DA" w:rsidRPr="007E0156">
        <w:t xml:space="preserve"> onshore</w:t>
      </w:r>
      <w:r w:rsidR="00D64851" w:rsidRPr="007E0156">
        <w:t xml:space="preserve"> in Australia.</w:t>
      </w:r>
    </w:p>
    <w:p w14:paraId="54ED40DD" w14:textId="600F7A1B" w:rsidR="00CD7254" w:rsidRPr="007E0156" w:rsidRDefault="00CD7254" w:rsidP="005A2644">
      <w:pPr>
        <w:pStyle w:val="ListParagraph"/>
        <w:numPr>
          <w:ilvl w:val="0"/>
          <w:numId w:val="50"/>
        </w:numPr>
        <w:jc w:val="both"/>
      </w:pPr>
      <w:r w:rsidRPr="007E0156">
        <w:t>The stock has cleared customs in Australia</w:t>
      </w:r>
      <w:r w:rsidR="00F04A87" w:rsidRPr="007E0156">
        <w:t>.</w:t>
      </w:r>
    </w:p>
    <w:p w14:paraId="4F4039B0" w14:textId="612F729A" w:rsidR="00AF5D9B" w:rsidRPr="007E0156" w:rsidRDefault="005522E6" w:rsidP="005A2644">
      <w:pPr>
        <w:pStyle w:val="ListParagraph"/>
        <w:numPr>
          <w:ilvl w:val="0"/>
          <w:numId w:val="50"/>
        </w:numPr>
        <w:jc w:val="both"/>
      </w:pPr>
      <w:r w:rsidRPr="007E0156">
        <w:t>The stock is in saleable form</w:t>
      </w:r>
      <w:r w:rsidR="00431572" w:rsidRPr="007E0156">
        <w:t xml:space="preserve">. </w:t>
      </w:r>
      <w:r w:rsidR="0026134D" w:rsidRPr="007E0156">
        <w:t xml:space="preserve">This requires all manufacturing, quality control, </w:t>
      </w:r>
      <w:r w:rsidR="00A94FD5" w:rsidRPr="007E0156">
        <w:t>packaging, release for supply,</w:t>
      </w:r>
      <w:r w:rsidR="0026134D" w:rsidRPr="007E0156">
        <w:t xml:space="preserve"> and </w:t>
      </w:r>
      <w:r w:rsidR="008778FD" w:rsidRPr="007E0156">
        <w:t>any other pre-sale checks to be complete</w:t>
      </w:r>
      <w:r w:rsidR="00310281" w:rsidRPr="007E0156">
        <w:t xml:space="preserve">, </w:t>
      </w:r>
      <w:r w:rsidR="00E562AE" w:rsidRPr="007E0156">
        <w:t>with</w:t>
      </w:r>
      <w:r w:rsidR="00310281" w:rsidRPr="007E0156">
        <w:t xml:space="preserve"> no further modifications </w:t>
      </w:r>
      <w:r w:rsidR="00E562AE" w:rsidRPr="007E0156">
        <w:t>necessary</w:t>
      </w:r>
      <w:r w:rsidR="00310281" w:rsidRPr="007E0156">
        <w:t xml:space="preserve"> before sale</w:t>
      </w:r>
      <w:r w:rsidR="00A94FD5" w:rsidRPr="007E0156">
        <w:t>.</w:t>
      </w:r>
    </w:p>
    <w:p w14:paraId="29E60807" w14:textId="504C25A8" w:rsidR="0055143E" w:rsidRPr="007E0156" w:rsidRDefault="0030304F" w:rsidP="005A2644">
      <w:pPr>
        <w:pStyle w:val="ListParagraph"/>
        <w:numPr>
          <w:ilvl w:val="0"/>
          <w:numId w:val="50"/>
        </w:numPr>
        <w:jc w:val="both"/>
      </w:pPr>
      <w:r w:rsidRPr="007E0156">
        <w:t>No permission, release, or other intervention</w:t>
      </w:r>
      <w:r w:rsidR="00C351CF" w:rsidRPr="007E0156">
        <w:t xml:space="preserve"> from someone other than the </w:t>
      </w:r>
      <w:r w:rsidR="00052321" w:rsidRPr="007E0156">
        <w:t>RP</w:t>
      </w:r>
      <w:r w:rsidRPr="007E0156">
        <w:t xml:space="preserve"> is required before </w:t>
      </w:r>
      <w:r w:rsidR="00C351CF" w:rsidRPr="007E0156">
        <w:t>the stock can be sold</w:t>
      </w:r>
      <w:r w:rsidR="00D517C3" w:rsidRPr="007E0156">
        <w:t>.</w:t>
      </w:r>
    </w:p>
    <w:p w14:paraId="0299075A" w14:textId="77777777" w:rsidR="00C61651" w:rsidRDefault="00C61651" w:rsidP="00C61651">
      <w:pPr>
        <w:jc w:val="both"/>
        <w:rPr>
          <w:u w:val="single"/>
        </w:rPr>
      </w:pPr>
      <w:r w:rsidRPr="00C61651">
        <w:rPr>
          <w:u w:val="single"/>
        </w:rPr>
        <w:t>Stock in transit</w:t>
      </w:r>
    </w:p>
    <w:p w14:paraId="43BBAC2F" w14:textId="77B8C385" w:rsidR="003053C8" w:rsidRPr="003053C8" w:rsidRDefault="00D06D68" w:rsidP="003053C8">
      <w:pPr>
        <w:jc w:val="both"/>
        <w:rPr>
          <w:lang w:val="en-AU"/>
        </w:rPr>
      </w:pPr>
      <w:r>
        <w:t xml:space="preserve">Stock that is in transit to Australia </w:t>
      </w:r>
      <w:r w:rsidR="00C1161B">
        <w:t xml:space="preserve">does not count </w:t>
      </w:r>
      <w:r w:rsidR="00BC58A0">
        <w:t xml:space="preserve">towards the stockholding requirement </w:t>
      </w:r>
      <w:r w:rsidR="00C1161B">
        <w:t>as it is not physically located onshore in Australia</w:t>
      </w:r>
      <w:r w:rsidR="00AF3063">
        <w:t xml:space="preserve"> and is not</w:t>
      </w:r>
      <w:r w:rsidR="004179E8">
        <w:t xml:space="preserve"> </w:t>
      </w:r>
      <w:r w:rsidR="00AF3063" w:rsidRPr="008E3E83">
        <w:t>‘</w:t>
      </w:r>
      <w:r w:rsidR="004179E8" w:rsidRPr="008E3E83">
        <w:t>available for sale</w:t>
      </w:r>
      <w:r w:rsidR="005A0D21" w:rsidRPr="008E3E83">
        <w:t xml:space="preserve"> </w:t>
      </w:r>
      <w:r w:rsidR="005A0D21" w:rsidRPr="008E3E83">
        <w:rPr>
          <w:rFonts w:ascii="Arial" w:hAnsi="Arial" w:cs="Arial"/>
        </w:rPr>
        <w:t>in Australia by the Responsible Person</w:t>
      </w:r>
      <w:r w:rsidR="00AF3063" w:rsidRPr="008E3E83">
        <w:t>’</w:t>
      </w:r>
      <w:r w:rsidR="00AF3063">
        <w:t>.</w:t>
      </w:r>
      <w:r w:rsidR="004F0070">
        <w:rPr>
          <w:rStyle w:val="FootnoteReference"/>
        </w:rPr>
        <w:footnoteReference w:id="7"/>
      </w:r>
      <w:r w:rsidR="00AF3063">
        <w:t xml:space="preserve"> Stock in transit</w:t>
      </w:r>
      <w:r w:rsidR="006F25FF">
        <w:t xml:space="preserve"> therefore</w:t>
      </w:r>
      <w:r w:rsidR="00C1161B">
        <w:t xml:space="preserve"> cannot be used to</w:t>
      </w:r>
      <w:r w:rsidR="006F25FF">
        <w:t xml:space="preserve"> immediately</w:t>
      </w:r>
      <w:r w:rsidR="00C1161B">
        <w:t xml:space="preserve"> </w:t>
      </w:r>
      <w:r w:rsidR="004179E8">
        <w:t>supply the</w:t>
      </w:r>
      <w:r w:rsidR="006F25FF">
        <w:t xml:space="preserve"> Australian</w:t>
      </w:r>
      <w:r w:rsidR="004179E8">
        <w:t xml:space="preserve"> market where there is a market disruption or an unexpected increase in demand</w:t>
      </w:r>
      <w:r w:rsidR="002E40EB">
        <w:t xml:space="preserve"> and does not serve as a true ‘supply buffer’</w:t>
      </w:r>
      <w:r w:rsidR="001F24F4">
        <w:rPr>
          <w:rFonts w:ascii="Arial" w:hAnsi="Arial" w:cs="Arial"/>
        </w:rPr>
        <w:t xml:space="preserve"> which is the intention of the stockholding requirements</w:t>
      </w:r>
      <w:r w:rsidR="004179E8">
        <w:t xml:space="preserve">. </w:t>
      </w:r>
      <w:r w:rsidR="00743391">
        <w:t>T</w:t>
      </w:r>
      <w:r w:rsidR="00381D4E">
        <w:t xml:space="preserve">he Minister may consider stock </w:t>
      </w:r>
      <w:r w:rsidR="004F0070">
        <w:t>being</w:t>
      </w:r>
      <w:r w:rsidR="00381D4E">
        <w:t xml:space="preserve"> in transit</w:t>
      </w:r>
      <w:r w:rsidR="003053C8">
        <w:t xml:space="preserve"> </w:t>
      </w:r>
      <w:r w:rsidR="004F0070">
        <w:t xml:space="preserve">(including </w:t>
      </w:r>
      <w:r w:rsidR="003053C8" w:rsidRPr="003053C8">
        <w:rPr>
          <w:lang w:val="en-AU"/>
        </w:rPr>
        <w:t xml:space="preserve">when considering whether the RP </w:t>
      </w:r>
      <w:r w:rsidR="003178CA" w:rsidRPr="003053C8">
        <w:rPr>
          <w:lang w:val="en-AU"/>
        </w:rPr>
        <w:t>is</w:t>
      </w:r>
      <w:r w:rsidR="003053C8" w:rsidRPr="003053C8">
        <w:rPr>
          <w:lang w:val="en-AU"/>
        </w:rPr>
        <w:t xml:space="preserve"> </w:t>
      </w:r>
      <w:r w:rsidR="003178CA" w:rsidRPr="003053C8">
        <w:rPr>
          <w:lang w:val="en-AU"/>
        </w:rPr>
        <w:t>likely</w:t>
      </w:r>
      <w:r w:rsidR="003053C8" w:rsidRPr="003053C8">
        <w:rPr>
          <w:lang w:val="en-AU"/>
        </w:rPr>
        <w:t xml:space="preserve"> to maintain adequate supply of the brand in the future</w:t>
      </w:r>
      <w:r w:rsidR="004F0070">
        <w:rPr>
          <w:lang w:val="en-AU"/>
        </w:rPr>
        <w:t>)</w:t>
      </w:r>
      <w:r w:rsidR="003178CA">
        <w:rPr>
          <w:lang w:val="en-AU"/>
        </w:rPr>
        <w:t xml:space="preserve"> where a </w:t>
      </w:r>
      <w:r w:rsidR="00D01B77">
        <w:rPr>
          <w:lang w:val="en-AU"/>
        </w:rPr>
        <w:t xml:space="preserve">breach </w:t>
      </w:r>
      <w:r w:rsidR="00267B93">
        <w:rPr>
          <w:lang w:val="en-AU"/>
        </w:rPr>
        <w:t>of</w:t>
      </w:r>
      <w:r w:rsidR="00D01B77">
        <w:rPr>
          <w:lang w:val="en-AU"/>
        </w:rPr>
        <w:t xml:space="preserve"> the </w:t>
      </w:r>
      <w:r w:rsidR="003178CA">
        <w:rPr>
          <w:lang w:val="en-AU"/>
        </w:rPr>
        <w:t xml:space="preserve">stockholding </w:t>
      </w:r>
      <w:r w:rsidR="00D01B77">
        <w:rPr>
          <w:lang w:val="en-AU"/>
        </w:rPr>
        <w:t>requirements occur</w:t>
      </w:r>
      <w:r w:rsidR="00267B93">
        <w:rPr>
          <w:lang w:val="en-AU"/>
        </w:rPr>
        <w:t>s</w:t>
      </w:r>
      <w:r w:rsidR="00D01B77">
        <w:rPr>
          <w:lang w:val="en-AU"/>
        </w:rPr>
        <w:t xml:space="preserve">. This is further outlined in </w:t>
      </w:r>
      <w:hyperlink w:anchor="_Failure_to_comply" w:history="1">
        <w:r w:rsidR="00267B93">
          <w:rPr>
            <w:rStyle w:val="Hyperlink"/>
            <w:lang w:val="en-AU"/>
          </w:rPr>
          <w:t>Section 8.2</w:t>
        </w:r>
      </w:hyperlink>
      <w:r w:rsidR="00267B93">
        <w:rPr>
          <w:lang w:val="en-AU"/>
        </w:rPr>
        <w:t>.</w:t>
      </w:r>
    </w:p>
    <w:p w14:paraId="365EA74B" w14:textId="77777777" w:rsidR="0034175E" w:rsidRPr="007E0156" w:rsidRDefault="0034175E" w:rsidP="0034175E">
      <w:pPr>
        <w:jc w:val="both"/>
        <w:rPr>
          <w:rFonts w:ascii="Arial" w:hAnsi="Arial" w:cs="Arial"/>
          <w:u w:val="single"/>
        </w:rPr>
      </w:pPr>
      <w:r w:rsidRPr="007E0156">
        <w:rPr>
          <w:rFonts w:ascii="Arial" w:hAnsi="Arial" w:cs="Arial"/>
          <w:u w:val="single"/>
        </w:rPr>
        <w:t>Stock sold to wholesalers</w:t>
      </w:r>
    </w:p>
    <w:p w14:paraId="31D66C28" w14:textId="4567B38F" w:rsidR="0034175E" w:rsidRPr="007E0156" w:rsidRDefault="0034175E" w:rsidP="0034175E">
      <w:pPr>
        <w:jc w:val="both"/>
        <w:rPr>
          <w:rFonts w:ascii="Arial" w:hAnsi="Arial" w:cs="Arial"/>
        </w:rPr>
      </w:pPr>
      <w:r w:rsidRPr="007E0156">
        <w:rPr>
          <w:rFonts w:ascii="Arial" w:hAnsi="Arial" w:cs="Arial"/>
        </w:rPr>
        <w:t>If stock has been sold to a wholesaler, it will not be considered to be ‘available for sale in Australia by the Responsible Person’ because it is subject to release or other intervention by the wholesaler before the stock can be sold to another entity. The stock cannot be simultaneously available for sale by the wholesaler and the RP, and cannot be sold again by the RP until an arrangement is made with the wholesaler to make it ‘available for sale’ again by the RP.</w:t>
      </w:r>
      <w:r w:rsidR="00043AAF">
        <w:rPr>
          <w:rFonts w:ascii="Arial" w:hAnsi="Arial" w:cs="Arial"/>
        </w:rPr>
        <w:t xml:space="preserve"> </w:t>
      </w:r>
      <w:r w:rsidR="00BA05D8" w:rsidRPr="007A785F">
        <w:rPr>
          <w:rFonts w:ascii="Arial" w:hAnsi="Arial" w:cs="Arial"/>
        </w:rPr>
        <w:t>Th</w:t>
      </w:r>
      <w:r w:rsidR="0072300F">
        <w:rPr>
          <w:rFonts w:ascii="Arial" w:hAnsi="Arial" w:cs="Arial"/>
        </w:rPr>
        <w:t>is approach</w:t>
      </w:r>
      <w:r w:rsidR="00BA05D8" w:rsidRPr="007A785F">
        <w:rPr>
          <w:rFonts w:ascii="Arial" w:hAnsi="Arial" w:cs="Arial"/>
        </w:rPr>
        <w:t xml:space="preserve"> ensures that the minimum stockholding is additional stock above and beyond what is held down-stream from RPs in the supply chain.</w:t>
      </w:r>
      <w:r w:rsidR="000A3C59" w:rsidRPr="007A785F">
        <w:rPr>
          <w:rFonts w:ascii="Arial" w:hAnsi="Arial" w:cs="Arial"/>
        </w:rPr>
        <w:t xml:space="preserve"> </w:t>
      </w:r>
      <w:r w:rsidR="00043AAF" w:rsidRPr="007A785F">
        <w:rPr>
          <w:rFonts w:ascii="Arial" w:hAnsi="Arial" w:cs="Arial"/>
        </w:rPr>
        <w:t>Stock that has been</w:t>
      </w:r>
      <w:r w:rsidR="00043AAF">
        <w:rPr>
          <w:rFonts w:ascii="Arial" w:hAnsi="Arial" w:cs="Arial"/>
        </w:rPr>
        <w:t xml:space="preserve"> sold to </w:t>
      </w:r>
      <w:r w:rsidR="0076158E">
        <w:rPr>
          <w:rFonts w:ascii="Arial" w:hAnsi="Arial" w:cs="Arial"/>
        </w:rPr>
        <w:t xml:space="preserve">wholesalers has been supplied into the </w:t>
      </w:r>
      <w:r w:rsidR="00EE35DA">
        <w:rPr>
          <w:rFonts w:ascii="Arial" w:hAnsi="Arial" w:cs="Arial"/>
        </w:rPr>
        <w:t xml:space="preserve">supply chain and </w:t>
      </w:r>
      <w:r w:rsidR="009F50F3">
        <w:rPr>
          <w:rFonts w:ascii="Arial" w:hAnsi="Arial" w:cs="Arial"/>
        </w:rPr>
        <w:t xml:space="preserve">therefore </w:t>
      </w:r>
      <w:r w:rsidR="00EE35DA">
        <w:rPr>
          <w:rFonts w:ascii="Arial" w:hAnsi="Arial" w:cs="Arial"/>
        </w:rPr>
        <w:t>does not serve as a true ‘supply buffer’</w:t>
      </w:r>
      <w:r w:rsidR="001F24F4">
        <w:rPr>
          <w:rFonts w:ascii="Arial" w:hAnsi="Arial" w:cs="Arial"/>
        </w:rPr>
        <w:t xml:space="preserve"> which is the intention of the stockholding requirements.</w:t>
      </w:r>
    </w:p>
    <w:p w14:paraId="3CD01814" w14:textId="77777777" w:rsidR="0034175E" w:rsidRPr="007E0156" w:rsidRDefault="0034175E" w:rsidP="0034175E">
      <w:pPr>
        <w:jc w:val="both"/>
        <w:rPr>
          <w:rFonts w:ascii="Arial" w:hAnsi="Arial" w:cs="Arial"/>
        </w:rPr>
      </w:pPr>
      <w:r w:rsidRPr="007E0156">
        <w:rPr>
          <w:rFonts w:ascii="Arial" w:hAnsi="Arial" w:cs="Arial"/>
        </w:rPr>
        <w:t>If stock remains in the possession of an RP but:</w:t>
      </w:r>
    </w:p>
    <w:p w14:paraId="16387C81" w14:textId="77777777" w:rsidR="0034175E" w:rsidRPr="007E0156" w:rsidRDefault="0034175E" w:rsidP="005A2644">
      <w:pPr>
        <w:numPr>
          <w:ilvl w:val="0"/>
          <w:numId w:val="30"/>
        </w:numPr>
        <w:spacing w:after="0" w:line="240" w:lineRule="auto"/>
        <w:ind w:left="720"/>
        <w:jc w:val="both"/>
        <w:rPr>
          <w:rFonts w:ascii="Arial" w:hAnsi="Arial" w:cs="Arial"/>
        </w:rPr>
      </w:pPr>
      <w:r w:rsidRPr="007E0156">
        <w:rPr>
          <w:rFonts w:ascii="Arial" w:hAnsi="Arial" w:cs="Arial"/>
        </w:rPr>
        <w:t>has been ordered by a wholesaler; and</w:t>
      </w:r>
    </w:p>
    <w:p w14:paraId="100D0E0C" w14:textId="77777777" w:rsidR="0034175E" w:rsidRPr="007E0156" w:rsidRDefault="0034175E" w:rsidP="005A2644">
      <w:pPr>
        <w:numPr>
          <w:ilvl w:val="0"/>
          <w:numId w:val="30"/>
        </w:numPr>
        <w:spacing w:after="0" w:line="240" w:lineRule="auto"/>
        <w:ind w:left="720"/>
        <w:jc w:val="both"/>
        <w:rPr>
          <w:rFonts w:ascii="Arial" w:hAnsi="Arial" w:cs="Arial"/>
        </w:rPr>
      </w:pPr>
      <w:r w:rsidRPr="007E0156">
        <w:rPr>
          <w:rFonts w:ascii="Arial" w:hAnsi="Arial" w:cs="Arial"/>
        </w:rPr>
        <w:t>is under a commercial sale agreement between the RP and the wholesaler; and</w:t>
      </w:r>
    </w:p>
    <w:p w14:paraId="5FE0AA24" w14:textId="77777777" w:rsidR="0034175E" w:rsidRPr="007E0156" w:rsidRDefault="0034175E" w:rsidP="005A2644">
      <w:pPr>
        <w:numPr>
          <w:ilvl w:val="0"/>
          <w:numId w:val="30"/>
        </w:numPr>
        <w:spacing w:after="0" w:line="240" w:lineRule="auto"/>
        <w:ind w:left="720"/>
        <w:jc w:val="both"/>
        <w:rPr>
          <w:rFonts w:ascii="Arial" w:hAnsi="Arial" w:cs="Arial"/>
        </w:rPr>
      </w:pPr>
      <w:r w:rsidRPr="007E0156">
        <w:rPr>
          <w:rFonts w:ascii="Arial" w:hAnsi="Arial" w:cs="Arial"/>
        </w:rPr>
        <w:t>cannot be released from the commercial sale agreement and sold to another entity without the permission, release or other intervention by the wholesaler;</w:t>
      </w:r>
    </w:p>
    <w:p w14:paraId="48EC015E" w14:textId="783B5B4A" w:rsidR="0034175E" w:rsidRPr="007E0156" w:rsidRDefault="0034175E" w:rsidP="0034175E">
      <w:pPr>
        <w:jc w:val="both"/>
        <w:rPr>
          <w:rFonts w:ascii="Arial" w:hAnsi="Arial" w:cs="Arial"/>
        </w:rPr>
      </w:pPr>
      <w:r w:rsidRPr="007E0156">
        <w:rPr>
          <w:rFonts w:ascii="Arial" w:hAnsi="Arial" w:cs="Arial"/>
        </w:rPr>
        <w:lastRenderedPageBreak/>
        <w:t>then the stock would also not be considered to be ‘available for sale in Australia by the Responsible Person’ and as a result will not count towards the minimum stockholding requirements.</w:t>
      </w:r>
    </w:p>
    <w:p w14:paraId="3849BC61" w14:textId="459830C0" w:rsidR="00A51BC3" w:rsidRPr="003053C8" w:rsidRDefault="00743391" w:rsidP="00A51BC3">
      <w:pPr>
        <w:jc w:val="both"/>
        <w:rPr>
          <w:lang w:val="en-AU"/>
        </w:rPr>
      </w:pPr>
      <w:r>
        <w:t>T</w:t>
      </w:r>
      <w:r w:rsidR="00A51BC3">
        <w:t xml:space="preserve">he stock </w:t>
      </w:r>
      <w:r>
        <w:t xml:space="preserve">available in </w:t>
      </w:r>
      <w:r w:rsidR="003879D2">
        <w:t>wholesalers</w:t>
      </w:r>
      <w:r w:rsidR="0072300F">
        <w:t xml:space="preserve"> may be relevant</w:t>
      </w:r>
      <w:r w:rsidR="005B2323">
        <w:t xml:space="preserve"> when </w:t>
      </w:r>
      <w:r w:rsidR="0072300F">
        <w:t xml:space="preserve">the Minister </w:t>
      </w:r>
      <w:r w:rsidR="005B2323">
        <w:t>consider</w:t>
      </w:r>
      <w:r w:rsidR="0072300F">
        <w:t>s</w:t>
      </w:r>
      <w:r w:rsidR="005B2323">
        <w:t xml:space="preserve"> whether to utili</w:t>
      </w:r>
      <w:r w:rsidR="00E8417B">
        <w:t>s</w:t>
      </w:r>
      <w:r w:rsidR="005B2323">
        <w:t xml:space="preserve">e powers </w:t>
      </w:r>
      <w:r w:rsidR="00A51BC3">
        <w:rPr>
          <w:lang w:val="en-AU"/>
        </w:rPr>
        <w:t xml:space="preserve">where a breach in the stockholding requirements occur. This is further outlined in </w:t>
      </w:r>
      <w:hyperlink w:anchor="_Failure_to_comply" w:history="1">
        <w:r w:rsidR="00A51BC3" w:rsidRPr="00052178">
          <w:rPr>
            <w:rStyle w:val="Hyperlink"/>
            <w:lang w:val="en-AU"/>
          </w:rPr>
          <w:t>Section 8.2.</w:t>
        </w:r>
      </w:hyperlink>
    </w:p>
    <w:p w14:paraId="2FCA3FBB" w14:textId="77777777" w:rsidR="0034175E" w:rsidRPr="007E0156" w:rsidRDefault="0034175E" w:rsidP="0034175E">
      <w:pPr>
        <w:jc w:val="both"/>
        <w:rPr>
          <w:rFonts w:ascii="Arial" w:hAnsi="Arial" w:cs="Arial"/>
        </w:rPr>
      </w:pPr>
      <w:r w:rsidRPr="007E0156">
        <w:rPr>
          <w:rFonts w:ascii="Arial" w:hAnsi="Arial" w:cs="Arial"/>
          <w:u w:val="single"/>
        </w:rPr>
        <w:t>Stock sold on consignment</w:t>
      </w:r>
    </w:p>
    <w:p w14:paraId="6004A7C4" w14:textId="09A80AF7" w:rsidR="0034175E" w:rsidRPr="007E0156" w:rsidRDefault="0034175E" w:rsidP="0034175E">
      <w:pPr>
        <w:jc w:val="both"/>
        <w:rPr>
          <w:rFonts w:ascii="Arial" w:hAnsi="Arial" w:cs="Arial"/>
        </w:rPr>
      </w:pPr>
      <w:r w:rsidRPr="007E0156">
        <w:rPr>
          <w:rFonts w:ascii="Arial" w:hAnsi="Arial" w:cs="Arial"/>
        </w:rPr>
        <w:t>If stock is sold by an RP to a wholesaler on consignment (</w:t>
      </w:r>
      <w:r w:rsidR="00B224A9" w:rsidRPr="007E0156">
        <w:rPr>
          <w:rFonts w:ascii="Arial" w:hAnsi="Arial" w:cs="Arial"/>
        </w:rPr>
        <w:t>i.e</w:t>
      </w:r>
      <w:r w:rsidR="00B224A9" w:rsidRPr="09A3D074">
        <w:rPr>
          <w:rFonts w:ascii="Arial" w:hAnsi="Arial" w:cs="Arial"/>
        </w:rPr>
        <w:t>.</w:t>
      </w:r>
      <w:r w:rsidRPr="007E0156">
        <w:rPr>
          <w:rFonts w:ascii="Arial" w:hAnsi="Arial" w:cs="Arial"/>
        </w:rPr>
        <w:t xml:space="preserve"> where the RP is the consignor and the wholesaler is the consignee), the stock would not be considered to be ‘available for sale in Australia by the Responsible Person’ if the permission, release or intervention from the wholesaler (or someone other than the RP) is required before the stock can be sold to another entity. As a result, in these circumstances, the stock will not count towards the minimum stockholding requirements. If the wholesaler (as consignee) has agreed a standing permission for the RP to move stock around and remove it from sale by the consignee, stock will not become available for sale by the RP until the RP has exercised that right with respect to particular stock.</w:t>
      </w:r>
    </w:p>
    <w:p w14:paraId="2C346FFE" w14:textId="5D79F0E4" w:rsidR="0034175E" w:rsidRPr="007E0156" w:rsidRDefault="0034175E" w:rsidP="0034175E">
      <w:pPr>
        <w:jc w:val="both"/>
        <w:rPr>
          <w:rFonts w:ascii="Arial" w:hAnsi="Arial" w:cs="Arial"/>
        </w:rPr>
      </w:pPr>
      <w:r w:rsidRPr="007E0156">
        <w:rPr>
          <w:rFonts w:ascii="Arial" w:hAnsi="Arial" w:cs="Arial"/>
        </w:rPr>
        <w:t>If the RP holds stock that is being sold on consignment (</w:t>
      </w:r>
      <w:r w:rsidR="00B224A9" w:rsidRPr="007E0156">
        <w:rPr>
          <w:rFonts w:ascii="Arial" w:hAnsi="Arial" w:cs="Arial"/>
        </w:rPr>
        <w:t>i.e.</w:t>
      </w:r>
      <w:r w:rsidRPr="007E0156">
        <w:rPr>
          <w:rFonts w:ascii="Arial" w:hAnsi="Arial" w:cs="Arial"/>
        </w:rPr>
        <w:t xml:space="preserve"> the RP is the consignee), this stock may count towards the RP’s minimum stockholding requirement so long as they meet the other required criteria.</w:t>
      </w:r>
    </w:p>
    <w:p w14:paraId="476A5335" w14:textId="118E5440" w:rsidR="0034175E" w:rsidRPr="007E0156" w:rsidRDefault="0034175E" w:rsidP="0034175E">
      <w:pPr>
        <w:jc w:val="both"/>
        <w:rPr>
          <w:rFonts w:ascii="Arial" w:hAnsi="Arial" w:cs="Arial"/>
          <w:u w:val="single"/>
        </w:rPr>
      </w:pPr>
      <w:r w:rsidRPr="007E0156">
        <w:rPr>
          <w:rFonts w:ascii="Arial" w:hAnsi="Arial" w:cs="Arial"/>
          <w:u w:val="single"/>
        </w:rPr>
        <w:t>Stock held by third-party logistic</w:t>
      </w:r>
      <w:r w:rsidR="00B224A9">
        <w:rPr>
          <w:rFonts w:ascii="Arial" w:hAnsi="Arial" w:cs="Arial"/>
          <w:u w:val="single"/>
        </w:rPr>
        <w:t>s</w:t>
      </w:r>
      <w:r w:rsidRPr="007E0156">
        <w:rPr>
          <w:rFonts w:ascii="Arial" w:hAnsi="Arial" w:cs="Arial"/>
          <w:u w:val="single"/>
        </w:rPr>
        <w:t xml:space="preserve"> providers</w:t>
      </w:r>
    </w:p>
    <w:p w14:paraId="0676D4E9" w14:textId="5484CE88" w:rsidR="0034175E" w:rsidRPr="007E0156" w:rsidRDefault="0034175E" w:rsidP="0034175E">
      <w:pPr>
        <w:jc w:val="both"/>
      </w:pPr>
      <w:r w:rsidRPr="007E0156">
        <w:rPr>
          <w:rFonts w:ascii="Arial" w:hAnsi="Arial" w:cs="Arial"/>
        </w:rPr>
        <w:t>Stock which is kept by the RP at a third-party logistics provider’s premises and/or orders fulfilled through a third-party logistics provider will count towards the RP’s minimum stockholding requirement for the brand, where it otherwise meets the criteria above. Stock will not fall outside the criteria just because action needs to be taken by a third-party logistics provider to fulfil a purchase order placed with the RP.</w:t>
      </w:r>
    </w:p>
    <w:p w14:paraId="0ECE4C01" w14:textId="77777777" w:rsidR="009A1F29" w:rsidRDefault="009A1F29" w:rsidP="00FE7FAF">
      <w:pPr>
        <w:jc w:val="both"/>
        <w:rPr>
          <w:u w:val="single"/>
        </w:rPr>
      </w:pPr>
      <w:r w:rsidRPr="00904E12">
        <w:rPr>
          <w:u w:val="single"/>
        </w:rPr>
        <w:t>Multi-branded pharmaceutical items kept by the same RP</w:t>
      </w:r>
    </w:p>
    <w:p w14:paraId="37664C8E" w14:textId="2EF76214" w:rsidR="008069BB" w:rsidRPr="007E0156" w:rsidRDefault="00052321" w:rsidP="00FE7FAF">
      <w:pPr>
        <w:jc w:val="both"/>
      </w:pPr>
      <w:r w:rsidRPr="007E0156">
        <w:t>A</w:t>
      </w:r>
      <w:r w:rsidR="00A56932">
        <w:t>n</w:t>
      </w:r>
      <w:r w:rsidR="0017261B" w:rsidRPr="007E0156">
        <w:t xml:space="preserve"> </w:t>
      </w:r>
      <w:r w:rsidRPr="007E0156">
        <w:t>RP</w:t>
      </w:r>
      <w:r w:rsidR="0017261B" w:rsidRPr="007E0156">
        <w:t xml:space="preserve"> </w:t>
      </w:r>
      <w:r w:rsidR="00D77766" w:rsidRPr="007E0156">
        <w:t>which</w:t>
      </w:r>
      <w:r w:rsidRPr="007E0156">
        <w:t xml:space="preserve"> has multiple brands of the same pharmaceutical item must satisfy the minimum stockholding requirements for each brand and cannot </w:t>
      </w:r>
      <w:r w:rsidR="0043558E" w:rsidRPr="007E0156">
        <w:t xml:space="preserve">count stock of one brand </w:t>
      </w:r>
      <w:r w:rsidR="00642813" w:rsidRPr="007E0156">
        <w:t xml:space="preserve">towards </w:t>
      </w:r>
      <w:r w:rsidR="000F7C8A" w:rsidRPr="007E0156">
        <w:t xml:space="preserve">meeting </w:t>
      </w:r>
      <w:r w:rsidR="00642813" w:rsidRPr="007E0156">
        <w:t xml:space="preserve">the </w:t>
      </w:r>
      <w:r w:rsidRPr="007E0156">
        <w:t xml:space="preserve">minimum </w:t>
      </w:r>
      <w:r w:rsidR="00642813" w:rsidRPr="007E0156">
        <w:t>stockholding requirement</w:t>
      </w:r>
      <w:r w:rsidR="000F7C8A" w:rsidRPr="007E0156">
        <w:t xml:space="preserve"> for </w:t>
      </w:r>
      <w:r w:rsidRPr="007E0156">
        <w:t>another</w:t>
      </w:r>
      <w:r w:rsidR="000F7C8A" w:rsidRPr="007E0156">
        <w:t xml:space="preserve"> brand</w:t>
      </w:r>
      <w:r w:rsidR="00642813" w:rsidRPr="007E0156">
        <w:t>.</w:t>
      </w:r>
    </w:p>
    <w:p w14:paraId="726B6D7D" w14:textId="77777777" w:rsidR="009A1F29" w:rsidRPr="00904E12" w:rsidRDefault="009A1F29" w:rsidP="009A1F29">
      <w:pPr>
        <w:jc w:val="both"/>
        <w:rPr>
          <w:u w:val="single"/>
        </w:rPr>
      </w:pPr>
      <w:r w:rsidRPr="00904E12">
        <w:rPr>
          <w:u w:val="single"/>
        </w:rPr>
        <w:t>Brands kept in multiple packaging types</w:t>
      </w:r>
    </w:p>
    <w:p w14:paraId="6349872D" w14:textId="0E764A45" w:rsidR="00D01F4A" w:rsidRPr="007E0156" w:rsidRDefault="00302AAC" w:rsidP="00FE7FAF">
      <w:pPr>
        <w:jc w:val="both"/>
      </w:pPr>
      <w:r w:rsidRPr="007E0156">
        <w:t>Where a</w:t>
      </w:r>
      <w:r w:rsidR="00A56932">
        <w:t>n</w:t>
      </w:r>
      <w:r w:rsidRPr="007E0156">
        <w:t xml:space="preserve"> RP has a brand of pharmaceutical item which is packaged using different packaging types (e.g</w:t>
      </w:r>
      <w:r w:rsidRPr="09A3D074">
        <w:t>.</w:t>
      </w:r>
      <w:r w:rsidR="00095BC6">
        <w:t> </w:t>
      </w:r>
      <w:r w:rsidRPr="007E0156">
        <w:t>blister packs and bottles</w:t>
      </w:r>
      <w:r w:rsidR="00264EBA" w:rsidRPr="007E0156">
        <w:t>)</w:t>
      </w:r>
      <w:r w:rsidRPr="007E0156">
        <w:t>, both types of packaging can be counted towards meeting the RP’s minimum stockholding requirement if the packaged stock meets the criteria otherwise to be counted. The RP will have to disclose the number of packs in stock and the number or quantity of units in a pack for each of the different packaging types (e.g</w:t>
      </w:r>
      <w:r w:rsidRPr="09A3D074">
        <w:t>.</w:t>
      </w:r>
      <w:r w:rsidRPr="007E0156">
        <w:t xml:space="preserve"> 200 packets containing 20 capsules in each pack, and 100 bottles containing 30 capsules in each bottle).</w:t>
      </w:r>
    </w:p>
    <w:p w14:paraId="178867F3" w14:textId="779AD4C7" w:rsidR="00B33FF8" w:rsidRPr="007E0156" w:rsidRDefault="0090416C" w:rsidP="00B33FF8">
      <w:r w:rsidRPr="007E0156">
        <w:br w:type="page"/>
      </w:r>
    </w:p>
    <w:p w14:paraId="5814752A" w14:textId="77777777" w:rsidR="00653C8B" w:rsidRPr="007E0156" w:rsidRDefault="00653C8B" w:rsidP="00653C8B">
      <w:pPr>
        <w:pStyle w:val="Heading1"/>
        <w:rPr>
          <w:u w:val="single"/>
        </w:rPr>
      </w:pPr>
      <w:bookmarkStart w:id="23" w:name="_Quantity_of_stock"/>
      <w:bookmarkStart w:id="24" w:name="_Toc205482084"/>
      <w:bookmarkEnd w:id="23"/>
      <w:r w:rsidRPr="007E0156">
        <w:lastRenderedPageBreak/>
        <w:t>Quantity of stock required to be kept</w:t>
      </w:r>
      <w:bookmarkEnd w:id="24"/>
    </w:p>
    <w:p w14:paraId="4D98841A" w14:textId="1050E124" w:rsidR="00B33FF8" w:rsidRPr="007E0156" w:rsidRDefault="00B33FF8" w:rsidP="00B33FF8">
      <w:pPr>
        <w:jc w:val="both"/>
        <w:rPr>
          <w:i/>
          <w:iCs/>
        </w:rPr>
      </w:pPr>
      <w:r w:rsidRPr="00B83042">
        <w:t>As discussed in</w:t>
      </w:r>
      <w:r w:rsidR="00383B0C" w:rsidRPr="00B83042">
        <w:t xml:space="preserve"> </w:t>
      </w:r>
      <w:hyperlink w:anchor="_Minimum_stockholding_requirements">
        <w:r w:rsidR="00383B0C" w:rsidRPr="00B83042">
          <w:rPr>
            <w:rStyle w:val="Hyperlink"/>
          </w:rPr>
          <w:t>Section 2.2</w:t>
        </w:r>
      </w:hyperlink>
      <w:r w:rsidRPr="00B83042">
        <w:t>, the quantity of stock that is required to be kept by a</w:t>
      </w:r>
      <w:r w:rsidR="00A56932" w:rsidRPr="00B83042">
        <w:t>n</w:t>
      </w:r>
      <w:r w:rsidRPr="00B83042">
        <w:t xml:space="preserve"> RP is set by reference to the ‘usual demand’ for the brand of pharmaceutical item. </w:t>
      </w:r>
      <w:r w:rsidR="00B65192" w:rsidRPr="00B83042">
        <w:t>‘</w:t>
      </w:r>
      <w:r w:rsidRPr="00B83042">
        <w:t>Usual demand</w:t>
      </w:r>
      <w:r w:rsidR="00B65192" w:rsidRPr="00B83042">
        <w:t>’</w:t>
      </w:r>
      <w:r w:rsidRPr="00B83042">
        <w:t xml:space="preserve"> is defined in s85B of the Regulations as follows</w:t>
      </w:r>
      <w:r w:rsidRPr="00B83042">
        <w:rPr>
          <w:rStyle w:val="CommentReference"/>
          <w:i/>
          <w:iCs/>
        </w:rPr>
        <w:t>:</w:t>
      </w:r>
    </w:p>
    <w:p w14:paraId="6F10C9FC" w14:textId="77777777" w:rsidR="00B33FF8" w:rsidRPr="007E0156" w:rsidRDefault="00B33FF8" w:rsidP="00B33FF8">
      <w:pPr>
        <w:ind w:left="720"/>
        <w:jc w:val="both"/>
      </w:pPr>
      <w:r w:rsidRPr="007E0156">
        <w:rPr>
          <w:i/>
          <w:iCs/>
        </w:rPr>
        <w:t xml:space="preserve">[T]he </w:t>
      </w:r>
      <w:r w:rsidRPr="007E0156">
        <w:rPr>
          <w:b/>
          <w:bCs/>
          <w:i/>
          <w:iCs/>
        </w:rPr>
        <w:t>usual demand</w:t>
      </w:r>
      <w:r w:rsidRPr="007E0156">
        <w:rPr>
          <w:i/>
          <w:iCs/>
        </w:rPr>
        <w:t xml:space="preserve"> for a brand of a pharmaceutical item for a month in a data collection period for that brand is the number of packs of the brand supplied during the data collection period (the </w:t>
      </w:r>
      <w:r w:rsidRPr="007E0156">
        <w:rPr>
          <w:b/>
          <w:bCs/>
          <w:i/>
          <w:iCs/>
        </w:rPr>
        <w:t>reference period</w:t>
      </w:r>
      <w:r w:rsidRPr="007E0156">
        <w:rPr>
          <w:i/>
          <w:iCs/>
        </w:rPr>
        <w:t>) before the previous data collection period for the brand, divided by the number of months in the reference period</w:t>
      </w:r>
      <w:r w:rsidRPr="007E0156">
        <w:t>.</w:t>
      </w:r>
    </w:p>
    <w:p w14:paraId="3DFCFCE5" w14:textId="77777777" w:rsidR="00097CB5" w:rsidRDefault="00097CB5" w:rsidP="00B33FF8">
      <w:pPr>
        <w:jc w:val="both"/>
      </w:pPr>
      <w:r>
        <w:t>Usual demand is expressed as a number of packs</w:t>
      </w:r>
      <w:r w:rsidR="00B617CF">
        <w:t xml:space="preserve">, with the pack size </w:t>
      </w:r>
      <w:r>
        <w:t xml:space="preserve">equal to the pricing quantity </w:t>
      </w:r>
      <w:r w:rsidR="00B617CF">
        <w:t xml:space="preserve">for the brand. </w:t>
      </w:r>
      <w:r w:rsidR="00FA33E8">
        <w:t xml:space="preserve">See </w:t>
      </w:r>
      <w:hyperlink w:anchor="Section_3" w:history="1">
        <w:r w:rsidR="00FA33E8" w:rsidRPr="005C013D">
          <w:rPr>
            <w:rStyle w:val="Hyperlink"/>
          </w:rPr>
          <w:t>Section 3</w:t>
        </w:r>
      </w:hyperlink>
      <w:r w:rsidR="00FA33E8">
        <w:t xml:space="preserve"> above for </w:t>
      </w:r>
      <w:r w:rsidR="00832509">
        <w:t>how the total quantity of stock held by an RP is calculated, where s</w:t>
      </w:r>
      <w:r w:rsidR="00801AF0">
        <w:t>tock is held in pack sizes other than the pricing quantity</w:t>
      </w:r>
      <w:r w:rsidR="00832509">
        <w:t>.</w:t>
      </w:r>
    </w:p>
    <w:p w14:paraId="7221C201" w14:textId="1D5ABB20" w:rsidR="00B33FF8" w:rsidRPr="007E0156" w:rsidRDefault="001D5C84" w:rsidP="00B33FF8">
      <w:pPr>
        <w:jc w:val="both"/>
      </w:pPr>
      <w:r>
        <w:t>F</w:t>
      </w:r>
      <w:r w:rsidR="00FE1EF6" w:rsidRPr="09A3D074">
        <w:t>or</w:t>
      </w:r>
      <w:r w:rsidR="00FE1EF6" w:rsidRPr="007E0156">
        <w:t xml:space="preserve"> brands of pharmaceutical items subject to minimum stockholding requirements, </w:t>
      </w:r>
      <w:r w:rsidR="00B33FF8" w:rsidRPr="007E0156">
        <w:t>RPs are required to keep in stock 4 or 6 months’ ‘usual demand’, depending on whether the AEMP of the brand has been increased on or after 1 July 2022</w:t>
      </w:r>
      <w:r w:rsidR="00FE1EF6" w:rsidRPr="007E0156">
        <w:t xml:space="preserve"> (s99AEKC of the Act)</w:t>
      </w:r>
      <w:r w:rsidR="00B33FF8" w:rsidRPr="007E0156">
        <w:t>.</w:t>
      </w:r>
      <w:r w:rsidR="00253859">
        <w:t xml:space="preserve"> Where other brands of a pharmaceutical item have received a price increase on or after 1 July 2022 and a brand which subsequently lists is determined as a designated brand, the Minister will generally make a determination of 6 months usual demand/usual PBS demand</w:t>
      </w:r>
      <w:r w:rsidR="00215E0A">
        <w:t xml:space="preserve"> for that brand</w:t>
      </w:r>
      <w:r w:rsidR="00DC2D0E">
        <w:t>.</w:t>
      </w:r>
    </w:p>
    <w:p w14:paraId="141C8B24" w14:textId="46269B99" w:rsidR="00B33FF8" w:rsidRPr="007E0156" w:rsidRDefault="00D82378" w:rsidP="00B33FF8">
      <w:pPr>
        <w:jc w:val="both"/>
      </w:pPr>
      <w:r w:rsidRPr="007E0156">
        <w:t>‘</w:t>
      </w:r>
      <w:r w:rsidR="00630534" w:rsidRPr="007E0156">
        <w:t>Usual demand</w:t>
      </w:r>
      <w:r w:rsidRPr="007E0156">
        <w:t>’</w:t>
      </w:r>
      <w:r w:rsidR="00630534" w:rsidRPr="007E0156">
        <w:t xml:space="preserve"> calculations are based </w:t>
      </w:r>
      <w:r w:rsidR="00372C2B" w:rsidRPr="007E0156">
        <w:t>on</w:t>
      </w:r>
      <w:r w:rsidR="00630534" w:rsidRPr="007E0156">
        <w:t xml:space="preserve"> price disclosure data where available</w:t>
      </w:r>
      <w:r w:rsidR="00372C2B" w:rsidRPr="007E0156">
        <w:t>, unless there is a minimum stockholding determination</w:t>
      </w:r>
      <w:r w:rsidR="00B80BE6" w:rsidRPr="007E0156">
        <w:t xml:space="preserve"> </w:t>
      </w:r>
      <w:r w:rsidR="00372C2B" w:rsidRPr="007E0156">
        <w:t>of a different amount</w:t>
      </w:r>
      <w:r w:rsidR="00630534" w:rsidRPr="007E0156">
        <w:t xml:space="preserve">. </w:t>
      </w:r>
      <w:r w:rsidR="00B33FF8" w:rsidRPr="007E0156">
        <w:t xml:space="preserve">This Section expands on how </w:t>
      </w:r>
      <w:r w:rsidR="00B65192">
        <w:t>‘</w:t>
      </w:r>
      <w:r w:rsidR="00B33FF8" w:rsidRPr="007E0156">
        <w:t>usual demand</w:t>
      </w:r>
      <w:r w:rsidR="00B65192">
        <w:t>’</w:t>
      </w:r>
      <w:r w:rsidR="00B33FF8" w:rsidRPr="007E0156">
        <w:t xml:space="preserve"> </w:t>
      </w:r>
      <w:r w:rsidR="006822E1">
        <w:t>is</w:t>
      </w:r>
      <w:r w:rsidR="00B33FF8" w:rsidRPr="007E0156">
        <w:t xml:space="preserve"> calculated in various circumstances, including:</w:t>
      </w:r>
    </w:p>
    <w:p w14:paraId="2F219E95" w14:textId="5155EAB7" w:rsidR="001A3DC4" w:rsidRDefault="009A3B1F" w:rsidP="005A2644">
      <w:pPr>
        <w:pStyle w:val="ListParagraph"/>
        <w:numPr>
          <w:ilvl w:val="0"/>
          <w:numId w:val="27"/>
        </w:numPr>
        <w:jc w:val="both"/>
      </w:pPr>
      <w:r>
        <w:t>D</w:t>
      </w:r>
      <w:r w:rsidR="001A3DC4">
        <w:t>emand variation</w:t>
      </w:r>
    </w:p>
    <w:p w14:paraId="26129169" w14:textId="51FF32DA" w:rsidR="00B33FF8" w:rsidRPr="007E0156" w:rsidRDefault="009A3B1F" w:rsidP="005A2644">
      <w:pPr>
        <w:pStyle w:val="ListParagraph"/>
        <w:numPr>
          <w:ilvl w:val="0"/>
          <w:numId w:val="27"/>
        </w:numPr>
        <w:jc w:val="both"/>
      </w:pPr>
      <w:r>
        <w:t>C</w:t>
      </w:r>
      <w:r w:rsidR="00B33FF8" w:rsidRPr="007E0156">
        <w:t>hanges in pricing quantity between the reference period and the current period (</w:t>
      </w:r>
      <w:hyperlink w:anchor="_Calculation_of_usual" w:history="1">
        <w:r w:rsidR="00B33FF8" w:rsidRPr="007E0156">
          <w:rPr>
            <w:rStyle w:val="Hyperlink"/>
          </w:rPr>
          <w:t>Section 4.1</w:t>
        </w:r>
      </w:hyperlink>
      <w:r w:rsidR="00B33FF8" w:rsidRPr="007E0156">
        <w:t>)</w:t>
      </w:r>
    </w:p>
    <w:p w14:paraId="31613EDD" w14:textId="524D6D12" w:rsidR="00B33FF8" w:rsidRPr="007E0156" w:rsidRDefault="009A3B1F" w:rsidP="005A2644">
      <w:pPr>
        <w:pStyle w:val="ListParagraph"/>
        <w:numPr>
          <w:ilvl w:val="0"/>
          <w:numId w:val="27"/>
        </w:numPr>
        <w:jc w:val="both"/>
      </w:pPr>
      <w:r>
        <w:t>V</w:t>
      </w:r>
      <w:r w:rsidR="00B33FF8" w:rsidRPr="007E0156">
        <w:t>ariations in the length of the reference period and associated availability of PD data (</w:t>
      </w:r>
      <w:hyperlink w:anchor="_Calculation_of_usual_1" w:history="1">
        <w:r w:rsidR="00B33FF8" w:rsidRPr="007E0156">
          <w:rPr>
            <w:rStyle w:val="Hyperlink"/>
          </w:rPr>
          <w:t>Section 4.2</w:t>
        </w:r>
      </w:hyperlink>
      <w:r w:rsidR="00B33FF8" w:rsidRPr="007E0156">
        <w:t>)</w:t>
      </w:r>
    </w:p>
    <w:p w14:paraId="7AB57654" w14:textId="5D00070D" w:rsidR="00B33FF8" w:rsidRPr="007E0156" w:rsidRDefault="009A3B1F" w:rsidP="005A2644">
      <w:pPr>
        <w:pStyle w:val="ListParagraph"/>
        <w:numPr>
          <w:ilvl w:val="0"/>
          <w:numId w:val="27"/>
        </w:numPr>
        <w:jc w:val="both"/>
      </w:pPr>
      <w:r>
        <w:t>D</w:t>
      </w:r>
      <w:r w:rsidR="00B33FF8" w:rsidRPr="007E0156">
        <w:t>etermination of ‘another quantity’ in instances where reference period data is not available (</w:t>
      </w:r>
      <w:hyperlink w:anchor="_Determination_of_‘another" w:history="1">
        <w:r w:rsidR="00B33FF8" w:rsidRPr="007E0156">
          <w:rPr>
            <w:rStyle w:val="Hyperlink"/>
          </w:rPr>
          <w:t>Section</w:t>
        </w:r>
        <w:bookmarkStart w:id="25" w:name="_Hlt107502165"/>
        <w:r w:rsidR="00B33FF8" w:rsidRPr="007E0156">
          <w:rPr>
            <w:rStyle w:val="Hyperlink"/>
          </w:rPr>
          <w:t xml:space="preserve"> </w:t>
        </w:r>
        <w:bookmarkEnd w:id="25"/>
        <w:r w:rsidR="00B33FF8" w:rsidRPr="007E0156">
          <w:rPr>
            <w:rStyle w:val="Hyperlink"/>
          </w:rPr>
          <w:t>4.3</w:t>
        </w:r>
      </w:hyperlink>
      <w:r w:rsidR="00B33FF8" w:rsidRPr="007E0156">
        <w:t>)</w:t>
      </w:r>
    </w:p>
    <w:p w14:paraId="1E8970C0" w14:textId="6722E827" w:rsidR="00B33FF8" w:rsidRPr="007E0156" w:rsidRDefault="009A3B1F" w:rsidP="005A2644">
      <w:pPr>
        <w:pStyle w:val="ListParagraph"/>
        <w:numPr>
          <w:ilvl w:val="0"/>
          <w:numId w:val="27"/>
        </w:numPr>
        <w:jc w:val="both"/>
      </w:pPr>
      <w:r>
        <w:t>W</w:t>
      </w:r>
      <w:r w:rsidR="00B33FF8" w:rsidRPr="007E0156">
        <w:t>hen a brand is approved to be de-listed (</w:t>
      </w:r>
      <w:hyperlink w:anchor="_Minimum_stockholding_requirements_1" w:history="1">
        <w:r w:rsidR="00B33FF8" w:rsidRPr="007E0156">
          <w:rPr>
            <w:rStyle w:val="Hyperlink"/>
          </w:rPr>
          <w:t>Section</w:t>
        </w:r>
        <w:bookmarkStart w:id="26" w:name="_Hlt107502172"/>
        <w:r w:rsidR="00B33FF8" w:rsidRPr="007E0156">
          <w:rPr>
            <w:rStyle w:val="Hyperlink"/>
          </w:rPr>
          <w:t xml:space="preserve"> </w:t>
        </w:r>
        <w:bookmarkEnd w:id="26"/>
        <w:r w:rsidR="00B33FF8" w:rsidRPr="007E0156">
          <w:rPr>
            <w:rStyle w:val="Hyperlink"/>
          </w:rPr>
          <w:t>4.4</w:t>
        </w:r>
      </w:hyperlink>
      <w:r w:rsidR="00B33FF8" w:rsidRPr="007E0156">
        <w:t>)</w:t>
      </w:r>
    </w:p>
    <w:p w14:paraId="19B72F86" w14:textId="110A9859" w:rsidR="00B33FF8" w:rsidRPr="007E0156" w:rsidRDefault="009A3B1F" w:rsidP="005A2644">
      <w:pPr>
        <w:pStyle w:val="ListParagraph"/>
        <w:numPr>
          <w:ilvl w:val="0"/>
          <w:numId w:val="27"/>
        </w:numPr>
        <w:jc w:val="both"/>
      </w:pPr>
      <w:r>
        <w:t>W</w:t>
      </w:r>
      <w:r w:rsidR="00B33FF8" w:rsidRPr="007E0156">
        <w:t>hen a brand subsequently re-lists following de-listing (</w:t>
      </w:r>
      <w:hyperlink w:anchor="_Usual_demand_calculated">
        <w:r w:rsidR="00B33FF8" w:rsidRPr="09A3D074">
          <w:rPr>
            <w:rStyle w:val="Hyperlink"/>
          </w:rPr>
          <w:t>Section 4.5</w:t>
        </w:r>
      </w:hyperlink>
      <w:r w:rsidR="00B33FF8" w:rsidRPr="007E0156">
        <w:t>).</w:t>
      </w:r>
    </w:p>
    <w:p w14:paraId="1C4DF714" w14:textId="77777777" w:rsidR="001D05EE" w:rsidRPr="002F4104" w:rsidRDefault="001D05EE" w:rsidP="001D05EE">
      <w:pPr>
        <w:pStyle w:val="Heading2"/>
      </w:pPr>
      <w:bookmarkStart w:id="27" w:name="_Calculation_of_usual"/>
      <w:bookmarkStart w:id="28" w:name="_Calculation_of_‘usual"/>
      <w:bookmarkStart w:id="29" w:name="_Toc205482085"/>
      <w:bookmarkEnd w:id="27"/>
      <w:bookmarkEnd w:id="28"/>
      <w:r w:rsidRPr="002F4104">
        <w:t>Demand Variation</w:t>
      </w:r>
      <w:bookmarkEnd w:id="29"/>
    </w:p>
    <w:p w14:paraId="760C8B09" w14:textId="77777777" w:rsidR="001D05EE" w:rsidRPr="002F4104" w:rsidRDefault="001D05EE" w:rsidP="001D05EE">
      <w:pPr>
        <w:jc w:val="both"/>
      </w:pPr>
      <w:r w:rsidRPr="002F4104">
        <w:t xml:space="preserve">Usual demand in the reference period may be different to the </w:t>
      </w:r>
      <w:r w:rsidR="001A3DC4">
        <w:t>RP</w:t>
      </w:r>
      <w:r w:rsidR="001731C6">
        <w:t>’</w:t>
      </w:r>
      <w:r w:rsidR="001A3DC4">
        <w:t>s</w:t>
      </w:r>
      <w:r w:rsidRPr="002F4104">
        <w:t xml:space="preserve"> forecasted sales for the stockholding period. This may occur for a variety of reasons including:</w:t>
      </w:r>
    </w:p>
    <w:p w14:paraId="5A3ED121" w14:textId="6C8BF35A" w:rsidR="001D05EE" w:rsidRPr="002F4104" w:rsidRDefault="009A3B1F" w:rsidP="005A2644">
      <w:pPr>
        <w:pStyle w:val="ListParagraph"/>
        <w:numPr>
          <w:ilvl w:val="0"/>
          <w:numId w:val="27"/>
        </w:numPr>
        <w:jc w:val="both"/>
      </w:pPr>
      <w:r>
        <w:t>I</w:t>
      </w:r>
      <w:r w:rsidR="001D05EE" w:rsidRPr="002F4104">
        <w:t>nflated demand in the reference period due to a competitor being out-of-stock</w:t>
      </w:r>
    </w:p>
    <w:p w14:paraId="36E9B861" w14:textId="38F57D88" w:rsidR="001D05EE" w:rsidRPr="002F4104" w:rsidRDefault="009A3B1F" w:rsidP="005A2644">
      <w:pPr>
        <w:pStyle w:val="ListParagraph"/>
        <w:numPr>
          <w:ilvl w:val="0"/>
          <w:numId w:val="27"/>
        </w:numPr>
        <w:jc w:val="both"/>
      </w:pPr>
      <w:r>
        <w:t>R</w:t>
      </w:r>
      <w:r w:rsidR="001D05EE" w:rsidRPr="002F4104">
        <w:t>educed demand in the stockholding period due to loss of a significant supply contract</w:t>
      </w:r>
    </w:p>
    <w:p w14:paraId="3F532F77" w14:textId="1AC55B29" w:rsidR="001D05EE" w:rsidRPr="002F4104" w:rsidRDefault="009A3B1F" w:rsidP="005A2644">
      <w:pPr>
        <w:pStyle w:val="ListParagraph"/>
        <w:numPr>
          <w:ilvl w:val="0"/>
          <w:numId w:val="27"/>
        </w:numPr>
        <w:jc w:val="both"/>
      </w:pPr>
      <w:r>
        <w:t>R</w:t>
      </w:r>
      <w:r w:rsidR="001D05EE" w:rsidRPr="002F4104">
        <w:t>educed demand in the reference period due to a medicine shortage</w:t>
      </w:r>
      <w:r w:rsidR="005E2EAA">
        <w:t>.</w:t>
      </w:r>
    </w:p>
    <w:p w14:paraId="7550B3FB" w14:textId="262947A3" w:rsidR="001D05EE" w:rsidRPr="002F4104" w:rsidRDefault="00791C75" w:rsidP="001D05EE">
      <w:pPr>
        <w:jc w:val="both"/>
      </w:pPr>
      <w:r w:rsidRPr="00B83042">
        <w:t xml:space="preserve">The calculation of usual demand does not </w:t>
      </w:r>
      <w:r w:rsidR="0066787E" w:rsidRPr="00B83042">
        <w:t>take into account</w:t>
      </w:r>
      <w:r w:rsidR="00834A14" w:rsidRPr="00B83042">
        <w:t xml:space="preserve"> </w:t>
      </w:r>
      <w:r w:rsidR="00377F30" w:rsidRPr="00B83042">
        <w:t xml:space="preserve">future demand forecasts as </w:t>
      </w:r>
      <w:r w:rsidR="00E42069" w:rsidRPr="00B83042">
        <w:t xml:space="preserve">these </w:t>
      </w:r>
      <w:r w:rsidR="00720300" w:rsidRPr="00B83042">
        <w:t>will vary between RPs and are likely to be subject to interpretation</w:t>
      </w:r>
      <w:r w:rsidR="00C9510D" w:rsidRPr="00B83042">
        <w:t xml:space="preserve"> and commercial </w:t>
      </w:r>
      <w:r w:rsidR="00834A14" w:rsidRPr="00B83042">
        <w:t>considerations</w:t>
      </w:r>
      <w:r w:rsidR="00720300" w:rsidRPr="00B83042">
        <w:t>.</w:t>
      </w:r>
      <w:r w:rsidR="00720300">
        <w:t xml:space="preserve"> </w:t>
      </w:r>
      <w:r w:rsidR="00FB24E0" w:rsidRPr="00FB24E0">
        <w:t>Basing usual demand calculat</w:t>
      </w:r>
      <w:r w:rsidR="00FB24E0">
        <w:t>ions</w:t>
      </w:r>
      <w:r w:rsidR="00FB24E0" w:rsidRPr="00FB24E0">
        <w:t xml:space="preserve"> </w:t>
      </w:r>
      <w:r w:rsidR="00FB24E0">
        <w:t>on</w:t>
      </w:r>
      <w:r w:rsidR="00FB24E0" w:rsidRPr="00FB24E0">
        <w:t xml:space="preserve"> </w:t>
      </w:r>
      <w:r w:rsidR="00DB0D6C">
        <w:t xml:space="preserve">historical </w:t>
      </w:r>
      <w:r w:rsidR="00FB24E0" w:rsidRPr="00FB24E0">
        <w:t xml:space="preserve">supply volumes provided through price disclosure </w:t>
      </w:r>
      <w:r w:rsidR="00FB24E0">
        <w:t xml:space="preserve">(or PBS dispensing </w:t>
      </w:r>
      <w:r w:rsidR="00FB24E0">
        <w:lastRenderedPageBreak/>
        <w:t>volumes)</w:t>
      </w:r>
      <w:r w:rsidR="00FB24E0" w:rsidRPr="00FB24E0">
        <w:t xml:space="preserve"> provides a rational, concrete</w:t>
      </w:r>
      <w:r w:rsidR="00FB24E0">
        <w:t xml:space="preserve"> and consistent approach f</w:t>
      </w:r>
      <w:r w:rsidR="00FB24E0" w:rsidRPr="00FB24E0">
        <w:t>or the minimum stockholding requirements to be calculated</w:t>
      </w:r>
      <w:r w:rsidR="00FB24E0">
        <w:t xml:space="preserve">. </w:t>
      </w:r>
      <w:r w:rsidR="001D05EE" w:rsidRPr="002F4104">
        <w:t xml:space="preserve">Under section 99AEKB of the Act, the </w:t>
      </w:r>
      <w:r w:rsidR="001A3DC4">
        <w:t>RP</w:t>
      </w:r>
      <w:r w:rsidR="001D05EE" w:rsidRPr="002F4104">
        <w:t xml:space="preserve"> must comply with the applicable quantity calculated under the Act and Regulations despite this</w:t>
      </w:r>
      <w:r w:rsidR="00C45BF0">
        <w:t xml:space="preserve"> potentially</w:t>
      </w:r>
      <w:r w:rsidR="001D05EE" w:rsidRPr="002F4104">
        <w:t xml:space="preserve"> being different from forecasted sales.</w:t>
      </w:r>
    </w:p>
    <w:p w14:paraId="34159686" w14:textId="33B2BD55" w:rsidR="001D05EE" w:rsidRPr="002F4104" w:rsidRDefault="003924FD" w:rsidP="00F06695">
      <w:pPr>
        <w:keepNext/>
        <w:jc w:val="both"/>
      </w:pPr>
      <w:r>
        <w:t>In some situations (e.g. i</w:t>
      </w:r>
      <w:r w:rsidR="001D05EE" w:rsidRPr="002F4104">
        <w:t>f a medicine has short shelf-life or</w:t>
      </w:r>
      <w:r>
        <w:t xml:space="preserve"> if</w:t>
      </w:r>
      <w:r w:rsidR="001D05EE" w:rsidRPr="002F4104">
        <w:t xml:space="preserve"> the magnitude of demand variation is large enough</w:t>
      </w:r>
      <w:r>
        <w:t>)</w:t>
      </w:r>
      <w:r w:rsidR="001D05EE" w:rsidRPr="002F4104">
        <w:t xml:space="preserve">, </w:t>
      </w:r>
      <w:r>
        <w:t>an</w:t>
      </w:r>
      <w:r w:rsidR="001D05EE" w:rsidRPr="002F4104">
        <w:t xml:space="preserve"> </w:t>
      </w:r>
      <w:r w:rsidR="001A3DC4">
        <w:t>RP</w:t>
      </w:r>
      <w:r w:rsidR="001D05EE" w:rsidRPr="002F4104">
        <w:t xml:space="preserve"> might</w:t>
      </w:r>
      <w:r>
        <w:t xml:space="preserve"> be at risk of</w:t>
      </w:r>
      <w:r w:rsidR="001D05EE" w:rsidRPr="002F4104">
        <w:t xml:space="preserve"> wast</w:t>
      </w:r>
      <w:r>
        <w:t>ing</w:t>
      </w:r>
      <w:r w:rsidR="001D05EE" w:rsidRPr="002F4104">
        <w:t xml:space="preserve"> stock </w:t>
      </w:r>
      <w:r>
        <w:t xml:space="preserve">by </w:t>
      </w:r>
      <w:r w:rsidR="001D05EE" w:rsidRPr="002F4104">
        <w:t>compl</w:t>
      </w:r>
      <w:r>
        <w:t>ying</w:t>
      </w:r>
      <w:r w:rsidR="001D05EE" w:rsidRPr="002F4104">
        <w:t xml:space="preserve"> with the MSR. </w:t>
      </w:r>
      <w:r w:rsidR="00922B74">
        <w:t xml:space="preserve">Substantial demand variation is dealt through the </w:t>
      </w:r>
      <w:r w:rsidR="007A785F">
        <w:t>d</w:t>
      </w:r>
      <w:r w:rsidR="00922B74">
        <w:t>epartment</w:t>
      </w:r>
      <w:r w:rsidR="00DE3308">
        <w:t>’</w:t>
      </w:r>
      <w:r w:rsidR="00922B74">
        <w:t xml:space="preserve">s </w:t>
      </w:r>
      <w:hyperlink w:anchor="_Approach_to_non-compliance" w:history="1">
        <w:r w:rsidR="00922B74" w:rsidRPr="00922B74">
          <w:rPr>
            <w:rStyle w:val="Hyperlink"/>
          </w:rPr>
          <w:t>approach to non-compliance</w:t>
        </w:r>
      </w:hyperlink>
      <w:r w:rsidR="00922B74">
        <w:t xml:space="preserve">. </w:t>
      </w:r>
      <w:r w:rsidR="001D05EE" w:rsidRPr="002F4104">
        <w:t>If a</w:t>
      </w:r>
      <w:r w:rsidR="00A56932">
        <w:t>n</w:t>
      </w:r>
      <w:r w:rsidR="001D05EE" w:rsidRPr="002F4104">
        <w:t xml:space="preserve"> </w:t>
      </w:r>
      <w:r w:rsidR="001A3DC4">
        <w:t>RP</w:t>
      </w:r>
      <w:r w:rsidR="001D05EE" w:rsidRPr="002F4104">
        <w:t xml:space="preserve"> anticipates </w:t>
      </w:r>
      <w:r>
        <w:t xml:space="preserve">that compliance with </w:t>
      </w:r>
      <w:r w:rsidR="001D05EE" w:rsidRPr="002F4104">
        <w:t xml:space="preserve">the MSR will result in wastage, it should notify the </w:t>
      </w:r>
      <w:r w:rsidR="007A785F">
        <w:t>d</w:t>
      </w:r>
      <w:r w:rsidR="001D05EE" w:rsidRPr="002F4104">
        <w:t xml:space="preserve">epartment, and include the following information to facilitate </w:t>
      </w:r>
      <w:r w:rsidR="007368F1">
        <w:t xml:space="preserve">any later </w:t>
      </w:r>
      <w:r w:rsidR="001D05EE" w:rsidRPr="002F4104">
        <w:t>assessment by the Minister of whether the reasons for a</w:t>
      </w:r>
      <w:r w:rsidR="009800BC">
        <w:t xml:space="preserve"> </w:t>
      </w:r>
      <w:r w:rsidR="001D05EE" w:rsidRPr="002F4104">
        <w:t xml:space="preserve">breach </w:t>
      </w:r>
      <w:r>
        <w:t xml:space="preserve">by the RP </w:t>
      </w:r>
      <w:r w:rsidR="001D05EE" w:rsidRPr="002F4104">
        <w:t>of the MSR are reasonable:</w:t>
      </w:r>
    </w:p>
    <w:p w14:paraId="3B3C73B6" w14:textId="5D62FF72" w:rsidR="001D05EE" w:rsidRPr="002F4104" w:rsidRDefault="009A3B1F" w:rsidP="005A2644">
      <w:pPr>
        <w:pStyle w:val="ListParagraph"/>
        <w:numPr>
          <w:ilvl w:val="0"/>
          <w:numId w:val="27"/>
        </w:numPr>
        <w:jc w:val="both"/>
      </w:pPr>
      <w:r>
        <w:t>T</w:t>
      </w:r>
      <w:r w:rsidR="001D05EE" w:rsidRPr="002F4104">
        <w:t>he cause for inflated demand in the reference period or for reduced demand in the stockholding period</w:t>
      </w:r>
    </w:p>
    <w:p w14:paraId="192FEF93" w14:textId="13F150CF" w:rsidR="001D05EE" w:rsidRPr="002F4104" w:rsidRDefault="009A3B1F" w:rsidP="005A2644">
      <w:pPr>
        <w:pStyle w:val="ListParagraph"/>
        <w:numPr>
          <w:ilvl w:val="0"/>
          <w:numId w:val="27"/>
        </w:numPr>
        <w:jc w:val="both"/>
      </w:pPr>
      <w:r>
        <w:t>S</w:t>
      </w:r>
      <w:r w:rsidR="001D05EE" w:rsidRPr="002F4104">
        <w:t>helf-life of the brand</w:t>
      </w:r>
    </w:p>
    <w:p w14:paraId="5F06A7CD" w14:textId="79F9EE55" w:rsidR="001D05EE" w:rsidRPr="002F4104" w:rsidRDefault="009A3B1F" w:rsidP="005A2644">
      <w:pPr>
        <w:pStyle w:val="ListParagraph"/>
        <w:numPr>
          <w:ilvl w:val="0"/>
          <w:numId w:val="27"/>
        </w:numPr>
        <w:jc w:val="both"/>
      </w:pPr>
      <w:r>
        <w:t>F</w:t>
      </w:r>
      <w:r w:rsidR="001D05EE" w:rsidRPr="002F4104">
        <w:t>orecasted demand expressed as a number of packs per month</w:t>
      </w:r>
    </w:p>
    <w:p w14:paraId="1D6055AA" w14:textId="20D6E4E6" w:rsidR="001D05EE" w:rsidRPr="002F4104" w:rsidRDefault="009A3B1F" w:rsidP="005A2644">
      <w:pPr>
        <w:pStyle w:val="ListParagraph"/>
        <w:numPr>
          <w:ilvl w:val="0"/>
          <w:numId w:val="27"/>
        </w:numPr>
        <w:jc w:val="both"/>
      </w:pPr>
      <w:r>
        <w:t>T</w:t>
      </w:r>
      <w:r w:rsidR="001D05EE" w:rsidRPr="002F4104">
        <w:t>he forecasted quantity of wastage if the minimum stockholding requirement were complied with</w:t>
      </w:r>
    </w:p>
    <w:p w14:paraId="13C32DB5" w14:textId="094EA8AC" w:rsidR="001D05EE" w:rsidRPr="002F4104" w:rsidRDefault="009A3B1F" w:rsidP="005A2644">
      <w:pPr>
        <w:pStyle w:val="ListParagraph"/>
        <w:numPr>
          <w:ilvl w:val="0"/>
          <w:numId w:val="27"/>
        </w:numPr>
        <w:jc w:val="both"/>
      </w:pPr>
      <w:r>
        <w:t>D</w:t>
      </w:r>
      <w:r w:rsidR="001D05EE" w:rsidRPr="002F4104">
        <w:t>etails of the quantity of stock that can be held in the stockholding period without inducing wastage</w:t>
      </w:r>
      <w:r w:rsidR="003924FD">
        <w:t>.</w:t>
      </w:r>
    </w:p>
    <w:p w14:paraId="41BD2F27" w14:textId="1FA85658" w:rsidR="001D05EE" w:rsidRPr="002F4104" w:rsidRDefault="00DE3308" w:rsidP="001D05EE">
      <w:pPr>
        <w:jc w:val="both"/>
        <w:rPr>
          <w:lang w:val="en-AU"/>
        </w:rPr>
      </w:pPr>
      <w:r>
        <w:rPr>
          <w:lang w:val="en-AU"/>
        </w:rPr>
        <w:t>RPs</w:t>
      </w:r>
      <w:r w:rsidR="001D05EE" w:rsidRPr="002F4104">
        <w:rPr>
          <w:lang w:val="en-AU"/>
        </w:rPr>
        <w:t xml:space="preserve"> are encouraged to contact the </w:t>
      </w:r>
      <w:r w:rsidR="007A785F">
        <w:rPr>
          <w:lang w:val="en-AU"/>
        </w:rPr>
        <w:t>d</w:t>
      </w:r>
      <w:r w:rsidR="001D05EE" w:rsidRPr="002F4104">
        <w:rPr>
          <w:lang w:val="en-AU"/>
        </w:rPr>
        <w:t>epartment (</w:t>
      </w:r>
      <w:hyperlink r:id="rId24" w:history="1">
        <w:r w:rsidR="001D05EE" w:rsidRPr="002F4104">
          <w:rPr>
            <w:rStyle w:val="Hyperlink"/>
            <w:lang w:val="en-AU"/>
          </w:rPr>
          <w:t>pbsstockholding@health.gov.au</w:t>
        </w:r>
      </w:hyperlink>
      <w:r w:rsidR="001D05EE" w:rsidRPr="002F4104">
        <w:rPr>
          <w:lang w:val="en-AU"/>
        </w:rPr>
        <w:t xml:space="preserve">) if they are, or will be, impacted by major changes to the </w:t>
      </w:r>
      <w:r>
        <w:rPr>
          <w:lang w:val="en-AU"/>
        </w:rPr>
        <w:t>RP</w:t>
      </w:r>
      <w:r w:rsidR="00796342">
        <w:rPr>
          <w:lang w:val="en-AU"/>
        </w:rPr>
        <w:t>’</w:t>
      </w:r>
      <w:r>
        <w:rPr>
          <w:lang w:val="en-AU"/>
        </w:rPr>
        <w:t>s</w:t>
      </w:r>
      <w:r w:rsidR="001D05EE" w:rsidRPr="002F4104">
        <w:rPr>
          <w:lang w:val="en-AU"/>
        </w:rPr>
        <w:t xml:space="preserve"> forecasted demand, such as a contract loss that impacts their entire portfolio of brands.</w:t>
      </w:r>
    </w:p>
    <w:p w14:paraId="53747C3A" w14:textId="3CA92BFD" w:rsidR="00B33FF8" w:rsidRPr="00A737E3" w:rsidRDefault="00B33FF8" w:rsidP="00A737E3">
      <w:pPr>
        <w:pStyle w:val="Heading2"/>
        <w:jc w:val="both"/>
      </w:pPr>
      <w:bookmarkStart w:id="30" w:name="_Toc205482086"/>
      <w:r w:rsidRPr="00A737E3">
        <w:t xml:space="preserve">Calculation of </w:t>
      </w:r>
      <w:r w:rsidR="00B65192" w:rsidRPr="00A737E3">
        <w:t>‘</w:t>
      </w:r>
      <w:r w:rsidRPr="00A737E3">
        <w:t>usual demand</w:t>
      </w:r>
      <w:r w:rsidR="00B65192" w:rsidRPr="00A737E3">
        <w:t>’</w:t>
      </w:r>
      <w:r w:rsidRPr="00A737E3">
        <w:t xml:space="preserve"> when pricing quantity changes between the reference period and current period</w:t>
      </w:r>
      <w:bookmarkEnd w:id="30"/>
    </w:p>
    <w:p w14:paraId="36CEAAC4" w14:textId="51DBD49E" w:rsidR="00B33FF8" w:rsidRPr="007E0156" w:rsidRDefault="00B33FF8" w:rsidP="00B33FF8">
      <w:pPr>
        <w:jc w:val="both"/>
      </w:pPr>
      <w:r w:rsidRPr="007E0156">
        <w:t xml:space="preserve">Where the pricing quantity changes between the start of the reference period and the commencement of the period in which stock is required to be held, </w:t>
      </w:r>
      <w:r w:rsidR="00F8226E" w:rsidRPr="007E0156">
        <w:t xml:space="preserve">for the purposes of </w:t>
      </w:r>
      <w:r w:rsidR="00F8226E">
        <w:t>calculating ‘</w:t>
      </w:r>
      <w:r w:rsidR="00F8226E" w:rsidRPr="007E0156">
        <w:t>usual demand</w:t>
      </w:r>
      <w:r w:rsidR="00F8226E">
        <w:t>’</w:t>
      </w:r>
      <w:r w:rsidR="00F8226E" w:rsidRPr="007E0156">
        <w:t xml:space="preserve"> </w:t>
      </w:r>
      <w:r w:rsidRPr="007E0156">
        <w:t xml:space="preserve">the number of packs is adjusted in proportion to the change in pack </w:t>
      </w:r>
      <w:r w:rsidRPr="003958F7">
        <w:t>size (</w:t>
      </w:r>
      <w:hyperlink w:anchor="_Calculation_of_‘usual_1" w:history="1">
        <w:r w:rsidR="007D326B" w:rsidRPr="0021519E">
          <w:rPr>
            <w:rStyle w:val="Hyperlink"/>
          </w:rPr>
          <w:t xml:space="preserve">see </w:t>
        </w:r>
        <w:r w:rsidR="003958F7" w:rsidRPr="0021519E">
          <w:rPr>
            <w:rStyle w:val="Hyperlink"/>
          </w:rPr>
          <w:t>Exhibit 1</w:t>
        </w:r>
      </w:hyperlink>
      <w:r w:rsidR="007D326B" w:rsidRPr="003958F7">
        <w:rPr>
          <w:rStyle w:val="Emphasis"/>
        </w:rPr>
        <w:fldChar w:fldCharType="begin"/>
      </w:r>
      <w:r w:rsidR="007D326B" w:rsidRPr="003958F7">
        <w:rPr>
          <w:rStyle w:val="Emphasis"/>
        </w:rPr>
        <w:instrText xml:space="preserve"> REF _Ref107498459 \h  \* MERGEFORMAT </w:instrText>
      </w:r>
      <w:r w:rsidR="007D326B" w:rsidRPr="003958F7">
        <w:rPr>
          <w:rStyle w:val="Emphasis"/>
        </w:rPr>
      </w:r>
      <w:r w:rsidR="007D326B" w:rsidRPr="003958F7">
        <w:rPr>
          <w:rStyle w:val="Emphasis"/>
        </w:rPr>
        <w:fldChar w:fldCharType="separate"/>
      </w:r>
      <w:r w:rsidR="008A2A42" w:rsidRPr="007E0156">
        <w:t xml:space="preserve">Exhibit </w:t>
      </w:r>
      <w:r w:rsidR="008A2A42">
        <w:rPr>
          <w:noProof/>
        </w:rPr>
        <w:t>1</w:t>
      </w:r>
      <w:r w:rsidR="007D326B" w:rsidRPr="003958F7">
        <w:rPr>
          <w:rStyle w:val="Emphasis"/>
        </w:rPr>
        <w:fldChar w:fldCharType="end"/>
      </w:r>
      <w:r w:rsidR="007D326B" w:rsidRPr="003958F7">
        <w:t>)</w:t>
      </w:r>
      <w:r w:rsidR="00EE532D" w:rsidRPr="003958F7">
        <w:t>.</w:t>
      </w:r>
    </w:p>
    <w:p w14:paraId="3C77E03A" w14:textId="69B7AE8B" w:rsidR="00344457" w:rsidRPr="007E0156" w:rsidRDefault="00344457" w:rsidP="007855E2">
      <w:pPr>
        <w:pStyle w:val="Caption"/>
        <w:keepNext/>
        <w:spacing w:after="120"/>
      </w:pPr>
      <w:bookmarkStart w:id="31" w:name="_Ref107498459"/>
      <w:r w:rsidRPr="007E0156">
        <w:t xml:space="preserve">Exhibit </w:t>
      </w:r>
      <w:fldSimple w:instr=" SEQ Exhibit \* ARABIC ">
        <w:r w:rsidR="008A2A42">
          <w:rPr>
            <w:noProof/>
          </w:rPr>
          <w:t>1</w:t>
        </w:r>
      </w:fldSimple>
      <w:bookmarkEnd w:id="31"/>
      <w:r w:rsidRPr="007E0156">
        <w:t xml:space="preserve">: Calculation of </w:t>
      </w:r>
      <w:r w:rsidR="00B65192">
        <w:t>‘</w:t>
      </w:r>
      <w:r w:rsidRPr="007E0156">
        <w:t>usual demand</w:t>
      </w:r>
      <w:r w:rsidR="00B65192">
        <w:t>’</w:t>
      </w:r>
      <w:r w:rsidRPr="007E0156">
        <w:t xml:space="preserve"> when pricing quantity changes</w:t>
      </w:r>
    </w:p>
    <w:p w14:paraId="2F2DABD8" w14:textId="77777777" w:rsidR="00B33FF8" w:rsidRPr="007E0156" w:rsidRDefault="00B33FF8" w:rsidP="00B33FF8">
      <w:pPr>
        <w:keepNext/>
        <w:jc w:val="center"/>
      </w:pPr>
      <w:r w:rsidRPr="007E0156">
        <w:rPr>
          <w:noProof/>
          <w:lang w:val="en-AU" w:eastAsia="en-AU"/>
        </w:rPr>
        <w:drawing>
          <wp:inline distT="0" distB="0" distL="0" distR="0" wp14:anchorId="2065606D" wp14:editId="1A15A759">
            <wp:extent cx="5943600" cy="2221636"/>
            <wp:effectExtent l="0" t="0" r="0" b="7620"/>
            <wp:docPr id="8" name="Picture 8" descr="A segmented colour-coded timeline is displayed horizontally, to illustrate the timing of each Reference period relative to the Current period when stock is required to be held. The timeline runs from 1 April in Year 1 to 30 September in Year 2. The timeline has months in each segment and Year 1, Year 2 labelled along the bottom. There is a box stepping out how the stockholding requirement in the Current period is calculated.&#10;Blue shaded area from 1 April in Year 1 to 30 September in Year 1 is the Initial or reference period with 120k packs supplied. At the start and end of the reference period the Pricing Quantity is a 20 pack. A light grey shaded area from 1 October in Year 1 to 31 March in Year 2 is labelled as the Previous Period. A yellow shaded area from 1 April in Year 2 to 30 September in Year 2 is labelled as the Current Period. The pricing quantity at the beginning of the Current period is now a 40 pack. A separate yellow calculation box has an arrow pointing to the ‘initial/reference period’ which is the data source for the stockholding requirement calculation. The calculation box sets out:&#10;Usual demand for current period is defined as:&#10;Adjusted average number of units supplied per month during reference period&#10;= number of packs divided by months with PD data, times pack size conversion factor&#10;Example = 120k packs divided by 6 times 0.5&#10;= 20k packs times 0.5&#10;= 10k pa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egmented colour-coded timeline is displayed horizontally, to illustrate the timing of each Reference period relative to the Current period when stock is required to be held. The timeline runs from 1 April in Year 1 to 30 September in Year 2. The timeline has months in each segment and Year 1, Year 2 labelled along the bottom. There is a box stepping out how the stockholding requirement in the Current period is calculated.&#10;Blue shaded area from 1 April in Year 1 to 30 September in Year 1 is the Initial or reference period with 120k packs supplied. At the start and end of the reference period the Pricing Quantity is a 20 pack. A light grey shaded area from 1 October in Year 1 to 31 March in Year 2 is labelled as the Previous Period. A yellow shaded area from 1 April in Year 2 to 30 September in Year 2 is labelled as the Current Period. The pricing quantity at the beginning of the Current period is now a 40 pack. A separate yellow calculation box has an arrow pointing to the ‘initial/reference period’ which is the data source for the stockholding requirement calculation. The calculation box sets out:&#10;Usual demand for current period is defined as:&#10;Adjusted average number of units supplied per month during reference period&#10;= number of packs divided by months with PD data, times pack size conversion factor&#10;Example = 120k packs divided by 6 times 0.5&#10;= 20k packs times 0.5&#10;= 10k packs"/>
                    <pic:cNvPicPr/>
                  </pic:nvPicPr>
                  <pic:blipFill>
                    <a:blip r:embed="rId25">
                      <a:extLst>
                        <a:ext uri="{28A0092B-C50C-407E-A947-70E740481C1C}">
                          <a14:useLocalDpi xmlns:a14="http://schemas.microsoft.com/office/drawing/2010/main" val="0"/>
                        </a:ext>
                      </a:extLst>
                    </a:blip>
                    <a:stretch>
                      <a:fillRect/>
                    </a:stretch>
                  </pic:blipFill>
                  <pic:spPr>
                    <a:xfrm>
                      <a:off x="0" y="0"/>
                      <a:ext cx="5943600" cy="2221636"/>
                    </a:xfrm>
                    <a:prstGeom prst="rect">
                      <a:avLst/>
                    </a:prstGeom>
                  </pic:spPr>
                </pic:pic>
              </a:graphicData>
            </a:graphic>
          </wp:inline>
        </w:drawing>
      </w:r>
    </w:p>
    <w:p w14:paraId="4FFFF0D2" w14:textId="77777777" w:rsidR="005632C7" w:rsidRPr="007E0156" w:rsidRDefault="005632C7" w:rsidP="005632C7">
      <w:pPr>
        <w:jc w:val="both"/>
      </w:pPr>
    </w:p>
    <w:p w14:paraId="03D432B5" w14:textId="7B134F0F" w:rsidR="00B33FF8" w:rsidRPr="00CC79D5" w:rsidRDefault="00B33FF8" w:rsidP="00B33FF8">
      <w:pPr>
        <w:pStyle w:val="Heading2"/>
      </w:pPr>
      <w:bookmarkStart w:id="32" w:name="_Calculation_of_usual_1"/>
      <w:bookmarkStart w:id="33" w:name="_Ref113023539"/>
      <w:bookmarkStart w:id="34" w:name="_Toc205482087"/>
      <w:bookmarkEnd w:id="32"/>
      <w:r w:rsidRPr="00CC79D5">
        <w:lastRenderedPageBreak/>
        <w:t xml:space="preserve">Calculation of </w:t>
      </w:r>
      <w:r w:rsidR="00B65192" w:rsidRPr="00CC79D5">
        <w:t>‘</w:t>
      </w:r>
      <w:r w:rsidRPr="00CC79D5">
        <w:t>usual demand</w:t>
      </w:r>
      <w:r w:rsidR="00B65192" w:rsidRPr="00CC79D5">
        <w:t>’</w:t>
      </w:r>
      <w:r w:rsidRPr="00CC79D5">
        <w:t xml:space="preserve"> when there are variations in the length of the reference period and associated availability of PD data</w:t>
      </w:r>
      <w:bookmarkEnd w:id="33"/>
      <w:bookmarkEnd w:id="34"/>
    </w:p>
    <w:p w14:paraId="7EAA08EA" w14:textId="0B626975" w:rsidR="00B33FF8" w:rsidRPr="007E0156" w:rsidRDefault="00B33FF8" w:rsidP="00B33FF8">
      <w:pPr>
        <w:jc w:val="both"/>
      </w:pPr>
      <w:r w:rsidRPr="007E0156">
        <w:t xml:space="preserve">In practice, there may be variations in the availability of PD data from the reference period to determine </w:t>
      </w:r>
      <w:r w:rsidR="00B65192">
        <w:t>‘</w:t>
      </w:r>
      <w:r w:rsidRPr="007E0156">
        <w:t>usual demand</w:t>
      </w:r>
      <w:r w:rsidR="00B65192">
        <w:t>’</w:t>
      </w:r>
      <w:r w:rsidRPr="007E0156">
        <w:t xml:space="preserve">. The following </w:t>
      </w:r>
      <w:r w:rsidR="00E64C60">
        <w:t>4</w:t>
      </w:r>
      <w:r w:rsidRPr="007E0156">
        <w:t xml:space="preserve"> scenarios describe how </w:t>
      </w:r>
      <w:r w:rsidR="00BB3243" w:rsidRPr="007E0156">
        <w:t xml:space="preserve">the </w:t>
      </w:r>
      <w:r w:rsidR="007A785F">
        <w:t>d</w:t>
      </w:r>
      <w:r w:rsidR="00BB3243" w:rsidRPr="007E0156">
        <w:t xml:space="preserve">epartment will use </w:t>
      </w:r>
      <w:r w:rsidRPr="007E0156">
        <w:t>reference period PD</w:t>
      </w:r>
      <w:r w:rsidR="00A97632">
        <w:t> </w:t>
      </w:r>
      <w:r w:rsidRPr="007E0156">
        <w:t xml:space="preserve">data to determine </w:t>
      </w:r>
      <w:r w:rsidR="00B65192">
        <w:t>‘</w:t>
      </w:r>
      <w:r w:rsidRPr="007E0156">
        <w:t>usual demand</w:t>
      </w:r>
      <w:r w:rsidR="00B65192">
        <w:t>’</w:t>
      </w:r>
      <w:r w:rsidRPr="007E0156">
        <w:t xml:space="preserve"> for a given brand:</w:t>
      </w:r>
    </w:p>
    <w:p w14:paraId="5C24FDEE" w14:textId="72B9028D" w:rsidR="00B33FF8" w:rsidRPr="00771398" w:rsidRDefault="00B33FF8" w:rsidP="005A2644">
      <w:pPr>
        <w:pStyle w:val="ListParagraph"/>
        <w:numPr>
          <w:ilvl w:val="0"/>
          <w:numId w:val="13"/>
        </w:numPr>
        <w:jc w:val="both"/>
        <w:rPr>
          <w:b/>
          <w:bCs/>
        </w:rPr>
      </w:pPr>
      <w:r w:rsidRPr="00771398">
        <w:rPr>
          <w:b/>
          <w:bCs/>
        </w:rPr>
        <w:t xml:space="preserve">Scenario 1 – no PD data is available for the reference period: </w:t>
      </w:r>
      <w:r w:rsidRPr="007E0156">
        <w:t xml:space="preserve">For a brand which was not listed </w:t>
      </w:r>
      <w:r w:rsidR="00A12F70" w:rsidRPr="007E0156">
        <w:t xml:space="preserve">on the PBS </w:t>
      </w:r>
      <w:r w:rsidRPr="007E0156">
        <w:t xml:space="preserve">during the reference period (e.g. a new generic brand), the </w:t>
      </w:r>
      <w:r w:rsidR="00B65192">
        <w:t>‘</w:t>
      </w:r>
      <w:r w:rsidRPr="007E0156">
        <w:t>usual demand</w:t>
      </w:r>
      <w:r w:rsidR="00B65192">
        <w:t>’</w:t>
      </w:r>
      <w:r w:rsidRPr="007E0156">
        <w:t xml:space="preserve"> for the brand is taken to </w:t>
      </w:r>
      <w:r w:rsidRPr="00CC79D5">
        <w:t xml:space="preserve">be </w:t>
      </w:r>
      <w:r w:rsidRPr="00771398">
        <w:rPr>
          <w:u w:val="single"/>
        </w:rPr>
        <w:t>zero</w:t>
      </w:r>
      <w:r w:rsidRPr="007E0156">
        <w:t xml:space="preserve"> (under s85B(3) of the Regulations). The brand will have a minimum stockholding requirement once there is a reference period in which the brand was listed, and so ‘usual demand’ can be calculated for that reference period (se</w:t>
      </w:r>
      <w:r w:rsidR="007D326B" w:rsidRPr="007E0156">
        <w:t>e</w:t>
      </w:r>
      <w:r w:rsidR="00771398">
        <w:t xml:space="preserve"> </w:t>
      </w:r>
      <w:hyperlink w:anchor="Exhibit_3" w:history="1">
        <w:r w:rsidR="00326E15">
          <w:rPr>
            <w:rStyle w:val="Hyperlink"/>
          </w:rPr>
          <w:t>Exhibit 2</w:t>
        </w:r>
      </w:hyperlink>
      <w:r w:rsidR="00771398">
        <w:t>).</w:t>
      </w:r>
    </w:p>
    <w:p w14:paraId="122E764B" w14:textId="1C72D31B" w:rsidR="00B33FF8" w:rsidRPr="007E0156" w:rsidRDefault="00B33FF8" w:rsidP="005A2644">
      <w:pPr>
        <w:pStyle w:val="ListParagraph"/>
        <w:numPr>
          <w:ilvl w:val="0"/>
          <w:numId w:val="13"/>
        </w:numPr>
        <w:jc w:val="both"/>
      </w:pPr>
      <w:r w:rsidRPr="007E0156">
        <w:rPr>
          <w:b/>
          <w:bCs/>
        </w:rPr>
        <w:t xml:space="preserve">Scenario 2 </w:t>
      </w:r>
      <w:r w:rsidR="005D2DC1" w:rsidRPr="007E0156">
        <w:rPr>
          <w:b/>
          <w:bCs/>
        </w:rPr>
        <w:t xml:space="preserve">– </w:t>
      </w:r>
      <w:r w:rsidRPr="007E0156">
        <w:rPr>
          <w:b/>
          <w:bCs/>
        </w:rPr>
        <w:t xml:space="preserve">6 months of PD data is available for the reference period: </w:t>
      </w:r>
      <w:r w:rsidR="00B65192">
        <w:rPr>
          <w:b/>
          <w:bCs/>
        </w:rPr>
        <w:t>‘</w:t>
      </w:r>
      <w:r w:rsidRPr="007E0156">
        <w:t>Usual demand</w:t>
      </w:r>
      <w:r w:rsidR="00B65192">
        <w:t>’</w:t>
      </w:r>
      <w:r w:rsidRPr="007E0156">
        <w:t xml:space="preserve"> is the average number of packs of the brand supplied per month in the reference period (see</w:t>
      </w:r>
      <w:r w:rsidR="007D326B" w:rsidRPr="007E0156">
        <w:t xml:space="preserve"> </w:t>
      </w:r>
      <w:r w:rsidR="007D326B" w:rsidRPr="007E0156">
        <w:rPr>
          <w:rStyle w:val="Emphasis"/>
        </w:rPr>
        <w:fldChar w:fldCharType="begin"/>
      </w:r>
      <w:r w:rsidR="007D326B" w:rsidRPr="007E0156">
        <w:rPr>
          <w:rStyle w:val="Emphasis"/>
        </w:rPr>
        <w:instrText xml:space="preserve"> REF _Ref107498527 \h  \* MERGEFORMAT </w:instrText>
      </w:r>
      <w:r w:rsidR="007D326B" w:rsidRPr="007E0156">
        <w:rPr>
          <w:rStyle w:val="Emphasis"/>
        </w:rPr>
      </w:r>
      <w:r w:rsidR="007D326B" w:rsidRPr="007E0156">
        <w:rPr>
          <w:rStyle w:val="Emphasis"/>
        </w:rPr>
        <w:fldChar w:fldCharType="separate"/>
      </w:r>
      <w:r w:rsidR="008A2A42" w:rsidRPr="008A2A42">
        <w:rPr>
          <w:rStyle w:val="Emphasis"/>
        </w:rPr>
        <w:t>Exhibit 3</w:t>
      </w:r>
      <w:r w:rsidR="007D326B" w:rsidRPr="007E0156">
        <w:rPr>
          <w:rStyle w:val="Emphasis"/>
        </w:rPr>
        <w:fldChar w:fldCharType="end"/>
      </w:r>
      <w:r w:rsidRPr="007E0156">
        <w:t>)</w:t>
      </w:r>
      <w:r w:rsidR="00EE532D" w:rsidRPr="007E0156">
        <w:t>.</w:t>
      </w:r>
    </w:p>
    <w:p w14:paraId="1B7CE521" w14:textId="7E079E5A" w:rsidR="00B33FF8" w:rsidRPr="007E0156" w:rsidRDefault="00B33FF8" w:rsidP="005A2644">
      <w:pPr>
        <w:pStyle w:val="ListParagraph"/>
        <w:numPr>
          <w:ilvl w:val="0"/>
          <w:numId w:val="13"/>
        </w:numPr>
        <w:jc w:val="both"/>
      </w:pPr>
      <w:r w:rsidRPr="007E0156">
        <w:rPr>
          <w:b/>
          <w:bCs/>
        </w:rPr>
        <w:t xml:space="preserve">Scenario 3 </w:t>
      </w:r>
      <w:r w:rsidR="005D2DC1" w:rsidRPr="007E0156">
        <w:rPr>
          <w:b/>
          <w:bCs/>
        </w:rPr>
        <w:t xml:space="preserve">– </w:t>
      </w:r>
      <w:r w:rsidRPr="007E0156">
        <w:rPr>
          <w:b/>
          <w:bCs/>
        </w:rPr>
        <w:t>less than 6 months</w:t>
      </w:r>
      <w:r w:rsidRPr="007E0156">
        <w:rPr>
          <w:b/>
        </w:rPr>
        <w:t xml:space="preserve"> of PD data is available for the reference period</w:t>
      </w:r>
      <w:r w:rsidRPr="007E0156">
        <w:t xml:space="preserve">: </w:t>
      </w:r>
      <w:r w:rsidR="00B65192">
        <w:t>‘</w:t>
      </w:r>
      <w:r w:rsidRPr="007E0156">
        <w:t>Usual demand</w:t>
      </w:r>
      <w:r w:rsidR="00B65192">
        <w:t>’</w:t>
      </w:r>
      <w:r w:rsidRPr="007E0156">
        <w:t xml:space="preserve"> is the </w:t>
      </w:r>
      <w:r w:rsidRPr="007E0156">
        <w:rPr>
          <w:u w:val="single"/>
        </w:rPr>
        <w:t>average number of packs of the brand supplied per month in the shortened reference period</w:t>
      </w:r>
      <w:r w:rsidRPr="007E0156">
        <w:t>. This may apply, for example, if a brand became subject to price disclosure after the start of a given data collection period, or a brand has previously exited the market and then re-listed during the reference period (</w:t>
      </w:r>
      <w:r w:rsidR="007D326B" w:rsidRPr="007E0156">
        <w:t xml:space="preserve">see </w:t>
      </w:r>
      <w:r w:rsidR="001F47A4" w:rsidRPr="007E0156">
        <w:rPr>
          <w:rStyle w:val="Emphasis"/>
        </w:rPr>
        <w:fldChar w:fldCharType="begin"/>
      </w:r>
      <w:r w:rsidR="001F47A4" w:rsidRPr="007E0156">
        <w:rPr>
          <w:rStyle w:val="Emphasis"/>
        </w:rPr>
        <w:instrText xml:space="preserve"> REF _Ref107504293 \h  \* MERGEFORMAT </w:instrText>
      </w:r>
      <w:r w:rsidR="001F47A4" w:rsidRPr="007E0156">
        <w:rPr>
          <w:rStyle w:val="Emphasis"/>
        </w:rPr>
      </w:r>
      <w:r w:rsidR="001F47A4" w:rsidRPr="007E0156">
        <w:rPr>
          <w:rStyle w:val="Emphasis"/>
        </w:rPr>
        <w:fldChar w:fldCharType="separate"/>
      </w:r>
      <w:r w:rsidR="008A2A42" w:rsidRPr="008A2A42">
        <w:rPr>
          <w:rStyle w:val="Emphasis"/>
        </w:rPr>
        <w:t>Exhibit 4</w:t>
      </w:r>
      <w:r w:rsidR="001F47A4" w:rsidRPr="007E0156">
        <w:rPr>
          <w:rStyle w:val="Emphasis"/>
        </w:rPr>
        <w:fldChar w:fldCharType="end"/>
      </w:r>
      <w:r w:rsidR="007D326B" w:rsidRPr="007E0156">
        <w:t>)</w:t>
      </w:r>
      <w:r w:rsidR="00EE532D" w:rsidRPr="007E0156">
        <w:t>.</w:t>
      </w:r>
    </w:p>
    <w:p w14:paraId="216EDA36" w14:textId="5FA5C88C" w:rsidR="00B33FF8" w:rsidRPr="007E0156" w:rsidRDefault="00B33FF8" w:rsidP="005A2644">
      <w:pPr>
        <w:pStyle w:val="ListParagraph"/>
        <w:numPr>
          <w:ilvl w:val="0"/>
          <w:numId w:val="13"/>
        </w:numPr>
        <w:jc w:val="both"/>
      </w:pPr>
      <w:r w:rsidRPr="007E0156">
        <w:rPr>
          <w:b/>
          <w:bCs/>
        </w:rPr>
        <w:t xml:space="preserve">Scenario 4 </w:t>
      </w:r>
      <w:r w:rsidR="005D2DC1" w:rsidRPr="007E0156">
        <w:rPr>
          <w:b/>
          <w:bCs/>
        </w:rPr>
        <w:t xml:space="preserve">– </w:t>
      </w:r>
      <w:r w:rsidRPr="007E0156">
        <w:rPr>
          <w:b/>
          <w:bCs/>
        </w:rPr>
        <w:t xml:space="preserve">more than 6 months of PD data is available for the reference period: </w:t>
      </w:r>
      <w:r w:rsidR="00B65192">
        <w:rPr>
          <w:b/>
          <w:bCs/>
        </w:rPr>
        <w:t>‘</w:t>
      </w:r>
      <w:r w:rsidRPr="007E0156">
        <w:t>Usual demand</w:t>
      </w:r>
      <w:r w:rsidR="00B65192">
        <w:t>’</w:t>
      </w:r>
      <w:r w:rsidRPr="007E0156">
        <w:t xml:space="preserve"> is the </w:t>
      </w:r>
      <w:r w:rsidRPr="007E0156">
        <w:rPr>
          <w:u w:val="single"/>
        </w:rPr>
        <w:t>average number of packs of the brand supplied per month in the longer reference period</w:t>
      </w:r>
      <w:r w:rsidRPr="007E0156">
        <w:t>. This may apply, for example, if a brand has moved to F2 and has an initial data collection period longer than 6 months, or if a brand is newly listed on F2 and there are already other brands of the same drug/MoA) (</w:t>
      </w:r>
      <w:r w:rsidRPr="007E0156">
        <w:rPr>
          <w:b/>
          <w:bCs/>
        </w:rPr>
        <w:t>related brands</w:t>
      </w:r>
      <w:r w:rsidRPr="007E0156">
        <w:t>) on F2 which are in an initial data collection period longer than 6 months. The brand’s initial data collection period will end when the data collection period of the related brands ends. Therefore, the initial data collection period, and first reference period, could be greater than 6 months (see</w:t>
      </w:r>
      <w:r w:rsidR="007D326B" w:rsidRPr="007E0156">
        <w:t xml:space="preserve"> </w:t>
      </w:r>
      <w:r w:rsidR="005C43FE" w:rsidRPr="005C43FE">
        <w:rPr>
          <w:color w:val="005EB8"/>
          <w:u w:val="single"/>
        </w:rPr>
        <w:fldChar w:fldCharType="begin"/>
      </w:r>
      <w:r w:rsidR="005C43FE" w:rsidRPr="005C43FE">
        <w:rPr>
          <w:color w:val="005EB8"/>
          <w:u w:val="single"/>
        </w:rPr>
        <w:instrText xml:space="preserve"> REF _Ref200547552 \h </w:instrText>
      </w:r>
      <w:r w:rsidR="005C43FE" w:rsidRPr="005C43FE">
        <w:rPr>
          <w:color w:val="005EB8"/>
          <w:u w:val="single"/>
        </w:rPr>
      </w:r>
      <w:r w:rsidR="005C43FE" w:rsidRPr="005C43FE">
        <w:rPr>
          <w:color w:val="005EB8"/>
          <w:u w:val="single"/>
        </w:rPr>
        <w:fldChar w:fldCharType="separate"/>
      </w:r>
      <w:r w:rsidR="008A2A42" w:rsidRPr="007E0156">
        <w:t xml:space="preserve">Exhibit </w:t>
      </w:r>
      <w:r w:rsidR="008A2A42">
        <w:rPr>
          <w:noProof/>
        </w:rPr>
        <w:t>5</w:t>
      </w:r>
      <w:r w:rsidR="005C43FE" w:rsidRPr="005C43FE">
        <w:rPr>
          <w:color w:val="005EB8"/>
          <w:u w:val="single"/>
        </w:rPr>
        <w:fldChar w:fldCharType="end"/>
      </w:r>
      <w:r w:rsidR="007D326B" w:rsidRPr="007E0156">
        <w:t>).</w:t>
      </w:r>
      <w:r w:rsidRPr="007E0156">
        <w:t xml:space="preserve"> ‘Usual demand’ will be calculated once there have be</w:t>
      </w:r>
      <w:r w:rsidR="00ED5FBA" w:rsidRPr="007E0156">
        <w:t>en</w:t>
      </w:r>
      <w:r w:rsidRPr="007E0156">
        <w:t xml:space="preserve"> subsequent data collection periods and the completed initial data collection period is the data collection period before the previous data collection period (</w:t>
      </w:r>
      <w:r w:rsidR="00F8226E" w:rsidRPr="007E0156">
        <w:t>i.e</w:t>
      </w:r>
      <w:r w:rsidR="001D05EE" w:rsidRPr="09A3D074">
        <w:t>.</w:t>
      </w:r>
      <w:r w:rsidRPr="007E0156">
        <w:t xml:space="preserve"> the reference period)</w:t>
      </w:r>
      <w:r w:rsidR="00EE532D" w:rsidRPr="007E0156">
        <w:t>.</w:t>
      </w:r>
    </w:p>
    <w:p w14:paraId="34B61E70" w14:textId="0AE77D0E" w:rsidR="00B33FF8" w:rsidRPr="007E0156" w:rsidRDefault="00B33FF8" w:rsidP="00B33FF8">
      <w:pPr>
        <w:jc w:val="both"/>
      </w:pPr>
      <w:r w:rsidRPr="007E0156">
        <w:t xml:space="preserve">Further information regarding initial data collection periods is available in Section 5.5 of the </w:t>
      </w:r>
      <w:hyperlink r:id="rId26">
        <w:r w:rsidR="001D05EE" w:rsidRPr="09A3D074">
          <w:rPr>
            <w:rStyle w:val="Hyperlink"/>
          </w:rPr>
          <w:t>Price Dis</w:t>
        </w:r>
      </w:hyperlink>
      <w:r w:rsidR="001D05EE" w:rsidRPr="09A3D074">
        <w:rPr>
          <w:rStyle w:val="Hyperlink"/>
        </w:rPr>
        <w:t>closure Guidelines</w:t>
      </w:r>
      <w:r w:rsidR="001D05EE" w:rsidRPr="09A3D074">
        <w:t>.</w:t>
      </w:r>
    </w:p>
    <w:p w14:paraId="7280CD10" w14:textId="2EE0E7F3" w:rsidR="00762019" w:rsidRPr="007E0156" w:rsidRDefault="00762019" w:rsidP="00BB3243">
      <w:pPr>
        <w:jc w:val="both"/>
      </w:pPr>
      <w:r w:rsidRPr="007E0156">
        <w:t xml:space="preserve">Where, for any reason, </w:t>
      </w:r>
      <w:r w:rsidR="00B65192">
        <w:t>‘</w:t>
      </w:r>
      <w:r w:rsidRPr="007E0156">
        <w:t>usual demand</w:t>
      </w:r>
      <w:r w:rsidR="00B65192">
        <w:t>’</w:t>
      </w:r>
      <w:r w:rsidRPr="007E0156">
        <w:t xml:space="preserve"> cannot be calculated using PD data, the Minister may make a minimum stockholding determination (see </w:t>
      </w:r>
      <w:hyperlink w:anchor="_Determination_of_‘another" w:history="1">
        <w:r w:rsidRPr="007E0156">
          <w:rPr>
            <w:rStyle w:val="Hyperlink"/>
          </w:rPr>
          <w:t>Section 4.3</w:t>
        </w:r>
      </w:hyperlink>
      <w:r w:rsidRPr="007E0156">
        <w:rPr>
          <w:rStyle w:val="Hyperlink"/>
        </w:rPr>
        <w:t xml:space="preserve"> and </w:t>
      </w:r>
      <w:hyperlink w:anchor="_Ministerial_determination_of" w:history="1">
        <w:r w:rsidRPr="007E0156">
          <w:rPr>
            <w:rStyle w:val="Hyperlink"/>
          </w:rPr>
          <w:t>Section 6</w:t>
        </w:r>
      </w:hyperlink>
      <w:r w:rsidRPr="007E0156">
        <w:t>).</w:t>
      </w:r>
    </w:p>
    <w:p w14:paraId="1BE10855" w14:textId="0F2CFA04" w:rsidR="001F4457" w:rsidRPr="007E0156" w:rsidRDefault="001F4457" w:rsidP="001F4457">
      <w:pPr>
        <w:jc w:val="both"/>
      </w:pPr>
      <w:bookmarkStart w:id="35" w:name="Section19A"/>
      <w:bookmarkStart w:id="36" w:name="_Ref107498497"/>
      <w:r w:rsidRPr="007E0156">
        <w:t xml:space="preserve">Where a brand is supplied under a </w:t>
      </w:r>
      <w:hyperlink r:id="rId27" w:history="1">
        <w:r w:rsidRPr="007E0156">
          <w:rPr>
            <w:rStyle w:val="Hyperlink"/>
          </w:rPr>
          <w:t>s19A temporary approval</w:t>
        </w:r>
      </w:hyperlink>
      <w:r w:rsidRPr="007E0156">
        <w:t xml:space="preserve"> and is PBS listed, it may be a designated brand and subject to minimum stockholding requirements if it meets one of the criteria to be a designated brand. A s19A product will not have ‘usual demand’ able to be calculated until there is PD data available in the reference period. This means that the quantity required to be kept in stock by the RP of the s19A brand will be taken to be zero until there is sufficient PD data for </w:t>
      </w:r>
      <w:r w:rsidR="00B65192">
        <w:t>‘</w:t>
      </w:r>
      <w:r w:rsidRPr="007E0156">
        <w:t>usual demand</w:t>
      </w:r>
      <w:r w:rsidR="00B65192">
        <w:t>’</w:t>
      </w:r>
      <w:r w:rsidRPr="007E0156">
        <w:t xml:space="preserve"> to be calculated </w:t>
      </w:r>
      <w:r w:rsidR="00B65192">
        <w:t>in</w:t>
      </w:r>
      <w:r w:rsidR="00B65192" w:rsidRPr="007E0156">
        <w:t xml:space="preserve"> </w:t>
      </w:r>
      <w:r w:rsidRPr="007E0156">
        <w:t xml:space="preserve">the reference period. It will generally take between 7 – 12 months from the date of PBS listing for PD data to be available for a s19A product to have </w:t>
      </w:r>
      <w:r w:rsidR="00B65192">
        <w:t>‘</w:t>
      </w:r>
      <w:r w:rsidRPr="007E0156">
        <w:t>usual demand</w:t>
      </w:r>
      <w:r w:rsidR="00B65192">
        <w:t>’</w:t>
      </w:r>
      <w:r w:rsidRPr="007E0156">
        <w:t xml:space="preserve"> calculated for it to be subject to a stockholding. RPs of s19A products are able to request that a stockholding determination of zero is made up to </w:t>
      </w:r>
      <w:r w:rsidR="003470C6">
        <w:t>6</w:t>
      </w:r>
      <w:r w:rsidRPr="007E0156">
        <w:t xml:space="preserve"> months prior to the s19A approval expires and the product delists from the PBS (see </w:t>
      </w:r>
      <w:hyperlink r:id="rId28" w:anchor="_Minimum_stockholding_requirements_2" w:history="1">
        <w:r w:rsidR="001D05EE" w:rsidRPr="09A3D074">
          <w:rPr>
            <w:rStyle w:val="Hyperlink"/>
          </w:rPr>
          <w:t>Section 4.4</w:t>
        </w:r>
      </w:hyperlink>
      <w:r w:rsidRPr="007E0156">
        <w:t>).</w:t>
      </w:r>
      <w:bookmarkEnd w:id="35"/>
    </w:p>
    <w:p w14:paraId="3A0CF2D9" w14:textId="2589101D" w:rsidR="00F57C00" w:rsidRPr="007E0156" w:rsidRDefault="00F57C00" w:rsidP="00E50747">
      <w:pPr>
        <w:pStyle w:val="Caption"/>
        <w:keepNext/>
        <w:spacing w:after="120"/>
        <w:jc w:val="both"/>
      </w:pPr>
      <w:bookmarkStart w:id="37" w:name="Exhibit_3"/>
      <w:r w:rsidRPr="007E0156">
        <w:lastRenderedPageBreak/>
        <w:t xml:space="preserve">Exhibit </w:t>
      </w:r>
      <w:fldSimple w:instr=" SEQ Exhibit \* ARABIC ">
        <w:r w:rsidR="008A2A42">
          <w:rPr>
            <w:noProof/>
          </w:rPr>
          <w:t>2</w:t>
        </w:r>
      </w:fldSimple>
      <w:bookmarkEnd w:id="36"/>
      <w:r w:rsidRPr="007E0156">
        <w:t>: Usual demand cannot be calculated when PD data is not available for the reference period</w:t>
      </w:r>
      <w:bookmarkEnd w:id="37"/>
    </w:p>
    <w:p w14:paraId="01E5574E" w14:textId="15D70805" w:rsidR="00B33FF8" w:rsidRPr="007E0156" w:rsidRDefault="00862251" w:rsidP="00B33FF8">
      <w:pPr>
        <w:jc w:val="both"/>
      </w:pPr>
      <w:r w:rsidRPr="007E0156">
        <w:rPr>
          <w:noProof/>
        </w:rPr>
        <w:drawing>
          <wp:inline distT="0" distB="0" distL="0" distR="0" wp14:anchorId="4B3DFA60" wp14:editId="5F98E365">
            <wp:extent cx="5943600" cy="2404110"/>
            <wp:effectExtent l="0" t="0" r="0" b="0"/>
            <wp:docPr id="28" name="Picture 28" descr="The exhibit has 2 horizontal timeline charts laid out parallel and overlapping from the start date of 1 April in Year 1. The timelines run from 1 April in Year 1 to 30 September in Year 2. The timelines are segmented and color-coded with months in each segment and ‘Year 1’, ‘Year 2’ labelled along the bottom. The timelines indicate a brand was listed on 1 April in Year 1.&#10;The first timeline runs from 1 April in Year 1 to 31 March in Year 2. A light grey shaded area from 1 April in Year 1, to 30 September in Year 1 is labelled as the Initial or Previous period. A light-yellow shaded area from 1 October in Year 1, to 31 March in Year 2 is labelled as the Current period. A light-yellow box stepping out from the current period reads: &#10;Brand listed 1 April in Year 1; for the period 1 October in Year 1 to 31 March in Year 2, there is no PD data in the reference period and usual demand cannot be calculated.&#10;The second timeline runs from 1 April in Year 1 to 30 September in Year 2 and shows the next 6-month period for the brand which listed on 1 April in Year 1. A blue shaded area from 1 April in Year 1, to 30 September in Year 1 is labelled as the Initial or Reference period with 120k packs supplied. A light grey shaded area from 1 October in Year 1, to 31 March in Year 2 is labelled as the Previous period. A yellow shaded area from 1 April in Year 2, to 30 September in Year 2 is labelled as the Current period. A yellow box stepping out from the Current period sets out the calculation of the stockholding requirement. The calculation box reads:&#10;The usual demand for current period once reference period data is available is defined as:&#10;Average number of packs supplied per month during reference period&#10;= number of packs divided by number of months with PD data&#10;e.g. = 120k packs divided by 6&#10;= 20k pack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he exhibit has 2 horizontal timeline charts laid out parallel and overlapping from the start date of 1 April in Year 1. The timelines run from 1 April in Year 1 to 30 September in Year 2. The timelines are segmented and color-coded with months in each segment and ‘Year 1’, ‘Year 2’ labelled along the bottom. The timelines indicate a brand was listed on 1 April in Year 1.&#10;The first timeline runs from 1 April in Year 1 to 31 March in Year 2. A light grey shaded area from 1 April in Year 1, to 30 September in Year 1 is labelled as the Initial or Previous period. A light-yellow shaded area from 1 October in Year 1, to 31 March in Year 2 is labelled as the Current period. A light-yellow box stepping out from the current period reads: &#10;Brand listed 1 April in Year 1; for the period 1 October in Year 1 to 31 March in Year 2, there is no PD data in the reference period and usual demand cannot be calculated.&#10;The second timeline runs from 1 April in Year 1 to 30 September in Year 2 and shows the next 6-month period for the brand which listed on 1 April in Year 1. A blue shaded area from 1 April in Year 1, to 30 September in Year 1 is labelled as the Initial or Reference period with 120k packs supplied. A light grey shaded area from 1 October in Year 1, to 31 March in Year 2 is labelled as the Previous period. A yellow shaded area from 1 April in Year 2, to 30 September in Year 2 is labelled as the Current period. A yellow box stepping out from the Current period sets out the calculation of the stockholding requirement. The calculation box reads:&#10;The usual demand for current period once reference period data is available is defined as:&#10;Average number of packs supplied per month during reference period&#10;= number of packs divided by number of months with PD data&#10;e.g. = 120k packs divided by 6&#10;= 20k packs "/>
                    <pic:cNvPicPr/>
                  </pic:nvPicPr>
                  <pic:blipFill>
                    <a:blip r:embed="rId29"/>
                    <a:stretch>
                      <a:fillRect/>
                    </a:stretch>
                  </pic:blipFill>
                  <pic:spPr>
                    <a:xfrm>
                      <a:off x="0" y="0"/>
                      <a:ext cx="5943600" cy="2404110"/>
                    </a:xfrm>
                    <a:prstGeom prst="rect">
                      <a:avLst/>
                    </a:prstGeom>
                  </pic:spPr>
                </pic:pic>
              </a:graphicData>
            </a:graphic>
          </wp:inline>
        </w:drawing>
      </w:r>
    </w:p>
    <w:p w14:paraId="72A2BF5D" w14:textId="536A38F4" w:rsidR="00F57C00" w:rsidRPr="007E0156" w:rsidRDefault="00F57C00" w:rsidP="00E50747">
      <w:pPr>
        <w:pStyle w:val="Caption"/>
        <w:keepNext/>
        <w:spacing w:after="120"/>
      </w:pPr>
      <w:bookmarkStart w:id="38" w:name="_Ref107498527"/>
      <w:r w:rsidRPr="007E0156">
        <w:t xml:space="preserve">Exhibit </w:t>
      </w:r>
      <w:fldSimple w:instr=" SEQ Exhibit \* ARABIC ">
        <w:r w:rsidR="008A2A42">
          <w:rPr>
            <w:noProof/>
          </w:rPr>
          <w:t>3</w:t>
        </w:r>
      </w:fldSimple>
      <w:bookmarkEnd w:id="38"/>
      <w:r w:rsidRPr="007E0156">
        <w:t xml:space="preserve">: Calculation of </w:t>
      </w:r>
      <w:r w:rsidR="00B65192">
        <w:t>‘</w:t>
      </w:r>
      <w:r w:rsidRPr="007E0156">
        <w:t>usual demand</w:t>
      </w:r>
      <w:r w:rsidR="00B65192">
        <w:t>’</w:t>
      </w:r>
      <w:r w:rsidRPr="007E0156">
        <w:t xml:space="preserve"> when 6 months of PD data is available for the reference period</w:t>
      </w:r>
    </w:p>
    <w:p w14:paraId="4CDFC733" w14:textId="6A47228F" w:rsidR="00B33FF8" w:rsidRDefault="007F1E66" w:rsidP="00B33FF8">
      <w:pPr>
        <w:keepLines/>
        <w:jc w:val="center"/>
      </w:pPr>
      <w:r>
        <w:rPr>
          <w:noProof/>
        </w:rPr>
        <w:drawing>
          <wp:inline distT="0" distB="0" distL="0" distR="0" wp14:anchorId="70D8D0B6" wp14:editId="5506AE3E">
            <wp:extent cx="5943600" cy="1946960"/>
            <wp:effectExtent l="0" t="0" r="0" b="0"/>
            <wp:docPr id="1" name="Picture 1" descr="A segmented colour-coded timeline is displayed horizontally, to illustrate the timing of each Reference Period relative to the Current Period when stock is required to be held. The timeline runs from 1 April in Year 1 to 30 September in Year 2. The timeline has months in each segment and ‘Year 1’, ‘Year 2’ labelled along the bottom.&#10;A blue shaded area from 1 April in Year 1 to 30 September in Year 1 is the Initial or Reference period with 120k packs supplied. A light grey shaded area from 1 October in Year 1 to 31 March in Year 2 is labelled as the Previous Period. A yellow shaded area from 1 April in Year 2 to 30 September in Year 2 is labelled as the Current Period. A yellow box stepping out from the Current period sets out the calculation of the stockholding requirement. The calculation box sets out:&#10;Usual demand for current period is defined as:&#10;Average number of packs supplied per month during reference period &#10;= number of packs divided by number of months with PD data&#10;E.g. = 120 k packs/6&#10;= 20k pa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egmented colour-coded timeline is displayed horizontally, to illustrate the timing of each Reference Period relative to the Current Period when stock is required to be held. The timeline runs from 1 April in Year 1 to 30 September in Year 2. The timeline has months in each segment and ‘Year 1’, ‘Year 2’ labelled along the bottom.&#10;A blue shaded area from 1 April in Year 1 to 30 September in Year 1 is the Initial or Reference period with 120k packs supplied. A light grey shaded area from 1 October in Year 1 to 31 March in Year 2 is labelled as the Previous Period. A yellow shaded area from 1 April in Year 2 to 30 September in Year 2 is labelled as the Current Period. A yellow box stepping out from the Current period sets out the calculation of the stockholding requirement. The calculation box sets out:&#10;Usual demand for current period is defined as:&#10;Average number of packs supplied per month during reference period &#10;= number of packs divided by number of months with PD data&#10;E.g. = 120 k packs/6&#10;= 20k packs"/>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5943600" cy="1946960"/>
                    </a:xfrm>
                    <a:prstGeom prst="rect">
                      <a:avLst/>
                    </a:prstGeom>
                    <a:noFill/>
                    <a:ln>
                      <a:noFill/>
                    </a:ln>
                  </pic:spPr>
                </pic:pic>
              </a:graphicData>
            </a:graphic>
          </wp:inline>
        </w:drawing>
      </w:r>
    </w:p>
    <w:p w14:paraId="681BB836" w14:textId="5C9F1310" w:rsidR="00F57C00" w:rsidRPr="007E0156" w:rsidRDefault="00F57C00" w:rsidP="00F57C00">
      <w:pPr>
        <w:pStyle w:val="Caption"/>
        <w:keepNext/>
        <w:keepLines/>
      </w:pPr>
      <w:bookmarkStart w:id="39" w:name="_Ref107504293"/>
      <w:r w:rsidRPr="007E0156">
        <w:lastRenderedPageBreak/>
        <w:t xml:space="preserve">Exhibit </w:t>
      </w:r>
      <w:fldSimple w:instr=" SEQ Exhibit \* ARABIC ">
        <w:r w:rsidR="008A2A42">
          <w:rPr>
            <w:noProof/>
          </w:rPr>
          <w:t>4</w:t>
        </w:r>
      </w:fldSimple>
      <w:bookmarkEnd w:id="39"/>
      <w:r w:rsidRPr="007E0156">
        <w:t xml:space="preserve">: Calculation of </w:t>
      </w:r>
      <w:r w:rsidR="00B65192">
        <w:t>‘</w:t>
      </w:r>
      <w:r w:rsidRPr="007E0156">
        <w:t>usual demand</w:t>
      </w:r>
      <w:r w:rsidR="00B65192">
        <w:t>’</w:t>
      </w:r>
      <w:r w:rsidRPr="007E0156">
        <w:t xml:space="preserve"> when less than 6 months of PD data is available for the reference period</w:t>
      </w:r>
    </w:p>
    <w:p w14:paraId="205F1836" w14:textId="4E987752" w:rsidR="00E50747" w:rsidRDefault="00CF440E" w:rsidP="00F57C00">
      <w:pPr>
        <w:keepLines/>
        <w:jc w:val="center"/>
      </w:pPr>
      <w:r w:rsidRPr="007E0156">
        <w:rPr>
          <w:noProof/>
        </w:rPr>
        <w:drawing>
          <wp:inline distT="0" distB="0" distL="0" distR="0" wp14:anchorId="19638A47" wp14:editId="6EC3139E">
            <wp:extent cx="5943600" cy="2562948"/>
            <wp:effectExtent l="0" t="0" r="0" b="8890"/>
            <wp:docPr id="29" name="Picture 29" descr="The exhibit has two separate scenarios. Segmented color-coded timelines are displayed horizontally that have months in each segment and Year 1, Year 2 and Year 3 labelled along the bottom. &#10;The first scenario has three timeline periods laid out parallel and overlapping from the start date of 1 April in Year 1. The timelines run from 1 April in Year 1 to 31 March in Year 3.&#10;The first timeline runs from 1 April in Year 1 to 31 March in Year 2. An arrow indicates the brand is listed on 1 June in Year 1. A light grey area from 1 June in Year 1 to 30 September in Year 1 is unlabelled. A light-yellow shaded area from1 October in Year 1, to 31 March in Year 2 is labelled as the Current period. A light-yellow box stepping out from the Current period describes the first scenario as follows:&#10;Brand is newly listed from 1 June of Year 1. The brand has a short initial data collection period – ending 30 September in Year 1. Usual demand is able to be calculated from 1 April in Year 2 – contrast to Exhibit 6 with a longer initial data collection period where usual demand cannot be calculated until 1 October in Year 2.&#10;The second parallel timeline runs from 1 April in Year 1 to 30 September in Year 2 and shows the next 6-month period after the previous timeline for the brand which was listed on 1 June in Year 1. A blue shaded area from 1 June in Year 1 to 30 September in Year 1 is labelled as the Reference period with 80k packs supplied. A light grey shaded area from 1 October in Year 1, to 31 March in Year 2 is labelled as the Previous period. A light-yellow shaded area from 1 April in Year 2 to 30 September in Year 2 is labelled as the Current period. A light-yellow box stepping out from the Current period sets out how the stockholding requirement is calculated. The calculation box reads:&#10;Reference period data is available. &#10;Usual demand = 80k packs divided by four = 20k packs.&#10;The third parallel timeline runs from 1 April in Year 1 to 31 March in Year 3 and shows the next 6-month period after the previous timeline, for the brand which was listed on 1 June in Year 1. A light grey shaded area from 1 June in Year 1 to 30 September in Year 1 is labelled as the Initial data collection period. A blue shaded area from 1 October in Year 1, to 31 March in Year 2 is labelled as the Reference period with 120k packs supplied. A dark yellow shaded area from 1 October in Year 2 to 31 March in Year 3 is labelled as the Current period. A dark yellow box stepping out from the Current period sets out how the stockholding requirement is calculated. The calculation box reads:&#10;Reference period is updated, and full six months of data is now available.&#10;Usual demand = 120 k packs divided by 6 &#10;= 20k pa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he exhibit has two separate scenarios. Segmented color-coded timelines are displayed horizontally that have months in each segment and Year 1, Year 2 and Year 3 labelled along the bottom. &#10;The first scenario has three timeline periods laid out parallel and overlapping from the start date of 1 April in Year 1. The timelines run from 1 April in Year 1 to 31 March in Year 3.&#10;The first timeline runs from 1 April in Year 1 to 31 March in Year 2. An arrow indicates the brand is listed on 1 June in Year 1. A light grey area from 1 June in Year 1 to 30 September in Year 1 is unlabelled. A light-yellow shaded area from1 October in Year 1, to 31 March in Year 2 is labelled as the Current period. A light-yellow box stepping out from the Current period describes the first scenario as follows:&#10;Brand is newly listed from 1 June of Year 1. The brand has a short initial data collection period – ending 30 September in Year 1. Usual demand is able to be calculated from 1 April in Year 2 – contrast to Exhibit 6 with a longer initial data collection period where usual demand cannot be calculated until 1 October in Year 2.&#10;The second parallel timeline runs from 1 April in Year 1 to 30 September in Year 2 and shows the next 6-month period after the previous timeline for the brand which was listed on 1 June in Year 1. A blue shaded area from 1 June in Year 1 to 30 September in Year 1 is labelled as the Reference period with 80k packs supplied. A light grey shaded area from 1 October in Year 1, to 31 March in Year 2 is labelled as the Previous period. A light-yellow shaded area from 1 April in Year 2 to 30 September in Year 2 is labelled as the Current period. A light-yellow box stepping out from the Current period sets out how the stockholding requirement is calculated. The calculation box reads:&#10;Reference period data is available. &#10;Usual demand = 80k packs divided by four = 20k packs.&#10;The third parallel timeline runs from 1 April in Year 1 to 31 March in Year 3 and shows the next 6-month period after the previous timeline, for the brand which was listed on 1 June in Year 1. A light grey shaded area from 1 June in Year 1 to 30 September in Year 1 is labelled as the Initial data collection period. A blue shaded area from 1 October in Year 1, to 31 March in Year 2 is labelled as the Reference period with 120k packs supplied. A dark yellow shaded area from 1 October in Year 2 to 31 March in Year 3 is labelled as the Current period. A dark yellow box stepping out from the Current period sets out how the stockholding requirement is calculated. The calculation box reads:&#10;Reference period is updated, and full six months of data is now available.&#10;Usual demand = 120 k packs divided by 6 &#10;= 20k packs."/>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2562948"/>
                    </a:xfrm>
                    <a:prstGeom prst="rect">
                      <a:avLst/>
                    </a:prstGeom>
                  </pic:spPr>
                </pic:pic>
              </a:graphicData>
            </a:graphic>
          </wp:inline>
        </w:drawing>
      </w:r>
    </w:p>
    <w:p w14:paraId="33AA161E" w14:textId="68D44EF6" w:rsidR="00E50747" w:rsidRPr="007E0156" w:rsidRDefault="00E50747" w:rsidP="00E50747">
      <w:pPr>
        <w:pStyle w:val="Caption"/>
        <w:keepNext/>
        <w:keepLines/>
      </w:pPr>
      <w:r w:rsidRPr="007E0156">
        <w:t xml:space="preserve">Exhibit </w:t>
      </w:r>
      <w:r w:rsidR="00326E15">
        <w:t>4</w:t>
      </w:r>
      <w:r>
        <w:rPr>
          <w:noProof/>
        </w:rPr>
        <w:t xml:space="preserve"> (continued)</w:t>
      </w:r>
      <w:r w:rsidRPr="007E0156">
        <w:t xml:space="preserve">: Calculation of </w:t>
      </w:r>
      <w:r w:rsidR="00B65192">
        <w:t>‘</w:t>
      </w:r>
      <w:r w:rsidRPr="007E0156">
        <w:t>usual demand</w:t>
      </w:r>
      <w:r w:rsidR="00B65192">
        <w:t>’</w:t>
      </w:r>
      <w:r w:rsidRPr="007E0156">
        <w:t xml:space="preserve"> when less than 6 months of PD data is available for the reference period</w:t>
      </w:r>
    </w:p>
    <w:p w14:paraId="3FE9DFB2" w14:textId="77777777" w:rsidR="00B33FF8" w:rsidRPr="007E0156" w:rsidRDefault="00B33FF8" w:rsidP="00F57C00">
      <w:pPr>
        <w:keepLines/>
        <w:jc w:val="center"/>
        <w:rPr>
          <w:noProof/>
        </w:rPr>
      </w:pPr>
      <w:r w:rsidRPr="007E0156">
        <w:rPr>
          <w:noProof/>
          <w:lang w:val="en-AU" w:eastAsia="en-AU"/>
        </w:rPr>
        <w:drawing>
          <wp:inline distT="0" distB="0" distL="0" distR="0" wp14:anchorId="02727417" wp14:editId="1C26784D">
            <wp:extent cx="5960510" cy="2238375"/>
            <wp:effectExtent l="0" t="0" r="2540" b="0"/>
            <wp:docPr id="25" name="Picture 25" descr="The second scenario is labelled “Brand delists and then re-lists during reference period.”&#10;The second scenario has a separate timeline which runs from 1 April in Year 1 to 30 September in Year 2. A blue shaded area from 1 April in Year 1, to 30 September in Year 1 is labelled as the Reference period with 60k packs supplied overall. Part of the blue shaded area from 1 June in Year 1 to 31 August in Year 1 has a dark grey shaded area above it labelled PD data not available, delisted.&#10;A light grey shaded area from 1 October in Year 1, to 31 March in Year 2 is labelled as the Previous period. A yellow shaded area from 1 April in Year 2 to 30 September in Year 2 is labelled as the Current period. A yellow box stepping out from the Current period sets out how the stockholding requirement is calculated. The calculation box reads:&#10;Usual demand for current period defined as:&#10;Average number of packs supplied per month during reference period&#10;= number of packs supplied per month during reference period&#10;= number of packs divided by number of months with PD data&#10;e.g. = 60k packs divided by three&#10;= 20k pa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he second scenario is labelled “Brand delists and then re-lists during reference period.”&#10;The second scenario has a separate timeline which runs from 1 April in Year 1 to 30 September in Year 2. A blue shaded area from 1 April in Year 1, to 30 September in Year 1 is labelled as the Reference period with 60k packs supplied overall. Part of the blue shaded area from 1 June in Year 1 to 31 August in Year 1 has a dark grey shaded area above it labelled PD data not available, delisted.&#10;A light grey shaded area from 1 October in Year 1, to 31 March in Year 2 is labelled as the Previous period. A yellow shaded area from 1 April in Year 2 to 30 September in Year 2 is labelled as the Current period. A yellow box stepping out from the Current period sets out how the stockholding requirement is calculated. The calculation box reads:&#10;Usual demand for current period defined as:&#10;Average number of packs supplied per month during reference period&#10;= number of packs supplied per month during reference period&#10;= number of packs divided by number of months with PD data&#10;e.g. = 60k packs divided by three&#10;= 20k packs"/>
                    <pic:cNvPicPr/>
                  </pic:nvPicPr>
                  <pic:blipFill>
                    <a:blip r:embed="rId32"/>
                    <a:stretch>
                      <a:fillRect/>
                    </a:stretch>
                  </pic:blipFill>
                  <pic:spPr>
                    <a:xfrm>
                      <a:off x="0" y="0"/>
                      <a:ext cx="5971978" cy="2242682"/>
                    </a:xfrm>
                    <a:prstGeom prst="rect">
                      <a:avLst/>
                    </a:prstGeom>
                  </pic:spPr>
                </pic:pic>
              </a:graphicData>
            </a:graphic>
          </wp:inline>
        </w:drawing>
      </w:r>
    </w:p>
    <w:p w14:paraId="1B30F2F2" w14:textId="3889FE80" w:rsidR="00F57C00" w:rsidRPr="007E0156" w:rsidRDefault="00F57C00" w:rsidP="00F57C00">
      <w:pPr>
        <w:pStyle w:val="Caption"/>
        <w:keepNext/>
      </w:pPr>
      <w:bookmarkStart w:id="40" w:name="_Ref107498563"/>
      <w:bookmarkStart w:id="41" w:name="_Ref200547552"/>
      <w:r w:rsidRPr="007E0156">
        <w:lastRenderedPageBreak/>
        <w:t xml:space="preserve">Exhibit </w:t>
      </w:r>
      <w:bookmarkEnd w:id="40"/>
      <w:r w:rsidR="00D42774">
        <w:fldChar w:fldCharType="begin"/>
      </w:r>
      <w:r w:rsidR="00D42774">
        <w:instrText xml:space="preserve"> SEQ Exhibit \* ARABIC </w:instrText>
      </w:r>
      <w:r w:rsidR="00D42774">
        <w:fldChar w:fldCharType="separate"/>
      </w:r>
      <w:r w:rsidR="008A2A42">
        <w:rPr>
          <w:noProof/>
        </w:rPr>
        <w:t>5</w:t>
      </w:r>
      <w:r w:rsidR="00D42774">
        <w:fldChar w:fldCharType="end"/>
      </w:r>
      <w:bookmarkEnd w:id="41"/>
      <w:r w:rsidRPr="007E0156">
        <w:t xml:space="preserve">: Calculation of </w:t>
      </w:r>
      <w:r w:rsidR="00B65192">
        <w:t>‘</w:t>
      </w:r>
      <w:r w:rsidRPr="007E0156">
        <w:t>usual demand</w:t>
      </w:r>
      <w:r w:rsidR="00B65192">
        <w:t>’</w:t>
      </w:r>
      <w:r w:rsidRPr="007E0156">
        <w:t xml:space="preserve"> when more than 6 months of PD data is available for the reference period</w:t>
      </w:r>
    </w:p>
    <w:p w14:paraId="0F275119" w14:textId="77777777" w:rsidR="00B33FF8" w:rsidRPr="007E0156" w:rsidRDefault="00B33FF8" w:rsidP="00B33FF8">
      <w:pPr>
        <w:keepLines/>
        <w:jc w:val="center"/>
        <w:rPr>
          <w:noProof/>
        </w:rPr>
      </w:pPr>
      <w:r w:rsidRPr="007E0156">
        <w:rPr>
          <w:noProof/>
          <w:lang w:val="en-AU" w:eastAsia="en-AU"/>
        </w:rPr>
        <w:drawing>
          <wp:inline distT="0" distB="0" distL="0" distR="0" wp14:anchorId="4F50C7CD" wp14:editId="2F726D06">
            <wp:extent cx="5943600" cy="2697480"/>
            <wp:effectExtent l="0" t="0" r="0" b="7620"/>
            <wp:docPr id="14" name="Picture 14" descr="The exhibit has three parallel timelines showing progression in 6-month increments for a brand which listed on 1 June in Year 1. Segmented color-coded timelines are displayed horizontally with months in each segment and Year 1, Year 2 and Year 3 labelled along the bottom. They are displayed parallel overlapping from 1 April in Year 1.&#10;The first timeline runs from 1 April in Year 1 to 31 March in Year 2. An arrow indicates the brand is listed on 1 June in Year 1. A light grey shaded area from 1 June in Year 1 to 30 September is unlabelled. A light-yellow shaded area from 1 October in Year 1, to 31 March in Year 2 is labelled as the Current period. There is a light-yellow box stepping out from the Current period describing the scenario/timeline as follows:&#10;Brand is new to Price Disclosure, listed from 1 June of Year 1. As of 1 October in Year 1, the brand remains in the initial data collection period.&#10;The second parallel timeline runs from 1 April in Year 1 to 30 September in Year 2 and shows the next 6-month period for the brand which was listed on 1 June in Year 1. A light grey shaded area from 1 June in Year 1, to 31 March in Year 2 is labelled as the Previous period. A light-yellow shaded area from 1 April in Year 2 to 30 September in Year 2 is labelled as the Current period. There is a light-yellow box stepping out from the Current period which reads:&#10;As of 1 April in Year 2, initial data collection period has only just ended. ‘Usual demand’ is not able to be calculated as there is not PD data available in the reference period.&#10;The third parallel timeline runs from 1 April in Year 1 to 31 March in Year 3 and shows the next 6-month period after the previous timeline, for the brand which was listed on 1 June in Year 1. A blue shaded area from 1 June in Year 1 to 31 March in Year 2 is labelled as the Reference period with 200k packs supplied. A light grey shaded area from 1 April in Year 2 to 30 September in Year 2 is labelled as the Previous period. A dark yellow shaded area from 1 October in Year 2 to 31 March in Year 3 is labelled as the Current period. A dark yellow box stepping out from the Current period sets out how the stockholding requirement is calculated. The calculation box reads:&#10;Usual demand for current period – starting from 1 October, Year 3 - is based upon 10 months of reference period data:&#10;Average number of packs supplied per month during reference period&#10;= number of packs divided by number of months with PD data&#10;E.g. = 200k packs divided by ten&#10;= 20k pa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he exhibit has three parallel timelines showing progression in 6-month increments for a brand which listed on 1 June in Year 1. Segmented color-coded timelines are displayed horizontally with months in each segment and Year 1, Year 2 and Year 3 labelled along the bottom. They are displayed parallel overlapping from 1 April in Year 1.&#10;The first timeline runs from 1 April in Year 1 to 31 March in Year 2. An arrow indicates the brand is listed on 1 June in Year 1. A light grey shaded area from 1 June in Year 1 to 30 September is unlabelled. A light-yellow shaded area from 1 October in Year 1, to 31 March in Year 2 is labelled as the Current period. There is a light-yellow box stepping out from the Current period describing the scenario/timeline as follows:&#10;Brand is new to Price Disclosure, listed from 1 June of Year 1. As of 1 October in Year 1, the brand remains in the initial data collection period.&#10;The second parallel timeline runs from 1 April in Year 1 to 30 September in Year 2 and shows the next 6-month period for the brand which was listed on 1 June in Year 1. A light grey shaded area from 1 June in Year 1, to 31 March in Year 2 is labelled as the Previous period. A light-yellow shaded area from 1 April in Year 2 to 30 September in Year 2 is labelled as the Current period. There is a light-yellow box stepping out from the Current period which reads:&#10;As of 1 April in Year 2, initial data collection period has only just ended. ‘Usual demand’ is not able to be calculated as there is not PD data available in the reference period.&#10;The third parallel timeline runs from 1 April in Year 1 to 31 March in Year 3 and shows the next 6-month period after the previous timeline, for the brand which was listed on 1 June in Year 1. A blue shaded area from 1 June in Year 1 to 31 March in Year 2 is labelled as the Reference period with 200k packs supplied. A light grey shaded area from 1 April in Year 2 to 30 September in Year 2 is labelled as the Previous period. A dark yellow shaded area from 1 October in Year 2 to 31 March in Year 3 is labelled as the Current period. A dark yellow box stepping out from the Current period sets out how the stockholding requirement is calculated. The calculation box reads:&#10;Usual demand for current period – starting from 1 October, Year 3 - is based upon 10 months of reference period data:&#10;Average number of packs supplied per month during reference period&#10;= number of packs divided by number of months with PD data&#10;E.g. = 200k packs divided by ten&#10;= 20k packs"/>
                    <pic:cNvPicPr/>
                  </pic:nvPicPr>
                  <pic:blipFill>
                    <a:blip r:embed="rId33"/>
                    <a:stretch>
                      <a:fillRect/>
                    </a:stretch>
                  </pic:blipFill>
                  <pic:spPr>
                    <a:xfrm>
                      <a:off x="0" y="0"/>
                      <a:ext cx="5943600" cy="2697480"/>
                    </a:xfrm>
                    <a:prstGeom prst="rect">
                      <a:avLst/>
                    </a:prstGeom>
                  </pic:spPr>
                </pic:pic>
              </a:graphicData>
            </a:graphic>
          </wp:inline>
        </w:drawing>
      </w:r>
    </w:p>
    <w:p w14:paraId="3B9A4B39" w14:textId="7787D0A9" w:rsidR="00B33FF8" w:rsidRPr="007E0156" w:rsidRDefault="00B33FF8" w:rsidP="00B33FF8">
      <w:pPr>
        <w:pStyle w:val="Heading2"/>
        <w:jc w:val="both"/>
      </w:pPr>
      <w:bookmarkStart w:id="42" w:name="_Determination_of_‘another"/>
      <w:bookmarkStart w:id="43" w:name="_Ref201777880"/>
      <w:bookmarkStart w:id="44" w:name="_Toc205482088"/>
      <w:bookmarkEnd w:id="42"/>
      <w:r w:rsidRPr="007E0156">
        <w:t>Determination of ‘</w:t>
      </w:r>
      <w:r w:rsidR="00871303">
        <w:t>usual PBS demand’</w:t>
      </w:r>
      <w:r w:rsidRPr="007E0156">
        <w:t xml:space="preserve"> where PD data for the reference period is not available</w:t>
      </w:r>
      <w:bookmarkEnd w:id="43"/>
      <w:bookmarkEnd w:id="44"/>
    </w:p>
    <w:p w14:paraId="2944A053" w14:textId="593FC9D5" w:rsidR="00B33FF8" w:rsidRPr="007E0156" w:rsidRDefault="00B33FF8" w:rsidP="001F4457">
      <w:pPr>
        <w:jc w:val="both"/>
      </w:pPr>
      <w:r w:rsidRPr="007E0156">
        <w:t xml:space="preserve">Where PD data for the reference period is not available to calculate </w:t>
      </w:r>
      <w:r w:rsidR="00B65192">
        <w:t>‘</w:t>
      </w:r>
      <w:r w:rsidRPr="007E0156">
        <w:t>usual demand</w:t>
      </w:r>
      <w:r w:rsidR="00B65192">
        <w:t>’</w:t>
      </w:r>
      <w:r w:rsidR="00D71594" w:rsidRPr="007E0156">
        <w:t xml:space="preserve"> (e.g</w:t>
      </w:r>
      <w:r w:rsidR="001D05EE" w:rsidRPr="09A3D074">
        <w:t>.</w:t>
      </w:r>
      <w:r w:rsidR="00D71594" w:rsidRPr="007E0156">
        <w:t xml:space="preserve"> because the brand is not subject to price disclosure)</w:t>
      </w:r>
      <w:r w:rsidRPr="007E0156">
        <w:t>, the Minister may make a minimum stockholding determination</w:t>
      </w:r>
      <w:r w:rsidR="00D71594" w:rsidRPr="007E0156">
        <w:t xml:space="preserve"> (s99AEKC(2) of the Act</w:t>
      </w:r>
      <w:r w:rsidR="00D843A2" w:rsidRPr="007E0156">
        <w:t xml:space="preserve">; see </w:t>
      </w:r>
      <w:hyperlink w:anchor="_Ministerial_determination_of" w:history="1">
        <w:r w:rsidR="00AF4278" w:rsidRPr="00AF4278">
          <w:rPr>
            <w:rStyle w:val="Hyperlink"/>
          </w:rPr>
          <w:t>S</w:t>
        </w:r>
        <w:r w:rsidR="00D843A2" w:rsidRPr="00AF4278">
          <w:rPr>
            <w:rStyle w:val="Hyperlink"/>
          </w:rPr>
          <w:t>ection 6</w:t>
        </w:r>
      </w:hyperlink>
      <w:r w:rsidR="00D843A2" w:rsidRPr="007E0156">
        <w:t xml:space="preserve"> of these Guidelines</w:t>
      </w:r>
      <w:r w:rsidR="00D71594" w:rsidRPr="007E0156">
        <w:t>)</w:t>
      </w:r>
      <w:r w:rsidRPr="007E0156">
        <w:t xml:space="preserve">. </w:t>
      </w:r>
      <w:r w:rsidR="004F6133" w:rsidRPr="007E0156">
        <w:t xml:space="preserve">This may apply, for example, when a designated brand is listed on </w:t>
      </w:r>
      <w:r w:rsidR="000C3A1B">
        <w:t xml:space="preserve">the </w:t>
      </w:r>
      <w:r w:rsidR="004F6133" w:rsidRPr="007E0156">
        <w:t>F1</w:t>
      </w:r>
      <w:r w:rsidR="00135522">
        <w:t xml:space="preserve"> f</w:t>
      </w:r>
      <w:r w:rsidR="001D05EE" w:rsidRPr="09A3D074">
        <w:t xml:space="preserve">ormulary, </w:t>
      </w:r>
      <w:r w:rsidR="000414BE">
        <w:t xml:space="preserve">the </w:t>
      </w:r>
      <w:r w:rsidR="00135522">
        <w:t xml:space="preserve">administrative </w:t>
      </w:r>
      <w:r w:rsidR="000414BE">
        <w:t>combination drugs list (</w:t>
      </w:r>
      <w:r w:rsidR="000414BE" w:rsidRPr="00916DF3">
        <w:rPr>
          <w:b/>
          <w:bCs/>
        </w:rPr>
        <w:t>CDL</w:t>
      </w:r>
      <w:r w:rsidR="000414BE">
        <w:t>)</w:t>
      </w:r>
      <w:r w:rsidR="004F6133" w:rsidRPr="007E0156">
        <w:t xml:space="preserve"> or a brand is </w:t>
      </w:r>
      <w:r w:rsidR="00231B94">
        <w:t xml:space="preserve">listed </w:t>
      </w:r>
      <w:r w:rsidR="004F6133" w:rsidRPr="007E0156">
        <w:t xml:space="preserve">on </w:t>
      </w:r>
      <w:r w:rsidR="00231B94">
        <w:t xml:space="preserve">the </w:t>
      </w:r>
      <w:r w:rsidR="004F6133" w:rsidRPr="007E0156">
        <w:t xml:space="preserve">F2 </w:t>
      </w:r>
      <w:r w:rsidR="00916DF3">
        <w:t xml:space="preserve">formulary </w:t>
      </w:r>
      <w:r w:rsidR="004F6133" w:rsidRPr="007E0156">
        <w:t xml:space="preserve">but exempt from PD. </w:t>
      </w:r>
      <w:r w:rsidRPr="007E0156">
        <w:t>In making such a determination, the Minister may take into account PBS prescription volume data</w:t>
      </w:r>
      <w:r w:rsidR="00570E7E" w:rsidRPr="007E0156">
        <w:t xml:space="preserve"> </w:t>
      </w:r>
      <w:r w:rsidR="00036FD4" w:rsidRPr="007E0156">
        <w:t xml:space="preserve">(based on the date of supply) </w:t>
      </w:r>
      <w:r w:rsidRPr="007E0156">
        <w:t xml:space="preserve">for the reference period and adopt a similar methodology to that used to calculate </w:t>
      </w:r>
      <w:r w:rsidR="00B65192">
        <w:t>‘</w:t>
      </w:r>
      <w:r w:rsidRPr="007E0156">
        <w:t>usual demand</w:t>
      </w:r>
      <w:r w:rsidR="00B65192">
        <w:t>’</w:t>
      </w:r>
      <w:r w:rsidR="00A13D2C" w:rsidRPr="007E0156">
        <w:t xml:space="preserve">. </w:t>
      </w:r>
      <w:r w:rsidR="00BB5CF3">
        <w:t xml:space="preserve">This is referred to as ‘usual PBS demand’. </w:t>
      </w:r>
      <w:r w:rsidR="004E4413" w:rsidRPr="007E0156">
        <w:t xml:space="preserve">See </w:t>
      </w:r>
      <w:r w:rsidR="00C13875" w:rsidRPr="00C13875">
        <w:rPr>
          <w:color w:val="005EB8"/>
          <w:u w:val="single"/>
        </w:rPr>
        <w:fldChar w:fldCharType="begin"/>
      </w:r>
      <w:r w:rsidR="00C13875" w:rsidRPr="00C13875">
        <w:rPr>
          <w:color w:val="005EB8"/>
          <w:u w:val="single"/>
        </w:rPr>
        <w:instrText xml:space="preserve"> REF _Ref200548832 \h </w:instrText>
      </w:r>
      <w:r w:rsidR="00C13875" w:rsidRPr="00C13875">
        <w:rPr>
          <w:color w:val="005EB8"/>
          <w:u w:val="single"/>
        </w:rPr>
      </w:r>
      <w:r w:rsidR="00C13875" w:rsidRPr="00C13875">
        <w:rPr>
          <w:color w:val="005EB8"/>
          <w:u w:val="single"/>
        </w:rPr>
        <w:fldChar w:fldCharType="separate"/>
      </w:r>
      <w:r w:rsidR="008A2A42" w:rsidRPr="007E0156">
        <w:t>Exhibit</w:t>
      </w:r>
      <w:r w:rsidR="008A2A42">
        <w:t xml:space="preserve"> </w:t>
      </w:r>
      <w:r w:rsidR="008A2A42">
        <w:rPr>
          <w:noProof/>
        </w:rPr>
        <w:t>6</w:t>
      </w:r>
      <w:r w:rsidR="00C13875" w:rsidRPr="00C13875">
        <w:rPr>
          <w:color w:val="005EB8"/>
          <w:u w:val="single"/>
        </w:rPr>
        <w:fldChar w:fldCharType="end"/>
      </w:r>
      <w:r w:rsidR="00D63CA3" w:rsidRPr="007E0156">
        <w:t xml:space="preserve"> </w:t>
      </w:r>
      <w:r w:rsidR="004E4413" w:rsidRPr="007E0156">
        <w:t xml:space="preserve">for details. </w:t>
      </w:r>
      <w:r w:rsidR="001F4457" w:rsidRPr="007E0156">
        <w:t xml:space="preserve">Prior to the Minister making a minimum stockholding determination, the </w:t>
      </w:r>
      <w:r w:rsidR="007A785F">
        <w:t>d</w:t>
      </w:r>
      <w:r w:rsidR="001F4457" w:rsidRPr="007E0156">
        <w:t xml:space="preserve">epartment will provide RPs with details of the determination to be made </w:t>
      </w:r>
      <w:r w:rsidR="00E90BAC">
        <w:t xml:space="preserve">(with reference to ‘usual PBS demand’) </w:t>
      </w:r>
      <w:r w:rsidR="001D05EE" w:rsidRPr="09A3D074">
        <w:t>and</w:t>
      </w:r>
      <w:r w:rsidR="001F4457" w:rsidRPr="007E0156">
        <w:t xml:space="preserve"> the basis for any calculations, and provide RPs with the opportunity to seek clarification.</w:t>
      </w:r>
    </w:p>
    <w:p w14:paraId="2B7F6905" w14:textId="00B68EF7" w:rsidR="004E4413" w:rsidRPr="007E0156" w:rsidRDefault="00B33FF8" w:rsidP="000E10BE">
      <w:pPr>
        <w:jc w:val="both"/>
      </w:pPr>
      <w:r w:rsidRPr="007E0156">
        <w:t xml:space="preserve">Once there is PD data available to calculate </w:t>
      </w:r>
      <w:r w:rsidR="00B65192">
        <w:t>‘</w:t>
      </w:r>
      <w:r w:rsidRPr="007E0156">
        <w:t>usual demand</w:t>
      </w:r>
      <w:r w:rsidR="00B65192">
        <w:t>’</w:t>
      </w:r>
      <w:r w:rsidRPr="007E0156">
        <w:t xml:space="preserve">, the determination may be revoked and the RP will be required to hold stock of the </w:t>
      </w:r>
      <w:r w:rsidR="00B65192">
        <w:t>‘</w:t>
      </w:r>
      <w:r w:rsidRPr="007E0156">
        <w:t>usual demand</w:t>
      </w:r>
      <w:r w:rsidR="00B65192">
        <w:t>’</w:t>
      </w:r>
      <w:r w:rsidRPr="007E0156">
        <w:t xml:space="preserve"> calculated in accordance with </w:t>
      </w:r>
      <w:hyperlink w:anchor="_Calculation_of_usual_1" w:history="1">
        <w:r w:rsidRPr="007E0156">
          <w:rPr>
            <w:rStyle w:val="Hyperlink"/>
          </w:rPr>
          <w:t>Section 4.2</w:t>
        </w:r>
      </w:hyperlink>
      <w:r w:rsidRPr="007E0156">
        <w:t xml:space="preserve"> above and the transition diagram in </w:t>
      </w:r>
      <w:r w:rsidR="0021143F" w:rsidRPr="0021143F">
        <w:rPr>
          <w:color w:val="005EB8"/>
          <w:u w:val="single"/>
        </w:rPr>
        <w:fldChar w:fldCharType="begin"/>
      </w:r>
      <w:r w:rsidR="0021143F" w:rsidRPr="0021143F">
        <w:rPr>
          <w:color w:val="005EB8"/>
          <w:u w:val="single"/>
        </w:rPr>
        <w:instrText xml:space="preserve"> REF _Ref200548864 \h </w:instrText>
      </w:r>
      <w:r w:rsidR="0021143F" w:rsidRPr="0021143F">
        <w:rPr>
          <w:color w:val="005EB8"/>
          <w:u w:val="single"/>
        </w:rPr>
      </w:r>
      <w:r w:rsidR="0021143F" w:rsidRPr="0021143F">
        <w:rPr>
          <w:color w:val="005EB8"/>
          <w:u w:val="single"/>
        </w:rPr>
        <w:fldChar w:fldCharType="separate"/>
      </w:r>
      <w:r w:rsidR="008A2A42" w:rsidRPr="007E0156">
        <w:t>Exhibit</w:t>
      </w:r>
      <w:r w:rsidR="008A2A42">
        <w:t xml:space="preserve"> </w:t>
      </w:r>
      <w:r w:rsidR="008A2A42">
        <w:rPr>
          <w:noProof/>
        </w:rPr>
        <w:t>7</w:t>
      </w:r>
      <w:r w:rsidR="0021143F" w:rsidRPr="0021143F">
        <w:rPr>
          <w:color w:val="005EB8"/>
          <w:u w:val="single"/>
        </w:rPr>
        <w:fldChar w:fldCharType="end"/>
      </w:r>
      <w:r w:rsidR="00D63CA3" w:rsidRPr="007E0156">
        <w:t xml:space="preserve"> </w:t>
      </w:r>
      <w:r w:rsidRPr="007E0156">
        <w:t>below. This may apply, for example, when a designated brand has recently moved from F1</w:t>
      </w:r>
      <w:r w:rsidR="008168CF" w:rsidRPr="007E0156">
        <w:t xml:space="preserve"> </w:t>
      </w:r>
      <w:r w:rsidR="00080548">
        <w:t xml:space="preserve">or the CDL </w:t>
      </w:r>
      <w:r w:rsidRPr="007E0156">
        <w:t>to F2</w:t>
      </w:r>
      <w:r w:rsidR="00F64FE5">
        <w:t>,</w:t>
      </w:r>
      <w:r w:rsidR="00B210FC" w:rsidRPr="007E0156">
        <w:t xml:space="preserve"> or</w:t>
      </w:r>
      <w:r w:rsidRPr="007E0156">
        <w:t xml:space="preserve"> a brand on F2 that is exempt from PD ceases to be exempt</w:t>
      </w:r>
      <w:r w:rsidR="00B210FC" w:rsidRPr="007E0156">
        <w:t>.</w:t>
      </w:r>
    </w:p>
    <w:p w14:paraId="3F5B9E1F" w14:textId="30749A05" w:rsidR="000E10BE" w:rsidRPr="007E0156" w:rsidRDefault="000E10BE" w:rsidP="000E10BE">
      <w:pPr>
        <w:pStyle w:val="Caption"/>
        <w:keepNext/>
      </w:pPr>
      <w:bookmarkStart w:id="45" w:name="_Ref107498676"/>
      <w:bookmarkStart w:id="46" w:name="_Ref200548832"/>
      <w:r w:rsidRPr="007E0156">
        <w:lastRenderedPageBreak/>
        <w:t>Exhibit</w:t>
      </w:r>
      <w:bookmarkEnd w:id="45"/>
      <w:r w:rsidR="00036915">
        <w:t xml:space="preserve"> </w:t>
      </w:r>
      <w:fldSimple w:instr=" SEQ Exhibit \* ARABIC ">
        <w:r w:rsidR="008A2A42">
          <w:rPr>
            <w:noProof/>
          </w:rPr>
          <w:t>6</w:t>
        </w:r>
      </w:fldSimple>
      <w:bookmarkEnd w:id="46"/>
      <w:r w:rsidRPr="007E0156">
        <w:t>: Minimum stockholding determination</w:t>
      </w:r>
      <w:r w:rsidR="001D05EE" w:rsidRPr="007E0156">
        <w:t xml:space="preserve"> </w:t>
      </w:r>
      <w:r w:rsidR="0002490D">
        <w:t>of ‘usual PBS demand’</w:t>
      </w:r>
      <w:r w:rsidRPr="007E0156">
        <w:t xml:space="preserve"> based on PBS prescription volume data</w:t>
      </w:r>
    </w:p>
    <w:p w14:paraId="59BDD908" w14:textId="378FBB22" w:rsidR="00C171C0" w:rsidRPr="007E0156" w:rsidRDefault="00C171C0" w:rsidP="005502F6">
      <w:pPr>
        <w:keepLines/>
      </w:pPr>
      <w:r w:rsidRPr="007E0156">
        <w:rPr>
          <w:noProof/>
        </w:rPr>
        <w:drawing>
          <wp:inline distT="0" distB="0" distL="0" distR="0" wp14:anchorId="4AA1CE87" wp14:editId="70481887">
            <wp:extent cx="5943600" cy="2324100"/>
            <wp:effectExtent l="0" t="0" r="0" b="0"/>
            <wp:docPr id="26" name="Picture 26" descr="Timeline indicating how the Minister may use PBS prescription volume data as the basis to make a determination of ‘another quantity’. The segmented color-coded timeline is displayed horizontally with months in each segment and Year 1 and Year 2 labelled along the bottom.&#10;Descriptive text reads “Under this scenario, the Minister will make a determination of another quantity for minimum stockholding based on the average monthly PBS prescription volume.”&#10;A blue shaded area from 1 April in Year 1 to 30 September in Year 1 is labelled as the Reference period with a description indicating that during that period, PBS prescription volume data is available, with 120k packs supplied through the PBS. A light grey shaded area from 1 October in Year 1 to 31 March in Year 2 is labelled as the Previous period. A yellow shaded area from 1 April in Year 2 to 30 September in Year 2 is labelled as the Current period. There are marker arrows pointing to 1 April and 1 October in Year 1 and 1 April in Year 2, indicating the Pricing quantity is a 20 pack for each time period. A stepped out yellow calculation box sets out how the stockholding requirement may be calculated for a minimum stockholding determination based on PBS prescription volume data. The calculation box reads:&#10;Another quantity for stockholding based on:&#10;Average number of packs supplied per month during reference period&#10;= number of packs divided by number of months with PBS prescription volume data&#10;e.g. = 120k packs divided by six&#10;= 20k packs&#10;The minimum stockholding quantity could be 4 or 6 times 20k pa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imeline indicating how the Minister may use PBS prescription volume data as the basis to make a determination of ‘another quantity’. The segmented color-coded timeline is displayed horizontally with months in each segment and Year 1 and Year 2 labelled along the bottom.&#10;Descriptive text reads “Under this scenario, the Minister will make a determination of another quantity for minimum stockholding based on the average monthly PBS prescription volume.”&#10;A blue shaded area from 1 April in Year 1 to 30 September in Year 1 is labelled as the Reference period with a description indicating that during that period, PBS prescription volume data is available, with 120k packs supplied through the PBS. A light grey shaded area from 1 October in Year 1 to 31 March in Year 2 is labelled as the Previous period. A yellow shaded area from 1 April in Year 2 to 30 September in Year 2 is labelled as the Current period. There are marker arrows pointing to 1 April and 1 October in Year 1 and 1 April in Year 2, indicating the Pricing quantity is a 20 pack for each time period. A stepped out yellow calculation box sets out how the stockholding requirement may be calculated for a minimum stockholding determination based on PBS prescription volume data. The calculation box reads:&#10;Another quantity for stockholding based on:&#10;Average number of packs supplied per month during reference period&#10;= number of packs divided by number of months with PBS prescription volume data&#10;e.g. = 120k packs divided by six&#10;= 20k packs&#10;The minimum stockholding quantity could be 4 or 6 times 20k packs."/>
                    <pic:cNvPicPr/>
                  </pic:nvPicPr>
                  <pic:blipFill>
                    <a:blip r:embed="rId34"/>
                    <a:stretch>
                      <a:fillRect/>
                    </a:stretch>
                  </pic:blipFill>
                  <pic:spPr>
                    <a:xfrm>
                      <a:off x="0" y="0"/>
                      <a:ext cx="5943600" cy="2324100"/>
                    </a:xfrm>
                    <a:prstGeom prst="rect">
                      <a:avLst/>
                    </a:prstGeom>
                  </pic:spPr>
                </pic:pic>
              </a:graphicData>
            </a:graphic>
          </wp:inline>
        </w:drawing>
      </w:r>
    </w:p>
    <w:p w14:paraId="5FF0C19E" w14:textId="77777777" w:rsidR="005502F6" w:rsidRPr="007E0156" w:rsidRDefault="005502F6" w:rsidP="00C171C0">
      <w:pPr>
        <w:keepLines/>
      </w:pPr>
    </w:p>
    <w:p w14:paraId="06165573" w14:textId="1E15E485" w:rsidR="000E10BE" w:rsidRPr="007E0156" w:rsidRDefault="000E10BE" w:rsidP="000E10BE">
      <w:pPr>
        <w:pStyle w:val="Caption"/>
        <w:keepNext/>
      </w:pPr>
      <w:bookmarkStart w:id="47" w:name="_Ref107498639"/>
      <w:bookmarkStart w:id="48" w:name="_Ref200548864"/>
      <w:r w:rsidRPr="007E0156">
        <w:t>Exhibit</w:t>
      </w:r>
      <w:bookmarkEnd w:id="47"/>
      <w:r w:rsidR="00036915">
        <w:t xml:space="preserve"> </w:t>
      </w:r>
      <w:fldSimple w:instr=" SEQ Exhibit \* ARABIC ">
        <w:r w:rsidR="008A2A42">
          <w:rPr>
            <w:noProof/>
          </w:rPr>
          <w:t>7</w:t>
        </w:r>
      </w:fldSimple>
      <w:bookmarkEnd w:id="48"/>
      <w:r w:rsidRPr="007E0156">
        <w:t xml:space="preserve">: Transition from minimum stockholding determination </w:t>
      </w:r>
      <w:r w:rsidR="0002490D">
        <w:t xml:space="preserve">of ‘usual PBS demand’ </w:t>
      </w:r>
      <w:r w:rsidRPr="007E0156">
        <w:t xml:space="preserve">to calculation of </w:t>
      </w:r>
      <w:r w:rsidR="00B65192">
        <w:t>‘</w:t>
      </w:r>
      <w:r w:rsidRPr="007E0156">
        <w:t>usual demand</w:t>
      </w:r>
      <w:r w:rsidR="00B65192">
        <w:t>’</w:t>
      </w:r>
    </w:p>
    <w:p w14:paraId="12DC549E" w14:textId="77777777" w:rsidR="00B33FF8" w:rsidRPr="007E0156" w:rsidRDefault="00B33FF8" w:rsidP="00B33FF8">
      <w:pPr>
        <w:keepLines/>
      </w:pPr>
      <w:r w:rsidRPr="007E0156">
        <w:rPr>
          <w:noProof/>
          <w:lang w:val="en-AU" w:eastAsia="en-AU"/>
        </w:rPr>
        <w:drawing>
          <wp:inline distT="0" distB="0" distL="0" distR="0" wp14:anchorId="52AE2638" wp14:editId="215DA436">
            <wp:extent cx="5943600" cy="2501900"/>
            <wp:effectExtent l="0" t="0" r="0" b="0"/>
            <wp:docPr id="17" name="Picture 17" descr="The exhibit has three parallel timelines showing progression in 6-month increments for a brand which is transitioning from a minimum stockholding requirement based on a minimum stockholding determination, to a minimum stockholding requirement based on ‘usual demand’. Segmented color-coded timelines are displayed horizontally with months in each segment and Year 1, Year 2 and Year 3 labelled along the bottom. They are displayed parallel overlapping from 1 April in Year 1.&#10;The first timeline runs from 1 April in Year 1 to 31 March in Year 2. An unshaded area from 1 April in Year 1 to 31 August in Year 1 is labelled to indicate there is no price disclosure. A light-yellow box stepped out of the unshaded area describes the reason for this as “The brand is a designated brand on F1 or CDL, or exempt item on F2. The Minister has made a minimum stockholding determination based on PBS prescription volumes.”&#10;An arrow at 1 September in Year 1 indicates when price disclosure commences. The month of September in Year 1 is shaded light grey. A light-yellow shaded area from 1 October in Year 1, to 31 March in Year 2 is labelled as the Current period. A light-yellow box stepping out from the Current period describes the minimum stockholding requirement:&#10;There is not yet PD data available in the reference period; stockholding requirement continues to be based on the minimum stockholding determination made by the Minister.&#10;The second parallel timeline runs from 1 April in Year 1 to 30 September in Year 2 and shows the next 6-month period for the brand. The unshaded area from 1 April in Year 1 to 31 August in Year 1 is still labelled as ‘No Price disclosure’. A light grey shaded area from 1 September in Year 1 to 31 March in Year 2 is labelled as the Previous period. A light-yellow shaded area from 1 April in Year 2 to 30 September in Year 2 is labelled as the Current period. A light-yellow box stepping out from the Current period describes the minimum stockholding requirement in the same terms as the previous timeline: &#10;There is not yet PD data available in the reference period; stockholding requirement continues to be based on the minimum stockholding determination made by the minister.&#10;The third parallel timeline runs from 1 April in Year 1 to 31 March in Year 3. The unshaded area from 1 April in Year 1 to 31 August in Year 1 is still labelled as ‘No Price disclosure’. A blue shaded area from 1 September in Year 1 to 31 March in Year 2 is labelled as the Reference period. A light grey shaded area from 1 April in Year 2, to 30 September in Year 2 is labelled as the Previous period. A dark yellow shaded area from 1 October in Year 2 to 31 March in Year 3 is labelled as the Current period. There is a dark yellow box stepping out of the Current period which reads:&#10;Brand now has PD data available in the reference period, allowing usual demand to be calculated. Minimum stockholding determination revoked from 1 October in Year 2 and usual demand applies for stockholding requi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he exhibit has three parallel timelines showing progression in 6-month increments for a brand which is transitioning from a minimum stockholding requirement based on a minimum stockholding determination, to a minimum stockholding requirement based on ‘usual demand’. Segmented color-coded timelines are displayed horizontally with months in each segment and Year 1, Year 2 and Year 3 labelled along the bottom. They are displayed parallel overlapping from 1 April in Year 1.&#10;The first timeline runs from 1 April in Year 1 to 31 March in Year 2. An unshaded area from 1 April in Year 1 to 31 August in Year 1 is labelled to indicate there is no price disclosure. A light-yellow box stepped out of the unshaded area describes the reason for this as “The brand is a designated brand on F1 or CDL, or exempt item on F2. The Minister has made a minimum stockholding determination based on PBS prescription volumes.”&#10;An arrow at 1 September in Year 1 indicates when price disclosure commences. The month of September in Year 1 is shaded light grey. A light-yellow shaded area from 1 October in Year 1, to 31 March in Year 2 is labelled as the Current period. A light-yellow box stepping out from the Current period describes the minimum stockholding requirement:&#10;There is not yet PD data available in the reference period; stockholding requirement continues to be based on the minimum stockholding determination made by the Minister.&#10;The second parallel timeline runs from 1 April in Year 1 to 30 September in Year 2 and shows the next 6-month period for the brand. The unshaded area from 1 April in Year 1 to 31 August in Year 1 is still labelled as ‘No Price disclosure’. A light grey shaded area from 1 September in Year 1 to 31 March in Year 2 is labelled as the Previous period. A light-yellow shaded area from 1 April in Year 2 to 30 September in Year 2 is labelled as the Current period. A light-yellow box stepping out from the Current period describes the minimum stockholding requirement in the same terms as the previous timeline: &#10;There is not yet PD data available in the reference period; stockholding requirement continues to be based on the minimum stockholding determination made by the minister.&#10;The third parallel timeline runs from 1 April in Year 1 to 31 March in Year 3. The unshaded area from 1 April in Year 1 to 31 August in Year 1 is still labelled as ‘No Price disclosure’. A blue shaded area from 1 September in Year 1 to 31 March in Year 2 is labelled as the Reference period. A light grey shaded area from 1 April in Year 2, to 30 September in Year 2 is labelled as the Previous period. A dark yellow shaded area from 1 October in Year 2 to 31 March in Year 3 is labelled as the Current period. There is a dark yellow box stepping out of the Current period which reads:&#10;Brand now has PD data available in the reference period, allowing usual demand to be calculated. Minimum stockholding determination revoked from 1 October in Year 2 and usual demand applies for stockholding requirement."/>
                    <pic:cNvPicPr/>
                  </pic:nvPicPr>
                  <pic:blipFill>
                    <a:blip r:embed="rId35"/>
                    <a:stretch>
                      <a:fillRect/>
                    </a:stretch>
                  </pic:blipFill>
                  <pic:spPr>
                    <a:xfrm>
                      <a:off x="0" y="0"/>
                      <a:ext cx="5943600" cy="2501900"/>
                    </a:xfrm>
                    <a:prstGeom prst="rect">
                      <a:avLst/>
                    </a:prstGeom>
                  </pic:spPr>
                </pic:pic>
              </a:graphicData>
            </a:graphic>
          </wp:inline>
        </w:drawing>
      </w:r>
    </w:p>
    <w:p w14:paraId="29A6FB21" w14:textId="23015861" w:rsidR="00B33FF8" w:rsidRPr="007E0156" w:rsidRDefault="00B33FF8" w:rsidP="00B33FF8">
      <w:pPr>
        <w:jc w:val="both"/>
      </w:pPr>
      <w:r w:rsidRPr="007E0156">
        <w:t>When the Minister makes a minimum stockholding determination</w:t>
      </w:r>
      <w:r w:rsidR="0097152A">
        <w:t xml:space="preserve"> of ‘usual PBS demand’</w:t>
      </w:r>
      <w:r w:rsidRPr="007E0156">
        <w:t xml:space="preserve"> the determination will be effective from a future date which provides the RP with time to prepare to </w:t>
      </w:r>
      <w:r w:rsidR="00A13D2C" w:rsidRPr="007E0156">
        <w:t xml:space="preserve">hold </w:t>
      </w:r>
      <w:r w:rsidRPr="007E0156">
        <w:t xml:space="preserve">the required quantity of stock (see </w:t>
      </w:r>
      <w:hyperlink w:anchor="_Lead_time_for" w:history="1">
        <w:r w:rsidRPr="007E0156">
          <w:rPr>
            <w:rStyle w:val="Emphasis"/>
          </w:rPr>
          <w:fldChar w:fldCharType="begin"/>
        </w:r>
        <w:r w:rsidRPr="007E0156">
          <w:rPr>
            <w:rStyle w:val="Emphasis"/>
          </w:rPr>
          <w:instrText xml:space="preserve"> REF _Ref106974080 \n \h  \* MERGEFORMAT </w:instrText>
        </w:r>
        <w:r w:rsidRPr="007E0156">
          <w:rPr>
            <w:rStyle w:val="Emphasis"/>
          </w:rPr>
        </w:r>
        <w:r w:rsidRPr="007E0156">
          <w:rPr>
            <w:rStyle w:val="Emphasis"/>
          </w:rPr>
          <w:fldChar w:fldCharType="separate"/>
        </w:r>
        <w:r w:rsidR="008A2A42">
          <w:rPr>
            <w:rStyle w:val="Emphasis"/>
          </w:rPr>
          <w:t>Section 5.2</w:t>
        </w:r>
        <w:r w:rsidRPr="007E0156">
          <w:rPr>
            <w:rStyle w:val="Emphasis"/>
          </w:rPr>
          <w:fldChar w:fldCharType="end"/>
        </w:r>
      </w:hyperlink>
      <w:r w:rsidRPr="007E0156">
        <w:t>).</w:t>
      </w:r>
    </w:p>
    <w:p w14:paraId="05FCF0A4" w14:textId="17EA0B56" w:rsidR="00B33FF8" w:rsidRPr="007E0156" w:rsidRDefault="001F4457" w:rsidP="00B33FF8">
      <w:pPr>
        <w:jc w:val="both"/>
      </w:pPr>
      <w:r w:rsidRPr="007E0156">
        <w:t xml:space="preserve">Designated brands listed on F1 or </w:t>
      </w:r>
      <w:r w:rsidR="00080548">
        <w:t xml:space="preserve">the CDL </w:t>
      </w:r>
      <w:r w:rsidR="001D05EE" w:rsidRPr="09A3D074">
        <w:t xml:space="preserve">or </w:t>
      </w:r>
      <w:r w:rsidRPr="007E0156">
        <w:t xml:space="preserve">which are exempt items on F2 will usually have PBS prescription volume data in the reference period to assist the Minister in making a minimum stockholding determination </w:t>
      </w:r>
      <w:r w:rsidR="0097152A">
        <w:t>of ‘usual PBS demand’</w:t>
      </w:r>
      <w:r w:rsidR="001D05EE" w:rsidRPr="09A3D074">
        <w:t xml:space="preserve"> as outlined above.</w:t>
      </w:r>
    </w:p>
    <w:p w14:paraId="6C574FBE" w14:textId="77777777" w:rsidR="001D05EE" w:rsidRPr="007E0156" w:rsidRDefault="001D05EE" w:rsidP="001D05EE">
      <w:pPr>
        <w:jc w:val="both"/>
      </w:pPr>
      <w:bookmarkStart w:id="49" w:name="_Minimum_stockholding_requirements_1"/>
      <w:bookmarkEnd w:id="49"/>
      <w:r w:rsidRPr="09A3D074">
        <w:t xml:space="preserve">For a </w:t>
      </w:r>
      <w:r w:rsidR="009D7EA5">
        <w:t xml:space="preserve">newly listed </w:t>
      </w:r>
      <w:r w:rsidRPr="09A3D074">
        <w:t>brand for which there is no PD data or PBS prescription volume data for the reference period,</w:t>
      </w:r>
      <w:r w:rsidR="001943CF">
        <w:t xml:space="preserve"> neither </w:t>
      </w:r>
      <w:r w:rsidRPr="09A3D074">
        <w:t>‘usual demand’</w:t>
      </w:r>
      <w:r w:rsidR="001943CF">
        <w:t xml:space="preserve"> nor </w:t>
      </w:r>
      <w:r w:rsidR="005B4683">
        <w:t>’usual PBS demand’ (as relevant)</w:t>
      </w:r>
      <w:r w:rsidRPr="09A3D074">
        <w:t xml:space="preserve"> can be calculated</w:t>
      </w:r>
      <w:r w:rsidR="00D143C1">
        <w:t xml:space="preserve">. </w:t>
      </w:r>
      <w:r w:rsidR="00E30F97">
        <w:t xml:space="preserve">The </w:t>
      </w:r>
      <w:r w:rsidRPr="09A3D074">
        <w:t xml:space="preserve">quantity </w:t>
      </w:r>
      <w:r w:rsidRPr="09A3D074">
        <w:lastRenderedPageBreak/>
        <w:t>required to be kept in stock by the RP will be taken to be zero until there is data for ‘usual demand’</w:t>
      </w:r>
      <w:r w:rsidR="003D1E69">
        <w:t>/’usual PBS demand’</w:t>
      </w:r>
      <w:r w:rsidRPr="09A3D074">
        <w:t xml:space="preserve"> to be calculated for the reference period. This will be the case for new generic brand listings</w:t>
      </w:r>
      <w:r w:rsidR="00C4489C">
        <w:t xml:space="preserve"> for example</w:t>
      </w:r>
      <w:r w:rsidRPr="09A3D074">
        <w:t>.</w:t>
      </w:r>
      <w:r w:rsidR="00F85D90">
        <w:t xml:space="preserve"> </w:t>
      </w:r>
      <w:r w:rsidR="00251A51">
        <w:t xml:space="preserve">Once data is available, </w:t>
      </w:r>
      <w:r w:rsidR="00F85D90">
        <w:t>RPs will be notified of the quantity calculated as usual demand/usual PBS demand</w:t>
      </w:r>
      <w:r w:rsidR="00096E63">
        <w:t>.</w:t>
      </w:r>
    </w:p>
    <w:p w14:paraId="53A87A46" w14:textId="122B6072" w:rsidR="00B33FF8" w:rsidRPr="007E0156" w:rsidRDefault="00B33FF8" w:rsidP="00B33FF8">
      <w:pPr>
        <w:pStyle w:val="Heading2"/>
        <w:jc w:val="both"/>
      </w:pPr>
      <w:bookmarkStart w:id="50" w:name="_Toc205482089"/>
      <w:r w:rsidRPr="007E0156">
        <w:t xml:space="preserve">Minimum stockholding requirements </w:t>
      </w:r>
      <w:r w:rsidR="001D773D">
        <w:t>leading up to</w:t>
      </w:r>
      <w:r w:rsidRPr="007E0156">
        <w:t xml:space="preserve"> de-listing</w:t>
      </w:r>
      <w:bookmarkEnd w:id="50"/>
    </w:p>
    <w:p w14:paraId="0167C033" w14:textId="3DEE35B9" w:rsidR="00B33FF8" w:rsidRPr="007E0156" w:rsidRDefault="00B33FF8" w:rsidP="00B33FF8">
      <w:pPr>
        <w:jc w:val="both"/>
        <w:rPr>
          <w:noProof/>
        </w:rPr>
      </w:pPr>
      <w:r w:rsidRPr="007E0156">
        <w:rPr>
          <w:noProof/>
        </w:rPr>
        <w:t>An application by a</w:t>
      </w:r>
      <w:r w:rsidR="00A56932">
        <w:rPr>
          <w:noProof/>
        </w:rPr>
        <w:t>n</w:t>
      </w:r>
      <w:r w:rsidRPr="007E0156">
        <w:rPr>
          <w:noProof/>
        </w:rPr>
        <w:t xml:space="preserve"> RP for a brand to be de-listed may arise under two scenarios:</w:t>
      </w:r>
    </w:p>
    <w:p w14:paraId="0445262B" w14:textId="090D1CE8" w:rsidR="00B33FF8" w:rsidRPr="007E0156" w:rsidRDefault="00B33FF8" w:rsidP="005A2644">
      <w:pPr>
        <w:pStyle w:val="ListParagraph"/>
        <w:numPr>
          <w:ilvl w:val="0"/>
          <w:numId w:val="25"/>
        </w:numPr>
        <w:jc w:val="both"/>
        <w:rPr>
          <w:b/>
          <w:bCs/>
          <w:noProof/>
        </w:rPr>
      </w:pPr>
      <w:r w:rsidRPr="007E0156">
        <w:rPr>
          <w:b/>
          <w:bCs/>
          <w:noProof/>
        </w:rPr>
        <w:t xml:space="preserve">Brand deletion: </w:t>
      </w:r>
      <w:r w:rsidRPr="007E0156">
        <w:rPr>
          <w:noProof/>
        </w:rPr>
        <w:t>If the brand is one of several brands of the pharmaceutical item listed, then Pharmaceutical Benefits Advisory Committee (</w:t>
      </w:r>
      <w:r w:rsidRPr="007E0156">
        <w:rPr>
          <w:b/>
          <w:bCs/>
          <w:noProof/>
        </w:rPr>
        <w:t>PBAC</w:t>
      </w:r>
      <w:r w:rsidRPr="007E0156">
        <w:rPr>
          <w:noProof/>
        </w:rPr>
        <w:t xml:space="preserve">) advice is </w:t>
      </w:r>
      <w:r w:rsidR="0098522D">
        <w:rPr>
          <w:noProof/>
        </w:rPr>
        <w:t xml:space="preserve">generally </w:t>
      </w:r>
      <w:r w:rsidRPr="007E0156">
        <w:rPr>
          <w:noProof/>
        </w:rPr>
        <w:t xml:space="preserve">not required for the </w:t>
      </w:r>
      <w:r w:rsidR="00641659">
        <w:rPr>
          <w:noProof/>
        </w:rPr>
        <w:br/>
      </w:r>
      <w:r w:rsidRPr="007E0156">
        <w:rPr>
          <w:noProof/>
        </w:rPr>
        <w:t>de-lis</w:t>
      </w:r>
      <w:r w:rsidR="008168CF" w:rsidRPr="007E0156">
        <w:rPr>
          <w:noProof/>
        </w:rPr>
        <w:t>ting</w:t>
      </w:r>
      <w:r w:rsidRPr="007E0156">
        <w:rPr>
          <w:noProof/>
        </w:rPr>
        <w:t xml:space="preserve"> request.</w:t>
      </w:r>
    </w:p>
    <w:p w14:paraId="6BD5F797" w14:textId="6F940546" w:rsidR="00B33FF8" w:rsidRPr="007E0156" w:rsidRDefault="00B33FF8" w:rsidP="005A2644">
      <w:pPr>
        <w:pStyle w:val="ListParagraph"/>
        <w:numPr>
          <w:ilvl w:val="0"/>
          <w:numId w:val="25"/>
        </w:numPr>
        <w:jc w:val="both"/>
        <w:rPr>
          <w:noProof/>
        </w:rPr>
      </w:pPr>
      <w:r w:rsidRPr="007E0156">
        <w:rPr>
          <w:b/>
        </w:rPr>
        <w:t>Item deletion:</w:t>
      </w:r>
      <w:r w:rsidRPr="007E0156">
        <w:rPr>
          <w:noProof/>
        </w:rPr>
        <w:t xml:space="preserve"> </w:t>
      </w:r>
      <w:r w:rsidRPr="007E0156">
        <w:t>If the brand is the only brand of the pharmaceutical item listed, PBAC advice is generally required before the brand is de-listed</w:t>
      </w:r>
      <w:r w:rsidR="001D05EE" w:rsidRPr="09A3D074">
        <w:t>.</w:t>
      </w:r>
      <w:r w:rsidR="000C74A4">
        <w:t xml:space="preserve"> </w:t>
      </w:r>
      <w:r w:rsidR="002F3D5B">
        <w:t xml:space="preserve">Where </w:t>
      </w:r>
      <w:r w:rsidR="005856DE">
        <w:t xml:space="preserve">delisting applications are submitted for </w:t>
      </w:r>
      <w:r w:rsidR="002F3D5B">
        <w:t>all brands of a pharmaceutical item</w:t>
      </w:r>
      <w:r w:rsidR="005856DE">
        <w:t xml:space="preserve">, PBAC advice </w:t>
      </w:r>
      <w:r w:rsidR="00DE0DB6">
        <w:t xml:space="preserve">may be required </w:t>
      </w:r>
      <w:r w:rsidR="005856DE">
        <w:t xml:space="preserve">before </w:t>
      </w:r>
      <w:r w:rsidR="00572C15">
        <w:t>those brands</w:t>
      </w:r>
      <w:r w:rsidR="00062985">
        <w:t xml:space="preserve"> are delisted</w:t>
      </w:r>
      <w:r w:rsidR="00B42799">
        <w:t>.</w:t>
      </w:r>
    </w:p>
    <w:p w14:paraId="0A885B7F" w14:textId="1D78FC3A" w:rsidR="00B33FF8" w:rsidRPr="007E0156" w:rsidRDefault="00B33FF8" w:rsidP="00B33FF8">
      <w:pPr>
        <w:jc w:val="both"/>
      </w:pPr>
      <w:r w:rsidRPr="007E0156">
        <w:t xml:space="preserve">More detail is available on the </w:t>
      </w:r>
      <w:hyperlink r:id="rId36" w:anchor="delete_my_product">
        <w:r w:rsidR="001D05EE" w:rsidRPr="09A3D074">
          <w:rPr>
            <w:rStyle w:val="Hyperlink"/>
          </w:rPr>
          <w:t>PBS website</w:t>
        </w:r>
      </w:hyperlink>
      <w:r w:rsidRPr="007E0156">
        <w:t xml:space="preserve"> regarding these two scenarios. Note that if a brand delists, the RP is required to provide PD data </w:t>
      </w:r>
      <w:r w:rsidR="002C077B">
        <w:t xml:space="preserve">and stockholding disclosure (see </w:t>
      </w:r>
      <w:hyperlink w:anchor="_Stockholding_disclosure_requirement" w:history="1">
        <w:r w:rsidR="002E7D55" w:rsidRPr="002E7D55">
          <w:rPr>
            <w:rStyle w:val="Hyperlink"/>
          </w:rPr>
          <w:t>Section 7.1</w:t>
        </w:r>
      </w:hyperlink>
      <w:r w:rsidR="002E7D55">
        <w:t xml:space="preserve">) </w:t>
      </w:r>
      <w:r w:rsidR="001D05EE" w:rsidRPr="09A3D074">
        <w:t xml:space="preserve">up to </w:t>
      </w:r>
      <w:r w:rsidR="0088025B">
        <w:t>the</w:t>
      </w:r>
      <w:r w:rsidRPr="007E0156">
        <w:t xml:space="preserve"> date of delisting.</w:t>
      </w:r>
    </w:p>
    <w:p w14:paraId="2C2AC020" w14:textId="008B91CC" w:rsidR="00B33FF8" w:rsidRPr="007E0156" w:rsidRDefault="00B33FF8" w:rsidP="002B7935">
      <w:pPr>
        <w:pStyle w:val="Caption"/>
        <w:spacing w:before="0" w:after="160" w:line="259" w:lineRule="auto"/>
        <w:jc w:val="both"/>
        <w:rPr>
          <w:b w:val="0"/>
          <w:iCs w:val="0"/>
          <w:color w:val="auto"/>
          <w:sz w:val="20"/>
          <w:szCs w:val="20"/>
        </w:rPr>
      </w:pPr>
      <w:r w:rsidRPr="007E0156">
        <w:rPr>
          <w:b w:val="0"/>
          <w:color w:val="auto"/>
          <w:sz w:val="20"/>
        </w:rPr>
        <w:t xml:space="preserve">For a brand deletion, the Minister will make a minimum stockholding determination that specifies that the applicable quantity is zero </w:t>
      </w:r>
      <w:r w:rsidR="001F4457" w:rsidRPr="007E0156">
        <w:rPr>
          <w:b w:val="0"/>
          <w:color w:val="auto"/>
          <w:sz w:val="20"/>
        </w:rPr>
        <w:t xml:space="preserve">as </w:t>
      </w:r>
      <w:r w:rsidRPr="007E0156">
        <w:rPr>
          <w:b w:val="0"/>
          <w:color w:val="auto"/>
          <w:sz w:val="20"/>
        </w:rPr>
        <w:t xml:space="preserve">soon as possible after the date that the de-listing application is received by the </w:t>
      </w:r>
      <w:r w:rsidR="007A785F">
        <w:rPr>
          <w:b w:val="0"/>
          <w:color w:val="auto"/>
          <w:sz w:val="20"/>
        </w:rPr>
        <w:t>d</w:t>
      </w:r>
      <w:r w:rsidRPr="007E0156">
        <w:rPr>
          <w:b w:val="0"/>
          <w:color w:val="auto"/>
          <w:sz w:val="20"/>
        </w:rPr>
        <w:t>epartment</w:t>
      </w:r>
      <w:r w:rsidR="00422111" w:rsidRPr="007E0156">
        <w:rPr>
          <w:b w:val="0"/>
          <w:color w:val="auto"/>
          <w:sz w:val="20"/>
        </w:rPr>
        <w:t xml:space="preserve"> (however any determination will not be effective any earlier than 6 months prior to the proposed delisting date)</w:t>
      </w:r>
      <w:r w:rsidRPr="007E0156">
        <w:rPr>
          <w:b w:val="0"/>
          <w:color w:val="auto"/>
          <w:sz w:val="20"/>
        </w:rPr>
        <w:t>.</w:t>
      </w:r>
      <w:r w:rsidRPr="007E0156">
        <w:rPr>
          <w:b w:val="0"/>
          <w:iCs w:val="0"/>
          <w:color w:val="auto"/>
          <w:sz w:val="20"/>
          <w:szCs w:val="20"/>
        </w:rPr>
        <w:t xml:space="preserve"> For an item deletion</w:t>
      </w:r>
      <w:r w:rsidR="007700AB" w:rsidRPr="007E0156">
        <w:rPr>
          <w:b w:val="0"/>
          <w:iCs w:val="0"/>
          <w:color w:val="auto"/>
          <w:sz w:val="20"/>
          <w:szCs w:val="20"/>
        </w:rPr>
        <w:t xml:space="preserve"> (in the circumstances above)</w:t>
      </w:r>
      <w:r w:rsidRPr="007E0156">
        <w:rPr>
          <w:b w:val="0"/>
          <w:iCs w:val="0"/>
          <w:color w:val="auto"/>
          <w:sz w:val="20"/>
          <w:szCs w:val="20"/>
        </w:rPr>
        <w:t>, the Minister will await the PBAC advice (where applicable) and the outcome of the de-listing application before making a minimum stockholding determination for the brand. When a</w:t>
      </w:r>
      <w:r w:rsidR="00264EBA" w:rsidRPr="007E0156">
        <w:rPr>
          <w:b w:val="0"/>
          <w:iCs w:val="0"/>
          <w:color w:val="auto"/>
          <w:sz w:val="20"/>
          <w:szCs w:val="20"/>
        </w:rPr>
        <w:t xml:space="preserve">n item </w:t>
      </w:r>
      <w:r w:rsidRPr="007E0156">
        <w:rPr>
          <w:b w:val="0"/>
          <w:iCs w:val="0"/>
          <w:color w:val="auto"/>
          <w:sz w:val="20"/>
          <w:szCs w:val="20"/>
        </w:rPr>
        <w:t xml:space="preserve">is approved to de-list from the PBS, the Minister will make a minimum stockholding determination that specifies that the applicable quantity is zero, effective from as soon as possible after the date approval is given to de-list (see </w:t>
      </w:r>
      <w:r w:rsidR="0021143F" w:rsidRPr="00A97E2C">
        <w:rPr>
          <w:b w:val="0"/>
          <w:iCs w:val="0"/>
          <w:color w:val="auto"/>
          <w:sz w:val="20"/>
          <w:szCs w:val="20"/>
          <w:u w:val="single"/>
        </w:rPr>
        <w:fldChar w:fldCharType="begin"/>
      </w:r>
      <w:r w:rsidR="0021143F" w:rsidRPr="00A97E2C">
        <w:rPr>
          <w:b w:val="0"/>
          <w:iCs w:val="0"/>
          <w:color w:val="auto"/>
          <w:sz w:val="20"/>
          <w:szCs w:val="20"/>
          <w:u w:val="single"/>
        </w:rPr>
        <w:instrText xml:space="preserve"> REF _Ref200548907 \h  \* MERGEFORMAT </w:instrText>
      </w:r>
      <w:r w:rsidR="0021143F" w:rsidRPr="00A97E2C">
        <w:rPr>
          <w:b w:val="0"/>
          <w:iCs w:val="0"/>
          <w:color w:val="auto"/>
          <w:sz w:val="20"/>
          <w:szCs w:val="20"/>
          <w:u w:val="single"/>
        </w:rPr>
      </w:r>
      <w:r w:rsidR="0021143F" w:rsidRPr="00A97E2C">
        <w:rPr>
          <w:b w:val="0"/>
          <w:iCs w:val="0"/>
          <w:color w:val="auto"/>
          <w:sz w:val="20"/>
          <w:szCs w:val="20"/>
          <w:u w:val="single"/>
        </w:rPr>
        <w:fldChar w:fldCharType="separate"/>
      </w:r>
      <w:r w:rsidR="008A2A42" w:rsidRPr="008A2A42">
        <w:rPr>
          <w:b w:val="0"/>
          <w:sz w:val="20"/>
          <w:szCs w:val="20"/>
          <w:u w:val="single"/>
        </w:rPr>
        <w:t xml:space="preserve">Exhibit </w:t>
      </w:r>
      <w:r w:rsidR="008A2A42" w:rsidRPr="008A2A42">
        <w:rPr>
          <w:b w:val="0"/>
          <w:noProof/>
          <w:sz w:val="20"/>
          <w:szCs w:val="20"/>
          <w:u w:val="single"/>
        </w:rPr>
        <w:t>8</w:t>
      </w:r>
      <w:r w:rsidR="0021143F" w:rsidRPr="00A97E2C">
        <w:rPr>
          <w:b w:val="0"/>
          <w:iCs w:val="0"/>
          <w:color w:val="auto"/>
          <w:sz w:val="20"/>
          <w:szCs w:val="20"/>
          <w:u w:val="single"/>
        </w:rPr>
        <w:fldChar w:fldCharType="end"/>
      </w:r>
      <w:r w:rsidR="001D05EE" w:rsidRPr="0021143F">
        <w:rPr>
          <w:bCs/>
          <w:iCs w:val="0"/>
          <w:color w:val="auto"/>
          <w:sz w:val="20"/>
          <w:szCs w:val="20"/>
          <w:u w:val="single"/>
        </w:rPr>
        <w:t>)</w:t>
      </w:r>
      <w:r w:rsidR="001D05EE" w:rsidRPr="007E0156">
        <w:rPr>
          <w:b w:val="0"/>
          <w:iCs w:val="0"/>
          <w:color w:val="auto"/>
          <w:sz w:val="20"/>
          <w:szCs w:val="20"/>
        </w:rPr>
        <w:t>.</w:t>
      </w:r>
      <w:r w:rsidR="00F0031D">
        <w:rPr>
          <w:b w:val="0"/>
          <w:iCs w:val="0"/>
          <w:color w:val="auto"/>
          <w:sz w:val="20"/>
          <w:szCs w:val="20"/>
        </w:rPr>
        <w:t xml:space="preserve"> These determinations are made of the Minister’s own volition. It is not necessary for </w:t>
      </w:r>
      <w:r w:rsidR="00B20774">
        <w:rPr>
          <w:b w:val="0"/>
          <w:iCs w:val="0"/>
          <w:color w:val="auto"/>
          <w:sz w:val="20"/>
          <w:szCs w:val="20"/>
        </w:rPr>
        <w:t xml:space="preserve">an </w:t>
      </w:r>
      <w:r w:rsidR="00F0031D">
        <w:rPr>
          <w:b w:val="0"/>
          <w:iCs w:val="0"/>
          <w:color w:val="auto"/>
          <w:sz w:val="20"/>
          <w:szCs w:val="20"/>
        </w:rPr>
        <w:t xml:space="preserve">RP to apply for </w:t>
      </w:r>
      <w:r w:rsidR="00B20774">
        <w:rPr>
          <w:b w:val="0"/>
          <w:iCs w:val="0"/>
          <w:color w:val="auto"/>
          <w:sz w:val="20"/>
          <w:szCs w:val="20"/>
        </w:rPr>
        <w:t>these determinations at the same time that the RP applies to delist a brand.</w:t>
      </w:r>
    </w:p>
    <w:p w14:paraId="4708A680" w14:textId="77777777" w:rsidR="00D0156E" w:rsidRPr="00D0156E" w:rsidRDefault="00AD2FC9" w:rsidP="009713F4">
      <w:pPr>
        <w:jc w:val="both"/>
      </w:pPr>
      <w:r>
        <w:t xml:space="preserve">Where the quantity calculated as usual demand or usual PBS demand is zero for </w:t>
      </w:r>
      <w:r w:rsidR="005B4C24">
        <w:t>any</w:t>
      </w:r>
      <w:r w:rsidR="00A676CD">
        <w:t xml:space="preserve"> </w:t>
      </w:r>
      <w:r w:rsidR="00DB6FF6">
        <w:t xml:space="preserve">stockholding period </w:t>
      </w:r>
      <w:r w:rsidR="00A676CD">
        <w:t xml:space="preserve">prior to when a brand </w:t>
      </w:r>
      <w:r w:rsidR="00072DFD">
        <w:t xml:space="preserve">is expected to delist from the PBS, </w:t>
      </w:r>
      <w:r w:rsidR="009742E5">
        <w:t xml:space="preserve">it is not necessary to also make a </w:t>
      </w:r>
      <w:r w:rsidR="0063043A">
        <w:t xml:space="preserve">minimum stockholding determination. RPs will be notified by email where </w:t>
      </w:r>
      <w:r w:rsidR="007D12C1">
        <w:t>this applies.</w:t>
      </w:r>
    </w:p>
    <w:p w14:paraId="604CCCB3" w14:textId="772E1AE1" w:rsidR="000E10BE" w:rsidRPr="007E0156" w:rsidRDefault="000E10BE" w:rsidP="000E10BE">
      <w:pPr>
        <w:pStyle w:val="Caption"/>
        <w:keepNext/>
      </w:pPr>
      <w:bookmarkStart w:id="51" w:name="_Ref107498819"/>
      <w:bookmarkStart w:id="52" w:name="_Ref200548907"/>
      <w:r w:rsidRPr="007E0156">
        <w:t>Exhibit</w:t>
      </w:r>
      <w:bookmarkEnd w:id="51"/>
      <w:r w:rsidR="00036915">
        <w:t xml:space="preserve"> </w:t>
      </w:r>
      <w:fldSimple w:instr=" SEQ Exhibit \* ARABIC ">
        <w:r w:rsidR="008A2A42">
          <w:rPr>
            <w:noProof/>
          </w:rPr>
          <w:t>8</w:t>
        </w:r>
      </w:fldSimple>
      <w:bookmarkEnd w:id="52"/>
      <w:r w:rsidRPr="007E0156">
        <w:t>: De-listing of a brand resulting in minimum stockholding determination specifying applicable quantity of zero</w:t>
      </w:r>
    </w:p>
    <w:p w14:paraId="08A4A274" w14:textId="77777777" w:rsidR="00B33FF8" w:rsidRPr="007E0156" w:rsidRDefault="00B33FF8" w:rsidP="00B33FF8">
      <w:r w:rsidRPr="007E0156">
        <w:rPr>
          <w:noProof/>
          <w:lang w:val="en-AU" w:eastAsia="en-AU"/>
        </w:rPr>
        <w:drawing>
          <wp:inline distT="0" distB="0" distL="0" distR="0" wp14:anchorId="6FE5F773" wp14:editId="3213F045">
            <wp:extent cx="5943600" cy="2057399"/>
            <wp:effectExtent l="0" t="0" r="0" b="635"/>
            <wp:docPr id="18" name="Picture 18" descr="A segmented colour-coded timeline is displayed horizontally, with a description that “When a de-list application is made, the Minister determines another quantity as zero, effective as soon as possible after the brand delist application is made or a PBAC recommendation is made for item delist request.”&#10;The timeline runs from 1 April in Year 1 to 30 September in Year 2. The timeline has months in each segment and ‘Year 1’, ‘Year 2’ labelled along the bottom.&#10;A blue shaded area from 1 April in Year 1 to 30 September in Year 1 is labelled as the Reference period. A light grey shaded area from 1 October in Year 1 to 31 March in Year 2 is labelled as the Previous period. The Current period from 1 April in Year 2 to 30 September in Year 2 has different colour shading with labelling to indicate the minimum stockholding requirement in each period. An arrow at 1 May in Year 2, indicates – Brand delist application made or PBAC recommendation made for item delist.&#10;The month of April in Year 2 is shaded yellow and has a stepped-out box indicating that “Stockholding based on usual demand applies”. After the marker on 1 May in Year 2, the area from 1 May in Year 2 to 31 August in Year 2 is shaded khaki and has a stepped-out box indicating that “Minimum stockholding determination of zero is made due to impending de-list.” The month of September in Year 2 is shaded dark grey and has a stepped-out box indicating that the brand is delisted in that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egmented colour-coded timeline is displayed horizontally, with a description that “When a de-list application is made, the Minister determines another quantity as zero, effective as soon as possible after the brand delist application is made or a PBAC recommendation is made for item delist request.”&#10;The timeline runs from 1 April in Year 1 to 30 September in Year 2. The timeline has months in each segment and ‘Year 1’, ‘Year 2’ labelled along the bottom.&#10;A blue shaded area from 1 April in Year 1 to 30 September in Year 1 is labelled as the Reference period. A light grey shaded area from 1 October in Year 1 to 31 March in Year 2 is labelled as the Previous period. The Current period from 1 April in Year 2 to 30 September in Year 2 has different colour shading with labelling to indicate the minimum stockholding requirement in each period. An arrow at 1 May in Year 2, indicates – Brand delist application made or PBAC recommendation made for item delist.&#10;The month of April in Year 2 is shaded yellow and has a stepped-out box indicating that “Stockholding based on usual demand applies”. After the marker on 1 May in Year 2, the area from 1 May in Year 2 to 31 August in Year 2 is shaded khaki and has a stepped-out box indicating that “Minimum stockholding determination of zero is made due to impending de-list.” The month of September in Year 2 is shaded dark grey and has a stepped-out box indicating that the brand is delisted in that period."/>
                    <pic:cNvPicPr/>
                  </pic:nvPicPr>
                  <pic:blipFill>
                    <a:blip r:embed="rId37">
                      <a:extLst>
                        <a:ext uri="{28A0092B-C50C-407E-A947-70E740481C1C}">
                          <a14:useLocalDpi xmlns:a14="http://schemas.microsoft.com/office/drawing/2010/main" val="0"/>
                        </a:ext>
                      </a:extLst>
                    </a:blip>
                    <a:stretch>
                      <a:fillRect/>
                    </a:stretch>
                  </pic:blipFill>
                  <pic:spPr>
                    <a:xfrm>
                      <a:off x="0" y="0"/>
                      <a:ext cx="5943600" cy="2057399"/>
                    </a:xfrm>
                    <a:prstGeom prst="rect">
                      <a:avLst/>
                    </a:prstGeom>
                  </pic:spPr>
                </pic:pic>
              </a:graphicData>
            </a:graphic>
          </wp:inline>
        </w:drawing>
      </w:r>
    </w:p>
    <w:p w14:paraId="20F5FC16" w14:textId="320D3F43" w:rsidR="00B33FF8" w:rsidRPr="007E0156" w:rsidRDefault="00B65192" w:rsidP="001C1019">
      <w:pPr>
        <w:pStyle w:val="Heading2"/>
        <w:jc w:val="both"/>
      </w:pPr>
      <w:bookmarkStart w:id="53" w:name="_Usual_demand_calculated"/>
      <w:bookmarkStart w:id="54" w:name="_Toc205482090"/>
      <w:bookmarkEnd w:id="53"/>
      <w:r>
        <w:lastRenderedPageBreak/>
        <w:t>‘</w:t>
      </w:r>
      <w:r w:rsidR="00B33FF8" w:rsidRPr="007E0156">
        <w:t>Usual demand</w:t>
      </w:r>
      <w:r>
        <w:t>’</w:t>
      </w:r>
      <w:r w:rsidR="00B33FF8" w:rsidRPr="007E0156">
        <w:t xml:space="preserve"> calculated when a brand subsequently re-lists following de-listing</w:t>
      </w:r>
      <w:bookmarkEnd w:id="54"/>
    </w:p>
    <w:p w14:paraId="17D4A758" w14:textId="50F80A90" w:rsidR="00B33FF8" w:rsidRPr="007E0156" w:rsidRDefault="00B33FF8" w:rsidP="00B33FF8">
      <w:pPr>
        <w:jc w:val="both"/>
        <w:rPr>
          <w:noProof/>
        </w:rPr>
      </w:pPr>
      <w:r w:rsidRPr="007E0156">
        <w:rPr>
          <w:noProof/>
        </w:rPr>
        <w:t xml:space="preserve">If a brand de-lists as stated in </w:t>
      </w:r>
      <w:hyperlink w:anchor="_Minimum_stockholding_requirements_1" w:history="1">
        <w:r w:rsidRPr="007E0156">
          <w:rPr>
            <w:rStyle w:val="Hyperlink"/>
            <w:noProof/>
          </w:rPr>
          <w:t>Section 4.4</w:t>
        </w:r>
      </w:hyperlink>
      <w:r w:rsidRPr="007E0156">
        <w:rPr>
          <w:noProof/>
        </w:rPr>
        <w:t xml:space="preserve"> a</w:t>
      </w:r>
      <w:r w:rsidR="00A56932">
        <w:rPr>
          <w:noProof/>
        </w:rPr>
        <w:t>n</w:t>
      </w:r>
      <w:r w:rsidRPr="007E0156">
        <w:rPr>
          <w:noProof/>
        </w:rPr>
        <w:t xml:space="preserve"> </w:t>
      </w:r>
      <w:r w:rsidR="00B65192">
        <w:rPr>
          <w:noProof/>
        </w:rPr>
        <w:t xml:space="preserve">RP </w:t>
      </w:r>
      <w:r w:rsidRPr="007E0156">
        <w:rPr>
          <w:noProof/>
        </w:rPr>
        <w:t>may apply for the brand to be re-listed at a later date.</w:t>
      </w:r>
    </w:p>
    <w:p w14:paraId="54249C28" w14:textId="5996077C" w:rsidR="00B33FF8" w:rsidRPr="007E0156" w:rsidRDefault="00B65192" w:rsidP="00B33FF8">
      <w:pPr>
        <w:jc w:val="both"/>
      </w:pPr>
      <w:r>
        <w:t>‘U</w:t>
      </w:r>
      <w:r w:rsidR="00B33FF8" w:rsidRPr="007E0156">
        <w:t>sual demand</w:t>
      </w:r>
      <w:r>
        <w:t>’</w:t>
      </w:r>
      <w:r w:rsidR="00B33FF8" w:rsidRPr="007E0156">
        <w:t xml:space="preserve"> for </w:t>
      </w:r>
      <w:r w:rsidR="00B33FF8" w:rsidRPr="007E0156">
        <w:rPr>
          <w:noProof/>
        </w:rPr>
        <w:t xml:space="preserve">a brand in this scenario is determined </w:t>
      </w:r>
      <w:r w:rsidR="00B33FF8" w:rsidRPr="007E0156">
        <w:t xml:space="preserve">based upon any </w:t>
      </w:r>
      <w:r w:rsidR="00B33FF8" w:rsidRPr="007E0156">
        <w:rPr>
          <w:noProof/>
        </w:rPr>
        <w:t xml:space="preserve">available PD data for the brand from the relevant </w:t>
      </w:r>
      <w:r w:rsidR="00B33FF8" w:rsidRPr="007E0156">
        <w:t>reference period</w:t>
      </w:r>
      <w:r w:rsidR="00B33FF8" w:rsidRPr="007E0156">
        <w:rPr>
          <w:noProof/>
        </w:rPr>
        <w:t xml:space="preserve"> </w:t>
      </w:r>
      <w:r w:rsidR="00B33FF8" w:rsidRPr="007E0156">
        <w:t>(se</w:t>
      </w:r>
      <w:r w:rsidR="00AD5821" w:rsidRPr="007E0156">
        <w:t xml:space="preserve">e </w:t>
      </w:r>
      <w:r w:rsidR="00AD5821" w:rsidRPr="007E0156">
        <w:rPr>
          <w:rStyle w:val="Emphasis"/>
        </w:rPr>
        <w:fldChar w:fldCharType="begin"/>
      </w:r>
      <w:r w:rsidR="00AD5821" w:rsidRPr="007E0156">
        <w:rPr>
          <w:rStyle w:val="Emphasis"/>
        </w:rPr>
        <w:instrText xml:space="preserve"> REF _Ref107498873 \h  \* MERGEFORMAT </w:instrText>
      </w:r>
      <w:r w:rsidR="00AD5821" w:rsidRPr="007E0156">
        <w:rPr>
          <w:rStyle w:val="Emphasis"/>
        </w:rPr>
      </w:r>
      <w:r w:rsidR="00AD5821" w:rsidRPr="007E0156">
        <w:rPr>
          <w:rStyle w:val="Emphasis"/>
        </w:rPr>
        <w:fldChar w:fldCharType="separate"/>
      </w:r>
      <w:r w:rsidR="008A2A42" w:rsidRPr="008A2A42">
        <w:rPr>
          <w:rStyle w:val="Emphasis"/>
        </w:rPr>
        <w:t>Exhibit 9</w:t>
      </w:r>
      <w:r w:rsidR="00AD5821" w:rsidRPr="007E0156">
        <w:rPr>
          <w:rStyle w:val="Emphasis"/>
        </w:rPr>
        <w:fldChar w:fldCharType="end"/>
      </w:r>
      <w:r w:rsidR="00B33FF8" w:rsidRPr="007E0156">
        <w:t>).</w:t>
      </w:r>
    </w:p>
    <w:p w14:paraId="1B87856C" w14:textId="326F9FC1" w:rsidR="00B33FF8" w:rsidRPr="007E0156" w:rsidRDefault="00B33FF8" w:rsidP="00B33FF8">
      <w:pPr>
        <w:jc w:val="both"/>
      </w:pPr>
      <w:r w:rsidRPr="007E0156">
        <w:t xml:space="preserve">Note </w:t>
      </w:r>
      <w:r w:rsidR="00F8226E">
        <w:t xml:space="preserve">that </w:t>
      </w:r>
      <w:r w:rsidRPr="007E0156">
        <w:t xml:space="preserve">the Minister may make a minimum stockholding determination for re-listed brands where, for any reason, </w:t>
      </w:r>
      <w:r w:rsidR="00B65192">
        <w:t>‘</w:t>
      </w:r>
      <w:r w:rsidRPr="007E0156">
        <w:t>usual demand</w:t>
      </w:r>
      <w:r w:rsidR="00B65192">
        <w:t>’</w:t>
      </w:r>
      <w:r w:rsidRPr="007E0156">
        <w:t xml:space="preserve"> cannot be calculated.</w:t>
      </w:r>
      <w:r w:rsidR="00BF707E" w:rsidRPr="007E0156">
        <w:t xml:space="preserve"> Prior to the Minister making a minimum stockholding determination, the </w:t>
      </w:r>
      <w:r w:rsidR="007A785F">
        <w:t>d</w:t>
      </w:r>
      <w:r w:rsidR="00BF707E" w:rsidRPr="007E0156">
        <w:t>epartment will provide RPs with details of the determination to be made</w:t>
      </w:r>
      <w:r w:rsidR="00F8226E">
        <w:t xml:space="preserve">, </w:t>
      </w:r>
      <w:r w:rsidR="00BF707E" w:rsidRPr="007E0156">
        <w:t>the basis for any calculations, and the opportunity to seek clarification.</w:t>
      </w:r>
    </w:p>
    <w:p w14:paraId="0FE0F8E1" w14:textId="07448211" w:rsidR="000E10BE" w:rsidRPr="007E0156" w:rsidRDefault="000E10BE" w:rsidP="00E50747">
      <w:pPr>
        <w:pStyle w:val="Caption"/>
        <w:keepNext/>
        <w:keepLines/>
        <w:jc w:val="both"/>
      </w:pPr>
      <w:bookmarkStart w:id="55" w:name="_Ref107498873"/>
      <w:r w:rsidRPr="007E0156">
        <w:t xml:space="preserve">Exhibit </w:t>
      </w:r>
      <w:fldSimple w:instr=" SEQ Exhibit \* ARABIC ">
        <w:r w:rsidR="008A2A42">
          <w:rPr>
            <w:noProof/>
          </w:rPr>
          <w:t>9</w:t>
        </w:r>
      </w:fldSimple>
      <w:bookmarkEnd w:id="55"/>
      <w:r w:rsidRPr="007E0156">
        <w:t xml:space="preserve">: Calculation of </w:t>
      </w:r>
      <w:r w:rsidR="00B65192">
        <w:t>‘</w:t>
      </w:r>
      <w:r w:rsidRPr="007E0156">
        <w:t>usual demand</w:t>
      </w:r>
      <w:r w:rsidR="00B65192">
        <w:t>’</w:t>
      </w:r>
      <w:r w:rsidRPr="007E0156">
        <w:t xml:space="preserve"> based on reference period data when a brand de-lists and then re-lists</w:t>
      </w:r>
    </w:p>
    <w:p w14:paraId="25B068EF" w14:textId="296B0547" w:rsidR="00B33FF8" w:rsidRPr="007E0156" w:rsidRDefault="00FF573F" w:rsidP="000E10BE">
      <w:pPr>
        <w:keepLines/>
        <w:jc w:val="center"/>
      </w:pPr>
      <w:r w:rsidRPr="007E0156">
        <w:rPr>
          <w:noProof/>
        </w:rPr>
        <w:drawing>
          <wp:inline distT="0" distB="0" distL="0" distR="0" wp14:anchorId="09B64FC2" wp14:editId="3FFC8BE5">
            <wp:extent cx="5742432" cy="2200186"/>
            <wp:effectExtent l="0" t="0" r="0" b="0"/>
            <wp:docPr id="32" name="Picture 32" descr="The exhibit illustrates the minimum stockholding requirement based on ‘usual demand’ in three separate scenarios where a brand de-lists for differing periods of time and then re-lists.&#10;Each scenario has a segmented color-coded timeline displayed horizontally with months in each segment and Year 1, Year 2 and Year 3 labelled along the bottom. The timelines start at 1 April in Year 1 and run to 31 March in Year 3.indicate a brand was listed on 1 June of Year 1.&#10;The first scenario is labelled as “Usual demand for period after re-listing is based upon the 6 months of relevant reference period PD data.”&#10;In the first scenario a blue shaded area from 1 April in Year 1 to 30 September in Year 1 is labelled as the Reference period with 120k packs supplied. A light grey shaded area from 1 October in Year 1 to 31 January in Year 2 is labelled as the Previous period. A dark grey shaded area from 1 February in Year 2 to 30 June in Year 2 has a marker at the beginning and end of the period to indicate the brand de-lists and then re-lists. The dark grey shaded area is labelled as “Delisted. PD data not available.”&#10;A yellow shaded area from 1 July in Year 2, to 30 September in Year 2 is labelled as the Current period. A yellow box stepped-out from the Current period sets out how the stockholding requirement is calculated. The calculation box reads:&#10;Usual demand for current period is defined as:&#10;Average number of packs supplied per month during latest reference period&#10;= number of packs divided by number of months with PD data&#10;e.g. = 120k packs divided by 6&#10;= 20k pa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he exhibit illustrates the minimum stockholding requirement based on ‘usual demand’ in three separate scenarios where a brand de-lists for differing periods of time and then re-lists.&#10;Each scenario has a segmented color-coded timeline displayed horizontally with months in each segment and Year 1, Year 2 and Year 3 labelled along the bottom. The timelines start at 1 April in Year 1 and run to 31 March in Year 3.indicate a brand was listed on 1 June of Year 1.&#10;The first scenario is labelled as “Usual demand for period after re-listing is based upon the 6 months of relevant reference period PD data.”&#10;In the first scenario a blue shaded area from 1 April in Year 1 to 30 September in Year 1 is labelled as the Reference period with 120k packs supplied. A light grey shaded area from 1 October in Year 1 to 31 January in Year 2 is labelled as the Previous period. A dark grey shaded area from 1 February in Year 2 to 30 June in Year 2 has a marker at the beginning and end of the period to indicate the brand de-lists and then re-lists. The dark grey shaded area is labelled as “Delisted. PD data not available.”&#10;A yellow shaded area from 1 July in Year 2, to 30 September in Year 2 is labelled as the Current period. A yellow box stepped-out from the Current period sets out how the stockholding requirement is calculated. The calculation box reads:&#10;Usual demand for current period is defined as:&#10;Average number of packs supplied per month during latest reference period&#10;= number of packs divided by number of months with PD data&#10;e.g. = 120k packs divided by 6&#10;= 20k packs"/>
                    <pic:cNvPicPr/>
                  </pic:nvPicPr>
                  <pic:blipFill rotWithShape="1">
                    <a:blip r:embed="rId38"/>
                    <a:srcRect t="4009"/>
                    <a:stretch/>
                  </pic:blipFill>
                  <pic:spPr bwMode="auto">
                    <a:xfrm>
                      <a:off x="0" y="0"/>
                      <a:ext cx="5750838" cy="2203407"/>
                    </a:xfrm>
                    <a:prstGeom prst="rect">
                      <a:avLst/>
                    </a:prstGeom>
                    <a:ln>
                      <a:noFill/>
                    </a:ln>
                    <a:extLst>
                      <a:ext uri="{53640926-AAD7-44D8-BBD7-CCE9431645EC}">
                        <a14:shadowObscured xmlns:a14="http://schemas.microsoft.com/office/drawing/2010/main"/>
                      </a:ext>
                    </a:extLst>
                  </pic:spPr>
                </pic:pic>
              </a:graphicData>
            </a:graphic>
          </wp:inline>
        </w:drawing>
      </w:r>
    </w:p>
    <w:p w14:paraId="0AC32F48" w14:textId="77777777" w:rsidR="00C05B8E" w:rsidRPr="007E0156" w:rsidRDefault="00C05B8E" w:rsidP="00C05B8E">
      <w:pPr>
        <w:pStyle w:val="Caption"/>
        <w:keepNext/>
        <w:keepLines/>
        <w:jc w:val="both"/>
      </w:pPr>
      <w:r w:rsidRPr="007E0156">
        <w:t xml:space="preserve">Exhibit </w:t>
      </w:r>
      <w:r>
        <w:t>9</w:t>
      </w:r>
      <w:r>
        <w:rPr>
          <w:noProof/>
        </w:rPr>
        <w:t xml:space="preserve"> (continued)</w:t>
      </w:r>
      <w:r w:rsidRPr="007E0156">
        <w:t xml:space="preserve">: Calculation of </w:t>
      </w:r>
      <w:r>
        <w:t>‘</w:t>
      </w:r>
      <w:r w:rsidRPr="007E0156">
        <w:t>usual demand</w:t>
      </w:r>
      <w:r>
        <w:t>’</w:t>
      </w:r>
      <w:r w:rsidRPr="007E0156">
        <w:t xml:space="preserve"> based on reference period data when a brand de-lists and then re-lists</w:t>
      </w:r>
    </w:p>
    <w:p w14:paraId="68DC6280" w14:textId="33B2E57D" w:rsidR="00E50747" w:rsidRDefault="002D0550" w:rsidP="00A97E2C">
      <w:pPr>
        <w:keepLines/>
        <w:jc w:val="both"/>
      </w:pPr>
      <w:r w:rsidRPr="007E0156">
        <w:rPr>
          <w:noProof/>
        </w:rPr>
        <w:drawing>
          <wp:inline distT="0" distB="0" distL="0" distR="0" wp14:anchorId="66F47DA0" wp14:editId="7C1999D8">
            <wp:extent cx="5866790" cy="2171966"/>
            <wp:effectExtent l="0" t="0" r="635" b="0"/>
            <wp:docPr id="33" name="Picture 33" descr="This is the second scenario in Exhibit 10 – Calculation of ‘usual demand’ based on reference period data when a brand de-lists and then re-lists. The second scenario is labelled as “Usual demand for period after re-listing is based upon available PD data for the brand from the shortened reference period.”&#10;In the second scenario the period from 1 April in Year 1 to 30 September in Year 1 is unshaded and not labelled. A blue shaded area from 1 October in Year 1 to 31 January in Year 2 is labelled as the Reference period with 80k packs supplied. A dark grey shaded area from 1 February in Year 2 to 30 September in Year 2 has a marker at the beginning and end of the period to indicate the brand de-lists and then re-lists. The dark grey shaded area is labelled as “Delisted. PD data not available.”&#10;A yellow shaded area from 1 October in Year 2 to 31 March in Year 3 is labelled as the Current period. A yellow box stepped-out from the Current period sets out how the stockholding requirement is calculated. The calculation box reads:&#10;Usual demand for current period is defined as:&#10;Average number of packs supplied per month during relevant reference period&#10;= number of packs divided by number of months with PD data&#10;e.g. = 80k packs divided by four&#10;= 20k pa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his is the second scenario in Exhibit 10 – Calculation of ‘usual demand’ based on reference period data when a brand de-lists and then re-lists. The second scenario is labelled as “Usual demand for period after re-listing is based upon available PD data for the brand from the shortened reference period.”&#10;In the second scenario the period from 1 April in Year 1 to 30 September in Year 1 is unshaded and not labelled. A blue shaded area from 1 October in Year 1 to 31 January in Year 2 is labelled as the Reference period with 80k packs supplied. A dark grey shaded area from 1 February in Year 2 to 30 September in Year 2 has a marker at the beginning and end of the period to indicate the brand de-lists and then re-lists. The dark grey shaded area is labelled as “Delisted. PD data not available.”&#10;A yellow shaded area from 1 October in Year 2 to 31 March in Year 3 is labelled as the Current period. A yellow box stepped-out from the Current period sets out how the stockholding requirement is calculated. The calculation box reads:&#10;Usual demand for current period is defined as:&#10;Average number of packs supplied per month during relevant reference period&#10;= number of packs divided by number of months with PD data&#10;e.g. = 80k packs divided by four&#10;= 20k packs"/>
                    <pic:cNvPicPr/>
                  </pic:nvPicPr>
                  <pic:blipFill rotWithShape="1">
                    <a:blip r:embed="rId39"/>
                    <a:srcRect t="4750"/>
                    <a:stretch/>
                  </pic:blipFill>
                  <pic:spPr bwMode="auto">
                    <a:xfrm>
                      <a:off x="0" y="0"/>
                      <a:ext cx="5871699" cy="2173783"/>
                    </a:xfrm>
                    <a:prstGeom prst="rect">
                      <a:avLst/>
                    </a:prstGeom>
                    <a:ln>
                      <a:noFill/>
                    </a:ln>
                    <a:extLst>
                      <a:ext uri="{53640926-AAD7-44D8-BBD7-CCE9431645EC}">
                        <a14:shadowObscured xmlns:a14="http://schemas.microsoft.com/office/drawing/2010/main"/>
                      </a:ext>
                    </a:extLst>
                  </pic:spPr>
                </pic:pic>
              </a:graphicData>
            </a:graphic>
          </wp:inline>
        </w:drawing>
      </w:r>
    </w:p>
    <w:p w14:paraId="28508E3B" w14:textId="77777777" w:rsidR="00C05B8E" w:rsidRPr="007E0156" w:rsidDel="00C05B8E" w:rsidRDefault="00C05B8E" w:rsidP="00C05B8E"/>
    <w:p w14:paraId="39DB3036" w14:textId="495C894A" w:rsidR="00762B2F" w:rsidRPr="007E0156" w:rsidRDefault="0056564A" w:rsidP="000E10BE">
      <w:pPr>
        <w:keepLines/>
      </w:pPr>
      <w:r w:rsidRPr="007E0156">
        <w:rPr>
          <w:noProof/>
        </w:rPr>
        <w:lastRenderedPageBreak/>
        <w:drawing>
          <wp:inline distT="0" distB="0" distL="0" distR="0" wp14:anchorId="341F473E" wp14:editId="73CDF582">
            <wp:extent cx="5881421" cy="1923401"/>
            <wp:effectExtent l="0" t="0" r="5080" b="1270"/>
            <wp:docPr id="34" name="Picture 34" descr="This is the third scenario in Exhibit 10 – Calculation of ‘usual demand’ based on reference period data when a brand de-lists and then re-lists. The third scenario is labelled as “The reference period is 1 October, Year 1 to 31 March, Year 2. The brand was delisted during this time, therefore no PD data is available and usual demand cannot be calculated.”&#10;In the third scenario the period from 1 April in Year 1 to 30 September in Year 1 is unshaded and not labelled. A dark grey shaded area from 1 October in Year 1 to 30 September in Year 2 has a marker at the beginning and end of the period to indicate the brand de-lists and then re-lists. The dark grey shaded area is labelled as “Delisted. PD data not available.”&#10;A yellow shaded area from 1 October in Year 2 to 31 March in Year 3 is labelled as the Current period. A yellow box stepped-out from the Current period reads:&#10;Usual demand for current period cannot be calcul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his is the third scenario in Exhibit 10 – Calculation of ‘usual demand’ based on reference period data when a brand de-lists and then re-lists. The third scenario is labelled as “The reference period is 1 October, Year 1 to 31 March, Year 2. The brand was delisted during this time, therefore no PD data is available and usual demand cannot be calculated.”&#10;In the third scenario the period from 1 April in Year 1 to 30 September in Year 1 is unshaded and not labelled. A dark grey shaded area from 1 October in Year 1 to 30 September in Year 2 has a marker at the beginning and end of the period to indicate the brand de-lists and then re-lists. The dark grey shaded area is labelled as “Delisted. PD data not available.”&#10;A yellow shaded area from 1 October in Year 2 to 31 March in Year 3 is labelled as the Current period. A yellow box stepped-out from the Current period reads:&#10;Usual demand for current period cannot be calculated."/>
                    <pic:cNvPicPr/>
                  </pic:nvPicPr>
                  <pic:blipFill>
                    <a:blip r:embed="rId40"/>
                    <a:stretch>
                      <a:fillRect/>
                    </a:stretch>
                  </pic:blipFill>
                  <pic:spPr>
                    <a:xfrm>
                      <a:off x="0" y="0"/>
                      <a:ext cx="5887074" cy="1925250"/>
                    </a:xfrm>
                    <a:prstGeom prst="rect">
                      <a:avLst/>
                    </a:prstGeom>
                  </pic:spPr>
                </pic:pic>
              </a:graphicData>
            </a:graphic>
          </wp:inline>
        </w:drawing>
      </w:r>
      <w:bookmarkStart w:id="56" w:name="_Level_of_stockholding"/>
      <w:bookmarkEnd w:id="56"/>
    </w:p>
    <w:p w14:paraId="303344A6" w14:textId="0E5E6E05" w:rsidR="0048557D" w:rsidRPr="00D9460E" w:rsidRDefault="0048557D" w:rsidP="009B3F12">
      <w:pPr>
        <w:pStyle w:val="Heading2"/>
      </w:pPr>
      <w:bookmarkStart w:id="57" w:name="_Toc205482091"/>
      <w:r w:rsidRPr="4D4D53EB">
        <w:t>Rebranding</w:t>
      </w:r>
      <w:bookmarkEnd w:id="57"/>
    </w:p>
    <w:p w14:paraId="39DD53EB" w14:textId="77777777" w:rsidR="0048557D" w:rsidRPr="00F473D2" w:rsidRDefault="0048557D" w:rsidP="0048557D">
      <w:pPr>
        <w:jc w:val="both"/>
        <w:rPr>
          <w:rFonts w:ascii="Arial" w:hAnsi="Arial" w:cs="Arial"/>
          <w:szCs w:val="20"/>
        </w:rPr>
      </w:pPr>
      <w:r w:rsidRPr="4D4D53EB">
        <w:rPr>
          <w:rFonts w:ascii="Arial" w:hAnsi="Arial" w:cs="Arial"/>
          <w:szCs w:val="20"/>
        </w:rPr>
        <w:t>Where an RP changes the trade name of a designated brand of pharmaceutical item, it is necessary for an RP to transition their minimum stockholding from holding stock of the old trade name, to holding stock of the new trade name. This is facilitated differently depending upon whether or not there is a period of dual PBS listing in which the old trade name and the new trade name are separately determined as brands under s85(6) of the Act.</w:t>
      </w:r>
    </w:p>
    <w:p w14:paraId="7AE94060" w14:textId="77777777" w:rsidR="0048557D" w:rsidRPr="009B3F12" w:rsidRDefault="0048557D" w:rsidP="0048557D">
      <w:pPr>
        <w:jc w:val="both"/>
        <w:rPr>
          <w:rFonts w:ascii="Arial" w:hAnsi="Arial" w:cs="Arial"/>
          <w:szCs w:val="20"/>
          <w:u w:val="single"/>
        </w:rPr>
      </w:pPr>
      <w:r w:rsidRPr="009B3F12">
        <w:rPr>
          <w:rFonts w:ascii="Arial" w:hAnsi="Arial" w:cs="Arial"/>
          <w:szCs w:val="20"/>
          <w:u w:val="single"/>
        </w:rPr>
        <w:t>Variation of brand (no dual listing)</w:t>
      </w:r>
    </w:p>
    <w:p w14:paraId="61579331" w14:textId="28D3ADF3" w:rsidR="0048557D" w:rsidRPr="00F473D2" w:rsidRDefault="0048557D" w:rsidP="0048557D">
      <w:pPr>
        <w:jc w:val="both"/>
        <w:rPr>
          <w:rFonts w:ascii="Arial" w:hAnsi="Arial" w:cs="Arial"/>
          <w:szCs w:val="20"/>
        </w:rPr>
      </w:pPr>
      <w:r>
        <w:rPr>
          <w:rFonts w:ascii="Arial" w:hAnsi="Arial" w:cs="Arial"/>
          <w:szCs w:val="20"/>
        </w:rPr>
        <w:t>The</w:t>
      </w:r>
      <w:r w:rsidRPr="00F473D2">
        <w:rPr>
          <w:rFonts w:ascii="Arial" w:hAnsi="Arial" w:cs="Arial"/>
          <w:szCs w:val="20"/>
        </w:rPr>
        <w:t xml:space="preserve"> Minister </w:t>
      </w:r>
      <w:r>
        <w:rPr>
          <w:rFonts w:ascii="Arial" w:hAnsi="Arial" w:cs="Arial"/>
          <w:szCs w:val="20"/>
        </w:rPr>
        <w:t xml:space="preserve">may </w:t>
      </w:r>
      <w:r w:rsidRPr="00F473D2">
        <w:rPr>
          <w:rFonts w:ascii="Arial" w:hAnsi="Arial" w:cs="Arial"/>
          <w:szCs w:val="20"/>
        </w:rPr>
        <w:t>var</w:t>
      </w:r>
      <w:r>
        <w:rPr>
          <w:rFonts w:ascii="Arial" w:hAnsi="Arial" w:cs="Arial"/>
          <w:szCs w:val="20"/>
        </w:rPr>
        <w:t>y a</w:t>
      </w:r>
      <w:r w:rsidRPr="00F473D2">
        <w:rPr>
          <w:rFonts w:ascii="Arial" w:hAnsi="Arial" w:cs="Arial"/>
          <w:szCs w:val="20"/>
        </w:rPr>
        <w:t xml:space="preserve"> determination of a brand under s85(6) of the Act</w:t>
      </w:r>
      <w:r>
        <w:rPr>
          <w:rFonts w:ascii="Arial" w:hAnsi="Arial" w:cs="Arial"/>
          <w:szCs w:val="20"/>
        </w:rPr>
        <w:t xml:space="preserve"> by amending the name of the brand. </w:t>
      </w:r>
      <w:r w:rsidR="0026671F" w:rsidRPr="00D61954">
        <w:rPr>
          <w:rFonts w:cstheme="minorHAnsi"/>
        </w:rPr>
        <w:t xml:space="preserve">This is </w:t>
      </w:r>
      <w:r w:rsidR="000E35AE">
        <w:rPr>
          <w:rFonts w:cstheme="minorHAnsi"/>
        </w:rPr>
        <w:t>generally</w:t>
      </w:r>
      <w:r w:rsidR="0026671F" w:rsidRPr="00D61954">
        <w:rPr>
          <w:rFonts w:cstheme="minorHAnsi"/>
        </w:rPr>
        <w:t xml:space="preserve"> described as an ‘Alteration of Brand Name’ in the Explanatory Statement to the relevant amending instrument (see </w:t>
      </w:r>
      <w:hyperlink r:id="rId41">
        <w:r w:rsidR="0026671F" w:rsidRPr="00D61954">
          <w:rPr>
            <w:rStyle w:val="Hyperlink"/>
            <w:rFonts w:cstheme="minorHAnsi"/>
            <w:i/>
          </w:rPr>
          <w:t>National Health (Listing of Pharmaceutical Benefits) Instrument 2024</w:t>
        </w:r>
      </w:hyperlink>
      <w:r w:rsidR="0026671F" w:rsidRPr="00D61954">
        <w:rPr>
          <w:rFonts w:cstheme="minorHAnsi"/>
        </w:rPr>
        <w:t>).</w:t>
      </w:r>
      <w:r w:rsidR="006E52AD">
        <w:rPr>
          <w:rFonts w:cstheme="minorHAnsi"/>
        </w:rPr>
        <w:t xml:space="preserve"> </w:t>
      </w:r>
      <w:r>
        <w:rPr>
          <w:rFonts w:ascii="Arial" w:hAnsi="Arial" w:cs="Arial"/>
          <w:szCs w:val="20"/>
        </w:rPr>
        <w:t>In such cases,</w:t>
      </w:r>
      <w:r w:rsidRPr="00F473D2">
        <w:rPr>
          <w:rFonts w:ascii="Arial" w:hAnsi="Arial" w:cs="Arial"/>
          <w:szCs w:val="20"/>
        </w:rPr>
        <w:t xml:space="preserve"> the brand </w:t>
      </w:r>
      <w:r>
        <w:rPr>
          <w:rFonts w:ascii="Arial" w:hAnsi="Arial" w:cs="Arial"/>
          <w:szCs w:val="20"/>
        </w:rPr>
        <w:t>under the new name</w:t>
      </w:r>
      <w:r w:rsidRPr="00F473D2">
        <w:rPr>
          <w:rFonts w:ascii="Arial" w:hAnsi="Arial" w:cs="Arial"/>
          <w:szCs w:val="20"/>
        </w:rPr>
        <w:t xml:space="preserve"> continues to be</w:t>
      </w:r>
      <w:r>
        <w:rPr>
          <w:rFonts w:ascii="Arial" w:hAnsi="Arial" w:cs="Arial"/>
          <w:szCs w:val="20"/>
        </w:rPr>
        <w:t xml:space="preserve"> treated, under the Act, as</w:t>
      </w:r>
      <w:r w:rsidRPr="00F473D2">
        <w:rPr>
          <w:rFonts w:ascii="Arial" w:hAnsi="Arial" w:cs="Arial"/>
          <w:szCs w:val="20"/>
        </w:rPr>
        <w:t xml:space="preserve"> the same brand as prior to the variation.</w:t>
      </w:r>
    </w:p>
    <w:tbl>
      <w:tblPr>
        <w:tblStyle w:val="TableGrid"/>
        <w:tblW w:w="9351" w:type="dxa"/>
        <w:tblLook w:val="04A0" w:firstRow="1" w:lastRow="0" w:firstColumn="1" w:lastColumn="0" w:noHBand="0" w:noVBand="1"/>
      </w:tblPr>
      <w:tblGrid>
        <w:gridCol w:w="9351"/>
      </w:tblGrid>
      <w:tr w:rsidR="00201AD0" w:rsidRPr="00943CD5" w14:paraId="30BF1DF7" w14:textId="77777777">
        <w:tc>
          <w:tcPr>
            <w:tcW w:w="9351" w:type="dxa"/>
            <w:shd w:val="clear" w:color="auto" w:fill="B3DEF2"/>
          </w:tcPr>
          <w:p w14:paraId="09AF1B62" w14:textId="77777777" w:rsidR="00201AD0" w:rsidRPr="00D61954" w:rsidRDefault="00201AD0" w:rsidP="00EB22D2">
            <w:pPr>
              <w:spacing w:after="160" w:line="259" w:lineRule="auto"/>
              <w:jc w:val="both"/>
              <w:rPr>
                <w:rFonts w:asciiTheme="minorHAnsi" w:hAnsiTheme="minorHAnsi" w:cstheme="minorHAnsi"/>
                <w:b/>
              </w:rPr>
            </w:pPr>
            <w:r w:rsidRPr="00D61954">
              <w:rPr>
                <w:rFonts w:asciiTheme="minorHAnsi" w:hAnsiTheme="minorHAnsi" w:cstheme="minorHAnsi"/>
                <w:b/>
              </w:rPr>
              <w:t>Example:</w:t>
            </w:r>
          </w:p>
          <w:p w14:paraId="1DBA33E1" w14:textId="739DAFDB" w:rsidR="00201AD0" w:rsidRPr="00D61954" w:rsidRDefault="00201AD0" w:rsidP="00EB22D2">
            <w:pPr>
              <w:spacing w:after="160" w:line="259" w:lineRule="auto"/>
              <w:jc w:val="both"/>
              <w:rPr>
                <w:rFonts w:asciiTheme="minorHAnsi" w:hAnsiTheme="minorHAnsi" w:cstheme="minorHAnsi"/>
              </w:rPr>
            </w:pPr>
            <w:r w:rsidRPr="00D61954">
              <w:rPr>
                <w:rFonts w:asciiTheme="minorHAnsi" w:hAnsiTheme="minorHAnsi" w:cstheme="minorHAnsi"/>
                <w:i/>
              </w:rPr>
              <w:t>Asclepius Entecavir,</w:t>
            </w:r>
            <w:r w:rsidRPr="00D61954">
              <w:rPr>
                <w:rFonts w:asciiTheme="minorHAnsi" w:hAnsiTheme="minorHAnsi" w:cstheme="minorHAnsi"/>
              </w:rPr>
              <w:t xml:space="preserve"> a brand of a pharmaceutical item, is rebranding to the trade name</w:t>
            </w:r>
            <w:r w:rsidRPr="00D61954" w:rsidDel="005E7498">
              <w:rPr>
                <w:rFonts w:asciiTheme="minorHAnsi" w:hAnsiTheme="minorHAnsi" w:cstheme="minorHAnsi"/>
              </w:rPr>
              <w:t xml:space="preserve"> </w:t>
            </w:r>
            <w:r w:rsidRPr="00D61954">
              <w:rPr>
                <w:rFonts w:asciiTheme="minorHAnsi" w:hAnsiTheme="minorHAnsi" w:cstheme="minorHAnsi"/>
                <w:i/>
              </w:rPr>
              <w:t>Entecavir Asclepius</w:t>
            </w:r>
            <w:r w:rsidRPr="00D61954">
              <w:rPr>
                <w:rFonts w:asciiTheme="minorHAnsi" w:hAnsiTheme="minorHAnsi" w:cstheme="minorHAnsi"/>
              </w:rPr>
              <w:t xml:space="preserve">. Effective 1 August 2025, the determined brand </w:t>
            </w:r>
            <w:r w:rsidRPr="00D61954">
              <w:rPr>
                <w:rFonts w:asciiTheme="minorHAnsi" w:hAnsiTheme="minorHAnsi" w:cstheme="minorHAnsi"/>
                <w:i/>
              </w:rPr>
              <w:t>Asclepius Entecavir</w:t>
            </w:r>
            <w:r w:rsidRPr="00D61954">
              <w:rPr>
                <w:rFonts w:asciiTheme="minorHAnsi" w:hAnsiTheme="minorHAnsi" w:cstheme="minorHAnsi"/>
              </w:rPr>
              <w:t xml:space="preserve"> is varied to </w:t>
            </w:r>
            <w:r w:rsidRPr="00D61954">
              <w:rPr>
                <w:rFonts w:asciiTheme="minorHAnsi" w:hAnsiTheme="minorHAnsi" w:cstheme="minorHAnsi"/>
                <w:i/>
              </w:rPr>
              <w:t>Entecavir Asclepius</w:t>
            </w:r>
            <w:r w:rsidRPr="00D61954">
              <w:rPr>
                <w:rFonts w:asciiTheme="minorHAnsi" w:hAnsiTheme="minorHAnsi" w:cstheme="minorHAnsi"/>
              </w:rPr>
              <w:t xml:space="preserve">. </w:t>
            </w:r>
          </w:p>
          <w:p w14:paraId="0B64F7D6" w14:textId="0B7142D8" w:rsidR="00201AD0" w:rsidRPr="00D61954" w:rsidRDefault="00201AD0" w:rsidP="00EB22D2">
            <w:pPr>
              <w:spacing w:after="160" w:line="259" w:lineRule="auto"/>
              <w:jc w:val="both"/>
              <w:rPr>
                <w:rFonts w:asciiTheme="minorHAnsi" w:hAnsiTheme="minorHAnsi" w:cstheme="minorHAnsi"/>
              </w:rPr>
            </w:pPr>
            <w:r w:rsidRPr="00D61954">
              <w:rPr>
                <w:rFonts w:asciiTheme="minorHAnsi" w:hAnsiTheme="minorHAnsi" w:cstheme="minorHAnsi"/>
              </w:rPr>
              <w:t>The brand as determined from 1 August 2025 (</w:t>
            </w:r>
            <w:r w:rsidRPr="00D61954">
              <w:rPr>
                <w:rFonts w:asciiTheme="minorHAnsi" w:hAnsiTheme="minorHAnsi" w:cstheme="minorHAnsi"/>
                <w:i/>
              </w:rPr>
              <w:t>Entecavir Asclepius</w:t>
            </w:r>
            <w:r w:rsidRPr="00D61954">
              <w:rPr>
                <w:rFonts w:asciiTheme="minorHAnsi" w:hAnsiTheme="minorHAnsi" w:cstheme="minorHAnsi"/>
              </w:rPr>
              <w:t>) will be treated as the same as prior to the variation (</w:t>
            </w:r>
            <w:r w:rsidRPr="00D61954">
              <w:rPr>
                <w:rFonts w:asciiTheme="minorHAnsi" w:hAnsiTheme="minorHAnsi" w:cstheme="minorHAnsi"/>
                <w:i/>
              </w:rPr>
              <w:t>Asclepius Entecavir</w:t>
            </w:r>
            <w:r w:rsidRPr="00D61954">
              <w:rPr>
                <w:rFonts w:asciiTheme="minorHAnsi" w:hAnsiTheme="minorHAnsi" w:cstheme="minorHAnsi"/>
              </w:rPr>
              <w:t>).</w:t>
            </w:r>
          </w:p>
          <w:p w14:paraId="5EBBBCA6" w14:textId="77777777" w:rsidR="00201AD0" w:rsidRPr="00D61954" w:rsidRDefault="00201AD0" w:rsidP="00EB22D2">
            <w:pPr>
              <w:spacing w:after="160" w:line="259" w:lineRule="auto"/>
              <w:jc w:val="both"/>
              <w:rPr>
                <w:rFonts w:asciiTheme="minorHAnsi" w:hAnsiTheme="minorHAnsi" w:cstheme="minorHAnsi"/>
              </w:rPr>
            </w:pPr>
            <w:r w:rsidRPr="00D61954">
              <w:rPr>
                <w:rFonts w:asciiTheme="minorHAnsi" w:hAnsiTheme="minorHAnsi" w:cstheme="minorHAnsi"/>
              </w:rPr>
              <w:t>Usual demand is calculated by reference to PD data disclosed for supply of the old trade name and the new trade name as relevant in the reference period. Usual PBS demand is calculated by reference to PBS dispensing volumes for dispensing of the old trade name and the new trade name as relevant in the reference period.</w:t>
            </w:r>
          </w:p>
          <w:p w14:paraId="724F7F57" w14:textId="77777777" w:rsidR="001D3259" w:rsidRPr="00D61954" w:rsidRDefault="001D3259" w:rsidP="00EB22D2">
            <w:pPr>
              <w:spacing w:after="160" w:line="259" w:lineRule="auto"/>
              <w:jc w:val="both"/>
              <w:rPr>
                <w:rFonts w:asciiTheme="minorHAnsi" w:hAnsiTheme="minorHAnsi" w:cstheme="minorHAnsi"/>
              </w:rPr>
            </w:pPr>
            <w:r w:rsidRPr="00D61954">
              <w:rPr>
                <w:rFonts w:asciiTheme="minorHAnsi" w:hAnsiTheme="minorHAnsi" w:cstheme="minorHAnsi"/>
              </w:rPr>
              <w:t xml:space="preserve">Provided that the stock otherwise meets the requirements to be counted for the purposes of the minimum stockholding requirement (see </w:t>
            </w:r>
            <w:hyperlink w:anchor="Section_3" w:history="1">
              <w:r w:rsidRPr="00D61954">
                <w:rPr>
                  <w:rStyle w:val="Hyperlink"/>
                  <w:rFonts w:asciiTheme="minorHAnsi" w:hAnsiTheme="minorHAnsi" w:cstheme="minorHAnsi"/>
                </w:rPr>
                <w:t>Section 3</w:t>
              </w:r>
            </w:hyperlink>
            <w:r w:rsidRPr="00D61954">
              <w:rPr>
                <w:rFonts w:asciiTheme="minorHAnsi" w:hAnsiTheme="minorHAnsi" w:cstheme="minorHAnsi"/>
              </w:rPr>
              <w:t xml:space="preserve"> above):</w:t>
            </w:r>
          </w:p>
          <w:p w14:paraId="6ED51F9E" w14:textId="77777777" w:rsidR="001D3259" w:rsidRPr="00D61954" w:rsidRDefault="001D3259" w:rsidP="005A2644">
            <w:pPr>
              <w:pStyle w:val="ListParagraph"/>
              <w:numPr>
                <w:ilvl w:val="0"/>
                <w:numId w:val="45"/>
              </w:numPr>
              <w:spacing w:after="160" w:line="259" w:lineRule="auto"/>
              <w:ind w:left="714" w:hanging="357"/>
              <w:jc w:val="both"/>
              <w:rPr>
                <w:rFonts w:asciiTheme="minorHAnsi" w:eastAsia="Times New Roman" w:hAnsiTheme="minorHAnsi" w:cstheme="minorHAnsi"/>
                <w:szCs w:val="20"/>
              </w:rPr>
            </w:pPr>
            <w:r w:rsidRPr="00D61954">
              <w:rPr>
                <w:rFonts w:asciiTheme="minorHAnsi" w:eastAsia="Times New Roman" w:hAnsiTheme="minorHAnsi" w:cstheme="minorHAnsi"/>
                <w:szCs w:val="20"/>
              </w:rPr>
              <w:t xml:space="preserve">In the period prior to 1 August 2025, stock branded as </w:t>
            </w:r>
            <w:r w:rsidRPr="00D61954">
              <w:rPr>
                <w:rFonts w:asciiTheme="minorHAnsi" w:eastAsia="Times New Roman" w:hAnsiTheme="minorHAnsi" w:cstheme="minorHAnsi"/>
                <w:i/>
                <w:szCs w:val="20"/>
              </w:rPr>
              <w:t>Asclepius Entecavir</w:t>
            </w:r>
            <w:r w:rsidRPr="00D61954">
              <w:rPr>
                <w:rFonts w:asciiTheme="minorHAnsi" w:eastAsia="Times New Roman" w:hAnsiTheme="minorHAnsi" w:cstheme="minorHAnsi"/>
                <w:szCs w:val="20"/>
              </w:rPr>
              <w:t xml:space="preserve"> will be counted towards the RP’s minimum stockholding.</w:t>
            </w:r>
          </w:p>
          <w:p w14:paraId="3FC62D28" w14:textId="5E09C935" w:rsidR="00201AD0" w:rsidRPr="001D3259" w:rsidRDefault="001D3259" w:rsidP="005A2644">
            <w:pPr>
              <w:pStyle w:val="ListParagraph"/>
              <w:numPr>
                <w:ilvl w:val="0"/>
                <w:numId w:val="45"/>
              </w:numPr>
              <w:spacing w:after="160" w:line="259" w:lineRule="auto"/>
              <w:ind w:left="714" w:hanging="357"/>
              <w:jc w:val="both"/>
              <w:rPr>
                <w:rFonts w:ascii="Arial" w:hAnsi="Arial" w:cs="Arial"/>
                <w:szCs w:val="20"/>
              </w:rPr>
            </w:pPr>
            <w:r w:rsidRPr="00D61954">
              <w:rPr>
                <w:rFonts w:asciiTheme="minorHAnsi" w:eastAsia="Times New Roman" w:hAnsiTheme="minorHAnsi" w:cstheme="minorHAnsi"/>
                <w:szCs w:val="20"/>
              </w:rPr>
              <w:t xml:space="preserve">From 1 August 2025 onwards, stock branded as </w:t>
            </w:r>
            <w:r w:rsidRPr="00D61954">
              <w:rPr>
                <w:rFonts w:asciiTheme="minorHAnsi" w:eastAsia="Times New Roman" w:hAnsiTheme="minorHAnsi" w:cstheme="minorHAnsi"/>
                <w:i/>
                <w:szCs w:val="20"/>
              </w:rPr>
              <w:t>Entecavir Asclepius</w:t>
            </w:r>
            <w:r w:rsidRPr="00D61954">
              <w:rPr>
                <w:rFonts w:asciiTheme="minorHAnsi" w:eastAsia="Times New Roman" w:hAnsiTheme="minorHAnsi" w:cstheme="minorHAnsi"/>
                <w:szCs w:val="20"/>
              </w:rPr>
              <w:t xml:space="preserve"> will be counted towards the RP’s minimum stockholding.</w:t>
            </w:r>
          </w:p>
        </w:tc>
      </w:tr>
    </w:tbl>
    <w:p w14:paraId="3325FC8D" w14:textId="77777777" w:rsidR="00201AD0" w:rsidRPr="00F473D2" w:rsidRDefault="00201AD0" w:rsidP="0048557D">
      <w:pPr>
        <w:jc w:val="both"/>
        <w:rPr>
          <w:rFonts w:ascii="Arial" w:hAnsi="Arial" w:cs="Arial"/>
          <w:szCs w:val="20"/>
        </w:rPr>
      </w:pPr>
    </w:p>
    <w:p w14:paraId="694E74B2" w14:textId="64A319AC" w:rsidR="00FA112D" w:rsidRDefault="0048557D" w:rsidP="00EB22D2">
      <w:pPr>
        <w:keepLines/>
        <w:jc w:val="both"/>
        <w:rPr>
          <w:rFonts w:ascii="Arial" w:hAnsi="Arial" w:cs="Arial"/>
          <w:szCs w:val="20"/>
        </w:rPr>
      </w:pPr>
      <w:r>
        <w:rPr>
          <w:rFonts w:ascii="Arial" w:hAnsi="Arial" w:cs="Arial"/>
          <w:szCs w:val="20"/>
        </w:rPr>
        <w:t>RPs will generally receive a courtesy email from the department after the determined brand has been varied. This email serves as confirmation of the minimum stockholding requirements which continue to apply to the brand (as varied).</w:t>
      </w:r>
    </w:p>
    <w:p w14:paraId="0B057E87" w14:textId="77777777" w:rsidR="004D453C" w:rsidRPr="009B3F12" w:rsidRDefault="004D453C" w:rsidP="004D453C">
      <w:pPr>
        <w:jc w:val="both"/>
        <w:rPr>
          <w:rFonts w:ascii="Arial" w:hAnsi="Arial" w:cs="Arial"/>
          <w:szCs w:val="20"/>
          <w:u w:val="single"/>
        </w:rPr>
      </w:pPr>
      <w:r w:rsidRPr="009B3F12">
        <w:rPr>
          <w:rFonts w:ascii="Arial" w:hAnsi="Arial" w:cs="Arial"/>
          <w:szCs w:val="20"/>
          <w:u w:val="single"/>
        </w:rPr>
        <w:t>Dual listing</w:t>
      </w:r>
    </w:p>
    <w:p w14:paraId="6CD3B87D" w14:textId="77777777" w:rsidR="004D453C" w:rsidRPr="00F473D2" w:rsidRDefault="004D453C" w:rsidP="004D453C">
      <w:pPr>
        <w:jc w:val="both"/>
        <w:rPr>
          <w:rFonts w:ascii="Arial" w:hAnsi="Arial" w:cs="Arial"/>
          <w:szCs w:val="20"/>
        </w:rPr>
      </w:pPr>
      <w:r w:rsidRPr="1C6FA90F">
        <w:rPr>
          <w:rFonts w:ascii="Arial" w:hAnsi="Arial" w:cs="Arial"/>
          <w:szCs w:val="20"/>
        </w:rPr>
        <w:t>RPs may request that both the old trade name and the new trade name are listed on the PBS at the same time. This facilitates more flexible timing for an RP to transition from selling stock of the old trade name to stock of the new trade name. It also facilitates stock which is held downstream in the supply chain being dispensed as a pharmaceutical benefit, during the time where there may be stock in the market of both the old trade name and the new trade name.</w:t>
      </w:r>
    </w:p>
    <w:p w14:paraId="11597D23" w14:textId="77777777" w:rsidR="004D453C" w:rsidRPr="00F473D2" w:rsidRDefault="004D453C" w:rsidP="004D453C">
      <w:pPr>
        <w:jc w:val="both"/>
        <w:rPr>
          <w:rFonts w:ascii="Arial" w:hAnsi="Arial" w:cs="Arial"/>
          <w:szCs w:val="20"/>
        </w:rPr>
      </w:pPr>
      <w:r w:rsidRPr="4D4D53EB">
        <w:rPr>
          <w:rFonts w:ascii="Arial" w:hAnsi="Arial" w:cs="Arial"/>
          <w:szCs w:val="20"/>
        </w:rPr>
        <w:t>During the period of dual listing, each trade name is determined as a separate brand of pharmaceutical item under s85(6) of the Act. The minimum stockholding requirement</w:t>
      </w:r>
      <w:r>
        <w:rPr>
          <w:rFonts w:ascii="Arial" w:hAnsi="Arial" w:cs="Arial"/>
          <w:szCs w:val="20"/>
        </w:rPr>
        <w:t xml:space="preserve"> in s99AEKB</w:t>
      </w:r>
      <w:r w:rsidRPr="4D4D53EB">
        <w:rPr>
          <w:rFonts w:ascii="Arial" w:hAnsi="Arial" w:cs="Arial"/>
          <w:szCs w:val="20"/>
        </w:rPr>
        <w:t xml:space="preserve"> necessitates that an RP keep the applicable quantity of </w:t>
      </w:r>
      <w:r w:rsidRPr="00F10A21">
        <w:rPr>
          <w:rFonts w:ascii="Arial" w:hAnsi="Arial" w:cs="Arial"/>
          <w:szCs w:val="20"/>
        </w:rPr>
        <w:t>the</w:t>
      </w:r>
      <w:r w:rsidRPr="4D4D53EB">
        <w:rPr>
          <w:rFonts w:ascii="Arial" w:hAnsi="Arial" w:cs="Arial"/>
          <w:szCs w:val="20"/>
        </w:rPr>
        <w:t xml:space="preserve"> brand</w:t>
      </w:r>
      <w:r>
        <w:rPr>
          <w:rFonts w:ascii="Arial" w:hAnsi="Arial" w:cs="Arial"/>
          <w:szCs w:val="20"/>
        </w:rPr>
        <w:t xml:space="preserve"> (i.e. each separate brand)</w:t>
      </w:r>
      <w:r w:rsidRPr="4D4D53EB">
        <w:rPr>
          <w:rFonts w:ascii="Arial" w:hAnsi="Arial" w:cs="Arial"/>
          <w:szCs w:val="20"/>
        </w:rPr>
        <w:t xml:space="preserve"> of pharmaceutical item in stock in Australia. Although the Minister may determine ‘another quantity’ as the minimum stockholding requirement for a brand, stock of one brand </w:t>
      </w:r>
      <w:r>
        <w:rPr>
          <w:rFonts w:ascii="Arial" w:hAnsi="Arial" w:cs="Arial"/>
          <w:szCs w:val="20"/>
        </w:rPr>
        <w:t>will not</w:t>
      </w:r>
      <w:r w:rsidRPr="4D4D53EB">
        <w:rPr>
          <w:rFonts w:ascii="Arial" w:hAnsi="Arial" w:cs="Arial"/>
          <w:szCs w:val="20"/>
        </w:rPr>
        <w:t xml:space="preserve"> be counted towards compliance with the minimum stockholding requirement of another brand. This means that (if not for the approach outlined below) stock of the brand </w:t>
      </w:r>
      <w:r w:rsidRPr="4D4D53EB">
        <w:rPr>
          <w:rFonts w:ascii="Arial" w:hAnsi="Arial" w:cs="Arial"/>
          <w:i/>
          <w:iCs/>
          <w:szCs w:val="20"/>
        </w:rPr>
        <w:t>Asclepius Entecavir</w:t>
      </w:r>
      <w:r w:rsidRPr="4D4D53EB">
        <w:rPr>
          <w:rFonts w:ascii="Arial" w:hAnsi="Arial" w:cs="Arial"/>
          <w:szCs w:val="20"/>
        </w:rPr>
        <w:t xml:space="preserve"> would only be counted towards compliance with the minimum stockholding requirement for the brand </w:t>
      </w:r>
      <w:r w:rsidRPr="4D4D53EB">
        <w:rPr>
          <w:rFonts w:ascii="Arial" w:hAnsi="Arial" w:cs="Arial"/>
          <w:i/>
          <w:iCs/>
          <w:szCs w:val="20"/>
        </w:rPr>
        <w:t>Asclepius Entecavir</w:t>
      </w:r>
      <w:r w:rsidRPr="4D4D53EB">
        <w:rPr>
          <w:rFonts w:ascii="Arial" w:hAnsi="Arial" w:cs="Arial"/>
          <w:szCs w:val="20"/>
        </w:rPr>
        <w:t xml:space="preserve">, and stock of the brand </w:t>
      </w:r>
      <w:r w:rsidRPr="4D4D53EB">
        <w:rPr>
          <w:rFonts w:ascii="Arial" w:hAnsi="Arial" w:cs="Arial"/>
          <w:i/>
          <w:iCs/>
          <w:szCs w:val="20"/>
        </w:rPr>
        <w:t>Entecavir Asclepius</w:t>
      </w:r>
      <w:r w:rsidRPr="4D4D53EB">
        <w:rPr>
          <w:rFonts w:ascii="Arial" w:hAnsi="Arial" w:cs="Arial"/>
          <w:szCs w:val="20"/>
        </w:rPr>
        <w:t xml:space="preserve"> would only be counted towards compliance with the minimum stockholding requirement for the brand </w:t>
      </w:r>
      <w:r w:rsidRPr="4D4D53EB">
        <w:rPr>
          <w:rFonts w:ascii="Arial" w:hAnsi="Arial" w:cs="Arial"/>
          <w:i/>
          <w:iCs/>
          <w:szCs w:val="20"/>
        </w:rPr>
        <w:t>Entecavir Asclepius</w:t>
      </w:r>
      <w:r w:rsidRPr="4D4D53EB">
        <w:rPr>
          <w:rFonts w:ascii="Arial" w:hAnsi="Arial" w:cs="Arial"/>
          <w:szCs w:val="20"/>
        </w:rPr>
        <w:t>. As for newly listed brands, there is a delay before PD data is available in the reference period for a brand</w:t>
      </w:r>
      <w:r>
        <w:rPr>
          <w:rFonts w:ascii="Arial" w:hAnsi="Arial" w:cs="Arial"/>
          <w:szCs w:val="20"/>
        </w:rPr>
        <w:t>.</w:t>
      </w:r>
      <w:r w:rsidRPr="4D4D53EB">
        <w:rPr>
          <w:rFonts w:ascii="Arial" w:hAnsi="Arial" w:cs="Arial"/>
          <w:szCs w:val="20"/>
        </w:rPr>
        <w:t xml:space="preserve"> In </w:t>
      </w:r>
      <w:r>
        <w:rPr>
          <w:rFonts w:ascii="Arial" w:hAnsi="Arial" w:cs="Arial"/>
          <w:szCs w:val="20"/>
        </w:rPr>
        <w:t>these circumstances</w:t>
      </w:r>
      <w:r w:rsidRPr="4D4D53EB">
        <w:rPr>
          <w:rFonts w:ascii="Arial" w:hAnsi="Arial" w:cs="Arial"/>
          <w:szCs w:val="20"/>
        </w:rPr>
        <w:t>, there would be a period of time in which the RP was not required to hold stock for the new brand, but where they were required to continue to meet the minimum stockholding requirement for the old brand in full.</w:t>
      </w:r>
    </w:p>
    <w:p w14:paraId="31226695" w14:textId="77777777" w:rsidR="004D453C" w:rsidRPr="00F473D2" w:rsidRDefault="004D453C" w:rsidP="004D453C">
      <w:pPr>
        <w:keepNext/>
        <w:jc w:val="both"/>
        <w:rPr>
          <w:rFonts w:ascii="Arial" w:hAnsi="Arial" w:cs="Arial"/>
          <w:szCs w:val="20"/>
        </w:rPr>
      </w:pPr>
      <w:r w:rsidRPr="18961A2B">
        <w:rPr>
          <w:rFonts w:ascii="Arial" w:hAnsi="Arial" w:cs="Arial"/>
          <w:szCs w:val="20"/>
        </w:rPr>
        <w:t xml:space="preserve">To facilitate transitioning of minimum stockholdings where there is a rebrand </w:t>
      </w:r>
      <w:r>
        <w:rPr>
          <w:rFonts w:ascii="Arial" w:hAnsi="Arial" w:cs="Arial"/>
          <w:szCs w:val="20"/>
        </w:rPr>
        <w:t>which occurs by way of a period of</w:t>
      </w:r>
      <w:r w:rsidRPr="18961A2B">
        <w:rPr>
          <w:rFonts w:ascii="Arial" w:hAnsi="Arial" w:cs="Arial"/>
          <w:szCs w:val="20"/>
        </w:rPr>
        <w:t xml:space="preserve"> dual listing, the department will generally recommend the following staged approach: </w:t>
      </w:r>
    </w:p>
    <w:p w14:paraId="0FC624D1" w14:textId="77777777" w:rsidR="004D453C" w:rsidRPr="00F473D2" w:rsidRDefault="004D453C" w:rsidP="005A2644">
      <w:pPr>
        <w:pStyle w:val="Paragraphtext"/>
        <w:keepNext/>
        <w:numPr>
          <w:ilvl w:val="0"/>
          <w:numId w:val="44"/>
        </w:numPr>
        <w:rPr>
          <w:rFonts w:cs="Arial"/>
          <w:i/>
          <w:iCs/>
          <w:sz w:val="20"/>
          <w:szCs w:val="20"/>
        </w:rPr>
      </w:pPr>
      <w:r w:rsidRPr="00F473D2">
        <w:rPr>
          <w:rFonts w:cs="Arial"/>
          <w:i/>
          <w:iCs/>
          <w:sz w:val="20"/>
          <w:szCs w:val="20"/>
        </w:rPr>
        <w:t>Combined stockholding under Deed terms</w:t>
      </w:r>
    </w:p>
    <w:p w14:paraId="3F7F32BA" w14:textId="77777777" w:rsidR="004D453C" w:rsidRPr="00F473D2" w:rsidRDefault="004D453C" w:rsidP="00AC290A">
      <w:pPr>
        <w:pStyle w:val="Paragraphtext"/>
        <w:spacing w:before="0"/>
        <w:ind w:firstLine="0"/>
        <w:rPr>
          <w:rFonts w:eastAsiaTheme="minorHAnsi" w:cs="Arial"/>
          <w:sz w:val="20"/>
          <w:szCs w:val="20"/>
        </w:rPr>
      </w:pPr>
      <w:r w:rsidRPr="00F473D2">
        <w:rPr>
          <w:rFonts w:cs="Arial"/>
          <w:sz w:val="20"/>
          <w:szCs w:val="20"/>
        </w:rPr>
        <w:t xml:space="preserve">Whilst the </w:t>
      </w:r>
      <w:r>
        <w:rPr>
          <w:rFonts w:cs="Arial"/>
          <w:sz w:val="20"/>
          <w:szCs w:val="20"/>
        </w:rPr>
        <w:t>old</w:t>
      </w:r>
      <w:r w:rsidRPr="00F473D2">
        <w:rPr>
          <w:rFonts w:cs="Arial"/>
          <w:sz w:val="20"/>
          <w:szCs w:val="20"/>
        </w:rPr>
        <w:t xml:space="preserve"> and new brands are both listed on the PBS, Deeds </w:t>
      </w:r>
      <w:r>
        <w:rPr>
          <w:rFonts w:cs="Arial"/>
          <w:sz w:val="20"/>
          <w:szCs w:val="20"/>
        </w:rPr>
        <w:t xml:space="preserve">between the Commonwealth and RPs </w:t>
      </w:r>
      <w:r w:rsidRPr="00F473D2">
        <w:rPr>
          <w:rFonts w:cs="Arial"/>
          <w:sz w:val="20"/>
          <w:szCs w:val="20"/>
        </w:rPr>
        <w:t>provide for a combined</w:t>
      </w:r>
      <w:r>
        <w:rPr>
          <w:rFonts w:cs="Arial"/>
          <w:sz w:val="20"/>
          <w:szCs w:val="20"/>
        </w:rPr>
        <w:t xml:space="preserve"> nominal</w:t>
      </w:r>
      <w:r w:rsidRPr="00F473D2">
        <w:rPr>
          <w:rFonts w:cs="Arial"/>
          <w:sz w:val="20"/>
          <w:szCs w:val="20"/>
        </w:rPr>
        <w:t xml:space="preserve"> minimum stockholding requirement, calculated based upon the combined PD data (or PBS dispensing data) of both brands during the reference period. Further details in relation to the Deed process are provided below.</w:t>
      </w:r>
    </w:p>
    <w:p w14:paraId="0DC9EA62" w14:textId="77777777" w:rsidR="004D453C" w:rsidRPr="00F473D2" w:rsidRDefault="004D453C" w:rsidP="005A2644">
      <w:pPr>
        <w:pStyle w:val="Paragraphtext"/>
        <w:keepNext/>
        <w:numPr>
          <w:ilvl w:val="0"/>
          <w:numId w:val="44"/>
        </w:numPr>
        <w:rPr>
          <w:rFonts w:cs="Arial"/>
          <w:i/>
          <w:iCs/>
          <w:sz w:val="20"/>
          <w:szCs w:val="20"/>
        </w:rPr>
      </w:pPr>
      <w:r w:rsidRPr="00F473D2">
        <w:rPr>
          <w:rFonts w:cs="Arial"/>
          <w:i/>
          <w:iCs/>
          <w:sz w:val="20"/>
          <w:szCs w:val="20"/>
        </w:rPr>
        <w:t>Combined stockholding as a result of a Ministerial determination</w:t>
      </w:r>
    </w:p>
    <w:p w14:paraId="163158CB" w14:textId="77777777" w:rsidR="004D453C" w:rsidRPr="00F473D2" w:rsidRDefault="004D453C" w:rsidP="00AC290A">
      <w:pPr>
        <w:pStyle w:val="Paragraphtext"/>
        <w:spacing w:before="0"/>
        <w:ind w:firstLine="0"/>
        <w:rPr>
          <w:rFonts w:eastAsiaTheme="minorHAnsi" w:cs="Arial"/>
          <w:sz w:val="20"/>
          <w:szCs w:val="20"/>
        </w:rPr>
      </w:pPr>
      <w:r w:rsidRPr="00F473D2">
        <w:rPr>
          <w:rFonts w:cs="Arial"/>
          <w:sz w:val="20"/>
          <w:szCs w:val="20"/>
        </w:rPr>
        <w:t xml:space="preserve">Once the </w:t>
      </w:r>
      <w:r>
        <w:rPr>
          <w:rFonts w:cs="Arial"/>
          <w:sz w:val="20"/>
          <w:szCs w:val="20"/>
        </w:rPr>
        <w:t>old</w:t>
      </w:r>
      <w:r w:rsidRPr="00F473D2">
        <w:rPr>
          <w:rFonts w:cs="Arial"/>
          <w:sz w:val="20"/>
          <w:szCs w:val="20"/>
        </w:rPr>
        <w:t xml:space="preserve"> brand delists, a Ministerial determination is made in relation to the new brand which calculates a</w:t>
      </w:r>
      <w:r>
        <w:rPr>
          <w:rFonts w:cs="Arial"/>
          <w:sz w:val="20"/>
          <w:szCs w:val="20"/>
        </w:rPr>
        <w:t>n ‘applicable quantity’ for the</w:t>
      </w:r>
      <w:r w:rsidRPr="00F473D2">
        <w:rPr>
          <w:rFonts w:cs="Arial"/>
          <w:sz w:val="20"/>
          <w:szCs w:val="20"/>
        </w:rPr>
        <w:t xml:space="preserve"> </w:t>
      </w:r>
      <w:r>
        <w:rPr>
          <w:rFonts w:cs="Arial"/>
          <w:sz w:val="20"/>
          <w:szCs w:val="20"/>
        </w:rPr>
        <w:t xml:space="preserve">combined minimum </w:t>
      </w:r>
      <w:r w:rsidRPr="00F473D2">
        <w:rPr>
          <w:rFonts w:cs="Arial"/>
          <w:sz w:val="20"/>
          <w:szCs w:val="20"/>
        </w:rPr>
        <w:t>stockholding requirement in the same manner</w:t>
      </w:r>
      <w:r>
        <w:rPr>
          <w:rFonts w:cs="Arial"/>
          <w:sz w:val="20"/>
          <w:szCs w:val="20"/>
        </w:rPr>
        <w:t>, based on the data of both brands during the reference period</w:t>
      </w:r>
      <w:r w:rsidRPr="00F473D2">
        <w:rPr>
          <w:rFonts w:cs="Arial"/>
          <w:sz w:val="20"/>
          <w:szCs w:val="20"/>
        </w:rPr>
        <w:t xml:space="preserve">. This determination remains in place until there is no longer any supply of the </w:t>
      </w:r>
      <w:r>
        <w:rPr>
          <w:rFonts w:cs="Arial"/>
          <w:sz w:val="20"/>
          <w:szCs w:val="20"/>
        </w:rPr>
        <w:t>old</w:t>
      </w:r>
      <w:r w:rsidRPr="00F473D2">
        <w:rPr>
          <w:rFonts w:cs="Arial"/>
          <w:sz w:val="20"/>
          <w:szCs w:val="20"/>
        </w:rPr>
        <w:t xml:space="preserve"> brand in the reference period.</w:t>
      </w:r>
    </w:p>
    <w:p w14:paraId="7E281725" w14:textId="77777777" w:rsidR="004D453C" w:rsidRPr="00F473D2" w:rsidRDefault="004D453C" w:rsidP="005A2644">
      <w:pPr>
        <w:pStyle w:val="Paragraphtext"/>
        <w:keepNext/>
        <w:numPr>
          <w:ilvl w:val="0"/>
          <w:numId w:val="44"/>
        </w:numPr>
        <w:rPr>
          <w:rFonts w:cs="Arial"/>
          <w:i/>
          <w:iCs/>
          <w:sz w:val="20"/>
          <w:szCs w:val="20"/>
        </w:rPr>
      </w:pPr>
      <w:r w:rsidRPr="00F473D2">
        <w:rPr>
          <w:rFonts w:cs="Arial"/>
          <w:i/>
          <w:iCs/>
          <w:sz w:val="20"/>
          <w:szCs w:val="20"/>
        </w:rPr>
        <w:t>Minimum stockholding based upon PD data for new brand only</w:t>
      </w:r>
    </w:p>
    <w:p w14:paraId="630CD782" w14:textId="77777777" w:rsidR="004D453C" w:rsidRPr="00F473D2" w:rsidRDefault="004D453C" w:rsidP="00AC290A">
      <w:pPr>
        <w:pStyle w:val="Paragraphtext"/>
        <w:spacing w:before="0"/>
        <w:ind w:firstLine="0"/>
        <w:rPr>
          <w:rFonts w:cs="Arial"/>
          <w:sz w:val="20"/>
          <w:szCs w:val="20"/>
        </w:rPr>
      </w:pPr>
      <w:r w:rsidRPr="4D4D53EB">
        <w:rPr>
          <w:rFonts w:cs="Arial"/>
          <w:sz w:val="20"/>
          <w:szCs w:val="20"/>
        </w:rPr>
        <w:t>After the above Ministerial determination is revoked, the minimum stockholding requirement for the new brand reverts to being calculated based upon PD data or PBS dispensing data (as applicable) for the new brand only during the reference period. Where the old brand was subject to a 6-month stockholding requirement as a result of a price increase</w:t>
      </w:r>
      <w:r>
        <w:rPr>
          <w:rFonts w:cs="Arial"/>
          <w:sz w:val="20"/>
          <w:szCs w:val="20"/>
        </w:rPr>
        <w:t>,</w:t>
      </w:r>
      <w:r w:rsidRPr="4D4D53EB">
        <w:rPr>
          <w:rFonts w:cs="Arial"/>
          <w:sz w:val="20"/>
          <w:szCs w:val="20"/>
        </w:rPr>
        <w:t xml:space="preserve"> an ongoing determination is generally made for a 6-month minimum stockholding for the new brand.</w:t>
      </w:r>
    </w:p>
    <w:p w14:paraId="543F0982" w14:textId="77777777" w:rsidR="003D5E58" w:rsidRPr="00F473D2" w:rsidRDefault="003D5E58" w:rsidP="00AC290A">
      <w:pPr>
        <w:pStyle w:val="Paragraphtext"/>
        <w:spacing w:before="0"/>
        <w:ind w:firstLine="0"/>
        <w:rPr>
          <w:rFonts w:cs="Arial"/>
          <w:sz w:val="20"/>
          <w:szCs w:val="20"/>
        </w:rPr>
      </w:pPr>
    </w:p>
    <w:p w14:paraId="7EB473CF" w14:textId="77777777" w:rsidR="004D453C" w:rsidRPr="00F473D2" w:rsidRDefault="004D453C" w:rsidP="004D453C">
      <w:pPr>
        <w:jc w:val="both"/>
        <w:rPr>
          <w:rFonts w:ascii="Arial" w:hAnsi="Arial" w:cs="Arial"/>
          <w:szCs w:val="20"/>
        </w:rPr>
      </w:pPr>
      <w:r w:rsidRPr="00F473D2">
        <w:rPr>
          <w:rFonts w:ascii="Arial" w:hAnsi="Arial" w:cs="Arial"/>
          <w:szCs w:val="20"/>
        </w:rPr>
        <w:lastRenderedPageBreak/>
        <w:t>For Stage 1 above, RPs are requested to sign a</w:t>
      </w:r>
      <w:r>
        <w:rPr>
          <w:rFonts w:ascii="Arial" w:hAnsi="Arial" w:cs="Arial"/>
          <w:szCs w:val="20"/>
        </w:rPr>
        <w:t xml:space="preserve"> separate</w:t>
      </w:r>
      <w:r w:rsidRPr="00F473D2">
        <w:rPr>
          <w:rFonts w:ascii="Arial" w:hAnsi="Arial" w:cs="Arial"/>
          <w:szCs w:val="20"/>
        </w:rPr>
        <w:t xml:space="preserve"> Deed</w:t>
      </w:r>
      <w:r>
        <w:rPr>
          <w:rStyle w:val="FootnoteReference"/>
          <w:rFonts w:ascii="Arial" w:hAnsi="Arial" w:cs="Arial"/>
          <w:szCs w:val="20"/>
        </w:rPr>
        <w:footnoteReference w:id="8"/>
      </w:r>
      <w:r w:rsidRPr="00F473D2">
        <w:rPr>
          <w:rFonts w:ascii="Arial" w:hAnsi="Arial" w:cs="Arial"/>
          <w:szCs w:val="20"/>
        </w:rPr>
        <w:t xml:space="preserve"> </w:t>
      </w:r>
      <w:r>
        <w:rPr>
          <w:rFonts w:ascii="Arial" w:hAnsi="Arial" w:cs="Arial"/>
          <w:szCs w:val="20"/>
        </w:rPr>
        <w:t xml:space="preserve">in relation to </w:t>
      </w:r>
      <w:r w:rsidRPr="00F473D2">
        <w:rPr>
          <w:rFonts w:ascii="Arial" w:hAnsi="Arial" w:cs="Arial"/>
          <w:szCs w:val="20"/>
        </w:rPr>
        <w:t xml:space="preserve">each </w:t>
      </w:r>
      <w:r>
        <w:rPr>
          <w:rFonts w:ascii="Arial" w:hAnsi="Arial" w:cs="Arial"/>
          <w:szCs w:val="20"/>
        </w:rPr>
        <w:t>rebranding exercise</w:t>
      </w:r>
      <w:r w:rsidRPr="00F473D2">
        <w:rPr>
          <w:rFonts w:ascii="Arial" w:hAnsi="Arial" w:cs="Arial"/>
          <w:szCs w:val="20"/>
        </w:rPr>
        <w:t xml:space="preserve"> </w:t>
      </w:r>
      <w:r>
        <w:rPr>
          <w:rFonts w:ascii="Arial" w:hAnsi="Arial" w:cs="Arial"/>
          <w:szCs w:val="20"/>
        </w:rPr>
        <w:t>(old</w:t>
      </w:r>
      <w:r w:rsidRPr="00F473D2">
        <w:rPr>
          <w:rFonts w:ascii="Arial" w:hAnsi="Arial" w:cs="Arial"/>
          <w:szCs w:val="20"/>
        </w:rPr>
        <w:t xml:space="preserve"> brand and new brand</w:t>
      </w:r>
      <w:r>
        <w:rPr>
          <w:rFonts w:ascii="Arial" w:hAnsi="Arial" w:cs="Arial"/>
          <w:szCs w:val="20"/>
        </w:rPr>
        <w:t>)</w:t>
      </w:r>
      <w:r w:rsidRPr="00F473D2">
        <w:rPr>
          <w:rFonts w:ascii="Arial" w:hAnsi="Arial" w:cs="Arial"/>
          <w:szCs w:val="20"/>
        </w:rPr>
        <w:t xml:space="preserve">, which provides for a combined minimum stockholding requirement which is calculated with reference to sales (or PBS dispensing) of both the </w:t>
      </w:r>
      <w:r>
        <w:rPr>
          <w:rFonts w:ascii="Arial" w:hAnsi="Arial" w:cs="Arial"/>
          <w:szCs w:val="20"/>
        </w:rPr>
        <w:t>old</w:t>
      </w:r>
      <w:r w:rsidRPr="00F473D2">
        <w:rPr>
          <w:rFonts w:ascii="Arial" w:hAnsi="Arial" w:cs="Arial"/>
          <w:szCs w:val="20"/>
        </w:rPr>
        <w:t xml:space="preserve"> brand and the new brand during the reference period. An RP may satisfy the combined minimum stockholding requirement under the Deed through holding stock of the </w:t>
      </w:r>
      <w:r>
        <w:rPr>
          <w:rFonts w:ascii="Arial" w:hAnsi="Arial" w:cs="Arial"/>
          <w:szCs w:val="20"/>
        </w:rPr>
        <w:t>old</w:t>
      </w:r>
      <w:r w:rsidRPr="00F473D2">
        <w:rPr>
          <w:rFonts w:ascii="Arial" w:hAnsi="Arial" w:cs="Arial"/>
          <w:szCs w:val="20"/>
        </w:rPr>
        <w:t xml:space="preserve"> brand and/or the new brand without any restriction on how that stockholding is composed (provided that the total minimum stockholding requirement is met for both brands</w:t>
      </w:r>
      <w:r>
        <w:rPr>
          <w:rFonts w:ascii="Arial" w:hAnsi="Arial" w:cs="Arial"/>
          <w:szCs w:val="20"/>
        </w:rPr>
        <w:t xml:space="preserve"> combined</w:t>
      </w:r>
      <w:r w:rsidRPr="00F473D2">
        <w:rPr>
          <w:rFonts w:ascii="Arial" w:hAnsi="Arial" w:cs="Arial"/>
          <w:szCs w:val="20"/>
        </w:rPr>
        <w:t xml:space="preserve">). Provided that the RP is compliant with the Deed, the </w:t>
      </w:r>
      <w:r>
        <w:rPr>
          <w:rFonts w:ascii="Arial" w:hAnsi="Arial" w:cs="Arial"/>
          <w:szCs w:val="20"/>
        </w:rPr>
        <w:t>d</w:t>
      </w:r>
      <w:r w:rsidRPr="00F473D2">
        <w:rPr>
          <w:rFonts w:ascii="Arial" w:hAnsi="Arial" w:cs="Arial"/>
          <w:szCs w:val="20"/>
        </w:rPr>
        <w:t xml:space="preserve">epartment will recommend that the Minister not take any action under section 99AEKE for what would otherwise be a breach of the minimum stockholding requirement for the </w:t>
      </w:r>
      <w:r>
        <w:rPr>
          <w:rFonts w:ascii="Arial" w:hAnsi="Arial" w:cs="Arial"/>
          <w:szCs w:val="20"/>
        </w:rPr>
        <w:t>old</w:t>
      </w:r>
      <w:r w:rsidRPr="00F473D2">
        <w:rPr>
          <w:rFonts w:ascii="Arial" w:hAnsi="Arial" w:cs="Arial"/>
          <w:szCs w:val="20"/>
        </w:rPr>
        <w:t xml:space="preserve"> brand (as the RP starts to run down their stock).</w:t>
      </w:r>
    </w:p>
    <w:p w14:paraId="6BCBC761" w14:textId="77777777" w:rsidR="004D453C" w:rsidRDefault="004D453C" w:rsidP="004D453C">
      <w:pPr>
        <w:jc w:val="both"/>
        <w:rPr>
          <w:rFonts w:ascii="Arial" w:hAnsi="Arial" w:cs="Arial"/>
          <w:szCs w:val="20"/>
        </w:rPr>
      </w:pPr>
      <w:r>
        <w:rPr>
          <w:rFonts w:ascii="Arial" w:hAnsi="Arial" w:cs="Arial"/>
          <w:szCs w:val="20"/>
        </w:rPr>
        <w:t>When the RP submits applications via HPP to list the new brand and to delist the old brand (with a period of dual listing), it is expected that the RP will indicate a rebrand is occurring and provide details of both the old brand and the new brand. This facilitates the department linking the two applications for processing as a rebrand. The department routinely monitors delisting applications for designated brands. Where the department identifies a request for dual listing of a designated brand, the PBS Minimum Stockholding Requirements team will contact the RP to arrange for execution of a Deed as outlined above.</w:t>
      </w:r>
    </w:p>
    <w:tbl>
      <w:tblPr>
        <w:tblStyle w:val="TableGrid"/>
        <w:tblW w:w="9351" w:type="dxa"/>
        <w:tblLook w:val="04A0" w:firstRow="1" w:lastRow="0" w:firstColumn="1" w:lastColumn="0" w:noHBand="0" w:noVBand="1"/>
      </w:tblPr>
      <w:tblGrid>
        <w:gridCol w:w="9351"/>
      </w:tblGrid>
      <w:tr w:rsidR="00DF049E" w:rsidRPr="00943CD5" w14:paraId="42191A3B" w14:textId="77777777">
        <w:tc>
          <w:tcPr>
            <w:tcW w:w="9351" w:type="dxa"/>
            <w:shd w:val="clear" w:color="auto" w:fill="B3DEF2"/>
          </w:tcPr>
          <w:p w14:paraId="3352FAAB" w14:textId="16E416CE" w:rsidR="00DF049E" w:rsidRPr="00842234" w:rsidRDefault="00DF049E" w:rsidP="00012490">
            <w:pPr>
              <w:spacing w:after="160" w:line="259" w:lineRule="auto"/>
              <w:jc w:val="both"/>
              <w:rPr>
                <w:rFonts w:ascii="Arial" w:hAnsi="Arial" w:cs="Arial"/>
                <w:b/>
                <w:bCs/>
              </w:rPr>
            </w:pPr>
            <w:r w:rsidRPr="00842234">
              <w:rPr>
                <w:rFonts w:ascii="Arial" w:hAnsi="Arial" w:cs="Arial"/>
                <w:b/>
                <w:bCs/>
              </w:rPr>
              <w:t>Example of transition between stages</w:t>
            </w:r>
            <w:r w:rsidR="006705F8">
              <w:rPr>
                <w:rFonts w:ascii="Arial" w:hAnsi="Arial" w:cs="Arial"/>
                <w:b/>
                <w:bCs/>
              </w:rPr>
              <w:t>:</w:t>
            </w:r>
          </w:p>
          <w:p w14:paraId="11673DA7" w14:textId="77777777" w:rsidR="00DF049E" w:rsidRDefault="00DF049E" w:rsidP="002044D1">
            <w:pPr>
              <w:spacing w:after="160" w:line="259" w:lineRule="auto"/>
              <w:jc w:val="both"/>
              <w:rPr>
                <w:rFonts w:ascii="Arial" w:hAnsi="Arial" w:cs="Arial"/>
              </w:rPr>
            </w:pPr>
            <w:r>
              <w:rPr>
                <w:rFonts w:ascii="Arial" w:hAnsi="Arial" w:cs="Arial"/>
              </w:rPr>
              <w:t>The following is an example of a typical process where rebranding occurs by way of a period of dual listing. Rebranding in certain circumstances may follow a different process where required under legislation or to reflect the discretion of the Minister in exercising their powers.</w:t>
            </w:r>
          </w:p>
          <w:p w14:paraId="79280D26" w14:textId="77777777" w:rsidR="00DF049E" w:rsidRDefault="00DF049E" w:rsidP="00EB22D2">
            <w:pPr>
              <w:spacing w:after="160" w:line="259" w:lineRule="auto"/>
              <w:jc w:val="both"/>
              <w:rPr>
                <w:rFonts w:ascii="Arial" w:hAnsi="Arial" w:cs="Arial"/>
              </w:rPr>
            </w:pPr>
            <w:r w:rsidRPr="00DF049E">
              <w:rPr>
                <w:rFonts w:ascii="Arial" w:hAnsi="Arial" w:cs="Arial"/>
              </w:rPr>
              <w:t>The new brand (</w:t>
            </w:r>
            <w:r w:rsidRPr="00DF049E">
              <w:rPr>
                <w:rFonts w:ascii="Arial" w:hAnsi="Arial" w:cs="Arial"/>
                <w:i/>
                <w:iCs/>
              </w:rPr>
              <w:t>Entecavir Asclepius</w:t>
            </w:r>
            <w:r w:rsidRPr="00DF049E">
              <w:rPr>
                <w:rFonts w:ascii="Arial" w:hAnsi="Arial" w:cs="Arial"/>
              </w:rPr>
              <w:t>) has listed effective 1 October 2025. The old brand (</w:t>
            </w:r>
            <w:r w:rsidRPr="00DF049E">
              <w:rPr>
                <w:rFonts w:ascii="Arial" w:hAnsi="Arial" w:cs="Arial"/>
                <w:i/>
                <w:iCs/>
              </w:rPr>
              <w:t>Asclepius Entecavir</w:t>
            </w:r>
            <w:r w:rsidRPr="00DF049E">
              <w:rPr>
                <w:rFonts w:ascii="Arial" w:hAnsi="Arial" w:cs="Arial"/>
              </w:rPr>
              <w:t>) will delist from the PBS effective 1 July 2026. Last sales of the old brand are on 31 December 2025. The brands are subject to a 4-month minimum stockholding requirement. The last data collection period in which there is PD data for the old brand is the period 1 October 2025 to 31 March 2026.</w:t>
            </w:r>
          </w:p>
          <w:tbl>
            <w:tblPr>
              <w:tblW w:w="0" w:type="auto"/>
              <w:jc w:val="center"/>
              <w:tblCellMar>
                <w:left w:w="0" w:type="dxa"/>
                <w:right w:w="0" w:type="dxa"/>
              </w:tblCellMar>
              <w:tblLook w:val="04A0" w:firstRow="1" w:lastRow="0" w:firstColumn="1" w:lastColumn="0" w:noHBand="0" w:noVBand="1"/>
            </w:tblPr>
            <w:tblGrid>
              <w:gridCol w:w="1677"/>
              <w:gridCol w:w="1646"/>
              <w:gridCol w:w="2311"/>
              <w:gridCol w:w="3372"/>
            </w:tblGrid>
            <w:tr w:rsidR="002044D1" w:rsidRPr="00F3312E" w14:paraId="77561C2B" w14:textId="77777777" w:rsidTr="001B2A4B">
              <w:trPr>
                <w:tblHeader/>
                <w:jc w:val="center"/>
              </w:trPr>
              <w:tc>
                <w:tcPr>
                  <w:tcW w:w="16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D3C849" w14:textId="77777777" w:rsidR="002044D1" w:rsidRPr="006705F8" w:rsidRDefault="002044D1" w:rsidP="002044D1">
                  <w:pPr>
                    <w:rPr>
                      <w:rFonts w:ascii="Arial" w:hAnsi="Arial" w:cs="Arial"/>
                      <w:b/>
                      <w:i/>
                      <w:sz w:val="18"/>
                      <w:szCs w:val="18"/>
                    </w:rPr>
                  </w:pPr>
                  <w:r w:rsidRPr="006705F8">
                    <w:rPr>
                      <w:rFonts w:ascii="Arial" w:hAnsi="Arial" w:cs="Arial"/>
                      <w:b/>
                      <w:i/>
                      <w:sz w:val="18"/>
                      <w:szCs w:val="18"/>
                    </w:rPr>
                    <w:t>Reference period</w:t>
                  </w:r>
                </w:p>
              </w:tc>
              <w:tc>
                <w:tcPr>
                  <w:tcW w:w="16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B75690" w14:textId="77777777" w:rsidR="002044D1" w:rsidRPr="006705F8" w:rsidRDefault="002044D1" w:rsidP="002044D1">
                  <w:pPr>
                    <w:rPr>
                      <w:rFonts w:ascii="Arial" w:hAnsi="Arial" w:cs="Arial"/>
                      <w:b/>
                      <w:i/>
                      <w:sz w:val="18"/>
                      <w:szCs w:val="18"/>
                    </w:rPr>
                  </w:pPr>
                  <w:r w:rsidRPr="006705F8">
                    <w:rPr>
                      <w:rFonts w:ascii="Arial" w:hAnsi="Arial" w:cs="Arial"/>
                      <w:b/>
                      <w:i/>
                      <w:sz w:val="18"/>
                      <w:szCs w:val="18"/>
                    </w:rPr>
                    <w:t>Stockholding period</w:t>
                  </w:r>
                </w:p>
              </w:tc>
              <w:tc>
                <w:tcPr>
                  <w:tcW w:w="23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809514" w14:textId="77777777" w:rsidR="002044D1" w:rsidRPr="006705F8" w:rsidRDefault="002044D1" w:rsidP="002044D1">
                  <w:pPr>
                    <w:rPr>
                      <w:rFonts w:ascii="Arial" w:hAnsi="Arial" w:cs="Arial"/>
                      <w:b/>
                      <w:i/>
                      <w:sz w:val="18"/>
                      <w:szCs w:val="18"/>
                    </w:rPr>
                  </w:pPr>
                  <w:r w:rsidRPr="006705F8">
                    <w:rPr>
                      <w:rFonts w:ascii="Arial" w:hAnsi="Arial" w:cs="Arial"/>
                      <w:b/>
                      <w:i/>
                      <w:sz w:val="18"/>
                      <w:szCs w:val="18"/>
                    </w:rPr>
                    <w:t>Status of old brand and new brand</w:t>
                  </w:r>
                </w:p>
              </w:tc>
              <w:tc>
                <w:tcPr>
                  <w:tcW w:w="337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E3CDAD" w14:textId="02DFACA1" w:rsidR="002044D1" w:rsidRPr="006705F8" w:rsidRDefault="002044D1" w:rsidP="002044D1">
                  <w:pPr>
                    <w:rPr>
                      <w:rFonts w:ascii="Arial" w:hAnsi="Arial" w:cs="Arial"/>
                      <w:b/>
                      <w:i/>
                      <w:sz w:val="18"/>
                      <w:szCs w:val="18"/>
                    </w:rPr>
                  </w:pPr>
                  <w:r w:rsidRPr="006705F8">
                    <w:rPr>
                      <w:rFonts w:ascii="Arial" w:hAnsi="Arial" w:cs="Arial"/>
                      <w:b/>
                      <w:i/>
                      <w:sz w:val="18"/>
                      <w:szCs w:val="18"/>
                    </w:rPr>
                    <w:t>Stockholding requirement</w:t>
                  </w:r>
                </w:p>
              </w:tc>
            </w:tr>
            <w:tr w:rsidR="002044D1" w:rsidRPr="006705F8" w14:paraId="267584AE" w14:textId="77777777" w:rsidTr="001B2A4B">
              <w:trPr>
                <w:jc w:val="center"/>
              </w:trPr>
              <w:tc>
                <w:tcPr>
                  <w:tcW w:w="1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8391E9" w14:textId="77777777" w:rsidR="002044D1" w:rsidRPr="006705F8" w:rsidRDefault="002044D1" w:rsidP="002044D1">
                  <w:pPr>
                    <w:rPr>
                      <w:rFonts w:ascii="Arial" w:hAnsi="Arial" w:cs="Arial"/>
                      <w:sz w:val="18"/>
                      <w:szCs w:val="18"/>
                    </w:rPr>
                  </w:pPr>
                  <w:r w:rsidRPr="006705F8">
                    <w:rPr>
                      <w:rFonts w:ascii="Arial" w:hAnsi="Arial" w:cs="Arial"/>
                      <w:sz w:val="18"/>
                      <w:szCs w:val="18"/>
                    </w:rPr>
                    <w:t>1 October 2024 to 31 March 2025</w:t>
                  </w:r>
                </w:p>
              </w:tc>
              <w:tc>
                <w:tcPr>
                  <w:tcW w:w="1646" w:type="dxa"/>
                  <w:tcBorders>
                    <w:top w:val="nil"/>
                    <w:left w:val="nil"/>
                    <w:bottom w:val="single" w:sz="8" w:space="0" w:color="auto"/>
                    <w:right w:val="single" w:sz="8" w:space="0" w:color="auto"/>
                  </w:tcBorders>
                  <w:tcMar>
                    <w:top w:w="0" w:type="dxa"/>
                    <w:left w:w="108" w:type="dxa"/>
                    <w:bottom w:w="0" w:type="dxa"/>
                    <w:right w:w="108" w:type="dxa"/>
                  </w:tcMar>
                  <w:hideMark/>
                </w:tcPr>
                <w:p w14:paraId="7B816DE2" w14:textId="77777777" w:rsidR="002044D1" w:rsidRPr="006705F8" w:rsidRDefault="002044D1" w:rsidP="002044D1">
                  <w:pPr>
                    <w:rPr>
                      <w:rFonts w:ascii="Arial" w:hAnsi="Arial" w:cs="Arial"/>
                      <w:sz w:val="18"/>
                      <w:szCs w:val="18"/>
                    </w:rPr>
                  </w:pPr>
                  <w:r w:rsidRPr="006705F8">
                    <w:rPr>
                      <w:rFonts w:ascii="Arial" w:hAnsi="Arial" w:cs="Arial"/>
                      <w:sz w:val="18"/>
                      <w:szCs w:val="18"/>
                    </w:rPr>
                    <w:t>1 October 2025 to 31 March 2026</w:t>
                  </w:r>
                </w:p>
              </w:tc>
              <w:tc>
                <w:tcPr>
                  <w:tcW w:w="2311" w:type="dxa"/>
                  <w:tcBorders>
                    <w:top w:val="nil"/>
                    <w:left w:val="nil"/>
                    <w:bottom w:val="single" w:sz="8" w:space="0" w:color="auto"/>
                    <w:right w:val="single" w:sz="8" w:space="0" w:color="auto"/>
                  </w:tcBorders>
                  <w:tcMar>
                    <w:top w:w="0" w:type="dxa"/>
                    <w:left w:w="108" w:type="dxa"/>
                    <w:bottom w:w="0" w:type="dxa"/>
                    <w:right w:w="108" w:type="dxa"/>
                  </w:tcMar>
                  <w:hideMark/>
                </w:tcPr>
                <w:p w14:paraId="2F6179ED" w14:textId="77777777" w:rsidR="002044D1" w:rsidRPr="006705F8" w:rsidRDefault="002044D1" w:rsidP="002044D1">
                  <w:pPr>
                    <w:rPr>
                      <w:rFonts w:ascii="Arial" w:hAnsi="Arial" w:cs="Arial"/>
                      <w:sz w:val="18"/>
                      <w:szCs w:val="18"/>
                    </w:rPr>
                  </w:pPr>
                  <w:r w:rsidRPr="006705F8">
                    <w:rPr>
                      <w:rFonts w:ascii="Arial" w:hAnsi="Arial" w:cs="Arial"/>
                      <w:sz w:val="18"/>
                      <w:szCs w:val="18"/>
                    </w:rPr>
                    <w:t>Both the old</w:t>
                  </w:r>
                  <w:r w:rsidRPr="006705F8" w:rsidDel="00787890">
                    <w:rPr>
                      <w:rFonts w:ascii="Arial" w:hAnsi="Arial" w:cs="Arial"/>
                      <w:sz w:val="18"/>
                      <w:szCs w:val="18"/>
                    </w:rPr>
                    <w:t xml:space="preserve"> </w:t>
                  </w:r>
                  <w:r w:rsidRPr="006705F8">
                    <w:rPr>
                      <w:rFonts w:ascii="Arial" w:hAnsi="Arial" w:cs="Arial"/>
                      <w:sz w:val="18"/>
                      <w:szCs w:val="18"/>
                    </w:rPr>
                    <w:t>and new brands are listed.</w:t>
                  </w:r>
                </w:p>
                <w:p w14:paraId="498F58A2" w14:textId="77777777" w:rsidR="002044D1" w:rsidRPr="006705F8" w:rsidRDefault="002044D1" w:rsidP="002044D1">
                  <w:pPr>
                    <w:rPr>
                      <w:rFonts w:ascii="Arial" w:hAnsi="Arial" w:cs="Arial"/>
                      <w:sz w:val="18"/>
                      <w:szCs w:val="18"/>
                    </w:rPr>
                  </w:pPr>
                  <w:r w:rsidRPr="006705F8">
                    <w:rPr>
                      <w:rFonts w:ascii="Arial" w:hAnsi="Arial" w:cs="Arial"/>
                      <w:sz w:val="18"/>
                      <w:szCs w:val="18"/>
                    </w:rPr>
                    <w:t>Last sales of the old brand occur during this stockholding period/data collection period.</w:t>
                  </w:r>
                </w:p>
                <w:p w14:paraId="1B480908" w14:textId="77777777" w:rsidR="002044D1" w:rsidRPr="006705F8" w:rsidRDefault="002044D1" w:rsidP="002044D1">
                  <w:pPr>
                    <w:rPr>
                      <w:rFonts w:ascii="Arial" w:hAnsi="Arial" w:cs="Arial"/>
                      <w:sz w:val="18"/>
                      <w:szCs w:val="18"/>
                    </w:rPr>
                  </w:pPr>
                  <w:r w:rsidRPr="006705F8">
                    <w:rPr>
                      <w:rFonts w:ascii="Arial" w:hAnsi="Arial" w:cs="Arial"/>
                      <w:sz w:val="18"/>
                      <w:szCs w:val="18"/>
                    </w:rPr>
                    <w:t>The combined stockholding requirement is effectively based on PD data for the old brand only (as the new brand was not listed during this reference period).</w:t>
                  </w:r>
                </w:p>
              </w:tc>
              <w:tc>
                <w:tcPr>
                  <w:tcW w:w="3372" w:type="dxa"/>
                  <w:tcBorders>
                    <w:top w:val="nil"/>
                    <w:left w:val="nil"/>
                    <w:bottom w:val="single" w:sz="8" w:space="0" w:color="auto"/>
                    <w:right w:val="single" w:sz="8" w:space="0" w:color="auto"/>
                  </w:tcBorders>
                  <w:tcMar>
                    <w:top w:w="0" w:type="dxa"/>
                    <w:left w:w="108" w:type="dxa"/>
                    <w:bottom w:w="0" w:type="dxa"/>
                    <w:right w:w="108" w:type="dxa"/>
                  </w:tcMar>
                  <w:hideMark/>
                </w:tcPr>
                <w:p w14:paraId="358F4B01" w14:textId="77777777" w:rsidR="002044D1" w:rsidRPr="006705F8" w:rsidRDefault="002044D1" w:rsidP="002044D1">
                  <w:pPr>
                    <w:rPr>
                      <w:rFonts w:ascii="Arial" w:hAnsi="Arial" w:cs="Arial"/>
                      <w:sz w:val="18"/>
                      <w:szCs w:val="18"/>
                    </w:rPr>
                  </w:pPr>
                  <w:r w:rsidRPr="006705F8">
                    <w:rPr>
                      <w:rFonts w:ascii="Arial" w:hAnsi="Arial" w:cs="Arial"/>
                      <w:sz w:val="18"/>
                      <w:szCs w:val="18"/>
                    </w:rPr>
                    <w:t>4 months combined stockholding pursuant to Deed.</w:t>
                  </w:r>
                </w:p>
                <w:p w14:paraId="553D29B2" w14:textId="77777777" w:rsidR="002044D1" w:rsidRPr="006705F8" w:rsidRDefault="002044D1" w:rsidP="002044D1">
                  <w:pPr>
                    <w:rPr>
                      <w:rFonts w:ascii="Arial" w:hAnsi="Arial" w:cs="Arial"/>
                      <w:sz w:val="18"/>
                      <w:szCs w:val="18"/>
                    </w:rPr>
                  </w:pPr>
                  <w:r w:rsidRPr="006705F8">
                    <w:rPr>
                      <w:rFonts w:ascii="Arial" w:hAnsi="Arial" w:cs="Arial"/>
                      <w:sz w:val="18"/>
                      <w:szCs w:val="18"/>
                    </w:rPr>
                    <w:t>Combined stockholding can be satisfied with stock of both the old and new brands added together.</w:t>
                  </w:r>
                </w:p>
              </w:tc>
            </w:tr>
            <w:tr w:rsidR="002044D1" w:rsidRPr="006705F8" w14:paraId="77369A98" w14:textId="77777777" w:rsidTr="001B2A4B">
              <w:trPr>
                <w:jc w:val="center"/>
              </w:trPr>
              <w:tc>
                <w:tcPr>
                  <w:tcW w:w="1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6FDA16" w14:textId="77777777" w:rsidR="002044D1" w:rsidRPr="006705F8" w:rsidRDefault="002044D1" w:rsidP="002044D1">
                  <w:pPr>
                    <w:rPr>
                      <w:rFonts w:ascii="Arial" w:hAnsi="Arial" w:cs="Arial"/>
                      <w:sz w:val="18"/>
                      <w:szCs w:val="18"/>
                    </w:rPr>
                  </w:pPr>
                  <w:r w:rsidRPr="006705F8">
                    <w:rPr>
                      <w:rFonts w:ascii="Arial" w:hAnsi="Arial" w:cs="Arial"/>
                      <w:sz w:val="18"/>
                      <w:szCs w:val="18"/>
                    </w:rPr>
                    <w:lastRenderedPageBreak/>
                    <w:t>1 April 2025 to 30 September 2025</w:t>
                  </w:r>
                </w:p>
              </w:tc>
              <w:tc>
                <w:tcPr>
                  <w:tcW w:w="1646" w:type="dxa"/>
                  <w:tcBorders>
                    <w:top w:val="nil"/>
                    <w:left w:val="nil"/>
                    <w:bottom w:val="single" w:sz="8" w:space="0" w:color="auto"/>
                    <w:right w:val="single" w:sz="8" w:space="0" w:color="auto"/>
                  </w:tcBorders>
                  <w:tcMar>
                    <w:top w:w="0" w:type="dxa"/>
                    <w:left w:w="108" w:type="dxa"/>
                    <w:bottom w:w="0" w:type="dxa"/>
                    <w:right w:w="108" w:type="dxa"/>
                  </w:tcMar>
                  <w:hideMark/>
                </w:tcPr>
                <w:p w14:paraId="2F0E2D6C" w14:textId="77777777" w:rsidR="002044D1" w:rsidRPr="006705F8" w:rsidRDefault="002044D1" w:rsidP="002044D1">
                  <w:pPr>
                    <w:rPr>
                      <w:rFonts w:ascii="Arial" w:hAnsi="Arial" w:cs="Arial"/>
                      <w:sz w:val="18"/>
                      <w:szCs w:val="18"/>
                    </w:rPr>
                  </w:pPr>
                  <w:r w:rsidRPr="006705F8">
                    <w:rPr>
                      <w:rFonts w:ascii="Arial" w:hAnsi="Arial" w:cs="Arial"/>
                      <w:sz w:val="18"/>
                      <w:szCs w:val="18"/>
                    </w:rPr>
                    <w:t>1 April 2026 to 30 September 2026</w:t>
                  </w:r>
                </w:p>
              </w:tc>
              <w:tc>
                <w:tcPr>
                  <w:tcW w:w="2311" w:type="dxa"/>
                  <w:tcBorders>
                    <w:top w:val="nil"/>
                    <w:left w:val="nil"/>
                    <w:bottom w:val="single" w:sz="8" w:space="0" w:color="auto"/>
                    <w:right w:val="single" w:sz="8" w:space="0" w:color="auto"/>
                  </w:tcBorders>
                  <w:tcMar>
                    <w:top w:w="0" w:type="dxa"/>
                    <w:left w:w="108" w:type="dxa"/>
                    <w:bottom w:w="0" w:type="dxa"/>
                    <w:right w:w="108" w:type="dxa"/>
                  </w:tcMar>
                  <w:hideMark/>
                </w:tcPr>
                <w:p w14:paraId="4DF16140" w14:textId="77777777" w:rsidR="002044D1" w:rsidRPr="006705F8" w:rsidRDefault="002044D1" w:rsidP="002044D1">
                  <w:pPr>
                    <w:rPr>
                      <w:rFonts w:ascii="Arial" w:hAnsi="Arial" w:cs="Arial"/>
                      <w:sz w:val="18"/>
                      <w:szCs w:val="18"/>
                    </w:rPr>
                  </w:pPr>
                  <w:r w:rsidRPr="006705F8">
                    <w:rPr>
                      <w:rFonts w:ascii="Arial" w:hAnsi="Arial" w:cs="Arial"/>
                      <w:sz w:val="18"/>
                      <w:szCs w:val="18"/>
                    </w:rPr>
                    <w:t>Both the old</w:t>
                  </w:r>
                  <w:r w:rsidRPr="006705F8" w:rsidDel="00C65435">
                    <w:rPr>
                      <w:rFonts w:ascii="Arial" w:hAnsi="Arial" w:cs="Arial"/>
                      <w:sz w:val="18"/>
                      <w:szCs w:val="18"/>
                    </w:rPr>
                    <w:t xml:space="preserve"> </w:t>
                  </w:r>
                  <w:r w:rsidRPr="006705F8">
                    <w:rPr>
                      <w:rFonts w:ascii="Arial" w:hAnsi="Arial" w:cs="Arial"/>
                      <w:sz w:val="18"/>
                      <w:szCs w:val="18"/>
                    </w:rPr>
                    <w:t>and new brands are listed. The old brand will delist during this stockholding period.</w:t>
                  </w:r>
                </w:p>
                <w:p w14:paraId="402CA5FF" w14:textId="77777777" w:rsidR="002044D1" w:rsidRPr="006705F8" w:rsidRDefault="002044D1" w:rsidP="002044D1">
                  <w:pPr>
                    <w:rPr>
                      <w:rFonts w:ascii="Arial" w:hAnsi="Arial" w:cs="Arial"/>
                      <w:sz w:val="18"/>
                      <w:szCs w:val="18"/>
                    </w:rPr>
                  </w:pPr>
                  <w:r w:rsidRPr="006705F8">
                    <w:rPr>
                      <w:rFonts w:ascii="Arial" w:hAnsi="Arial" w:cs="Arial"/>
                      <w:sz w:val="18"/>
                      <w:szCs w:val="18"/>
                    </w:rPr>
                    <w:t xml:space="preserve">1 April 2026 to 30 September 2026 is the </w:t>
                  </w:r>
                  <w:r w:rsidRPr="006705F8">
                    <w:rPr>
                      <w:rFonts w:ascii="Arial" w:hAnsi="Arial" w:cs="Arial"/>
                      <w:i/>
                      <w:sz w:val="18"/>
                      <w:szCs w:val="18"/>
                    </w:rPr>
                    <w:t>‘data collection period in which zero packs of the old brand are disclosed’</w:t>
                  </w:r>
                  <w:r w:rsidRPr="006705F8">
                    <w:rPr>
                      <w:rFonts w:ascii="Arial" w:hAnsi="Arial" w:cs="Arial"/>
                      <w:sz w:val="18"/>
                      <w:szCs w:val="18"/>
                    </w:rPr>
                    <w:t>.</w:t>
                  </w:r>
                </w:p>
                <w:p w14:paraId="0BE907FF" w14:textId="77777777" w:rsidR="002044D1" w:rsidRPr="006705F8" w:rsidRDefault="002044D1" w:rsidP="002044D1">
                  <w:pPr>
                    <w:rPr>
                      <w:rFonts w:ascii="Arial" w:hAnsi="Arial" w:cs="Arial"/>
                      <w:sz w:val="18"/>
                      <w:szCs w:val="18"/>
                    </w:rPr>
                  </w:pPr>
                  <w:r w:rsidRPr="006705F8">
                    <w:rPr>
                      <w:rFonts w:ascii="Arial" w:hAnsi="Arial" w:cs="Arial"/>
                      <w:sz w:val="18"/>
                      <w:szCs w:val="18"/>
                    </w:rPr>
                    <w:t>There is PD data for the old brand in this reference period. There is not yet PD data for the new brand.</w:t>
                  </w:r>
                </w:p>
              </w:tc>
              <w:tc>
                <w:tcPr>
                  <w:tcW w:w="3372" w:type="dxa"/>
                  <w:tcBorders>
                    <w:top w:val="nil"/>
                    <w:left w:val="nil"/>
                    <w:bottom w:val="single" w:sz="8" w:space="0" w:color="auto"/>
                    <w:right w:val="single" w:sz="8" w:space="0" w:color="auto"/>
                  </w:tcBorders>
                  <w:tcMar>
                    <w:top w:w="0" w:type="dxa"/>
                    <w:left w:w="108" w:type="dxa"/>
                    <w:bottom w:w="0" w:type="dxa"/>
                    <w:right w:w="108" w:type="dxa"/>
                  </w:tcMar>
                </w:tcPr>
                <w:p w14:paraId="05E48BBF" w14:textId="77777777" w:rsidR="002044D1" w:rsidRPr="006705F8" w:rsidRDefault="002044D1" w:rsidP="002044D1">
                  <w:pPr>
                    <w:rPr>
                      <w:rFonts w:ascii="Arial" w:hAnsi="Arial" w:cs="Arial"/>
                      <w:sz w:val="18"/>
                      <w:szCs w:val="18"/>
                      <w:u w:val="single"/>
                    </w:rPr>
                  </w:pPr>
                  <w:r w:rsidRPr="006705F8">
                    <w:rPr>
                      <w:rFonts w:ascii="Arial" w:hAnsi="Arial" w:cs="Arial"/>
                      <w:sz w:val="18"/>
                      <w:szCs w:val="18"/>
                      <w:u w:val="single"/>
                    </w:rPr>
                    <w:t>From 1 April 2026 to 30 June 2026:</w:t>
                  </w:r>
                </w:p>
                <w:p w14:paraId="2BD1C427" w14:textId="77777777" w:rsidR="002044D1" w:rsidRPr="006705F8" w:rsidRDefault="002044D1" w:rsidP="002044D1">
                  <w:pPr>
                    <w:rPr>
                      <w:rFonts w:ascii="Arial" w:hAnsi="Arial" w:cs="Arial"/>
                      <w:sz w:val="18"/>
                      <w:szCs w:val="18"/>
                    </w:rPr>
                  </w:pPr>
                  <w:r w:rsidRPr="006705F8">
                    <w:rPr>
                      <w:rFonts w:ascii="Arial" w:hAnsi="Arial" w:cs="Arial"/>
                      <w:sz w:val="18"/>
                      <w:szCs w:val="18"/>
                    </w:rPr>
                    <w:t>4 months combined stockholding pursuant to Deed.</w:t>
                  </w:r>
                </w:p>
                <w:p w14:paraId="295ED4A0" w14:textId="77777777" w:rsidR="002044D1" w:rsidRPr="006705F8" w:rsidRDefault="002044D1" w:rsidP="002044D1">
                  <w:pPr>
                    <w:rPr>
                      <w:rFonts w:ascii="Arial" w:hAnsi="Arial" w:cs="Arial"/>
                      <w:sz w:val="18"/>
                      <w:szCs w:val="18"/>
                      <w:u w:val="single"/>
                    </w:rPr>
                  </w:pPr>
                  <w:r w:rsidRPr="006705F8">
                    <w:rPr>
                      <w:rFonts w:ascii="Arial" w:hAnsi="Arial" w:cs="Arial"/>
                      <w:sz w:val="18"/>
                      <w:szCs w:val="18"/>
                      <w:u w:val="single"/>
                    </w:rPr>
                    <w:t>From 1 July 2026 to 30 September 2026:</w:t>
                  </w:r>
                </w:p>
                <w:p w14:paraId="360FCA67" w14:textId="77777777" w:rsidR="002044D1" w:rsidRPr="006705F8" w:rsidRDefault="002044D1" w:rsidP="002044D1">
                  <w:pPr>
                    <w:rPr>
                      <w:rFonts w:ascii="Arial" w:hAnsi="Arial" w:cs="Arial"/>
                      <w:sz w:val="18"/>
                      <w:szCs w:val="18"/>
                    </w:rPr>
                  </w:pPr>
                  <w:r w:rsidRPr="006705F8">
                    <w:rPr>
                      <w:rFonts w:ascii="Arial" w:hAnsi="Arial" w:cs="Arial"/>
                      <w:i/>
                      <w:sz w:val="18"/>
                      <w:szCs w:val="18"/>
                    </w:rPr>
                    <w:t>Asclepius Entecavir</w:t>
                  </w:r>
                  <w:r w:rsidRPr="006705F8">
                    <w:rPr>
                      <w:rFonts w:ascii="Arial" w:hAnsi="Arial" w:cs="Arial"/>
                      <w:sz w:val="18"/>
                      <w:szCs w:val="18"/>
                    </w:rPr>
                    <w:t xml:space="preserve"> has delisted effective 1 July 2026.</w:t>
                  </w:r>
                </w:p>
                <w:p w14:paraId="16D4A7D0" w14:textId="77777777" w:rsidR="002044D1" w:rsidRPr="006705F8" w:rsidRDefault="002044D1" w:rsidP="002044D1">
                  <w:pPr>
                    <w:rPr>
                      <w:rFonts w:ascii="Arial" w:hAnsi="Arial" w:cs="Arial"/>
                      <w:sz w:val="18"/>
                      <w:szCs w:val="18"/>
                    </w:rPr>
                  </w:pPr>
                  <w:r w:rsidRPr="006705F8">
                    <w:rPr>
                      <w:rFonts w:ascii="Arial" w:hAnsi="Arial" w:cs="Arial"/>
                      <w:sz w:val="18"/>
                      <w:szCs w:val="18"/>
                    </w:rPr>
                    <w:t xml:space="preserve">For </w:t>
                  </w:r>
                  <w:r w:rsidRPr="006705F8">
                    <w:rPr>
                      <w:rFonts w:ascii="Arial" w:hAnsi="Arial" w:cs="Arial"/>
                      <w:i/>
                      <w:sz w:val="18"/>
                      <w:szCs w:val="18"/>
                    </w:rPr>
                    <w:t>Entecavir Asclepius</w:t>
                  </w:r>
                  <w:r w:rsidRPr="006705F8">
                    <w:rPr>
                      <w:rFonts w:ascii="Arial" w:hAnsi="Arial" w:cs="Arial"/>
                      <w:sz w:val="18"/>
                      <w:szCs w:val="18"/>
                    </w:rPr>
                    <w:t>, stockholding is based on Ministerial Determination of ‘</w:t>
                  </w:r>
                  <w:r w:rsidRPr="006705F8">
                    <w:rPr>
                      <w:rFonts w:ascii="Arial" w:hAnsi="Arial" w:cs="Arial"/>
                      <w:i/>
                      <w:sz w:val="18"/>
                      <w:szCs w:val="18"/>
                    </w:rPr>
                    <w:t>4 months stock by reference to usual demand of both Asclepius Entecavir and Entecavir Asclepius added together’</w:t>
                  </w:r>
                  <w:r w:rsidRPr="006705F8">
                    <w:rPr>
                      <w:rFonts w:ascii="Arial" w:hAnsi="Arial" w:cs="Arial"/>
                      <w:sz w:val="18"/>
                      <w:szCs w:val="18"/>
                    </w:rPr>
                    <w:t>.</w:t>
                  </w:r>
                </w:p>
              </w:tc>
            </w:tr>
            <w:tr w:rsidR="002044D1" w:rsidRPr="006705F8" w14:paraId="29F12124" w14:textId="77777777" w:rsidTr="001B2A4B">
              <w:trPr>
                <w:jc w:val="center"/>
              </w:trPr>
              <w:tc>
                <w:tcPr>
                  <w:tcW w:w="1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D5B6BA" w14:textId="77777777" w:rsidR="002044D1" w:rsidRPr="006705F8" w:rsidRDefault="002044D1" w:rsidP="002044D1">
                  <w:pPr>
                    <w:rPr>
                      <w:rFonts w:ascii="Arial" w:hAnsi="Arial" w:cs="Arial"/>
                      <w:sz w:val="18"/>
                      <w:szCs w:val="18"/>
                    </w:rPr>
                  </w:pPr>
                  <w:r w:rsidRPr="006705F8">
                    <w:rPr>
                      <w:rFonts w:ascii="Arial" w:hAnsi="Arial" w:cs="Arial"/>
                      <w:sz w:val="18"/>
                      <w:szCs w:val="18"/>
                    </w:rPr>
                    <w:t>1 October 2025 to 31 March 2026</w:t>
                  </w:r>
                </w:p>
              </w:tc>
              <w:tc>
                <w:tcPr>
                  <w:tcW w:w="1646" w:type="dxa"/>
                  <w:tcBorders>
                    <w:top w:val="nil"/>
                    <w:left w:val="nil"/>
                    <w:bottom w:val="single" w:sz="8" w:space="0" w:color="auto"/>
                    <w:right w:val="single" w:sz="8" w:space="0" w:color="auto"/>
                  </w:tcBorders>
                  <w:tcMar>
                    <w:top w:w="0" w:type="dxa"/>
                    <w:left w:w="108" w:type="dxa"/>
                    <w:bottom w:w="0" w:type="dxa"/>
                    <w:right w:w="108" w:type="dxa"/>
                  </w:tcMar>
                  <w:hideMark/>
                </w:tcPr>
                <w:p w14:paraId="15CFBAA4" w14:textId="77777777" w:rsidR="002044D1" w:rsidRPr="006705F8" w:rsidRDefault="002044D1" w:rsidP="002044D1">
                  <w:pPr>
                    <w:rPr>
                      <w:rFonts w:ascii="Arial" w:hAnsi="Arial" w:cs="Arial"/>
                      <w:sz w:val="18"/>
                      <w:szCs w:val="18"/>
                    </w:rPr>
                  </w:pPr>
                  <w:r w:rsidRPr="006705F8">
                    <w:rPr>
                      <w:rFonts w:ascii="Arial" w:hAnsi="Arial" w:cs="Arial"/>
                      <w:sz w:val="18"/>
                      <w:szCs w:val="18"/>
                    </w:rPr>
                    <w:t>1 October 2026 to 31 March 2027</w:t>
                  </w:r>
                </w:p>
              </w:tc>
              <w:tc>
                <w:tcPr>
                  <w:tcW w:w="2311" w:type="dxa"/>
                  <w:tcBorders>
                    <w:top w:val="nil"/>
                    <w:left w:val="nil"/>
                    <w:bottom w:val="single" w:sz="8" w:space="0" w:color="auto"/>
                    <w:right w:val="single" w:sz="8" w:space="0" w:color="auto"/>
                  </w:tcBorders>
                  <w:tcMar>
                    <w:top w:w="0" w:type="dxa"/>
                    <w:left w:w="108" w:type="dxa"/>
                    <w:bottom w:w="0" w:type="dxa"/>
                    <w:right w:w="108" w:type="dxa"/>
                  </w:tcMar>
                  <w:hideMark/>
                </w:tcPr>
                <w:p w14:paraId="5D37DA7A" w14:textId="77777777" w:rsidR="002044D1" w:rsidRPr="006705F8" w:rsidRDefault="002044D1" w:rsidP="002044D1">
                  <w:pPr>
                    <w:rPr>
                      <w:rFonts w:ascii="Arial" w:hAnsi="Arial" w:cs="Arial"/>
                      <w:sz w:val="18"/>
                      <w:szCs w:val="18"/>
                    </w:rPr>
                  </w:pPr>
                  <w:r w:rsidRPr="006705F8">
                    <w:rPr>
                      <w:rFonts w:ascii="Arial" w:hAnsi="Arial" w:cs="Arial"/>
                      <w:sz w:val="18"/>
                      <w:szCs w:val="18"/>
                    </w:rPr>
                    <w:t>Only the new brand remains listed. There is PD data for both the old and new brands during the reference period.</w:t>
                  </w:r>
                </w:p>
                <w:p w14:paraId="42C55D4D" w14:textId="77777777" w:rsidR="002044D1" w:rsidRPr="006705F8" w:rsidRDefault="002044D1" w:rsidP="002044D1">
                  <w:pPr>
                    <w:rPr>
                      <w:rFonts w:ascii="Arial" w:hAnsi="Arial" w:cs="Arial"/>
                      <w:sz w:val="18"/>
                      <w:szCs w:val="18"/>
                    </w:rPr>
                  </w:pPr>
                  <w:r w:rsidRPr="006705F8">
                    <w:rPr>
                      <w:rFonts w:ascii="Arial" w:hAnsi="Arial" w:cs="Arial"/>
                      <w:sz w:val="18"/>
                      <w:szCs w:val="18"/>
                    </w:rPr>
                    <w:t>1 October 2026 to 31 March 2027 is</w:t>
                  </w:r>
                  <w:r w:rsidRPr="006705F8">
                    <w:rPr>
                      <w:rFonts w:ascii="Arial" w:hAnsi="Arial" w:cs="Arial"/>
                      <w:i/>
                      <w:sz w:val="18"/>
                      <w:szCs w:val="18"/>
                    </w:rPr>
                    <w:t xml:space="preserve"> ‘the data collection period which is subsequent to the data collection period in which zero packs of the old brand are disclosed’</w:t>
                  </w:r>
                  <w:r w:rsidRPr="006705F8">
                    <w:rPr>
                      <w:rFonts w:ascii="Arial" w:hAnsi="Arial" w:cs="Arial"/>
                      <w:sz w:val="18"/>
                      <w:szCs w:val="18"/>
                    </w:rPr>
                    <w:t>, and 31 March 2027 is the last day of that data collection period.</w:t>
                  </w:r>
                </w:p>
              </w:tc>
              <w:tc>
                <w:tcPr>
                  <w:tcW w:w="3372" w:type="dxa"/>
                  <w:tcBorders>
                    <w:top w:val="nil"/>
                    <w:left w:val="nil"/>
                    <w:bottom w:val="single" w:sz="8" w:space="0" w:color="auto"/>
                    <w:right w:val="single" w:sz="8" w:space="0" w:color="auto"/>
                  </w:tcBorders>
                  <w:tcMar>
                    <w:top w:w="0" w:type="dxa"/>
                    <w:left w:w="108" w:type="dxa"/>
                    <w:bottom w:w="0" w:type="dxa"/>
                    <w:right w:w="108" w:type="dxa"/>
                  </w:tcMar>
                  <w:hideMark/>
                </w:tcPr>
                <w:p w14:paraId="28992ACA" w14:textId="77777777" w:rsidR="002044D1" w:rsidRPr="006705F8" w:rsidRDefault="002044D1" w:rsidP="002044D1">
                  <w:pPr>
                    <w:rPr>
                      <w:rFonts w:ascii="Arial" w:hAnsi="Arial" w:cs="Arial"/>
                      <w:sz w:val="18"/>
                      <w:szCs w:val="18"/>
                    </w:rPr>
                  </w:pPr>
                  <w:r w:rsidRPr="006705F8">
                    <w:rPr>
                      <w:rFonts w:ascii="Arial" w:hAnsi="Arial" w:cs="Arial"/>
                      <w:i/>
                      <w:sz w:val="18"/>
                      <w:szCs w:val="18"/>
                    </w:rPr>
                    <w:t>Entecavir Asclepius</w:t>
                  </w:r>
                  <w:r w:rsidRPr="006705F8">
                    <w:rPr>
                      <w:rFonts w:ascii="Arial" w:hAnsi="Arial" w:cs="Arial"/>
                      <w:sz w:val="18"/>
                      <w:szCs w:val="18"/>
                    </w:rPr>
                    <w:t xml:space="preserve"> remains subject to stockholding based on Ministerial Determination of ‘</w:t>
                  </w:r>
                  <w:r w:rsidRPr="006705F8">
                    <w:rPr>
                      <w:rFonts w:ascii="Arial" w:hAnsi="Arial" w:cs="Arial"/>
                      <w:i/>
                      <w:sz w:val="18"/>
                      <w:szCs w:val="18"/>
                    </w:rPr>
                    <w:t>4 months stock by reference to usual demand of both Asclepius Entecavir and Entecavir Asclepius added together’</w:t>
                  </w:r>
                  <w:r w:rsidRPr="006705F8">
                    <w:rPr>
                      <w:rFonts w:ascii="Arial" w:hAnsi="Arial" w:cs="Arial"/>
                      <w:sz w:val="18"/>
                      <w:szCs w:val="18"/>
                    </w:rPr>
                    <w:t>.</w:t>
                  </w:r>
                </w:p>
                <w:p w14:paraId="170B5CBB" w14:textId="77777777" w:rsidR="002044D1" w:rsidRPr="006705F8" w:rsidRDefault="002044D1" w:rsidP="002044D1">
                  <w:pPr>
                    <w:rPr>
                      <w:rFonts w:ascii="Arial" w:hAnsi="Arial" w:cs="Arial"/>
                      <w:sz w:val="18"/>
                      <w:szCs w:val="18"/>
                    </w:rPr>
                  </w:pPr>
                  <w:r w:rsidRPr="006705F8">
                    <w:rPr>
                      <w:rFonts w:ascii="Arial" w:hAnsi="Arial" w:cs="Arial"/>
                      <w:sz w:val="18"/>
                      <w:szCs w:val="18"/>
                    </w:rPr>
                    <w:t>By 11 November 2026, the RP has submitted PD data for the data collection period ending 30 September 2026, from which it is apparent that zero packs have been disclosed for the old brand. In response to this, the department will recommend to the Minister that the Ministerial Determination already made should be revoked effective 1 April 2027 (being the ‘</w:t>
                  </w:r>
                  <w:r w:rsidRPr="006705F8">
                    <w:rPr>
                      <w:rFonts w:ascii="Arial" w:hAnsi="Arial" w:cs="Arial"/>
                      <w:i/>
                      <w:sz w:val="18"/>
                      <w:szCs w:val="18"/>
                    </w:rPr>
                    <w:t>day after the last day of the data collection period which is subsequent to the data collection period in which zero packs of the old brand are disclosed’)</w:t>
                  </w:r>
                  <w:r w:rsidRPr="006705F8">
                    <w:rPr>
                      <w:rFonts w:ascii="Arial" w:hAnsi="Arial" w:cs="Arial"/>
                      <w:sz w:val="18"/>
                      <w:szCs w:val="18"/>
                    </w:rPr>
                    <w:t xml:space="preserve">. </w:t>
                  </w:r>
                </w:p>
              </w:tc>
            </w:tr>
            <w:tr w:rsidR="002044D1" w:rsidRPr="006705F8" w14:paraId="66B336B2" w14:textId="77777777" w:rsidTr="001B2A4B">
              <w:trPr>
                <w:jc w:val="center"/>
              </w:trPr>
              <w:tc>
                <w:tcPr>
                  <w:tcW w:w="1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912631" w14:textId="77777777" w:rsidR="002044D1" w:rsidRPr="006705F8" w:rsidRDefault="002044D1" w:rsidP="002044D1">
                  <w:pPr>
                    <w:rPr>
                      <w:rFonts w:ascii="Arial" w:hAnsi="Arial" w:cs="Arial"/>
                      <w:sz w:val="18"/>
                      <w:szCs w:val="18"/>
                    </w:rPr>
                  </w:pPr>
                  <w:r w:rsidRPr="006705F8">
                    <w:rPr>
                      <w:rFonts w:ascii="Arial" w:hAnsi="Arial" w:cs="Arial"/>
                      <w:sz w:val="18"/>
                      <w:szCs w:val="18"/>
                    </w:rPr>
                    <w:t>1 April 2026 to 30 September 2026</w:t>
                  </w:r>
                </w:p>
              </w:tc>
              <w:tc>
                <w:tcPr>
                  <w:tcW w:w="1646" w:type="dxa"/>
                  <w:tcBorders>
                    <w:top w:val="nil"/>
                    <w:left w:val="nil"/>
                    <w:bottom w:val="single" w:sz="8" w:space="0" w:color="auto"/>
                    <w:right w:val="single" w:sz="8" w:space="0" w:color="auto"/>
                  </w:tcBorders>
                  <w:tcMar>
                    <w:top w:w="0" w:type="dxa"/>
                    <w:left w:w="108" w:type="dxa"/>
                    <w:bottom w:w="0" w:type="dxa"/>
                    <w:right w:w="108" w:type="dxa"/>
                  </w:tcMar>
                  <w:hideMark/>
                </w:tcPr>
                <w:p w14:paraId="3572DD8C" w14:textId="77777777" w:rsidR="002044D1" w:rsidRPr="006705F8" w:rsidRDefault="002044D1" w:rsidP="002044D1">
                  <w:pPr>
                    <w:rPr>
                      <w:rFonts w:ascii="Arial" w:hAnsi="Arial" w:cs="Arial"/>
                      <w:sz w:val="18"/>
                      <w:szCs w:val="18"/>
                    </w:rPr>
                  </w:pPr>
                  <w:r w:rsidRPr="006705F8">
                    <w:rPr>
                      <w:rFonts w:ascii="Arial" w:hAnsi="Arial" w:cs="Arial"/>
                      <w:sz w:val="18"/>
                      <w:szCs w:val="18"/>
                    </w:rPr>
                    <w:t>1 April 2027 to 30 September 2027</w:t>
                  </w:r>
                </w:p>
              </w:tc>
              <w:tc>
                <w:tcPr>
                  <w:tcW w:w="2311" w:type="dxa"/>
                  <w:tcBorders>
                    <w:top w:val="nil"/>
                    <w:left w:val="nil"/>
                    <w:bottom w:val="single" w:sz="8" w:space="0" w:color="auto"/>
                    <w:right w:val="single" w:sz="8" w:space="0" w:color="auto"/>
                  </w:tcBorders>
                  <w:tcMar>
                    <w:top w:w="0" w:type="dxa"/>
                    <w:left w:w="108" w:type="dxa"/>
                    <w:bottom w:w="0" w:type="dxa"/>
                    <w:right w:w="108" w:type="dxa"/>
                  </w:tcMar>
                  <w:hideMark/>
                </w:tcPr>
                <w:p w14:paraId="12AA2319" w14:textId="77777777" w:rsidR="002044D1" w:rsidRPr="006705F8" w:rsidRDefault="002044D1" w:rsidP="002044D1">
                  <w:pPr>
                    <w:rPr>
                      <w:rFonts w:ascii="Arial" w:hAnsi="Arial" w:cs="Arial"/>
                      <w:sz w:val="18"/>
                      <w:szCs w:val="18"/>
                    </w:rPr>
                  </w:pPr>
                  <w:r w:rsidRPr="006705F8">
                    <w:rPr>
                      <w:rFonts w:ascii="Arial" w:hAnsi="Arial" w:cs="Arial"/>
                      <w:sz w:val="18"/>
                      <w:szCs w:val="18"/>
                    </w:rPr>
                    <w:t>Only the new brand remains listed. There is no PD data for the old brand during the reference period.</w:t>
                  </w:r>
                </w:p>
              </w:tc>
              <w:tc>
                <w:tcPr>
                  <w:tcW w:w="3372" w:type="dxa"/>
                  <w:tcBorders>
                    <w:top w:val="nil"/>
                    <w:left w:val="nil"/>
                    <w:bottom w:val="single" w:sz="8" w:space="0" w:color="auto"/>
                    <w:right w:val="single" w:sz="8" w:space="0" w:color="auto"/>
                  </w:tcBorders>
                  <w:tcMar>
                    <w:top w:w="0" w:type="dxa"/>
                    <w:left w:w="108" w:type="dxa"/>
                    <w:bottom w:w="0" w:type="dxa"/>
                    <w:right w:w="108" w:type="dxa"/>
                  </w:tcMar>
                  <w:hideMark/>
                </w:tcPr>
                <w:p w14:paraId="24112464" w14:textId="77777777" w:rsidR="002044D1" w:rsidRPr="006705F8" w:rsidRDefault="002044D1" w:rsidP="002044D1">
                  <w:pPr>
                    <w:rPr>
                      <w:rFonts w:ascii="Arial" w:hAnsi="Arial" w:cs="Arial"/>
                      <w:sz w:val="18"/>
                      <w:szCs w:val="18"/>
                    </w:rPr>
                  </w:pPr>
                  <w:r w:rsidRPr="006705F8">
                    <w:rPr>
                      <w:rFonts w:ascii="Arial" w:hAnsi="Arial" w:cs="Arial"/>
                      <w:sz w:val="18"/>
                      <w:szCs w:val="18"/>
                    </w:rPr>
                    <w:t>Ministerial determination is revoked effective 1 April 2027.</w:t>
                  </w:r>
                </w:p>
                <w:p w14:paraId="40ADCD8B" w14:textId="77777777" w:rsidR="002044D1" w:rsidRPr="006705F8" w:rsidRDefault="002044D1" w:rsidP="002044D1">
                  <w:pPr>
                    <w:rPr>
                      <w:rFonts w:ascii="Arial" w:hAnsi="Arial" w:cs="Arial"/>
                      <w:sz w:val="18"/>
                      <w:szCs w:val="18"/>
                    </w:rPr>
                  </w:pPr>
                  <w:r w:rsidRPr="006705F8">
                    <w:rPr>
                      <w:rFonts w:ascii="Arial" w:hAnsi="Arial" w:cs="Arial"/>
                      <w:i/>
                      <w:sz w:val="18"/>
                      <w:szCs w:val="18"/>
                    </w:rPr>
                    <w:t>Entecavir Asclepius</w:t>
                  </w:r>
                  <w:r w:rsidRPr="006705F8">
                    <w:rPr>
                      <w:rFonts w:ascii="Arial" w:hAnsi="Arial" w:cs="Arial"/>
                      <w:sz w:val="18"/>
                      <w:szCs w:val="18"/>
                    </w:rPr>
                    <w:t xml:space="preserve"> is subject to a 4-month minimum stockholding, with the applicable quantity 4 months ‘usual demand’ based on PD data for </w:t>
                  </w:r>
                  <w:r w:rsidRPr="006705F8">
                    <w:rPr>
                      <w:rFonts w:ascii="Arial" w:hAnsi="Arial" w:cs="Arial"/>
                      <w:i/>
                      <w:sz w:val="18"/>
                      <w:szCs w:val="18"/>
                    </w:rPr>
                    <w:t>Entecavir Asclepius</w:t>
                  </w:r>
                  <w:r w:rsidRPr="006705F8">
                    <w:rPr>
                      <w:rFonts w:ascii="Arial" w:hAnsi="Arial" w:cs="Arial"/>
                      <w:sz w:val="18"/>
                      <w:szCs w:val="18"/>
                    </w:rPr>
                    <w:t xml:space="preserve"> only (s99AEKC(1)(a)(i)).</w:t>
                  </w:r>
                </w:p>
              </w:tc>
            </w:tr>
          </w:tbl>
          <w:p w14:paraId="70532E03" w14:textId="40B4E6BE" w:rsidR="00DF049E" w:rsidRPr="00DF049E" w:rsidRDefault="00DF049E" w:rsidP="002044D1">
            <w:pPr>
              <w:spacing w:after="160" w:line="259" w:lineRule="auto"/>
              <w:rPr>
                <w:rFonts w:ascii="Arial" w:eastAsiaTheme="minorEastAsia" w:hAnsi="Arial" w:cs="Arial"/>
              </w:rPr>
            </w:pPr>
          </w:p>
        </w:tc>
      </w:tr>
    </w:tbl>
    <w:p w14:paraId="6B505F54" w14:textId="77777777" w:rsidR="00DF049E" w:rsidRDefault="00DF049E" w:rsidP="004D453C">
      <w:pPr>
        <w:jc w:val="both"/>
        <w:rPr>
          <w:rFonts w:ascii="Arial" w:hAnsi="Arial" w:cs="Arial"/>
          <w:szCs w:val="20"/>
        </w:rPr>
      </w:pPr>
    </w:p>
    <w:p w14:paraId="7924A13F" w14:textId="77777777" w:rsidR="00E03644" w:rsidRDefault="00E03644" w:rsidP="004809E0">
      <w:bookmarkStart w:id="58" w:name="_Lead_times"/>
      <w:bookmarkStart w:id="59" w:name="_Ref106971718"/>
      <w:bookmarkStart w:id="60" w:name="_Ref106984947"/>
      <w:bookmarkEnd w:id="58"/>
      <w:r>
        <w:br w:type="page"/>
      </w:r>
    </w:p>
    <w:p w14:paraId="42561831" w14:textId="7317F526" w:rsidR="005142E1" w:rsidRPr="002020A7" w:rsidRDefault="00F9673A" w:rsidP="000E10BE">
      <w:pPr>
        <w:pStyle w:val="Heading1"/>
      </w:pPr>
      <w:bookmarkStart w:id="61" w:name="_Toc205482092"/>
      <w:r w:rsidRPr="002020A7">
        <w:lastRenderedPageBreak/>
        <w:t>Lead times</w:t>
      </w:r>
      <w:bookmarkEnd w:id="59"/>
      <w:bookmarkEnd w:id="60"/>
      <w:bookmarkEnd w:id="61"/>
    </w:p>
    <w:p w14:paraId="3612B9B9" w14:textId="2D0733E5" w:rsidR="00512EF6" w:rsidRPr="007E0156" w:rsidRDefault="0004357B" w:rsidP="000E10BE">
      <w:pPr>
        <w:keepLines/>
        <w:jc w:val="both"/>
      </w:pPr>
      <w:r w:rsidRPr="007E0156">
        <w:t xml:space="preserve">The </w:t>
      </w:r>
      <w:r w:rsidR="007A785F">
        <w:t>d</w:t>
      </w:r>
      <w:r w:rsidRPr="007E0156">
        <w:t xml:space="preserve">epartment recognises the need for </w:t>
      </w:r>
      <w:r w:rsidR="00052321" w:rsidRPr="007E0156">
        <w:t>RPs</w:t>
      </w:r>
      <w:r w:rsidRPr="007E0156">
        <w:t xml:space="preserve"> to have time to prepare for and implement </w:t>
      </w:r>
      <w:r w:rsidR="00052321" w:rsidRPr="007E0156">
        <w:t xml:space="preserve">the minimum </w:t>
      </w:r>
      <w:r w:rsidRPr="007E0156">
        <w:t xml:space="preserve">stockholding requirements. Where </w:t>
      </w:r>
      <w:r w:rsidR="00512EF6" w:rsidRPr="007E0156">
        <w:t xml:space="preserve">possible and appropriate, </w:t>
      </w:r>
      <w:r w:rsidR="00052321" w:rsidRPr="007E0156">
        <w:t xml:space="preserve">the </w:t>
      </w:r>
      <w:r w:rsidR="007A785F">
        <w:t>d</w:t>
      </w:r>
      <w:r w:rsidR="00052321" w:rsidRPr="007E0156">
        <w:t xml:space="preserve">epartment will provide RPs with </w:t>
      </w:r>
      <w:r w:rsidR="00512EF6" w:rsidRPr="007E0156">
        <w:t xml:space="preserve">advance notice </w:t>
      </w:r>
      <w:r w:rsidR="00052321" w:rsidRPr="007E0156">
        <w:t xml:space="preserve">that brands will be subject to the minimum stockholding requirement and the applicable quantity that must be kept in stock to </w:t>
      </w:r>
      <w:r w:rsidR="00051EEC" w:rsidRPr="007E0156">
        <w:t>satisfy</w:t>
      </w:r>
      <w:r w:rsidR="00052321" w:rsidRPr="007E0156">
        <w:t xml:space="preserve"> the minimum stockholding requirement</w:t>
      </w:r>
      <w:r w:rsidR="00512EF6" w:rsidRPr="007E0156">
        <w:t xml:space="preserve"> (such as via the </w:t>
      </w:r>
      <w:r w:rsidR="00D96029" w:rsidRPr="007E0156">
        <w:t>projected list of designated brands</w:t>
      </w:r>
      <w:r w:rsidR="00512EF6" w:rsidRPr="007E0156">
        <w:t xml:space="preserve">; </w:t>
      </w:r>
      <w:r w:rsidR="00AD5821" w:rsidRPr="007E0156">
        <w:t xml:space="preserve">see </w:t>
      </w:r>
      <w:hyperlink w:anchor="_Lists_of_designated">
        <w:r w:rsidR="00AD5821" w:rsidRPr="09A3D074">
          <w:rPr>
            <w:rStyle w:val="Hyperlink"/>
          </w:rPr>
          <w:t>Section 2.3</w:t>
        </w:r>
      </w:hyperlink>
      <w:r w:rsidR="00512EF6" w:rsidRPr="09A3D074">
        <w:t>).</w:t>
      </w:r>
    </w:p>
    <w:p w14:paraId="6359DF7C" w14:textId="51E3D369" w:rsidR="00424AD9" w:rsidRPr="007E0156" w:rsidRDefault="003B0F11" w:rsidP="000E10BE">
      <w:pPr>
        <w:keepLines/>
        <w:jc w:val="both"/>
      </w:pPr>
      <w:r w:rsidRPr="09A3D074">
        <w:t>Designated b</w:t>
      </w:r>
      <w:r w:rsidR="0004357B" w:rsidRPr="09A3D074">
        <w:t xml:space="preserve">rands </w:t>
      </w:r>
      <w:r w:rsidR="00074645">
        <w:t>are</w:t>
      </w:r>
      <w:r w:rsidR="00052321" w:rsidRPr="007E0156">
        <w:t xml:space="preserve"> subject to the minimum stockholding requirement and stockholding disclosure requirements </w:t>
      </w:r>
      <w:r w:rsidR="0004357B" w:rsidRPr="007E0156">
        <w:t xml:space="preserve">from the date that </w:t>
      </w:r>
      <w:r w:rsidR="002F6A64">
        <w:t>the brand</w:t>
      </w:r>
      <w:r w:rsidR="003E671D" w:rsidRPr="007E0156">
        <w:t xml:space="preserve"> </w:t>
      </w:r>
      <w:r w:rsidR="00052321" w:rsidRPr="007E0156">
        <w:t>become</w:t>
      </w:r>
      <w:r w:rsidR="003E671D" w:rsidRPr="007E0156">
        <w:t>s</w:t>
      </w:r>
      <w:r w:rsidR="00052321" w:rsidRPr="007E0156">
        <w:t xml:space="preserve"> a designated brand</w:t>
      </w:r>
      <w:r w:rsidR="0004357B" w:rsidRPr="007E0156">
        <w:t xml:space="preserve">. </w:t>
      </w:r>
      <w:r w:rsidR="00CE102E" w:rsidRPr="007E0156">
        <w:t xml:space="preserve">In some cases, </w:t>
      </w:r>
      <w:r w:rsidR="00863F65" w:rsidRPr="007E0156">
        <w:t xml:space="preserve">RPs will have </w:t>
      </w:r>
      <w:r w:rsidR="00CE102E" w:rsidRPr="007E0156">
        <w:t xml:space="preserve">lead times before </w:t>
      </w:r>
      <w:r w:rsidR="00553454" w:rsidRPr="007E0156">
        <w:t>they are subject to</w:t>
      </w:r>
      <w:r w:rsidR="00CE102E" w:rsidRPr="007E0156">
        <w:t xml:space="preserve"> </w:t>
      </w:r>
      <w:r w:rsidR="00051EEC" w:rsidRPr="007E0156">
        <w:t>the</w:t>
      </w:r>
      <w:r w:rsidR="00D36375" w:rsidRPr="007E0156" w:rsidDel="00262AB9">
        <w:t xml:space="preserve"> </w:t>
      </w:r>
      <w:r w:rsidR="00CE102E" w:rsidRPr="007E0156">
        <w:t>minimum stockholding requirement</w:t>
      </w:r>
      <w:r w:rsidR="00051EEC" w:rsidRPr="007E0156">
        <w:t xml:space="preserve"> and stockholding disclosure requirements</w:t>
      </w:r>
      <w:r w:rsidR="000B6134" w:rsidRPr="007E0156">
        <w:t xml:space="preserve">. </w:t>
      </w:r>
      <w:r w:rsidR="00402510" w:rsidRPr="007E0156">
        <w:t xml:space="preserve">The remainder of this </w:t>
      </w:r>
      <w:r w:rsidR="00BF4D78" w:rsidRPr="007E0156">
        <w:t>Section</w:t>
      </w:r>
      <w:r w:rsidR="00402510" w:rsidRPr="007E0156">
        <w:t xml:space="preserve"> </w:t>
      </w:r>
      <w:r w:rsidR="00262AB9" w:rsidRPr="007E0156">
        <w:t>provides details of indicative lead times in different scenarios</w:t>
      </w:r>
      <w:r w:rsidR="00AD5821" w:rsidRPr="007E0156">
        <w:t xml:space="preserve"> (summarised in </w:t>
      </w:r>
      <w:r w:rsidR="00975FEC" w:rsidRPr="007E0156">
        <w:rPr>
          <w:rStyle w:val="Emphasis"/>
        </w:rPr>
        <w:fldChar w:fldCharType="begin"/>
      </w:r>
      <w:r w:rsidR="00975FEC" w:rsidRPr="007E0156">
        <w:rPr>
          <w:rStyle w:val="Emphasis"/>
        </w:rPr>
        <w:instrText xml:space="preserve"> REF _Ref107504343 \h  \* MERGEFORMAT </w:instrText>
      </w:r>
      <w:r w:rsidR="00975FEC" w:rsidRPr="007E0156">
        <w:rPr>
          <w:rStyle w:val="Emphasis"/>
        </w:rPr>
      </w:r>
      <w:r w:rsidR="00975FEC" w:rsidRPr="007E0156">
        <w:rPr>
          <w:rStyle w:val="Emphasis"/>
        </w:rPr>
        <w:fldChar w:fldCharType="separate"/>
      </w:r>
      <w:r w:rsidR="008A2A42" w:rsidRPr="008A2A42">
        <w:rPr>
          <w:rStyle w:val="Emphasis"/>
        </w:rPr>
        <w:t>Exhibit 10</w:t>
      </w:r>
      <w:r w:rsidR="00975FEC" w:rsidRPr="007E0156">
        <w:rPr>
          <w:rStyle w:val="Emphasis"/>
        </w:rPr>
        <w:fldChar w:fldCharType="end"/>
      </w:r>
      <w:r w:rsidR="00AD5821" w:rsidRPr="007E0156">
        <w:t>)</w:t>
      </w:r>
      <w:r w:rsidR="00C87BC1" w:rsidRPr="007E0156">
        <w:t>.</w:t>
      </w:r>
    </w:p>
    <w:p w14:paraId="6B7CB58E" w14:textId="0DD9046A" w:rsidR="009C75BC" w:rsidRPr="007E0156" w:rsidRDefault="009C75BC" w:rsidP="000E10BE">
      <w:pPr>
        <w:pStyle w:val="Heading2"/>
        <w:jc w:val="both"/>
      </w:pPr>
      <w:bookmarkStart w:id="62" w:name="_Toc205482093"/>
      <w:r w:rsidRPr="007E0156">
        <w:t>L</w:t>
      </w:r>
      <w:r w:rsidR="00C901C0" w:rsidRPr="007E0156">
        <w:t>ead time for designated brands with an AEMP of $4 or less</w:t>
      </w:r>
      <w:bookmarkEnd w:id="62"/>
    </w:p>
    <w:p w14:paraId="0D8BF6F5" w14:textId="167D1938" w:rsidR="0004357B" w:rsidRPr="007E0156" w:rsidRDefault="009B7D72" w:rsidP="000E10BE">
      <w:pPr>
        <w:keepLines/>
        <w:jc w:val="both"/>
      </w:pPr>
      <w:r>
        <w:t>Brands which list on</w:t>
      </w:r>
      <w:r w:rsidR="0004357B" w:rsidRPr="007E0156">
        <w:t xml:space="preserve"> the </w:t>
      </w:r>
      <w:r>
        <w:t xml:space="preserve">PBS with an </w:t>
      </w:r>
      <w:r w:rsidR="0004357B" w:rsidRPr="007E0156">
        <w:t xml:space="preserve">AEMP of $4 or less </w:t>
      </w:r>
      <w:r>
        <w:t>will be designated brands immediately from when</w:t>
      </w:r>
      <w:r w:rsidR="0004357B" w:rsidRPr="007E0156">
        <w:t xml:space="preserve"> the brand </w:t>
      </w:r>
      <w:r>
        <w:t>lists</w:t>
      </w:r>
      <w:r w:rsidR="0004357B" w:rsidRPr="007E0156">
        <w:t xml:space="preserve"> on the </w:t>
      </w:r>
      <w:r>
        <w:t xml:space="preserve">PBS. </w:t>
      </w:r>
      <w:r w:rsidR="009D3833">
        <w:t xml:space="preserve">Newly listed brands have a lead time </w:t>
      </w:r>
      <w:r w:rsidR="004E30E1">
        <w:t>before there is price</w:t>
      </w:r>
      <w:r w:rsidR="0004357B" w:rsidRPr="007E0156">
        <w:t xml:space="preserve"> disclosure </w:t>
      </w:r>
      <w:r w:rsidR="004E30E1">
        <w:t xml:space="preserve">data or PBS dispensing data in the reference period to calculate usual demand/usual PBS demand (see </w:t>
      </w:r>
      <w:hyperlink w:anchor="_Lead_times_in" w:history="1">
        <w:r w:rsidR="004E30E1" w:rsidRPr="004E30E1">
          <w:rPr>
            <w:rStyle w:val="Hyperlink"/>
          </w:rPr>
          <w:t>Section 5.3</w:t>
        </w:r>
      </w:hyperlink>
      <w:r w:rsidR="004E30E1">
        <w:t>).</w:t>
      </w:r>
    </w:p>
    <w:p w14:paraId="1F6E7F60" w14:textId="2C19A1B3" w:rsidR="00262AB9" w:rsidRPr="007E0156" w:rsidRDefault="00E45623" w:rsidP="002020A7">
      <w:pPr>
        <w:jc w:val="both"/>
      </w:pPr>
      <w:r w:rsidRPr="007E0156">
        <w:t xml:space="preserve">The </w:t>
      </w:r>
      <w:r w:rsidR="005142E1" w:rsidRPr="007E0156">
        <w:t xml:space="preserve">AEMP </w:t>
      </w:r>
      <w:r w:rsidRPr="007E0156">
        <w:t>of a brand c</w:t>
      </w:r>
      <w:r w:rsidR="005142E1" w:rsidRPr="007E0156">
        <w:t xml:space="preserve">ould </w:t>
      </w:r>
      <w:r w:rsidRPr="007E0156">
        <w:t xml:space="preserve">reduce </w:t>
      </w:r>
      <w:r w:rsidR="005142E1" w:rsidRPr="007E0156">
        <w:t xml:space="preserve">to $4 or less </w:t>
      </w:r>
      <w:r w:rsidRPr="007E0156">
        <w:t xml:space="preserve">as a result of a </w:t>
      </w:r>
      <w:r w:rsidR="00052321" w:rsidRPr="007E0156">
        <w:t>s</w:t>
      </w:r>
      <w:r w:rsidR="0038415B" w:rsidRPr="007E0156">
        <w:t>tatutory</w:t>
      </w:r>
      <w:r w:rsidRPr="007E0156">
        <w:t xml:space="preserve"> </w:t>
      </w:r>
      <w:r w:rsidR="00052321" w:rsidRPr="007E0156">
        <w:t>p</w:t>
      </w:r>
      <w:r w:rsidRPr="007E0156">
        <w:t xml:space="preserve">rice </w:t>
      </w:r>
      <w:r w:rsidR="00052321" w:rsidRPr="007E0156">
        <w:t>r</w:t>
      </w:r>
      <w:r w:rsidRPr="007E0156">
        <w:t xml:space="preserve">eduction (e.g. </w:t>
      </w:r>
      <w:r w:rsidR="0038415B" w:rsidRPr="007E0156">
        <w:t>a</w:t>
      </w:r>
      <w:r w:rsidR="00262AB9" w:rsidRPr="007E0156">
        <w:t xml:space="preserve">n anniversary price reduction, first new brand price reduction or a combination flow-on price reduction), or a </w:t>
      </w:r>
      <w:r w:rsidR="00052321" w:rsidRPr="007E0156">
        <w:t>PD</w:t>
      </w:r>
      <w:r w:rsidR="0038415B" w:rsidRPr="007E0156">
        <w:t xml:space="preserve"> </w:t>
      </w:r>
      <w:r w:rsidR="00262AB9" w:rsidRPr="007E0156">
        <w:t xml:space="preserve">price </w:t>
      </w:r>
      <w:r w:rsidR="0038415B" w:rsidRPr="007E0156">
        <w:t>reduction</w:t>
      </w:r>
      <w:r w:rsidR="00262AB9" w:rsidRPr="007E0156">
        <w:t xml:space="preserve">. A brand will be a designated brand from the date the AEMP is </w:t>
      </w:r>
      <w:r w:rsidR="003E671D" w:rsidRPr="007E0156">
        <w:t xml:space="preserve">reduced to </w:t>
      </w:r>
      <w:r w:rsidR="00262AB9" w:rsidRPr="007E0156">
        <w:t>$4 or less</w:t>
      </w:r>
      <w:r w:rsidRPr="007E0156">
        <w:t>.</w:t>
      </w:r>
    </w:p>
    <w:p w14:paraId="03CCAB5E" w14:textId="7888FEF4" w:rsidR="0004357B" w:rsidRPr="007E0156" w:rsidRDefault="00262AB9" w:rsidP="002020A7">
      <w:pPr>
        <w:jc w:val="both"/>
      </w:pPr>
      <w:r w:rsidRPr="007E0156">
        <w:t xml:space="preserve">For </w:t>
      </w:r>
      <w:r w:rsidR="00052321" w:rsidRPr="007E0156">
        <w:t>PD</w:t>
      </w:r>
      <w:r w:rsidRPr="007E0156">
        <w:t xml:space="preserve"> price reductions, indicative outcomes are </w:t>
      </w:r>
      <w:r w:rsidR="001A6F2F">
        <w:t xml:space="preserve">published on the </w:t>
      </w:r>
      <w:hyperlink r:id="rId42">
        <w:r w:rsidR="001A6F2F" w:rsidRPr="09A3D074">
          <w:rPr>
            <w:rStyle w:val="Hyperlink"/>
          </w:rPr>
          <w:t>PBS pricing website</w:t>
        </w:r>
      </w:hyperlink>
      <w:r w:rsidR="001A6F2F" w:rsidRPr="007E0156" w:rsidDel="001A6F2F">
        <w:t xml:space="preserve"> </w:t>
      </w:r>
      <w:r w:rsidRPr="007E0156">
        <w:t>in late June for 1</w:t>
      </w:r>
      <w:r w:rsidR="001A6F2F">
        <w:t> </w:t>
      </w:r>
      <w:r w:rsidRPr="007E0156">
        <w:t xml:space="preserve">October price </w:t>
      </w:r>
      <w:r w:rsidR="00213AA6" w:rsidRPr="007E0156">
        <w:t>reductions</w:t>
      </w:r>
      <w:r w:rsidRPr="007E0156">
        <w:t xml:space="preserve"> and in late December for 1 April price</w:t>
      </w:r>
      <w:r w:rsidR="00213AA6" w:rsidRPr="007E0156">
        <w:t xml:space="preserve"> reductions</w:t>
      </w:r>
      <w:r w:rsidRPr="007E0156">
        <w:t xml:space="preserve">. </w:t>
      </w:r>
      <w:r w:rsidR="009F3B33">
        <w:t xml:space="preserve">RPs of a </w:t>
      </w:r>
      <w:r w:rsidR="003E671D" w:rsidRPr="007E0156">
        <w:t xml:space="preserve">brand which </w:t>
      </w:r>
      <w:r w:rsidR="003E671D" w:rsidRPr="007E0156">
        <w:rPr>
          <w:u w:val="single"/>
        </w:rPr>
        <w:t xml:space="preserve">becomes a </w:t>
      </w:r>
      <w:r w:rsidRPr="007E0156">
        <w:rPr>
          <w:u w:val="single"/>
        </w:rPr>
        <w:t xml:space="preserve">designated brand </w:t>
      </w:r>
      <w:r w:rsidR="003E671D" w:rsidRPr="007E0156">
        <w:rPr>
          <w:u w:val="single"/>
        </w:rPr>
        <w:t>as a result of a PD price reduction</w:t>
      </w:r>
      <w:r w:rsidR="003E671D" w:rsidRPr="007E0156">
        <w:t xml:space="preserve"> </w:t>
      </w:r>
      <w:r w:rsidRPr="007E0156">
        <w:t xml:space="preserve">will be required to comply with stockholding disclosure requirements from the date it becomes a designated brand, </w:t>
      </w:r>
      <w:r w:rsidR="00563A2A" w:rsidRPr="007E0156">
        <w:t xml:space="preserve">and will be required to comply with </w:t>
      </w:r>
      <w:r w:rsidR="0004357B" w:rsidRPr="007E0156">
        <w:t xml:space="preserve">minimum </w:t>
      </w:r>
      <w:r w:rsidR="001F3983" w:rsidRPr="007E0156">
        <w:t>stockholding requirements as follows</w:t>
      </w:r>
      <w:r w:rsidR="0004357B" w:rsidRPr="007E0156">
        <w:t>:</w:t>
      </w:r>
    </w:p>
    <w:p w14:paraId="5DD6DA50" w14:textId="7791A8E5" w:rsidR="0004357B" w:rsidRPr="007E0156" w:rsidRDefault="0043558E" w:rsidP="005A2644">
      <w:pPr>
        <w:pStyle w:val="ListParagraph"/>
        <w:numPr>
          <w:ilvl w:val="0"/>
          <w:numId w:val="11"/>
        </w:numPr>
        <w:jc w:val="both"/>
      </w:pPr>
      <w:r w:rsidRPr="007E0156">
        <w:t>w</w:t>
      </w:r>
      <w:r w:rsidR="0004357B" w:rsidRPr="007E0156">
        <w:t xml:space="preserve">here PD data is available for the relevant reference period, the </w:t>
      </w:r>
      <w:r w:rsidR="009F3B33">
        <w:t xml:space="preserve">RP for the </w:t>
      </w:r>
      <w:r w:rsidR="0004357B" w:rsidRPr="007E0156">
        <w:t xml:space="preserve">designated brand </w:t>
      </w:r>
      <w:r w:rsidR="00563A2A" w:rsidRPr="007E0156">
        <w:t xml:space="preserve">will be required to hold 4 months of ‘usual demand’ </w:t>
      </w:r>
      <w:r w:rsidR="0004357B" w:rsidRPr="007E0156">
        <w:t xml:space="preserve">from the date the price </w:t>
      </w:r>
      <w:r w:rsidR="00565435" w:rsidRPr="007E0156">
        <w:t>reduction</w:t>
      </w:r>
      <w:r w:rsidR="0004357B" w:rsidRPr="007E0156">
        <w:t xml:space="preserve"> is effective</w:t>
      </w:r>
      <w:r w:rsidR="00565435" w:rsidRPr="007E0156">
        <w:rPr>
          <w:rStyle w:val="FootnoteReference"/>
        </w:rPr>
        <w:footnoteReference w:id="9"/>
      </w:r>
      <w:r w:rsidR="002D731A">
        <w:t>.</w:t>
      </w:r>
    </w:p>
    <w:p w14:paraId="112623DD" w14:textId="60830BF7" w:rsidR="00187595" w:rsidRPr="007E0156" w:rsidRDefault="0043558E" w:rsidP="005A2644">
      <w:pPr>
        <w:pStyle w:val="ListParagraph"/>
        <w:numPr>
          <w:ilvl w:val="0"/>
          <w:numId w:val="11"/>
        </w:numPr>
        <w:jc w:val="both"/>
      </w:pPr>
      <w:r w:rsidRPr="007E0156">
        <w:t>i</w:t>
      </w:r>
      <w:r w:rsidR="0004357B" w:rsidRPr="007E0156">
        <w:t xml:space="preserve">f PD data for the reference period is not available, </w:t>
      </w:r>
      <w:r w:rsidR="00B65192">
        <w:t>‘</w:t>
      </w:r>
      <w:r w:rsidR="00213AA6" w:rsidRPr="007E0156">
        <w:t>usual demand</w:t>
      </w:r>
      <w:r w:rsidR="00B65192">
        <w:t>’</w:t>
      </w:r>
      <w:r w:rsidR="00213AA6" w:rsidRPr="007E0156">
        <w:t xml:space="preserve"> cannot be calculated. The </w:t>
      </w:r>
      <w:r w:rsidR="009F3B33">
        <w:t xml:space="preserve">RP for the designated </w:t>
      </w:r>
      <w:r w:rsidR="00213AA6" w:rsidRPr="007E0156">
        <w:t xml:space="preserve">brand will be required to hold </w:t>
      </w:r>
      <w:r w:rsidR="001A2A81" w:rsidRPr="007E0156">
        <w:t>4 months</w:t>
      </w:r>
      <w:r w:rsidR="003E671D" w:rsidRPr="007E0156">
        <w:t xml:space="preserve"> stock</w:t>
      </w:r>
      <w:r w:rsidR="001A2A81" w:rsidRPr="007E0156">
        <w:t xml:space="preserve"> of ‘usual demand’</w:t>
      </w:r>
      <w:r w:rsidR="00213AA6" w:rsidRPr="007E0156">
        <w:t xml:space="preserve"> once PD data is available in the reference period to calculate </w:t>
      </w:r>
      <w:r w:rsidR="00B65192">
        <w:t>‘</w:t>
      </w:r>
      <w:r w:rsidR="00213AA6" w:rsidRPr="007E0156">
        <w:t>usual demand</w:t>
      </w:r>
      <w:r w:rsidR="00B65192">
        <w:t>’</w:t>
      </w:r>
      <w:r w:rsidR="00213AA6" w:rsidRPr="007E0156">
        <w:t xml:space="preserve"> </w:t>
      </w:r>
      <w:r w:rsidR="001A2A81" w:rsidRPr="007E0156">
        <w:t>(</w:t>
      </w:r>
      <w:r w:rsidR="00213AA6" w:rsidRPr="007E0156">
        <w:t xml:space="preserve">see </w:t>
      </w:r>
      <w:hyperlink w:anchor="_Calculation_of_‘usual">
        <w:r w:rsidR="00213AA6" w:rsidRPr="09A3D074">
          <w:rPr>
            <w:rStyle w:val="Hyperlink"/>
          </w:rPr>
          <w:t>Section 4.1</w:t>
        </w:r>
      </w:hyperlink>
      <w:r w:rsidR="00213AA6" w:rsidRPr="007E0156">
        <w:t xml:space="preserve"> above</w:t>
      </w:r>
      <w:r w:rsidR="001A2A81" w:rsidRPr="007E0156">
        <w:t>) or may be required to hold ‘another quantity’ determined by the Minister</w:t>
      </w:r>
      <w:r w:rsidR="00187595" w:rsidRPr="007E0156">
        <w:t>.</w:t>
      </w:r>
    </w:p>
    <w:p w14:paraId="14EF6155" w14:textId="5AF7AFAE" w:rsidR="00302AAC" w:rsidRPr="007E0156" w:rsidRDefault="00AD6B34" w:rsidP="002020A7">
      <w:pPr>
        <w:jc w:val="both"/>
      </w:pPr>
      <w:r w:rsidRPr="007E0156">
        <w:t xml:space="preserve">Where the RP </w:t>
      </w:r>
      <w:r w:rsidR="00302AAC" w:rsidRPr="007E0156">
        <w:t xml:space="preserve">is unable to </w:t>
      </w:r>
      <w:r w:rsidRPr="007E0156">
        <w:t>meet</w:t>
      </w:r>
      <w:r w:rsidR="003839C6" w:rsidRPr="007E0156">
        <w:t xml:space="preserve"> </w:t>
      </w:r>
      <w:r w:rsidR="00256525" w:rsidRPr="007E0156">
        <w:t xml:space="preserve">the </w:t>
      </w:r>
      <w:r w:rsidR="003839C6" w:rsidRPr="007E0156">
        <w:t xml:space="preserve">minimum stockholding requirement </w:t>
      </w:r>
      <w:r w:rsidR="00BD185F" w:rsidRPr="007E0156">
        <w:t>for a brand</w:t>
      </w:r>
      <w:r w:rsidR="00302AAC" w:rsidRPr="007E0156">
        <w:t>’</w:t>
      </w:r>
      <w:r w:rsidR="00BD185F" w:rsidRPr="007E0156">
        <w:t xml:space="preserve">s first </w:t>
      </w:r>
      <w:r w:rsidR="00912DBA" w:rsidRPr="007E0156">
        <w:t xml:space="preserve">stockholding </w:t>
      </w:r>
      <w:r w:rsidR="00BD185F" w:rsidRPr="007E0156">
        <w:t>period</w:t>
      </w:r>
      <w:r w:rsidR="00912DBA" w:rsidRPr="007E0156">
        <w:t xml:space="preserve"> </w:t>
      </w:r>
      <w:r w:rsidR="00F96918" w:rsidRPr="007E0156">
        <w:t>following</w:t>
      </w:r>
      <w:r w:rsidR="00912DBA" w:rsidRPr="007E0156">
        <w:t xml:space="preserve"> a s</w:t>
      </w:r>
      <w:r w:rsidR="00D564C3" w:rsidRPr="007E0156">
        <w:t>h</w:t>
      </w:r>
      <w:r w:rsidR="00912DBA" w:rsidRPr="007E0156">
        <w:t>ort</w:t>
      </w:r>
      <w:r w:rsidR="009736FF">
        <w:t xml:space="preserve"> </w:t>
      </w:r>
      <w:r w:rsidR="00912DBA" w:rsidRPr="007E0156">
        <w:t>lead time</w:t>
      </w:r>
      <w:r w:rsidR="00940DCD" w:rsidRPr="007E0156">
        <w:t xml:space="preserve"> </w:t>
      </w:r>
      <w:r w:rsidR="003F37FC" w:rsidRPr="007E0156">
        <w:t>after</w:t>
      </w:r>
      <w:r w:rsidR="00940DCD" w:rsidRPr="007E0156">
        <w:t xml:space="preserve"> a PD price reduction</w:t>
      </w:r>
      <w:r w:rsidR="00912DBA" w:rsidRPr="007E0156">
        <w:t xml:space="preserve">, these circumstances </w:t>
      </w:r>
      <w:r w:rsidR="00954C9B" w:rsidRPr="007E0156">
        <w:t>may</w:t>
      </w:r>
      <w:r w:rsidR="00912DBA" w:rsidRPr="007E0156">
        <w:t xml:space="preserve"> be </w:t>
      </w:r>
      <w:r w:rsidR="00954C9B" w:rsidRPr="007E0156">
        <w:t>considered</w:t>
      </w:r>
      <w:r w:rsidR="00912DBA" w:rsidRPr="007E0156">
        <w:t xml:space="preserve"> </w:t>
      </w:r>
      <w:r w:rsidR="00EA19AF" w:rsidRPr="007E0156">
        <w:t>when the Minister assesses the breach of minimum stockholding requirements.</w:t>
      </w:r>
    </w:p>
    <w:p w14:paraId="2D02F59B" w14:textId="6ADB41AC" w:rsidR="00302AAC" w:rsidRPr="007E0156" w:rsidRDefault="00302AAC" w:rsidP="000E10BE">
      <w:pPr>
        <w:keepLines/>
        <w:jc w:val="both"/>
      </w:pPr>
      <w:r w:rsidRPr="007E0156">
        <w:lastRenderedPageBreak/>
        <w:t xml:space="preserve">This might be the case for example where a brand with PD data available in the reference period is subject to a PD price reduction which is notified in late June for a 1 October reduction date and </w:t>
      </w:r>
      <w:r w:rsidR="009F3B33">
        <w:t xml:space="preserve">the brand’s RP </w:t>
      </w:r>
      <w:r w:rsidRPr="007E0156">
        <w:t xml:space="preserve">would be required to hold 4 months of ‘usual demand’ from 1 October. If the brand had a lead time which required 4 months for the RP to bring additional stock into Australia, the RP might be non-compliant for the month of October, but compliant from November onwards. However, if the brand did not yet have PD data available in the reference period, </w:t>
      </w:r>
      <w:r w:rsidR="009F3B33">
        <w:t xml:space="preserve">the RP </w:t>
      </w:r>
      <w:r w:rsidRPr="007E0156">
        <w:t>would have additional time to prepare and the lead-time should not impact on the RP’s ability to comply once ‘usual demand’ could be calculated.</w:t>
      </w:r>
    </w:p>
    <w:p w14:paraId="4D44EB6B" w14:textId="62C11F84" w:rsidR="00AD6B34" w:rsidRPr="007E0156" w:rsidRDefault="0073624A" w:rsidP="002020A7">
      <w:pPr>
        <w:jc w:val="both"/>
      </w:pPr>
      <w:r w:rsidRPr="007E0156">
        <w:t>Any efforts made to</w:t>
      </w:r>
      <w:r w:rsidR="008F1441" w:rsidRPr="007E0156">
        <w:t xml:space="preserve"> </w:t>
      </w:r>
      <w:r w:rsidR="00B85270" w:rsidRPr="007E0156">
        <w:t>become compliant</w:t>
      </w:r>
      <w:r w:rsidR="00D642FE" w:rsidRPr="007E0156">
        <w:t xml:space="preserve"> as soon as possible</w:t>
      </w:r>
      <w:r w:rsidR="00B85270" w:rsidRPr="007E0156">
        <w:t xml:space="preserve"> with minimum stockholding requirements may also be considered.</w:t>
      </w:r>
      <w:r w:rsidR="00EA19AF" w:rsidRPr="007E0156">
        <w:t xml:space="preserve"> Further information </w:t>
      </w:r>
      <w:r w:rsidR="00940DCD" w:rsidRPr="007E0156">
        <w:t xml:space="preserve">on the assessment </w:t>
      </w:r>
      <w:r w:rsidR="00EA19AF" w:rsidRPr="007E0156">
        <w:t>can be</w:t>
      </w:r>
      <w:r w:rsidR="00940DCD" w:rsidRPr="007E0156">
        <w:t xml:space="preserve"> found in </w:t>
      </w:r>
      <w:hyperlink w:anchor="_Management_of_breaches">
        <w:r w:rsidR="00940DCD" w:rsidRPr="09A3D074">
          <w:rPr>
            <w:rStyle w:val="Hyperlink"/>
          </w:rPr>
          <w:t>Section 8.</w:t>
        </w:r>
        <w:r w:rsidR="00EA19AF" w:rsidRPr="09A3D074">
          <w:rPr>
            <w:rStyle w:val="Hyperlink"/>
          </w:rPr>
          <w:t xml:space="preserve"> </w:t>
        </w:r>
      </w:hyperlink>
      <w:r w:rsidR="00B80EE8" w:rsidRPr="007E0156">
        <w:t xml:space="preserve">The RP must comply with the usual requirements (see </w:t>
      </w:r>
      <w:hyperlink w:anchor="_Minister_to_be">
        <w:r w:rsidR="00B80EE8" w:rsidRPr="09A3D074">
          <w:rPr>
            <w:rStyle w:val="Hyperlink"/>
          </w:rPr>
          <w:t>Section 7.2</w:t>
        </w:r>
      </w:hyperlink>
      <w:r w:rsidR="00B80EE8" w:rsidRPr="007E0156">
        <w:t>) to provide notification of a likely breach of the minimum stockholding requirement as well as any actual breach.</w:t>
      </w:r>
    </w:p>
    <w:p w14:paraId="2FA90F1F" w14:textId="57C15500" w:rsidR="002B1A1E" w:rsidRPr="007E0156" w:rsidRDefault="00FE0A21" w:rsidP="002020A7">
      <w:pPr>
        <w:jc w:val="both"/>
      </w:pPr>
      <w:r w:rsidRPr="007E0156">
        <w:t>Where applicable, a</w:t>
      </w:r>
      <w:r w:rsidR="002B1A1E" w:rsidRPr="007E0156">
        <w:t>nniversary price reductions occur annually on 1 April</w:t>
      </w:r>
      <w:r w:rsidR="003E671D" w:rsidRPr="007E0156">
        <w:t xml:space="preserve"> for drugs on F1</w:t>
      </w:r>
      <w:r w:rsidR="002B1A1E" w:rsidRPr="007E0156">
        <w:t xml:space="preserve">, </w:t>
      </w:r>
      <w:r w:rsidR="003E671D" w:rsidRPr="007E0156">
        <w:t xml:space="preserve">and </w:t>
      </w:r>
      <w:r w:rsidR="002B1A1E" w:rsidRPr="007E0156">
        <w:t xml:space="preserve">indicative AEMPs are published on the PBS website on 1 August in the previous year. </w:t>
      </w:r>
      <w:r w:rsidR="0064471D" w:rsidRPr="007E0156">
        <w:t xml:space="preserve">If an anniversary price reduction </w:t>
      </w:r>
      <w:r w:rsidRPr="007E0156">
        <w:t xml:space="preserve">would </w:t>
      </w:r>
      <w:r w:rsidR="0064471D" w:rsidRPr="007E0156">
        <w:t>reduce the AEMP of a pharmaceutical item</w:t>
      </w:r>
      <w:r w:rsidRPr="007E0156">
        <w:t xml:space="preserve"> having a drug on F1</w:t>
      </w:r>
      <w:r w:rsidR="0064471D" w:rsidRPr="007E0156">
        <w:t xml:space="preserve"> to $4 or less, t</w:t>
      </w:r>
      <w:r w:rsidR="002B1A1E" w:rsidRPr="007E0156">
        <w:t>he</w:t>
      </w:r>
      <w:r w:rsidR="009F3B33">
        <w:t xml:space="preserve"> RP for the</w:t>
      </w:r>
      <w:r w:rsidR="002B1A1E" w:rsidRPr="007E0156">
        <w:t xml:space="preserve"> designated brand will be required to comply with stockholding disclosure requirements from the date </w:t>
      </w:r>
      <w:r w:rsidR="009F3B33">
        <w:t xml:space="preserve">the brand </w:t>
      </w:r>
      <w:r w:rsidR="002B1A1E" w:rsidRPr="007E0156">
        <w:t>becomes a designated brand.</w:t>
      </w:r>
      <w:r w:rsidR="0064471D" w:rsidRPr="007E0156">
        <w:t xml:space="preserve"> As </w:t>
      </w:r>
      <w:r w:rsidR="003E671D" w:rsidRPr="007E0156">
        <w:t>drugs in F1 are not subject to price disclosure</w:t>
      </w:r>
      <w:r w:rsidR="0032263D" w:rsidRPr="007E0156">
        <w:t>,</w:t>
      </w:r>
      <w:r w:rsidR="003E671D" w:rsidRPr="007E0156">
        <w:t xml:space="preserve"> </w:t>
      </w:r>
      <w:r w:rsidR="0064471D" w:rsidRPr="007E0156">
        <w:t xml:space="preserve">PD data for the reference period will not be available, </w:t>
      </w:r>
      <w:r w:rsidR="003E671D" w:rsidRPr="007E0156">
        <w:t xml:space="preserve">but </w:t>
      </w:r>
      <w:r w:rsidR="0064471D" w:rsidRPr="007E0156">
        <w:t xml:space="preserve">the Minister </w:t>
      </w:r>
      <w:r w:rsidR="001A2A81" w:rsidRPr="007E0156">
        <w:t xml:space="preserve">may </w:t>
      </w:r>
      <w:r w:rsidR="0064471D" w:rsidRPr="007E0156">
        <w:t xml:space="preserve">make a </w:t>
      </w:r>
      <w:r w:rsidR="00051EEC" w:rsidRPr="007E0156">
        <w:t xml:space="preserve">minimum stockholding </w:t>
      </w:r>
      <w:r w:rsidR="0064471D" w:rsidRPr="007E0156">
        <w:t>determination for another quantity based on PBS prescription volumes for that period.</w:t>
      </w:r>
    </w:p>
    <w:p w14:paraId="2BA693F0" w14:textId="13B6E066" w:rsidR="002B1A1E" w:rsidRPr="007E0156" w:rsidRDefault="0064471D" w:rsidP="002020A7">
      <w:pPr>
        <w:jc w:val="both"/>
      </w:pPr>
      <w:bookmarkStart w:id="63" w:name="_Ref106972439"/>
      <w:r w:rsidRPr="007E0156">
        <w:t xml:space="preserve">If a </w:t>
      </w:r>
      <w:r w:rsidR="002B1A1E" w:rsidRPr="007E0156">
        <w:t xml:space="preserve">first new brand </w:t>
      </w:r>
      <w:r w:rsidR="003E671D" w:rsidRPr="007E0156">
        <w:t xml:space="preserve">price </w:t>
      </w:r>
      <w:r w:rsidR="002B1A1E" w:rsidRPr="007E0156">
        <w:t>reduction</w:t>
      </w:r>
      <w:r w:rsidRPr="007E0156">
        <w:t xml:space="preserve"> reduces the AEMP of a pharmaceutical item to $4 o</w:t>
      </w:r>
      <w:r w:rsidR="003E671D" w:rsidRPr="007E0156">
        <w:t>r</w:t>
      </w:r>
      <w:r w:rsidRPr="007E0156">
        <w:t xml:space="preserve"> less, the </w:t>
      </w:r>
      <w:r w:rsidR="001A2A81" w:rsidRPr="007E0156">
        <w:t>RP</w:t>
      </w:r>
      <w:r w:rsidRPr="007E0156">
        <w:t xml:space="preserve"> of the existing brand which will be </w:t>
      </w:r>
      <w:r w:rsidR="009F3B33">
        <w:t>affected</w:t>
      </w:r>
      <w:r w:rsidR="009F3B33" w:rsidRPr="007E0156">
        <w:t xml:space="preserve"> </w:t>
      </w:r>
      <w:r w:rsidRPr="007E0156">
        <w:t xml:space="preserve">by a reduction will be notified </w:t>
      </w:r>
      <w:r w:rsidR="009F3B33">
        <w:t xml:space="preserve">by the </w:t>
      </w:r>
      <w:r w:rsidR="007A785F">
        <w:t>d</w:t>
      </w:r>
      <w:r w:rsidR="009F3B33">
        <w:t xml:space="preserve">epartment </w:t>
      </w:r>
      <w:r w:rsidRPr="007E0156">
        <w:t xml:space="preserve">within five business days from the </w:t>
      </w:r>
      <w:r w:rsidR="007A785F">
        <w:t>d</w:t>
      </w:r>
      <w:r w:rsidRPr="007E0156">
        <w:t>epartment receiving the application to list the new brand. As PD data for the reference period will not be available</w:t>
      </w:r>
      <w:r w:rsidR="001A2A81" w:rsidRPr="007E0156">
        <w:t xml:space="preserve"> </w:t>
      </w:r>
      <w:r w:rsidR="003E671D" w:rsidRPr="007E0156">
        <w:t>(because the existing brand was previously on F1)</w:t>
      </w:r>
      <w:r w:rsidRPr="007E0156">
        <w:t xml:space="preserve">, the Minister </w:t>
      </w:r>
      <w:r w:rsidR="00657EBB" w:rsidRPr="007E0156">
        <w:t>may</w:t>
      </w:r>
      <w:r w:rsidRPr="007E0156">
        <w:t xml:space="preserve"> make a </w:t>
      </w:r>
      <w:r w:rsidR="00B5420D" w:rsidRPr="007E0156">
        <w:t xml:space="preserve">minimum stockholding </w:t>
      </w:r>
      <w:r w:rsidRPr="007E0156">
        <w:t>determination for another quantity based on PBS prescription volumes for that period</w:t>
      </w:r>
      <w:r w:rsidR="002B1A1E" w:rsidRPr="007E0156">
        <w:t xml:space="preserve">. </w:t>
      </w:r>
      <w:r w:rsidR="001A2A81" w:rsidRPr="007E0156">
        <w:t xml:space="preserve">Any such </w:t>
      </w:r>
      <w:r w:rsidR="002B1A1E" w:rsidRPr="007E0156">
        <w:t>determination will be effective from a future date which allows 6 months</w:t>
      </w:r>
      <w:r w:rsidR="00312AF6" w:rsidRPr="007E0156">
        <w:t>’</w:t>
      </w:r>
      <w:r w:rsidR="002B1A1E" w:rsidRPr="007E0156">
        <w:t xml:space="preserve"> notice to be given of the </w:t>
      </w:r>
      <w:r w:rsidR="001A2A81" w:rsidRPr="007E0156">
        <w:t>quantity of stock</w:t>
      </w:r>
      <w:r w:rsidR="002B1A1E" w:rsidRPr="007E0156">
        <w:t xml:space="preserve"> the </w:t>
      </w:r>
      <w:r w:rsidR="001A2A81" w:rsidRPr="007E0156">
        <w:t>RP</w:t>
      </w:r>
      <w:r w:rsidR="002B1A1E" w:rsidRPr="007E0156">
        <w:t xml:space="preserve"> must hold.</w:t>
      </w:r>
      <w:bookmarkEnd w:id="63"/>
    </w:p>
    <w:p w14:paraId="0ED99682" w14:textId="2677934A" w:rsidR="009C75BC" w:rsidRPr="007E0156" w:rsidRDefault="009C75BC" w:rsidP="00FE7FAF">
      <w:pPr>
        <w:pStyle w:val="Heading2"/>
        <w:jc w:val="both"/>
      </w:pPr>
      <w:bookmarkStart w:id="64" w:name="_Lead_time_for"/>
      <w:bookmarkStart w:id="65" w:name="_Ref106974080"/>
      <w:bookmarkStart w:id="66" w:name="_Toc205482094"/>
      <w:bookmarkEnd w:id="64"/>
      <w:r w:rsidRPr="007E0156">
        <w:t>L</w:t>
      </w:r>
      <w:r w:rsidR="00862A85" w:rsidRPr="007E0156">
        <w:t>ead time for designated brands as a result of a price increase</w:t>
      </w:r>
      <w:bookmarkEnd w:id="65"/>
      <w:bookmarkEnd w:id="66"/>
    </w:p>
    <w:p w14:paraId="489AE600" w14:textId="312A5934" w:rsidR="0004357B" w:rsidRPr="007E0156" w:rsidRDefault="0004357B" w:rsidP="00FE7FAF">
      <w:pPr>
        <w:jc w:val="both"/>
      </w:pPr>
      <w:r w:rsidRPr="007E0156">
        <w:t xml:space="preserve">The </w:t>
      </w:r>
      <w:r w:rsidR="009F3B33">
        <w:t xml:space="preserve">application </w:t>
      </w:r>
      <w:r w:rsidRPr="007E0156">
        <w:t xml:space="preserve">and approval </w:t>
      </w:r>
      <w:r w:rsidR="009F3B33" w:rsidRPr="007E0156">
        <w:t xml:space="preserve">process </w:t>
      </w:r>
      <w:r w:rsidR="009F3B33">
        <w:t xml:space="preserve">for </w:t>
      </w:r>
      <w:r w:rsidRPr="007E0156">
        <w:t xml:space="preserve">a price increase </w:t>
      </w:r>
      <w:r w:rsidR="009F3B33">
        <w:t xml:space="preserve">to a PBS-listed product </w:t>
      </w:r>
      <w:r w:rsidRPr="007E0156">
        <w:t xml:space="preserve">is described on the PBS website </w:t>
      </w:r>
      <w:r w:rsidR="00C63565" w:rsidRPr="007E0156">
        <w:t>(</w:t>
      </w:r>
      <w:hyperlink r:id="rId43">
        <w:r w:rsidRPr="3B8686C2">
          <w:rPr>
            <w:rStyle w:val="Hyperlink"/>
          </w:rPr>
          <w:t>‘Requesting a change to an e</w:t>
        </w:r>
      </w:hyperlink>
      <w:r w:rsidRPr="3B8686C2">
        <w:rPr>
          <w:rStyle w:val="Hyperlink"/>
        </w:rPr>
        <w:t>xisting price’</w:t>
      </w:r>
      <w:r w:rsidR="00C63565">
        <w:t>)</w:t>
      </w:r>
      <w:r>
        <w:t>.</w:t>
      </w:r>
    </w:p>
    <w:p w14:paraId="7976625E" w14:textId="62A93C39" w:rsidR="0004357B" w:rsidRPr="007E0156" w:rsidRDefault="0004357B" w:rsidP="00FE7FAF">
      <w:pPr>
        <w:jc w:val="both"/>
      </w:pPr>
      <w:r w:rsidRPr="007E0156">
        <w:t>Where a price increase is agreed on or after 1 July 2022, a</w:t>
      </w:r>
      <w:r w:rsidR="00303EB9" w:rsidRPr="007E0156">
        <w:t>ny</w:t>
      </w:r>
      <w:r w:rsidRPr="007E0156">
        <w:t xml:space="preserve"> designated brand determination</w:t>
      </w:r>
      <w:r w:rsidR="00F9798F" w:rsidRPr="007E0156">
        <w:t xml:space="preserve"> (s99ADHC(1)(c)</w:t>
      </w:r>
      <w:r w:rsidR="00D56589" w:rsidRPr="007E0156">
        <w:t>(ii)</w:t>
      </w:r>
      <w:r w:rsidR="00F9798F" w:rsidRPr="007E0156">
        <w:t xml:space="preserve"> and (2) of the Act)</w:t>
      </w:r>
      <w:r w:rsidRPr="007E0156">
        <w:t xml:space="preserve"> </w:t>
      </w:r>
      <w:r w:rsidR="00303EB9" w:rsidRPr="007E0156">
        <w:t xml:space="preserve">that is made will </w:t>
      </w:r>
      <w:r w:rsidRPr="007E0156">
        <w:t xml:space="preserve">be </w:t>
      </w:r>
      <w:r w:rsidR="00563A2A" w:rsidRPr="007E0156">
        <w:t>effective from 6 months after the date the price increase is effective</w:t>
      </w:r>
      <w:r w:rsidRPr="007E0156">
        <w:t xml:space="preserve">. </w:t>
      </w:r>
      <w:r w:rsidR="00563A2A" w:rsidRPr="007E0156">
        <w:t xml:space="preserve">A </w:t>
      </w:r>
      <w:r w:rsidR="003E671D" w:rsidRPr="007E0156">
        <w:t xml:space="preserve">minimum stockholding </w:t>
      </w:r>
      <w:r w:rsidR="00563A2A" w:rsidRPr="007E0156">
        <w:t xml:space="preserve">determination </w:t>
      </w:r>
      <w:r w:rsidR="00303EB9" w:rsidRPr="007E0156">
        <w:t>may</w:t>
      </w:r>
      <w:r w:rsidR="00563A2A" w:rsidRPr="007E0156">
        <w:t xml:space="preserve"> also be made if required (</w:t>
      </w:r>
      <w:r w:rsidR="00303EB9" w:rsidRPr="007E0156">
        <w:t>e.g</w:t>
      </w:r>
      <w:r w:rsidR="00303EB9" w:rsidRPr="09A3D074">
        <w:t>.</w:t>
      </w:r>
      <w:r w:rsidR="00303EB9" w:rsidRPr="007E0156">
        <w:t xml:space="preserve"> </w:t>
      </w:r>
      <w:r w:rsidR="00563A2A" w:rsidRPr="007E0156">
        <w:t xml:space="preserve">where </w:t>
      </w:r>
      <w:r w:rsidR="00ED5FBA" w:rsidRPr="007E0156">
        <w:t>PD</w:t>
      </w:r>
      <w:r w:rsidR="00576D6A">
        <w:t> </w:t>
      </w:r>
      <w:r w:rsidR="00563A2A" w:rsidRPr="007E0156">
        <w:t>data is not available fo</w:t>
      </w:r>
      <w:r w:rsidR="00D74198" w:rsidRPr="007E0156">
        <w:t>r</w:t>
      </w:r>
      <w:r w:rsidR="00563A2A" w:rsidRPr="007E0156">
        <w:t xml:space="preserve"> the reference period to calculate ‘usual demand’)</w:t>
      </w:r>
      <w:r w:rsidR="00F45353" w:rsidRPr="007E0156">
        <w:t xml:space="preserve">, see </w:t>
      </w:r>
      <w:hyperlink w:anchor="_Determination_of_‘another">
        <w:r w:rsidR="00AF4278" w:rsidRPr="09A3D074">
          <w:rPr>
            <w:rStyle w:val="Hyperlink"/>
          </w:rPr>
          <w:t>S</w:t>
        </w:r>
        <w:r w:rsidR="00F45353" w:rsidRPr="09A3D074">
          <w:rPr>
            <w:rStyle w:val="Hyperlink"/>
          </w:rPr>
          <w:t>ection 4.3</w:t>
        </w:r>
      </w:hyperlink>
      <w:r w:rsidR="00F45353" w:rsidRPr="007E0156">
        <w:t xml:space="preserve"> above</w:t>
      </w:r>
      <w:r w:rsidR="001045C1" w:rsidRPr="007E0156">
        <w:t xml:space="preserve"> and </w:t>
      </w:r>
      <w:hyperlink w:anchor="_Ministerial_determination_of">
        <w:r w:rsidR="00AF4278" w:rsidRPr="09A3D074">
          <w:rPr>
            <w:rStyle w:val="Hyperlink"/>
          </w:rPr>
          <w:t>S</w:t>
        </w:r>
        <w:r w:rsidR="001045C1" w:rsidRPr="09A3D074">
          <w:rPr>
            <w:rStyle w:val="Hyperlink"/>
          </w:rPr>
          <w:t>ection 6</w:t>
        </w:r>
      </w:hyperlink>
      <w:r w:rsidR="001045C1" w:rsidRPr="007E0156">
        <w:t xml:space="preserve"> below</w:t>
      </w:r>
      <w:r w:rsidR="00563A2A" w:rsidRPr="007E0156">
        <w:t>.</w:t>
      </w:r>
    </w:p>
    <w:p w14:paraId="780772E3" w14:textId="4FF2D772" w:rsidR="00B8739A" w:rsidRDefault="00802B04">
      <w:pPr>
        <w:jc w:val="both"/>
        <w:rPr>
          <w:lang w:val="en-AU"/>
        </w:rPr>
      </w:pPr>
      <w:bookmarkStart w:id="67" w:name="_Ref106974109"/>
      <w:r w:rsidRPr="00802B04">
        <w:rPr>
          <w:lang w:val="en-AU"/>
        </w:rPr>
        <w:t xml:space="preserve">Determinations will </w:t>
      </w:r>
      <w:r w:rsidR="0057084D">
        <w:rPr>
          <w:lang w:val="en-AU"/>
        </w:rPr>
        <w:t xml:space="preserve">generally </w:t>
      </w:r>
      <w:r w:rsidRPr="00802B04">
        <w:rPr>
          <w:lang w:val="en-AU"/>
        </w:rPr>
        <w:t>be made for</w:t>
      </w:r>
      <w:r w:rsidR="00B8739A">
        <w:rPr>
          <w:lang w:val="en-AU"/>
        </w:rPr>
        <w:t>:</w:t>
      </w:r>
    </w:p>
    <w:p w14:paraId="2C75859E" w14:textId="33A74D3C" w:rsidR="00B8739A" w:rsidRPr="00B8739A" w:rsidRDefault="00802B04" w:rsidP="005A2644">
      <w:pPr>
        <w:pStyle w:val="ListParagraph"/>
        <w:numPr>
          <w:ilvl w:val="0"/>
          <w:numId w:val="11"/>
        </w:numPr>
        <w:jc w:val="both"/>
        <w:rPr>
          <w:rFonts w:asciiTheme="majorHAnsi" w:eastAsiaTheme="majorEastAsia" w:hAnsiTheme="majorHAnsi" w:cstheme="majorBidi"/>
          <w:b/>
          <w:color w:val="002142" w:themeColor="accent1"/>
          <w:sz w:val="24"/>
          <w:szCs w:val="26"/>
        </w:rPr>
      </w:pPr>
      <w:r w:rsidRPr="00802B04">
        <w:rPr>
          <w:lang w:val="en-AU"/>
        </w:rPr>
        <w:t>all brands of the pharmaceutical item that are PBS listed at the time that the price increase occurred</w:t>
      </w:r>
    </w:p>
    <w:p w14:paraId="59B6DE91" w14:textId="7222908B" w:rsidR="00C66076" w:rsidRPr="00B8739A" w:rsidRDefault="00802B04" w:rsidP="005A2644">
      <w:pPr>
        <w:pStyle w:val="ListParagraph"/>
        <w:numPr>
          <w:ilvl w:val="0"/>
          <w:numId w:val="11"/>
        </w:numPr>
        <w:jc w:val="both"/>
        <w:rPr>
          <w:rFonts w:asciiTheme="majorHAnsi" w:eastAsiaTheme="majorEastAsia" w:hAnsiTheme="majorHAnsi" w:cstheme="majorBidi"/>
          <w:b/>
          <w:color w:val="002142" w:themeColor="accent1"/>
          <w:sz w:val="24"/>
        </w:rPr>
      </w:pPr>
      <w:r w:rsidRPr="00802B04">
        <w:rPr>
          <w:lang w:val="en-AU"/>
        </w:rPr>
        <w:t>any new brands of the pharmaceutical item that subsequently list on the PBS</w:t>
      </w:r>
      <w:r w:rsidR="003857A7">
        <w:rPr>
          <w:lang w:val="en-AU"/>
        </w:rPr>
        <w:t xml:space="preserve"> after the price increase</w:t>
      </w:r>
      <w:r w:rsidR="00B8739A">
        <w:rPr>
          <w:lang w:val="en-AU"/>
        </w:rPr>
        <w:t>, with a</w:t>
      </w:r>
      <w:r w:rsidR="00BD723E" w:rsidRPr="00B8739A">
        <w:rPr>
          <w:lang w:val="en-AU"/>
        </w:rPr>
        <w:t>ny</w:t>
      </w:r>
      <w:r w:rsidR="00B8739A">
        <w:rPr>
          <w:lang w:val="en-AU"/>
        </w:rPr>
        <w:t xml:space="preserve"> such</w:t>
      </w:r>
      <w:r w:rsidR="00BD723E" w:rsidRPr="00B8739A">
        <w:rPr>
          <w:lang w:val="en-AU"/>
        </w:rPr>
        <w:t xml:space="preserve"> </w:t>
      </w:r>
      <w:r w:rsidR="00430F21" w:rsidRPr="00B8739A">
        <w:rPr>
          <w:lang w:val="en-AU"/>
        </w:rPr>
        <w:t>determination effective from 6</w:t>
      </w:r>
      <w:r w:rsidR="009E7008" w:rsidRPr="00B8739A">
        <w:rPr>
          <w:lang w:val="en-AU"/>
        </w:rPr>
        <w:t> </w:t>
      </w:r>
      <w:r w:rsidR="00430F21" w:rsidRPr="00B8739A">
        <w:rPr>
          <w:lang w:val="en-AU"/>
        </w:rPr>
        <w:t>months after the</w:t>
      </w:r>
      <w:r w:rsidR="00C473F0" w:rsidRPr="00B8739A">
        <w:rPr>
          <w:lang w:val="en-AU"/>
        </w:rPr>
        <w:t xml:space="preserve"> new brand </w:t>
      </w:r>
      <w:r w:rsidR="003857A7" w:rsidRPr="00B8739A">
        <w:rPr>
          <w:lang w:val="en-AU"/>
        </w:rPr>
        <w:t>lists.</w:t>
      </w:r>
      <w:r w:rsidR="00D55DCB" w:rsidRPr="00B8739A">
        <w:rPr>
          <w:lang w:val="en-AU"/>
        </w:rPr>
        <w:t xml:space="preserve"> A determination of 6 months</w:t>
      </w:r>
      <w:r w:rsidR="00B8739A" w:rsidRPr="00B8739A">
        <w:rPr>
          <w:lang w:val="en-AU"/>
        </w:rPr>
        <w:t>’</w:t>
      </w:r>
      <w:r w:rsidR="00D55DCB" w:rsidRPr="00B8739A">
        <w:rPr>
          <w:lang w:val="en-AU"/>
        </w:rPr>
        <w:t xml:space="preserve"> usual demand or 6 months</w:t>
      </w:r>
      <w:r w:rsidR="00B8739A" w:rsidRPr="00B8739A">
        <w:rPr>
          <w:lang w:val="en-AU"/>
        </w:rPr>
        <w:t>’</w:t>
      </w:r>
      <w:r w:rsidR="00D55DCB" w:rsidRPr="00B8739A">
        <w:rPr>
          <w:lang w:val="en-AU"/>
        </w:rPr>
        <w:t xml:space="preserve"> usual PBS demand </w:t>
      </w:r>
      <w:r w:rsidR="00E7113D" w:rsidRPr="00B8739A">
        <w:rPr>
          <w:lang w:val="en-AU"/>
        </w:rPr>
        <w:t xml:space="preserve">may </w:t>
      </w:r>
      <w:r w:rsidR="00D55DCB" w:rsidRPr="00B8739A">
        <w:rPr>
          <w:lang w:val="en-AU"/>
        </w:rPr>
        <w:t>also be made, effective from 6 months after the new brand lists.</w:t>
      </w:r>
      <w:r w:rsidR="00C66076">
        <w:br w:type="page"/>
      </w:r>
    </w:p>
    <w:p w14:paraId="592B7E19" w14:textId="0B69177D" w:rsidR="009C75BC" w:rsidRPr="007E0156" w:rsidRDefault="009C75BC" w:rsidP="00FE7FAF">
      <w:pPr>
        <w:pStyle w:val="Heading2"/>
        <w:jc w:val="both"/>
      </w:pPr>
      <w:bookmarkStart w:id="68" w:name="_Lead_times_in"/>
      <w:bookmarkStart w:id="69" w:name="_Toc205482095"/>
      <w:bookmarkEnd w:id="68"/>
      <w:r w:rsidRPr="007E0156">
        <w:lastRenderedPageBreak/>
        <w:t>L</w:t>
      </w:r>
      <w:r w:rsidR="0004357B" w:rsidRPr="007E0156">
        <w:t xml:space="preserve">ead times </w:t>
      </w:r>
      <w:r w:rsidR="001E4E46" w:rsidRPr="007E0156">
        <w:t>in other circumstances</w:t>
      </w:r>
      <w:bookmarkEnd w:id="67"/>
      <w:bookmarkEnd w:id="69"/>
    </w:p>
    <w:p w14:paraId="085BA083" w14:textId="7CA54DB2" w:rsidR="00F576B0" w:rsidRPr="007E0156" w:rsidRDefault="00563A2A" w:rsidP="00FE7FAF">
      <w:pPr>
        <w:jc w:val="both"/>
      </w:pPr>
      <w:r w:rsidRPr="007E0156">
        <w:t xml:space="preserve">As ‘usual demand’ is calculated based upon </w:t>
      </w:r>
      <w:r w:rsidR="001E4E46" w:rsidRPr="007E0156">
        <w:t xml:space="preserve">PD </w:t>
      </w:r>
      <w:r w:rsidRPr="007E0156">
        <w:t>data submitted during the reference period</w:t>
      </w:r>
      <w:r w:rsidR="009F3B33">
        <w:t>,</w:t>
      </w:r>
      <w:r w:rsidRPr="007E0156">
        <w:t xml:space="preserve"> which is the ‘data collection period before the previous data collection period’, </w:t>
      </w:r>
      <w:r w:rsidR="00F576B0" w:rsidRPr="007E0156">
        <w:t xml:space="preserve">outside of the above scenarios, </w:t>
      </w:r>
      <w:r w:rsidR="00303EB9" w:rsidRPr="007E0156">
        <w:t>RPs</w:t>
      </w:r>
      <w:r w:rsidRPr="007E0156">
        <w:t xml:space="preserve"> for designated brands will have the opportunity in the usual course to prepare </w:t>
      </w:r>
      <w:r w:rsidR="00303EB9" w:rsidRPr="007E0156">
        <w:t>for the minimum stockholding requirements</w:t>
      </w:r>
      <w:r w:rsidR="00F576B0" w:rsidRPr="007E0156">
        <w:t>.</w:t>
      </w:r>
    </w:p>
    <w:p w14:paraId="508317FC" w14:textId="77777777" w:rsidR="00F576B0" w:rsidRPr="007E0156" w:rsidRDefault="00F576B0" w:rsidP="00FE7FAF">
      <w:pPr>
        <w:jc w:val="both"/>
      </w:pPr>
      <w:r w:rsidRPr="007E0156">
        <w:t>For example:</w:t>
      </w:r>
    </w:p>
    <w:p w14:paraId="59CEF7E1" w14:textId="05D2CBF8" w:rsidR="00A201F7" w:rsidRPr="007E0156" w:rsidRDefault="00F576B0" w:rsidP="005A2644">
      <w:pPr>
        <w:pStyle w:val="ListParagraph"/>
        <w:numPr>
          <w:ilvl w:val="0"/>
          <w:numId w:val="29"/>
        </w:numPr>
        <w:spacing w:line="256" w:lineRule="auto"/>
        <w:ind w:left="851"/>
        <w:jc w:val="both"/>
      </w:pPr>
      <w:r w:rsidRPr="007E0156">
        <w:t xml:space="preserve">Where a </w:t>
      </w:r>
      <w:r w:rsidR="00A201F7" w:rsidRPr="007E0156">
        <w:t xml:space="preserve">new generic brand lists on F2 and immediately </w:t>
      </w:r>
      <w:r w:rsidRPr="007E0156">
        <w:t xml:space="preserve">meets the </w:t>
      </w:r>
      <w:r w:rsidR="00303EB9" w:rsidRPr="007E0156">
        <w:t xml:space="preserve">42-month clock </w:t>
      </w:r>
      <w:r w:rsidRPr="007E0156">
        <w:t>criteria</w:t>
      </w:r>
      <w:r w:rsidR="00FA0683" w:rsidRPr="007E0156">
        <w:t xml:space="preserve"> (s99ADHC(1)(a) of the Act)</w:t>
      </w:r>
      <w:r w:rsidRPr="007E0156">
        <w:t xml:space="preserve">, it will be a </w:t>
      </w:r>
      <w:r w:rsidR="00A201F7" w:rsidRPr="007E0156">
        <w:t xml:space="preserve">designated brand with stockholding disclosure and minimum stockholding requirements. </w:t>
      </w:r>
      <w:r w:rsidRPr="007E0156">
        <w:t xml:space="preserve">As ‘usual demand’ is based upon </w:t>
      </w:r>
      <w:r w:rsidR="001E4E46" w:rsidRPr="007E0156">
        <w:t>PD</w:t>
      </w:r>
      <w:r w:rsidRPr="007E0156">
        <w:t xml:space="preserve"> data submitted in the ‘data collection period before the previous data collection period’, the brand will have a period of at least </w:t>
      </w:r>
      <w:r w:rsidR="00BB4432" w:rsidRPr="007E0156">
        <w:t>7</w:t>
      </w:r>
      <w:r w:rsidRPr="007E0156">
        <w:t xml:space="preserve"> months before there is data available for </w:t>
      </w:r>
      <w:r w:rsidR="00B65192">
        <w:t>‘</w:t>
      </w:r>
      <w:r w:rsidRPr="007E0156">
        <w:t>usual demand</w:t>
      </w:r>
      <w:r w:rsidR="00B65192">
        <w:t>’</w:t>
      </w:r>
      <w:r w:rsidRPr="007E0156">
        <w:t xml:space="preserve"> to be calculated. </w:t>
      </w:r>
      <w:r w:rsidR="00A201F7" w:rsidRPr="007E0156">
        <w:t xml:space="preserve">This provides lead time for the </w:t>
      </w:r>
      <w:r w:rsidR="00303EB9" w:rsidRPr="007E0156">
        <w:t>RP</w:t>
      </w:r>
      <w:r w:rsidR="00A201F7" w:rsidRPr="007E0156">
        <w:t xml:space="preserve"> to prepare </w:t>
      </w:r>
      <w:r w:rsidRPr="007E0156">
        <w:t xml:space="preserve">for </w:t>
      </w:r>
      <w:r w:rsidR="00A201F7" w:rsidRPr="007E0156">
        <w:t xml:space="preserve">compliance with </w:t>
      </w:r>
      <w:r w:rsidR="0032263D" w:rsidRPr="007E0156">
        <w:t xml:space="preserve">the </w:t>
      </w:r>
      <w:r w:rsidR="00303EB9" w:rsidRPr="007E0156">
        <w:t xml:space="preserve">quantity </w:t>
      </w:r>
      <w:r w:rsidR="005B744A" w:rsidRPr="007E0156">
        <w:t xml:space="preserve">it </w:t>
      </w:r>
      <w:r w:rsidR="00303EB9" w:rsidRPr="007E0156">
        <w:t>will be required to keep in stock</w:t>
      </w:r>
      <w:r w:rsidRPr="007E0156">
        <w:t xml:space="preserve"> in the future once ‘usual demand’ </w:t>
      </w:r>
      <w:r w:rsidR="00303EB9" w:rsidRPr="007E0156">
        <w:t xml:space="preserve">can be </w:t>
      </w:r>
      <w:r w:rsidRPr="007E0156">
        <w:t xml:space="preserve">calculated based on reference period disclosure </w:t>
      </w:r>
      <w:r w:rsidR="00A201F7" w:rsidRPr="007E0156">
        <w:t xml:space="preserve">(though </w:t>
      </w:r>
      <w:r w:rsidR="00303EB9" w:rsidRPr="007E0156">
        <w:t xml:space="preserve">the brand will be subject to the </w:t>
      </w:r>
      <w:r w:rsidR="00A201F7" w:rsidRPr="007E0156">
        <w:t>stockholding disclosure</w:t>
      </w:r>
      <w:r w:rsidR="00303EB9" w:rsidRPr="007E0156">
        <w:t xml:space="preserve"> requirements</w:t>
      </w:r>
      <w:r w:rsidR="00A201F7" w:rsidRPr="007E0156">
        <w:t xml:space="preserve"> immediately)</w:t>
      </w:r>
      <w:r w:rsidRPr="007E0156">
        <w:t>.</w:t>
      </w:r>
      <w:r w:rsidR="00365AB8" w:rsidRPr="007E0156">
        <w:t xml:space="preserve"> Similarly, a s19A product will not have ‘usual demand’ able to be calculated until there is PD data available in the reference period, so will have 7-12 months to prepare for compliance.</w:t>
      </w:r>
    </w:p>
    <w:p w14:paraId="141E4C8D" w14:textId="7D44DFE6" w:rsidR="00F0654E" w:rsidRPr="007E0156" w:rsidRDefault="00F576B0" w:rsidP="005A2644">
      <w:pPr>
        <w:pStyle w:val="ListParagraph"/>
        <w:numPr>
          <w:ilvl w:val="0"/>
          <w:numId w:val="10"/>
        </w:numPr>
        <w:ind w:left="851"/>
        <w:jc w:val="both"/>
      </w:pPr>
      <w:r w:rsidRPr="007E0156">
        <w:t xml:space="preserve">Where there is variation in </w:t>
      </w:r>
      <w:r w:rsidR="00B65192">
        <w:t>‘</w:t>
      </w:r>
      <w:r w:rsidR="00BB6062" w:rsidRPr="007E0156">
        <w:t>usual demand</w:t>
      </w:r>
      <w:r w:rsidR="00B65192">
        <w:t>’</w:t>
      </w:r>
      <w:r w:rsidRPr="007E0156">
        <w:t xml:space="preserve">, </w:t>
      </w:r>
      <w:r w:rsidR="00BB4432" w:rsidRPr="007E0156">
        <w:t xml:space="preserve">the </w:t>
      </w:r>
      <w:r w:rsidR="00303EB9" w:rsidRPr="007E0156">
        <w:t>RP</w:t>
      </w:r>
      <w:r w:rsidR="00CF21BC" w:rsidRPr="007E0156">
        <w:t xml:space="preserve"> </w:t>
      </w:r>
      <w:r w:rsidR="00303EB9" w:rsidRPr="007E0156">
        <w:t xml:space="preserve">will have </w:t>
      </w:r>
      <w:r w:rsidR="004C007A" w:rsidRPr="007E0156">
        <w:t>at least 6 months of forward visibility over changes</w:t>
      </w:r>
      <w:r w:rsidR="007B5DDD" w:rsidRPr="007E0156">
        <w:t xml:space="preserve"> </w:t>
      </w:r>
      <w:r w:rsidR="00E974FC" w:rsidRPr="007E0156">
        <w:t xml:space="preserve">to </w:t>
      </w:r>
      <w:r w:rsidR="0032263D" w:rsidRPr="007E0156">
        <w:t xml:space="preserve">the </w:t>
      </w:r>
      <w:r w:rsidR="00303EB9" w:rsidRPr="007E0156">
        <w:t xml:space="preserve">quantity </w:t>
      </w:r>
      <w:r w:rsidR="005B744A" w:rsidRPr="007E0156">
        <w:t>it</w:t>
      </w:r>
      <w:r w:rsidR="00303EB9" w:rsidRPr="007E0156">
        <w:t xml:space="preserve"> will be required to keep in stock</w:t>
      </w:r>
      <w:r w:rsidR="002B1CAF" w:rsidRPr="007E0156">
        <w:t xml:space="preserve">, </w:t>
      </w:r>
      <w:r w:rsidR="00546F07" w:rsidRPr="007E0156">
        <w:t>due to the 6-month lag between the</w:t>
      </w:r>
      <w:r w:rsidR="00BB4432" w:rsidRPr="007E0156">
        <w:t xml:space="preserve"> end of the </w:t>
      </w:r>
      <w:r w:rsidR="00546F07" w:rsidRPr="007E0156">
        <w:t xml:space="preserve">reference </w:t>
      </w:r>
      <w:r w:rsidRPr="007E0156">
        <w:t xml:space="preserve">period and the </w:t>
      </w:r>
      <w:r w:rsidR="00BB4432" w:rsidRPr="007E0156">
        <w:t xml:space="preserve">beginning of the </w:t>
      </w:r>
      <w:r w:rsidR="00546F07" w:rsidRPr="007E0156">
        <w:t>current period.</w:t>
      </w:r>
    </w:p>
    <w:p w14:paraId="15BB6F54" w14:textId="2CAC35B7" w:rsidR="00D360FA" w:rsidRPr="007E0156" w:rsidRDefault="00817EC4" w:rsidP="00D360FA">
      <w:pPr>
        <w:pStyle w:val="Caption"/>
        <w:keepNext/>
        <w:jc w:val="both"/>
      </w:pPr>
      <w:bookmarkStart w:id="70" w:name="_Ref107504343"/>
      <w:r>
        <w:rPr>
          <w:noProof/>
        </w:rPr>
        <w:drawing>
          <wp:anchor distT="0" distB="0" distL="114300" distR="114300" simplePos="0" relativeHeight="251658240" behindDoc="0" locked="0" layoutInCell="1" allowOverlap="1" wp14:anchorId="1CAE82A2" wp14:editId="04185C0E">
            <wp:simplePos x="0" y="0"/>
            <wp:positionH relativeFrom="margin">
              <wp:posOffset>-266700</wp:posOffset>
            </wp:positionH>
            <wp:positionV relativeFrom="paragraph">
              <wp:posOffset>362585</wp:posOffset>
            </wp:positionV>
            <wp:extent cx="6718300" cy="3481070"/>
            <wp:effectExtent l="0" t="0" r="6350" b="5080"/>
            <wp:wrapTopAndBottom/>
            <wp:docPr id="1854895428" name="Picture 1" descr="Table setting out criterions for designated brands, the scenario when the criterion may be met, applicable quantity for minimum stockholding with reference to usual demand/usual PBS demand (unless the Minister determines another quantity), the timeline for compliance with stockholding disclosure and minimum levels, and the lead time for RP.&#10;Row A, Scenario 1: Criterion: Brand meets the 42-month clock – drug has been on F2 for at least 42 months, and at least 30 months have passed since the first PD reduction for a related brand. Scenario: Brand is already listed on F2. Applicable quantity for minimum stockholding: 4 months. Timeline for compliance: Immediate from when brand meets 42-month clock. Lead time for RP: 12 months.&#10;Row A, Scenario 2: Criterion: Brand meets the 42-month clock – drug has been on F2 for at least 42 months, and at least 30 months have passed since the first PD reduction for a related brand. Scenario: Brand is newly listed on F2. Applicable quantity for minimum stockholding: 4 months. Timeline for compliance: Immediate from when brand meets 42-month clock – but usual demand zero until PD data in reference period to calculate usual demand. Lead time for RP: 7 plus months.&#10;Row B, Scenario 1: Criterion: The AEMP of the designated brand of the pharmaceutical item is $4 or less. Scenario: Brand receives a statutory price reduction to AEMP of $4 or less. Applicable quantity for minimum stockholding: 4 months. Timeline for compliance: Disclosure immediate from when AEMP becomes $4 or less. Minister will determine another quantity effective from a date which allows 6 months’ notice. Lead time for RP: 6 months.&#10;Row B, Scenario 2: Criterion: The AEMP of the designated brand of the pharmaceutical item is $4 or less. Scenario: Brand receives a PD price reduction to AEMP of $4 or less. Applicable quantity for minimum stockholding: 4 months. Timeline for compliance: Immediate from when AEMP becomes $4 or less – but usual demand zero until PD data in reference period to calculate usual demand. Lead time: 3 months.&#10;Row B, Scenario 3: Criterion: The AEMP of the designated brand of the pharmaceutical item is $4 or less. Scenario: Brand is newly listed with AEMP of $4 or less. Applicable quantity for minimum stockholding: 4 months. Timeline for compliance: Immediate from when brand lists (but usual demand/usual PBS demand zero until PD data/PBS dispensing data in reference period to calculate ‘usual demand’/’usual PBS demand’). Lead time: 7 plus months.&#10;Row C. Criterion: A brand of the pharmaceutical item has had a price increase on or after 1 July 2022 and the brand is subject to a designated brand determination. Applicable quantity for minimum stockholding: 6 months. Timeline for compliance: Immediate from date designated brand determination (and minimum stockholding determination if applicable) is effective. Lead time: 6 months&#10;Row D. Criterion: The AEMP for the item has been increased under section 104B of the Act on 1 October 2022. (This will only apply where, before 1 October 2022 the Drug was on F2 and brand of pharmaceutical item had an AEMP of less than $3.50.) Applicable quantity for minimum stockholding: 6 months. Timeline for compliance: Immediate from 1 July 2023. Lead time: 12 months from 1 July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895428" name="Picture 1" descr="Table setting out criterions for designated brands, the scenario when the criterion may be met, applicable quantity for minimum stockholding with reference to usual demand/usual PBS demand (unless the Minister determines another quantity), the timeline for compliance with stockholding disclosure and minimum levels, and the lead time for RP.&#10;Row A, Scenario 1: Criterion: Brand meets the 42-month clock – drug has been on F2 for at least 42 months, and at least 30 months have passed since the first PD reduction for a related brand. Scenario: Brand is already listed on F2. Applicable quantity for minimum stockholding: 4 months. Timeline for compliance: Immediate from when brand meets 42-month clock. Lead time for RP: 12 months.&#10;Row A, Scenario 2: Criterion: Brand meets the 42-month clock – drug has been on F2 for at least 42 months, and at least 30 months have passed since the first PD reduction for a related brand. Scenario: Brand is newly listed on F2. Applicable quantity for minimum stockholding: 4 months. Timeline for compliance: Immediate from when brand meets 42-month clock – but usual demand zero until PD data in reference period to calculate usual demand. Lead time for RP: 7 plus months.&#10;Row B, Scenario 1: Criterion: The AEMP of the designated brand of the pharmaceutical item is $4 or less. Scenario: Brand receives a statutory price reduction to AEMP of $4 or less. Applicable quantity for minimum stockholding: 4 months. Timeline for compliance: Disclosure immediate from when AEMP becomes $4 or less. Minister will determine another quantity effective from a date which allows 6 months’ notice. Lead time for RP: 6 months.&#10;Row B, Scenario 2: Criterion: The AEMP of the designated brand of the pharmaceutical item is $4 or less. Scenario: Brand receives a PD price reduction to AEMP of $4 or less. Applicable quantity for minimum stockholding: 4 months. Timeline for compliance: Immediate from when AEMP becomes $4 or less – but usual demand zero until PD data in reference period to calculate usual demand. Lead time: 3 months.&#10;Row B, Scenario 3: Criterion: The AEMP of the designated brand of the pharmaceutical item is $4 or less. Scenario: Brand is newly listed with AEMP of $4 or less. Applicable quantity for minimum stockholding: 4 months. Timeline for compliance: Immediate from when brand lists (but usual demand/usual PBS demand zero until PD data/PBS dispensing data in reference period to calculate ‘usual demand’/’usual PBS demand’). Lead time: 7 plus months.&#10;Row C. Criterion: A brand of the pharmaceutical item has had a price increase on or after 1 July 2022 and the brand is subject to a designated brand determination. Applicable quantity for minimum stockholding: 6 months. Timeline for compliance: Immediate from date designated brand determination (and minimum stockholding determination if applicable) is effective. Lead time: 6 months&#10;Row D. Criterion: The AEMP for the item has been increased under section 104B of the Act on 1 October 2022. (This will only apply where, before 1 October 2022 the Drug was on F2 and brand of pharmaceutical item had an AEMP of less than $3.50.) Applicable quantity for minimum stockholding: 6 months. Timeline for compliance: Immediate from 1 July 2023. Lead time: 12 months from 1 July 2022."/>
                    <pic:cNvPicPr/>
                  </pic:nvPicPr>
                  <pic:blipFill>
                    <a:blip r:embed="rId44">
                      <a:extLst>
                        <a:ext uri="{28A0092B-C50C-407E-A947-70E740481C1C}">
                          <a14:useLocalDpi xmlns:a14="http://schemas.microsoft.com/office/drawing/2010/main" val="0"/>
                        </a:ext>
                      </a:extLst>
                    </a:blip>
                    <a:stretch>
                      <a:fillRect/>
                    </a:stretch>
                  </pic:blipFill>
                  <pic:spPr>
                    <a:xfrm>
                      <a:off x="0" y="0"/>
                      <a:ext cx="6718300" cy="3481070"/>
                    </a:xfrm>
                    <a:prstGeom prst="rect">
                      <a:avLst/>
                    </a:prstGeom>
                  </pic:spPr>
                </pic:pic>
              </a:graphicData>
            </a:graphic>
            <wp14:sizeRelH relativeFrom="margin">
              <wp14:pctWidth>0</wp14:pctWidth>
            </wp14:sizeRelH>
            <wp14:sizeRelV relativeFrom="margin">
              <wp14:pctHeight>0</wp14:pctHeight>
            </wp14:sizeRelV>
          </wp:anchor>
        </w:drawing>
      </w:r>
      <w:r w:rsidR="00F41B8B" w:rsidRPr="007E0156">
        <w:t xml:space="preserve">Exhibit </w:t>
      </w:r>
      <w:fldSimple w:instr=" SEQ Exhibit \* ARABIC ">
        <w:r w:rsidR="008A2A42">
          <w:rPr>
            <w:noProof/>
          </w:rPr>
          <w:t>10</w:t>
        </w:r>
      </w:fldSimple>
      <w:bookmarkEnd w:id="70"/>
      <w:r w:rsidR="00F41B8B" w:rsidRPr="007E0156">
        <w:t>: When brands become subject to the minimum stockholding requirement and stockholding disclosure requirements, RPs will have lead times to prepare</w:t>
      </w:r>
    </w:p>
    <w:p w14:paraId="5656209F" w14:textId="45862260" w:rsidR="00D360FA" w:rsidRPr="007E0156" w:rsidRDefault="00AB65A2" w:rsidP="00D360FA">
      <w:pPr>
        <w:sectPr w:rsidR="00D360FA" w:rsidRPr="007E0156" w:rsidSect="00F82449">
          <w:pgSz w:w="12240" w:h="15840"/>
          <w:pgMar w:top="1440" w:right="1440" w:bottom="1440" w:left="1440" w:header="720" w:footer="720" w:gutter="0"/>
          <w:cols w:space="720"/>
          <w:docGrid w:linePitch="360"/>
        </w:sectPr>
      </w:pPr>
      <w:r w:rsidRPr="007E0156" w:rsidDel="005C410F">
        <w:t xml:space="preserve"> </w:t>
      </w:r>
    </w:p>
    <w:p w14:paraId="330A60C4" w14:textId="298E7C45" w:rsidR="00C504DC" w:rsidRPr="007E0156" w:rsidRDefault="00471BC1" w:rsidP="00FE7FAF">
      <w:pPr>
        <w:pStyle w:val="Heading1"/>
      </w:pPr>
      <w:bookmarkStart w:id="71" w:name="_Ministerial_determination_of"/>
      <w:bookmarkStart w:id="72" w:name="_Ref106971504"/>
      <w:bookmarkStart w:id="73" w:name="_Toc205482096"/>
      <w:bookmarkEnd w:id="71"/>
      <w:r w:rsidRPr="007E0156">
        <w:lastRenderedPageBreak/>
        <w:t xml:space="preserve">Ministerial determination </w:t>
      </w:r>
      <w:r w:rsidR="0042348A" w:rsidRPr="007E0156">
        <w:t>of ‘another quantity’</w:t>
      </w:r>
      <w:bookmarkEnd w:id="72"/>
      <w:bookmarkEnd w:id="73"/>
    </w:p>
    <w:p w14:paraId="4150115C" w14:textId="47396C83" w:rsidR="008650E4" w:rsidRPr="007E0156" w:rsidRDefault="0042348A" w:rsidP="00FE7FAF">
      <w:pPr>
        <w:jc w:val="both"/>
      </w:pPr>
      <w:r w:rsidRPr="007E0156">
        <w:t xml:space="preserve">Section </w:t>
      </w:r>
      <w:r w:rsidR="00AD3ABA" w:rsidRPr="007E0156">
        <w:t>99AEKC(2)</w:t>
      </w:r>
      <w:r w:rsidRPr="007E0156">
        <w:t xml:space="preserve"> of</w:t>
      </w:r>
      <w:r w:rsidR="00AD3ABA" w:rsidRPr="007E0156">
        <w:t xml:space="preserve"> t</w:t>
      </w:r>
      <w:r w:rsidR="0004625B" w:rsidRPr="007E0156">
        <w:t xml:space="preserve">he Act provides </w:t>
      </w:r>
      <w:r w:rsidR="00303EB9" w:rsidRPr="007E0156">
        <w:t xml:space="preserve">that </w:t>
      </w:r>
      <w:r w:rsidRPr="007E0156">
        <w:t>the</w:t>
      </w:r>
      <w:r w:rsidR="0004625B" w:rsidRPr="007E0156">
        <w:t xml:space="preserve"> Minister</w:t>
      </w:r>
      <w:r w:rsidRPr="007E0156">
        <w:t xml:space="preserve"> </w:t>
      </w:r>
      <w:r w:rsidR="00303EB9" w:rsidRPr="007E0156">
        <w:t>may</w:t>
      </w:r>
      <w:r w:rsidR="0004625B" w:rsidRPr="007E0156">
        <w:t xml:space="preserve"> </w:t>
      </w:r>
      <w:r w:rsidR="00B5420D" w:rsidRPr="007E0156">
        <w:t xml:space="preserve">make a minimum stockholding determination specifying </w:t>
      </w:r>
      <w:r w:rsidR="0004625B" w:rsidRPr="007E0156">
        <w:t xml:space="preserve">‘another quantity’ </w:t>
      </w:r>
      <w:r w:rsidR="00303EB9" w:rsidRPr="007E0156">
        <w:t xml:space="preserve">that RPs must keep in stock to </w:t>
      </w:r>
      <w:r w:rsidR="00B5420D" w:rsidRPr="007E0156">
        <w:t>satisfy</w:t>
      </w:r>
      <w:r w:rsidR="00303EB9" w:rsidRPr="007E0156">
        <w:t xml:space="preserve"> the </w:t>
      </w:r>
      <w:r w:rsidR="0004625B" w:rsidRPr="007E0156">
        <w:t>minimum stockholding requirement</w:t>
      </w:r>
      <w:r w:rsidRPr="007E0156">
        <w:t>s</w:t>
      </w:r>
      <w:r w:rsidR="0004625B" w:rsidRPr="007E0156">
        <w:t xml:space="preserve">. </w:t>
      </w:r>
      <w:r w:rsidR="009423EF" w:rsidRPr="007E0156">
        <w:t>A minimum stockholding determination is made at the discretion of the Minister, and</w:t>
      </w:r>
      <w:r w:rsidR="008650E4" w:rsidRPr="007E0156">
        <w:t xml:space="preserve"> may be made of the Minister’s own volition, or in response to an application made by a</w:t>
      </w:r>
      <w:r w:rsidR="00A56932">
        <w:t>n</w:t>
      </w:r>
      <w:r w:rsidR="008650E4" w:rsidRPr="007E0156">
        <w:t xml:space="preserve"> </w:t>
      </w:r>
      <w:r w:rsidR="00303EB9" w:rsidRPr="007E0156">
        <w:t>RP</w:t>
      </w:r>
      <w:r w:rsidR="008650E4" w:rsidRPr="007E0156">
        <w:t xml:space="preserve">. </w:t>
      </w:r>
      <w:r w:rsidR="00303EB9" w:rsidRPr="007E0156">
        <w:t xml:space="preserve">The quantity in a minimum stockholding determination may be a specified number of months stock by reference to the </w:t>
      </w:r>
      <w:r w:rsidR="00B65192">
        <w:t>‘</w:t>
      </w:r>
      <w:r w:rsidR="00303EB9" w:rsidRPr="007E0156">
        <w:t xml:space="preserve">usual </w:t>
      </w:r>
      <w:r w:rsidR="00303EB9" w:rsidRPr="09A3D074">
        <w:t>demand</w:t>
      </w:r>
      <w:r w:rsidR="00B65192" w:rsidRPr="09A3D074">
        <w:t>’</w:t>
      </w:r>
      <w:r w:rsidR="00303EB9" w:rsidRPr="007E0156">
        <w:t xml:space="preserve"> for the brand, or other parameters</w:t>
      </w:r>
      <w:r w:rsidR="00813EDF">
        <w:t xml:space="preserve"> such as ‘usual PBS demand’ (for brands without price disclosure data to calculate usual demand)</w:t>
      </w:r>
      <w:r w:rsidR="00387F44">
        <w:t xml:space="preserve"> or a fixed number of packs</w:t>
      </w:r>
      <w:r w:rsidR="00303EB9" w:rsidRPr="007E0156">
        <w:t>.</w:t>
      </w:r>
    </w:p>
    <w:p w14:paraId="4B15A3FD" w14:textId="56503DFA" w:rsidR="00D56589" w:rsidRPr="007E0156" w:rsidRDefault="006C7C61" w:rsidP="00D56589">
      <w:pPr>
        <w:pStyle w:val="CommentText"/>
        <w:jc w:val="both"/>
      </w:pPr>
      <w:r w:rsidRPr="007E0156">
        <w:t>It is a matter for the Minister to determine whether it</w:t>
      </w:r>
      <w:r w:rsidR="00303EB9" w:rsidRPr="007E0156">
        <w:t xml:space="preserve"> is</w:t>
      </w:r>
      <w:r w:rsidRPr="007E0156">
        <w:t xml:space="preserve"> appropriate in the circumstances to make a minimum stockholding determination and </w:t>
      </w:r>
      <w:r w:rsidR="00303EB9" w:rsidRPr="007E0156">
        <w:t xml:space="preserve">what quantity </w:t>
      </w:r>
      <w:r w:rsidR="009F3B33">
        <w:t xml:space="preserve">is </w:t>
      </w:r>
      <w:r w:rsidR="00303EB9" w:rsidRPr="007E0156">
        <w:t>determined</w:t>
      </w:r>
      <w:r w:rsidR="0004625B" w:rsidRPr="007E0156">
        <w:t xml:space="preserve">. </w:t>
      </w:r>
      <w:r w:rsidR="00D56589" w:rsidRPr="007E0156">
        <w:t xml:space="preserve">As noted at </w:t>
      </w:r>
      <w:hyperlink w:anchor="_Determination_of_‘another">
        <w:r w:rsidR="00D56589" w:rsidRPr="09A3D074">
          <w:rPr>
            <w:rStyle w:val="Hyperlink"/>
          </w:rPr>
          <w:t>Section 4.3</w:t>
        </w:r>
      </w:hyperlink>
      <w:r w:rsidR="00D56589" w:rsidRPr="007E0156">
        <w:t xml:space="preserve"> above, prior to the Minister making a minimum stockholding determination of their own volition, the </w:t>
      </w:r>
      <w:r w:rsidR="007A785F">
        <w:t>d</w:t>
      </w:r>
      <w:r w:rsidR="00D56589" w:rsidRPr="007E0156">
        <w:t>epartment will provide RPs with details of the determination to be made and the basis for any calculations, and provide RPs with the opportunity to seek clarification.</w:t>
      </w:r>
    </w:p>
    <w:p w14:paraId="5E62DA45" w14:textId="4611960F" w:rsidR="002100CF" w:rsidRPr="007E0156" w:rsidRDefault="0004625B" w:rsidP="00FE7FAF">
      <w:pPr>
        <w:jc w:val="both"/>
      </w:pPr>
      <w:r w:rsidRPr="007E0156">
        <w:t xml:space="preserve">This </w:t>
      </w:r>
      <w:r w:rsidR="00BF4D78" w:rsidRPr="007E0156">
        <w:t>Section</w:t>
      </w:r>
      <w:r w:rsidRPr="007E0156">
        <w:t xml:space="preserve"> provides </w:t>
      </w:r>
      <w:r w:rsidR="002100CF" w:rsidRPr="007E0156">
        <w:t>detail</w:t>
      </w:r>
      <w:r w:rsidRPr="007E0156">
        <w:t xml:space="preserve"> on</w:t>
      </w:r>
      <w:r w:rsidR="002100CF" w:rsidRPr="007E0156">
        <w:t xml:space="preserve"> the process by which </w:t>
      </w:r>
      <w:r w:rsidR="00303EB9" w:rsidRPr="007E0156">
        <w:t>RPs</w:t>
      </w:r>
      <w:r w:rsidR="002100CF" w:rsidRPr="007E0156">
        <w:t xml:space="preserve"> may submit a request for a determination to be made, and guidance on </w:t>
      </w:r>
      <w:r w:rsidR="0042348A" w:rsidRPr="007E0156">
        <w:t xml:space="preserve">the matters the Minister may </w:t>
      </w:r>
      <w:r w:rsidR="002100CF" w:rsidRPr="007E0156">
        <w:t>consider</w:t>
      </w:r>
      <w:r w:rsidR="0042348A" w:rsidRPr="007E0156">
        <w:t xml:space="preserve"> relevant when </w:t>
      </w:r>
      <w:r w:rsidR="00BB4432" w:rsidRPr="007E0156">
        <w:t xml:space="preserve">considering </w:t>
      </w:r>
      <w:r w:rsidR="006C7C61" w:rsidRPr="007E0156">
        <w:t>a request made by a</w:t>
      </w:r>
      <w:r w:rsidR="00A56932">
        <w:t>n</w:t>
      </w:r>
      <w:r w:rsidR="006C7C61" w:rsidRPr="007E0156">
        <w:t xml:space="preserve"> </w:t>
      </w:r>
      <w:r w:rsidR="009F3B33">
        <w:t>RP</w:t>
      </w:r>
      <w:r w:rsidR="006C7C61" w:rsidRPr="007E0156">
        <w:t>.</w:t>
      </w:r>
      <w:r w:rsidR="002100CF" w:rsidRPr="007E0156">
        <w:t xml:space="preserve"> </w:t>
      </w:r>
      <w:r w:rsidR="00412438" w:rsidRPr="007E0156">
        <w:t>This Section also provides details of the process for a</w:t>
      </w:r>
      <w:r w:rsidR="00A56932">
        <w:t>n</w:t>
      </w:r>
      <w:r w:rsidR="00412438" w:rsidRPr="007E0156">
        <w:t xml:space="preserve"> RP to be notified of the outcome of their Ministerial determination application.</w:t>
      </w:r>
    </w:p>
    <w:p w14:paraId="302F1E4A" w14:textId="6DDF4B56" w:rsidR="00471BC1" w:rsidRPr="007E0156" w:rsidRDefault="00303EB9" w:rsidP="00FE7FAF">
      <w:pPr>
        <w:pStyle w:val="Heading2"/>
        <w:jc w:val="both"/>
      </w:pPr>
      <w:bookmarkStart w:id="74" w:name="_RPs_can_request"/>
      <w:bookmarkStart w:id="75" w:name="_Toc205482097"/>
      <w:bookmarkEnd w:id="74"/>
      <w:r w:rsidRPr="007E0156">
        <w:t>RPs</w:t>
      </w:r>
      <w:r w:rsidR="003567EB" w:rsidRPr="007E0156">
        <w:t xml:space="preserve"> can request the Minister make a determination</w:t>
      </w:r>
      <w:r w:rsidR="003567EB" w:rsidRPr="007E0156" w:rsidDel="003567EB">
        <w:t xml:space="preserve"> </w:t>
      </w:r>
      <w:r w:rsidR="0042348A" w:rsidRPr="007E0156">
        <w:t xml:space="preserve">of ‘another </w:t>
      </w:r>
      <w:r w:rsidR="000C4A25" w:rsidRPr="007E0156">
        <w:t>quantity</w:t>
      </w:r>
      <w:r w:rsidR="0042348A" w:rsidRPr="007E0156">
        <w:t>’</w:t>
      </w:r>
      <w:bookmarkEnd w:id="75"/>
    </w:p>
    <w:p w14:paraId="3C2480E5" w14:textId="32534FB8" w:rsidR="00DB43A2" w:rsidRPr="007E0156" w:rsidRDefault="00303EB9" w:rsidP="004F7FD0">
      <w:pPr>
        <w:jc w:val="both"/>
      </w:pPr>
      <w:r w:rsidRPr="007A785F">
        <w:t>RPs</w:t>
      </w:r>
      <w:r w:rsidR="00D9238F" w:rsidRPr="007A785F">
        <w:t xml:space="preserve"> may submit a request for a </w:t>
      </w:r>
      <w:r w:rsidRPr="007A785F">
        <w:t xml:space="preserve">minimum stockholding </w:t>
      </w:r>
      <w:r w:rsidR="00D9238F" w:rsidRPr="007A785F">
        <w:t xml:space="preserve">determination under </w:t>
      </w:r>
      <w:r w:rsidR="00E81D97" w:rsidRPr="007A785F">
        <w:t>the relevant</w:t>
      </w:r>
      <w:r w:rsidR="00D9238F" w:rsidRPr="007A785F">
        <w:t xml:space="preserve"> </w:t>
      </w:r>
      <w:r w:rsidR="00CF693A" w:rsidRPr="007A785F">
        <w:t>request</w:t>
      </w:r>
      <w:r w:rsidR="00296277" w:rsidRPr="007A785F">
        <w:t>ed</w:t>
      </w:r>
      <w:r w:rsidR="00CF693A" w:rsidRPr="007A785F">
        <w:t xml:space="preserve"> time</w:t>
      </w:r>
      <w:r w:rsidR="009B46CC" w:rsidRPr="007A785F">
        <w:t>lines</w:t>
      </w:r>
      <w:r w:rsidR="00CF693A" w:rsidRPr="007A785F">
        <w:t xml:space="preserve"> </w:t>
      </w:r>
      <w:r w:rsidR="00E81D97" w:rsidRPr="007A785F">
        <w:t>below</w:t>
      </w:r>
      <w:r w:rsidR="00CF693A" w:rsidRPr="007A785F">
        <w:t xml:space="preserve"> (</w:t>
      </w:r>
      <w:r w:rsidR="00E16EAF" w:rsidRPr="007A785F">
        <w:t>s</w:t>
      </w:r>
      <w:r w:rsidR="00453D7E" w:rsidRPr="007A785F">
        <w:t>ee</w:t>
      </w:r>
      <w:r w:rsidR="00E16EAF" w:rsidRPr="007A785F">
        <w:t xml:space="preserve"> also</w:t>
      </w:r>
      <w:r w:rsidR="004C461D" w:rsidRPr="007A785F">
        <w:t>:</w:t>
      </w:r>
      <w:r w:rsidR="00F74E63" w:rsidRPr="007A785F">
        <w:t xml:space="preserve"> </w:t>
      </w:r>
      <w:r w:rsidR="00311156" w:rsidRPr="00C1534C">
        <w:rPr>
          <w:color w:val="005EB8"/>
          <w:u w:val="single"/>
        </w:rPr>
        <w:fldChar w:fldCharType="begin"/>
      </w:r>
      <w:r w:rsidR="00311156" w:rsidRPr="00C1534C">
        <w:rPr>
          <w:color w:val="005EB8"/>
          <w:u w:val="single"/>
        </w:rPr>
        <w:instrText xml:space="preserve"> REF _Ref200537925 \h </w:instrText>
      </w:r>
      <w:r w:rsidR="00F55F09" w:rsidRPr="00C1534C">
        <w:rPr>
          <w:color w:val="005EB8"/>
          <w:u w:val="single"/>
        </w:rPr>
        <w:instrText xml:space="preserve"> \* MERGEFORMAT </w:instrText>
      </w:r>
      <w:r w:rsidR="00311156" w:rsidRPr="00C1534C">
        <w:rPr>
          <w:color w:val="005EB8"/>
          <w:u w:val="single"/>
        </w:rPr>
      </w:r>
      <w:r w:rsidR="00311156" w:rsidRPr="00C1534C">
        <w:rPr>
          <w:color w:val="005EB8"/>
          <w:u w:val="single"/>
        </w:rPr>
        <w:fldChar w:fldCharType="separate"/>
      </w:r>
      <w:r w:rsidR="008A2A42" w:rsidRPr="008A2A42">
        <w:rPr>
          <w:color w:val="005EB8"/>
          <w:u w:val="single"/>
        </w:rPr>
        <w:t>Exhibit 11</w:t>
      </w:r>
      <w:r w:rsidR="00311156" w:rsidRPr="00C1534C">
        <w:rPr>
          <w:color w:val="005EB8"/>
          <w:u w:val="single"/>
        </w:rPr>
        <w:fldChar w:fldCharType="end"/>
      </w:r>
      <w:r w:rsidR="00C17EAB" w:rsidRPr="007A785F">
        <w:t xml:space="preserve"> </w:t>
      </w:r>
      <w:r w:rsidR="0052124A" w:rsidRPr="007A785F">
        <w:t>and</w:t>
      </w:r>
      <w:r w:rsidR="00F74E63" w:rsidRPr="007A785F">
        <w:t xml:space="preserve"> </w:t>
      </w:r>
      <w:r w:rsidR="00940E52" w:rsidRPr="007A785F">
        <w:rPr>
          <w:rStyle w:val="Emphasis"/>
          <w:color w:val="005EB8"/>
        </w:rPr>
        <w:fldChar w:fldCharType="begin"/>
      </w:r>
      <w:r w:rsidR="00940E52" w:rsidRPr="007A785F">
        <w:rPr>
          <w:color w:val="005EB8"/>
          <w:u w:val="single"/>
        </w:rPr>
        <w:instrText xml:space="preserve"> REF _Ref200538234 \h </w:instrText>
      </w:r>
      <w:r w:rsidR="00940E52" w:rsidRPr="007A785F">
        <w:rPr>
          <w:rStyle w:val="Emphasis"/>
          <w:color w:val="005EB8"/>
        </w:rPr>
        <w:instrText xml:space="preserve"> \* MERGEFORMAT </w:instrText>
      </w:r>
      <w:r w:rsidR="00940E52" w:rsidRPr="007A785F">
        <w:rPr>
          <w:rStyle w:val="Emphasis"/>
          <w:color w:val="005EB8"/>
        </w:rPr>
      </w:r>
      <w:r w:rsidR="00940E52" w:rsidRPr="007A785F">
        <w:rPr>
          <w:rStyle w:val="Emphasis"/>
          <w:color w:val="005EB8"/>
        </w:rPr>
        <w:fldChar w:fldCharType="separate"/>
      </w:r>
      <w:r w:rsidR="008A2A42" w:rsidRPr="008A2A42">
        <w:rPr>
          <w:color w:val="005EB8"/>
          <w:u w:val="single"/>
        </w:rPr>
        <w:t xml:space="preserve">Exhibit </w:t>
      </w:r>
      <w:r w:rsidR="008A2A42" w:rsidRPr="008A2A42">
        <w:rPr>
          <w:noProof/>
          <w:color w:val="005EB8"/>
          <w:u w:val="single"/>
        </w:rPr>
        <w:t>12</w:t>
      </w:r>
      <w:r w:rsidR="00940E52" w:rsidRPr="007A785F">
        <w:rPr>
          <w:rStyle w:val="Emphasis"/>
          <w:color w:val="005EB8"/>
        </w:rPr>
        <w:fldChar w:fldCharType="end"/>
      </w:r>
      <w:r w:rsidR="00DB43A2" w:rsidRPr="007A785F">
        <w:t>)</w:t>
      </w:r>
      <w:r w:rsidR="009F3B33" w:rsidRPr="007A785F">
        <w:t>:</w:t>
      </w:r>
    </w:p>
    <w:p w14:paraId="734263DA" w14:textId="6669D241" w:rsidR="002B5DAB" w:rsidRDefault="009B2F33" w:rsidP="005A2644">
      <w:pPr>
        <w:pStyle w:val="ListParagraph"/>
        <w:numPr>
          <w:ilvl w:val="0"/>
          <w:numId w:val="12"/>
        </w:numPr>
        <w:jc w:val="both"/>
      </w:pPr>
      <w:r>
        <w:t xml:space="preserve">Routine timeframes for </w:t>
      </w:r>
      <w:r w:rsidR="00E263FA">
        <w:t xml:space="preserve">applications to be considered and outcomes provided are </w:t>
      </w:r>
      <w:r w:rsidR="00021948">
        <w:t xml:space="preserve">outlined in </w:t>
      </w:r>
      <w:r w:rsidR="002B21B4" w:rsidRPr="002B21B4">
        <w:rPr>
          <w:color w:val="005EB8"/>
          <w:u w:val="single"/>
        </w:rPr>
        <w:fldChar w:fldCharType="begin"/>
      </w:r>
      <w:r w:rsidR="002B21B4" w:rsidRPr="002B21B4">
        <w:rPr>
          <w:color w:val="005EB8"/>
          <w:u w:val="single"/>
        </w:rPr>
        <w:instrText xml:space="preserve"> REF _Ref200537925 \h </w:instrText>
      </w:r>
      <w:r w:rsidR="002B21B4" w:rsidRPr="002B21B4">
        <w:rPr>
          <w:color w:val="005EB8"/>
          <w:u w:val="single"/>
        </w:rPr>
      </w:r>
      <w:r w:rsidR="002B21B4" w:rsidRPr="002B21B4">
        <w:rPr>
          <w:color w:val="005EB8"/>
          <w:u w:val="single"/>
        </w:rPr>
        <w:fldChar w:fldCharType="separate"/>
      </w:r>
      <w:r w:rsidR="008A2A42">
        <w:t xml:space="preserve">Exhibit </w:t>
      </w:r>
      <w:r w:rsidR="008A2A42">
        <w:rPr>
          <w:noProof/>
        </w:rPr>
        <w:t>11</w:t>
      </w:r>
      <w:r w:rsidR="002B21B4" w:rsidRPr="002B21B4">
        <w:rPr>
          <w:color w:val="005EB8"/>
          <w:u w:val="single"/>
        </w:rPr>
        <w:fldChar w:fldCharType="end"/>
      </w:r>
      <w:r w:rsidR="002B5DAB">
        <w:t>.</w:t>
      </w:r>
    </w:p>
    <w:p w14:paraId="54FD8FD1" w14:textId="6546255F" w:rsidR="00AD4D1F" w:rsidRDefault="00AD4D1F" w:rsidP="005A2644">
      <w:pPr>
        <w:pStyle w:val="ListParagraph"/>
        <w:numPr>
          <w:ilvl w:val="0"/>
          <w:numId w:val="12"/>
        </w:numPr>
        <w:jc w:val="both"/>
      </w:pPr>
      <w:r>
        <w:t xml:space="preserve">RPs seeking urgent assessment of an application following </w:t>
      </w:r>
      <w:r w:rsidRPr="09A3D074">
        <w:t>a price increase or price reduction which satisfies the criteria specified in s99ADHC(1)(b) and (c) of the Act</w:t>
      </w:r>
      <w:r w:rsidRPr="09A3D074">
        <w:rPr>
          <w:rStyle w:val="FootnoteReference"/>
        </w:rPr>
        <w:footnoteReference w:id="10"/>
      </w:r>
      <w:r w:rsidRPr="09A3D074">
        <w:t xml:space="preserve"> (see </w:t>
      </w:r>
      <w:hyperlink w:anchor="_Criteria_for_designated" w:history="1">
        <w:r w:rsidRPr="09A3D074">
          <w:rPr>
            <w:rStyle w:val="Hyperlink"/>
          </w:rPr>
          <w:t>Section 2.1</w:t>
        </w:r>
      </w:hyperlink>
      <w:r w:rsidRPr="09A3D074">
        <w:t>) or brands that are a new generic brand listing</w:t>
      </w:r>
      <w:r w:rsidRPr="09A3D074">
        <w:rPr>
          <w:rStyle w:val="FootnoteReference"/>
        </w:rPr>
        <w:footnoteReference w:id="11"/>
      </w:r>
      <w:r w:rsidRPr="09A3D074">
        <w:t xml:space="preserve">, </w:t>
      </w:r>
      <w:r>
        <w:t xml:space="preserve">may submit an application per the timeframes outlined in </w:t>
      </w:r>
      <w:r w:rsidR="002B21B4" w:rsidRPr="002B21B4">
        <w:rPr>
          <w:color w:val="005EB8"/>
          <w:u w:val="single"/>
        </w:rPr>
        <w:fldChar w:fldCharType="begin"/>
      </w:r>
      <w:r w:rsidR="002B21B4" w:rsidRPr="002B21B4">
        <w:rPr>
          <w:color w:val="005EB8"/>
          <w:u w:val="single"/>
        </w:rPr>
        <w:instrText xml:space="preserve"> REF _Ref200538234 \h </w:instrText>
      </w:r>
      <w:r w:rsidR="002B21B4" w:rsidRPr="002B21B4">
        <w:rPr>
          <w:color w:val="005EB8"/>
          <w:u w:val="single"/>
        </w:rPr>
      </w:r>
      <w:r w:rsidR="002B21B4" w:rsidRPr="002B21B4">
        <w:rPr>
          <w:color w:val="005EB8"/>
          <w:u w:val="single"/>
        </w:rPr>
        <w:fldChar w:fldCharType="separate"/>
      </w:r>
      <w:r w:rsidR="008A2A42">
        <w:t xml:space="preserve">Exhibit </w:t>
      </w:r>
      <w:r w:rsidR="008A2A42">
        <w:rPr>
          <w:noProof/>
        </w:rPr>
        <w:t>12</w:t>
      </w:r>
      <w:r w:rsidR="002B21B4" w:rsidRPr="002B21B4">
        <w:rPr>
          <w:color w:val="005EB8"/>
          <w:u w:val="single"/>
        </w:rPr>
        <w:fldChar w:fldCharType="end"/>
      </w:r>
      <w:r>
        <w:t>.</w:t>
      </w:r>
      <w:r w:rsidR="00A23456">
        <w:t xml:space="preserve"> Applications in these circumstances which are not submitted </w:t>
      </w:r>
      <w:r w:rsidR="00527941">
        <w:t xml:space="preserve">by the </w:t>
      </w:r>
      <w:r w:rsidR="00BD3502">
        <w:t xml:space="preserve">relevant </w:t>
      </w:r>
      <w:r w:rsidR="00527941">
        <w:t xml:space="preserve">closing date, will be </w:t>
      </w:r>
      <w:r w:rsidR="008928C2">
        <w:t xml:space="preserve">considered in line with the timeframes in </w:t>
      </w:r>
      <w:r w:rsidR="002B21B4" w:rsidRPr="002B21B4">
        <w:rPr>
          <w:color w:val="005EB8"/>
          <w:u w:val="single"/>
        </w:rPr>
        <w:fldChar w:fldCharType="begin"/>
      </w:r>
      <w:r w:rsidR="002B21B4" w:rsidRPr="002B21B4">
        <w:rPr>
          <w:color w:val="005EB8"/>
          <w:u w:val="single"/>
        </w:rPr>
        <w:instrText xml:space="preserve"> REF _Ref200537925 \h </w:instrText>
      </w:r>
      <w:r w:rsidR="002B21B4" w:rsidRPr="002B21B4">
        <w:rPr>
          <w:color w:val="005EB8"/>
          <w:u w:val="single"/>
        </w:rPr>
      </w:r>
      <w:r w:rsidR="002B21B4" w:rsidRPr="002B21B4">
        <w:rPr>
          <w:color w:val="005EB8"/>
          <w:u w:val="single"/>
        </w:rPr>
        <w:fldChar w:fldCharType="separate"/>
      </w:r>
      <w:r w:rsidR="008A2A42">
        <w:t xml:space="preserve">Exhibit </w:t>
      </w:r>
      <w:r w:rsidR="008A2A42">
        <w:rPr>
          <w:noProof/>
        </w:rPr>
        <w:t>11</w:t>
      </w:r>
      <w:r w:rsidR="002B21B4" w:rsidRPr="002B21B4">
        <w:rPr>
          <w:color w:val="005EB8"/>
          <w:u w:val="single"/>
        </w:rPr>
        <w:fldChar w:fldCharType="end"/>
      </w:r>
      <w:r w:rsidR="008928C2">
        <w:t>.</w:t>
      </w:r>
    </w:p>
    <w:p w14:paraId="07C3FADE" w14:textId="78DC99D5" w:rsidR="00B756B1" w:rsidRDefault="00B756B1" w:rsidP="00B756B1">
      <w:pPr>
        <w:jc w:val="both"/>
      </w:pPr>
      <w:r w:rsidRPr="00B756B1">
        <w:t>These timeframes may be extended over the December/January period to account for Departmental closedown and reduced staffing levels. RPs will be notified where delayed outcomes are expected.</w:t>
      </w:r>
    </w:p>
    <w:p w14:paraId="61DFA2DB" w14:textId="05C786FD" w:rsidR="00D42774" w:rsidRDefault="00D42774" w:rsidP="00D42774">
      <w:pPr>
        <w:pStyle w:val="Caption"/>
        <w:keepNext/>
        <w:jc w:val="both"/>
      </w:pPr>
      <w:bookmarkStart w:id="76" w:name="_Ref200537925"/>
      <w:bookmarkStart w:id="77" w:name="_Ref200537904"/>
      <w:r>
        <w:lastRenderedPageBreak/>
        <w:t xml:space="preserve">Exhibit </w:t>
      </w:r>
      <w:fldSimple w:instr=" SEQ Exhibit \* ARABIC ">
        <w:r w:rsidR="008A2A42">
          <w:rPr>
            <w:noProof/>
          </w:rPr>
          <w:t>11</w:t>
        </w:r>
      </w:fldSimple>
      <w:bookmarkEnd w:id="76"/>
      <w:r>
        <w:t xml:space="preserve">: </w:t>
      </w:r>
      <w:bookmarkStart w:id="78" w:name="_Ref200537916"/>
      <w:r>
        <w:t>Routinely submitted applications</w:t>
      </w:r>
      <w:bookmarkEnd w:id="77"/>
      <w:bookmarkEnd w:id="78"/>
    </w:p>
    <w:p w14:paraId="25C4A7F3" w14:textId="77777777" w:rsidR="00337138" w:rsidRDefault="00856A70" w:rsidP="00337138">
      <w:pPr>
        <w:jc w:val="both"/>
      </w:pPr>
      <w:r>
        <w:rPr>
          <w:noProof/>
        </w:rPr>
        <w:drawing>
          <wp:inline distT="0" distB="0" distL="0" distR="0" wp14:anchorId="3FD4E0CF" wp14:editId="02516B52">
            <wp:extent cx="5943600" cy="610870"/>
            <wp:effectExtent l="0" t="0" r="0" b="0"/>
            <wp:docPr id="2015644706" name="Picture 1" descr="Table setting out timelines for routinely submitted applications.&#10;The column ‘Ministerial determination applications close’ states ‘No closing date – applications may be submitted at any time’.&#10;The table states that indicative Ministerial determination outcomes are provided 30 business days after an application is submitted. The closing date for RPs to submit additional information is a further 10 business days later. RPs are to be notified of final Ministerial determination outcomes 20 business days after the closing date for RPs to submit additional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644706" name="Picture 1" descr="Table setting out timelines for routinely submitted applications.&#10;The column ‘Ministerial determination applications close’ states ‘No closing date – applications may be submitted at any time’.&#10;The table states that indicative Ministerial determination outcomes are provided 30 business days after an application is submitted. The closing date for RPs to submit additional information is a further 10 business days later. RPs are to be notified of final Ministerial determination outcomes 20 business days after the closing date for RPs to submit additional information."/>
                    <pic:cNvPicPr/>
                  </pic:nvPicPr>
                  <pic:blipFill>
                    <a:blip r:embed="rId45"/>
                    <a:stretch>
                      <a:fillRect/>
                    </a:stretch>
                  </pic:blipFill>
                  <pic:spPr>
                    <a:xfrm>
                      <a:off x="0" y="0"/>
                      <a:ext cx="5943600" cy="610870"/>
                    </a:xfrm>
                    <a:prstGeom prst="rect">
                      <a:avLst/>
                    </a:prstGeom>
                  </pic:spPr>
                </pic:pic>
              </a:graphicData>
            </a:graphic>
          </wp:inline>
        </w:drawing>
      </w:r>
    </w:p>
    <w:p w14:paraId="6851AC7A" w14:textId="2CD8F257" w:rsidR="00F55F09" w:rsidRDefault="00F55F09" w:rsidP="00F55F09">
      <w:pPr>
        <w:pStyle w:val="Caption"/>
        <w:keepNext/>
        <w:jc w:val="both"/>
      </w:pPr>
      <w:bookmarkStart w:id="79" w:name="_Ref200538234"/>
      <w:r>
        <w:t xml:space="preserve">Exhibit </w:t>
      </w:r>
      <w:fldSimple w:instr=" SEQ Exhibit \* ARABIC ">
        <w:r w:rsidR="008A2A42">
          <w:rPr>
            <w:noProof/>
          </w:rPr>
          <w:t>12</w:t>
        </w:r>
      </w:fldSimple>
      <w:bookmarkEnd w:id="79"/>
      <w:r>
        <w:t>: Urgent applications</w:t>
      </w:r>
      <w:r w:rsidRPr="00ED6BCD">
        <w:rPr>
          <w:rStyle w:val="FootnoteReference"/>
        </w:rPr>
        <w:footnoteReference w:id="12"/>
      </w:r>
    </w:p>
    <w:p w14:paraId="36F89AAA" w14:textId="77777777" w:rsidR="007F661A" w:rsidRDefault="007F661A" w:rsidP="00337138">
      <w:pPr>
        <w:jc w:val="both"/>
      </w:pPr>
      <w:r w:rsidRPr="007E0156">
        <w:rPr>
          <w:noProof/>
        </w:rPr>
        <w:drawing>
          <wp:inline distT="0" distB="0" distL="0" distR="0" wp14:anchorId="6320C560" wp14:editId="0AB9200F">
            <wp:extent cx="5943600" cy="1452963"/>
            <wp:effectExtent l="0" t="0" r="0" b="0"/>
            <wp:docPr id="583011871" name="Picture 583011871" descr="Table setting out timelines, titled, “Minimum stockholding determination applications for brands subject to price increases/ reductions and new brands listed after 1 July 2023.”&#10;Date the first price increase takes effect, date First new brand reduction takes effect, date Indicative Anniversary price reduction is published, or date the new generic brand lists in the schedule:  1 August Annually.&#10;Ministerial determination applications close: 10 business days after any of the following dates: &#10;– Date the first price increase takes effect&#10;– Date First new brand reduction takes effect&#10;– Date Indicative Anniversary price reduction is published – on 1 August annually&#10;– date the new generic brand lists in the schedule.&#10;Indicative Ministerial determination outcome: 20 business days after Ministerial determination applications close.&#10;Additional information due: 5 business days after Indicative Ministerial determination outcome is provided.&#10;Final Ministerial determination outcome: 10 business days after additional information is d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011871" name="Picture 583011871" descr="Table setting out timelines, titled, “Minimum stockholding determination applications for brands subject to price increases/ reductions and new brands listed after 1 July 2023.”&#10;Date the first price increase takes effect, date First new brand reduction takes effect, date Indicative Anniversary price reduction is published, or date the new generic brand lists in the schedule:  1 August Annually.&#10;Ministerial determination applications close: 10 business days after any of the following dates: &#10;– Date the first price increase takes effect&#10;– Date First new brand reduction takes effect&#10;– Date Indicative Anniversary price reduction is published – on 1 August annually&#10;– date the new generic brand lists in the schedule.&#10;Indicative Ministerial determination outcome: 20 business days after Ministerial determination applications close.&#10;Additional information due: 5 business days after Indicative Ministerial determination outcome is provided.&#10;Final Ministerial determination outcome: 10 business days after additional information is due."/>
                    <pic:cNvPicPr/>
                  </pic:nvPicPr>
                  <pic:blipFill>
                    <a:blip r:embed="rId46"/>
                    <a:stretch>
                      <a:fillRect/>
                    </a:stretch>
                  </pic:blipFill>
                  <pic:spPr>
                    <a:xfrm>
                      <a:off x="0" y="0"/>
                      <a:ext cx="5943600" cy="1452963"/>
                    </a:xfrm>
                    <a:prstGeom prst="rect">
                      <a:avLst/>
                    </a:prstGeom>
                  </pic:spPr>
                </pic:pic>
              </a:graphicData>
            </a:graphic>
          </wp:inline>
        </w:drawing>
      </w:r>
    </w:p>
    <w:p w14:paraId="6E71ECA9" w14:textId="32BD27E0" w:rsidR="000E10BE" w:rsidRPr="007E0156" w:rsidRDefault="00303EB9" w:rsidP="00907777">
      <w:pPr>
        <w:jc w:val="both"/>
      </w:pPr>
      <w:bookmarkStart w:id="80" w:name="_Ref106974549"/>
      <w:r w:rsidRPr="007E0156">
        <w:t xml:space="preserve">Minimum stockholding </w:t>
      </w:r>
      <w:r w:rsidR="007845EC" w:rsidRPr="007E0156">
        <w:t xml:space="preserve">determination requests must be submitted via email to </w:t>
      </w:r>
      <w:hyperlink r:id="rId47">
        <w:r w:rsidR="00983DC0" w:rsidRPr="09A3D074">
          <w:rPr>
            <w:rStyle w:val="Hyperlink"/>
          </w:rPr>
          <w:t>pbsstockholding@health.gov.au</w:t>
        </w:r>
      </w:hyperlink>
      <w:r w:rsidR="00983DC0" w:rsidRPr="09A3D074">
        <w:rPr>
          <w:rStyle w:val="Hyperlink"/>
        </w:rPr>
        <w:t>.</w:t>
      </w:r>
      <w:r w:rsidR="007845EC" w:rsidRPr="007E0156">
        <w:t xml:space="preserve"> </w:t>
      </w:r>
      <w:r w:rsidR="00131D51">
        <w:t xml:space="preserve">RPs must complete the </w:t>
      </w:r>
      <w:hyperlink r:id="rId48">
        <w:r w:rsidR="00131D51" w:rsidRPr="09A3D074">
          <w:rPr>
            <w:rStyle w:val="Hyperlink"/>
          </w:rPr>
          <w:t>application form available on the PBS website</w:t>
        </w:r>
      </w:hyperlink>
      <w:r w:rsidR="00131D51">
        <w:t xml:space="preserve">, and submit it via email together with any supporting documents. </w:t>
      </w:r>
      <w:r w:rsidR="002F34C1">
        <w:t>In the future</w:t>
      </w:r>
      <w:r w:rsidR="007845EC" w:rsidRPr="007E0156">
        <w:t>, requests are to be submitted through the Health Products Portal (</w:t>
      </w:r>
      <w:r w:rsidR="007845EC" w:rsidRPr="007E0156">
        <w:rPr>
          <w:b/>
          <w:bCs/>
        </w:rPr>
        <w:t>HPP</w:t>
      </w:r>
      <w:r w:rsidR="007845EC" w:rsidRPr="09A3D074">
        <w:t>)</w:t>
      </w:r>
      <w:r w:rsidR="000C348D">
        <w:t>, RPs will be advised when this functionality is available</w:t>
      </w:r>
      <w:r w:rsidR="007845EC" w:rsidRPr="09A3D074">
        <w:t>.</w:t>
      </w:r>
      <w:bookmarkEnd w:id="80"/>
    </w:p>
    <w:p w14:paraId="6BCC05FA" w14:textId="102B3FD5" w:rsidR="00BC496C" w:rsidRPr="007E0156" w:rsidRDefault="00BF7B8F" w:rsidP="00FE7FAF">
      <w:pPr>
        <w:jc w:val="both"/>
      </w:pPr>
      <w:r w:rsidRPr="007E0156">
        <w:t xml:space="preserve">The </w:t>
      </w:r>
      <w:r w:rsidR="007A785F">
        <w:t>d</w:t>
      </w:r>
      <w:r w:rsidRPr="007E0156">
        <w:t xml:space="preserve">epartment has responsibility for managing </w:t>
      </w:r>
      <w:r w:rsidRPr="007E0156" w:rsidDel="00E37D55">
        <w:t xml:space="preserve">all aspects of </w:t>
      </w:r>
      <w:r w:rsidR="00DA2D33" w:rsidRPr="007E0156">
        <w:t xml:space="preserve">processing </w:t>
      </w:r>
      <w:r w:rsidRPr="007E0156" w:rsidDel="00E37D55">
        <w:t>requests made to the Minister</w:t>
      </w:r>
      <w:r w:rsidR="0091591D" w:rsidRPr="007E0156">
        <w:t>.</w:t>
      </w:r>
      <w:r w:rsidRPr="007E0156">
        <w:t xml:space="preserve"> The </w:t>
      </w:r>
      <w:r w:rsidR="007A785F">
        <w:t>d</w:t>
      </w:r>
      <w:r w:rsidRPr="007E0156">
        <w:t xml:space="preserve">epartment will provide the Minister with </w:t>
      </w:r>
      <w:r w:rsidR="00303EB9" w:rsidRPr="007E0156">
        <w:t xml:space="preserve">any </w:t>
      </w:r>
      <w:r w:rsidRPr="007E0156">
        <w:t>submission</w:t>
      </w:r>
      <w:r w:rsidR="00303EB9" w:rsidRPr="007E0156">
        <w:t>s</w:t>
      </w:r>
      <w:r w:rsidRPr="007E0156">
        <w:t xml:space="preserve"> together with a summary of the request and a recommendation in relation to the exercise of discretion. All submissions</w:t>
      </w:r>
      <w:r w:rsidR="00987A8E" w:rsidRPr="007E0156">
        <w:t xml:space="preserve">, documents and information provided for requests for Ministerial determinations will be handled consistently with the </w:t>
      </w:r>
      <w:r w:rsidR="00987A8E" w:rsidRPr="007E0156">
        <w:rPr>
          <w:i/>
          <w:iCs/>
        </w:rPr>
        <w:t>National Health Act 1953</w:t>
      </w:r>
      <w:r w:rsidR="00987A8E" w:rsidRPr="007E0156">
        <w:t xml:space="preserve"> and the </w:t>
      </w:r>
      <w:r w:rsidR="00987A8E" w:rsidRPr="007E0156">
        <w:rPr>
          <w:i/>
          <w:iCs/>
        </w:rPr>
        <w:t>Privacy Act 1988</w:t>
      </w:r>
      <w:r w:rsidRPr="007E0156">
        <w:t xml:space="preserve">. Giving false or misleading information </w:t>
      </w:r>
      <w:r w:rsidR="002C4D0F">
        <w:t>is</w:t>
      </w:r>
      <w:r w:rsidR="007F7DF4" w:rsidRPr="007E0156">
        <w:t xml:space="preserve"> </w:t>
      </w:r>
      <w:r w:rsidR="0091591D" w:rsidRPr="007E0156">
        <w:t>a serious offence</w:t>
      </w:r>
      <w:r w:rsidR="00347668" w:rsidRPr="007E0156">
        <w:t>.</w:t>
      </w:r>
      <w:r w:rsidR="00303EB9" w:rsidRPr="007E0156">
        <w:t xml:space="preserve"> </w:t>
      </w:r>
      <w:r w:rsidR="00DA2D33" w:rsidRPr="007E0156">
        <w:t>Providing</w:t>
      </w:r>
      <w:r w:rsidR="00303EB9" w:rsidRPr="007E0156">
        <w:t xml:space="preserve"> false or misleading documents is also an offence.</w:t>
      </w:r>
    </w:p>
    <w:p w14:paraId="75B4B988" w14:textId="24AC6FF9" w:rsidR="00BC496C" w:rsidRPr="007E0156" w:rsidRDefault="00411637" w:rsidP="00FE7FAF">
      <w:pPr>
        <w:jc w:val="both"/>
      </w:pPr>
      <w:r w:rsidRPr="007E0156">
        <w:t xml:space="preserve">Applications for </w:t>
      </w:r>
      <w:r w:rsidR="00085E6D" w:rsidRPr="007E0156">
        <w:t>Ministerial determinations will be cost recovered</w:t>
      </w:r>
      <w:r w:rsidR="00303EB9" w:rsidRPr="007E0156">
        <w:t xml:space="preserve"> under the </w:t>
      </w:r>
      <w:hyperlink r:id="rId49" w:history="1">
        <w:r w:rsidR="00303EB9" w:rsidRPr="007E0156">
          <w:rPr>
            <w:rStyle w:val="Hyperlink"/>
            <w:i/>
          </w:rPr>
          <w:t>National Health (Pharmaceuticals and Vaccines—Cost Rec</w:t>
        </w:r>
        <w:bookmarkStart w:id="81" w:name="_Hlt107504500"/>
        <w:r w:rsidR="00303EB9" w:rsidRPr="007E0156">
          <w:rPr>
            <w:rStyle w:val="Hyperlink"/>
            <w:i/>
          </w:rPr>
          <w:t>o</w:t>
        </w:r>
        <w:bookmarkEnd w:id="81"/>
        <w:r w:rsidR="00303EB9" w:rsidRPr="007E0156">
          <w:rPr>
            <w:rStyle w:val="Hyperlink"/>
            <w:i/>
          </w:rPr>
          <w:t>very) Regulations 2022</w:t>
        </w:r>
      </w:hyperlink>
      <w:r w:rsidR="00085E6D" w:rsidRPr="007E0156">
        <w:t>.</w:t>
      </w:r>
    </w:p>
    <w:p w14:paraId="06505B22" w14:textId="78657B1B" w:rsidR="00987A8E" w:rsidRPr="007E0156" w:rsidRDefault="009F3B33" w:rsidP="00987A8E">
      <w:pPr>
        <w:jc w:val="both"/>
      </w:pPr>
      <w:r>
        <w:t>I</w:t>
      </w:r>
      <w:r w:rsidRPr="007E0156">
        <w:t>n the event that the s19A medicine is listed for a long enough period for a minimum stockholding quantity based on ‘usual demand’ to be calculated from PD data in the reference period</w:t>
      </w:r>
      <w:r>
        <w:t>, s</w:t>
      </w:r>
      <w:r w:rsidR="00987A8E" w:rsidRPr="007E0156">
        <w:t>19A medicines do not have any cost recovery fees applicable and there is no fee for the RP of a s19A medicine to make an application for a Ministerial determination</w:t>
      </w:r>
      <w:r>
        <w:t xml:space="preserve">. </w:t>
      </w:r>
      <w:r w:rsidR="00987A8E" w:rsidRPr="007E0156">
        <w:t>(</w:t>
      </w:r>
      <w:r>
        <w:t>S</w:t>
      </w:r>
      <w:r w:rsidR="00987A8E" w:rsidRPr="007E0156">
        <w:t>ee</w:t>
      </w:r>
      <w:r>
        <w:t xml:space="preserve"> </w:t>
      </w:r>
      <w:hyperlink w:anchor="Section19A" w:history="1">
        <w:r w:rsidRPr="009F3B33">
          <w:rPr>
            <w:rStyle w:val="Hyperlink"/>
          </w:rPr>
          <w:t>Section 4.2 in relation to ‘usual demand’ for s19A medicines</w:t>
        </w:r>
      </w:hyperlink>
      <w:r w:rsidR="00987A8E" w:rsidRPr="007E0156">
        <w:t>).</w:t>
      </w:r>
    </w:p>
    <w:p w14:paraId="47872375" w14:textId="77777777" w:rsidR="00B063E0" w:rsidRDefault="00B063E0">
      <w:pPr>
        <w:rPr>
          <w:rFonts w:asciiTheme="majorHAnsi" w:eastAsiaTheme="majorEastAsia" w:hAnsiTheme="majorHAnsi" w:cstheme="majorBidi"/>
          <w:b/>
          <w:color w:val="002142" w:themeColor="accent1"/>
          <w:sz w:val="24"/>
          <w:szCs w:val="26"/>
        </w:rPr>
      </w:pPr>
      <w:r>
        <w:br w:type="page"/>
      </w:r>
    </w:p>
    <w:p w14:paraId="6FB5C8E9" w14:textId="1752334F" w:rsidR="00471BC1" w:rsidRPr="007E0156" w:rsidRDefault="009E40FE" w:rsidP="00FE7FAF">
      <w:pPr>
        <w:pStyle w:val="Heading2"/>
        <w:jc w:val="both"/>
      </w:pPr>
      <w:bookmarkStart w:id="82" w:name="_Toc205482098"/>
      <w:r w:rsidRPr="007E0156">
        <w:lastRenderedPageBreak/>
        <w:t xml:space="preserve">The Minister </w:t>
      </w:r>
      <w:r w:rsidR="004A176C" w:rsidRPr="007E0156">
        <w:t>may</w:t>
      </w:r>
      <w:r w:rsidRPr="007E0156">
        <w:t xml:space="preserve"> consider a r</w:t>
      </w:r>
      <w:r w:rsidR="0058327A" w:rsidRPr="007E0156">
        <w:t>ange of</w:t>
      </w:r>
      <w:r w:rsidR="00471BC1" w:rsidRPr="007E0156">
        <w:t xml:space="preserve"> </w:t>
      </w:r>
      <w:r w:rsidR="00640C52" w:rsidRPr="007E0156">
        <w:t>matters</w:t>
      </w:r>
      <w:r w:rsidR="00471BC1" w:rsidRPr="007E0156">
        <w:t xml:space="preserve"> </w:t>
      </w:r>
      <w:r w:rsidRPr="007E0156">
        <w:t xml:space="preserve">in regard </w:t>
      </w:r>
      <w:r w:rsidR="0058327A" w:rsidRPr="007E0156">
        <w:t>to determinations</w:t>
      </w:r>
      <w:bookmarkEnd w:id="82"/>
    </w:p>
    <w:p w14:paraId="0058656E" w14:textId="721738C6" w:rsidR="00357928" w:rsidRPr="007E0156" w:rsidRDefault="004677E6" w:rsidP="00FE7FAF">
      <w:pPr>
        <w:jc w:val="both"/>
      </w:pPr>
      <w:r w:rsidRPr="007E0156">
        <w:t xml:space="preserve">This </w:t>
      </w:r>
      <w:r w:rsidR="00BF4D78" w:rsidRPr="007E0156">
        <w:t>Section</w:t>
      </w:r>
      <w:r w:rsidRPr="007E0156">
        <w:t xml:space="preserve"> provides g</w:t>
      </w:r>
      <w:r w:rsidR="00471BC1" w:rsidRPr="007E0156">
        <w:t xml:space="preserve">uidance on the </w:t>
      </w:r>
      <w:r w:rsidR="00B05022" w:rsidRPr="007E0156">
        <w:t xml:space="preserve">types of information and </w:t>
      </w:r>
      <w:r w:rsidR="00471BC1" w:rsidRPr="007E0156">
        <w:t xml:space="preserve">matters that </w:t>
      </w:r>
      <w:r w:rsidR="00B05022" w:rsidRPr="007E0156">
        <w:t xml:space="preserve">might </w:t>
      </w:r>
      <w:r w:rsidR="00471BC1" w:rsidRPr="007E0156">
        <w:t xml:space="preserve">be considered relevant </w:t>
      </w:r>
      <w:r w:rsidR="003460AD" w:rsidRPr="007E0156">
        <w:t xml:space="preserve">to </w:t>
      </w:r>
      <w:r w:rsidR="00471BC1" w:rsidRPr="007E0156">
        <w:t xml:space="preserve">the </w:t>
      </w:r>
      <w:r w:rsidR="00F617E8" w:rsidRPr="007E0156">
        <w:t>Minister</w:t>
      </w:r>
      <w:r w:rsidR="00B05022" w:rsidRPr="007E0156">
        <w:t>’s exercise of discretion</w:t>
      </w:r>
      <w:r w:rsidR="00F617E8" w:rsidRPr="007E0156">
        <w:t xml:space="preserve"> </w:t>
      </w:r>
      <w:r w:rsidR="00303EB9" w:rsidRPr="007E0156">
        <w:t>to</w:t>
      </w:r>
      <w:r w:rsidR="00B05022" w:rsidRPr="007E0156">
        <w:t xml:space="preserve"> make a minimum stockholding determination</w:t>
      </w:r>
      <w:r w:rsidR="00471BC1" w:rsidRPr="007E0156">
        <w:t xml:space="preserve">. The Minister </w:t>
      </w:r>
      <w:r w:rsidR="00B05022" w:rsidRPr="007E0156">
        <w:t xml:space="preserve">has discretion to consider </w:t>
      </w:r>
      <w:r w:rsidR="00471BC1" w:rsidRPr="007E0156">
        <w:t>any matter</w:t>
      </w:r>
      <w:r w:rsidR="00F617E8" w:rsidRPr="007E0156">
        <w:t>s</w:t>
      </w:r>
      <w:r w:rsidR="00471BC1" w:rsidRPr="007E0156">
        <w:t xml:space="preserve"> that they consider relevant. </w:t>
      </w:r>
      <w:r w:rsidR="00B05022" w:rsidRPr="007E0156">
        <w:t xml:space="preserve">This guidance </w:t>
      </w:r>
      <w:r w:rsidR="007D6B52" w:rsidRPr="007E0156">
        <w:t>does not</w:t>
      </w:r>
      <w:r w:rsidR="00B05022" w:rsidRPr="007E0156">
        <w:t xml:space="preserve"> limit the Minister’s powers</w:t>
      </w:r>
      <w:r w:rsidR="0043558E" w:rsidRPr="007E0156">
        <w:t xml:space="preserve">, </w:t>
      </w:r>
      <w:r w:rsidR="009F3B33">
        <w:t>n</w:t>
      </w:r>
      <w:r w:rsidR="0043558E" w:rsidRPr="007E0156">
        <w:t>or fetter the Minister’s discretion,</w:t>
      </w:r>
      <w:r w:rsidR="00B05022" w:rsidRPr="007E0156">
        <w:t xml:space="preserve"> </w:t>
      </w:r>
      <w:r w:rsidR="0043558E" w:rsidRPr="007E0156">
        <w:t>under</w:t>
      </w:r>
      <w:r w:rsidR="00B05022" w:rsidRPr="007E0156">
        <w:t xml:space="preserve"> the Act.</w:t>
      </w:r>
    </w:p>
    <w:p w14:paraId="47569527" w14:textId="23D4DB43" w:rsidR="00610196" w:rsidRPr="007E0156" w:rsidRDefault="00286DEE" w:rsidP="00DA2D33">
      <w:pPr>
        <w:jc w:val="both"/>
      </w:pPr>
      <w:r w:rsidRPr="00A45A23">
        <w:rPr>
          <w:rFonts w:cstheme="minorHAnsi"/>
        </w:rPr>
        <w:t>Ministerial determinations may be used to address long-term, practical barriers to compliance that cannot be overcome.</w:t>
      </w:r>
      <w:r w:rsidR="001611D7">
        <w:rPr>
          <w:rFonts w:cstheme="minorHAnsi"/>
        </w:rPr>
        <w:t xml:space="preserve"> For example,</w:t>
      </w:r>
      <w:r w:rsidR="001611D7">
        <w:t xml:space="preserve"> o</w:t>
      </w:r>
      <w:r w:rsidR="00DA2D33" w:rsidRPr="09A3D074">
        <w:t>ne</w:t>
      </w:r>
      <w:r w:rsidR="00DA2D33" w:rsidRPr="007E0156">
        <w:t xml:space="preserve"> of t</w:t>
      </w:r>
      <w:r w:rsidR="003248F8" w:rsidRPr="007E0156">
        <w:t>he matters the Minister may consider</w:t>
      </w:r>
      <w:r w:rsidR="00074435" w:rsidRPr="007E0156">
        <w:t xml:space="preserve"> </w:t>
      </w:r>
      <w:r w:rsidR="00B05022" w:rsidRPr="007E0156">
        <w:t xml:space="preserve">relevant </w:t>
      </w:r>
      <w:r w:rsidR="00DA2D33" w:rsidRPr="007E0156">
        <w:t xml:space="preserve">is </w:t>
      </w:r>
      <w:r w:rsidR="009F3B33" w:rsidRPr="007E0156">
        <w:t xml:space="preserve">the shelf-life of the brand </w:t>
      </w:r>
      <w:r w:rsidR="009F3B33">
        <w:t xml:space="preserve">and </w:t>
      </w:r>
      <w:r w:rsidR="0043558E" w:rsidRPr="007E0156">
        <w:t>t</w:t>
      </w:r>
      <w:r w:rsidR="00F9428E" w:rsidRPr="007E0156">
        <w:t xml:space="preserve">he </w:t>
      </w:r>
      <w:r w:rsidR="00DA2D33" w:rsidRPr="007E0156">
        <w:t xml:space="preserve">Minister’s assessment of </w:t>
      </w:r>
      <w:r w:rsidR="00F9428E" w:rsidRPr="007E0156">
        <w:t>the f</w:t>
      </w:r>
      <w:r w:rsidR="00911CAD" w:rsidRPr="007E0156">
        <w:t xml:space="preserve">easibility </w:t>
      </w:r>
      <w:r w:rsidR="009F3B33">
        <w:t xml:space="preserve">for the RP to ensure that </w:t>
      </w:r>
      <w:r w:rsidR="00F9428E" w:rsidRPr="007E0156">
        <w:t xml:space="preserve">the brand has </w:t>
      </w:r>
      <w:r w:rsidR="00DA2D33" w:rsidRPr="007E0156">
        <w:t xml:space="preserve">a </w:t>
      </w:r>
      <w:r w:rsidR="00F9428E" w:rsidRPr="007E0156">
        <w:t xml:space="preserve">viable shelf-life remaining when on-sold from the </w:t>
      </w:r>
      <w:r w:rsidR="00303EB9" w:rsidRPr="007E0156">
        <w:t>RP</w:t>
      </w:r>
      <w:r w:rsidR="00F9428E" w:rsidRPr="007E0156">
        <w:t xml:space="preserve"> to </w:t>
      </w:r>
      <w:r w:rsidR="00BE53B4" w:rsidRPr="007E0156">
        <w:t>w</w:t>
      </w:r>
      <w:r w:rsidR="00911CAD" w:rsidRPr="007E0156">
        <w:t>holesalers</w:t>
      </w:r>
      <w:r w:rsidR="00D47047" w:rsidRPr="007E0156">
        <w:t>/retailers</w:t>
      </w:r>
      <w:r w:rsidR="00911CAD" w:rsidRPr="007E0156">
        <w:t xml:space="preserve"> and/or </w:t>
      </w:r>
      <w:r w:rsidR="00BE53B4" w:rsidRPr="007E0156">
        <w:t>c</w:t>
      </w:r>
      <w:r w:rsidR="00911CAD" w:rsidRPr="007E0156">
        <w:t>onsumers</w:t>
      </w:r>
      <w:r w:rsidR="00DA2D33" w:rsidRPr="007E0156">
        <w:t>.</w:t>
      </w:r>
      <w:r w:rsidR="00D2251E">
        <w:t xml:space="preserve"> </w:t>
      </w:r>
      <w:hyperlink w:anchor="_Assessing_applications_based" w:history="1">
        <w:r w:rsidR="008168EE" w:rsidRPr="00A970DE">
          <w:rPr>
            <w:rStyle w:val="Hyperlink"/>
          </w:rPr>
          <w:t>Section 6.3</w:t>
        </w:r>
      </w:hyperlink>
      <w:r w:rsidR="008168EE">
        <w:t xml:space="preserve"> provides further detail about the assessment of applications for lower </w:t>
      </w:r>
      <w:r w:rsidR="0063234E">
        <w:t xml:space="preserve">stockholding </w:t>
      </w:r>
      <w:r w:rsidR="008168EE">
        <w:t>quantities based on short shelf life.</w:t>
      </w:r>
    </w:p>
    <w:p w14:paraId="64D7ECA3" w14:textId="088FCB33" w:rsidR="00A970DE" w:rsidRPr="00A970DE" w:rsidRDefault="00A970DE" w:rsidP="00A970DE">
      <w:pPr>
        <w:jc w:val="both"/>
      </w:pPr>
      <w:r w:rsidRPr="00A970DE">
        <w:rPr>
          <w:lang w:val="en-AU"/>
        </w:rPr>
        <w:t xml:space="preserve">Short or medium-term difficulty meeting the MSR is managed through the non-compliance framework. </w:t>
      </w:r>
      <w:r w:rsidR="00C938B8" w:rsidRPr="00C75948">
        <w:rPr>
          <w:lang w:val="en-AU"/>
        </w:rPr>
        <w:t xml:space="preserve">Ministerial determinations for a limited time are generally not </w:t>
      </w:r>
      <w:r w:rsidR="00031194">
        <w:rPr>
          <w:lang w:val="en-AU"/>
        </w:rPr>
        <w:t>used</w:t>
      </w:r>
      <w:r w:rsidR="00C938B8" w:rsidRPr="00C75948">
        <w:rPr>
          <w:lang w:val="en-AU"/>
        </w:rPr>
        <w:t xml:space="preserve"> as a response to a short- or medium-term barrier to compliance. </w:t>
      </w:r>
      <w:r w:rsidR="00D70D44" w:rsidRPr="002020A7">
        <w:rPr>
          <w:lang w:val="en-AU"/>
        </w:rPr>
        <w:t xml:space="preserve">For </w:t>
      </w:r>
      <w:r w:rsidRPr="00C75948">
        <w:rPr>
          <w:lang w:val="en-AU"/>
        </w:rPr>
        <w:t>more information</w:t>
      </w:r>
      <w:r w:rsidR="009077BE" w:rsidRPr="00C75948">
        <w:rPr>
          <w:lang w:val="en-AU"/>
        </w:rPr>
        <w:t xml:space="preserve"> about the non-compliance fram</w:t>
      </w:r>
      <w:r w:rsidR="00537AEF" w:rsidRPr="00C75948">
        <w:rPr>
          <w:lang w:val="en-AU"/>
        </w:rPr>
        <w:t>e</w:t>
      </w:r>
      <w:r w:rsidR="009077BE" w:rsidRPr="00C75948">
        <w:rPr>
          <w:lang w:val="en-AU"/>
        </w:rPr>
        <w:t>work</w:t>
      </w:r>
      <w:r w:rsidRPr="00C75948">
        <w:rPr>
          <w:lang w:val="en-AU"/>
        </w:rPr>
        <w:t xml:space="preserve"> please refer to</w:t>
      </w:r>
      <w:r w:rsidRPr="00C75948">
        <w:t xml:space="preserve"> </w:t>
      </w:r>
      <w:hyperlink w:anchor="_Approach_to_non-compliance" w:history="1">
        <w:r w:rsidR="0063234E" w:rsidRPr="00C75948">
          <w:rPr>
            <w:rStyle w:val="Hyperlink"/>
          </w:rPr>
          <w:t>Section</w:t>
        </w:r>
        <w:r w:rsidR="009077BE" w:rsidRPr="00C75948">
          <w:rPr>
            <w:rStyle w:val="Hyperlink"/>
          </w:rPr>
          <w:t xml:space="preserve"> </w:t>
        </w:r>
        <w:r w:rsidR="00F05B18" w:rsidRPr="00C75948">
          <w:rPr>
            <w:rStyle w:val="Hyperlink"/>
          </w:rPr>
          <w:t>8.3</w:t>
        </w:r>
      </w:hyperlink>
      <w:r w:rsidRPr="00C75948">
        <w:t>.</w:t>
      </w:r>
    </w:p>
    <w:p w14:paraId="4A9E13B0" w14:textId="77777777" w:rsidR="00A970DE" w:rsidRPr="00A970DE" w:rsidRDefault="00A970DE" w:rsidP="00592E20">
      <w:pPr>
        <w:keepNext/>
        <w:jc w:val="both"/>
      </w:pPr>
      <w:r w:rsidRPr="00A970DE">
        <w:rPr>
          <w:lang w:val="en-AU"/>
        </w:rPr>
        <w:t xml:space="preserve">Examples </w:t>
      </w:r>
      <w:r w:rsidRPr="00A970DE">
        <w:t>of short- or medium-term barriers include (but are not limited to):</w:t>
      </w:r>
    </w:p>
    <w:p w14:paraId="2D66250D" w14:textId="69B0AB79" w:rsidR="00A970DE" w:rsidRPr="00A970DE" w:rsidRDefault="00A2004F" w:rsidP="005A2644">
      <w:pPr>
        <w:numPr>
          <w:ilvl w:val="0"/>
          <w:numId w:val="36"/>
        </w:numPr>
        <w:ind w:left="714" w:hanging="357"/>
        <w:jc w:val="both"/>
        <w:rPr>
          <w:lang w:val="en-AU"/>
        </w:rPr>
      </w:pPr>
      <w:r>
        <w:rPr>
          <w:lang w:val="en-AU"/>
        </w:rPr>
        <w:t>D</w:t>
      </w:r>
      <w:r w:rsidR="00A970DE" w:rsidRPr="00A970DE">
        <w:rPr>
          <w:lang w:val="en-AU"/>
        </w:rPr>
        <w:t>emand variation</w:t>
      </w:r>
    </w:p>
    <w:p w14:paraId="42A81C98" w14:textId="0FF3FB25" w:rsidR="00A970DE" w:rsidRPr="00A970DE" w:rsidRDefault="00A2004F" w:rsidP="005A2644">
      <w:pPr>
        <w:numPr>
          <w:ilvl w:val="0"/>
          <w:numId w:val="36"/>
        </w:numPr>
        <w:jc w:val="both"/>
        <w:rPr>
          <w:lang w:val="en-AU"/>
        </w:rPr>
      </w:pPr>
      <w:r>
        <w:rPr>
          <w:lang w:val="en-AU"/>
        </w:rPr>
        <w:t>G</w:t>
      </w:r>
      <w:r w:rsidR="00A970DE" w:rsidRPr="00A970DE">
        <w:rPr>
          <w:lang w:val="en-AU"/>
        </w:rPr>
        <w:t>lobal supply constraints/disruptions</w:t>
      </w:r>
    </w:p>
    <w:p w14:paraId="465DC7E3" w14:textId="1114AB5C" w:rsidR="00A970DE" w:rsidRPr="00A970DE" w:rsidRDefault="00A2004F" w:rsidP="005A2644">
      <w:pPr>
        <w:numPr>
          <w:ilvl w:val="0"/>
          <w:numId w:val="36"/>
        </w:numPr>
        <w:jc w:val="both"/>
        <w:rPr>
          <w:lang w:val="en-AU"/>
        </w:rPr>
      </w:pPr>
      <w:r>
        <w:rPr>
          <w:lang w:val="en-AU"/>
        </w:rPr>
        <w:t>T</w:t>
      </w:r>
      <w:r w:rsidR="00A970DE" w:rsidRPr="00A970DE">
        <w:rPr>
          <w:lang w:val="en-AU"/>
        </w:rPr>
        <w:t>ransition of manufacturing facilities.</w:t>
      </w:r>
    </w:p>
    <w:p w14:paraId="464742BF" w14:textId="6DD4078A" w:rsidR="00911CAD" w:rsidRPr="002020A7" w:rsidRDefault="00A970DE" w:rsidP="002020A7">
      <w:pPr>
        <w:jc w:val="both"/>
        <w:rPr>
          <w:lang w:val="en-AU"/>
        </w:rPr>
      </w:pPr>
      <w:r w:rsidRPr="00A970DE">
        <w:rPr>
          <w:lang w:val="en-AU"/>
        </w:rPr>
        <w:t>Prior to a brand delisting from the PBS</w:t>
      </w:r>
      <w:r w:rsidR="00D70D44" w:rsidRPr="002020A7">
        <w:rPr>
          <w:lang w:val="en-AU"/>
        </w:rPr>
        <w:t xml:space="preserve">, </w:t>
      </w:r>
      <w:r w:rsidR="00DA2D33" w:rsidRPr="002020A7">
        <w:rPr>
          <w:lang w:val="en-AU"/>
        </w:rPr>
        <w:t xml:space="preserve">the Minister </w:t>
      </w:r>
      <w:r w:rsidRPr="00A970DE">
        <w:rPr>
          <w:lang w:val="en-AU"/>
        </w:rPr>
        <w:t>will generally make</w:t>
      </w:r>
      <w:r w:rsidR="00D23C75" w:rsidRPr="002020A7">
        <w:rPr>
          <w:lang w:val="en-AU"/>
        </w:rPr>
        <w:t xml:space="preserve"> a determination of </w:t>
      </w:r>
      <w:r w:rsidRPr="00A970DE">
        <w:rPr>
          <w:lang w:val="en-AU"/>
        </w:rPr>
        <w:t>zero as the applicable</w:t>
      </w:r>
      <w:r w:rsidR="00D23C75" w:rsidRPr="002020A7">
        <w:rPr>
          <w:lang w:val="en-AU"/>
        </w:rPr>
        <w:t xml:space="preserve"> quantity</w:t>
      </w:r>
      <w:r w:rsidRPr="00A970DE">
        <w:rPr>
          <w:lang w:val="en-AU"/>
        </w:rPr>
        <w:t xml:space="preserve"> for a period of up to </w:t>
      </w:r>
      <w:r w:rsidR="00610196" w:rsidRPr="002020A7">
        <w:rPr>
          <w:lang w:val="en-AU"/>
        </w:rPr>
        <w:t>6 months</w:t>
      </w:r>
      <w:r w:rsidRPr="00A970DE">
        <w:rPr>
          <w:lang w:val="en-AU"/>
        </w:rPr>
        <w:t xml:space="preserve"> prior to delisting, as set out in </w:t>
      </w:r>
      <w:hyperlink w:anchor="_Minimum_stockholding_requirements_1" w:history="1">
        <w:r w:rsidR="003944E1">
          <w:rPr>
            <w:rStyle w:val="Hyperlink"/>
            <w:lang w:val="en-AU"/>
          </w:rPr>
          <w:t>Section 4.4</w:t>
        </w:r>
      </w:hyperlink>
      <w:r w:rsidR="003944E1">
        <w:rPr>
          <w:lang w:val="en-AU"/>
        </w:rPr>
        <w:t>.</w:t>
      </w:r>
      <w:r w:rsidRPr="00A970DE">
        <w:rPr>
          <w:lang w:val="en-AU"/>
        </w:rPr>
        <w:t xml:space="preserve"> No application is required for these determinations.</w:t>
      </w:r>
    </w:p>
    <w:p w14:paraId="6C93D27C" w14:textId="69E2363F" w:rsidR="009A6C6E" w:rsidRPr="007E0156" w:rsidRDefault="009A6C6E" w:rsidP="00FE7FAF">
      <w:pPr>
        <w:jc w:val="both"/>
      </w:pPr>
      <w:r w:rsidRPr="007E0156">
        <w:t>When submitting a</w:t>
      </w:r>
      <w:r w:rsidR="00370287" w:rsidRPr="007E0156">
        <w:t xml:space="preserve"> request for </w:t>
      </w:r>
      <w:r w:rsidR="00F9428E" w:rsidRPr="007E0156">
        <w:t>the Minister to make a minimum stockholding determination</w:t>
      </w:r>
      <w:r w:rsidRPr="007E0156">
        <w:t xml:space="preserve">, </w:t>
      </w:r>
      <w:r w:rsidR="00303EB9" w:rsidRPr="007E0156">
        <w:t xml:space="preserve">RPs </w:t>
      </w:r>
      <w:r w:rsidR="00BA5AA5" w:rsidRPr="007E0156">
        <w:t>should</w:t>
      </w:r>
      <w:r w:rsidR="00370287" w:rsidRPr="007E0156">
        <w:t xml:space="preserve"> </w:t>
      </w:r>
      <w:r w:rsidRPr="007E0156">
        <w:t xml:space="preserve">specify the </w:t>
      </w:r>
      <w:r w:rsidR="00303EB9" w:rsidRPr="007E0156">
        <w:t xml:space="preserve">quantity </w:t>
      </w:r>
      <w:r w:rsidRPr="007E0156">
        <w:t xml:space="preserve">they are seeking to be determined as </w:t>
      </w:r>
      <w:r w:rsidR="00303EB9" w:rsidRPr="007E0156">
        <w:t xml:space="preserve">the applicable </w:t>
      </w:r>
      <w:r w:rsidRPr="007E0156">
        <w:t>quantity.</w:t>
      </w:r>
      <w:r w:rsidR="0019737F" w:rsidRPr="007E0156">
        <w:t xml:space="preserve"> This amount can be</w:t>
      </w:r>
      <w:r w:rsidR="00303EB9" w:rsidRPr="007E0156">
        <w:t xml:space="preserve"> a</w:t>
      </w:r>
      <w:r w:rsidR="0019737F" w:rsidRPr="007E0156">
        <w:t xml:space="preserve"> specified </w:t>
      </w:r>
      <w:r w:rsidR="00F9428E" w:rsidRPr="007E0156">
        <w:t xml:space="preserve">number of </w:t>
      </w:r>
      <w:r w:rsidR="0019737F" w:rsidRPr="007E0156">
        <w:t xml:space="preserve">months of </w:t>
      </w:r>
      <w:r w:rsidR="00303EB9" w:rsidRPr="007E0156">
        <w:t xml:space="preserve">stock by reference to </w:t>
      </w:r>
      <w:r w:rsidR="00F9428E" w:rsidRPr="007E0156">
        <w:t>‘</w:t>
      </w:r>
      <w:r w:rsidR="0019737F" w:rsidRPr="007E0156">
        <w:t>usual demand</w:t>
      </w:r>
      <w:r w:rsidR="00F9428E" w:rsidRPr="007E0156">
        <w:t>’</w:t>
      </w:r>
      <w:r w:rsidR="0019737F" w:rsidRPr="007E0156">
        <w:t xml:space="preserve">, or </w:t>
      </w:r>
      <w:r w:rsidR="00F9428E" w:rsidRPr="007E0156">
        <w:t>by reference to a number of packs of the brand</w:t>
      </w:r>
      <w:r w:rsidR="0019737F" w:rsidRPr="007E0156">
        <w:t>.</w:t>
      </w:r>
    </w:p>
    <w:p w14:paraId="4EA0CF80" w14:textId="77777777" w:rsidR="00B5172C" w:rsidRDefault="00B5172C">
      <w:pPr>
        <w:rPr>
          <w:rFonts w:asciiTheme="majorHAnsi" w:eastAsiaTheme="majorEastAsia" w:hAnsiTheme="majorHAnsi" w:cstheme="majorBidi"/>
          <w:b/>
          <w:color w:val="002142" w:themeColor="accent1"/>
          <w:sz w:val="24"/>
          <w:szCs w:val="26"/>
        </w:rPr>
      </w:pPr>
      <w:bookmarkStart w:id="83" w:name="_Assessing_applications_based"/>
      <w:bookmarkEnd w:id="83"/>
      <w:r>
        <w:br w:type="page"/>
      </w:r>
    </w:p>
    <w:p w14:paraId="7882FB5F" w14:textId="183BF132" w:rsidR="00037A33" w:rsidRDefault="00037A33" w:rsidP="00037A33">
      <w:pPr>
        <w:pStyle w:val="Heading2"/>
        <w:jc w:val="both"/>
      </w:pPr>
      <w:bookmarkStart w:id="84" w:name="_Toc205482099"/>
      <w:r>
        <w:lastRenderedPageBreak/>
        <w:t xml:space="preserve">Assessing </w:t>
      </w:r>
      <w:r w:rsidR="00131657">
        <w:t>applications based on short shelf-life</w:t>
      </w:r>
      <w:bookmarkEnd w:id="84"/>
    </w:p>
    <w:p w14:paraId="53F2717C" w14:textId="691545B4" w:rsidR="00F82116" w:rsidRPr="00F82116" w:rsidRDefault="00F82116" w:rsidP="005E50B2">
      <w:pPr>
        <w:pStyle w:val="ListBullet"/>
        <w:numPr>
          <w:ilvl w:val="0"/>
          <w:numId w:val="0"/>
        </w:numPr>
        <w:tabs>
          <w:tab w:val="left" w:pos="0"/>
        </w:tabs>
        <w:spacing w:before="0" w:after="160" w:line="259" w:lineRule="auto"/>
        <w:jc w:val="both"/>
        <w:rPr>
          <w:rFonts w:asciiTheme="minorHAnsi" w:hAnsiTheme="minorHAnsi" w:cstheme="minorHAnsi"/>
          <w:color w:val="auto"/>
          <w:sz w:val="20"/>
          <w:szCs w:val="22"/>
        </w:rPr>
      </w:pPr>
      <w:r w:rsidRPr="00F82116">
        <w:rPr>
          <w:rFonts w:asciiTheme="minorHAnsi" w:hAnsiTheme="minorHAnsi" w:cstheme="minorHAnsi"/>
          <w:color w:val="auto"/>
          <w:sz w:val="20"/>
          <w:szCs w:val="22"/>
        </w:rPr>
        <w:t xml:space="preserve">For applications based on short shelf-life, the Minister will generally use the factors outlined in </w:t>
      </w:r>
      <w:r w:rsidR="002B21B4" w:rsidRPr="002B21B4">
        <w:rPr>
          <w:rFonts w:asciiTheme="minorHAnsi" w:hAnsiTheme="minorHAnsi" w:cstheme="minorHAnsi"/>
          <w:color w:val="005EB8"/>
          <w:sz w:val="20"/>
          <w:szCs w:val="22"/>
          <w:u w:val="single"/>
        </w:rPr>
        <w:fldChar w:fldCharType="begin"/>
      </w:r>
      <w:r w:rsidR="002B21B4" w:rsidRPr="002B21B4">
        <w:rPr>
          <w:rFonts w:asciiTheme="minorHAnsi" w:hAnsiTheme="minorHAnsi" w:cstheme="minorHAnsi"/>
          <w:color w:val="005EB8"/>
          <w:sz w:val="20"/>
          <w:szCs w:val="22"/>
          <w:u w:val="single"/>
        </w:rPr>
        <w:instrText xml:space="preserve"> REF _Ref200543106 \h </w:instrText>
      </w:r>
      <w:r w:rsidR="002B21B4" w:rsidRPr="002B21B4">
        <w:rPr>
          <w:rFonts w:asciiTheme="minorHAnsi" w:hAnsiTheme="minorHAnsi" w:cstheme="minorHAnsi"/>
          <w:color w:val="005EB8"/>
          <w:sz w:val="20"/>
          <w:szCs w:val="22"/>
          <w:u w:val="single"/>
        </w:rPr>
      </w:r>
      <w:r w:rsidR="002B21B4" w:rsidRPr="002B21B4">
        <w:rPr>
          <w:rFonts w:asciiTheme="minorHAnsi" w:hAnsiTheme="minorHAnsi" w:cstheme="minorHAnsi"/>
          <w:color w:val="005EB8"/>
          <w:sz w:val="20"/>
          <w:szCs w:val="22"/>
          <w:u w:val="single"/>
        </w:rPr>
        <w:fldChar w:fldCharType="separate"/>
      </w:r>
      <w:r w:rsidR="008A2A42" w:rsidRPr="002B21B4">
        <w:rPr>
          <w:rFonts w:cs="Arial"/>
          <w:color w:val="005EB8"/>
          <w:sz w:val="20"/>
          <w:szCs w:val="20"/>
        </w:rPr>
        <w:t xml:space="preserve">Exhibit </w:t>
      </w:r>
      <w:r w:rsidR="008A2A42">
        <w:rPr>
          <w:rFonts w:cs="Arial"/>
          <w:noProof/>
          <w:color w:val="005EB8"/>
          <w:sz w:val="20"/>
          <w:szCs w:val="20"/>
        </w:rPr>
        <w:t>13</w:t>
      </w:r>
      <w:r w:rsidR="002B21B4" w:rsidRPr="002B21B4">
        <w:rPr>
          <w:rFonts w:asciiTheme="minorHAnsi" w:hAnsiTheme="minorHAnsi" w:cstheme="minorHAnsi"/>
          <w:color w:val="005EB8"/>
          <w:sz w:val="20"/>
          <w:szCs w:val="22"/>
          <w:u w:val="single"/>
        </w:rPr>
        <w:fldChar w:fldCharType="end"/>
      </w:r>
      <w:r w:rsidR="002B21B4">
        <w:rPr>
          <w:rFonts w:asciiTheme="minorHAnsi" w:hAnsiTheme="minorHAnsi" w:cstheme="minorHAnsi"/>
          <w:color w:val="auto"/>
          <w:sz w:val="20"/>
          <w:szCs w:val="22"/>
        </w:rPr>
        <w:t xml:space="preserve"> </w:t>
      </w:r>
      <w:r w:rsidRPr="00F82116">
        <w:rPr>
          <w:rFonts w:asciiTheme="minorHAnsi" w:hAnsiTheme="minorHAnsi" w:cstheme="minorHAnsi"/>
          <w:color w:val="auto"/>
          <w:sz w:val="20"/>
          <w:szCs w:val="22"/>
        </w:rPr>
        <w:t xml:space="preserve">and </w:t>
      </w:r>
      <w:r w:rsidR="002B21B4" w:rsidRPr="002B21B4">
        <w:rPr>
          <w:rFonts w:asciiTheme="minorHAnsi" w:hAnsiTheme="minorHAnsi" w:cstheme="minorHAnsi"/>
          <w:color w:val="005EB8"/>
          <w:sz w:val="20"/>
          <w:szCs w:val="22"/>
          <w:u w:val="single"/>
        </w:rPr>
        <w:fldChar w:fldCharType="begin"/>
      </w:r>
      <w:r w:rsidR="002B21B4" w:rsidRPr="002B21B4">
        <w:rPr>
          <w:rFonts w:asciiTheme="minorHAnsi" w:hAnsiTheme="minorHAnsi" w:cstheme="minorHAnsi"/>
          <w:color w:val="005EB8"/>
          <w:sz w:val="20"/>
          <w:szCs w:val="22"/>
          <w:u w:val="single"/>
        </w:rPr>
        <w:instrText xml:space="preserve"> REF _Ref200543118 \h </w:instrText>
      </w:r>
      <w:r w:rsidR="002B21B4" w:rsidRPr="002B21B4">
        <w:rPr>
          <w:rFonts w:asciiTheme="minorHAnsi" w:hAnsiTheme="minorHAnsi" w:cstheme="minorHAnsi"/>
          <w:color w:val="005EB8"/>
          <w:sz w:val="20"/>
          <w:szCs w:val="22"/>
          <w:u w:val="single"/>
        </w:rPr>
      </w:r>
      <w:r w:rsidR="002B21B4" w:rsidRPr="002B21B4">
        <w:rPr>
          <w:rFonts w:asciiTheme="minorHAnsi" w:hAnsiTheme="minorHAnsi" w:cstheme="minorHAnsi"/>
          <w:color w:val="005EB8"/>
          <w:sz w:val="20"/>
          <w:szCs w:val="22"/>
          <w:u w:val="single"/>
        </w:rPr>
        <w:fldChar w:fldCharType="separate"/>
      </w:r>
      <w:r w:rsidR="008A2A42" w:rsidRPr="002B21B4">
        <w:rPr>
          <w:rFonts w:cs="Arial"/>
          <w:color w:val="005EB8"/>
          <w:sz w:val="20"/>
          <w:szCs w:val="20"/>
        </w:rPr>
        <w:t xml:space="preserve">Exhibit </w:t>
      </w:r>
      <w:r w:rsidR="008A2A42">
        <w:rPr>
          <w:noProof/>
          <w:color w:val="005EB8"/>
        </w:rPr>
        <w:t>14</w:t>
      </w:r>
      <w:r w:rsidR="002B21B4" w:rsidRPr="002B21B4">
        <w:rPr>
          <w:rFonts w:asciiTheme="minorHAnsi" w:hAnsiTheme="minorHAnsi" w:cstheme="minorHAnsi"/>
          <w:color w:val="005EB8"/>
          <w:sz w:val="20"/>
          <w:szCs w:val="22"/>
          <w:u w:val="single"/>
        </w:rPr>
        <w:fldChar w:fldCharType="end"/>
      </w:r>
      <w:r w:rsidRPr="00F82116">
        <w:rPr>
          <w:rFonts w:asciiTheme="minorHAnsi" w:hAnsiTheme="minorHAnsi" w:cstheme="minorHAnsi"/>
          <w:color w:val="auto"/>
          <w:sz w:val="20"/>
          <w:szCs w:val="22"/>
        </w:rPr>
        <w:t xml:space="preserve"> to consider whether compliance with the MSR is likely to result in wastage of stock.</w:t>
      </w:r>
    </w:p>
    <w:p w14:paraId="16F87332" w14:textId="497D9DAA" w:rsidR="00F82116" w:rsidRPr="002B21B4" w:rsidRDefault="004F78B0" w:rsidP="005E50B2">
      <w:pPr>
        <w:pStyle w:val="Caption"/>
        <w:keepNext/>
        <w:rPr>
          <w:rFonts w:ascii="Arial" w:hAnsi="Arial" w:cs="Arial"/>
          <w:color w:val="005EB8"/>
          <w:sz w:val="20"/>
          <w:szCs w:val="20"/>
        </w:rPr>
      </w:pPr>
      <w:bookmarkStart w:id="85" w:name="_Ref200543106"/>
      <w:r w:rsidRPr="002B21B4">
        <w:rPr>
          <w:rFonts w:ascii="Arial" w:hAnsi="Arial" w:cs="Arial"/>
          <w:color w:val="005EB8"/>
          <w:sz w:val="20"/>
          <w:szCs w:val="20"/>
        </w:rPr>
        <w:t xml:space="preserve">Exhibit </w:t>
      </w:r>
      <w:r w:rsidR="00D42774" w:rsidRPr="002B21B4">
        <w:rPr>
          <w:rFonts w:ascii="Arial" w:hAnsi="Arial" w:cs="Arial"/>
          <w:color w:val="005EB8"/>
          <w:sz w:val="20"/>
          <w:szCs w:val="20"/>
        </w:rPr>
        <w:fldChar w:fldCharType="begin"/>
      </w:r>
      <w:r w:rsidR="00D42774" w:rsidRPr="002B21B4">
        <w:rPr>
          <w:rFonts w:ascii="Arial" w:hAnsi="Arial" w:cs="Arial"/>
          <w:color w:val="005EB8"/>
          <w:sz w:val="20"/>
          <w:szCs w:val="20"/>
        </w:rPr>
        <w:instrText xml:space="preserve"> SEQ Exhibit \* ARABIC </w:instrText>
      </w:r>
      <w:r w:rsidR="00D42774" w:rsidRPr="002B21B4">
        <w:rPr>
          <w:rFonts w:ascii="Arial" w:hAnsi="Arial" w:cs="Arial"/>
          <w:color w:val="005EB8"/>
          <w:sz w:val="20"/>
          <w:szCs w:val="20"/>
        </w:rPr>
        <w:fldChar w:fldCharType="separate"/>
      </w:r>
      <w:r w:rsidR="008A2A42">
        <w:rPr>
          <w:rFonts w:ascii="Arial" w:hAnsi="Arial" w:cs="Arial"/>
          <w:noProof/>
          <w:color w:val="005EB8"/>
          <w:sz w:val="20"/>
          <w:szCs w:val="20"/>
        </w:rPr>
        <w:t>13</w:t>
      </w:r>
      <w:r w:rsidR="00D42774" w:rsidRPr="002B21B4">
        <w:rPr>
          <w:rFonts w:ascii="Arial" w:hAnsi="Arial" w:cs="Arial"/>
          <w:color w:val="005EB8"/>
          <w:sz w:val="20"/>
          <w:szCs w:val="20"/>
        </w:rPr>
        <w:fldChar w:fldCharType="end"/>
      </w:r>
      <w:bookmarkEnd w:id="85"/>
      <w:r w:rsidR="00F82116" w:rsidRPr="002B21B4">
        <w:rPr>
          <w:rFonts w:ascii="Arial" w:hAnsi="Arial" w:cs="Arial"/>
          <w:color w:val="005EB8"/>
          <w:sz w:val="20"/>
          <w:szCs w:val="20"/>
        </w:rPr>
        <w:t xml:space="preserve">: Step 1 </w:t>
      </w:r>
      <w:r w:rsidR="00A706EB" w:rsidRPr="002B21B4">
        <w:rPr>
          <w:rFonts w:ascii="Arial" w:hAnsi="Arial" w:cs="Arial"/>
          <w:color w:val="005EB8"/>
          <w:sz w:val="20"/>
          <w:szCs w:val="20"/>
        </w:rPr>
        <w:t>–</w:t>
      </w:r>
      <w:r w:rsidR="00F82116" w:rsidRPr="002B21B4">
        <w:rPr>
          <w:rFonts w:ascii="Arial" w:hAnsi="Arial" w:cs="Arial"/>
          <w:color w:val="005EB8"/>
          <w:sz w:val="20"/>
          <w:szCs w:val="20"/>
        </w:rPr>
        <w:t xml:space="preserve"> Maximum warehousing period before wastage</w:t>
      </w:r>
    </w:p>
    <w:tbl>
      <w:tblPr>
        <w:tblStyle w:val="TableGrid"/>
        <w:tblW w:w="9351" w:type="dxa"/>
        <w:tblLook w:val="04A0" w:firstRow="1" w:lastRow="0" w:firstColumn="1" w:lastColumn="0" w:noHBand="0" w:noVBand="1"/>
      </w:tblPr>
      <w:tblGrid>
        <w:gridCol w:w="9351"/>
      </w:tblGrid>
      <w:tr w:rsidR="00F82116" w:rsidRPr="00943CD5" w14:paraId="37D96DCA" w14:textId="77777777" w:rsidTr="00A673F0">
        <w:trPr>
          <w:trHeight w:val="521"/>
        </w:trPr>
        <w:tc>
          <w:tcPr>
            <w:tcW w:w="9351" w:type="dxa"/>
            <w:shd w:val="clear" w:color="auto" w:fill="B3DEF2"/>
          </w:tcPr>
          <w:p w14:paraId="54681423" w14:textId="77777777" w:rsidR="00F82116" w:rsidRPr="00943CD5" w:rsidRDefault="00F82116" w:rsidP="00EC533F">
            <w:pPr>
              <w:spacing w:line="259" w:lineRule="auto"/>
              <w:rPr>
                <w:rFonts w:ascii="Arial" w:hAnsi="Arial" w:cs="Arial"/>
                <w:i/>
                <w:iCs/>
              </w:rPr>
            </w:pPr>
            <w:bookmarkStart w:id="86" w:name="_Hlk180141282"/>
            <w:r w:rsidRPr="00943CD5">
              <w:rPr>
                <w:rFonts w:ascii="Arial" w:hAnsi="Arial" w:cs="Arial"/>
                <w:b/>
                <w:bCs/>
                <w:i/>
                <w:iCs/>
              </w:rPr>
              <w:t>Maximum warehousing period before wastage</w:t>
            </w:r>
            <w:r w:rsidRPr="00943CD5">
              <w:rPr>
                <w:rFonts w:ascii="Arial" w:hAnsi="Arial" w:cs="Arial"/>
                <w:i/>
                <w:iCs/>
              </w:rPr>
              <w:t xml:space="preserve"> = (Shelf-life) minus (Supply lead-time to RP</w:t>
            </w:r>
            <w:r w:rsidRPr="00943CD5">
              <w:rPr>
                <w:rStyle w:val="FootnoteReference"/>
                <w:rFonts w:ascii="Arial" w:hAnsi="Arial" w:cs="Arial"/>
                <w:i/>
                <w:iCs/>
              </w:rPr>
              <w:footnoteReference w:id="13"/>
            </w:r>
            <w:r w:rsidRPr="00943CD5">
              <w:rPr>
                <w:rFonts w:ascii="Arial" w:hAnsi="Arial" w:cs="Arial"/>
                <w:i/>
                <w:iCs/>
              </w:rPr>
              <w:t>) minus (Commercial shelf-life requirement</w:t>
            </w:r>
            <w:r w:rsidRPr="00943CD5">
              <w:rPr>
                <w:rStyle w:val="FootnoteReference"/>
                <w:rFonts w:ascii="Arial" w:hAnsi="Arial" w:cs="Arial"/>
              </w:rPr>
              <w:footnoteReference w:id="14"/>
            </w:r>
            <w:r w:rsidRPr="00943CD5">
              <w:rPr>
                <w:rFonts w:ascii="Arial" w:hAnsi="Arial" w:cs="Arial"/>
                <w:i/>
                <w:iCs/>
              </w:rPr>
              <w:t>)</w:t>
            </w:r>
          </w:p>
        </w:tc>
      </w:tr>
    </w:tbl>
    <w:bookmarkEnd w:id="86"/>
    <w:p w14:paraId="2B55A784" w14:textId="21D2BCB5" w:rsidR="00F82116" w:rsidRPr="00943CD5" w:rsidRDefault="00F82116" w:rsidP="005E50B2">
      <w:pPr>
        <w:pStyle w:val="ListBullet"/>
        <w:numPr>
          <w:ilvl w:val="0"/>
          <w:numId w:val="0"/>
        </w:numPr>
        <w:tabs>
          <w:tab w:val="left" w:pos="0"/>
        </w:tabs>
        <w:spacing w:before="160" w:after="160" w:line="259" w:lineRule="auto"/>
        <w:jc w:val="both"/>
        <w:rPr>
          <w:rFonts w:cs="Arial"/>
          <w:color w:val="auto"/>
          <w:sz w:val="20"/>
          <w:szCs w:val="20"/>
        </w:rPr>
      </w:pPr>
      <w:r w:rsidRPr="00943CD5">
        <w:rPr>
          <w:rFonts w:cs="Arial"/>
          <w:color w:val="auto"/>
          <w:sz w:val="20"/>
          <w:szCs w:val="20"/>
        </w:rPr>
        <w:t xml:space="preserve">Using information provided in the </w:t>
      </w:r>
      <w:r w:rsidR="002C105E">
        <w:rPr>
          <w:rFonts w:cs="Arial"/>
          <w:color w:val="auto"/>
          <w:sz w:val="20"/>
          <w:szCs w:val="20"/>
        </w:rPr>
        <w:t>RP</w:t>
      </w:r>
      <w:r w:rsidRPr="00943CD5">
        <w:rPr>
          <w:rFonts w:cs="Arial"/>
          <w:color w:val="auto"/>
          <w:sz w:val="20"/>
          <w:szCs w:val="20"/>
        </w:rPr>
        <w:t xml:space="preserve">’s application, the calculation outlined in </w:t>
      </w:r>
      <w:r w:rsidR="00260A8A" w:rsidRPr="00260A8A">
        <w:rPr>
          <w:rFonts w:cs="Arial"/>
          <w:color w:val="auto"/>
          <w:sz w:val="20"/>
          <w:szCs w:val="20"/>
          <w:u w:val="single"/>
        </w:rPr>
        <w:fldChar w:fldCharType="begin"/>
      </w:r>
      <w:r w:rsidR="00260A8A" w:rsidRPr="00260A8A">
        <w:rPr>
          <w:rFonts w:cs="Arial"/>
          <w:color w:val="auto"/>
          <w:sz w:val="20"/>
          <w:szCs w:val="20"/>
          <w:u w:val="single"/>
        </w:rPr>
        <w:instrText xml:space="preserve"> REF _Ref200543106 \h </w:instrText>
      </w:r>
      <w:r w:rsidR="00260A8A">
        <w:rPr>
          <w:rFonts w:cs="Arial"/>
          <w:color w:val="auto"/>
          <w:sz w:val="20"/>
          <w:szCs w:val="20"/>
          <w:u w:val="single"/>
        </w:rPr>
        <w:instrText xml:space="preserve"> \* MERGEFORMAT </w:instrText>
      </w:r>
      <w:r w:rsidR="00260A8A" w:rsidRPr="00260A8A">
        <w:rPr>
          <w:rFonts w:cs="Arial"/>
          <w:color w:val="auto"/>
          <w:sz w:val="20"/>
          <w:szCs w:val="20"/>
          <w:u w:val="single"/>
        </w:rPr>
      </w:r>
      <w:r w:rsidR="00260A8A" w:rsidRPr="00260A8A">
        <w:rPr>
          <w:rFonts w:cs="Arial"/>
          <w:color w:val="auto"/>
          <w:sz w:val="20"/>
          <w:szCs w:val="20"/>
          <w:u w:val="single"/>
        </w:rPr>
        <w:fldChar w:fldCharType="separate"/>
      </w:r>
      <w:r w:rsidR="008A2A42" w:rsidRPr="008A2A42">
        <w:rPr>
          <w:rFonts w:cs="Arial"/>
          <w:color w:val="005EB8"/>
          <w:sz w:val="20"/>
          <w:szCs w:val="20"/>
          <w:u w:val="single"/>
        </w:rPr>
        <w:t xml:space="preserve">Exhibit </w:t>
      </w:r>
      <w:r w:rsidR="008A2A42" w:rsidRPr="008A2A42">
        <w:rPr>
          <w:rFonts w:cs="Arial"/>
          <w:noProof/>
          <w:color w:val="005EB8"/>
          <w:sz w:val="20"/>
          <w:szCs w:val="20"/>
          <w:u w:val="single"/>
        </w:rPr>
        <w:t>13</w:t>
      </w:r>
      <w:r w:rsidR="00260A8A" w:rsidRPr="00260A8A">
        <w:rPr>
          <w:rFonts w:cs="Arial"/>
          <w:color w:val="auto"/>
          <w:sz w:val="20"/>
          <w:szCs w:val="20"/>
          <w:u w:val="single"/>
        </w:rPr>
        <w:fldChar w:fldCharType="end"/>
      </w:r>
      <w:r w:rsidR="000C58AF">
        <w:rPr>
          <w:rFonts w:cs="Arial"/>
          <w:color w:val="auto"/>
          <w:sz w:val="20"/>
          <w:szCs w:val="20"/>
        </w:rPr>
        <w:t xml:space="preserve"> </w:t>
      </w:r>
      <w:r w:rsidRPr="00943CD5">
        <w:rPr>
          <w:rFonts w:cs="Arial"/>
          <w:color w:val="auto"/>
          <w:sz w:val="20"/>
          <w:szCs w:val="20"/>
        </w:rPr>
        <w:t xml:space="preserve">may be performed to determine the maximum period the </w:t>
      </w:r>
      <w:r w:rsidR="002C105E">
        <w:rPr>
          <w:rFonts w:cs="Arial"/>
          <w:color w:val="auto"/>
          <w:sz w:val="20"/>
          <w:szCs w:val="20"/>
        </w:rPr>
        <w:t xml:space="preserve">RP </w:t>
      </w:r>
      <w:r w:rsidRPr="00943CD5">
        <w:rPr>
          <w:rFonts w:cs="Arial"/>
          <w:color w:val="auto"/>
          <w:sz w:val="20"/>
          <w:szCs w:val="20"/>
        </w:rPr>
        <w:t xml:space="preserve">can warehouse stock before it has passed its </w:t>
      </w:r>
      <w:bookmarkStart w:id="87" w:name="OLE_LINK1"/>
      <w:r w:rsidRPr="00943CD5">
        <w:rPr>
          <w:rFonts w:cs="Arial"/>
          <w:color w:val="auto"/>
          <w:sz w:val="20"/>
          <w:szCs w:val="20"/>
        </w:rPr>
        <w:t>commercial shelf-life requirement</w:t>
      </w:r>
      <w:bookmarkEnd w:id="87"/>
      <w:r w:rsidRPr="00943CD5">
        <w:rPr>
          <w:rFonts w:cs="Arial"/>
          <w:color w:val="auto"/>
          <w:sz w:val="20"/>
          <w:szCs w:val="20"/>
        </w:rPr>
        <w:t>.</w:t>
      </w:r>
    </w:p>
    <w:p w14:paraId="10083139" w14:textId="170BECA9" w:rsidR="00F82116" w:rsidRPr="00943CD5" w:rsidRDefault="004F78B0" w:rsidP="005E50B2">
      <w:pPr>
        <w:pStyle w:val="Caption"/>
        <w:keepNext/>
        <w:rPr>
          <w:rFonts w:ascii="Arial" w:hAnsi="Arial" w:cs="Arial"/>
          <w:color w:val="auto"/>
          <w:sz w:val="20"/>
          <w:szCs w:val="20"/>
        </w:rPr>
      </w:pPr>
      <w:bookmarkStart w:id="88" w:name="_Ref200543118"/>
      <w:r w:rsidRPr="002B21B4">
        <w:rPr>
          <w:rFonts w:ascii="Arial" w:hAnsi="Arial" w:cs="Arial"/>
          <w:color w:val="005EB8"/>
          <w:sz w:val="20"/>
          <w:szCs w:val="20"/>
        </w:rPr>
        <w:t xml:space="preserve">Exhibit </w:t>
      </w:r>
      <w:r w:rsidR="00F9653C" w:rsidRPr="002B21B4">
        <w:rPr>
          <w:color w:val="005EB8"/>
        </w:rPr>
        <w:fldChar w:fldCharType="begin"/>
      </w:r>
      <w:r w:rsidR="00F9653C" w:rsidRPr="002B21B4">
        <w:rPr>
          <w:color w:val="005EB8"/>
        </w:rPr>
        <w:instrText xml:space="preserve"> SEQ Exhibit \* ARABIC </w:instrText>
      </w:r>
      <w:r w:rsidR="00F9653C" w:rsidRPr="002B21B4">
        <w:rPr>
          <w:color w:val="005EB8"/>
        </w:rPr>
        <w:fldChar w:fldCharType="separate"/>
      </w:r>
      <w:r w:rsidR="008A2A42">
        <w:rPr>
          <w:noProof/>
          <w:color w:val="005EB8"/>
        </w:rPr>
        <w:t>14</w:t>
      </w:r>
      <w:r w:rsidR="00F9653C" w:rsidRPr="002B21B4">
        <w:rPr>
          <w:color w:val="005EB8"/>
        </w:rPr>
        <w:fldChar w:fldCharType="end"/>
      </w:r>
      <w:bookmarkEnd w:id="88"/>
      <w:r w:rsidRPr="002B21B4">
        <w:rPr>
          <w:rFonts w:ascii="Arial" w:hAnsi="Arial" w:cs="Arial"/>
          <w:color w:val="005EB8"/>
          <w:sz w:val="20"/>
          <w:szCs w:val="20"/>
        </w:rPr>
        <w:t>:</w:t>
      </w:r>
      <w:r w:rsidR="00F82116" w:rsidRPr="002B21B4">
        <w:rPr>
          <w:rFonts w:ascii="Arial" w:hAnsi="Arial" w:cs="Arial"/>
          <w:color w:val="005EB8"/>
          <w:sz w:val="20"/>
          <w:szCs w:val="20"/>
        </w:rPr>
        <w:t xml:space="preserve"> Step 2 – Peak stock level</w:t>
      </w:r>
    </w:p>
    <w:tbl>
      <w:tblPr>
        <w:tblStyle w:val="TableGrid"/>
        <w:tblW w:w="9351" w:type="dxa"/>
        <w:tblLook w:val="04A0" w:firstRow="1" w:lastRow="0" w:firstColumn="1" w:lastColumn="0" w:noHBand="0" w:noVBand="1"/>
      </w:tblPr>
      <w:tblGrid>
        <w:gridCol w:w="9351"/>
      </w:tblGrid>
      <w:tr w:rsidR="00F82116" w:rsidRPr="00943CD5" w14:paraId="4A477F7F" w14:textId="77777777" w:rsidTr="00A673F0">
        <w:trPr>
          <w:trHeight w:val="323"/>
        </w:trPr>
        <w:tc>
          <w:tcPr>
            <w:tcW w:w="9351" w:type="dxa"/>
            <w:shd w:val="clear" w:color="auto" w:fill="B3DEF2"/>
          </w:tcPr>
          <w:p w14:paraId="25550903" w14:textId="77777777" w:rsidR="00F82116" w:rsidRPr="00943CD5" w:rsidRDefault="00F82116" w:rsidP="00EC533F">
            <w:pPr>
              <w:keepNext/>
              <w:spacing w:line="259" w:lineRule="auto"/>
              <w:rPr>
                <w:rFonts w:ascii="Arial" w:hAnsi="Arial" w:cs="Arial"/>
                <w:i/>
                <w:iCs/>
              </w:rPr>
            </w:pPr>
            <w:r w:rsidRPr="00943CD5">
              <w:rPr>
                <w:rFonts w:ascii="Arial" w:hAnsi="Arial" w:cs="Arial"/>
                <w:b/>
                <w:bCs/>
                <w:i/>
                <w:iCs/>
              </w:rPr>
              <w:t>Peak stock level</w:t>
            </w:r>
            <w:r w:rsidRPr="00943CD5">
              <w:rPr>
                <w:rFonts w:ascii="Arial" w:hAnsi="Arial" w:cs="Arial"/>
                <w:i/>
                <w:iCs/>
              </w:rPr>
              <w:t xml:space="preserve"> = Minimum stockholding + safety stock</w:t>
            </w:r>
            <w:r w:rsidRPr="00943CD5">
              <w:rPr>
                <w:rStyle w:val="FootnoteReference"/>
                <w:rFonts w:ascii="Arial" w:hAnsi="Arial" w:cs="Arial"/>
                <w:i/>
                <w:iCs/>
              </w:rPr>
              <w:footnoteReference w:id="15"/>
            </w:r>
            <w:r w:rsidRPr="00943CD5">
              <w:rPr>
                <w:rFonts w:ascii="Arial" w:hAnsi="Arial" w:cs="Arial"/>
                <w:i/>
                <w:iCs/>
              </w:rPr>
              <w:t xml:space="preserve"> + cycle stock</w:t>
            </w:r>
            <w:r w:rsidRPr="00943CD5">
              <w:rPr>
                <w:rStyle w:val="FootnoteReference"/>
                <w:rFonts w:ascii="Arial" w:hAnsi="Arial" w:cs="Arial"/>
                <w:i/>
                <w:iCs/>
              </w:rPr>
              <w:footnoteReference w:id="16"/>
            </w:r>
          </w:p>
        </w:tc>
      </w:tr>
    </w:tbl>
    <w:p w14:paraId="33F308F3" w14:textId="4DF69A98" w:rsidR="00F82116" w:rsidRPr="00943CD5" w:rsidRDefault="00F82116" w:rsidP="005E50B2">
      <w:pPr>
        <w:pStyle w:val="ListBullet"/>
        <w:numPr>
          <w:ilvl w:val="0"/>
          <w:numId w:val="0"/>
        </w:numPr>
        <w:tabs>
          <w:tab w:val="left" w:pos="0"/>
        </w:tabs>
        <w:spacing w:before="160" w:after="160" w:line="259" w:lineRule="auto"/>
        <w:jc w:val="both"/>
        <w:rPr>
          <w:rFonts w:eastAsia="Calibri" w:cs="Arial"/>
          <w:color w:val="auto"/>
          <w:sz w:val="20"/>
          <w:szCs w:val="20"/>
        </w:rPr>
      </w:pPr>
      <w:r w:rsidRPr="00943CD5">
        <w:rPr>
          <w:rFonts w:eastAsia="Calibri" w:cs="Arial"/>
          <w:color w:val="auto"/>
          <w:sz w:val="20"/>
          <w:szCs w:val="20"/>
        </w:rPr>
        <w:t xml:space="preserve">Then, a peak stock level is calculated in accordance with </w:t>
      </w:r>
      <w:r w:rsidR="00F46BD3" w:rsidRPr="00F46BD3">
        <w:rPr>
          <w:rFonts w:eastAsia="Calibri" w:cs="Arial"/>
          <w:color w:val="auto"/>
          <w:sz w:val="20"/>
          <w:szCs w:val="20"/>
          <w:u w:val="single"/>
        </w:rPr>
        <w:fldChar w:fldCharType="begin"/>
      </w:r>
      <w:r w:rsidR="00F46BD3" w:rsidRPr="00F46BD3">
        <w:rPr>
          <w:rFonts w:eastAsia="Calibri" w:cs="Arial"/>
          <w:color w:val="auto"/>
          <w:sz w:val="20"/>
          <w:szCs w:val="20"/>
          <w:u w:val="single"/>
        </w:rPr>
        <w:instrText xml:space="preserve"> REF _Ref200543118 \h </w:instrText>
      </w:r>
      <w:r w:rsidR="00F46BD3">
        <w:rPr>
          <w:rFonts w:eastAsia="Calibri" w:cs="Arial"/>
          <w:color w:val="auto"/>
          <w:sz w:val="20"/>
          <w:szCs w:val="20"/>
          <w:u w:val="single"/>
        </w:rPr>
        <w:instrText xml:space="preserve"> \* MERGEFORMAT </w:instrText>
      </w:r>
      <w:r w:rsidR="00F46BD3" w:rsidRPr="00F46BD3">
        <w:rPr>
          <w:rFonts w:eastAsia="Calibri" w:cs="Arial"/>
          <w:color w:val="auto"/>
          <w:sz w:val="20"/>
          <w:szCs w:val="20"/>
          <w:u w:val="single"/>
        </w:rPr>
      </w:r>
      <w:r w:rsidR="00F46BD3" w:rsidRPr="00F46BD3">
        <w:rPr>
          <w:rFonts w:eastAsia="Calibri" w:cs="Arial"/>
          <w:color w:val="auto"/>
          <w:sz w:val="20"/>
          <w:szCs w:val="20"/>
          <w:u w:val="single"/>
        </w:rPr>
        <w:fldChar w:fldCharType="separate"/>
      </w:r>
      <w:r w:rsidR="008A2A42" w:rsidRPr="008A2A42">
        <w:rPr>
          <w:rFonts w:cs="Arial"/>
          <w:color w:val="005EB8"/>
          <w:sz w:val="20"/>
          <w:szCs w:val="20"/>
          <w:u w:val="single"/>
        </w:rPr>
        <w:t xml:space="preserve">Exhibit </w:t>
      </w:r>
      <w:r w:rsidR="008A2A42" w:rsidRPr="008A2A42">
        <w:rPr>
          <w:noProof/>
          <w:color w:val="005EB8"/>
          <w:u w:val="single"/>
        </w:rPr>
        <w:t>14</w:t>
      </w:r>
      <w:r w:rsidR="00F46BD3" w:rsidRPr="00F46BD3">
        <w:rPr>
          <w:rFonts w:eastAsia="Calibri" w:cs="Arial"/>
          <w:color w:val="auto"/>
          <w:sz w:val="20"/>
          <w:szCs w:val="20"/>
          <w:u w:val="single"/>
        </w:rPr>
        <w:fldChar w:fldCharType="end"/>
      </w:r>
      <w:r w:rsidR="00D75B85">
        <w:rPr>
          <w:rFonts w:cs="Arial"/>
          <w:color w:val="auto"/>
          <w:sz w:val="20"/>
          <w:szCs w:val="20"/>
        </w:rPr>
        <w:t xml:space="preserve"> </w:t>
      </w:r>
      <w:r w:rsidRPr="00943CD5">
        <w:rPr>
          <w:rFonts w:eastAsia="Calibri" w:cs="Arial"/>
          <w:color w:val="auto"/>
          <w:sz w:val="20"/>
          <w:szCs w:val="20"/>
        </w:rPr>
        <w:t xml:space="preserve">using information provided by the </w:t>
      </w:r>
      <w:r w:rsidR="000C58AF">
        <w:rPr>
          <w:rFonts w:eastAsia="Calibri" w:cs="Arial"/>
          <w:color w:val="auto"/>
          <w:sz w:val="20"/>
          <w:szCs w:val="20"/>
        </w:rPr>
        <w:t>RP</w:t>
      </w:r>
      <w:r w:rsidRPr="00943CD5">
        <w:rPr>
          <w:rFonts w:eastAsia="Calibri" w:cs="Arial"/>
          <w:color w:val="auto"/>
          <w:sz w:val="20"/>
          <w:szCs w:val="20"/>
        </w:rPr>
        <w:t>. If a</w:t>
      </w:r>
      <w:r w:rsidR="00A56932">
        <w:rPr>
          <w:rFonts w:eastAsia="Calibri" w:cs="Arial"/>
          <w:color w:val="auto"/>
          <w:sz w:val="20"/>
          <w:szCs w:val="20"/>
        </w:rPr>
        <w:t>n</w:t>
      </w:r>
      <w:r w:rsidR="00D12D7C">
        <w:rPr>
          <w:rFonts w:eastAsia="Calibri" w:cs="Arial"/>
          <w:color w:val="auto"/>
          <w:sz w:val="20"/>
          <w:szCs w:val="20"/>
        </w:rPr>
        <w:t xml:space="preserve"> RP </w:t>
      </w:r>
      <w:r w:rsidRPr="00943CD5">
        <w:rPr>
          <w:rFonts w:eastAsia="Calibri" w:cs="Arial"/>
          <w:color w:val="auto"/>
          <w:sz w:val="20"/>
          <w:szCs w:val="20"/>
        </w:rPr>
        <w:t>does not specify their safety stock and cycle stock quantities, an allowance will generally be made for 1 month safety stock and 1 month cycle stock.</w:t>
      </w:r>
    </w:p>
    <w:p w14:paraId="0DAB15A4" w14:textId="77777777" w:rsidR="00F82116" w:rsidRPr="00943CD5" w:rsidRDefault="00F82116" w:rsidP="005E50B2">
      <w:pPr>
        <w:pStyle w:val="ListBullet"/>
        <w:keepNext/>
        <w:numPr>
          <w:ilvl w:val="0"/>
          <w:numId w:val="0"/>
        </w:numPr>
        <w:tabs>
          <w:tab w:val="left" w:pos="0"/>
        </w:tabs>
        <w:spacing w:before="0" w:after="160" w:line="259" w:lineRule="auto"/>
        <w:rPr>
          <w:rFonts w:eastAsia="Calibri" w:cs="Arial"/>
          <w:color w:val="auto"/>
          <w:sz w:val="20"/>
          <w:szCs w:val="20"/>
        </w:rPr>
      </w:pPr>
      <w:r w:rsidRPr="00943CD5">
        <w:rPr>
          <w:rFonts w:cs="Arial"/>
          <w:b/>
          <w:bCs/>
          <w:color w:val="auto"/>
          <w:sz w:val="20"/>
          <w:szCs w:val="20"/>
        </w:rPr>
        <w:t>Step 3 – Determining wastage</w:t>
      </w:r>
    </w:p>
    <w:p w14:paraId="7769F35D" w14:textId="2E9F4AA0" w:rsidR="00F82116" w:rsidRPr="00943CD5" w:rsidRDefault="00F82116" w:rsidP="005E50B2">
      <w:pPr>
        <w:pStyle w:val="ListBullet"/>
        <w:numPr>
          <w:ilvl w:val="0"/>
          <w:numId w:val="0"/>
        </w:numPr>
        <w:tabs>
          <w:tab w:val="left" w:pos="0"/>
        </w:tabs>
        <w:spacing w:before="0" w:after="160" w:line="259" w:lineRule="auto"/>
        <w:rPr>
          <w:rFonts w:eastAsia="Calibri" w:cs="Arial"/>
          <w:color w:val="auto"/>
          <w:sz w:val="20"/>
          <w:szCs w:val="20"/>
        </w:rPr>
      </w:pPr>
      <w:r w:rsidRPr="00943CD5">
        <w:rPr>
          <w:rFonts w:eastAsia="Calibri" w:cs="Arial"/>
          <w:color w:val="auto"/>
          <w:sz w:val="20"/>
          <w:szCs w:val="20"/>
        </w:rPr>
        <w:t>If the peak stock level (</w:t>
      </w:r>
      <w:r w:rsidR="006F38EA">
        <w:rPr>
          <w:rFonts w:eastAsia="Calibri" w:cs="Arial"/>
          <w:color w:val="auto"/>
          <w:sz w:val="20"/>
          <w:szCs w:val="20"/>
        </w:rPr>
        <w:t>S</w:t>
      </w:r>
      <w:r w:rsidRPr="00943CD5">
        <w:rPr>
          <w:rFonts w:eastAsia="Calibri" w:cs="Arial"/>
          <w:color w:val="auto"/>
          <w:sz w:val="20"/>
          <w:szCs w:val="20"/>
        </w:rPr>
        <w:t>tep 2) is greater than the maximum warehousing period before wastage (</w:t>
      </w:r>
      <w:r w:rsidR="006F38EA">
        <w:rPr>
          <w:rFonts w:eastAsia="Calibri" w:cs="Arial"/>
          <w:color w:val="auto"/>
          <w:sz w:val="20"/>
          <w:szCs w:val="20"/>
        </w:rPr>
        <w:t>S</w:t>
      </w:r>
      <w:r w:rsidRPr="00943CD5">
        <w:rPr>
          <w:rFonts w:eastAsia="Calibri" w:cs="Arial"/>
          <w:color w:val="auto"/>
          <w:sz w:val="20"/>
          <w:szCs w:val="20"/>
        </w:rPr>
        <w:t xml:space="preserve">tep 1), the </w:t>
      </w:r>
      <w:r w:rsidR="00301AB1">
        <w:rPr>
          <w:rFonts w:eastAsia="Calibri" w:cs="Arial"/>
          <w:color w:val="auto"/>
          <w:sz w:val="20"/>
          <w:szCs w:val="20"/>
        </w:rPr>
        <w:t>d</w:t>
      </w:r>
      <w:r w:rsidRPr="00943CD5">
        <w:rPr>
          <w:rFonts w:eastAsia="Calibri" w:cs="Arial"/>
          <w:color w:val="auto"/>
          <w:sz w:val="20"/>
          <w:szCs w:val="20"/>
        </w:rPr>
        <w:t>epartment may recommend the Minister determine a reduced stockholding quantity.</w:t>
      </w:r>
    </w:p>
    <w:p w14:paraId="36AA3F3B" w14:textId="77777777" w:rsidR="00F82116" w:rsidRPr="00943CD5" w:rsidRDefault="00F82116" w:rsidP="005E50B2">
      <w:pPr>
        <w:pStyle w:val="ListBullet"/>
        <w:numPr>
          <w:ilvl w:val="0"/>
          <w:numId w:val="0"/>
        </w:numPr>
        <w:tabs>
          <w:tab w:val="left" w:pos="0"/>
        </w:tabs>
        <w:spacing w:before="0" w:after="160" w:line="259" w:lineRule="auto"/>
        <w:rPr>
          <w:rFonts w:eastAsia="Calibri" w:cs="Arial"/>
          <w:b/>
          <w:bCs/>
          <w:i/>
          <w:iCs/>
          <w:color w:val="auto"/>
          <w:sz w:val="20"/>
          <w:szCs w:val="20"/>
        </w:rPr>
      </w:pPr>
      <w:r w:rsidRPr="00943CD5">
        <w:rPr>
          <w:rFonts w:eastAsia="Calibri" w:cs="Arial"/>
          <w:b/>
          <w:bCs/>
          <w:i/>
          <w:iCs/>
          <w:color w:val="auto"/>
          <w:sz w:val="20"/>
          <w:szCs w:val="20"/>
        </w:rPr>
        <w:t>Worked Example</w:t>
      </w:r>
    </w:p>
    <w:p w14:paraId="3C488B6E" w14:textId="77777777" w:rsidR="00F82116" w:rsidRPr="00943CD5" w:rsidRDefault="00F82116" w:rsidP="00EC533F">
      <w:pPr>
        <w:pStyle w:val="ListBullet"/>
        <w:numPr>
          <w:ilvl w:val="0"/>
          <w:numId w:val="0"/>
        </w:numPr>
        <w:tabs>
          <w:tab w:val="left" w:pos="0"/>
        </w:tabs>
        <w:spacing w:before="0" w:after="160" w:line="259" w:lineRule="auto"/>
        <w:rPr>
          <w:rFonts w:eastAsia="Calibri" w:cs="Arial"/>
          <w:color w:val="auto"/>
          <w:sz w:val="20"/>
          <w:szCs w:val="20"/>
        </w:rPr>
      </w:pPr>
      <w:r w:rsidRPr="00943CD5">
        <w:rPr>
          <w:rFonts w:eastAsia="Calibri" w:cs="Arial"/>
          <w:color w:val="auto"/>
          <w:sz w:val="20"/>
          <w:szCs w:val="20"/>
        </w:rPr>
        <w:t>Applying the above steps to a worked example:</w:t>
      </w:r>
    </w:p>
    <w:p w14:paraId="4619E25D" w14:textId="77777777" w:rsidR="00F82116" w:rsidRPr="00943CD5" w:rsidRDefault="00F82116" w:rsidP="00EC533F">
      <w:pPr>
        <w:pStyle w:val="Caption"/>
        <w:keepNext/>
        <w:spacing w:before="0" w:after="160" w:line="259" w:lineRule="auto"/>
        <w:rPr>
          <w:rFonts w:ascii="Arial" w:hAnsi="Arial" w:cs="Arial"/>
          <w:color w:val="auto"/>
          <w:sz w:val="20"/>
          <w:szCs w:val="20"/>
        </w:rPr>
      </w:pPr>
      <w:r w:rsidRPr="00943CD5">
        <w:rPr>
          <w:rFonts w:ascii="Arial" w:hAnsi="Arial" w:cs="Arial"/>
          <w:color w:val="auto"/>
          <w:sz w:val="20"/>
          <w:szCs w:val="20"/>
        </w:rPr>
        <w:t xml:space="preserve">Step 1 </w:t>
      </w:r>
      <w:r w:rsidR="00A706EB">
        <w:rPr>
          <w:rFonts w:ascii="Arial" w:hAnsi="Arial" w:cs="Arial"/>
          <w:color w:val="auto"/>
          <w:sz w:val="20"/>
          <w:szCs w:val="20"/>
        </w:rPr>
        <w:t>–</w:t>
      </w:r>
      <w:r w:rsidRPr="00943CD5">
        <w:rPr>
          <w:rFonts w:ascii="Arial" w:hAnsi="Arial" w:cs="Arial"/>
          <w:color w:val="auto"/>
          <w:sz w:val="20"/>
          <w:szCs w:val="20"/>
        </w:rPr>
        <w:t xml:space="preserve"> Maximum warehousing period before wastage</w:t>
      </w:r>
    </w:p>
    <w:tbl>
      <w:tblPr>
        <w:tblStyle w:val="TableGrid"/>
        <w:tblW w:w="9351" w:type="dxa"/>
        <w:tblLook w:val="04A0" w:firstRow="1" w:lastRow="0" w:firstColumn="1" w:lastColumn="0" w:noHBand="0" w:noVBand="1"/>
      </w:tblPr>
      <w:tblGrid>
        <w:gridCol w:w="9351"/>
      </w:tblGrid>
      <w:tr w:rsidR="00F82116" w:rsidRPr="00943CD5" w14:paraId="27E1CADA" w14:textId="77777777" w:rsidTr="00A673F0">
        <w:tc>
          <w:tcPr>
            <w:tcW w:w="9351" w:type="dxa"/>
            <w:shd w:val="clear" w:color="auto" w:fill="B3DEF2"/>
          </w:tcPr>
          <w:p w14:paraId="6A0DD6BC" w14:textId="77777777" w:rsidR="00F82116" w:rsidRPr="00943CD5" w:rsidRDefault="00F82116" w:rsidP="00EC533F">
            <w:pPr>
              <w:spacing w:line="259" w:lineRule="auto"/>
              <w:rPr>
                <w:rFonts w:ascii="Arial" w:hAnsi="Arial" w:cs="Arial"/>
                <w:i/>
                <w:iCs/>
              </w:rPr>
            </w:pPr>
            <w:r w:rsidRPr="00943CD5">
              <w:rPr>
                <w:rFonts w:ascii="Arial" w:hAnsi="Arial" w:cs="Arial"/>
                <w:b/>
                <w:bCs/>
                <w:i/>
                <w:iCs/>
              </w:rPr>
              <w:t>Maximum warehousing period before wastage</w:t>
            </w:r>
            <w:r w:rsidRPr="00943CD5">
              <w:rPr>
                <w:rFonts w:ascii="Arial" w:hAnsi="Arial" w:cs="Arial"/>
                <w:i/>
                <w:iCs/>
              </w:rPr>
              <w:t xml:space="preserve"> = (Shelf-life) minus (Supply lead-time to RP) minus (Commercial shelf-life requirement)</w:t>
            </w:r>
          </w:p>
          <w:p w14:paraId="2FF3D90B" w14:textId="77777777" w:rsidR="00F82116" w:rsidRPr="00943CD5" w:rsidRDefault="00F82116" w:rsidP="00EC533F">
            <w:pPr>
              <w:spacing w:line="259" w:lineRule="auto"/>
              <w:rPr>
                <w:rFonts w:ascii="Arial" w:hAnsi="Arial" w:cs="Arial"/>
                <w:i/>
                <w:iCs/>
              </w:rPr>
            </w:pPr>
            <w:r w:rsidRPr="00943CD5">
              <w:rPr>
                <w:rFonts w:ascii="Arial" w:hAnsi="Arial" w:cs="Arial"/>
                <w:i/>
                <w:iCs/>
              </w:rPr>
              <w:t>Where the shelf-life = 18 months; supply lead time = 3 months; and commercial shelf-life = 9 months:</w:t>
            </w:r>
          </w:p>
          <w:p w14:paraId="38DA404E" w14:textId="77777777" w:rsidR="00F82116" w:rsidRPr="00943CD5" w:rsidRDefault="00F82116" w:rsidP="00EC533F">
            <w:pPr>
              <w:spacing w:line="259" w:lineRule="auto"/>
              <w:rPr>
                <w:rFonts w:ascii="Arial" w:hAnsi="Arial" w:cs="Arial"/>
                <w:i/>
                <w:iCs/>
              </w:rPr>
            </w:pPr>
            <w:r w:rsidRPr="00943CD5">
              <w:rPr>
                <w:rFonts w:ascii="Arial" w:hAnsi="Arial" w:cs="Arial"/>
                <w:i/>
                <w:iCs/>
              </w:rPr>
              <w:t>Maximum warehousing period before wastage = 18 – 3 – 9 = 6 months.</w:t>
            </w:r>
          </w:p>
        </w:tc>
      </w:tr>
    </w:tbl>
    <w:p w14:paraId="77E03CAE" w14:textId="77777777" w:rsidR="00B5172C" w:rsidRDefault="00B5172C">
      <w:pPr>
        <w:rPr>
          <w:rFonts w:ascii="Arial" w:hAnsi="Arial" w:cs="Arial"/>
          <w:b/>
          <w:iCs/>
          <w:szCs w:val="20"/>
        </w:rPr>
      </w:pPr>
      <w:r>
        <w:rPr>
          <w:rFonts w:ascii="Arial" w:hAnsi="Arial" w:cs="Arial"/>
          <w:szCs w:val="20"/>
        </w:rPr>
        <w:br w:type="page"/>
      </w:r>
    </w:p>
    <w:p w14:paraId="1C2FD0DC" w14:textId="6384C757" w:rsidR="00F82116" w:rsidRPr="00943CD5" w:rsidRDefault="00F82116" w:rsidP="00EC533F">
      <w:pPr>
        <w:pStyle w:val="Caption"/>
        <w:keepNext/>
        <w:spacing w:before="160" w:after="160" w:line="259" w:lineRule="auto"/>
        <w:rPr>
          <w:rFonts w:ascii="Arial" w:hAnsi="Arial" w:cs="Arial"/>
          <w:color w:val="auto"/>
          <w:sz w:val="20"/>
          <w:szCs w:val="20"/>
        </w:rPr>
      </w:pPr>
      <w:r w:rsidRPr="00943CD5">
        <w:rPr>
          <w:rFonts w:ascii="Arial" w:hAnsi="Arial" w:cs="Arial"/>
          <w:color w:val="auto"/>
          <w:sz w:val="20"/>
          <w:szCs w:val="20"/>
        </w:rPr>
        <w:lastRenderedPageBreak/>
        <w:t>Step 2 – Peak stock level</w:t>
      </w:r>
    </w:p>
    <w:tbl>
      <w:tblPr>
        <w:tblStyle w:val="TableGrid"/>
        <w:tblW w:w="9351" w:type="dxa"/>
        <w:tblLook w:val="04A0" w:firstRow="1" w:lastRow="0" w:firstColumn="1" w:lastColumn="0" w:noHBand="0" w:noVBand="1"/>
      </w:tblPr>
      <w:tblGrid>
        <w:gridCol w:w="9351"/>
      </w:tblGrid>
      <w:tr w:rsidR="00F82116" w:rsidRPr="00943CD5" w14:paraId="7D0E66B1" w14:textId="77777777" w:rsidTr="00A673F0">
        <w:tc>
          <w:tcPr>
            <w:tcW w:w="9351" w:type="dxa"/>
            <w:shd w:val="clear" w:color="auto" w:fill="B3DEF2"/>
          </w:tcPr>
          <w:p w14:paraId="716C3C38" w14:textId="77777777" w:rsidR="00F82116" w:rsidRPr="00943CD5" w:rsidRDefault="00F82116" w:rsidP="00EC533F">
            <w:pPr>
              <w:spacing w:line="259" w:lineRule="auto"/>
              <w:rPr>
                <w:rFonts w:ascii="Arial" w:hAnsi="Arial" w:cs="Arial"/>
                <w:i/>
                <w:iCs/>
              </w:rPr>
            </w:pPr>
            <w:r w:rsidRPr="00943CD5">
              <w:rPr>
                <w:rFonts w:ascii="Arial" w:hAnsi="Arial" w:cs="Arial"/>
                <w:b/>
                <w:bCs/>
                <w:i/>
                <w:iCs/>
              </w:rPr>
              <w:t xml:space="preserve">Peak stock level </w:t>
            </w:r>
            <w:r w:rsidRPr="00943CD5">
              <w:rPr>
                <w:rFonts w:ascii="Arial" w:hAnsi="Arial" w:cs="Arial"/>
                <w:i/>
                <w:iCs/>
              </w:rPr>
              <w:t>= Minimum stockholding + safety stock + cycle stock</w:t>
            </w:r>
          </w:p>
          <w:p w14:paraId="604F284D" w14:textId="341F54EF" w:rsidR="00F82116" w:rsidRPr="00943CD5" w:rsidRDefault="00F82116" w:rsidP="00A673F0">
            <w:pPr>
              <w:spacing w:line="259" w:lineRule="auto"/>
              <w:jc w:val="both"/>
              <w:rPr>
                <w:rFonts w:ascii="Arial" w:hAnsi="Arial" w:cs="Arial"/>
                <w:i/>
                <w:iCs/>
              </w:rPr>
            </w:pPr>
            <w:r w:rsidRPr="00943CD5">
              <w:rPr>
                <w:rFonts w:ascii="Arial" w:hAnsi="Arial" w:cs="Arial"/>
                <w:i/>
                <w:iCs/>
              </w:rPr>
              <w:t xml:space="preserve">Where the minimum stockholding requirement = 6 months; safety stock = 1 month; and </w:t>
            </w:r>
            <w:r w:rsidR="00A673F0">
              <w:rPr>
                <w:rFonts w:ascii="Arial" w:hAnsi="Arial" w:cs="Arial"/>
                <w:i/>
                <w:iCs/>
              </w:rPr>
              <w:br/>
            </w:r>
            <w:r w:rsidRPr="00943CD5">
              <w:rPr>
                <w:rFonts w:ascii="Arial" w:hAnsi="Arial" w:cs="Arial"/>
                <w:i/>
                <w:iCs/>
              </w:rPr>
              <w:t>cycle stock = 1 month:</w:t>
            </w:r>
          </w:p>
          <w:p w14:paraId="57CA0AD5" w14:textId="77777777" w:rsidR="00F82116" w:rsidRPr="00943CD5" w:rsidRDefault="00F82116" w:rsidP="00EC533F">
            <w:pPr>
              <w:spacing w:line="259" w:lineRule="auto"/>
              <w:rPr>
                <w:rFonts w:ascii="Arial" w:hAnsi="Arial" w:cs="Arial"/>
                <w:i/>
                <w:iCs/>
              </w:rPr>
            </w:pPr>
            <w:r w:rsidRPr="00943CD5">
              <w:rPr>
                <w:rFonts w:ascii="Arial" w:hAnsi="Arial" w:cs="Arial"/>
                <w:i/>
                <w:iCs/>
              </w:rPr>
              <w:t>Peak stock level = 6 + 1 + 1 = 8 months.</w:t>
            </w:r>
          </w:p>
        </w:tc>
      </w:tr>
    </w:tbl>
    <w:p w14:paraId="2C8681EC" w14:textId="77777777" w:rsidR="00F82116" w:rsidRPr="00943CD5" w:rsidRDefault="00F82116" w:rsidP="00EC533F">
      <w:pPr>
        <w:pStyle w:val="ListBullet"/>
        <w:numPr>
          <w:ilvl w:val="0"/>
          <w:numId w:val="0"/>
        </w:numPr>
        <w:tabs>
          <w:tab w:val="left" w:pos="0"/>
        </w:tabs>
        <w:spacing w:before="160" w:after="160" w:line="259" w:lineRule="auto"/>
        <w:jc w:val="both"/>
        <w:rPr>
          <w:rFonts w:cs="Arial"/>
          <w:b/>
          <w:bCs/>
          <w:color w:val="auto"/>
          <w:sz w:val="20"/>
          <w:szCs w:val="20"/>
        </w:rPr>
      </w:pPr>
      <w:r w:rsidRPr="00943CD5">
        <w:rPr>
          <w:rFonts w:cs="Arial"/>
          <w:b/>
          <w:bCs/>
          <w:color w:val="auto"/>
          <w:sz w:val="20"/>
          <w:szCs w:val="20"/>
        </w:rPr>
        <w:t>Step 3 – Determining wastage</w:t>
      </w:r>
    </w:p>
    <w:p w14:paraId="3F330AAF" w14:textId="77777777" w:rsidR="00F82116" w:rsidRPr="00943CD5" w:rsidRDefault="00F82116" w:rsidP="00EC533F">
      <w:pPr>
        <w:pStyle w:val="ListBullet"/>
        <w:numPr>
          <w:ilvl w:val="0"/>
          <w:numId w:val="0"/>
        </w:numPr>
        <w:spacing w:before="0" w:after="160" w:line="259" w:lineRule="auto"/>
        <w:jc w:val="both"/>
        <w:rPr>
          <w:rFonts w:eastAsia="Calibri" w:cs="Arial"/>
          <w:color w:val="auto"/>
          <w:sz w:val="20"/>
          <w:szCs w:val="20"/>
        </w:rPr>
      </w:pPr>
      <w:r w:rsidRPr="00943CD5">
        <w:rPr>
          <w:rFonts w:eastAsia="Calibri" w:cs="Arial"/>
          <w:color w:val="auto"/>
          <w:sz w:val="20"/>
          <w:szCs w:val="20"/>
        </w:rPr>
        <w:t>As the peak stock level (8 months) is greater than the maximum warehousing period before wastage (6</w:t>
      </w:r>
      <w:r w:rsidR="00261F19">
        <w:rPr>
          <w:rFonts w:eastAsia="Calibri" w:cs="Arial"/>
          <w:color w:val="auto"/>
          <w:sz w:val="20"/>
          <w:szCs w:val="20"/>
        </w:rPr>
        <w:t> </w:t>
      </w:r>
      <w:r w:rsidRPr="00943CD5">
        <w:rPr>
          <w:rFonts w:eastAsia="Calibri" w:cs="Arial"/>
          <w:color w:val="auto"/>
          <w:sz w:val="20"/>
          <w:szCs w:val="20"/>
        </w:rPr>
        <w:t>months), it is expected that wastage would be induced to meet the MSR.</w:t>
      </w:r>
    </w:p>
    <w:p w14:paraId="242DAE26" w14:textId="639A33AB" w:rsidR="00F82116" w:rsidRPr="00F82116" w:rsidRDefault="00F82116" w:rsidP="00EC533F">
      <w:pPr>
        <w:pStyle w:val="ListBullet"/>
        <w:numPr>
          <w:ilvl w:val="0"/>
          <w:numId w:val="0"/>
        </w:numPr>
        <w:spacing w:before="0" w:after="160" w:line="259" w:lineRule="auto"/>
        <w:jc w:val="both"/>
        <w:rPr>
          <w:rFonts w:asciiTheme="minorHAnsi" w:eastAsia="Calibri" w:hAnsiTheme="minorHAnsi" w:cstheme="minorBidi"/>
          <w:color w:val="auto"/>
          <w:sz w:val="20"/>
          <w:szCs w:val="22"/>
        </w:rPr>
      </w:pPr>
      <w:r w:rsidRPr="00943CD5">
        <w:rPr>
          <w:rFonts w:eastAsia="Calibri" w:cs="Arial"/>
          <w:color w:val="auto"/>
          <w:sz w:val="20"/>
          <w:szCs w:val="20"/>
        </w:rPr>
        <w:t xml:space="preserve">In this example, the </w:t>
      </w:r>
      <w:r w:rsidR="00301AB1">
        <w:rPr>
          <w:rFonts w:eastAsia="Calibri" w:cs="Arial"/>
          <w:color w:val="auto"/>
          <w:sz w:val="20"/>
          <w:szCs w:val="20"/>
        </w:rPr>
        <w:t>d</w:t>
      </w:r>
      <w:r w:rsidRPr="00943CD5">
        <w:rPr>
          <w:rFonts w:eastAsia="Calibri" w:cs="Arial"/>
          <w:color w:val="auto"/>
          <w:sz w:val="20"/>
          <w:szCs w:val="20"/>
        </w:rPr>
        <w:t>epartment may recommend that the Minister determine 'another quantity' of 4 months as the minimum stockholding requirement for the brand. This would result in a lower peak stock level of 6</w:t>
      </w:r>
      <w:r w:rsidR="00261F19">
        <w:rPr>
          <w:rFonts w:eastAsia="Calibri" w:cs="Arial"/>
          <w:color w:val="auto"/>
          <w:sz w:val="20"/>
          <w:szCs w:val="20"/>
        </w:rPr>
        <w:t> </w:t>
      </w:r>
      <w:r w:rsidRPr="00943CD5">
        <w:rPr>
          <w:rFonts w:eastAsia="Calibri" w:cs="Arial"/>
          <w:color w:val="auto"/>
          <w:sz w:val="20"/>
          <w:szCs w:val="20"/>
        </w:rPr>
        <w:t>months, which is equal to the maximum warehousing period</w:t>
      </w:r>
      <w:r w:rsidRPr="00F82116">
        <w:rPr>
          <w:rFonts w:asciiTheme="minorHAnsi" w:eastAsia="Calibri" w:hAnsiTheme="minorHAnsi" w:cstheme="minorBidi"/>
          <w:color w:val="auto"/>
          <w:sz w:val="20"/>
          <w:szCs w:val="22"/>
        </w:rPr>
        <w:t xml:space="preserve"> before wastage.</w:t>
      </w:r>
    </w:p>
    <w:p w14:paraId="077EA1BA" w14:textId="77777777" w:rsidR="00F82116" w:rsidRPr="00F82116" w:rsidRDefault="00F82116" w:rsidP="00EC533F">
      <w:pPr>
        <w:pStyle w:val="ListBullet"/>
        <w:numPr>
          <w:ilvl w:val="0"/>
          <w:numId w:val="0"/>
        </w:numPr>
        <w:spacing w:before="0" w:after="160" w:line="259" w:lineRule="auto"/>
        <w:jc w:val="both"/>
        <w:rPr>
          <w:rFonts w:asciiTheme="minorHAnsi" w:eastAsia="Calibri" w:hAnsiTheme="minorHAnsi" w:cstheme="minorBidi"/>
          <w:color w:val="auto"/>
          <w:sz w:val="20"/>
          <w:szCs w:val="22"/>
        </w:rPr>
      </w:pPr>
      <w:r w:rsidRPr="00F82116">
        <w:rPr>
          <w:rFonts w:asciiTheme="minorHAnsi" w:eastAsia="Calibri" w:hAnsiTheme="minorHAnsi" w:cstheme="minorHAnsi"/>
          <w:b/>
          <w:bCs/>
          <w:i/>
          <w:iCs/>
          <w:color w:val="auto"/>
          <w:sz w:val="20"/>
          <w:szCs w:val="20"/>
        </w:rPr>
        <w:t>Other factors</w:t>
      </w:r>
    </w:p>
    <w:p w14:paraId="200F1FB5" w14:textId="4C33674E" w:rsidR="00F82116" w:rsidRPr="00F82116" w:rsidRDefault="00F82116" w:rsidP="005A2644">
      <w:pPr>
        <w:pStyle w:val="ListBullet"/>
        <w:numPr>
          <w:ilvl w:val="0"/>
          <w:numId w:val="35"/>
        </w:numPr>
        <w:tabs>
          <w:tab w:val="left" w:pos="0"/>
        </w:tabs>
        <w:spacing w:before="0" w:after="160" w:line="259" w:lineRule="auto"/>
        <w:jc w:val="both"/>
        <w:rPr>
          <w:rFonts w:asciiTheme="minorHAnsi" w:eastAsia="Calibri" w:hAnsiTheme="minorHAnsi" w:cstheme="minorHAnsi"/>
          <w:color w:val="auto"/>
          <w:sz w:val="20"/>
          <w:szCs w:val="20"/>
        </w:rPr>
      </w:pPr>
      <w:r w:rsidRPr="00F82116">
        <w:rPr>
          <w:rFonts w:asciiTheme="minorHAnsi" w:eastAsia="Calibri" w:hAnsiTheme="minorHAnsi" w:cstheme="minorHAnsi"/>
          <w:color w:val="auto"/>
          <w:sz w:val="20"/>
          <w:szCs w:val="20"/>
        </w:rPr>
        <w:t>If a</w:t>
      </w:r>
      <w:r w:rsidR="00A56932">
        <w:rPr>
          <w:rFonts w:asciiTheme="minorHAnsi" w:eastAsia="Calibri" w:hAnsiTheme="minorHAnsi" w:cstheme="minorHAnsi"/>
          <w:color w:val="auto"/>
          <w:sz w:val="20"/>
          <w:szCs w:val="20"/>
        </w:rPr>
        <w:t>n</w:t>
      </w:r>
      <w:r w:rsidRPr="00F82116">
        <w:rPr>
          <w:rFonts w:asciiTheme="minorHAnsi" w:eastAsia="Calibri" w:hAnsiTheme="minorHAnsi" w:cstheme="minorHAnsi"/>
          <w:color w:val="auto"/>
          <w:sz w:val="20"/>
          <w:szCs w:val="20"/>
        </w:rPr>
        <w:t xml:space="preserve"> </w:t>
      </w:r>
      <w:r w:rsidR="00261F19">
        <w:rPr>
          <w:rFonts w:asciiTheme="minorHAnsi" w:eastAsia="Calibri" w:hAnsiTheme="minorHAnsi" w:cstheme="minorHAnsi"/>
          <w:color w:val="auto"/>
          <w:sz w:val="20"/>
          <w:szCs w:val="20"/>
        </w:rPr>
        <w:t xml:space="preserve">RP </w:t>
      </w:r>
      <w:r w:rsidRPr="00F82116">
        <w:rPr>
          <w:rFonts w:asciiTheme="minorHAnsi" w:eastAsia="Calibri" w:hAnsiTheme="minorHAnsi" w:cstheme="minorHAnsi"/>
          <w:color w:val="auto"/>
          <w:sz w:val="20"/>
          <w:szCs w:val="20"/>
        </w:rPr>
        <w:t>has minimum order quantities (</w:t>
      </w:r>
      <w:r w:rsidRPr="00F82116">
        <w:rPr>
          <w:rFonts w:asciiTheme="minorHAnsi" w:eastAsia="Calibri" w:hAnsiTheme="minorHAnsi" w:cstheme="minorHAnsi"/>
          <w:b/>
          <w:bCs/>
          <w:color w:val="auto"/>
          <w:sz w:val="20"/>
          <w:szCs w:val="20"/>
        </w:rPr>
        <w:t>MOQs</w:t>
      </w:r>
      <w:r w:rsidRPr="00F82116">
        <w:rPr>
          <w:rFonts w:asciiTheme="minorHAnsi" w:eastAsia="Calibri" w:hAnsiTheme="minorHAnsi" w:cstheme="minorHAnsi"/>
          <w:color w:val="auto"/>
          <w:sz w:val="20"/>
          <w:szCs w:val="20"/>
        </w:rPr>
        <w:t>) resulting in higher levels of cycle stock for a brand, the Minister may consider what attempts a</w:t>
      </w:r>
      <w:r w:rsidR="00A56932">
        <w:rPr>
          <w:rFonts w:asciiTheme="minorHAnsi" w:eastAsia="Calibri" w:hAnsiTheme="minorHAnsi" w:cstheme="minorHAnsi"/>
          <w:color w:val="auto"/>
          <w:sz w:val="20"/>
          <w:szCs w:val="20"/>
        </w:rPr>
        <w:t>n</w:t>
      </w:r>
      <w:r w:rsidRPr="00F82116">
        <w:rPr>
          <w:rFonts w:asciiTheme="minorHAnsi" w:eastAsia="Calibri" w:hAnsiTheme="minorHAnsi" w:cstheme="minorHAnsi"/>
          <w:color w:val="auto"/>
          <w:sz w:val="20"/>
          <w:szCs w:val="20"/>
        </w:rPr>
        <w:t xml:space="preserve"> </w:t>
      </w:r>
      <w:r w:rsidR="00F70CC7">
        <w:rPr>
          <w:rFonts w:asciiTheme="minorHAnsi" w:eastAsia="Calibri" w:hAnsiTheme="minorHAnsi" w:cstheme="minorHAnsi"/>
          <w:color w:val="auto"/>
          <w:sz w:val="20"/>
          <w:szCs w:val="20"/>
        </w:rPr>
        <w:t xml:space="preserve">RP </w:t>
      </w:r>
      <w:r w:rsidRPr="00F82116">
        <w:rPr>
          <w:rFonts w:asciiTheme="minorHAnsi" w:eastAsia="Calibri" w:hAnsiTheme="minorHAnsi" w:cstheme="minorHAnsi"/>
          <w:color w:val="auto"/>
          <w:sz w:val="20"/>
          <w:szCs w:val="20"/>
        </w:rPr>
        <w:t>has made to reduce the MOQs to facilitate compliance.</w:t>
      </w:r>
    </w:p>
    <w:p w14:paraId="7F403300" w14:textId="77777777" w:rsidR="00F82116" w:rsidRPr="00F82116" w:rsidRDefault="00F82116" w:rsidP="005A2644">
      <w:pPr>
        <w:pStyle w:val="ListBullet"/>
        <w:numPr>
          <w:ilvl w:val="0"/>
          <w:numId w:val="35"/>
        </w:numPr>
        <w:tabs>
          <w:tab w:val="left" w:pos="0"/>
        </w:tabs>
        <w:spacing w:before="0" w:after="160" w:line="259" w:lineRule="auto"/>
        <w:jc w:val="both"/>
        <w:rPr>
          <w:rFonts w:asciiTheme="minorHAnsi" w:eastAsia="Calibri" w:hAnsiTheme="minorHAnsi" w:cstheme="minorHAnsi"/>
          <w:color w:val="auto"/>
          <w:sz w:val="20"/>
          <w:szCs w:val="20"/>
        </w:rPr>
      </w:pPr>
      <w:r w:rsidRPr="00F82116">
        <w:rPr>
          <w:rFonts w:asciiTheme="minorHAnsi" w:eastAsia="Calibri" w:hAnsiTheme="minorHAnsi" w:cstheme="minorHAnsi"/>
          <w:color w:val="auto"/>
          <w:sz w:val="20"/>
          <w:szCs w:val="20"/>
        </w:rPr>
        <w:t xml:space="preserve">Where there is pre-existing obsolescence because of short shelf-life and MOQs, the risk of </w:t>
      </w:r>
      <w:r w:rsidRPr="00F82116">
        <w:rPr>
          <w:rFonts w:asciiTheme="minorHAnsi" w:eastAsia="Calibri" w:hAnsiTheme="minorHAnsi" w:cstheme="minorHAnsi"/>
          <w:color w:val="auto"/>
          <w:sz w:val="20"/>
          <w:szCs w:val="20"/>
          <w:u w:val="single"/>
        </w:rPr>
        <w:t>additional</w:t>
      </w:r>
      <w:r w:rsidRPr="00F82116">
        <w:rPr>
          <w:rFonts w:asciiTheme="minorHAnsi" w:eastAsia="Calibri" w:hAnsiTheme="minorHAnsi" w:cstheme="minorHAnsi"/>
          <w:color w:val="auto"/>
          <w:sz w:val="20"/>
          <w:szCs w:val="20"/>
        </w:rPr>
        <w:t xml:space="preserve"> wastage (rather than total wastage) that might result will generally be considered.</w:t>
      </w:r>
    </w:p>
    <w:p w14:paraId="5CF17571" w14:textId="77777777" w:rsidR="00B8174F" w:rsidRPr="00D61052" w:rsidRDefault="00D61052" w:rsidP="005A2644">
      <w:pPr>
        <w:pStyle w:val="ListBullet"/>
        <w:numPr>
          <w:ilvl w:val="0"/>
          <w:numId w:val="35"/>
        </w:numPr>
        <w:tabs>
          <w:tab w:val="left" w:pos="0"/>
        </w:tabs>
        <w:spacing w:before="0" w:after="160" w:line="259" w:lineRule="auto"/>
        <w:jc w:val="both"/>
        <w:rPr>
          <w:rFonts w:asciiTheme="minorHAnsi" w:eastAsia="Calibri" w:hAnsiTheme="minorHAnsi" w:cstheme="minorHAnsi"/>
          <w:color w:val="auto"/>
          <w:sz w:val="20"/>
          <w:szCs w:val="20"/>
        </w:rPr>
      </w:pPr>
      <w:r>
        <w:rPr>
          <w:rFonts w:asciiTheme="minorHAnsi" w:eastAsia="Calibri" w:hAnsiTheme="minorHAnsi" w:cstheme="minorHAnsi"/>
          <w:color w:val="auto"/>
          <w:sz w:val="20"/>
          <w:szCs w:val="20"/>
          <w:lang w:val="en-US"/>
        </w:rPr>
        <w:t>W</w:t>
      </w:r>
      <w:r w:rsidR="00B8174F" w:rsidRPr="00D61052">
        <w:rPr>
          <w:rFonts w:asciiTheme="minorHAnsi" w:eastAsia="Calibri" w:hAnsiTheme="minorHAnsi" w:cstheme="minorHAnsi"/>
          <w:color w:val="auto"/>
          <w:sz w:val="20"/>
          <w:szCs w:val="20"/>
          <w:lang w:val="en-US"/>
        </w:rPr>
        <w:t xml:space="preserve">here </w:t>
      </w:r>
      <w:r>
        <w:rPr>
          <w:rFonts w:asciiTheme="minorHAnsi" w:eastAsia="Calibri" w:hAnsiTheme="minorHAnsi" w:cstheme="minorHAnsi"/>
          <w:color w:val="auto"/>
          <w:sz w:val="20"/>
          <w:szCs w:val="20"/>
          <w:lang w:val="en-US"/>
        </w:rPr>
        <w:t xml:space="preserve">the </w:t>
      </w:r>
      <w:r w:rsidR="00B8174F" w:rsidRPr="00D61052">
        <w:rPr>
          <w:rFonts w:asciiTheme="minorHAnsi" w:eastAsia="Calibri" w:hAnsiTheme="minorHAnsi" w:cstheme="minorHAnsi"/>
          <w:color w:val="auto"/>
          <w:sz w:val="20"/>
          <w:szCs w:val="20"/>
          <w:lang w:val="en-US"/>
        </w:rPr>
        <w:t xml:space="preserve">minimum stockholding </w:t>
      </w:r>
      <w:r>
        <w:rPr>
          <w:rFonts w:asciiTheme="minorHAnsi" w:eastAsia="Calibri" w:hAnsiTheme="minorHAnsi" w:cstheme="minorHAnsi"/>
          <w:color w:val="auto"/>
          <w:sz w:val="20"/>
          <w:szCs w:val="20"/>
          <w:lang w:val="en-US"/>
        </w:rPr>
        <w:t xml:space="preserve">requirement </w:t>
      </w:r>
      <w:r w:rsidR="00B8174F" w:rsidRPr="00D61052">
        <w:rPr>
          <w:rFonts w:asciiTheme="minorHAnsi" w:eastAsia="Calibri" w:hAnsiTheme="minorHAnsi" w:cstheme="minorHAnsi"/>
          <w:color w:val="auto"/>
          <w:sz w:val="20"/>
          <w:szCs w:val="20"/>
          <w:lang w:val="en-US"/>
        </w:rPr>
        <w:t>is based on usual PBS demand (and thus does not represent the whole of market demand for the brand), the extent to which this reduces the risk of wastage to hold a 4 or 6 month stockholding (based on usual PBS demand</w:t>
      </w:r>
      <w:r w:rsidR="00631253">
        <w:rPr>
          <w:rFonts w:asciiTheme="minorHAnsi" w:eastAsia="Calibri" w:hAnsiTheme="minorHAnsi" w:cstheme="minorHAnsi"/>
          <w:color w:val="auto"/>
          <w:sz w:val="20"/>
          <w:szCs w:val="20"/>
          <w:lang w:val="en-US"/>
        </w:rPr>
        <w:t xml:space="preserve"> rather than usual demand</w:t>
      </w:r>
      <w:r w:rsidR="00B8174F" w:rsidRPr="00D61052">
        <w:rPr>
          <w:rFonts w:asciiTheme="minorHAnsi" w:eastAsia="Calibri" w:hAnsiTheme="minorHAnsi" w:cstheme="minorHAnsi"/>
          <w:color w:val="auto"/>
          <w:sz w:val="20"/>
          <w:szCs w:val="20"/>
          <w:lang w:val="en-US"/>
        </w:rPr>
        <w:t xml:space="preserve">) will generally be </w:t>
      </w:r>
      <w:r w:rsidR="00C771F6">
        <w:rPr>
          <w:rFonts w:asciiTheme="minorHAnsi" w:eastAsia="Calibri" w:hAnsiTheme="minorHAnsi" w:cstheme="minorHAnsi"/>
          <w:color w:val="auto"/>
          <w:sz w:val="20"/>
          <w:szCs w:val="20"/>
          <w:lang w:val="en-US"/>
        </w:rPr>
        <w:t>considered</w:t>
      </w:r>
      <w:r w:rsidR="00B8174F" w:rsidRPr="00D61052">
        <w:rPr>
          <w:rFonts w:asciiTheme="minorHAnsi" w:eastAsia="Calibri" w:hAnsiTheme="minorHAnsi" w:cstheme="minorHAnsi"/>
          <w:color w:val="auto"/>
          <w:sz w:val="20"/>
          <w:szCs w:val="20"/>
          <w:lang w:val="en-US"/>
        </w:rPr>
        <w:t>.</w:t>
      </w:r>
    </w:p>
    <w:p w14:paraId="3633665D" w14:textId="77777777" w:rsidR="00F82116" w:rsidRPr="00F82116" w:rsidRDefault="00F70CC7" w:rsidP="005A2644">
      <w:pPr>
        <w:pStyle w:val="ListBullet"/>
        <w:numPr>
          <w:ilvl w:val="0"/>
          <w:numId w:val="35"/>
        </w:numPr>
        <w:tabs>
          <w:tab w:val="left" w:pos="0"/>
        </w:tabs>
        <w:spacing w:before="0" w:after="160" w:line="259" w:lineRule="auto"/>
        <w:jc w:val="both"/>
        <w:rPr>
          <w:rFonts w:asciiTheme="minorHAnsi" w:eastAsia="Calibri" w:hAnsiTheme="minorHAnsi" w:cstheme="minorHAnsi"/>
          <w:color w:val="auto"/>
          <w:sz w:val="20"/>
          <w:szCs w:val="20"/>
        </w:rPr>
      </w:pPr>
      <w:r>
        <w:rPr>
          <w:rFonts w:asciiTheme="minorHAnsi" w:eastAsia="Calibri" w:hAnsiTheme="minorHAnsi" w:cstheme="minorHAnsi"/>
          <w:color w:val="auto"/>
          <w:sz w:val="20"/>
          <w:szCs w:val="20"/>
        </w:rPr>
        <w:t xml:space="preserve">RPs </w:t>
      </w:r>
      <w:r w:rsidR="00F82116" w:rsidRPr="00F82116">
        <w:rPr>
          <w:rFonts w:asciiTheme="minorHAnsi" w:eastAsia="Calibri" w:hAnsiTheme="minorHAnsi" w:cstheme="minorHAnsi"/>
          <w:color w:val="auto"/>
          <w:sz w:val="20"/>
          <w:szCs w:val="20"/>
        </w:rPr>
        <w:t>are expected to improve supply chains and business practices where necessary to facilitate compliance. Determinations may not be recommended if supply chain or business practices can be improved (e.g. by reducing supply lead times or increasing shipment frequency).</w:t>
      </w:r>
    </w:p>
    <w:p w14:paraId="6CEAD05B" w14:textId="657178A0" w:rsidR="00F82116" w:rsidRDefault="00F82116" w:rsidP="005A2644">
      <w:pPr>
        <w:pStyle w:val="ListBullet"/>
        <w:numPr>
          <w:ilvl w:val="0"/>
          <w:numId w:val="35"/>
        </w:numPr>
        <w:tabs>
          <w:tab w:val="left" w:pos="0"/>
        </w:tabs>
        <w:spacing w:before="0" w:after="160" w:line="259" w:lineRule="auto"/>
        <w:jc w:val="both"/>
        <w:rPr>
          <w:rFonts w:asciiTheme="minorHAnsi" w:eastAsia="Calibri" w:hAnsiTheme="minorHAnsi" w:cstheme="minorHAnsi"/>
          <w:color w:val="auto"/>
          <w:sz w:val="20"/>
          <w:szCs w:val="20"/>
        </w:rPr>
      </w:pPr>
      <w:r w:rsidRPr="00F82116">
        <w:rPr>
          <w:rFonts w:asciiTheme="minorHAnsi" w:eastAsia="Calibri" w:hAnsiTheme="minorHAnsi" w:cstheme="minorHAnsi"/>
          <w:color w:val="auto"/>
          <w:sz w:val="20"/>
          <w:szCs w:val="20"/>
        </w:rPr>
        <w:t>Ministerial determinations are made in a quantity and for the period that the Minister considers appropriate. A determination may be made for a limited period which allows time for a</w:t>
      </w:r>
      <w:r w:rsidR="00A56932">
        <w:rPr>
          <w:rFonts w:asciiTheme="minorHAnsi" w:eastAsia="Calibri" w:hAnsiTheme="minorHAnsi" w:cstheme="minorHAnsi"/>
          <w:color w:val="auto"/>
          <w:sz w:val="20"/>
          <w:szCs w:val="20"/>
        </w:rPr>
        <w:t>n</w:t>
      </w:r>
      <w:r w:rsidRPr="00F82116">
        <w:rPr>
          <w:rFonts w:asciiTheme="minorHAnsi" w:eastAsia="Calibri" w:hAnsiTheme="minorHAnsi" w:cstheme="minorHAnsi"/>
          <w:color w:val="auto"/>
          <w:sz w:val="20"/>
          <w:szCs w:val="20"/>
        </w:rPr>
        <w:t xml:space="preserve"> </w:t>
      </w:r>
      <w:r w:rsidR="00F70CC7">
        <w:rPr>
          <w:rFonts w:asciiTheme="minorHAnsi" w:eastAsia="Calibri" w:hAnsiTheme="minorHAnsi" w:cstheme="minorHAnsi"/>
          <w:color w:val="auto"/>
          <w:sz w:val="20"/>
          <w:szCs w:val="20"/>
        </w:rPr>
        <w:t xml:space="preserve">RP </w:t>
      </w:r>
      <w:r w:rsidRPr="00F82116">
        <w:rPr>
          <w:rFonts w:asciiTheme="minorHAnsi" w:eastAsia="Calibri" w:hAnsiTheme="minorHAnsi" w:cstheme="minorHAnsi"/>
          <w:color w:val="auto"/>
          <w:sz w:val="20"/>
          <w:szCs w:val="20"/>
        </w:rPr>
        <w:t xml:space="preserve">to improve their supply chain timing, and the determination may then either be revoked or replaced with a higher (but still reduced) ongoing stockholding requirement that accounts for those expected improvements. </w:t>
      </w:r>
      <w:r w:rsidR="00F70CC7">
        <w:rPr>
          <w:rFonts w:asciiTheme="minorHAnsi" w:eastAsia="Calibri" w:hAnsiTheme="minorHAnsi" w:cstheme="minorHAnsi"/>
          <w:color w:val="auto"/>
          <w:sz w:val="20"/>
          <w:szCs w:val="20"/>
        </w:rPr>
        <w:t xml:space="preserve">RPs </w:t>
      </w:r>
      <w:r w:rsidRPr="00F82116">
        <w:rPr>
          <w:rFonts w:asciiTheme="minorHAnsi" w:eastAsia="Calibri" w:hAnsiTheme="minorHAnsi" w:cstheme="minorHAnsi"/>
          <w:color w:val="auto"/>
          <w:sz w:val="20"/>
          <w:szCs w:val="20"/>
        </w:rPr>
        <w:t xml:space="preserve">may provide additional information regarding their capacity to improve supply chain timing, when responding to an indicative outcome. </w:t>
      </w:r>
      <w:r w:rsidR="00F70CC7">
        <w:rPr>
          <w:rFonts w:asciiTheme="minorHAnsi" w:eastAsia="Calibri" w:hAnsiTheme="minorHAnsi" w:cstheme="minorHAnsi"/>
          <w:color w:val="auto"/>
          <w:sz w:val="20"/>
          <w:szCs w:val="20"/>
        </w:rPr>
        <w:t xml:space="preserve">RPs </w:t>
      </w:r>
      <w:r w:rsidRPr="00F82116">
        <w:rPr>
          <w:rFonts w:asciiTheme="minorHAnsi" w:eastAsia="Calibri" w:hAnsiTheme="minorHAnsi" w:cstheme="minorHAnsi"/>
          <w:color w:val="auto"/>
          <w:sz w:val="20"/>
          <w:szCs w:val="20"/>
        </w:rPr>
        <w:t>may also submit a further application for a Ministerial determination if they have not been able to make improvements to facilitate compliance to the extent expected when a final outcome was previously provided.</w:t>
      </w:r>
    </w:p>
    <w:p w14:paraId="4087A79A" w14:textId="6DDE9C63" w:rsidR="00D05C8D" w:rsidRPr="007E0156" w:rsidRDefault="00303EB9" w:rsidP="002020A7">
      <w:pPr>
        <w:pStyle w:val="Heading2"/>
        <w:ind w:left="578" w:hanging="578"/>
        <w:jc w:val="both"/>
      </w:pPr>
      <w:bookmarkStart w:id="89" w:name="_Toc205482100"/>
      <w:r w:rsidRPr="007E0156">
        <w:t>RPs</w:t>
      </w:r>
      <w:r w:rsidR="00D05C8D" w:rsidRPr="007E0156">
        <w:t xml:space="preserve"> should provide supporting evidence</w:t>
      </w:r>
      <w:bookmarkEnd w:id="89"/>
    </w:p>
    <w:p w14:paraId="4BD7DCC6" w14:textId="21CDA2F1" w:rsidR="000F070D" w:rsidRPr="007E0156" w:rsidRDefault="00303EB9" w:rsidP="00B5172C">
      <w:pPr>
        <w:keepNext/>
        <w:jc w:val="both"/>
      </w:pPr>
      <w:r w:rsidRPr="007E0156">
        <w:t>RPs</w:t>
      </w:r>
      <w:r w:rsidR="009474A9" w:rsidRPr="007E0156">
        <w:t xml:space="preserve"> should </w:t>
      </w:r>
      <w:r w:rsidR="009F3B33">
        <w:t xml:space="preserve">provide </w:t>
      </w:r>
      <w:r w:rsidR="009474A9" w:rsidRPr="007E0156">
        <w:t xml:space="preserve">a comprehensive and complete explanation of their reasons for requesting a </w:t>
      </w:r>
      <w:r w:rsidR="00B336E0" w:rsidRPr="007E0156">
        <w:t>minimum stockholding determination</w:t>
      </w:r>
      <w:r w:rsidR="00861845" w:rsidRPr="007E0156">
        <w:t>,</w:t>
      </w:r>
      <w:r w:rsidR="00BD1041" w:rsidRPr="007E0156">
        <w:t xml:space="preserve"> </w:t>
      </w:r>
      <w:r w:rsidR="00861845" w:rsidRPr="007E0156">
        <w:t xml:space="preserve">including why </w:t>
      </w:r>
      <w:r w:rsidR="00B57F41">
        <w:t xml:space="preserve">they </w:t>
      </w:r>
      <w:r w:rsidR="00861845" w:rsidRPr="007E0156">
        <w:t xml:space="preserve">cannot comply with </w:t>
      </w:r>
      <w:r w:rsidR="00F77480" w:rsidRPr="007E0156">
        <w:t xml:space="preserve">the </w:t>
      </w:r>
      <w:r w:rsidRPr="007E0156">
        <w:t>minimum stockholding requirement that would apply in the absence of a minimum stockholding determination</w:t>
      </w:r>
      <w:r w:rsidR="00861845" w:rsidRPr="007E0156">
        <w:t xml:space="preserve">. </w:t>
      </w:r>
      <w:r w:rsidRPr="007E0156">
        <w:t>RPs</w:t>
      </w:r>
      <w:r w:rsidR="006909F1">
        <w:t xml:space="preserve"> </w:t>
      </w:r>
      <w:r w:rsidR="007778D9" w:rsidRPr="007E0156">
        <w:t xml:space="preserve">should </w:t>
      </w:r>
      <w:r w:rsidR="00531828" w:rsidRPr="007E0156">
        <w:t>provide</w:t>
      </w:r>
      <w:r w:rsidR="007778D9" w:rsidRPr="007E0156">
        <w:t xml:space="preserve"> </w:t>
      </w:r>
      <w:r w:rsidR="006B48D1" w:rsidRPr="007E0156">
        <w:t xml:space="preserve">evidence and </w:t>
      </w:r>
      <w:r w:rsidR="007778D9" w:rsidRPr="007E0156">
        <w:t xml:space="preserve">documentation </w:t>
      </w:r>
      <w:r w:rsidRPr="007E0156">
        <w:t>that</w:t>
      </w:r>
      <w:r w:rsidR="007778D9" w:rsidRPr="007E0156">
        <w:t xml:space="preserve"> support</w:t>
      </w:r>
      <w:r w:rsidRPr="007E0156">
        <w:t>s</w:t>
      </w:r>
      <w:r w:rsidR="007778D9" w:rsidRPr="007E0156">
        <w:t xml:space="preserve"> their </w:t>
      </w:r>
      <w:r w:rsidRPr="007E0156">
        <w:t>request</w:t>
      </w:r>
      <w:r w:rsidR="006B48D1" w:rsidRPr="007E0156">
        <w:t>,</w:t>
      </w:r>
      <w:r w:rsidR="004869B2" w:rsidRPr="007E0156">
        <w:t xml:space="preserve"> including</w:t>
      </w:r>
      <w:r w:rsidR="007778D9" w:rsidRPr="007E0156">
        <w:t xml:space="preserve"> </w:t>
      </w:r>
      <w:r w:rsidR="00531828" w:rsidRPr="007E0156">
        <w:t xml:space="preserve">details of any factors and assumptions underpinning their reasons for </w:t>
      </w:r>
      <w:r w:rsidR="00505E22" w:rsidRPr="007E0156">
        <w:t>requesting</w:t>
      </w:r>
      <w:r w:rsidR="00531828" w:rsidRPr="007E0156">
        <w:t xml:space="preserve"> a </w:t>
      </w:r>
      <w:r w:rsidR="00B336E0" w:rsidRPr="007E0156">
        <w:t>minimum stockholding determination</w:t>
      </w:r>
      <w:r w:rsidRPr="007E0156">
        <w:t>,</w:t>
      </w:r>
      <w:r w:rsidR="003F3176" w:rsidRPr="007E0156">
        <w:t xml:space="preserve"> why</w:t>
      </w:r>
      <w:r w:rsidR="00861845" w:rsidRPr="007E0156">
        <w:t xml:space="preserve"> </w:t>
      </w:r>
      <w:r w:rsidR="00A82BA7" w:rsidRPr="007E0156">
        <w:t xml:space="preserve">it is appropriate for </w:t>
      </w:r>
      <w:r w:rsidR="00A82BA7" w:rsidRPr="007E0156">
        <w:lastRenderedPageBreak/>
        <w:t>the Minister to make a minimum stockholding determination and why the proposed reduced stockholding level is appropriate</w:t>
      </w:r>
      <w:r w:rsidR="0088118C" w:rsidRPr="007E0156">
        <w:t xml:space="preserve">. </w:t>
      </w:r>
      <w:r w:rsidR="009168E8" w:rsidRPr="007E0156">
        <w:t xml:space="preserve">Potential </w:t>
      </w:r>
      <w:r w:rsidR="00A82BA7" w:rsidRPr="007E0156">
        <w:t xml:space="preserve">information and </w:t>
      </w:r>
      <w:r w:rsidR="00712105" w:rsidRPr="007E0156">
        <w:t>documentation</w:t>
      </w:r>
      <w:r w:rsidR="009168E8" w:rsidRPr="007E0156">
        <w:t xml:space="preserve"> could include, </w:t>
      </w:r>
      <w:r w:rsidR="00DA2D33" w:rsidRPr="007E0156">
        <w:t xml:space="preserve">but is not </w:t>
      </w:r>
      <w:r w:rsidR="00B91D8C" w:rsidRPr="007E0156">
        <w:t>limited</w:t>
      </w:r>
      <w:r w:rsidR="009168E8" w:rsidRPr="007E0156">
        <w:t xml:space="preserve"> to</w:t>
      </w:r>
      <w:r w:rsidR="00301E19" w:rsidRPr="007E0156">
        <w:t>:</w:t>
      </w:r>
    </w:p>
    <w:p w14:paraId="0E71C59B" w14:textId="21176A98" w:rsidR="00295553" w:rsidRPr="007E0156" w:rsidRDefault="00A2004F" w:rsidP="005A2644">
      <w:pPr>
        <w:pStyle w:val="ListParagraph"/>
        <w:numPr>
          <w:ilvl w:val="0"/>
          <w:numId w:val="14"/>
        </w:numPr>
        <w:jc w:val="both"/>
      </w:pPr>
      <w:r>
        <w:t>M</w:t>
      </w:r>
      <w:r w:rsidR="00295553" w:rsidRPr="007E0156">
        <w:t xml:space="preserve">anufacturer reports </w:t>
      </w:r>
      <w:r w:rsidR="00C200B4" w:rsidRPr="007E0156">
        <w:t xml:space="preserve">and/or </w:t>
      </w:r>
      <w:r w:rsidR="00CC21F9" w:rsidRPr="007E0156">
        <w:t>Therapeutic Goods Administration (</w:t>
      </w:r>
      <w:r w:rsidR="00C200B4" w:rsidRPr="007E0156">
        <w:rPr>
          <w:b/>
          <w:bCs/>
        </w:rPr>
        <w:t>TGA</w:t>
      </w:r>
      <w:r w:rsidR="00CC21F9" w:rsidRPr="007E0156">
        <w:t>)</w:t>
      </w:r>
      <w:r w:rsidR="00C200B4" w:rsidRPr="007E0156">
        <w:t xml:space="preserve"> reports</w:t>
      </w:r>
      <w:r w:rsidR="00295553" w:rsidRPr="007E0156">
        <w:t xml:space="preserve"> </w:t>
      </w:r>
      <w:r w:rsidR="00911CAD" w:rsidRPr="007E0156">
        <w:t>outlining</w:t>
      </w:r>
      <w:r w:rsidR="00295553" w:rsidRPr="007E0156">
        <w:t xml:space="preserve"> characteristics of </w:t>
      </w:r>
      <w:r w:rsidR="00DA2D33" w:rsidRPr="007E0156">
        <w:t xml:space="preserve">the </w:t>
      </w:r>
      <w:r w:rsidR="00295553" w:rsidRPr="007E0156">
        <w:t>pharmaceutical item</w:t>
      </w:r>
      <w:r w:rsidR="00712105" w:rsidRPr="007E0156">
        <w:t>,</w:t>
      </w:r>
      <w:r w:rsidR="00295553" w:rsidRPr="007E0156">
        <w:t xml:space="preserve"> including </w:t>
      </w:r>
      <w:r w:rsidR="00DA2D33" w:rsidRPr="007E0156">
        <w:t xml:space="preserve">its </w:t>
      </w:r>
      <w:r w:rsidR="00295553" w:rsidRPr="007E0156">
        <w:t>shelf-life</w:t>
      </w:r>
    </w:p>
    <w:p w14:paraId="6F7BFE19" w14:textId="172F7A4D" w:rsidR="00712105" w:rsidRPr="007E0156" w:rsidRDefault="00A2004F" w:rsidP="005A2644">
      <w:pPr>
        <w:pStyle w:val="ListParagraph"/>
        <w:numPr>
          <w:ilvl w:val="0"/>
          <w:numId w:val="14"/>
        </w:numPr>
        <w:jc w:val="both"/>
      </w:pPr>
      <w:r>
        <w:t>W</w:t>
      </w:r>
      <w:r w:rsidR="00712105" w:rsidRPr="007E0156">
        <w:t>holesaler/retailer contracts specifying shelf-life contractual obligations</w:t>
      </w:r>
    </w:p>
    <w:p w14:paraId="52310121" w14:textId="572A1438" w:rsidR="00232BD1" w:rsidRPr="007E0156" w:rsidRDefault="00A2004F" w:rsidP="005A2644">
      <w:pPr>
        <w:pStyle w:val="ListParagraph"/>
        <w:numPr>
          <w:ilvl w:val="0"/>
          <w:numId w:val="14"/>
        </w:numPr>
        <w:jc w:val="both"/>
      </w:pPr>
      <w:r>
        <w:t>I</w:t>
      </w:r>
      <w:r w:rsidR="00232BD1" w:rsidRPr="007E0156">
        <w:t xml:space="preserve">nternal reports and analysis on </w:t>
      </w:r>
      <w:r w:rsidR="00712105" w:rsidRPr="007E0156">
        <w:t>m</w:t>
      </w:r>
      <w:r w:rsidR="00232BD1" w:rsidRPr="007E0156">
        <w:t xml:space="preserve">anufacturing performance </w:t>
      </w:r>
      <w:r w:rsidR="00176A7A" w:rsidRPr="007E0156">
        <w:t>and outlook</w:t>
      </w:r>
    </w:p>
    <w:p w14:paraId="6AAB74DC" w14:textId="073D0632" w:rsidR="00DD5B86" w:rsidRPr="007E0156" w:rsidRDefault="00A2004F" w:rsidP="005A2644">
      <w:pPr>
        <w:pStyle w:val="ListParagraph"/>
        <w:numPr>
          <w:ilvl w:val="0"/>
          <w:numId w:val="14"/>
        </w:numPr>
        <w:jc w:val="both"/>
      </w:pPr>
      <w:r>
        <w:t>T</w:t>
      </w:r>
      <w:r w:rsidR="00232BD1" w:rsidRPr="007E0156">
        <w:t>hird-party correspondence on supply chain conditions (e.g. availability assessment of shipping/air freight)</w:t>
      </w:r>
    </w:p>
    <w:p w14:paraId="5AED71C3" w14:textId="28779879" w:rsidR="00AB0557" w:rsidRPr="007E0156" w:rsidRDefault="00A2004F" w:rsidP="005A2644">
      <w:pPr>
        <w:pStyle w:val="ListParagraph"/>
        <w:numPr>
          <w:ilvl w:val="0"/>
          <w:numId w:val="14"/>
        </w:numPr>
        <w:jc w:val="both"/>
      </w:pPr>
      <w:r>
        <w:t>A</w:t>
      </w:r>
      <w:r w:rsidR="00AB0557" w:rsidRPr="007E0156">
        <w:t xml:space="preserve">nalysis </w:t>
      </w:r>
      <w:r w:rsidR="006C0BD8" w:rsidRPr="007E0156">
        <w:t xml:space="preserve">or reports </w:t>
      </w:r>
      <w:r w:rsidR="00AB0557" w:rsidRPr="007E0156">
        <w:t xml:space="preserve">outlining typical supply chain </w:t>
      </w:r>
      <w:r w:rsidR="00DD7F6B" w:rsidRPr="007E0156">
        <w:t xml:space="preserve">steps and </w:t>
      </w:r>
      <w:r w:rsidR="00AB0557" w:rsidRPr="007E0156">
        <w:t>lead</w:t>
      </w:r>
      <w:r w:rsidR="00DA2D33" w:rsidRPr="007E0156">
        <w:t>-</w:t>
      </w:r>
      <w:r w:rsidR="00AB0557" w:rsidRPr="007E0156">
        <w:t xml:space="preserve">time for that </w:t>
      </w:r>
      <w:r w:rsidR="00DA2D33" w:rsidRPr="007E0156">
        <w:t xml:space="preserve">RP </w:t>
      </w:r>
      <w:r w:rsidR="00256D59" w:rsidRPr="007E0156">
        <w:t xml:space="preserve">and </w:t>
      </w:r>
      <w:r w:rsidR="00D47047" w:rsidRPr="007E0156">
        <w:t>the brand</w:t>
      </w:r>
    </w:p>
    <w:p w14:paraId="36D173A9" w14:textId="0720728B" w:rsidR="002E69C4" w:rsidRPr="007E0156" w:rsidRDefault="00A2004F" w:rsidP="005A2644">
      <w:pPr>
        <w:pStyle w:val="ListParagraph"/>
        <w:numPr>
          <w:ilvl w:val="0"/>
          <w:numId w:val="14"/>
        </w:numPr>
        <w:jc w:val="both"/>
      </w:pPr>
      <w:r>
        <w:t>R</w:t>
      </w:r>
      <w:r w:rsidR="002E69C4" w:rsidRPr="007E0156">
        <w:t>eports outlining a brand</w:t>
      </w:r>
      <w:r w:rsidR="006D6862" w:rsidRPr="007E0156">
        <w:t>’</w:t>
      </w:r>
      <w:r w:rsidR="002E69C4" w:rsidRPr="007E0156">
        <w:t>s packaging arrangement</w:t>
      </w:r>
      <w:r w:rsidR="006C0BD8" w:rsidRPr="007E0156">
        <w:t>s</w:t>
      </w:r>
      <w:r w:rsidR="002E69C4" w:rsidRPr="007E0156">
        <w:t xml:space="preserve"> including contracts with local/offshore third parties</w:t>
      </w:r>
    </w:p>
    <w:p w14:paraId="40811194" w14:textId="0D8BD26C" w:rsidR="00474698" w:rsidRPr="007E0156" w:rsidRDefault="00A2004F" w:rsidP="005A2644">
      <w:pPr>
        <w:pStyle w:val="ListParagraph"/>
        <w:numPr>
          <w:ilvl w:val="0"/>
          <w:numId w:val="14"/>
        </w:numPr>
        <w:jc w:val="both"/>
      </w:pPr>
      <w:r>
        <w:t>A</w:t>
      </w:r>
      <w:r w:rsidR="008642D6" w:rsidRPr="007E0156">
        <w:t>ny other r</w:t>
      </w:r>
      <w:r w:rsidR="00474698" w:rsidRPr="007E0156">
        <w:t xml:space="preserve">eports outlining feasibility of </w:t>
      </w:r>
      <w:r w:rsidR="008642D6" w:rsidRPr="007E0156">
        <w:t xml:space="preserve">meeting </w:t>
      </w:r>
      <w:r w:rsidR="0050544E" w:rsidRPr="007E0156">
        <w:t>minimum</w:t>
      </w:r>
      <w:r w:rsidR="008642D6" w:rsidRPr="007E0156">
        <w:t xml:space="preserve"> stockholding </w:t>
      </w:r>
      <w:r w:rsidR="00284DA7" w:rsidRPr="007E0156">
        <w:t>requirements</w:t>
      </w:r>
      <w:r w:rsidR="00213374" w:rsidRPr="007E0156">
        <w:t xml:space="preserve"> </w:t>
      </w:r>
      <w:r w:rsidR="00442C71" w:rsidRPr="007E0156">
        <w:t xml:space="preserve">whilst maintaining viable </w:t>
      </w:r>
      <w:r w:rsidR="00B007A7" w:rsidRPr="007E0156">
        <w:t>shelf-life</w:t>
      </w:r>
    </w:p>
    <w:p w14:paraId="37A49DEA" w14:textId="49D3217B" w:rsidR="00861845" w:rsidRPr="007E0156" w:rsidRDefault="00A2004F" w:rsidP="005A2644">
      <w:pPr>
        <w:pStyle w:val="ListParagraph"/>
        <w:numPr>
          <w:ilvl w:val="0"/>
          <w:numId w:val="14"/>
        </w:numPr>
        <w:jc w:val="both"/>
      </w:pPr>
      <w:r>
        <w:t>D</w:t>
      </w:r>
      <w:r w:rsidR="00A82BA7" w:rsidRPr="007E0156">
        <w:t>etails of h</w:t>
      </w:r>
      <w:r w:rsidR="00861845" w:rsidRPr="007E0156">
        <w:t xml:space="preserve">ow the </w:t>
      </w:r>
      <w:r w:rsidR="00DA2D33" w:rsidRPr="007E0156">
        <w:t xml:space="preserve">RP </w:t>
      </w:r>
      <w:r w:rsidR="00861845" w:rsidRPr="007E0156">
        <w:t>will ensure continuity of supply based on an alternative stockholding level</w:t>
      </w:r>
      <w:r w:rsidR="00303EB9" w:rsidRPr="007E0156">
        <w:t>.</w:t>
      </w:r>
    </w:p>
    <w:p w14:paraId="78A9AE12" w14:textId="23C314E6" w:rsidR="00590F93" w:rsidRPr="007E0156" w:rsidRDefault="00DA2D33" w:rsidP="00FE7FAF">
      <w:pPr>
        <w:jc w:val="both"/>
      </w:pPr>
      <w:r w:rsidRPr="007E0156">
        <w:t xml:space="preserve">RPs </w:t>
      </w:r>
      <w:r w:rsidR="004F7307" w:rsidRPr="007E0156">
        <w:t xml:space="preserve">should not omit any matters without which the information provided </w:t>
      </w:r>
      <w:r w:rsidRPr="007E0156">
        <w:t xml:space="preserve">would be </w:t>
      </w:r>
      <w:r w:rsidR="0007039E" w:rsidRPr="007E0156">
        <w:t>misleading</w:t>
      </w:r>
      <w:r w:rsidR="00643786" w:rsidRPr="007E0156">
        <w:t>.</w:t>
      </w:r>
      <w:r w:rsidR="00FB425A" w:rsidRPr="007E0156">
        <w:t xml:space="preserve"> </w:t>
      </w:r>
      <w:r w:rsidR="00303EB9" w:rsidRPr="007E0156">
        <w:t>As noted above, g</w:t>
      </w:r>
      <w:r w:rsidR="00FB425A" w:rsidRPr="007E0156">
        <w:t>iving false or misleading information</w:t>
      </w:r>
      <w:r w:rsidRPr="007E0156">
        <w:t>, and producing false or misleading documents,</w:t>
      </w:r>
      <w:r w:rsidR="00FB425A" w:rsidRPr="007E0156">
        <w:t xml:space="preserve"> is an offence.</w:t>
      </w:r>
    </w:p>
    <w:p w14:paraId="114BD92A" w14:textId="567F9AFB" w:rsidR="006D1DE6" w:rsidRPr="007E0156" w:rsidRDefault="007D609A" w:rsidP="00FE7FAF">
      <w:pPr>
        <w:jc w:val="both"/>
      </w:pPr>
      <w:r w:rsidRPr="007E0156">
        <w:t>I</w:t>
      </w:r>
      <w:r w:rsidR="00303EB9" w:rsidRPr="007E0156">
        <w:t>t</w:t>
      </w:r>
      <w:r w:rsidR="00471BC1" w:rsidRPr="007E0156">
        <w:t xml:space="preserve"> is not necessary for all matters listed above to be addressed in a request for </w:t>
      </w:r>
      <w:r w:rsidR="00303EB9" w:rsidRPr="007E0156">
        <w:t xml:space="preserve">a minimum stockholding </w:t>
      </w:r>
      <w:r w:rsidR="006C0BD8" w:rsidRPr="007E0156">
        <w:t>d</w:t>
      </w:r>
      <w:r w:rsidR="00471BC1" w:rsidRPr="007E0156">
        <w:t>etermination</w:t>
      </w:r>
      <w:r w:rsidR="004D66F8" w:rsidRPr="007E0156">
        <w:t>,</w:t>
      </w:r>
      <w:r w:rsidR="00471BC1" w:rsidRPr="007E0156">
        <w:t xml:space="preserve"> nor is it necessary for the Minister to consider all of these matters when deciding whether or not to </w:t>
      </w:r>
      <w:r w:rsidR="00303EB9" w:rsidRPr="007E0156">
        <w:t>make such a determination</w:t>
      </w:r>
      <w:r w:rsidR="006D6862" w:rsidRPr="007E0156">
        <w:t xml:space="preserve">, or the </w:t>
      </w:r>
      <w:r w:rsidR="00303EB9" w:rsidRPr="007E0156">
        <w:t>quantity to determine</w:t>
      </w:r>
      <w:r w:rsidR="00471BC1" w:rsidRPr="007E0156">
        <w:t xml:space="preserve">. It remains open to </w:t>
      </w:r>
      <w:r w:rsidR="00303EB9" w:rsidRPr="007E0156">
        <w:t>RPs</w:t>
      </w:r>
      <w:r w:rsidR="00471BC1" w:rsidRPr="007E0156">
        <w:t xml:space="preserve"> to submit any other reasons why </w:t>
      </w:r>
      <w:r w:rsidR="006535BD" w:rsidRPr="007E0156">
        <w:t xml:space="preserve">the Minister </w:t>
      </w:r>
      <w:r w:rsidR="00303EB9" w:rsidRPr="007E0156">
        <w:t xml:space="preserve">should make a determination and </w:t>
      </w:r>
      <w:r w:rsidR="00FD0CE9" w:rsidRPr="007E0156">
        <w:t xml:space="preserve">determine </w:t>
      </w:r>
      <w:r w:rsidR="00303EB9" w:rsidRPr="007E0156">
        <w:t xml:space="preserve">a specific </w:t>
      </w:r>
      <w:r w:rsidR="00FD0CE9" w:rsidRPr="007E0156">
        <w:t>quantity</w:t>
      </w:r>
      <w:r w:rsidR="00471BC1" w:rsidRPr="007E0156">
        <w:t>, where that matter is not listed above.</w:t>
      </w:r>
    </w:p>
    <w:p w14:paraId="5B5D6E01" w14:textId="74B9CE71" w:rsidR="00471BC1" w:rsidRPr="007E0156" w:rsidRDefault="008D7BD8" w:rsidP="00FE7FAF">
      <w:pPr>
        <w:pStyle w:val="Heading2"/>
        <w:jc w:val="both"/>
      </w:pPr>
      <w:bookmarkStart w:id="90" w:name="_Toc205482101"/>
      <w:r w:rsidRPr="007E0156">
        <w:t>O</w:t>
      </w:r>
      <w:r w:rsidR="00814CDD" w:rsidRPr="007E0156">
        <w:t xml:space="preserve">pportunity to provide additional information </w:t>
      </w:r>
      <w:r w:rsidR="00814692" w:rsidRPr="007E0156">
        <w:t xml:space="preserve">before final outcome; </w:t>
      </w:r>
      <w:r w:rsidR="00C47D10" w:rsidRPr="007E0156">
        <w:t xml:space="preserve">determinations </w:t>
      </w:r>
      <w:r w:rsidR="00FF30CD" w:rsidRPr="007E0156">
        <w:t>may</w:t>
      </w:r>
      <w:r w:rsidR="00C47D10" w:rsidRPr="007E0156">
        <w:t xml:space="preserve"> apply to all brands of an item</w:t>
      </w:r>
      <w:bookmarkEnd w:id="90"/>
    </w:p>
    <w:p w14:paraId="7C4AC9AB" w14:textId="7A06F915" w:rsidR="0055143E" w:rsidRPr="007E0156" w:rsidRDefault="005522E6" w:rsidP="002020A7">
      <w:pPr>
        <w:jc w:val="both"/>
        <w:rPr>
          <w:b/>
          <w:bCs/>
        </w:rPr>
      </w:pPr>
      <w:r w:rsidRPr="007E0156">
        <w:rPr>
          <w:b/>
          <w:bCs/>
        </w:rPr>
        <w:t>Release of assessment outcome</w:t>
      </w:r>
    </w:p>
    <w:p w14:paraId="09BEAF9A" w14:textId="77A4A713" w:rsidR="001C1337" w:rsidRPr="007E0156" w:rsidRDefault="00DA2D33" w:rsidP="00FE7FAF">
      <w:pPr>
        <w:jc w:val="both"/>
      </w:pPr>
      <w:r w:rsidRPr="007E0156">
        <w:t>In response to an application for the Minister to make a minimum stockholding determination t</w:t>
      </w:r>
      <w:r w:rsidR="00471BC1" w:rsidRPr="007E0156">
        <w:t xml:space="preserve">he </w:t>
      </w:r>
      <w:r w:rsidR="00301AB1">
        <w:t>d</w:t>
      </w:r>
      <w:r w:rsidR="009A6C6E" w:rsidRPr="007E0156">
        <w:t xml:space="preserve">epartment </w:t>
      </w:r>
      <w:r w:rsidR="00471BC1" w:rsidRPr="007E0156">
        <w:t>will, in accordance with the timeframes outlined in</w:t>
      </w:r>
      <w:r w:rsidR="0016740A">
        <w:t xml:space="preserve"> </w:t>
      </w:r>
      <w:r w:rsidR="0016740A" w:rsidRPr="008B5C51">
        <w:rPr>
          <w:color w:val="005EB8"/>
          <w:u w:val="single"/>
        </w:rPr>
        <w:fldChar w:fldCharType="begin"/>
      </w:r>
      <w:r w:rsidR="0016740A" w:rsidRPr="008B5C51">
        <w:rPr>
          <w:color w:val="005EB8"/>
          <w:u w:val="single"/>
        </w:rPr>
        <w:instrText xml:space="preserve"> REF _Ref200537925 \h </w:instrText>
      </w:r>
      <w:r w:rsidR="0016740A" w:rsidRPr="008B5C51">
        <w:rPr>
          <w:color w:val="005EB8"/>
          <w:u w:val="single"/>
        </w:rPr>
      </w:r>
      <w:r w:rsidR="0016740A" w:rsidRPr="008B5C51">
        <w:rPr>
          <w:color w:val="005EB8"/>
          <w:u w:val="single"/>
        </w:rPr>
        <w:fldChar w:fldCharType="separate"/>
      </w:r>
      <w:r w:rsidR="008A2A42">
        <w:t xml:space="preserve">Exhibit </w:t>
      </w:r>
      <w:r w:rsidR="008A2A42">
        <w:rPr>
          <w:noProof/>
        </w:rPr>
        <w:t>11</w:t>
      </w:r>
      <w:r w:rsidR="0016740A" w:rsidRPr="008B5C51">
        <w:rPr>
          <w:color w:val="005EB8"/>
          <w:u w:val="single"/>
        </w:rPr>
        <w:fldChar w:fldCharType="end"/>
      </w:r>
      <w:r w:rsidR="00842D43" w:rsidRPr="007E0156">
        <w:t xml:space="preserve"> and </w:t>
      </w:r>
      <w:r w:rsidR="0016740A" w:rsidRPr="008B5C51">
        <w:rPr>
          <w:color w:val="005EB8"/>
          <w:u w:val="single"/>
        </w:rPr>
        <w:fldChar w:fldCharType="begin"/>
      </w:r>
      <w:r w:rsidR="0016740A" w:rsidRPr="008B5C51">
        <w:rPr>
          <w:color w:val="005EB8"/>
          <w:u w:val="single"/>
        </w:rPr>
        <w:instrText xml:space="preserve"> REF _Ref200538234 \h </w:instrText>
      </w:r>
      <w:r w:rsidR="0016740A" w:rsidRPr="008B5C51">
        <w:rPr>
          <w:color w:val="005EB8"/>
          <w:u w:val="single"/>
        </w:rPr>
      </w:r>
      <w:r w:rsidR="0016740A" w:rsidRPr="008B5C51">
        <w:rPr>
          <w:color w:val="005EB8"/>
          <w:u w:val="single"/>
        </w:rPr>
        <w:fldChar w:fldCharType="separate"/>
      </w:r>
      <w:r w:rsidR="008A2A42">
        <w:t xml:space="preserve">Exhibit </w:t>
      </w:r>
      <w:r w:rsidR="008A2A42">
        <w:rPr>
          <w:noProof/>
        </w:rPr>
        <w:t>12</w:t>
      </w:r>
      <w:r w:rsidR="0016740A" w:rsidRPr="008B5C51">
        <w:rPr>
          <w:color w:val="005EB8"/>
          <w:u w:val="single"/>
        </w:rPr>
        <w:fldChar w:fldCharType="end"/>
      </w:r>
      <w:r w:rsidR="006D6862" w:rsidRPr="007E0156">
        <w:t>:</w:t>
      </w:r>
    </w:p>
    <w:p w14:paraId="037411F4" w14:textId="0F69D631" w:rsidR="00DA2D33" w:rsidRPr="007E0156" w:rsidRDefault="00A2004F" w:rsidP="005A2644">
      <w:pPr>
        <w:numPr>
          <w:ilvl w:val="0"/>
          <w:numId w:val="2"/>
        </w:numPr>
        <w:tabs>
          <w:tab w:val="clear" w:pos="2880"/>
        </w:tabs>
        <w:ind w:left="900"/>
        <w:jc w:val="both"/>
      </w:pPr>
      <w:r>
        <w:t>N</w:t>
      </w:r>
      <w:r w:rsidR="007B4D98" w:rsidRPr="007E0156">
        <w:t xml:space="preserve">otify </w:t>
      </w:r>
      <w:r w:rsidR="005522E6" w:rsidRPr="007E0156">
        <w:t xml:space="preserve">the </w:t>
      </w:r>
      <w:r w:rsidR="00303EB9" w:rsidRPr="007E0156">
        <w:t>RP</w:t>
      </w:r>
      <w:r w:rsidR="005522E6" w:rsidRPr="007E0156">
        <w:t xml:space="preserve"> of the indicative decision </w:t>
      </w:r>
      <w:r w:rsidR="005B6513" w:rsidRPr="007E0156">
        <w:t xml:space="preserve">initially </w:t>
      </w:r>
      <w:r w:rsidR="005522E6" w:rsidRPr="007E0156">
        <w:t xml:space="preserve">via </w:t>
      </w:r>
      <w:r w:rsidR="00965CE1" w:rsidRPr="007E0156">
        <w:t xml:space="preserve">email or HPP </w:t>
      </w:r>
      <w:r w:rsidR="00D47047" w:rsidRPr="007E0156">
        <w:t>(depending on submission method)</w:t>
      </w:r>
    </w:p>
    <w:p w14:paraId="2580BCDD" w14:textId="5238190B" w:rsidR="0055143E" w:rsidRPr="007E0156" w:rsidRDefault="00A2004F" w:rsidP="005A2644">
      <w:pPr>
        <w:numPr>
          <w:ilvl w:val="0"/>
          <w:numId w:val="2"/>
        </w:numPr>
        <w:tabs>
          <w:tab w:val="clear" w:pos="2880"/>
        </w:tabs>
        <w:ind w:left="900"/>
        <w:jc w:val="both"/>
      </w:pPr>
      <w:r>
        <w:t>W</w:t>
      </w:r>
      <w:r w:rsidR="007B4D98" w:rsidRPr="007E0156">
        <w:t xml:space="preserve">here </w:t>
      </w:r>
      <w:r w:rsidR="005522E6" w:rsidRPr="007E0156">
        <w:t xml:space="preserve">the indicative Ministerial decision is not to </w:t>
      </w:r>
      <w:r w:rsidR="009A6C6E" w:rsidRPr="007E0156">
        <w:t>make a minimum stockholding determination</w:t>
      </w:r>
      <w:r w:rsidR="005A7FEB" w:rsidRPr="007E0156">
        <w:t xml:space="preserve">, or to make a minimum stockholding determination </w:t>
      </w:r>
      <w:r w:rsidR="009A6C6E" w:rsidRPr="007E0156">
        <w:t xml:space="preserve">in </w:t>
      </w:r>
      <w:r w:rsidR="005A7FEB" w:rsidRPr="007E0156">
        <w:t xml:space="preserve">a different </w:t>
      </w:r>
      <w:r w:rsidR="00DA2D33" w:rsidRPr="007E0156">
        <w:t xml:space="preserve">quantity </w:t>
      </w:r>
      <w:r w:rsidR="005A7FEB" w:rsidRPr="007E0156">
        <w:t xml:space="preserve">to that </w:t>
      </w:r>
      <w:r w:rsidR="009A6C6E" w:rsidRPr="007E0156">
        <w:t xml:space="preserve">sought by the </w:t>
      </w:r>
      <w:r w:rsidR="00303EB9" w:rsidRPr="007E0156">
        <w:t>RP</w:t>
      </w:r>
      <w:r w:rsidR="005522E6" w:rsidRPr="007E0156">
        <w:t xml:space="preserve">, </w:t>
      </w:r>
      <w:r w:rsidR="00A50D94" w:rsidRPr="007E0156">
        <w:t xml:space="preserve">provide a summary </w:t>
      </w:r>
      <w:r w:rsidR="0092284A" w:rsidRPr="007E0156">
        <w:t xml:space="preserve">of </w:t>
      </w:r>
      <w:r w:rsidR="00175074" w:rsidRPr="007E0156">
        <w:t xml:space="preserve">reasons for the indicative decision </w:t>
      </w:r>
      <w:r w:rsidR="00303EB9" w:rsidRPr="007E0156">
        <w:t>and give the RP</w:t>
      </w:r>
      <w:r w:rsidR="005522E6" w:rsidRPr="007E0156">
        <w:t xml:space="preserve"> an opportunity to provide further information to the Minister before a final decision </w:t>
      </w:r>
      <w:r w:rsidR="00303EB9" w:rsidRPr="007E0156">
        <w:t>is made</w:t>
      </w:r>
    </w:p>
    <w:p w14:paraId="56DA3058" w14:textId="34AF1438" w:rsidR="0055143E" w:rsidRPr="007E0156" w:rsidRDefault="00A2004F" w:rsidP="005A2644">
      <w:pPr>
        <w:numPr>
          <w:ilvl w:val="0"/>
          <w:numId w:val="2"/>
        </w:numPr>
        <w:tabs>
          <w:tab w:val="clear" w:pos="2880"/>
        </w:tabs>
        <w:ind w:left="900"/>
        <w:jc w:val="both"/>
      </w:pPr>
      <w:r>
        <w:t>N</w:t>
      </w:r>
      <w:r w:rsidR="007B4D98" w:rsidRPr="007E0156">
        <w:t xml:space="preserve">otify </w:t>
      </w:r>
      <w:r w:rsidR="005522E6" w:rsidRPr="007E0156">
        <w:t xml:space="preserve">the </w:t>
      </w:r>
      <w:r w:rsidR="0092284A" w:rsidRPr="007E0156">
        <w:t xml:space="preserve">RP </w:t>
      </w:r>
      <w:r w:rsidR="005522E6" w:rsidRPr="007E0156">
        <w:t>of the final outcome.</w:t>
      </w:r>
    </w:p>
    <w:p w14:paraId="4BACA60F" w14:textId="05180B08" w:rsidR="00EB2CAF" w:rsidRPr="007E0156" w:rsidRDefault="00303EB9" w:rsidP="00FE7FAF">
      <w:pPr>
        <w:jc w:val="both"/>
      </w:pPr>
      <w:r w:rsidRPr="007E0156">
        <w:t>A</w:t>
      </w:r>
      <w:r w:rsidR="00DA2D33" w:rsidRPr="007E0156">
        <w:t>s noted, a</w:t>
      </w:r>
      <w:r w:rsidR="00EB2CAF" w:rsidRPr="007E0156">
        <w:t xml:space="preserve"> </w:t>
      </w:r>
      <w:r w:rsidR="00B336E0" w:rsidRPr="007E0156">
        <w:t xml:space="preserve">minimum stockholding determination </w:t>
      </w:r>
      <w:r w:rsidR="00EB2CAF" w:rsidRPr="007E0156">
        <w:t xml:space="preserve">is a decision </w:t>
      </w:r>
      <w:r w:rsidRPr="007E0156">
        <w:t xml:space="preserve">made </w:t>
      </w:r>
      <w:r w:rsidR="00EB2CAF" w:rsidRPr="007E0156">
        <w:t xml:space="preserve">by the Minister. Until such a </w:t>
      </w:r>
      <w:r w:rsidR="00FA7FBA" w:rsidRPr="007E0156">
        <w:t>determination</w:t>
      </w:r>
      <w:r w:rsidR="00EB2CAF" w:rsidRPr="007E0156">
        <w:t xml:space="preserve"> is made, no statements</w:t>
      </w:r>
      <w:r w:rsidR="00B57F41">
        <w:t xml:space="preserve"> by</w:t>
      </w:r>
      <w:r w:rsidR="00EB2CAF" w:rsidRPr="007E0156">
        <w:t xml:space="preserve"> the </w:t>
      </w:r>
      <w:r w:rsidR="00301AB1">
        <w:t>d</w:t>
      </w:r>
      <w:r w:rsidR="00EB2CAF" w:rsidRPr="007E0156">
        <w:t xml:space="preserve">epartment </w:t>
      </w:r>
      <w:r w:rsidR="00B57F41">
        <w:t xml:space="preserve">should be interpreted </w:t>
      </w:r>
      <w:r w:rsidR="00EB2CAF" w:rsidRPr="007E0156">
        <w:t xml:space="preserve">as </w:t>
      </w:r>
      <w:r w:rsidR="00B57F41">
        <w:t xml:space="preserve">a </w:t>
      </w:r>
      <w:r w:rsidR="00EB2CAF" w:rsidRPr="007E0156">
        <w:t xml:space="preserve">guarantee that a request </w:t>
      </w:r>
      <w:r w:rsidR="00FA7FBA" w:rsidRPr="007E0156">
        <w:t xml:space="preserve">for a </w:t>
      </w:r>
      <w:r w:rsidRPr="007E0156">
        <w:t xml:space="preserve">minimum stockholding </w:t>
      </w:r>
      <w:r w:rsidR="00FA7FBA" w:rsidRPr="007E0156">
        <w:t xml:space="preserve">determination </w:t>
      </w:r>
      <w:r w:rsidR="00EB2CAF" w:rsidRPr="007E0156">
        <w:t xml:space="preserve">will be </w:t>
      </w:r>
      <w:r w:rsidR="00FA7FBA" w:rsidRPr="007E0156">
        <w:t>approved</w:t>
      </w:r>
      <w:r w:rsidR="00B336E0" w:rsidRPr="007E0156">
        <w:t xml:space="preserve">, or that a particular </w:t>
      </w:r>
      <w:r w:rsidR="00DA2D33" w:rsidRPr="007E0156">
        <w:t xml:space="preserve">quantity </w:t>
      </w:r>
      <w:r w:rsidR="00B336E0" w:rsidRPr="007E0156">
        <w:t>will be determined</w:t>
      </w:r>
      <w:r w:rsidR="001226A0" w:rsidRPr="007E0156">
        <w:t>.</w:t>
      </w:r>
    </w:p>
    <w:p w14:paraId="645F7730" w14:textId="77777777" w:rsidR="00987A8E" w:rsidRPr="007E0156" w:rsidRDefault="00987A8E" w:rsidP="00987A8E">
      <w:pPr>
        <w:pStyle w:val="CommentText"/>
        <w:jc w:val="both"/>
      </w:pPr>
      <w:r w:rsidRPr="007E0156">
        <w:lastRenderedPageBreak/>
        <w:t>If a minimum stockholding determination is not made following an application by an RP (or the determination is made in a different quantity to that sought by the RP), then ‘usual demand’ or ‘another quantity’ determined by the Minister will be the applicable quantity of stock which the RP is required to hold.</w:t>
      </w:r>
    </w:p>
    <w:p w14:paraId="35D0FEFC" w14:textId="7A47AE57" w:rsidR="00987A8E" w:rsidRPr="007E0156" w:rsidRDefault="00987A8E" w:rsidP="00987A8E">
      <w:pPr>
        <w:pStyle w:val="CommentText"/>
        <w:jc w:val="both"/>
      </w:pPr>
      <w:r w:rsidRPr="007E0156">
        <w:t xml:space="preserve">The fact that an </w:t>
      </w:r>
      <w:r w:rsidR="007D609A" w:rsidRPr="007E0156">
        <w:t>a</w:t>
      </w:r>
      <w:r w:rsidRPr="007E0156">
        <w:t xml:space="preserve">pplication has been made by the RP previously does not alter the requirement for the RP to hold the applicable quantity of stock to comply with their minimum stockholding requirement, or to notify the </w:t>
      </w:r>
      <w:r w:rsidR="00301AB1">
        <w:t>d</w:t>
      </w:r>
      <w:r w:rsidRPr="007E0156">
        <w:t>epartment of a likely or actual breach of the minimum stockholding requirements.</w:t>
      </w:r>
    </w:p>
    <w:p w14:paraId="1198CDF5" w14:textId="77777777" w:rsidR="0090416C" w:rsidRPr="007E0156" w:rsidRDefault="0090416C" w:rsidP="000426C8">
      <w:r w:rsidRPr="007E0156">
        <w:rPr>
          <w:b/>
        </w:rPr>
        <w:br w:type="page"/>
      </w:r>
    </w:p>
    <w:p w14:paraId="2E21D804" w14:textId="77777777" w:rsidR="00F126FC" w:rsidRPr="00C26D4D" w:rsidRDefault="00F126FC" w:rsidP="00F126FC">
      <w:pPr>
        <w:pStyle w:val="Heading1"/>
      </w:pPr>
      <w:bookmarkStart w:id="91" w:name="_Toc205482102"/>
      <w:r w:rsidRPr="00C26D4D">
        <w:lastRenderedPageBreak/>
        <w:t>Disclosure and Notifications</w:t>
      </w:r>
      <w:bookmarkEnd w:id="91"/>
    </w:p>
    <w:p w14:paraId="7425756C" w14:textId="66F0B9C2" w:rsidR="00F126FC" w:rsidRDefault="00F126FC" w:rsidP="00F126FC">
      <w:pPr>
        <w:jc w:val="both"/>
      </w:pPr>
      <w:r>
        <w:t xml:space="preserve">RPs </w:t>
      </w:r>
      <w:r w:rsidRPr="00EA6859">
        <w:t xml:space="preserve">subject to stockholding requirements </w:t>
      </w:r>
      <w:r>
        <w:t>must comply with</w:t>
      </w:r>
      <w:r w:rsidRPr="00EA6859">
        <w:t xml:space="preserve"> </w:t>
      </w:r>
      <w:bookmarkStart w:id="92" w:name="_Reporting_and_monitoring"/>
      <w:bookmarkStart w:id="93" w:name="_Ref106975269"/>
      <w:bookmarkEnd w:id="92"/>
      <w:r w:rsidR="00625F7B" w:rsidRPr="007E0156">
        <w:t>separate</w:t>
      </w:r>
      <w:r w:rsidR="002D31A0" w:rsidRPr="007E0156">
        <w:t xml:space="preserve"> disclosure and notification requirements</w:t>
      </w:r>
      <w:r>
        <w:t>:</w:t>
      </w:r>
    </w:p>
    <w:p w14:paraId="6ADDC8A4" w14:textId="0325BFDC" w:rsidR="00F126FC" w:rsidRDefault="00F126FC" w:rsidP="005A2644">
      <w:pPr>
        <w:pStyle w:val="ListParagraph"/>
        <w:numPr>
          <w:ilvl w:val="0"/>
          <w:numId w:val="40"/>
        </w:numPr>
        <w:contextualSpacing/>
        <w:jc w:val="both"/>
        <w:rPr>
          <w:rFonts w:cstheme="minorBidi"/>
          <w:szCs w:val="22"/>
        </w:rPr>
      </w:pPr>
      <w:r>
        <w:rPr>
          <w:rFonts w:cstheme="minorBidi"/>
          <w:szCs w:val="22"/>
        </w:rPr>
        <w:t>Biannual s</w:t>
      </w:r>
      <w:r w:rsidRPr="00C26D4D">
        <w:rPr>
          <w:rFonts w:cstheme="minorBidi"/>
          <w:szCs w:val="22"/>
        </w:rPr>
        <w:t xml:space="preserve">tockholding </w:t>
      </w:r>
      <w:r w:rsidR="00EC1CE3" w:rsidRPr="007E0156">
        <w:t xml:space="preserve">disclosures </w:t>
      </w:r>
      <w:r w:rsidR="00691943" w:rsidRPr="007E0156">
        <w:t xml:space="preserve">must </w:t>
      </w:r>
      <w:r w:rsidR="00B5420D" w:rsidRPr="007E0156">
        <w:t>be made in accordance with</w:t>
      </w:r>
      <w:r w:rsidR="00625F7B" w:rsidRPr="007E0156">
        <w:t xml:space="preserve"> s99AEKF</w:t>
      </w:r>
      <w:r w:rsidR="00B336E0" w:rsidRPr="007E0156">
        <w:t xml:space="preserve"> of the Act and s85C </w:t>
      </w:r>
      <w:r w:rsidR="00DA2D33" w:rsidRPr="007E0156">
        <w:t xml:space="preserve">of the </w:t>
      </w:r>
      <w:r w:rsidR="00B336E0" w:rsidRPr="007E0156">
        <w:t>Regulations</w:t>
      </w:r>
      <w:r w:rsidR="005A7FEB" w:rsidRPr="007E0156">
        <w:t>.</w:t>
      </w:r>
    </w:p>
    <w:p w14:paraId="712FA326" w14:textId="079220E1" w:rsidR="00F126FC" w:rsidRDefault="00F126FC" w:rsidP="005A2644">
      <w:pPr>
        <w:pStyle w:val="ListParagraph"/>
        <w:numPr>
          <w:ilvl w:val="0"/>
          <w:numId w:val="40"/>
        </w:numPr>
        <w:contextualSpacing/>
        <w:jc w:val="both"/>
        <w:rPr>
          <w:rFonts w:cstheme="minorBidi"/>
          <w:szCs w:val="22"/>
        </w:rPr>
      </w:pPr>
      <w:r>
        <w:rPr>
          <w:rFonts w:cstheme="minorBidi"/>
          <w:szCs w:val="22"/>
        </w:rPr>
        <w:t xml:space="preserve">If </w:t>
      </w:r>
      <w:r w:rsidR="005A7FEB" w:rsidRPr="007E0156">
        <w:t xml:space="preserve">a breach </w:t>
      </w:r>
      <w:r>
        <w:rPr>
          <w:rFonts w:cstheme="minorBidi"/>
          <w:szCs w:val="22"/>
        </w:rPr>
        <w:t>of the minimum stockholding requirements is</w:t>
      </w:r>
      <w:r w:rsidRPr="00C26D4D">
        <w:rPr>
          <w:rFonts w:cstheme="minorBidi"/>
          <w:szCs w:val="22"/>
        </w:rPr>
        <w:t xml:space="preserve"> </w:t>
      </w:r>
      <w:r w:rsidR="005A7FEB" w:rsidRPr="007E0156">
        <w:t xml:space="preserve">likely </w:t>
      </w:r>
      <w:r>
        <w:rPr>
          <w:rFonts w:cstheme="minorBidi"/>
          <w:szCs w:val="22"/>
        </w:rPr>
        <w:t>to occur, or actually occurs</w:t>
      </w:r>
      <w:r w:rsidR="005A7FEB" w:rsidRPr="007E0156">
        <w:t xml:space="preserve">, the </w:t>
      </w:r>
      <w:r w:rsidR="00B5420D" w:rsidRPr="007E0156">
        <w:t>RP</w:t>
      </w:r>
      <w:r w:rsidR="005A7FEB" w:rsidRPr="007E0156">
        <w:t xml:space="preserve"> must </w:t>
      </w:r>
      <w:r>
        <w:rPr>
          <w:rFonts w:cstheme="minorBidi"/>
          <w:szCs w:val="22"/>
        </w:rPr>
        <w:t>notify</w:t>
      </w:r>
      <w:r w:rsidR="005A7FEB" w:rsidRPr="007E0156">
        <w:t xml:space="preserve"> </w:t>
      </w:r>
      <w:r w:rsidR="00DA2D33" w:rsidRPr="007E0156">
        <w:t xml:space="preserve">the </w:t>
      </w:r>
      <w:r>
        <w:rPr>
          <w:rFonts w:cstheme="minorBidi"/>
          <w:szCs w:val="22"/>
        </w:rPr>
        <w:t>Minister as</w:t>
      </w:r>
      <w:r w:rsidR="00EC1CE3" w:rsidRPr="007E0156">
        <w:t xml:space="preserve"> </w:t>
      </w:r>
      <w:r w:rsidR="00B5420D" w:rsidRPr="007E0156">
        <w:t xml:space="preserve">set out in </w:t>
      </w:r>
      <w:r w:rsidR="00625F7B" w:rsidRPr="007E0156">
        <w:t>s99AEKD</w:t>
      </w:r>
      <w:r w:rsidR="00B336E0" w:rsidRPr="007E0156">
        <w:t xml:space="preserve"> of the Act</w:t>
      </w:r>
      <w:r w:rsidR="00625F7B" w:rsidRPr="007E0156">
        <w:t>.</w:t>
      </w:r>
    </w:p>
    <w:p w14:paraId="7C7519FB" w14:textId="0E8F7421" w:rsidR="002D31A0" w:rsidRPr="007E0156" w:rsidRDefault="00F126FC" w:rsidP="00FE7FAF">
      <w:pPr>
        <w:jc w:val="both"/>
      </w:pPr>
      <w:r>
        <w:t xml:space="preserve">In </w:t>
      </w:r>
      <w:r w:rsidR="002A188E" w:rsidRPr="007E0156">
        <w:t>this section</w:t>
      </w:r>
      <w:r>
        <w:t>,</w:t>
      </w:r>
      <w:r w:rsidR="00625F7B" w:rsidRPr="007E0156">
        <w:t xml:space="preserve"> </w:t>
      </w:r>
      <w:r w:rsidR="0049741A" w:rsidRPr="007E0156">
        <w:t>disclosure and</w:t>
      </w:r>
      <w:r w:rsidRPr="00C26D4D">
        <w:t xml:space="preserve"> notification</w:t>
      </w:r>
      <w:r w:rsidR="00642CB8" w:rsidRPr="007E0156">
        <w:t xml:space="preserve"> </w:t>
      </w:r>
      <w:r w:rsidR="00625F7B" w:rsidRPr="007E0156">
        <w:t>requirements are discussed in</w:t>
      </w:r>
      <w:r w:rsidRPr="00C26D4D">
        <w:t xml:space="preserve"> detail</w:t>
      </w:r>
      <w:r>
        <w:t>.</w:t>
      </w:r>
      <w:r w:rsidR="00625F7B" w:rsidRPr="007E0156">
        <w:t xml:space="preserve"> </w:t>
      </w:r>
      <w:hyperlink w:anchor="_Management_of_breaches">
        <w:r w:rsidRPr="00820795">
          <w:rPr>
            <w:color w:val="005EB8" w:themeColor="text2"/>
            <w:u w:val="single"/>
          </w:rPr>
          <w:t>Section 8</w:t>
        </w:r>
      </w:hyperlink>
      <w:r>
        <w:t xml:space="preserve"> discusses how to manage compliance with the requirements and the </w:t>
      </w:r>
      <w:r w:rsidR="00301AB1">
        <w:t>d</w:t>
      </w:r>
      <w:r>
        <w:t>epartment’s approach to monitoring and enforcing compliance with the legislative framework</w:t>
      </w:r>
      <w:r w:rsidRPr="00C26D4D">
        <w:t>.</w:t>
      </w:r>
      <w:r>
        <w:t xml:space="preserve"> </w:t>
      </w:r>
      <w:r w:rsidRPr="00EA6859">
        <w:t>All submissions, documents and information provided for stockholding disclosures</w:t>
      </w:r>
      <w:r>
        <w:t xml:space="preserve"> and notifications</w:t>
      </w:r>
      <w:r w:rsidRPr="00EA6859">
        <w:t xml:space="preserve"> will be handled consistently with the </w:t>
      </w:r>
      <w:r w:rsidRPr="00EA6859">
        <w:rPr>
          <w:i/>
          <w:iCs/>
        </w:rPr>
        <w:t>National Health Act 1953</w:t>
      </w:r>
      <w:r w:rsidRPr="00EA6859">
        <w:t xml:space="preserve"> and the </w:t>
      </w:r>
      <w:r w:rsidRPr="00EA6859">
        <w:rPr>
          <w:i/>
          <w:iCs/>
        </w:rPr>
        <w:t>Privacy Act 1988</w:t>
      </w:r>
      <w:r w:rsidRPr="00EA6859">
        <w:t>.</w:t>
      </w:r>
      <w:bookmarkEnd w:id="93"/>
    </w:p>
    <w:p w14:paraId="4B7C8B1D" w14:textId="6568394E" w:rsidR="00FD55C4" w:rsidRPr="007E0156" w:rsidRDefault="00F126FC" w:rsidP="00FE7FAF">
      <w:pPr>
        <w:pStyle w:val="Heading2"/>
        <w:jc w:val="both"/>
      </w:pPr>
      <w:bookmarkStart w:id="94" w:name="_Stockholding_disclosure_requirement"/>
      <w:bookmarkStart w:id="95" w:name="_Ref106975286"/>
      <w:bookmarkStart w:id="96" w:name="_Toc205482103"/>
      <w:bookmarkEnd w:id="94"/>
      <w:r w:rsidRPr="00C26D4D">
        <w:t>Disclosure</w:t>
      </w:r>
      <w:r w:rsidR="00FD55C4" w:rsidRPr="007E0156">
        <w:t xml:space="preserve"> requirements</w:t>
      </w:r>
      <w:bookmarkEnd w:id="95"/>
      <w:bookmarkEnd w:id="96"/>
    </w:p>
    <w:p w14:paraId="63C49B1B" w14:textId="61280AEB" w:rsidR="0092401F" w:rsidRPr="007E0156" w:rsidRDefault="00B5420D" w:rsidP="00FE7FAF">
      <w:pPr>
        <w:jc w:val="both"/>
      </w:pPr>
      <w:r w:rsidRPr="007E0156">
        <w:t>RPs</w:t>
      </w:r>
      <w:r w:rsidR="0092401F" w:rsidRPr="007E0156">
        <w:t xml:space="preserve"> for </w:t>
      </w:r>
      <w:r w:rsidR="005A7FEB" w:rsidRPr="007E0156">
        <w:t xml:space="preserve">designated brands </w:t>
      </w:r>
      <w:r w:rsidR="0092401F" w:rsidRPr="007E0156">
        <w:t xml:space="preserve">subject to </w:t>
      </w:r>
      <w:r w:rsidR="00DA2D33" w:rsidRPr="007E0156">
        <w:t xml:space="preserve">the </w:t>
      </w:r>
      <w:r w:rsidRPr="007E0156">
        <w:t xml:space="preserve">minimum </w:t>
      </w:r>
      <w:r w:rsidR="0092401F" w:rsidRPr="007E0156">
        <w:t xml:space="preserve">stockholding </w:t>
      </w:r>
      <w:r w:rsidR="00284DA7" w:rsidRPr="007E0156">
        <w:t>requirement</w:t>
      </w:r>
      <w:r w:rsidR="00213374" w:rsidRPr="007E0156">
        <w:t xml:space="preserve"> </w:t>
      </w:r>
      <w:r w:rsidR="0092401F" w:rsidRPr="007E0156">
        <w:t xml:space="preserve">are required to comply with </w:t>
      </w:r>
      <w:r w:rsidR="00DA2D33" w:rsidRPr="007E0156">
        <w:t xml:space="preserve">the </w:t>
      </w:r>
      <w:r w:rsidR="0092401F" w:rsidRPr="007E0156">
        <w:t>stockholding disclosure requirements</w:t>
      </w:r>
      <w:r w:rsidRPr="007E0156">
        <w:t xml:space="preserve"> set out</w:t>
      </w:r>
      <w:r w:rsidR="00033A55" w:rsidRPr="007E0156">
        <w:t xml:space="preserve"> in</w:t>
      </w:r>
      <w:r w:rsidR="00BC7088" w:rsidRPr="007E0156">
        <w:t xml:space="preserve"> </w:t>
      </w:r>
      <w:r w:rsidR="00F641AC" w:rsidRPr="007E0156">
        <w:t>s99AEKF of the Act and s85C of the Regulations</w:t>
      </w:r>
      <w:r w:rsidR="0092401F" w:rsidRPr="007E0156">
        <w:t xml:space="preserve">. </w:t>
      </w:r>
      <w:r w:rsidR="00F126FC" w:rsidRPr="00EA6859">
        <w:t xml:space="preserve">The Act </w:t>
      </w:r>
      <w:r w:rsidR="00F126FC">
        <w:t>sets out the general</w:t>
      </w:r>
      <w:r w:rsidR="00F126FC" w:rsidRPr="00EA6859">
        <w:t xml:space="preserve"> stockholding disclosure requirements</w:t>
      </w:r>
      <w:r w:rsidR="00F126FC">
        <w:t xml:space="preserve"> and penalties for non-compliance.</w:t>
      </w:r>
      <w:r w:rsidR="00F126FC" w:rsidRPr="00EA6859">
        <w:t xml:space="preserve"> </w:t>
      </w:r>
      <w:r w:rsidR="00B336E0" w:rsidRPr="007E0156">
        <w:t>Section</w:t>
      </w:r>
      <w:r w:rsidR="00052D36">
        <w:t> </w:t>
      </w:r>
      <w:r w:rsidR="00B336E0" w:rsidRPr="007E0156">
        <w:t xml:space="preserve">85C of the Regulations </w:t>
      </w:r>
      <w:r w:rsidR="00F126FC">
        <w:t>prescribes</w:t>
      </w:r>
      <w:r w:rsidR="0092401F" w:rsidRPr="007E0156">
        <w:t xml:space="preserve"> the information </w:t>
      </w:r>
      <w:r w:rsidR="00DA2D33" w:rsidRPr="007E0156">
        <w:t>required to be disclosed</w:t>
      </w:r>
      <w:r w:rsidR="00F126FC">
        <w:t>, how that information must be provided</w:t>
      </w:r>
      <w:r w:rsidR="00F126FC" w:rsidRPr="00EA6859">
        <w:t xml:space="preserve"> and timeframe</w:t>
      </w:r>
      <w:r w:rsidR="00F126FC">
        <w:t>s</w:t>
      </w:r>
      <w:r w:rsidR="0092401F" w:rsidRPr="007E0156">
        <w:t xml:space="preserve"> </w:t>
      </w:r>
      <w:r w:rsidRPr="007E0156">
        <w:t xml:space="preserve">in which </w:t>
      </w:r>
      <w:r w:rsidR="0049741A" w:rsidRPr="007E0156">
        <w:t xml:space="preserve">disclosure </w:t>
      </w:r>
      <w:r w:rsidRPr="007E0156">
        <w:t>must be made</w:t>
      </w:r>
      <w:r w:rsidR="0049741A" w:rsidRPr="007E0156">
        <w:t>.</w:t>
      </w:r>
    </w:p>
    <w:p w14:paraId="42D5EE82" w14:textId="77777777" w:rsidR="00F126FC" w:rsidRPr="00EA6859" w:rsidRDefault="00F126FC" w:rsidP="005A2644">
      <w:pPr>
        <w:numPr>
          <w:ilvl w:val="0"/>
          <w:numId w:val="18"/>
        </w:numPr>
        <w:jc w:val="both"/>
        <w:rPr>
          <w:b/>
          <w:bCs/>
        </w:rPr>
      </w:pPr>
      <w:r w:rsidRPr="00EA6859">
        <w:rPr>
          <w:b/>
          <w:bCs/>
        </w:rPr>
        <w:t xml:space="preserve">Required information </w:t>
      </w:r>
      <w:r>
        <w:rPr>
          <w:b/>
          <w:bCs/>
        </w:rPr>
        <w:t>for stockholding disclosure</w:t>
      </w:r>
    </w:p>
    <w:p w14:paraId="3B13FF93" w14:textId="23F96F77" w:rsidR="005A6B05" w:rsidRPr="007E0156" w:rsidRDefault="00AC6178" w:rsidP="00FE7FAF">
      <w:pPr>
        <w:jc w:val="both"/>
      </w:pPr>
      <w:r w:rsidRPr="007E0156">
        <w:t>For each brand of a pharmaceutical item which is subject to the minimum stockholding requirement, RPs must report biannually on the quantity of the brand of pharmaceutical item kept in stock in Australia.</w:t>
      </w:r>
      <w:r w:rsidR="0092401F" w:rsidRPr="007E0156">
        <w:t xml:space="preserve"> </w:t>
      </w:r>
      <w:r w:rsidR="00F126FC">
        <w:t>RPs must provide the prescribed information</w:t>
      </w:r>
      <w:r w:rsidR="005A6B05" w:rsidRPr="007E0156">
        <w:t xml:space="preserve"> for the </w:t>
      </w:r>
      <w:r w:rsidR="00F126FC">
        <w:t xml:space="preserve">two </w:t>
      </w:r>
      <w:r w:rsidR="005A6B05" w:rsidRPr="007E0156">
        <w:t xml:space="preserve">periods </w:t>
      </w:r>
      <w:r w:rsidR="00F126FC">
        <w:t>from</w:t>
      </w:r>
      <w:r w:rsidR="00F126FC" w:rsidRPr="00EA6859">
        <w:t xml:space="preserve"> </w:t>
      </w:r>
      <w:r w:rsidR="00A17AD1" w:rsidRPr="007E0156">
        <w:t xml:space="preserve">1 April to 30 September and </w:t>
      </w:r>
      <w:r w:rsidR="005A6B05" w:rsidRPr="007E0156">
        <w:t>1</w:t>
      </w:r>
      <w:r w:rsidR="00B336E0" w:rsidRPr="007E0156">
        <w:t> </w:t>
      </w:r>
      <w:r w:rsidR="005A6B05" w:rsidRPr="007E0156">
        <w:t xml:space="preserve">October to 31 March </w:t>
      </w:r>
      <w:r w:rsidR="00F71BD3" w:rsidRPr="007E0156">
        <w:t xml:space="preserve">of the </w:t>
      </w:r>
      <w:r w:rsidR="00F126FC">
        <w:t>following year.</w:t>
      </w:r>
    </w:p>
    <w:p w14:paraId="1618D331" w14:textId="2A8F248D" w:rsidR="0092401F" w:rsidRPr="007E0156" w:rsidRDefault="00B5420D" w:rsidP="00FE7FAF">
      <w:pPr>
        <w:jc w:val="both"/>
      </w:pPr>
      <w:r w:rsidRPr="007E0156">
        <w:t>RPs must provide the following information</w:t>
      </w:r>
      <w:r w:rsidR="007A7BCF" w:rsidRPr="00A26FBF">
        <w:footnoteReference w:id="17"/>
      </w:r>
      <w:r w:rsidRPr="007E0156">
        <w:t xml:space="preserve"> in relation to the quantity of the brand kept in </w:t>
      </w:r>
      <w:r w:rsidR="00B57F41">
        <w:t xml:space="preserve">stock in </w:t>
      </w:r>
      <w:r w:rsidRPr="007E0156">
        <w:t>Australia</w:t>
      </w:r>
      <w:r w:rsidR="0092401F" w:rsidRPr="007E0156">
        <w:t>:</w:t>
      </w:r>
    </w:p>
    <w:p w14:paraId="1543E55C" w14:textId="220F4FB5" w:rsidR="009F0B9A" w:rsidRPr="007E0156" w:rsidRDefault="00A2004F" w:rsidP="005A2644">
      <w:pPr>
        <w:numPr>
          <w:ilvl w:val="4"/>
          <w:numId w:val="3"/>
        </w:numPr>
        <w:ind w:left="990"/>
        <w:jc w:val="both"/>
      </w:pPr>
      <w:r>
        <w:t>S</w:t>
      </w:r>
      <w:r w:rsidR="009F0B9A" w:rsidRPr="007E0156">
        <w:t xml:space="preserve">tart and end dates of the </w:t>
      </w:r>
      <w:r w:rsidR="0049741A" w:rsidRPr="007E0156">
        <w:t xml:space="preserve">period </w:t>
      </w:r>
      <w:r w:rsidR="009F0B9A" w:rsidRPr="007E0156">
        <w:t>to which the information relates</w:t>
      </w:r>
      <w:r w:rsidR="00B5420D" w:rsidRPr="007E0156">
        <w:t>;</w:t>
      </w:r>
    </w:p>
    <w:p w14:paraId="0DD860CC" w14:textId="625C0762" w:rsidR="009F0B9A" w:rsidRPr="007E0156" w:rsidRDefault="00A2004F" w:rsidP="005A2644">
      <w:pPr>
        <w:numPr>
          <w:ilvl w:val="4"/>
          <w:numId w:val="3"/>
        </w:numPr>
        <w:ind w:left="990"/>
        <w:jc w:val="both"/>
      </w:pPr>
      <w:r>
        <w:t>N</w:t>
      </w:r>
      <w:r w:rsidR="009F0B9A" w:rsidRPr="007E0156">
        <w:t>ame of the brand</w:t>
      </w:r>
      <w:r w:rsidR="00B5420D" w:rsidRPr="007E0156">
        <w:t>;</w:t>
      </w:r>
    </w:p>
    <w:p w14:paraId="2172CA66" w14:textId="70E38D92" w:rsidR="00A3692C" w:rsidRPr="007E0156" w:rsidRDefault="00A2004F" w:rsidP="005A2644">
      <w:pPr>
        <w:numPr>
          <w:ilvl w:val="4"/>
          <w:numId w:val="3"/>
        </w:numPr>
        <w:ind w:left="990"/>
        <w:jc w:val="both"/>
      </w:pPr>
      <w:r>
        <w:t>N</w:t>
      </w:r>
      <w:r w:rsidR="009F0B9A" w:rsidRPr="007E0156">
        <w:t xml:space="preserve">ame of the </w:t>
      </w:r>
      <w:r w:rsidR="00B5420D" w:rsidRPr="007E0156">
        <w:t>RP;</w:t>
      </w:r>
    </w:p>
    <w:p w14:paraId="4A856229" w14:textId="778BDE0B" w:rsidR="00A3692C" w:rsidRPr="007E0156" w:rsidRDefault="00A2004F" w:rsidP="005A2644">
      <w:pPr>
        <w:numPr>
          <w:ilvl w:val="4"/>
          <w:numId w:val="3"/>
        </w:numPr>
        <w:ind w:left="990"/>
        <w:jc w:val="both"/>
      </w:pPr>
      <w:r>
        <w:t>N</w:t>
      </w:r>
      <w:r w:rsidR="00A3692C" w:rsidRPr="007E0156">
        <w:t>ame of the drug in the pharmaceutical item</w:t>
      </w:r>
      <w:r w:rsidR="00B5420D" w:rsidRPr="007E0156">
        <w:t>;</w:t>
      </w:r>
    </w:p>
    <w:p w14:paraId="59C295CB" w14:textId="5F575FF6" w:rsidR="00A3692C" w:rsidRPr="007E0156" w:rsidRDefault="00A2004F" w:rsidP="005A2644">
      <w:pPr>
        <w:numPr>
          <w:ilvl w:val="4"/>
          <w:numId w:val="3"/>
        </w:numPr>
        <w:ind w:left="990"/>
        <w:jc w:val="both"/>
      </w:pPr>
      <w:r>
        <w:t>F</w:t>
      </w:r>
      <w:r w:rsidR="00A3692C" w:rsidRPr="007E0156">
        <w:t>orm of the drug, including its strength</w:t>
      </w:r>
      <w:r w:rsidR="00B5420D" w:rsidRPr="007E0156">
        <w:t>;</w:t>
      </w:r>
    </w:p>
    <w:p w14:paraId="5986E4E9" w14:textId="1FE1BD30" w:rsidR="00A3692C" w:rsidRPr="007E0156" w:rsidRDefault="00A2004F" w:rsidP="005A2644">
      <w:pPr>
        <w:numPr>
          <w:ilvl w:val="4"/>
          <w:numId w:val="3"/>
        </w:numPr>
        <w:ind w:left="990"/>
        <w:jc w:val="both"/>
      </w:pPr>
      <w:r>
        <w:t>M</w:t>
      </w:r>
      <w:r w:rsidR="00A3692C" w:rsidRPr="007E0156">
        <w:t>anner of administration of the form of the drug</w:t>
      </w:r>
      <w:r w:rsidR="00B5420D" w:rsidRPr="007E0156">
        <w:t>;</w:t>
      </w:r>
    </w:p>
    <w:p w14:paraId="5BF64768" w14:textId="1CFECE08" w:rsidR="00A3692C" w:rsidRPr="007E0156" w:rsidRDefault="00A2004F" w:rsidP="005A2644">
      <w:pPr>
        <w:numPr>
          <w:ilvl w:val="4"/>
          <w:numId w:val="3"/>
        </w:numPr>
        <w:ind w:left="990"/>
        <w:jc w:val="both"/>
      </w:pPr>
      <w:r>
        <w:t>N</w:t>
      </w:r>
      <w:r w:rsidR="00A3692C" w:rsidRPr="007E0156">
        <w:t>umber or quantity of units in a pack (the number of tablets in a pack, for example)</w:t>
      </w:r>
      <w:r w:rsidR="00B5420D" w:rsidRPr="007E0156">
        <w:t>; and</w:t>
      </w:r>
    </w:p>
    <w:p w14:paraId="2A9337EE" w14:textId="13D668C0" w:rsidR="00A3692C" w:rsidRPr="007E0156" w:rsidRDefault="00A2004F" w:rsidP="005A2644">
      <w:pPr>
        <w:numPr>
          <w:ilvl w:val="4"/>
          <w:numId w:val="3"/>
        </w:numPr>
        <w:ind w:left="990"/>
        <w:jc w:val="both"/>
      </w:pPr>
      <w:r>
        <w:lastRenderedPageBreak/>
        <w:t>N</w:t>
      </w:r>
      <w:r w:rsidR="00A3692C" w:rsidRPr="007E0156">
        <w:t xml:space="preserve">umber of packs held in stock </w:t>
      </w:r>
      <w:r w:rsidR="0049741A" w:rsidRPr="007E0156">
        <w:t xml:space="preserve">at the end of </w:t>
      </w:r>
      <w:r w:rsidR="00A3692C" w:rsidRPr="007E0156">
        <w:t>each month in the</w:t>
      </w:r>
      <w:r w:rsidR="002404DE" w:rsidRPr="007E0156">
        <w:t xml:space="preserve"> </w:t>
      </w:r>
      <w:r w:rsidR="0049741A" w:rsidRPr="007E0156">
        <w:t>period.</w:t>
      </w:r>
    </w:p>
    <w:p w14:paraId="099E9462" w14:textId="23186978" w:rsidR="00570D68" w:rsidRDefault="00FF583A" w:rsidP="00FE7FAF">
      <w:pPr>
        <w:jc w:val="both"/>
      </w:pPr>
      <w:r w:rsidRPr="007E0156">
        <w:t xml:space="preserve">The </w:t>
      </w:r>
      <w:r w:rsidR="00B5420D" w:rsidRPr="007E0156">
        <w:t>RP</w:t>
      </w:r>
      <w:r w:rsidRPr="007E0156">
        <w:t xml:space="preserve"> should ensure the </w:t>
      </w:r>
      <w:r w:rsidR="00B5420D" w:rsidRPr="007E0156">
        <w:t xml:space="preserve">quantities </w:t>
      </w:r>
      <w:r w:rsidRPr="007E0156">
        <w:t xml:space="preserve">reported as held in stock capture only </w:t>
      </w:r>
      <w:r w:rsidR="00B5420D" w:rsidRPr="007E0156">
        <w:t>the stock</w:t>
      </w:r>
      <w:r w:rsidRPr="007E0156">
        <w:t xml:space="preserve"> </w:t>
      </w:r>
      <w:r w:rsidR="00B57F41">
        <w:t xml:space="preserve">that </w:t>
      </w:r>
      <w:r w:rsidR="00B5420D" w:rsidRPr="007E0156">
        <w:t>counts</w:t>
      </w:r>
      <w:r w:rsidRPr="007E0156">
        <w:t xml:space="preserve"> towards meeting the </w:t>
      </w:r>
      <w:r w:rsidR="00B5420D" w:rsidRPr="007E0156">
        <w:t>RP’s</w:t>
      </w:r>
      <w:r w:rsidRPr="007E0156">
        <w:t xml:space="preserve"> minimum stockholding requirement (see</w:t>
      </w:r>
      <w:r w:rsidR="00B67EA4" w:rsidRPr="00A26FBF">
        <w:rPr>
          <w:u w:val="single"/>
        </w:rPr>
        <w:t xml:space="preserve"> </w:t>
      </w:r>
      <w:hyperlink w:anchor="_Keeping_a_brand" w:history="1">
        <w:r w:rsidR="00B67EA4" w:rsidRPr="00A26FBF">
          <w:t>Section 3</w:t>
        </w:r>
      </w:hyperlink>
      <w:r w:rsidRPr="007E0156">
        <w:t>).</w:t>
      </w:r>
      <w:r w:rsidR="00F126FC">
        <w:t xml:space="preserve"> </w:t>
      </w:r>
      <w:r w:rsidR="00F126FC" w:rsidRPr="00EA6859">
        <w:t>Disclosure must be provided for each period that a brand is a designated brand, regardless of</w:t>
      </w:r>
      <w:r w:rsidR="00570D68">
        <w:t>:</w:t>
      </w:r>
    </w:p>
    <w:p w14:paraId="0E0477DD" w14:textId="188F507C" w:rsidR="00570D68" w:rsidRDefault="00A2004F" w:rsidP="005A2644">
      <w:pPr>
        <w:numPr>
          <w:ilvl w:val="0"/>
          <w:numId w:val="43"/>
        </w:numPr>
        <w:tabs>
          <w:tab w:val="clear" w:pos="3600"/>
          <w:tab w:val="num" w:pos="1134"/>
        </w:tabs>
        <w:ind w:left="1080" w:hanging="513"/>
        <w:jc w:val="both"/>
      </w:pPr>
      <w:r>
        <w:t>W</w:t>
      </w:r>
      <w:r w:rsidR="00B73D5A">
        <w:t xml:space="preserve">hether </w:t>
      </w:r>
      <w:r w:rsidR="00F126FC" w:rsidRPr="00EA6859">
        <w:t>the brand was only a designated brand for part of that period described above</w:t>
      </w:r>
      <w:r w:rsidR="00570D68">
        <w:t>;</w:t>
      </w:r>
    </w:p>
    <w:p w14:paraId="2C6BFED6" w14:textId="628FC9A8" w:rsidR="00570D68" w:rsidRDefault="00A2004F" w:rsidP="005A2644">
      <w:pPr>
        <w:numPr>
          <w:ilvl w:val="0"/>
          <w:numId w:val="43"/>
        </w:numPr>
        <w:tabs>
          <w:tab w:val="clear" w:pos="3600"/>
          <w:tab w:val="num" w:pos="1134"/>
        </w:tabs>
        <w:ind w:left="1080" w:hanging="513"/>
        <w:jc w:val="both"/>
      </w:pPr>
      <w:r>
        <w:t>W</w:t>
      </w:r>
      <w:r w:rsidR="00B73D5A">
        <w:t xml:space="preserve">hether </w:t>
      </w:r>
      <w:r w:rsidR="00F126FC" w:rsidRPr="00B427FC">
        <w:t>the brand has a determination of ‘zero’ as the applicable quantity in effect</w:t>
      </w:r>
      <w:r w:rsidR="00570D68">
        <w:t>;</w:t>
      </w:r>
      <w:r w:rsidR="00F126FC" w:rsidRPr="00B427FC">
        <w:t xml:space="preserve"> or </w:t>
      </w:r>
    </w:p>
    <w:p w14:paraId="3A2EE114" w14:textId="22C6C6A9" w:rsidR="00B5420D" w:rsidRPr="007E0156" w:rsidRDefault="00A2004F" w:rsidP="005A2644">
      <w:pPr>
        <w:numPr>
          <w:ilvl w:val="0"/>
          <w:numId w:val="43"/>
        </w:numPr>
        <w:tabs>
          <w:tab w:val="clear" w:pos="3600"/>
          <w:tab w:val="num" w:pos="1134"/>
        </w:tabs>
        <w:ind w:left="1080" w:hanging="513"/>
        <w:jc w:val="both"/>
      </w:pPr>
      <w:r>
        <w:t>I</w:t>
      </w:r>
      <w:r w:rsidR="00F126FC" w:rsidRPr="00B427FC">
        <w:t>f it is no longer listed on the PBS at the time that stockholding disclosure is required to be made.</w:t>
      </w:r>
    </w:p>
    <w:p w14:paraId="2F15F738" w14:textId="55F53BF5" w:rsidR="00F126FC" w:rsidRPr="00EA6859" w:rsidRDefault="00F126FC" w:rsidP="00F126FC">
      <w:pPr>
        <w:jc w:val="both"/>
      </w:pPr>
      <w:r w:rsidRPr="00EA6859">
        <w:t>RPs are expected to have robust systems in place, including an inventory management system</w:t>
      </w:r>
      <w:r>
        <w:t>,</w:t>
      </w:r>
      <w:r w:rsidRPr="00EA6859">
        <w:t xml:space="preserve"> that </w:t>
      </w:r>
      <w:r>
        <w:t>are</w:t>
      </w:r>
      <w:r w:rsidRPr="00EA6859">
        <w:t xml:space="preserve"> able to provide an accurate report at the end of each month</w:t>
      </w:r>
      <w:r>
        <w:t xml:space="preserve">. RPs must </w:t>
      </w:r>
      <w:r w:rsidRPr="00EA6859">
        <w:t xml:space="preserve">ensure that the amount of stock recorded in the system accurately reflects the physical stock on hand. RPs’ systems </w:t>
      </w:r>
      <w:r>
        <w:t>must</w:t>
      </w:r>
      <w:r w:rsidRPr="00EA6859">
        <w:t xml:space="preserve"> </w:t>
      </w:r>
      <w:r>
        <w:t xml:space="preserve">also </w:t>
      </w:r>
      <w:r w:rsidRPr="00EA6859">
        <w:t>be able to distinguish stock which is kept in stock in Australia – count</w:t>
      </w:r>
      <w:r>
        <w:t>ing</w:t>
      </w:r>
      <w:r w:rsidRPr="00EA6859">
        <w:t xml:space="preserve"> towards the RP’s applicable quantity for their minimum stockholding requirement – from stock which does not meet the stockholding definition.</w:t>
      </w:r>
    </w:p>
    <w:p w14:paraId="1CE40237" w14:textId="26E9E16E" w:rsidR="00FF7546" w:rsidRPr="007E0156" w:rsidRDefault="00EF59B3" w:rsidP="00FE7FAF">
      <w:pPr>
        <w:jc w:val="both"/>
      </w:pPr>
      <w:r w:rsidRPr="007E0156">
        <w:t xml:space="preserve">Where a </w:t>
      </w:r>
      <w:hyperlink r:id="rId50" w:history="1">
        <w:r w:rsidR="00FF7546" w:rsidRPr="00A26FBF">
          <w:t>consent</w:t>
        </w:r>
      </w:hyperlink>
      <w:r w:rsidR="00FF7546" w:rsidRPr="007E0156">
        <w:t xml:space="preserve"> is provided under </w:t>
      </w:r>
      <w:r w:rsidR="00570D68">
        <w:t xml:space="preserve">section 14 of </w:t>
      </w:r>
      <w:r w:rsidR="00FF7546" w:rsidRPr="007E0156">
        <w:t xml:space="preserve">the </w:t>
      </w:r>
      <w:hyperlink r:id="rId51" w:history="1">
        <w:r w:rsidR="00FF7546" w:rsidRPr="00A26FBF">
          <w:t>Therapeutic Goods Act 1989</w:t>
        </w:r>
      </w:hyperlink>
      <w:r w:rsidR="00FF7546" w:rsidRPr="007E0156">
        <w:t>, if there is no change in the trade name</w:t>
      </w:r>
      <w:r w:rsidR="00FF7546" w:rsidRPr="00A26FBF">
        <w:footnoteReference w:id="18"/>
      </w:r>
      <w:r w:rsidR="00FF7546" w:rsidRPr="007E0156">
        <w:t xml:space="preserve"> under which the pharmaceutical item is supplied, then the stock may be counted towards the RP’s minimum stockholding requirement where it otherwise meets the criteria in s99AEKB. If there is a change of trade name, the differently branded stock will not be reported for disclosure purposes and is not counted towards the RP meeting their minimum stockholding requirement.</w:t>
      </w:r>
    </w:p>
    <w:p w14:paraId="4342A213" w14:textId="2972B44A" w:rsidR="00FF583A" w:rsidRPr="007E0156" w:rsidRDefault="00E576AD" w:rsidP="00FE7FAF">
      <w:pPr>
        <w:jc w:val="both"/>
      </w:pPr>
      <w:r w:rsidRPr="007E0156">
        <w:t>All</w:t>
      </w:r>
      <w:r w:rsidR="004D668F" w:rsidRPr="007E0156">
        <w:t xml:space="preserve"> </w:t>
      </w:r>
      <w:r w:rsidRPr="007E0156">
        <w:t>methodologies,</w:t>
      </w:r>
      <w:r w:rsidR="00FF583A" w:rsidRPr="007E0156">
        <w:t xml:space="preserve"> detailed transactional records</w:t>
      </w:r>
      <w:r w:rsidRPr="007E0156">
        <w:t xml:space="preserve">, </w:t>
      </w:r>
      <w:r w:rsidR="00F126FC" w:rsidRPr="00EA6859">
        <w:t>analys</w:t>
      </w:r>
      <w:r w:rsidR="00F126FC">
        <w:t>i</w:t>
      </w:r>
      <w:r w:rsidR="00F126FC" w:rsidRPr="00EA6859">
        <w:t>s</w:t>
      </w:r>
      <w:r w:rsidR="00FF583A" w:rsidRPr="007E0156">
        <w:t xml:space="preserve"> and any other </w:t>
      </w:r>
      <w:r w:rsidR="00F126FC">
        <w:t>materials</w:t>
      </w:r>
      <w:r w:rsidR="00FF583A" w:rsidRPr="007E0156">
        <w:t xml:space="preserve"> relating to stockholding disclosure</w:t>
      </w:r>
      <w:r w:rsidR="00B57F41">
        <w:t>,</w:t>
      </w:r>
      <w:r w:rsidR="00FF583A" w:rsidRPr="007E0156">
        <w:t xml:space="preserve"> must be kept for two years from the end of the stockholding period </w:t>
      </w:r>
      <w:r w:rsidR="00B57F41">
        <w:t xml:space="preserve">to </w:t>
      </w:r>
      <w:r w:rsidR="00FF583A" w:rsidRPr="007E0156">
        <w:t>which those records relate. For example, records relating to the reference period 1 April 202</w:t>
      </w:r>
      <w:r w:rsidR="00CA6EB1" w:rsidRPr="007E0156">
        <w:t>4</w:t>
      </w:r>
      <w:r w:rsidR="00FF583A" w:rsidRPr="007E0156">
        <w:t xml:space="preserve"> to 30 September 2024 on which ‘usual demand’ is calculated for the stockholding period 1 April 202</w:t>
      </w:r>
      <w:r w:rsidR="00CA6EB1" w:rsidRPr="007E0156">
        <w:t>5</w:t>
      </w:r>
      <w:r w:rsidR="00FF583A" w:rsidRPr="007E0156">
        <w:t xml:space="preserve"> to 30 September 2025 must be retained until 30 September 2027.</w:t>
      </w:r>
    </w:p>
    <w:p w14:paraId="5211F601" w14:textId="36EAC637" w:rsidR="0055143E" w:rsidRPr="007E0156" w:rsidRDefault="00F126FC" w:rsidP="005A2644">
      <w:pPr>
        <w:numPr>
          <w:ilvl w:val="0"/>
          <w:numId w:val="18"/>
        </w:numPr>
        <w:jc w:val="both"/>
        <w:rPr>
          <w:b/>
          <w:bCs/>
        </w:rPr>
      </w:pPr>
      <w:r>
        <w:rPr>
          <w:b/>
          <w:bCs/>
        </w:rPr>
        <w:t>When to submit a</w:t>
      </w:r>
      <w:r w:rsidR="005522E6" w:rsidRPr="007E0156">
        <w:rPr>
          <w:b/>
          <w:bCs/>
        </w:rPr>
        <w:t xml:space="preserve"> </w:t>
      </w:r>
      <w:r w:rsidR="00512DF9" w:rsidRPr="007E0156">
        <w:rPr>
          <w:b/>
          <w:bCs/>
        </w:rPr>
        <w:t>disclosure</w:t>
      </w:r>
      <w:bookmarkStart w:id="98" w:name="ProcessAllFootersStartPos"/>
      <w:bookmarkEnd w:id="98"/>
    </w:p>
    <w:p w14:paraId="16176D57" w14:textId="5336CD9D" w:rsidR="0092401F" w:rsidRPr="007E0156" w:rsidRDefault="00B5420D" w:rsidP="00FE7FAF">
      <w:pPr>
        <w:jc w:val="both"/>
      </w:pPr>
      <w:r w:rsidRPr="007E0156">
        <w:t>RPs</w:t>
      </w:r>
      <w:r w:rsidR="0092401F" w:rsidRPr="007E0156">
        <w:t xml:space="preserve"> are required to </w:t>
      </w:r>
      <w:r w:rsidRPr="007E0156">
        <w:t>provide the required information</w:t>
      </w:r>
      <w:r w:rsidR="002F44C2" w:rsidRPr="007E0156">
        <w:t xml:space="preserve"> </w:t>
      </w:r>
      <w:r w:rsidR="0049741A" w:rsidRPr="007E0156">
        <w:t>by the following deadlines</w:t>
      </w:r>
      <w:r w:rsidR="0092401F" w:rsidRPr="007E0156">
        <w:t>:</w:t>
      </w:r>
    </w:p>
    <w:p w14:paraId="1BCA6871" w14:textId="6A912216" w:rsidR="0055143E" w:rsidRPr="007E0156" w:rsidRDefault="00A2004F" w:rsidP="005A2644">
      <w:pPr>
        <w:numPr>
          <w:ilvl w:val="4"/>
          <w:numId w:val="4"/>
        </w:numPr>
        <w:ind w:left="990"/>
        <w:jc w:val="both"/>
      </w:pPr>
      <w:r>
        <w:t>F</w:t>
      </w:r>
      <w:r w:rsidR="0049741A" w:rsidRPr="007E0156">
        <w:t>or the period 1 April – 30 September: b</w:t>
      </w:r>
      <w:r w:rsidR="001B141F" w:rsidRPr="007E0156">
        <w:t xml:space="preserve">y </w:t>
      </w:r>
      <w:r w:rsidR="005522E6" w:rsidRPr="007E0156">
        <w:t>1</w:t>
      </w:r>
      <w:r w:rsidR="00AF314E" w:rsidRPr="007E0156">
        <w:t>1</w:t>
      </w:r>
      <w:r w:rsidR="005522E6" w:rsidRPr="007E0156">
        <w:t xml:space="preserve"> </w:t>
      </w:r>
      <w:r w:rsidR="003D7B6F" w:rsidRPr="007E0156">
        <w:t>November</w:t>
      </w:r>
      <w:r w:rsidR="00B5420D" w:rsidRPr="007E0156">
        <w:t>; and</w:t>
      </w:r>
    </w:p>
    <w:p w14:paraId="3F15759E" w14:textId="0B4FDE19" w:rsidR="0055143E" w:rsidRPr="007E0156" w:rsidRDefault="00A2004F" w:rsidP="005A2644">
      <w:pPr>
        <w:numPr>
          <w:ilvl w:val="4"/>
          <w:numId w:val="4"/>
        </w:numPr>
        <w:ind w:left="990"/>
        <w:jc w:val="both"/>
      </w:pPr>
      <w:r>
        <w:t>F</w:t>
      </w:r>
      <w:r w:rsidR="0049741A" w:rsidRPr="007E0156">
        <w:t>or the period 1 October – 31 March: b</w:t>
      </w:r>
      <w:r w:rsidR="001B141F" w:rsidRPr="007E0156">
        <w:t xml:space="preserve">y </w:t>
      </w:r>
      <w:r w:rsidR="005522E6" w:rsidRPr="007E0156">
        <w:t>1</w:t>
      </w:r>
      <w:r w:rsidR="003D7B6F" w:rsidRPr="007E0156">
        <w:t>2</w:t>
      </w:r>
      <w:r w:rsidR="005522E6" w:rsidRPr="007E0156">
        <w:t xml:space="preserve"> </w:t>
      </w:r>
      <w:r w:rsidR="003D7B6F" w:rsidRPr="007E0156">
        <w:t>May</w:t>
      </w:r>
      <w:r w:rsidR="00B5420D" w:rsidRPr="007E0156">
        <w:t>.</w:t>
      </w:r>
    </w:p>
    <w:p w14:paraId="59035092" w14:textId="7CBFE8B2" w:rsidR="005E2DE3" w:rsidRPr="007E0156" w:rsidRDefault="00DA2D33" w:rsidP="00FE7FAF">
      <w:pPr>
        <w:jc w:val="both"/>
      </w:pPr>
      <w:r w:rsidRPr="007E0156">
        <w:t>For b</w:t>
      </w:r>
      <w:r w:rsidR="001B141F" w:rsidRPr="007E0156">
        <w:t xml:space="preserve">rands that </w:t>
      </w:r>
      <w:r w:rsidR="00B5420D" w:rsidRPr="007E0156">
        <w:t xml:space="preserve">become </w:t>
      </w:r>
      <w:r w:rsidR="005E2DE3" w:rsidRPr="007E0156">
        <w:t>s</w:t>
      </w:r>
      <w:r w:rsidR="004A2EC7" w:rsidRPr="007E0156">
        <w:t xml:space="preserve">ubject to </w:t>
      </w:r>
      <w:r w:rsidR="001B141F" w:rsidRPr="007E0156">
        <w:t xml:space="preserve">the </w:t>
      </w:r>
      <w:r w:rsidR="00B5420D" w:rsidRPr="007E0156">
        <w:t xml:space="preserve">minimum </w:t>
      </w:r>
      <w:r w:rsidR="001B141F" w:rsidRPr="007E0156">
        <w:t xml:space="preserve">stockholding </w:t>
      </w:r>
      <w:r w:rsidR="00284DA7" w:rsidRPr="007E0156">
        <w:t>requirement</w:t>
      </w:r>
      <w:r w:rsidR="00213374" w:rsidRPr="007E0156">
        <w:t xml:space="preserve"> </w:t>
      </w:r>
      <w:r w:rsidR="00B5420D" w:rsidRPr="007E0156">
        <w:t>during</w:t>
      </w:r>
      <w:r w:rsidR="004A2EC7" w:rsidRPr="007E0156">
        <w:t xml:space="preserve"> these windows </w:t>
      </w:r>
      <w:r w:rsidRPr="007E0156">
        <w:t xml:space="preserve">RPs </w:t>
      </w:r>
      <w:r w:rsidR="004A2EC7" w:rsidRPr="007E0156">
        <w:t xml:space="preserve">are required to </w:t>
      </w:r>
      <w:r w:rsidR="00B5420D" w:rsidRPr="007E0156">
        <w:t xml:space="preserve">make </w:t>
      </w:r>
      <w:r w:rsidR="001B141F" w:rsidRPr="007E0156">
        <w:t>disclosure</w:t>
      </w:r>
      <w:r w:rsidR="00B5420D" w:rsidRPr="007E0156">
        <w:t>s</w:t>
      </w:r>
      <w:r w:rsidR="001B141F" w:rsidRPr="007E0156">
        <w:t xml:space="preserve"> </w:t>
      </w:r>
      <w:r w:rsidR="003848D9" w:rsidRPr="007E0156">
        <w:t>by</w:t>
      </w:r>
      <w:r w:rsidR="004A2EC7" w:rsidRPr="007E0156">
        <w:t xml:space="preserve"> the </w:t>
      </w:r>
      <w:r w:rsidR="0049741A" w:rsidRPr="007E0156">
        <w:t>next reporting deadline.</w:t>
      </w:r>
      <w:r w:rsidR="001B141F" w:rsidRPr="007E0156">
        <w:t xml:space="preserve"> For example</w:t>
      </w:r>
      <w:r w:rsidR="00512DF9" w:rsidRPr="007E0156">
        <w:t xml:space="preserve">, </w:t>
      </w:r>
      <w:r w:rsidRPr="007E0156">
        <w:t xml:space="preserve">for </w:t>
      </w:r>
      <w:r w:rsidR="0049741A" w:rsidRPr="007E0156">
        <w:t xml:space="preserve">a </w:t>
      </w:r>
      <w:r w:rsidR="001B141F" w:rsidRPr="007E0156">
        <w:t>brand</w:t>
      </w:r>
      <w:r w:rsidR="00512DF9" w:rsidRPr="007E0156">
        <w:t xml:space="preserve"> </w:t>
      </w:r>
      <w:r w:rsidR="00B5420D" w:rsidRPr="007E0156">
        <w:t xml:space="preserve">that becomes </w:t>
      </w:r>
      <w:r w:rsidR="001B141F" w:rsidRPr="007E0156">
        <w:t xml:space="preserve">subject to </w:t>
      </w:r>
      <w:r w:rsidR="00B5420D" w:rsidRPr="007E0156">
        <w:t xml:space="preserve">the minimum </w:t>
      </w:r>
      <w:r w:rsidR="001B141F" w:rsidRPr="007E0156">
        <w:t xml:space="preserve">stockholding </w:t>
      </w:r>
      <w:r w:rsidR="00284DA7" w:rsidRPr="007E0156">
        <w:t>requirement</w:t>
      </w:r>
      <w:r w:rsidR="00213374" w:rsidRPr="007E0156">
        <w:t xml:space="preserve"> </w:t>
      </w:r>
      <w:r w:rsidR="00B5420D" w:rsidRPr="007E0156">
        <w:t xml:space="preserve">on </w:t>
      </w:r>
      <w:r w:rsidR="00F126FC">
        <w:t>1</w:t>
      </w:r>
      <w:r w:rsidR="00512DF9" w:rsidRPr="007E0156">
        <w:t xml:space="preserve"> July</w:t>
      </w:r>
      <w:r w:rsidR="00795985" w:rsidRPr="007E0156">
        <w:t>,</w:t>
      </w:r>
      <w:r w:rsidR="00512DF9" w:rsidRPr="007E0156">
        <w:t xml:space="preserve"> </w:t>
      </w:r>
      <w:r w:rsidRPr="007E0156">
        <w:t xml:space="preserve">its RP </w:t>
      </w:r>
      <w:r w:rsidR="0049741A" w:rsidRPr="007E0156">
        <w:t xml:space="preserve">is </w:t>
      </w:r>
      <w:r w:rsidR="00512DF9" w:rsidRPr="007E0156">
        <w:t xml:space="preserve">required to </w:t>
      </w:r>
      <w:r w:rsidR="00B5420D" w:rsidRPr="007E0156">
        <w:t xml:space="preserve">make </w:t>
      </w:r>
      <w:r w:rsidR="003848D9" w:rsidRPr="007E0156">
        <w:t>disclos</w:t>
      </w:r>
      <w:r w:rsidR="00B5420D" w:rsidRPr="007E0156">
        <w:t>ur</w:t>
      </w:r>
      <w:r w:rsidR="003848D9" w:rsidRPr="007E0156">
        <w:t>e</w:t>
      </w:r>
      <w:r w:rsidR="00B5420D" w:rsidRPr="007E0156">
        <w:t>s</w:t>
      </w:r>
      <w:r w:rsidR="00512DF9" w:rsidRPr="007E0156">
        <w:t xml:space="preserve"> by 11</w:t>
      </w:r>
      <w:r w:rsidR="00B336E0" w:rsidRPr="007E0156">
        <w:t> </w:t>
      </w:r>
      <w:r w:rsidR="00512DF9" w:rsidRPr="007E0156">
        <w:t xml:space="preserve">November </w:t>
      </w:r>
      <w:r w:rsidR="003848D9" w:rsidRPr="007E0156">
        <w:t>of that year</w:t>
      </w:r>
      <w:r w:rsidR="001B141F" w:rsidRPr="007E0156">
        <w:t>.</w:t>
      </w:r>
    </w:p>
    <w:p w14:paraId="4EEABCAB" w14:textId="32B1DE69" w:rsidR="00B5420D" w:rsidRPr="007E0156" w:rsidRDefault="00F126FC" w:rsidP="00FE7FAF">
      <w:pPr>
        <w:jc w:val="both"/>
      </w:pPr>
      <w:r w:rsidRPr="00C26D4D">
        <w:rPr>
          <w:u w:val="single"/>
        </w:rPr>
        <w:t>Note:</w:t>
      </w:r>
      <w:r>
        <w:t xml:space="preserve"> w</w:t>
      </w:r>
      <w:r w:rsidRPr="00EA6859">
        <w:t>here</w:t>
      </w:r>
      <w:r w:rsidR="00B5420D" w:rsidRPr="007E0156">
        <w:t xml:space="preserve"> 11 November or 12 May fall on a day that is not a business day, the deadline for the disclosur</w:t>
      </w:r>
      <w:r w:rsidR="00DA2D33" w:rsidRPr="007E0156">
        <w:t>e will be the next business day</w:t>
      </w:r>
      <w:r w:rsidRPr="00EA6859">
        <w:rPr>
          <w:vertAlign w:val="superscript"/>
        </w:rPr>
        <w:footnoteReference w:id="19"/>
      </w:r>
      <w:r w:rsidR="00B5420D" w:rsidRPr="007E0156">
        <w:t>.</w:t>
      </w:r>
    </w:p>
    <w:p w14:paraId="0F7A00D3" w14:textId="77777777" w:rsidR="00F126FC" w:rsidRPr="00EA6859" w:rsidRDefault="00F126FC" w:rsidP="005A2644">
      <w:pPr>
        <w:keepNext/>
        <w:numPr>
          <w:ilvl w:val="0"/>
          <w:numId w:val="18"/>
        </w:numPr>
        <w:ind w:left="499" w:hanging="357"/>
        <w:jc w:val="both"/>
        <w:rPr>
          <w:b/>
          <w:bCs/>
        </w:rPr>
      </w:pPr>
      <w:r>
        <w:rPr>
          <w:b/>
          <w:bCs/>
        </w:rPr>
        <w:lastRenderedPageBreak/>
        <w:t>How to submit a disclosure</w:t>
      </w:r>
    </w:p>
    <w:p w14:paraId="1F4BA412" w14:textId="08DBA38A" w:rsidR="00116851" w:rsidRPr="007E0156" w:rsidRDefault="00B5420D" w:rsidP="00FE7FAF">
      <w:pPr>
        <w:jc w:val="both"/>
      </w:pPr>
      <w:r w:rsidRPr="007E0156">
        <w:t xml:space="preserve">The required information must be </w:t>
      </w:r>
      <w:r w:rsidR="0092401F" w:rsidRPr="007E0156">
        <w:t xml:space="preserve">submitted to </w:t>
      </w:r>
      <w:r w:rsidR="002F44C2" w:rsidRPr="007E0156">
        <w:t xml:space="preserve">the </w:t>
      </w:r>
      <w:r w:rsidR="00795985" w:rsidRPr="007E0156">
        <w:t>PDDA</w:t>
      </w:r>
      <w:r w:rsidR="002F44C2" w:rsidRPr="007E0156">
        <w:t xml:space="preserve"> through the Price Disclosure Submission Utility (</w:t>
      </w:r>
      <w:r w:rsidR="002F44C2" w:rsidRPr="007E0156">
        <w:rPr>
          <w:b/>
        </w:rPr>
        <w:t>PDSU</w:t>
      </w:r>
      <w:r w:rsidR="002F44C2" w:rsidRPr="007E0156">
        <w:t xml:space="preserve">). </w:t>
      </w:r>
      <w:r w:rsidRPr="007E0156">
        <w:t>RPs</w:t>
      </w:r>
      <w:r w:rsidR="002F44C2" w:rsidRPr="007E0156">
        <w:t xml:space="preserve"> will have access to the PDSU through the existing price disclosure processes or will be provided with access to the PDSU prior to the first reporting window in which they are required to </w:t>
      </w:r>
      <w:r w:rsidRPr="007E0156">
        <w:t xml:space="preserve">meet the </w:t>
      </w:r>
      <w:r w:rsidR="002F44C2" w:rsidRPr="007E0156">
        <w:t>stockholding disclosure</w:t>
      </w:r>
      <w:r w:rsidRPr="007E0156">
        <w:t xml:space="preserve"> requirements</w:t>
      </w:r>
      <w:r w:rsidR="002F44C2" w:rsidRPr="007E0156">
        <w:t xml:space="preserve">. </w:t>
      </w:r>
      <w:r w:rsidRPr="007E0156">
        <w:t>The stockholding disclosure requirements must be met</w:t>
      </w:r>
      <w:r w:rsidR="00116851" w:rsidRPr="007E0156">
        <w:t xml:space="preserve"> for all brands subject to the </w:t>
      </w:r>
      <w:r w:rsidRPr="007E0156">
        <w:t xml:space="preserve">minimum </w:t>
      </w:r>
      <w:r w:rsidR="00116851" w:rsidRPr="007E0156">
        <w:t xml:space="preserve">stockholding requirement, regardless of whether </w:t>
      </w:r>
      <w:r w:rsidR="00B57F41">
        <w:t xml:space="preserve">the brand remains subject to </w:t>
      </w:r>
      <w:r w:rsidRPr="007E0156">
        <w:t>the minimum stockholding requirement</w:t>
      </w:r>
      <w:r w:rsidR="00116851" w:rsidRPr="007E0156">
        <w:t xml:space="preserve"> at the time</w:t>
      </w:r>
      <w:r w:rsidRPr="007E0156">
        <w:t xml:space="preserve"> the disclosures are required to be made</w:t>
      </w:r>
      <w:r w:rsidR="00116851" w:rsidRPr="007E0156">
        <w:t>.</w:t>
      </w:r>
    </w:p>
    <w:p w14:paraId="5635263F" w14:textId="1D45B5AB" w:rsidR="0055143E" w:rsidRPr="00391CE3" w:rsidRDefault="00F126FC" w:rsidP="00074AE0">
      <w:pPr>
        <w:pStyle w:val="Heading2"/>
        <w:jc w:val="both"/>
      </w:pPr>
      <w:bookmarkStart w:id="99" w:name="_Notification_requirements"/>
      <w:bookmarkStart w:id="100" w:name="_Toc205482104"/>
      <w:bookmarkEnd w:id="99"/>
      <w:r w:rsidRPr="00C26D4D">
        <w:t>Notification</w:t>
      </w:r>
      <w:r w:rsidR="005522E6" w:rsidRPr="00E10B44">
        <w:t xml:space="preserve"> </w:t>
      </w:r>
      <w:r w:rsidR="005522E6" w:rsidRPr="00391CE3">
        <w:t>requirements</w:t>
      </w:r>
      <w:bookmarkEnd w:id="100"/>
    </w:p>
    <w:p w14:paraId="6A218C19" w14:textId="7BD74E6A" w:rsidR="0092401F" w:rsidRPr="007E0156" w:rsidRDefault="0092401F" w:rsidP="00FE7FAF">
      <w:pPr>
        <w:jc w:val="both"/>
      </w:pPr>
      <w:r w:rsidRPr="007E0156">
        <w:t xml:space="preserve">The </w:t>
      </w:r>
      <w:r w:rsidR="00B5420D" w:rsidRPr="007E0156">
        <w:t>RP</w:t>
      </w:r>
      <w:r w:rsidRPr="007E0156">
        <w:t xml:space="preserve"> for </w:t>
      </w:r>
      <w:r w:rsidR="00B57F41">
        <w:t xml:space="preserve">a </w:t>
      </w:r>
      <w:r w:rsidR="005A6B05" w:rsidRPr="007E0156">
        <w:t xml:space="preserve">designated </w:t>
      </w:r>
      <w:r w:rsidRPr="007E0156">
        <w:t xml:space="preserve">brand subject to </w:t>
      </w:r>
      <w:r w:rsidR="003012E1" w:rsidRPr="007E0156">
        <w:t xml:space="preserve">the </w:t>
      </w:r>
      <w:r w:rsidR="00B5420D" w:rsidRPr="007E0156">
        <w:t xml:space="preserve">minimum </w:t>
      </w:r>
      <w:r w:rsidRPr="007E0156">
        <w:t xml:space="preserve">stockholding </w:t>
      </w:r>
      <w:r w:rsidR="00284DA7" w:rsidRPr="007E0156">
        <w:t>requirement</w:t>
      </w:r>
      <w:r w:rsidR="00213374" w:rsidRPr="007E0156">
        <w:t xml:space="preserve"> </w:t>
      </w:r>
      <w:r w:rsidR="00F126FC">
        <w:t>must</w:t>
      </w:r>
      <w:r w:rsidR="00F126FC" w:rsidRPr="00EA6859">
        <w:t xml:space="preserve"> </w:t>
      </w:r>
      <w:r w:rsidRPr="007E0156">
        <w:t>notify the Minister of likely</w:t>
      </w:r>
      <w:r w:rsidR="001C6DDD" w:rsidRPr="007E0156">
        <w:t xml:space="preserve"> </w:t>
      </w:r>
      <w:r w:rsidR="00F126FC">
        <w:t>and</w:t>
      </w:r>
      <w:r w:rsidR="001C6DDD" w:rsidRPr="007E0156">
        <w:t xml:space="preserve"> </w:t>
      </w:r>
      <w:r w:rsidRPr="007E0156">
        <w:t xml:space="preserve">actual </w:t>
      </w:r>
      <w:r w:rsidR="00F126FC" w:rsidRPr="00EA6859">
        <w:t>breach</w:t>
      </w:r>
      <w:r w:rsidR="00F126FC">
        <w:t>es</w:t>
      </w:r>
      <w:r w:rsidRPr="007E0156">
        <w:t xml:space="preserve"> of </w:t>
      </w:r>
      <w:r w:rsidR="00B5420D" w:rsidRPr="007E0156">
        <w:t xml:space="preserve">the </w:t>
      </w:r>
      <w:r w:rsidR="00572D4E" w:rsidRPr="007E0156">
        <w:t>minimum stockholding requirements</w:t>
      </w:r>
      <w:r w:rsidR="00600BFC" w:rsidRPr="007E0156">
        <w:t xml:space="preserve"> in accordance with s99AEKD of the Act</w:t>
      </w:r>
      <w:r w:rsidRPr="007E0156">
        <w:t>.</w:t>
      </w:r>
    </w:p>
    <w:p w14:paraId="0C2F787F" w14:textId="29921398" w:rsidR="00F126FC" w:rsidRDefault="00F126FC" w:rsidP="00F126FC">
      <w:pPr>
        <w:jc w:val="both"/>
      </w:pPr>
      <w:r>
        <w:t>RPs</w:t>
      </w:r>
      <w:r w:rsidR="00B73D5A">
        <w:t xml:space="preserve"> need to</w:t>
      </w:r>
      <w:r>
        <w:t xml:space="preserve"> have effective forecasting and stock management practices to manage compliance with the minimum stockholding requirements, including systems to also enable timely identification of likely and actual breaches. </w:t>
      </w:r>
      <w:r w:rsidRPr="00C26D4D">
        <w:t xml:space="preserve">All notifications must be submitted </w:t>
      </w:r>
      <w:r w:rsidRPr="00C80597">
        <w:t xml:space="preserve">‘as </w:t>
      </w:r>
      <w:r w:rsidRPr="00C26D4D">
        <w:t>soon as practicable</w:t>
      </w:r>
      <w:r w:rsidRPr="00C80597">
        <w:t>’</w:t>
      </w:r>
      <w:r w:rsidRPr="00C26D4D">
        <w:t>:</w:t>
      </w:r>
    </w:p>
    <w:p w14:paraId="3BB04F71" w14:textId="629EE912" w:rsidR="005A6B05" w:rsidRPr="007E0156" w:rsidRDefault="00F126FC" w:rsidP="005A2644">
      <w:pPr>
        <w:pStyle w:val="ListParagraph"/>
        <w:numPr>
          <w:ilvl w:val="0"/>
          <w:numId w:val="46"/>
        </w:numPr>
        <w:contextualSpacing/>
        <w:jc w:val="both"/>
      </w:pPr>
      <w:r>
        <w:t>I</w:t>
      </w:r>
      <w:r w:rsidRPr="00C26D4D">
        <w:t>n</w:t>
      </w:r>
      <w:r w:rsidR="00600BFC" w:rsidRPr="007E0156">
        <w:t xml:space="preserve"> the case of a likely breach, </w:t>
      </w:r>
      <w:r w:rsidRPr="00C26D4D">
        <w:rPr>
          <w:rFonts w:cstheme="minorBidi"/>
          <w:szCs w:val="22"/>
        </w:rPr>
        <w:t xml:space="preserve">after the </w:t>
      </w:r>
      <w:r>
        <w:rPr>
          <w:rFonts w:cstheme="minorBidi"/>
          <w:szCs w:val="22"/>
        </w:rPr>
        <w:t>RP</w:t>
      </w:r>
      <w:r w:rsidRPr="00C26D4D">
        <w:rPr>
          <w:rFonts w:cstheme="minorBidi"/>
          <w:szCs w:val="22"/>
        </w:rPr>
        <w:t xml:space="preserve"> forms </w:t>
      </w:r>
      <w:r w:rsidR="005A6B05" w:rsidRPr="007E0156">
        <w:t xml:space="preserve">the belief </w:t>
      </w:r>
      <w:r w:rsidRPr="00C26D4D">
        <w:rPr>
          <w:rFonts w:cstheme="minorBidi"/>
          <w:szCs w:val="22"/>
        </w:rPr>
        <w:t xml:space="preserve">that </w:t>
      </w:r>
      <w:r w:rsidR="005A6B05" w:rsidRPr="007E0156">
        <w:t xml:space="preserve">they are likely to </w:t>
      </w:r>
      <w:r w:rsidR="00C46596" w:rsidRPr="007E0156">
        <w:t xml:space="preserve">breach </w:t>
      </w:r>
      <w:r w:rsidR="00600BFC" w:rsidRPr="007E0156">
        <w:t>the minimum stockholding requirement; or</w:t>
      </w:r>
    </w:p>
    <w:p w14:paraId="63EB4F82" w14:textId="7B05948E" w:rsidR="00C46596" w:rsidRPr="007E0156" w:rsidRDefault="00F126FC" w:rsidP="005A2644">
      <w:pPr>
        <w:pStyle w:val="ListParagraph"/>
        <w:numPr>
          <w:ilvl w:val="0"/>
          <w:numId w:val="46"/>
        </w:numPr>
        <w:contextualSpacing/>
        <w:jc w:val="both"/>
      </w:pPr>
      <w:r>
        <w:rPr>
          <w:rFonts w:cstheme="minorBidi"/>
          <w:szCs w:val="22"/>
        </w:rPr>
        <w:t>I</w:t>
      </w:r>
      <w:r w:rsidRPr="00C26D4D">
        <w:rPr>
          <w:rFonts w:cstheme="minorBidi"/>
          <w:szCs w:val="22"/>
        </w:rPr>
        <w:t>n</w:t>
      </w:r>
      <w:r w:rsidR="00600BFC" w:rsidRPr="007E0156">
        <w:t xml:space="preserve"> the case of an actual breach,</w:t>
      </w:r>
      <w:r w:rsidR="005A6B05" w:rsidRPr="007E0156">
        <w:t xml:space="preserve"> </w:t>
      </w:r>
      <w:r w:rsidRPr="00C26D4D">
        <w:rPr>
          <w:rFonts w:cstheme="minorBidi"/>
          <w:szCs w:val="22"/>
        </w:rPr>
        <w:t>after a</w:t>
      </w:r>
      <w:r w:rsidR="00C46596" w:rsidRPr="007E0156">
        <w:t xml:space="preserve"> breach </w:t>
      </w:r>
      <w:r w:rsidRPr="00C26D4D">
        <w:rPr>
          <w:rFonts w:cstheme="minorBidi"/>
          <w:szCs w:val="22"/>
        </w:rPr>
        <w:t xml:space="preserve">of </w:t>
      </w:r>
      <w:r w:rsidR="00600BFC" w:rsidRPr="007E0156">
        <w:t>the minimum stockholding requirement</w:t>
      </w:r>
      <w:r w:rsidRPr="00C26D4D">
        <w:rPr>
          <w:rFonts w:cstheme="minorBidi"/>
          <w:szCs w:val="22"/>
        </w:rPr>
        <w:t xml:space="preserve"> has occurred</w:t>
      </w:r>
      <w:r w:rsidR="00600BFC" w:rsidRPr="007E0156">
        <w:t xml:space="preserve"> </w:t>
      </w:r>
      <w:r w:rsidR="00B336E0" w:rsidRPr="007E0156">
        <w:t xml:space="preserve">in relation to a </w:t>
      </w:r>
      <w:r w:rsidR="00B57F41">
        <w:t xml:space="preserve">designated </w:t>
      </w:r>
      <w:r w:rsidR="00B336E0" w:rsidRPr="007E0156">
        <w:t>brand</w:t>
      </w:r>
      <w:r w:rsidR="00600BFC" w:rsidRPr="007E0156">
        <w:t>.</w:t>
      </w:r>
    </w:p>
    <w:p w14:paraId="224039B9" w14:textId="7A44279D" w:rsidR="00160993" w:rsidRPr="006E1514" w:rsidRDefault="00F126FC" w:rsidP="00BB389B">
      <w:pPr>
        <w:jc w:val="both"/>
      </w:pPr>
      <w:r w:rsidRPr="00C26D4D">
        <w:t xml:space="preserve">The </w:t>
      </w:r>
      <w:r w:rsidR="00301AB1">
        <w:t>d</w:t>
      </w:r>
      <w:r w:rsidRPr="00C26D4D">
        <w:t>epartment acknowledges</w:t>
      </w:r>
      <w:r w:rsidR="00284BB6" w:rsidRPr="00E10B44">
        <w:t xml:space="preserve"> that </w:t>
      </w:r>
      <w:r w:rsidRPr="00C26D4D">
        <w:t>submit</w:t>
      </w:r>
      <w:r w:rsidR="001F196D">
        <w:t>ting</w:t>
      </w:r>
      <w:r w:rsidRPr="00C26D4D">
        <w:t xml:space="preserve"> a </w:t>
      </w:r>
      <w:r w:rsidR="001F196D">
        <w:t xml:space="preserve">compliant </w:t>
      </w:r>
      <w:r w:rsidRPr="00C26D4D">
        <w:t xml:space="preserve">notification </w:t>
      </w:r>
      <w:r w:rsidR="001F196D">
        <w:t>may</w:t>
      </w:r>
      <w:r w:rsidRPr="00C26D4D">
        <w:t xml:space="preserve"> include processes to collect, confirm and authorise relevant information. In considering whether </w:t>
      </w:r>
      <w:r w:rsidR="00284BB6" w:rsidRPr="00E10B44">
        <w:t xml:space="preserve">a notification has been </w:t>
      </w:r>
      <w:r w:rsidR="00251DB3" w:rsidRPr="00E10B44">
        <w:t>provided ‘as soon as practicable’</w:t>
      </w:r>
      <w:r w:rsidRPr="00C26D4D">
        <w:t xml:space="preserve">, it is not expected that RPs will undertake this work outside of normal business hours (such as the weekend or on public holidays). </w:t>
      </w:r>
      <w:r w:rsidR="001F196D">
        <w:t>However, i</w:t>
      </w:r>
      <w:r w:rsidRPr="00C26D4D">
        <w:t xml:space="preserve">t is expected that RPs will </w:t>
      </w:r>
      <w:r w:rsidR="001F196D">
        <w:t xml:space="preserve">avoid any delay and </w:t>
      </w:r>
      <w:r w:rsidRPr="00C26D4D">
        <w:t>prioritise these processes to an extent which allows for the notification to be submitted</w:t>
      </w:r>
      <w:r w:rsidR="00A12218" w:rsidRPr="006E1514">
        <w:t xml:space="preserve"> </w:t>
      </w:r>
      <w:r w:rsidR="00A12218" w:rsidRPr="00BB389B">
        <w:t>‘</w:t>
      </w:r>
      <w:bookmarkStart w:id="101" w:name="_Hlk108708858"/>
      <w:r w:rsidR="00A12218" w:rsidRPr="00BB389B">
        <w:t>as soon as practicable’</w:t>
      </w:r>
      <w:bookmarkEnd w:id="101"/>
      <w:r w:rsidR="003C5DEF" w:rsidRPr="006E1514">
        <w:t xml:space="preserve">. </w:t>
      </w:r>
    </w:p>
    <w:p w14:paraId="4D16AA79" w14:textId="64BCCA8B" w:rsidR="00F126FC" w:rsidRPr="00B9082A" w:rsidRDefault="00F126FC" w:rsidP="00F126FC">
      <w:pPr>
        <w:jc w:val="both"/>
      </w:pPr>
      <w:r w:rsidRPr="00E963D2">
        <w:t xml:space="preserve">The requirement to notify the Minister relates to each individual likely </w:t>
      </w:r>
      <w:r>
        <w:t xml:space="preserve">or </w:t>
      </w:r>
      <w:r w:rsidRPr="00E963D2">
        <w:t>actual breach.</w:t>
      </w:r>
      <w:r>
        <w:t xml:space="preserve"> RPs</w:t>
      </w:r>
      <w:r w:rsidRPr="00E963D2">
        <w:t xml:space="preserve"> must not aggregate notifications of likely or actual breaches or implement</w:t>
      </w:r>
      <w:r>
        <w:t xml:space="preserve"> </w:t>
      </w:r>
      <w:r w:rsidRPr="00E963D2">
        <w:t xml:space="preserve">processes resulting in periodic notification reporting (i.e. monthly or </w:t>
      </w:r>
      <w:r w:rsidRPr="005F685D">
        <w:t>quarterly submissions)</w:t>
      </w:r>
      <w:r w:rsidR="0097745F">
        <w:t xml:space="preserve"> which are separated by periods of time</w:t>
      </w:r>
      <w:r w:rsidRPr="005F685D">
        <w:t xml:space="preserve">. </w:t>
      </w:r>
      <w:r w:rsidRPr="00C26D4D">
        <w:t xml:space="preserve">In these circumstances, the </w:t>
      </w:r>
      <w:r w:rsidR="00301AB1">
        <w:t>d</w:t>
      </w:r>
      <w:r w:rsidRPr="00C26D4D">
        <w:t xml:space="preserve">epartment considers that the RP has not met the </w:t>
      </w:r>
      <w:r w:rsidRPr="005F685D">
        <w:t>requirement</w:t>
      </w:r>
      <w:r w:rsidRPr="00C26D4D">
        <w:t xml:space="preserve"> </w:t>
      </w:r>
      <w:r w:rsidR="001F196D">
        <w:t>to make a notification</w:t>
      </w:r>
      <w:r w:rsidRPr="00C26D4D">
        <w:t xml:space="preserve"> ‘as soon as practicable’.</w:t>
      </w:r>
    </w:p>
    <w:p w14:paraId="7996CE6D" w14:textId="77777777" w:rsidR="00F126FC" w:rsidRDefault="00F126FC" w:rsidP="00F126FC">
      <w:pPr>
        <w:jc w:val="both"/>
      </w:pPr>
      <w:r>
        <w:t xml:space="preserve">If </w:t>
      </w:r>
      <w:r w:rsidRPr="00B23B1C">
        <w:t xml:space="preserve">an RP has multiple brands with a likely breach or an actual breach required to be notified, the RP must submit a </w:t>
      </w:r>
      <w:r>
        <w:t>notification</w:t>
      </w:r>
      <w:r w:rsidRPr="00B23B1C">
        <w:t xml:space="preserve"> for each brand </w:t>
      </w:r>
      <w:r>
        <w:t>that is likely to breach or has actually breached.</w:t>
      </w:r>
    </w:p>
    <w:p w14:paraId="297A3013" w14:textId="5F9FD184" w:rsidR="00F126FC" w:rsidRPr="00C26D4D" w:rsidRDefault="00F126FC" w:rsidP="00F126FC">
      <w:pPr>
        <w:jc w:val="both"/>
      </w:pPr>
      <w:r>
        <w:t xml:space="preserve">The </w:t>
      </w:r>
      <w:r w:rsidR="00301AB1">
        <w:t>d</w:t>
      </w:r>
      <w:r>
        <w:t xml:space="preserve">epartment has published a Factsheet on the PBS website to assist industry to understand the notification requirements and expectations – </w:t>
      </w:r>
      <w:hyperlink r:id="rId52" w:history="1">
        <w:r w:rsidRPr="00321A74">
          <w:rPr>
            <w:rStyle w:val="Hyperlink"/>
          </w:rPr>
          <w:t>Fact Sheet – Minimum Stockholding Requirement Notifications</w:t>
        </w:r>
      </w:hyperlink>
      <w:r>
        <w:t>.</w:t>
      </w:r>
    </w:p>
    <w:p w14:paraId="32EEE284" w14:textId="5A1DAF5F" w:rsidR="0092401F" w:rsidRPr="00BC2539" w:rsidRDefault="00F126FC" w:rsidP="005A2644">
      <w:pPr>
        <w:numPr>
          <w:ilvl w:val="0"/>
          <w:numId w:val="17"/>
        </w:numPr>
        <w:jc w:val="both"/>
        <w:rPr>
          <w:b/>
        </w:rPr>
      </w:pPr>
      <w:r>
        <w:rPr>
          <w:b/>
          <w:bCs/>
        </w:rPr>
        <w:t>Required</w:t>
      </w:r>
      <w:r w:rsidR="003D3540" w:rsidRPr="00BC2539">
        <w:rPr>
          <w:b/>
        </w:rPr>
        <w:t xml:space="preserve"> </w:t>
      </w:r>
      <w:r w:rsidR="003D2917" w:rsidRPr="00BC2539">
        <w:rPr>
          <w:b/>
        </w:rPr>
        <w:t xml:space="preserve">information </w:t>
      </w:r>
      <w:r>
        <w:rPr>
          <w:b/>
          <w:bCs/>
        </w:rPr>
        <w:t>in a notification</w:t>
      </w:r>
    </w:p>
    <w:p w14:paraId="1EB9A6B0" w14:textId="77777777" w:rsidR="00F126FC" w:rsidRDefault="00F126FC" w:rsidP="00F126FC">
      <w:pPr>
        <w:ind w:left="360"/>
        <w:jc w:val="both"/>
      </w:pPr>
      <w:r w:rsidRPr="006D3B41">
        <w:t>To facilitate notifications being made as soon as practicable, a</w:t>
      </w:r>
      <w:r>
        <w:t>n</w:t>
      </w:r>
      <w:r w:rsidRPr="006D3B41">
        <w:t xml:space="preserve"> </w:t>
      </w:r>
      <w:r>
        <w:t>RP</w:t>
      </w:r>
      <w:r w:rsidRPr="006D3B41">
        <w:t xml:space="preserve"> can submit an</w:t>
      </w:r>
      <w:r>
        <w:t xml:space="preserve"> </w:t>
      </w:r>
      <w:r w:rsidRPr="006D3B41">
        <w:t>initial notification which includes basic</w:t>
      </w:r>
      <w:r>
        <w:t xml:space="preserve"> brand and breach</w:t>
      </w:r>
      <w:r w:rsidRPr="006D3B41">
        <w:t xml:space="preserve"> information. This initial notification should:</w:t>
      </w:r>
    </w:p>
    <w:p w14:paraId="533C6B4E" w14:textId="77777777" w:rsidR="00F126FC" w:rsidRDefault="00F126FC" w:rsidP="005A2644">
      <w:pPr>
        <w:numPr>
          <w:ilvl w:val="0"/>
          <w:numId w:val="42"/>
        </w:numPr>
        <w:jc w:val="both"/>
      </w:pPr>
      <w:r w:rsidRPr="006D3B41">
        <w:t>Provide the details of the designated brand</w:t>
      </w:r>
    </w:p>
    <w:p w14:paraId="1E0CF24A" w14:textId="3E4EBDB2" w:rsidR="00F126FC" w:rsidRDefault="00F126FC" w:rsidP="005A2644">
      <w:pPr>
        <w:numPr>
          <w:ilvl w:val="0"/>
          <w:numId w:val="42"/>
        </w:numPr>
        <w:jc w:val="both"/>
      </w:pPr>
      <w:r w:rsidRPr="006D3B41">
        <w:t>Inform</w:t>
      </w:r>
      <w:r w:rsidR="00C800DC" w:rsidRPr="007E0156">
        <w:t xml:space="preserve"> the </w:t>
      </w:r>
      <w:r w:rsidRPr="006D3B41">
        <w:t>Minister</w:t>
      </w:r>
      <w:r w:rsidR="00C800DC" w:rsidRPr="007E0156">
        <w:t xml:space="preserve"> of the </w:t>
      </w:r>
      <w:r w:rsidRPr="006D3B41">
        <w:t>likely or actual breach</w:t>
      </w:r>
    </w:p>
    <w:p w14:paraId="020ABEF0" w14:textId="107CD7E3" w:rsidR="00C800DC" w:rsidRPr="007E0156" w:rsidRDefault="00F126FC" w:rsidP="005A2644">
      <w:pPr>
        <w:numPr>
          <w:ilvl w:val="0"/>
          <w:numId w:val="42"/>
        </w:numPr>
        <w:jc w:val="both"/>
      </w:pPr>
      <w:r w:rsidRPr="006D3B41">
        <w:lastRenderedPageBreak/>
        <w:t>Set out</w:t>
      </w:r>
      <w:r w:rsidR="00C800DC" w:rsidRPr="007E0156">
        <w:t xml:space="preserve"> the </w:t>
      </w:r>
      <w:r w:rsidRPr="006D3B41">
        <w:t>reason</w:t>
      </w:r>
      <w:r>
        <w:t>(</w:t>
      </w:r>
      <w:r w:rsidRPr="006D3B41">
        <w:t>s</w:t>
      </w:r>
      <w:r>
        <w:t>)</w:t>
      </w:r>
      <w:r w:rsidRPr="006D3B41">
        <w:t xml:space="preserve"> for </w:t>
      </w:r>
      <w:r w:rsidR="00C800DC" w:rsidRPr="007E0156">
        <w:t xml:space="preserve">the </w:t>
      </w:r>
      <w:r w:rsidRPr="006D3B41">
        <w:t>likely or actual breach</w:t>
      </w:r>
    </w:p>
    <w:p w14:paraId="44C87E44" w14:textId="7DDA6D78" w:rsidR="0055143E" w:rsidRPr="007E0156" w:rsidRDefault="00F126FC" w:rsidP="005A2644">
      <w:pPr>
        <w:numPr>
          <w:ilvl w:val="0"/>
          <w:numId w:val="42"/>
        </w:numPr>
        <w:jc w:val="both"/>
      </w:pPr>
      <w:r w:rsidRPr="006D3B41">
        <w:t>Indicate the</w:t>
      </w:r>
      <w:r w:rsidR="00F54D10" w:rsidRPr="007E0156">
        <w:t xml:space="preserve"> anticipated </w:t>
      </w:r>
      <w:r w:rsidR="005522E6" w:rsidRPr="007E0156">
        <w:t xml:space="preserve">duration </w:t>
      </w:r>
      <w:r w:rsidRPr="006D3B41">
        <w:t>and extent (</w:t>
      </w:r>
      <w:r w:rsidR="005522E6" w:rsidRPr="007E0156">
        <w:t>volume</w:t>
      </w:r>
      <w:r w:rsidRPr="006D3B41">
        <w:t xml:space="preserve"> of stock) of the likely or actual breach</w:t>
      </w:r>
    </w:p>
    <w:p w14:paraId="6E3A3213" w14:textId="77777777" w:rsidR="00F126FC" w:rsidRDefault="00F126FC" w:rsidP="00945291">
      <w:pPr>
        <w:keepNext/>
        <w:ind w:left="357"/>
        <w:jc w:val="both"/>
      </w:pPr>
      <w:r>
        <w:t xml:space="preserve">RPs </w:t>
      </w:r>
      <w:r w:rsidRPr="00A45FE8">
        <w:t>are strongly encouraged to provide the additional information sought in the second part of the notification form when that information is available. This additional information</w:t>
      </w:r>
      <w:r>
        <w:t xml:space="preserve"> </w:t>
      </w:r>
      <w:r w:rsidRPr="006D3B41">
        <w:t>includes:</w:t>
      </w:r>
    </w:p>
    <w:p w14:paraId="1066A078" w14:textId="5B7232E6" w:rsidR="00F54D10" w:rsidRPr="007E0156" w:rsidRDefault="00245644" w:rsidP="005A2644">
      <w:pPr>
        <w:numPr>
          <w:ilvl w:val="0"/>
          <w:numId w:val="26"/>
        </w:numPr>
        <w:jc w:val="both"/>
      </w:pPr>
      <w:r>
        <w:t>C</w:t>
      </w:r>
      <w:r w:rsidR="00F54D10" w:rsidRPr="007E0156">
        <w:t xml:space="preserve">orrective actions </w:t>
      </w:r>
      <w:r w:rsidR="00C4022B" w:rsidRPr="007E0156">
        <w:t>taken by the RP, including:</w:t>
      </w:r>
    </w:p>
    <w:p w14:paraId="23DEEE55" w14:textId="54062BCD" w:rsidR="00471EE6" w:rsidRPr="007E0156" w:rsidRDefault="00C4022B" w:rsidP="000E42BB">
      <w:pPr>
        <w:numPr>
          <w:ilvl w:val="0"/>
          <w:numId w:val="15"/>
        </w:numPr>
        <w:jc w:val="both"/>
      </w:pPr>
      <w:r w:rsidRPr="007E0156">
        <w:t>w</w:t>
      </w:r>
      <w:r w:rsidR="00471EE6" w:rsidRPr="007E0156">
        <w:t xml:space="preserve">hat actions are and/or were being taken to maintain or restore stock to </w:t>
      </w:r>
      <w:r w:rsidRPr="007E0156">
        <w:t>the</w:t>
      </w:r>
      <w:r w:rsidR="0043558E" w:rsidRPr="007E0156">
        <w:t xml:space="preserve"> </w:t>
      </w:r>
      <w:r w:rsidR="00471EE6" w:rsidRPr="007E0156">
        <w:t>required level</w:t>
      </w:r>
      <w:r w:rsidR="007F0295" w:rsidRPr="007E0156">
        <w:t xml:space="preserve"> </w:t>
      </w:r>
      <w:r w:rsidR="00A115A8">
        <w:t>(</w:t>
      </w:r>
      <w:hyperlink w:anchor="_Exhibit_15:_Best" w:history="1">
        <w:r w:rsidR="00A115A8" w:rsidRPr="003444A6">
          <w:rPr>
            <w:rStyle w:val="Hyperlink"/>
          </w:rPr>
          <w:t xml:space="preserve">Exhibit </w:t>
        </w:r>
        <w:r w:rsidR="00036915" w:rsidRPr="003444A6">
          <w:rPr>
            <w:rStyle w:val="Hyperlink"/>
          </w:rPr>
          <w:t>15</w:t>
        </w:r>
      </w:hyperlink>
      <w:r w:rsidR="00071602" w:rsidRPr="007E0156">
        <w:t xml:space="preserve"> </w:t>
      </w:r>
      <w:r w:rsidR="00B81A23" w:rsidRPr="007E0156">
        <w:t xml:space="preserve">provides examples of actions </w:t>
      </w:r>
      <w:r w:rsidRPr="007E0156">
        <w:t>RPs</w:t>
      </w:r>
      <w:r w:rsidR="00887FE8" w:rsidRPr="007E0156">
        <w:t xml:space="preserve"> </w:t>
      </w:r>
      <w:r w:rsidR="001A593B" w:rsidRPr="007E0156">
        <w:t>could take</w:t>
      </w:r>
      <w:r w:rsidR="007F0295" w:rsidRPr="007E0156">
        <w:t>)</w:t>
      </w:r>
      <w:r w:rsidRPr="007E0156">
        <w:t>; and</w:t>
      </w:r>
    </w:p>
    <w:p w14:paraId="3356F1DA" w14:textId="31440260" w:rsidR="007F17A6" w:rsidRPr="007E0156" w:rsidRDefault="00C4022B" w:rsidP="005A2644">
      <w:pPr>
        <w:numPr>
          <w:ilvl w:val="0"/>
          <w:numId w:val="15"/>
        </w:numPr>
        <w:jc w:val="both"/>
      </w:pPr>
      <w:r w:rsidRPr="007E0156">
        <w:t>o</w:t>
      </w:r>
      <w:r w:rsidR="007F17A6" w:rsidRPr="007E0156">
        <w:t>ut</w:t>
      </w:r>
      <w:r w:rsidR="003B32DE" w:rsidRPr="007E0156">
        <w:t xml:space="preserve">comes of any investigations into cause of breach/likely breach and </w:t>
      </w:r>
      <w:r w:rsidR="00665EC3" w:rsidRPr="007E0156">
        <w:t xml:space="preserve">evidence of corrective actions taken </w:t>
      </w:r>
      <w:r w:rsidR="00786E01" w:rsidRPr="007E0156">
        <w:t>thus far</w:t>
      </w:r>
      <w:r w:rsidRPr="007E0156">
        <w:t>;</w:t>
      </w:r>
    </w:p>
    <w:p w14:paraId="5825ABEF" w14:textId="6A7E2804" w:rsidR="00A83EC5" w:rsidRPr="007E0156" w:rsidRDefault="00245644" w:rsidP="005A2644">
      <w:pPr>
        <w:numPr>
          <w:ilvl w:val="0"/>
          <w:numId w:val="26"/>
        </w:numPr>
        <w:jc w:val="both"/>
      </w:pPr>
      <w:r>
        <w:t>S</w:t>
      </w:r>
      <w:r w:rsidR="00887FE8" w:rsidRPr="007E0156">
        <w:t xml:space="preserve">uitability of </w:t>
      </w:r>
      <w:r w:rsidR="008A3AAE" w:rsidRPr="007E0156">
        <w:t>RP</w:t>
      </w:r>
      <w:r w:rsidR="00B43CF1" w:rsidRPr="007E0156">
        <w:t>’</w:t>
      </w:r>
      <w:r w:rsidR="008A3AAE" w:rsidRPr="007E0156">
        <w:t xml:space="preserve">s </w:t>
      </w:r>
      <w:r w:rsidR="00887FE8" w:rsidRPr="007E0156">
        <w:t>existing business activities</w:t>
      </w:r>
      <w:r w:rsidR="008A3AAE" w:rsidRPr="007E0156">
        <w:t>:</w:t>
      </w:r>
    </w:p>
    <w:p w14:paraId="6A512367" w14:textId="1A72103F" w:rsidR="00165ECC" w:rsidRPr="007E0156" w:rsidRDefault="008A3AAE" w:rsidP="005A2644">
      <w:pPr>
        <w:numPr>
          <w:ilvl w:val="0"/>
          <w:numId w:val="15"/>
        </w:numPr>
        <w:jc w:val="both"/>
      </w:pPr>
      <w:r w:rsidRPr="007E0156">
        <w:t>e</w:t>
      </w:r>
      <w:r w:rsidR="00165ECC" w:rsidRPr="007E0156">
        <w:t xml:space="preserve">xisting processes the </w:t>
      </w:r>
      <w:r w:rsidRPr="007E0156">
        <w:t>RP</w:t>
      </w:r>
      <w:r w:rsidR="00165ECC" w:rsidRPr="007E0156">
        <w:t xml:space="preserve"> takes to forecast demand</w:t>
      </w:r>
      <w:r w:rsidRPr="007E0156">
        <w:t>;</w:t>
      </w:r>
    </w:p>
    <w:p w14:paraId="2449D6C8" w14:textId="2086CA99" w:rsidR="00550714" w:rsidRPr="007E0156" w:rsidRDefault="008A3AAE" w:rsidP="005A2644">
      <w:pPr>
        <w:numPr>
          <w:ilvl w:val="0"/>
          <w:numId w:val="15"/>
        </w:numPr>
        <w:jc w:val="both"/>
      </w:pPr>
      <w:r w:rsidRPr="007E0156">
        <w:t>e</w:t>
      </w:r>
      <w:r w:rsidR="005103BF" w:rsidRPr="007E0156">
        <w:t xml:space="preserve">xisting processes the </w:t>
      </w:r>
      <w:r w:rsidRPr="007E0156">
        <w:t>RP</w:t>
      </w:r>
      <w:r w:rsidR="005103BF" w:rsidRPr="007E0156">
        <w:t xml:space="preserve"> takes to manage and monitor supply chain and storage facilities</w:t>
      </w:r>
      <w:r w:rsidR="003D2917" w:rsidRPr="007E0156">
        <w:t>; and</w:t>
      </w:r>
    </w:p>
    <w:p w14:paraId="39CE94A3" w14:textId="6E171D0E" w:rsidR="00165ECC" w:rsidRPr="007E0156" w:rsidRDefault="008A3AAE" w:rsidP="005A2644">
      <w:pPr>
        <w:numPr>
          <w:ilvl w:val="0"/>
          <w:numId w:val="15"/>
        </w:numPr>
        <w:jc w:val="both"/>
      </w:pPr>
      <w:r w:rsidRPr="007E0156">
        <w:t>a</w:t>
      </w:r>
      <w:r w:rsidR="00550714" w:rsidRPr="007E0156">
        <w:t xml:space="preserve">ny </w:t>
      </w:r>
      <w:r w:rsidR="00476089" w:rsidRPr="007E0156">
        <w:t xml:space="preserve">prior </w:t>
      </w:r>
      <w:r w:rsidR="00550714" w:rsidRPr="007E0156">
        <w:t>risk assessment</w:t>
      </w:r>
      <w:r w:rsidR="00476089" w:rsidRPr="007E0156">
        <w:t xml:space="preserve"> made of supply chain and any applicable steps taken to mitigate those risks</w:t>
      </w:r>
      <w:r w:rsidRPr="007E0156">
        <w:t>.</w:t>
      </w:r>
    </w:p>
    <w:p w14:paraId="17E0D45F" w14:textId="77777777" w:rsidR="00F126FC" w:rsidRDefault="00F126FC" w:rsidP="00F126FC">
      <w:pPr>
        <w:ind w:left="360"/>
        <w:jc w:val="both"/>
      </w:pPr>
      <w:r w:rsidRPr="00C85312">
        <w:t>The RP may submit the first part of a notification whilst they are in the process of attempting to mitigate a supply disruption, or whilst they are gathering further information, but the notification must be provided ‘</w:t>
      </w:r>
      <w:r w:rsidRPr="00C85312">
        <w:rPr>
          <w:i/>
          <w:iCs/>
        </w:rPr>
        <w:t>as soon as practicable</w:t>
      </w:r>
      <w:r w:rsidRPr="00C85312">
        <w:t>’ and not be delayed whilst further action, investigation or information-gathering is completed.</w:t>
      </w:r>
    </w:p>
    <w:p w14:paraId="27400AD8" w14:textId="4A278160" w:rsidR="00F126FC" w:rsidRPr="00EA6859" w:rsidRDefault="00F126FC" w:rsidP="00F126FC">
      <w:pPr>
        <w:ind w:left="360"/>
        <w:jc w:val="both"/>
      </w:pPr>
      <w:r w:rsidRPr="00EA6859">
        <w:t>A notification is a</w:t>
      </w:r>
      <w:r>
        <w:t xml:space="preserve">n RP’s </w:t>
      </w:r>
      <w:r w:rsidRPr="00EA6859">
        <w:t xml:space="preserve">opportunity to provide all relevant information to assist the </w:t>
      </w:r>
      <w:r w:rsidR="00301AB1">
        <w:t>d</w:t>
      </w:r>
      <w:r w:rsidRPr="00EA6859">
        <w:t>epartment to monitor supply issues and assess the risks of breaches</w:t>
      </w:r>
      <w:r>
        <w:t>. T</w:t>
      </w:r>
      <w:r w:rsidRPr="00EA6859">
        <w:t xml:space="preserve">his process assists the </w:t>
      </w:r>
      <w:r w:rsidR="00301AB1">
        <w:t>d</w:t>
      </w:r>
      <w:r w:rsidRPr="00EA6859">
        <w:t xml:space="preserve">epartment </w:t>
      </w:r>
      <w:r>
        <w:t xml:space="preserve">to </w:t>
      </w:r>
      <w:r w:rsidRPr="00EA6859">
        <w:t>recommend the appropriate compliance approach to the Minister.</w:t>
      </w:r>
    </w:p>
    <w:p w14:paraId="5EECBB23" w14:textId="7333D000" w:rsidR="00F126FC" w:rsidRPr="00EA6859" w:rsidRDefault="00F126FC" w:rsidP="00F126FC">
      <w:pPr>
        <w:ind w:left="360"/>
        <w:jc w:val="both"/>
      </w:pPr>
      <w:r w:rsidRPr="00EA6859">
        <w:t>Where the basic information</w:t>
      </w:r>
      <w:r>
        <w:t xml:space="preserve"> initially provided in Part 1</w:t>
      </w:r>
      <w:r w:rsidR="00B54552">
        <w:t xml:space="preserve"> of</w:t>
      </w:r>
      <w:r w:rsidR="00405E96">
        <w:t xml:space="preserve"> a PDF, Excel or Portal </w:t>
      </w:r>
      <w:r w:rsidR="00B54552">
        <w:t xml:space="preserve">notification </w:t>
      </w:r>
      <w:r w:rsidRPr="00EA6859">
        <w:t>changes, a</w:t>
      </w:r>
      <w:r>
        <w:t xml:space="preserve">n RP </w:t>
      </w:r>
      <w:r w:rsidRPr="00EA6859">
        <w:t>must submit an update to</w:t>
      </w:r>
      <w:r>
        <w:t xml:space="preserve"> the submitted notification to</w:t>
      </w:r>
      <w:r w:rsidRPr="00EA6859">
        <w:t xml:space="preserve"> reflect this change. </w:t>
      </w:r>
      <w:r>
        <w:t xml:space="preserve">RPs </w:t>
      </w:r>
      <w:r w:rsidRPr="00EA6859">
        <w:t>are strongly encouraged to submit an update under the following circumstances:</w:t>
      </w:r>
    </w:p>
    <w:p w14:paraId="3AD4102C" w14:textId="77777777" w:rsidR="00F126FC" w:rsidRPr="00EA6859" w:rsidRDefault="00F126FC" w:rsidP="005A2644">
      <w:pPr>
        <w:numPr>
          <w:ilvl w:val="0"/>
          <w:numId w:val="38"/>
        </w:numPr>
        <w:contextualSpacing/>
      </w:pPr>
      <w:r w:rsidRPr="00EA6859">
        <w:t>Resolution of the breach – the stockholding level returns to compliance</w:t>
      </w:r>
    </w:p>
    <w:p w14:paraId="747D3562" w14:textId="77777777" w:rsidR="00F126FC" w:rsidRPr="00EA6859" w:rsidRDefault="00F126FC" w:rsidP="005A2644">
      <w:pPr>
        <w:numPr>
          <w:ilvl w:val="0"/>
          <w:numId w:val="38"/>
        </w:numPr>
        <w:contextualSpacing/>
      </w:pPr>
      <w:r w:rsidRPr="00EA6859">
        <w:t>The lowest anticipated stockholding level changes</w:t>
      </w:r>
    </w:p>
    <w:p w14:paraId="0275E2CC" w14:textId="77777777" w:rsidR="00F126FC" w:rsidRDefault="00F126FC" w:rsidP="005A2644">
      <w:pPr>
        <w:numPr>
          <w:ilvl w:val="0"/>
          <w:numId w:val="38"/>
        </w:numPr>
        <w:contextualSpacing/>
      </w:pPr>
      <w:r w:rsidRPr="00EA6859">
        <w:t>The approximate date that the lowest stockholding level is likely to be reached changes</w:t>
      </w:r>
    </w:p>
    <w:p w14:paraId="7F8A58B0" w14:textId="77777777" w:rsidR="00F126FC" w:rsidRDefault="00F126FC" w:rsidP="005A2644">
      <w:pPr>
        <w:numPr>
          <w:ilvl w:val="0"/>
          <w:numId w:val="38"/>
        </w:numPr>
        <w:contextualSpacing/>
      </w:pPr>
      <w:r w:rsidRPr="009F409D">
        <w:t>The anticipated resolution date changes.</w:t>
      </w:r>
    </w:p>
    <w:p w14:paraId="79795B10" w14:textId="77777777" w:rsidR="00F126FC" w:rsidRPr="009F409D" w:rsidRDefault="00F126FC" w:rsidP="00F126FC">
      <w:pPr>
        <w:ind w:left="765"/>
        <w:contextualSpacing/>
      </w:pPr>
    </w:p>
    <w:p w14:paraId="3FA760C9" w14:textId="5C83040B" w:rsidR="00F126FC" w:rsidRDefault="00F126FC" w:rsidP="00F126FC">
      <w:pPr>
        <w:ind w:left="360"/>
        <w:jc w:val="both"/>
      </w:pPr>
      <w:r>
        <w:t>T</w:t>
      </w:r>
      <w:r w:rsidRPr="009C1236">
        <w:t xml:space="preserve">he </w:t>
      </w:r>
      <w:r w:rsidR="00301AB1">
        <w:t>d</w:t>
      </w:r>
      <w:r>
        <w:t xml:space="preserve">epartment may seek </w:t>
      </w:r>
      <w:r w:rsidRPr="009C1236">
        <w:t xml:space="preserve">information to </w:t>
      </w:r>
      <w:r>
        <w:t>enable an</w:t>
      </w:r>
      <w:r w:rsidRPr="009C1236">
        <w:t xml:space="preserve"> assess</w:t>
      </w:r>
      <w:r>
        <w:t>ment of</w:t>
      </w:r>
      <w:r w:rsidRPr="009C1236">
        <w:t xml:space="preserve"> whether the notification has </w:t>
      </w:r>
      <w:r>
        <w:t>complied with the requirement that a notification be made</w:t>
      </w:r>
      <w:r w:rsidRPr="009C1236">
        <w:t xml:space="preserve"> </w:t>
      </w:r>
      <w:r w:rsidRPr="009C1236">
        <w:rPr>
          <w:i/>
          <w:iCs/>
        </w:rPr>
        <w:t>‘as soon as practicable’</w:t>
      </w:r>
      <w:r>
        <w:t xml:space="preserve">, especially where the </w:t>
      </w:r>
      <w:r w:rsidR="00301AB1">
        <w:t>d</w:t>
      </w:r>
      <w:r>
        <w:t>epartment identifies an apparent delay in submitting the notification. T</w:t>
      </w:r>
      <w:r w:rsidRPr="00EA6859">
        <w:t>he</w:t>
      </w:r>
      <w:r>
        <w:t xml:space="preserve"> </w:t>
      </w:r>
      <w:r w:rsidR="00301AB1">
        <w:t>d</w:t>
      </w:r>
      <w:r>
        <w:t>epartment encourages</w:t>
      </w:r>
      <w:r w:rsidRPr="00EA6859">
        <w:t xml:space="preserve"> RP</w:t>
      </w:r>
      <w:r>
        <w:t>s</w:t>
      </w:r>
      <w:r w:rsidRPr="00EA6859">
        <w:t xml:space="preserve"> </w:t>
      </w:r>
      <w:r>
        <w:t>to</w:t>
      </w:r>
      <w:r w:rsidRPr="00EA6859">
        <w:t xml:space="preserve"> include </w:t>
      </w:r>
      <w:r>
        <w:t xml:space="preserve">this </w:t>
      </w:r>
      <w:r w:rsidRPr="00EA6859">
        <w:t xml:space="preserve">information </w:t>
      </w:r>
      <w:r>
        <w:t>when submitting or updating a notification.</w:t>
      </w:r>
    </w:p>
    <w:p w14:paraId="1338CF1F" w14:textId="77777777" w:rsidR="00F126FC" w:rsidRPr="00C85312" w:rsidRDefault="00F126FC" w:rsidP="00CC6902">
      <w:pPr>
        <w:ind w:left="720"/>
        <w:jc w:val="both"/>
        <w:rPr>
          <w:i/>
          <w:iCs/>
          <w:color w:val="002060"/>
          <w:sz w:val="18"/>
          <w:szCs w:val="20"/>
        </w:rPr>
      </w:pPr>
      <w:r w:rsidRPr="00C85312">
        <w:rPr>
          <w:i/>
          <w:iCs/>
          <w:color w:val="002060"/>
          <w:sz w:val="18"/>
          <w:szCs w:val="20"/>
        </w:rPr>
        <w:t xml:space="preserve">Example </w:t>
      </w:r>
      <w:r>
        <w:rPr>
          <w:i/>
          <w:iCs/>
          <w:color w:val="002060"/>
          <w:sz w:val="18"/>
          <w:szCs w:val="20"/>
        </w:rPr>
        <w:t>–</w:t>
      </w:r>
      <w:r w:rsidRPr="00C85312">
        <w:rPr>
          <w:i/>
          <w:iCs/>
          <w:color w:val="002060"/>
          <w:sz w:val="18"/>
          <w:szCs w:val="20"/>
        </w:rPr>
        <w:t xml:space="preserve"> </w:t>
      </w:r>
      <w:r w:rsidRPr="00452D72">
        <w:rPr>
          <w:i/>
          <w:iCs/>
          <w:color w:val="002060"/>
          <w:sz w:val="18"/>
          <w:szCs w:val="20"/>
        </w:rPr>
        <w:t>In the case of a likely breach, this could include information about when and how the RP became aware of any matters on which the belief was formed</w:t>
      </w:r>
      <w:r>
        <w:rPr>
          <w:i/>
          <w:iCs/>
          <w:color w:val="002060"/>
          <w:sz w:val="18"/>
          <w:szCs w:val="20"/>
        </w:rPr>
        <w:t xml:space="preserve">, </w:t>
      </w:r>
      <w:r w:rsidRPr="00452D72">
        <w:rPr>
          <w:i/>
          <w:iCs/>
          <w:color w:val="002060"/>
          <w:sz w:val="18"/>
          <w:szCs w:val="20"/>
        </w:rPr>
        <w:t>and supporting evidence can include, but is not limited to</w:t>
      </w:r>
      <w:r w:rsidRPr="00C85312">
        <w:rPr>
          <w:i/>
          <w:iCs/>
          <w:color w:val="002060"/>
          <w:sz w:val="18"/>
          <w:szCs w:val="20"/>
        </w:rPr>
        <w:t>:</w:t>
      </w:r>
    </w:p>
    <w:p w14:paraId="4ADC2863" w14:textId="77777777" w:rsidR="00251DB3" w:rsidRPr="001D2B23" w:rsidRDefault="00251DB3" w:rsidP="005A2644">
      <w:pPr>
        <w:pStyle w:val="ListParagraph"/>
        <w:numPr>
          <w:ilvl w:val="0"/>
          <w:numId w:val="41"/>
        </w:numPr>
        <w:shd w:val="clear" w:color="auto" w:fill="F2F2F2" w:themeFill="background1" w:themeFillShade="F2"/>
        <w:contextualSpacing/>
        <w:jc w:val="both"/>
        <w:rPr>
          <w:i/>
          <w:color w:val="002060"/>
          <w:sz w:val="18"/>
        </w:rPr>
      </w:pPr>
      <w:r w:rsidRPr="001D2B23">
        <w:rPr>
          <w:i/>
          <w:color w:val="002060"/>
          <w:sz w:val="18"/>
        </w:rPr>
        <w:t>dated internal communication notifying of breach/causative factor to breach or likely breach;</w:t>
      </w:r>
    </w:p>
    <w:p w14:paraId="49A8A2BB" w14:textId="77777777" w:rsidR="00F126FC" w:rsidRPr="00C85312" w:rsidRDefault="00251DB3" w:rsidP="005A2644">
      <w:pPr>
        <w:pStyle w:val="ListParagraph"/>
        <w:numPr>
          <w:ilvl w:val="0"/>
          <w:numId w:val="41"/>
        </w:numPr>
        <w:shd w:val="clear" w:color="auto" w:fill="F2F2F2" w:themeFill="background1" w:themeFillShade="F2"/>
        <w:contextualSpacing/>
        <w:jc w:val="both"/>
        <w:rPr>
          <w:rFonts w:cstheme="minorBidi"/>
          <w:i/>
          <w:iCs/>
          <w:color w:val="002060"/>
          <w:sz w:val="18"/>
          <w:szCs w:val="20"/>
        </w:rPr>
      </w:pPr>
      <w:r w:rsidRPr="001D2B23">
        <w:rPr>
          <w:i/>
          <w:color w:val="002060"/>
          <w:sz w:val="18"/>
        </w:rPr>
        <w:t>dated third-party communication to RPs notifying of causative factor to breach or likely breach; and</w:t>
      </w:r>
    </w:p>
    <w:p w14:paraId="205F1054" w14:textId="77777777" w:rsidR="00251DB3" w:rsidRPr="001D2B23" w:rsidRDefault="00251DB3" w:rsidP="005A2644">
      <w:pPr>
        <w:pStyle w:val="ListParagraph"/>
        <w:numPr>
          <w:ilvl w:val="0"/>
          <w:numId w:val="41"/>
        </w:numPr>
        <w:shd w:val="clear" w:color="auto" w:fill="F2F2F2" w:themeFill="background1" w:themeFillShade="F2"/>
        <w:contextualSpacing/>
        <w:jc w:val="both"/>
        <w:rPr>
          <w:i/>
          <w:color w:val="002060"/>
          <w:sz w:val="18"/>
        </w:rPr>
      </w:pPr>
      <w:r w:rsidRPr="001D2B23">
        <w:rPr>
          <w:i/>
          <w:color w:val="002060"/>
          <w:sz w:val="18"/>
        </w:rPr>
        <w:lastRenderedPageBreak/>
        <w:t>dated third-party reports assessing causative factors for breach or likely breach.</w:t>
      </w:r>
    </w:p>
    <w:p w14:paraId="44979FC0" w14:textId="77777777" w:rsidR="00F126FC" w:rsidRPr="00C85312" w:rsidRDefault="00F126FC" w:rsidP="00F126FC">
      <w:pPr>
        <w:shd w:val="clear" w:color="auto" w:fill="F2F2F2" w:themeFill="background1" w:themeFillShade="F2"/>
        <w:ind w:left="720"/>
        <w:jc w:val="both"/>
        <w:rPr>
          <w:i/>
          <w:iCs/>
          <w:color w:val="002060"/>
          <w:sz w:val="18"/>
          <w:szCs w:val="20"/>
        </w:rPr>
      </w:pPr>
      <w:r w:rsidRPr="00452D72">
        <w:rPr>
          <w:i/>
          <w:iCs/>
          <w:color w:val="002060"/>
          <w:sz w:val="18"/>
          <w:szCs w:val="20"/>
        </w:rPr>
        <w:t>To enable this assessment in the case of an actual breach, the RP should specify the date on which the breach occurred</w:t>
      </w:r>
      <w:r>
        <w:rPr>
          <w:i/>
          <w:iCs/>
          <w:color w:val="002060"/>
          <w:sz w:val="18"/>
          <w:szCs w:val="20"/>
        </w:rPr>
        <w:t xml:space="preserve"> and </w:t>
      </w:r>
      <w:r w:rsidRPr="00C85312">
        <w:rPr>
          <w:i/>
          <w:iCs/>
          <w:color w:val="002060"/>
          <w:sz w:val="18"/>
          <w:szCs w:val="20"/>
        </w:rPr>
        <w:t>support</w:t>
      </w:r>
      <w:r>
        <w:rPr>
          <w:i/>
          <w:iCs/>
          <w:color w:val="002060"/>
          <w:sz w:val="18"/>
          <w:szCs w:val="20"/>
        </w:rPr>
        <w:t>ing evidence can</w:t>
      </w:r>
      <w:r w:rsidRPr="00C85312">
        <w:rPr>
          <w:i/>
          <w:iCs/>
          <w:color w:val="002060"/>
          <w:sz w:val="18"/>
          <w:szCs w:val="20"/>
        </w:rPr>
        <w:t xml:space="preserve"> include, but is not limited to:</w:t>
      </w:r>
    </w:p>
    <w:p w14:paraId="07D8581A" w14:textId="77777777" w:rsidR="00F126FC" w:rsidRDefault="00F126FC" w:rsidP="005A2644">
      <w:pPr>
        <w:pStyle w:val="ListParagraph"/>
        <w:numPr>
          <w:ilvl w:val="0"/>
          <w:numId w:val="41"/>
        </w:numPr>
        <w:shd w:val="clear" w:color="auto" w:fill="F2F2F2" w:themeFill="background1" w:themeFillShade="F2"/>
        <w:contextualSpacing/>
        <w:jc w:val="both"/>
        <w:rPr>
          <w:rFonts w:cstheme="minorBidi"/>
          <w:i/>
          <w:iCs/>
          <w:color w:val="002060"/>
          <w:sz w:val="18"/>
          <w:szCs w:val="20"/>
        </w:rPr>
      </w:pPr>
      <w:r w:rsidRPr="00C85312">
        <w:rPr>
          <w:rFonts w:cstheme="minorBidi"/>
          <w:i/>
          <w:iCs/>
          <w:color w:val="002060"/>
          <w:sz w:val="18"/>
          <w:szCs w:val="20"/>
        </w:rPr>
        <w:t>dated internal communications notifying of the breach;</w:t>
      </w:r>
    </w:p>
    <w:p w14:paraId="2EF9C3A7" w14:textId="77777777" w:rsidR="00881E23" w:rsidRPr="001D2B23" w:rsidRDefault="00C4022B" w:rsidP="005A2644">
      <w:pPr>
        <w:pStyle w:val="ListParagraph"/>
        <w:numPr>
          <w:ilvl w:val="0"/>
          <w:numId w:val="41"/>
        </w:numPr>
        <w:shd w:val="clear" w:color="auto" w:fill="F2F2F2" w:themeFill="background1" w:themeFillShade="F2"/>
        <w:contextualSpacing/>
        <w:jc w:val="both"/>
        <w:rPr>
          <w:i/>
          <w:color w:val="002060"/>
          <w:sz w:val="18"/>
        </w:rPr>
      </w:pPr>
      <w:r w:rsidRPr="001D2B23">
        <w:rPr>
          <w:i/>
          <w:color w:val="002060"/>
          <w:sz w:val="18"/>
        </w:rPr>
        <w:t>s</w:t>
      </w:r>
      <w:r w:rsidR="00881E23" w:rsidRPr="001D2B23">
        <w:rPr>
          <w:i/>
          <w:color w:val="002060"/>
          <w:sz w:val="18"/>
        </w:rPr>
        <w:t xml:space="preserve">tock records indicating </w:t>
      </w:r>
      <w:r w:rsidRPr="001D2B23">
        <w:rPr>
          <w:i/>
          <w:color w:val="002060"/>
          <w:sz w:val="18"/>
        </w:rPr>
        <w:t>the minimum stockholding requirement was satisfied</w:t>
      </w:r>
      <w:r w:rsidR="00881E23" w:rsidRPr="001D2B23">
        <w:rPr>
          <w:i/>
          <w:color w:val="002060"/>
          <w:sz w:val="18"/>
        </w:rPr>
        <w:t xml:space="preserve"> up to the date of breach</w:t>
      </w:r>
      <w:r w:rsidR="006C12CC" w:rsidRPr="001D2B23">
        <w:rPr>
          <w:i/>
          <w:color w:val="002060"/>
          <w:sz w:val="18"/>
        </w:rPr>
        <w:t>.</w:t>
      </w:r>
    </w:p>
    <w:p w14:paraId="45C74474" w14:textId="49163F50" w:rsidR="006C12CC" w:rsidRPr="007E0156" w:rsidRDefault="008A3AAE" w:rsidP="003F12FD">
      <w:pPr>
        <w:ind w:left="360"/>
        <w:jc w:val="both"/>
        <w:rPr>
          <w:szCs w:val="20"/>
        </w:rPr>
      </w:pPr>
      <w:r w:rsidRPr="007E0156">
        <w:t>RPs</w:t>
      </w:r>
      <w:r w:rsidR="002467D3" w:rsidRPr="007E0156">
        <w:t xml:space="preserve"> should </w:t>
      </w:r>
      <w:r w:rsidR="00B57F41">
        <w:t xml:space="preserve">provide </w:t>
      </w:r>
      <w:r w:rsidR="002467D3" w:rsidRPr="007E0156">
        <w:t xml:space="preserve">a complete explanation of their reasons for </w:t>
      </w:r>
      <w:r w:rsidRPr="007E0156">
        <w:t xml:space="preserve">the </w:t>
      </w:r>
      <w:r w:rsidR="002467D3" w:rsidRPr="007E0156">
        <w:t xml:space="preserve">breach or belief of a </w:t>
      </w:r>
      <w:r w:rsidR="0069789F" w:rsidRPr="007E0156">
        <w:t xml:space="preserve">likely </w:t>
      </w:r>
      <w:r w:rsidR="002467D3" w:rsidRPr="007E0156">
        <w:t>breach</w:t>
      </w:r>
      <w:r w:rsidRPr="007E0156">
        <w:t xml:space="preserve"> (as appropriate)</w:t>
      </w:r>
      <w:r w:rsidR="00067792" w:rsidRPr="007E0156">
        <w:t>.</w:t>
      </w:r>
      <w:r w:rsidR="002467D3" w:rsidRPr="007E0156">
        <w:t xml:space="preserve"> </w:t>
      </w:r>
      <w:r w:rsidR="006C12CC" w:rsidRPr="007E0156">
        <w:rPr>
          <w:szCs w:val="20"/>
        </w:rPr>
        <w:t xml:space="preserve">Information which is provided with a notification of a likely breach and/or an actual breach may be taken into account by the Minister in deciding what action to take following an actual breach arising from the circumstances </w:t>
      </w:r>
      <w:r w:rsidR="00BC507B" w:rsidRPr="007E0156">
        <w:rPr>
          <w:szCs w:val="20"/>
        </w:rPr>
        <w:t>the subject of the notification</w:t>
      </w:r>
      <w:r w:rsidR="006C12CC" w:rsidRPr="007E0156">
        <w:rPr>
          <w:szCs w:val="20"/>
        </w:rPr>
        <w:t>. The information which is provided may inform the Minister’s consideration of:</w:t>
      </w:r>
    </w:p>
    <w:p w14:paraId="7BADF1DC" w14:textId="0B8D4547" w:rsidR="006C12CC" w:rsidRPr="007E0156" w:rsidRDefault="006C12CC" w:rsidP="00FE7FAF">
      <w:pPr>
        <w:ind w:left="720"/>
        <w:jc w:val="both"/>
        <w:rPr>
          <w:szCs w:val="20"/>
        </w:rPr>
      </w:pPr>
      <w:r w:rsidRPr="007E0156">
        <w:rPr>
          <w:szCs w:val="20"/>
        </w:rPr>
        <w:t xml:space="preserve">a) </w:t>
      </w:r>
      <w:r w:rsidR="00245644">
        <w:rPr>
          <w:szCs w:val="20"/>
        </w:rPr>
        <w:t>T</w:t>
      </w:r>
      <w:r w:rsidRPr="007E0156">
        <w:rPr>
          <w:szCs w:val="20"/>
        </w:rPr>
        <w:t xml:space="preserve">he </w:t>
      </w:r>
      <w:r w:rsidR="00BC507B" w:rsidRPr="007E0156">
        <w:rPr>
          <w:szCs w:val="20"/>
        </w:rPr>
        <w:t>RP’s</w:t>
      </w:r>
      <w:r w:rsidRPr="007E0156">
        <w:rPr>
          <w:szCs w:val="20"/>
        </w:rPr>
        <w:t xml:space="preserve"> reasons for the breach and whether those are in the Minister’s opinion reasonable (s99AEKE(3)(a))</w:t>
      </w:r>
      <w:r w:rsidR="0045167D" w:rsidRPr="007E0156">
        <w:rPr>
          <w:szCs w:val="20"/>
        </w:rPr>
        <w:t>;</w:t>
      </w:r>
      <w:r w:rsidR="00BC507B" w:rsidRPr="007E0156">
        <w:rPr>
          <w:szCs w:val="20"/>
        </w:rPr>
        <w:t xml:space="preserve"> and</w:t>
      </w:r>
    </w:p>
    <w:p w14:paraId="73EBD20C" w14:textId="41FBF4E0" w:rsidR="00762B2F" w:rsidRPr="00D447B7" w:rsidRDefault="006C12CC" w:rsidP="00CD33AB">
      <w:pPr>
        <w:ind w:left="720"/>
        <w:jc w:val="both"/>
        <w:rPr>
          <w:color w:val="000000"/>
        </w:rPr>
      </w:pPr>
      <w:r w:rsidRPr="007E0156">
        <w:rPr>
          <w:szCs w:val="20"/>
        </w:rPr>
        <w:t xml:space="preserve">b) </w:t>
      </w:r>
      <w:r w:rsidR="00245644">
        <w:rPr>
          <w:szCs w:val="20"/>
        </w:rPr>
        <w:t>W</w:t>
      </w:r>
      <w:r w:rsidRPr="007E0156">
        <w:rPr>
          <w:color w:val="000000"/>
          <w:szCs w:val="20"/>
          <w:shd w:val="clear" w:color="auto" w:fill="FFFFFF"/>
        </w:rPr>
        <w:t xml:space="preserve">hether, in the Minister’s opinion, the </w:t>
      </w:r>
      <w:r w:rsidR="00BC507B" w:rsidRPr="007E0156">
        <w:rPr>
          <w:color w:val="000000"/>
          <w:szCs w:val="20"/>
          <w:shd w:val="clear" w:color="auto" w:fill="FFFFFF"/>
        </w:rPr>
        <w:t>RP</w:t>
      </w:r>
      <w:r w:rsidRPr="007E0156">
        <w:rPr>
          <w:color w:val="000000"/>
          <w:szCs w:val="20"/>
          <w:shd w:val="clear" w:color="auto" w:fill="FFFFFF"/>
        </w:rPr>
        <w:t xml:space="preserve"> will consistently maintain adequate stock levels of the brand of the pharmaceutical item in the future (s99AEKE(3)(b)).</w:t>
      </w:r>
    </w:p>
    <w:p w14:paraId="40ECE315" w14:textId="091533E2" w:rsidR="006C12CC" w:rsidRPr="007E0156" w:rsidRDefault="006C12CC" w:rsidP="003F12FD">
      <w:pPr>
        <w:ind w:left="360"/>
        <w:jc w:val="both"/>
      </w:pPr>
      <w:r w:rsidRPr="007E0156">
        <w:t>Information which is provided may also be taken into account by the Minister in deciding what action to take following any future breaches</w:t>
      </w:r>
      <w:r w:rsidR="0045167D" w:rsidRPr="007E0156">
        <w:t xml:space="preserve"> arising in other circumstances</w:t>
      </w:r>
      <w:r w:rsidRPr="007E0156">
        <w:t>. The information which is provided may inform</w:t>
      </w:r>
      <w:r w:rsidR="0045167D" w:rsidRPr="007E0156">
        <w:t xml:space="preserve"> the Minister’s consideration</w:t>
      </w:r>
      <w:r w:rsidR="002C0B04">
        <w:t xml:space="preserve"> of</w:t>
      </w:r>
      <w:r w:rsidRPr="007E0156">
        <w:t>:</w:t>
      </w:r>
    </w:p>
    <w:p w14:paraId="7C23D0C6" w14:textId="3F3D2676" w:rsidR="006C12CC" w:rsidRPr="007E0156" w:rsidRDefault="006C12CC" w:rsidP="00FE7FAF">
      <w:pPr>
        <w:ind w:left="720"/>
        <w:jc w:val="both"/>
        <w:rPr>
          <w:color w:val="000000"/>
          <w:szCs w:val="20"/>
          <w:shd w:val="clear" w:color="auto" w:fill="FFFFFF"/>
        </w:rPr>
      </w:pPr>
      <w:r w:rsidRPr="007E0156">
        <w:rPr>
          <w:color w:val="000000"/>
          <w:szCs w:val="20"/>
          <w:shd w:val="clear" w:color="auto" w:fill="FFFFFF"/>
        </w:rPr>
        <w:t xml:space="preserve">a) </w:t>
      </w:r>
      <w:r w:rsidR="00245644">
        <w:rPr>
          <w:color w:val="000000"/>
          <w:szCs w:val="20"/>
          <w:shd w:val="clear" w:color="auto" w:fill="FFFFFF"/>
        </w:rPr>
        <w:t>W</w:t>
      </w:r>
      <w:r w:rsidRPr="007E0156">
        <w:rPr>
          <w:color w:val="000000"/>
          <w:szCs w:val="20"/>
          <w:shd w:val="clear" w:color="auto" w:fill="FFFFFF"/>
        </w:rPr>
        <w:t xml:space="preserve">hether, in the Minister’s opinion, the </w:t>
      </w:r>
      <w:r w:rsidR="00BC507B" w:rsidRPr="007E0156">
        <w:rPr>
          <w:color w:val="000000"/>
          <w:szCs w:val="20"/>
          <w:shd w:val="clear" w:color="auto" w:fill="FFFFFF"/>
        </w:rPr>
        <w:t>RP</w:t>
      </w:r>
      <w:r w:rsidRPr="007E0156">
        <w:rPr>
          <w:color w:val="000000"/>
          <w:szCs w:val="20"/>
          <w:shd w:val="clear" w:color="auto" w:fill="FFFFFF"/>
        </w:rPr>
        <w:t xml:space="preserve"> will consistently maintain adequate stock levels of the brand of the pharmaceutical item in the future (s99AEKE(3)(b))</w:t>
      </w:r>
      <w:r w:rsidR="00BC507B" w:rsidRPr="007E0156">
        <w:rPr>
          <w:color w:val="000000"/>
          <w:szCs w:val="20"/>
          <w:shd w:val="clear" w:color="auto" w:fill="FFFFFF"/>
        </w:rPr>
        <w:t>; and</w:t>
      </w:r>
    </w:p>
    <w:p w14:paraId="6235A88C" w14:textId="2107CBE1" w:rsidR="00411EC7" w:rsidRPr="00D447B7" w:rsidRDefault="006C12CC" w:rsidP="00021903">
      <w:pPr>
        <w:ind w:left="720"/>
        <w:jc w:val="both"/>
        <w:rPr>
          <w:color w:val="000000"/>
          <w:highlight w:val="yellow"/>
        </w:rPr>
      </w:pPr>
      <w:r w:rsidRPr="007E0156">
        <w:rPr>
          <w:color w:val="000000"/>
          <w:szCs w:val="20"/>
          <w:shd w:val="clear" w:color="auto" w:fill="FFFFFF"/>
        </w:rPr>
        <w:t xml:space="preserve">b) </w:t>
      </w:r>
      <w:r w:rsidR="00245644">
        <w:rPr>
          <w:color w:val="000000"/>
          <w:szCs w:val="20"/>
          <w:shd w:val="clear" w:color="auto" w:fill="FFFFFF"/>
        </w:rPr>
        <w:t>T</w:t>
      </w:r>
      <w:r w:rsidR="0045167D" w:rsidRPr="007E0156">
        <w:rPr>
          <w:color w:val="000000"/>
          <w:szCs w:val="20"/>
          <w:shd w:val="clear" w:color="auto" w:fill="FFFFFF"/>
        </w:rPr>
        <w:t xml:space="preserve">he </w:t>
      </w:r>
      <w:r w:rsidR="00BC507B" w:rsidRPr="007E0156">
        <w:rPr>
          <w:color w:val="000000"/>
          <w:szCs w:val="20"/>
          <w:shd w:val="clear" w:color="auto" w:fill="FFFFFF"/>
        </w:rPr>
        <w:t>RP’s</w:t>
      </w:r>
      <w:r w:rsidR="0045167D" w:rsidRPr="007E0156">
        <w:rPr>
          <w:color w:val="000000"/>
          <w:szCs w:val="20"/>
          <w:shd w:val="clear" w:color="auto" w:fill="FFFFFF"/>
        </w:rPr>
        <w:t xml:space="preserve"> reasons for any previous breach(es) and whether those reasons </w:t>
      </w:r>
      <w:r w:rsidR="00BC507B" w:rsidRPr="007E0156">
        <w:rPr>
          <w:color w:val="000000"/>
          <w:szCs w:val="20"/>
          <w:shd w:val="clear" w:color="auto" w:fill="FFFFFF"/>
        </w:rPr>
        <w:t>were</w:t>
      </w:r>
      <w:r w:rsidR="0045167D" w:rsidRPr="007E0156">
        <w:rPr>
          <w:color w:val="000000"/>
          <w:szCs w:val="20"/>
          <w:shd w:val="clear" w:color="auto" w:fill="FFFFFF"/>
        </w:rPr>
        <w:t>, in the Minister’s</w:t>
      </w:r>
      <w:r w:rsidR="00021903" w:rsidRPr="007E0156">
        <w:rPr>
          <w:color w:val="000000"/>
          <w:szCs w:val="20"/>
          <w:shd w:val="clear" w:color="auto" w:fill="FFFFFF"/>
        </w:rPr>
        <w:t xml:space="preserve"> </w:t>
      </w:r>
      <w:r w:rsidR="0045167D" w:rsidRPr="007E0156">
        <w:rPr>
          <w:color w:val="000000"/>
          <w:szCs w:val="20"/>
          <w:shd w:val="clear" w:color="auto" w:fill="FFFFFF"/>
        </w:rPr>
        <w:t>opinion, reasonable (s99AEKE(3)(d)).</w:t>
      </w:r>
    </w:p>
    <w:p w14:paraId="5D5523EB" w14:textId="004CCA1E" w:rsidR="00F126FC" w:rsidRPr="00EA6859" w:rsidDel="001C6DDD" w:rsidRDefault="00F126FC" w:rsidP="005A2644">
      <w:pPr>
        <w:numPr>
          <w:ilvl w:val="0"/>
          <w:numId w:val="17"/>
        </w:numPr>
        <w:jc w:val="both"/>
        <w:rPr>
          <w:b/>
        </w:rPr>
      </w:pPr>
      <w:r>
        <w:rPr>
          <w:b/>
          <w:bCs/>
        </w:rPr>
        <w:t xml:space="preserve">When to </w:t>
      </w:r>
      <w:r w:rsidR="00244626" w:rsidRPr="007E0156">
        <w:rPr>
          <w:b/>
          <w:bCs/>
        </w:rPr>
        <w:t xml:space="preserve">notify </w:t>
      </w:r>
      <w:r>
        <w:rPr>
          <w:b/>
          <w:bCs/>
        </w:rPr>
        <w:t>a likely breach</w:t>
      </w:r>
    </w:p>
    <w:p w14:paraId="571236F5" w14:textId="1CF29E91" w:rsidR="00244626" w:rsidRPr="00D447B7" w:rsidRDefault="00F126FC" w:rsidP="00D447B7">
      <w:pPr>
        <w:ind w:left="360"/>
        <w:jc w:val="both"/>
      </w:pPr>
      <w:r w:rsidRPr="00EA6859">
        <w:t>A</w:t>
      </w:r>
      <w:r w:rsidR="00A56932">
        <w:t>n</w:t>
      </w:r>
      <w:r w:rsidRPr="00EA6859">
        <w:t xml:space="preserve"> RP subject to </w:t>
      </w:r>
      <w:r w:rsidR="00244626" w:rsidRPr="00D447B7">
        <w:t xml:space="preserve">the </w:t>
      </w:r>
      <w:r w:rsidRPr="00EA6859">
        <w:t>minimum stockholding requirement must report a likely breach of the minimum stockholding requirement</w:t>
      </w:r>
      <w:r w:rsidRPr="00D304F1">
        <w:t xml:space="preserve"> </w:t>
      </w:r>
      <w:r w:rsidRPr="00C26D4D">
        <w:t xml:space="preserve">as soon as practicable </w:t>
      </w:r>
      <w:r w:rsidRPr="00B93040">
        <w:t xml:space="preserve">after they </w:t>
      </w:r>
      <w:r>
        <w:t>‘</w:t>
      </w:r>
      <w:r w:rsidRPr="00C26D4D">
        <w:rPr>
          <w:i/>
          <w:iCs/>
        </w:rPr>
        <w:t>form the belief</w:t>
      </w:r>
      <w:r>
        <w:rPr>
          <w:i/>
          <w:iCs/>
        </w:rPr>
        <w:t>’</w:t>
      </w:r>
      <w:r>
        <w:rPr>
          <w:rStyle w:val="FootnoteReference"/>
          <w:i/>
          <w:iCs/>
        </w:rPr>
        <w:footnoteReference w:id="20"/>
      </w:r>
      <w:r w:rsidRPr="00B93040">
        <w:t xml:space="preserve"> they</w:t>
      </w:r>
      <w:r w:rsidRPr="00EA6859">
        <w:t xml:space="preserve"> are likely to breach the minimum stockholding requirement</w:t>
      </w:r>
      <w:r>
        <w:t>.</w:t>
      </w:r>
    </w:p>
    <w:p w14:paraId="70D3374F" w14:textId="22B9E6F6" w:rsidR="00244626" w:rsidRPr="00D447B7" w:rsidRDefault="00BC507B" w:rsidP="00D447B7">
      <w:pPr>
        <w:shd w:val="clear" w:color="auto" w:fill="F2F2F2" w:themeFill="background1" w:themeFillShade="F2"/>
        <w:ind w:left="720"/>
        <w:jc w:val="both"/>
        <w:rPr>
          <w:i/>
          <w:color w:val="002060"/>
          <w:sz w:val="18"/>
        </w:rPr>
      </w:pPr>
      <w:r w:rsidRPr="00D447B7">
        <w:rPr>
          <w:b/>
          <w:i/>
          <w:color w:val="002060"/>
          <w:sz w:val="18"/>
        </w:rPr>
        <w:t>E</w:t>
      </w:r>
      <w:r w:rsidR="00244626" w:rsidRPr="00D447B7">
        <w:rPr>
          <w:b/>
          <w:i/>
          <w:color w:val="002060"/>
          <w:sz w:val="18"/>
        </w:rPr>
        <w:t>xample</w:t>
      </w:r>
      <w:r w:rsidRPr="00D447B7">
        <w:rPr>
          <w:b/>
          <w:i/>
          <w:color w:val="002060"/>
          <w:sz w:val="18"/>
        </w:rPr>
        <w:t xml:space="preserve">s </w:t>
      </w:r>
      <w:r w:rsidR="00F126FC" w:rsidRPr="00C26D4D">
        <w:rPr>
          <w:b/>
          <w:bCs/>
          <w:i/>
          <w:iCs/>
          <w:color w:val="002060"/>
          <w:sz w:val="18"/>
          <w:szCs w:val="20"/>
        </w:rPr>
        <w:t>–</w:t>
      </w:r>
      <w:r w:rsidR="00244626" w:rsidRPr="00D447B7">
        <w:rPr>
          <w:b/>
          <w:i/>
          <w:color w:val="002060"/>
          <w:sz w:val="18"/>
        </w:rPr>
        <w:t xml:space="preserve"> instances that may lead </w:t>
      </w:r>
      <w:r w:rsidRPr="00D447B7">
        <w:rPr>
          <w:b/>
          <w:i/>
          <w:color w:val="002060"/>
          <w:sz w:val="18"/>
        </w:rPr>
        <w:t>a</w:t>
      </w:r>
      <w:r w:rsidR="00DD4778">
        <w:rPr>
          <w:b/>
          <w:i/>
          <w:color w:val="002060"/>
          <w:sz w:val="18"/>
        </w:rPr>
        <w:t>n</w:t>
      </w:r>
      <w:r w:rsidRPr="00D447B7">
        <w:rPr>
          <w:b/>
          <w:i/>
          <w:color w:val="002060"/>
          <w:sz w:val="18"/>
        </w:rPr>
        <w:t xml:space="preserve"> RP</w:t>
      </w:r>
      <w:r w:rsidR="00244626" w:rsidRPr="00D447B7">
        <w:rPr>
          <w:b/>
          <w:i/>
          <w:color w:val="002060"/>
          <w:sz w:val="18"/>
        </w:rPr>
        <w:t xml:space="preserve"> to </w:t>
      </w:r>
      <w:r w:rsidRPr="00D447B7">
        <w:rPr>
          <w:b/>
          <w:i/>
          <w:color w:val="002060"/>
          <w:sz w:val="18"/>
        </w:rPr>
        <w:t>form</w:t>
      </w:r>
      <w:r w:rsidR="00244626" w:rsidRPr="00D447B7">
        <w:rPr>
          <w:b/>
          <w:i/>
          <w:color w:val="002060"/>
          <w:sz w:val="18"/>
        </w:rPr>
        <w:t xml:space="preserve"> a belief that they are likely to breach their minimum stockholding requirement include, but are not limited to:</w:t>
      </w:r>
    </w:p>
    <w:p w14:paraId="407B636E" w14:textId="5548CA95" w:rsidR="00D72F5D" w:rsidRPr="00D447B7" w:rsidRDefault="00F126FC" w:rsidP="00D447B7">
      <w:pPr>
        <w:shd w:val="clear" w:color="auto" w:fill="F2F2F2" w:themeFill="background1" w:themeFillShade="F2"/>
        <w:ind w:left="720"/>
        <w:jc w:val="both"/>
        <w:rPr>
          <w:i/>
          <w:color w:val="002060"/>
          <w:sz w:val="18"/>
        </w:rPr>
      </w:pPr>
      <w:r>
        <w:rPr>
          <w:i/>
          <w:iCs/>
          <w:color w:val="002060"/>
          <w:sz w:val="18"/>
          <w:szCs w:val="20"/>
        </w:rPr>
        <w:t>Scenario 1. D</w:t>
      </w:r>
      <w:r w:rsidRPr="00C26D4D">
        <w:rPr>
          <w:i/>
          <w:iCs/>
          <w:color w:val="002060"/>
          <w:sz w:val="18"/>
          <w:szCs w:val="20"/>
        </w:rPr>
        <w:t>isruption</w:t>
      </w:r>
      <w:r w:rsidR="00D72F5D" w:rsidRPr="00D447B7">
        <w:rPr>
          <w:i/>
          <w:color w:val="002060"/>
          <w:sz w:val="18"/>
        </w:rPr>
        <w:t xml:space="preserve"> to the production of an active ingredient</w:t>
      </w:r>
      <w:r>
        <w:rPr>
          <w:i/>
          <w:iCs/>
          <w:color w:val="002060"/>
          <w:sz w:val="18"/>
          <w:szCs w:val="20"/>
        </w:rPr>
        <w:t>.</w:t>
      </w:r>
    </w:p>
    <w:p w14:paraId="02ADA4B0" w14:textId="35CF11B9" w:rsidR="00333BD2" w:rsidRPr="00D447B7" w:rsidRDefault="00F126FC" w:rsidP="00D447B7">
      <w:pPr>
        <w:shd w:val="clear" w:color="auto" w:fill="F2F2F2" w:themeFill="background1" w:themeFillShade="F2"/>
        <w:ind w:left="720"/>
        <w:jc w:val="both"/>
        <w:rPr>
          <w:i/>
          <w:color w:val="002060"/>
          <w:sz w:val="18"/>
        </w:rPr>
      </w:pPr>
      <w:r>
        <w:rPr>
          <w:i/>
          <w:iCs/>
          <w:color w:val="002060"/>
          <w:sz w:val="18"/>
          <w:szCs w:val="20"/>
        </w:rPr>
        <w:t>Scenario 2. A</w:t>
      </w:r>
      <w:r w:rsidR="00BC507B" w:rsidRPr="00D447B7">
        <w:rPr>
          <w:i/>
          <w:color w:val="002060"/>
          <w:sz w:val="18"/>
        </w:rPr>
        <w:t xml:space="preserve"> </w:t>
      </w:r>
      <w:r w:rsidR="0017389C" w:rsidRPr="00D447B7">
        <w:rPr>
          <w:i/>
          <w:color w:val="002060"/>
          <w:sz w:val="18"/>
        </w:rPr>
        <w:t>market competitor</w:t>
      </w:r>
      <w:r w:rsidR="00A124D5" w:rsidRPr="00D447B7">
        <w:rPr>
          <w:i/>
          <w:color w:val="002060"/>
          <w:sz w:val="18"/>
        </w:rPr>
        <w:t xml:space="preserve">, </w:t>
      </w:r>
      <w:r w:rsidR="00AF365A" w:rsidRPr="00D447B7">
        <w:rPr>
          <w:i/>
          <w:color w:val="002060"/>
          <w:sz w:val="18"/>
        </w:rPr>
        <w:t>with significant market share</w:t>
      </w:r>
      <w:r w:rsidR="00A124D5" w:rsidRPr="00D447B7">
        <w:rPr>
          <w:i/>
          <w:color w:val="002060"/>
          <w:sz w:val="18"/>
        </w:rPr>
        <w:t>,</w:t>
      </w:r>
      <w:r w:rsidR="0017389C" w:rsidRPr="00D447B7">
        <w:rPr>
          <w:i/>
          <w:color w:val="002060"/>
          <w:sz w:val="18"/>
        </w:rPr>
        <w:t xml:space="preserve"> goes out of stoc</w:t>
      </w:r>
      <w:r w:rsidR="00333BD2" w:rsidRPr="00D447B7">
        <w:rPr>
          <w:i/>
          <w:color w:val="002060"/>
          <w:sz w:val="18"/>
        </w:rPr>
        <w:t>k</w:t>
      </w:r>
      <w:r w:rsidR="004F7AFD" w:rsidRPr="00D447B7">
        <w:rPr>
          <w:i/>
          <w:color w:val="002060"/>
          <w:sz w:val="18"/>
        </w:rPr>
        <w:t xml:space="preserve"> for an extended period of time</w:t>
      </w:r>
      <w:r>
        <w:rPr>
          <w:i/>
          <w:iCs/>
          <w:color w:val="002060"/>
          <w:sz w:val="18"/>
          <w:szCs w:val="20"/>
        </w:rPr>
        <w:t>.</w:t>
      </w:r>
      <w:r w:rsidRPr="00C26D4D">
        <w:rPr>
          <w:i/>
          <w:iCs/>
          <w:color w:val="002060"/>
          <w:sz w:val="18"/>
          <w:szCs w:val="20"/>
        </w:rPr>
        <w:t xml:space="preserve"> </w:t>
      </w:r>
      <w:r>
        <w:rPr>
          <w:i/>
          <w:iCs/>
          <w:color w:val="002060"/>
          <w:sz w:val="18"/>
          <w:szCs w:val="20"/>
        </w:rPr>
        <w:t>T</w:t>
      </w:r>
      <w:r w:rsidRPr="00C26D4D">
        <w:rPr>
          <w:i/>
          <w:iCs/>
          <w:color w:val="002060"/>
          <w:sz w:val="18"/>
          <w:szCs w:val="20"/>
        </w:rPr>
        <w:t>he</w:t>
      </w:r>
      <w:r w:rsidR="00BC507B" w:rsidRPr="00D447B7">
        <w:rPr>
          <w:i/>
          <w:color w:val="002060"/>
          <w:sz w:val="18"/>
        </w:rPr>
        <w:t xml:space="preserve"> RP </w:t>
      </w:r>
      <w:r w:rsidR="00FA1AEB" w:rsidRPr="00D447B7">
        <w:rPr>
          <w:i/>
          <w:color w:val="002060"/>
          <w:sz w:val="18"/>
        </w:rPr>
        <w:t xml:space="preserve">subsequently absorbs a significant amount of </w:t>
      </w:r>
      <w:r w:rsidR="00D47523" w:rsidRPr="00D447B7">
        <w:rPr>
          <w:i/>
          <w:color w:val="002060"/>
          <w:sz w:val="18"/>
        </w:rPr>
        <w:t xml:space="preserve">additional </w:t>
      </w:r>
      <w:r w:rsidR="00FA1AEB" w:rsidRPr="00D447B7">
        <w:rPr>
          <w:i/>
          <w:color w:val="002060"/>
          <w:sz w:val="18"/>
        </w:rPr>
        <w:t>demand</w:t>
      </w:r>
      <w:r>
        <w:rPr>
          <w:i/>
          <w:iCs/>
          <w:color w:val="002060"/>
          <w:sz w:val="18"/>
          <w:szCs w:val="20"/>
        </w:rPr>
        <w:t xml:space="preserve"> and</w:t>
      </w:r>
      <w:r w:rsidRPr="00C26D4D">
        <w:rPr>
          <w:i/>
          <w:iCs/>
          <w:color w:val="002060"/>
          <w:sz w:val="18"/>
          <w:szCs w:val="20"/>
        </w:rPr>
        <w:t xml:space="preserve"> </w:t>
      </w:r>
      <w:r w:rsidR="00FA1AEB" w:rsidRPr="00D447B7">
        <w:rPr>
          <w:i/>
          <w:color w:val="002060"/>
          <w:sz w:val="18"/>
        </w:rPr>
        <w:t xml:space="preserve">is required to </w:t>
      </w:r>
      <w:r w:rsidR="00AB7A67" w:rsidRPr="00D447B7">
        <w:rPr>
          <w:i/>
          <w:color w:val="002060"/>
          <w:sz w:val="18"/>
        </w:rPr>
        <w:t>draw down upon their</w:t>
      </w:r>
      <w:r w:rsidRPr="00C26D4D">
        <w:rPr>
          <w:i/>
          <w:iCs/>
          <w:color w:val="002060"/>
          <w:sz w:val="18"/>
          <w:szCs w:val="20"/>
        </w:rPr>
        <w:t xml:space="preserve"> </w:t>
      </w:r>
      <w:r>
        <w:rPr>
          <w:i/>
          <w:iCs/>
          <w:color w:val="002060"/>
          <w:sz w:val="18"/>
          <w:szCs w:val="20"/>
        </w:rPr>
        <w:t>existing</w:t>
      </w:r>
      <w:r w:rsidR="00AB7A67" w:rsidRPr="00D447B7">
        <w:rPr>
          <w:i/>
          <w:color w:val="002060"/>
          <w:sz w:val="18"/>
        </w:rPr>
        <w:t xml:space="preserve"> stockholding to continue supply to Australian consumers. </w:t>
      </w:r>
      <w:r w:rsidR="00B57F41" w:rsidRPr="00D447B7">
        <w:rPr>
          <w:i/>
          <w:color w:val="002060"/>
          <w:sz w:val="18"/>
        </w:rPr>
        <w:t xml:space="preserve">In these circumstances, the </w:t>
      </w:r>
      <w:r w:rsidR="00C24B9F" w:rsidRPr="00D447B7">
        <w:rPr>
          <w:i/>
          <w:color w:val="002060"/>
          <w:sz w:val="18"/>
        </w:rPr>
        <w:t xml:space="preserve">Minister would expect to be notified </w:t>
      </w:r>
      <w:r w:rsidR="00D17758" w:rsidRPr="00D447B7">
        <w:rPr>
          <w:i/>
          <w:color w:val="002060"/>
          <w:sz w:val="18"/>
        </w:rPr>
        <w:t xml:space="preserve">of a likely breach </w:t>
      </w:r>
      <w:r w:rsidR="00C24B9F" w:rsidRPr="00D447B7">
        <w:rPr>
          <w:i/>
          <w:color w:val="002060"/>
          <w:sz w:val="18"/>
        </w:rPr>
        <w:t xml:space="preserve">as soon as the </w:t>
      </w:r>
      <w:r w:rsidR="00BC507B" w:rsidRPr="00D447B7">
        <w:rPr>
          <w:i/>
          <w:color w:val="002060"/>
          <w:sz w:val="18"/>
        </w:rPr>
        <w:t>RP</w:t>
      </w:r>
      <w:r w:rsidR="009B408C" w:rsidRPr="00D447B7">
        <w:rPr>
          <w:i/>
          <w:color w:val="002060"/>
          <w:sz w:val="18"/>
        </w:rPr>
        <w:t xml:space="preserve"> </w:t>
      </w:r>
      <w:r w:rsidR="00C24B9F" w:rsidRPr="00D447B7">
        <w:rPr>
          <w:i/>
          <w:color w:val="002060"/>
          <w:sz w:val="18"/>
        </w:rPr>
        <w:t xml:space="preserve">became aware </w:t>
      </w:r>
      <w:r w:rsidR="00FA1AEB" w:rsidRPr="00D447B7">
        <w:rPr>
          <w:i/>
          <w:color w:val="002060"/>
          <w:sz w:val="18"/>
        </w:rPr>
        <w:t xml:space="preserve">of </w:t>
      </w:r>
      <w:r w:rsidR="00C1789D" w:rsidRPr="00D447B7">
        <w:rPr>
          <w:i/>
          <w:color w:val="002060"/>
          <w:sz w:val="18"/>
        </w:rPr>
        <w:t>increased demand</w:t>
      </w:r>
      <w:r w:rsidR="0061771D" w:rsidRPr="00D447B7">
        <w:rPr>
          <w:i/>
          <w:color w:val="002060"/>
          <w:sz w:val="18"/>
        </w:rPr>
        <w:t xml:space="preserve"> for</w:t>
      </w:r>
      <w:r w:rsidR="00D17758" w:rsidRPr="00D447B7">
        <w:rPr>
          <w:i/>
          <w:color w:val="002060"/>
          <w:sz w:val="18"/>
        </w:rPr>
        <w:t xml:space="preserve"> t</w:t>
      </w:r>
      <w:r w:rsidR="0061771D" w:rsidRPr="00D447B7">
        <w:rPr>
          <w:i/>
          <w:color w:val="002060"/>
          <w:sz w:val="18"/>
        </w:rPr>
        <w:t>heir brand</w:t>
      </w:r>
      <w:r w:rsidR="009B408C" w:rsidRPr="00D447B7">
        <w:rPr>
          <w:i/>
          <w:color w:val="002060"/>
          <w:sz w:val="18"/>
        </w:rPr>
        <w:t xml:space="preserve"> </w:t>
      </w:r>
      <w:r w:rsidR="003368A8" w:rsidRPr="00D447B7">
        <w:rPr>
          <w:i/>
          <w:color w:val="002060"/>
          <w:sz w:val="18"/>
        </w:rPr>
        <w:t xml:space="preserve">due to a competitor going out of stock </w:t>
      </w:r>
      <w:r w:rsidR="00BA7232" w:rsidRPr="00D447B7">
        <w:rPr>
          <w:i/>
          <w:color w:val="002060"/>
          <w:sz w:val="18"/>
        </w:rPr>
        <w:t>(</w:t>
      </w:r>
      <w:r w:rsidR="0061771D" w:rsidRPr="00D447B7">
        <w:rPr>
          <w:i/>
          <w:color w:val="002060"/>
          <w:sz w:val="18"/>
        </w:rPr>
        <w:t>i</w:t>
      </w:r>
      <w:r w:rsidR="00BA7232" w:rsidRPr="00D447B7">
        <w:rPr>
          <w:i/>
          <w:color w:val="002060"/>
          <w:sz w:val="18"/>
        </w:rPr>
        <w:t>.</w:t>
      </w:r>
      <w:r w:rsidR="0061771D" w:rsidRPr="00D447B7">
        <w:rPr>
          <w:i/>
          <w:color w:val="002060"/>
          <w:sz w:val="18"/>
        </w:rPr>
        <w:t>e</w:t>
      </w:r>
      <w:r w:rsidRPr="00C26D4D">
        <w:rPr>
          <w:i/>
          <w:iCs/>
          <w:color w:val="002060"/>
          <w:sz w:val="18"/>
          <w:szCs w:val="20"/>
        </w:rPr>
        <w:t>.</w:t>
      </w:r>
      <w:r w:rsidR="00BA7232" w:rsidRPr="00D447B7">
        <w:rPr>
          <w:i/>
          <w:color w:val="002060"/>
          <w:sz w:val="18"/>
        </w:rPr>
        <w:t xml:space="preserve"> </w:t>
      </w:r>
      <w:r w:rsidR="0061771D" w:rsidRPr="00D447B7">
        <w:rPr>
          <w:i/>
          <w:color w:val="002060"/>
          <w:sz w:val="18"/>
        </w:rPr>
        <w:t xml:space="preserve">the RP is expected to notify the </w:t>
      </w:r>
      <w:r w:rsidR="001C1593" w:rsidRPr="00D447B7">
        <w:rPr>
          <w:i/>
          <w:color w:val="002060"/>
          <w:sz w:val="18"/>
        </w:rPr>
        <w:t>Minister</w:t>
      </w:r>
      <w:r w:rsidR="0061771D" w:rsidRPr="00D447B7">
        <w:rPr>
          <w:i/>
          <w:color w:val="002060"/>
          <w:sz w:val="18"/>
        </w:rPr>
        <w:t xml:space="preserve"> </w:t>
      </w:r>
      <w:r w:rsidR="001C1593" w:rsidRPr="00D447B7">
        <w:rPr>
          <w:i/>
          <w:color w:val="002060"/>
          <w:sz w:val="18"/>
        </w:rPr>
        <w:t>at the point</w:t>
      </w:r>
      <w:r w:rsidR="0061771D" w:rsidRPr="00D447B7">
        <w:rPr>
          <w:i/>
          <w:color w:val="002060"/>
          <w:sz w:val="18"/>
        </w:rPr>
        <w:t xml:space="preserve"> they have indication of increased demand on their brand e.g</w:t>
      </w:r>
      <w:r w:rsidRPr="00C26D4D">
        <w:rPr>
          <w:i/>
          <w:iCs/>
          <w:color w:val="002060"/>
          <w:sz w:val="18"/>
          <w:szCs w:val="20"/>
        </w:rPr>
        <w:t>.</w:t>
      </w:r>
      <w:r w:rsidR="0061771D" w:rsidRPr="00D447B7">
        <w:rPr>
          <w:i/>
          <w:color w:val="002060"/>
          <w:sz w:val="18"/>
        </w:rPr>
        <w:t xml:space="preserve"> </w:t>
      </w:r>
      <w:r w:rsidR="00D17758" w:rsidRPr="00D447B7">
        <w:rPr>
          <w:i/>
          <w:color w:val="002060"/>
          <w:sz w:val="18"/>
        </w:rPr>
        <w:t xml:space="preserve">increased </w:t>
      </w:r>
      <w:r w:rsidR="0061771D" w:rsidRPr="00D447B7">
        <w:rPr>
          <w:i/>
          <w:color w:val="002060"/>
          <w:sz w:val="18"/>
        </w:rPr>
        <w:t xml:space="preserve">number of </w:t>
      </w:r>
      <w:r w:rsidR="00D17758" w:rsidRPr="00D447B7">
        <w:rPr>
          <w:i/>
          <w:color w:val="002060"/>
          <w:sz w:val="18"/>
        </w:rPr>
        <w:t xml:space="preserve">purchase orders </w:t>
      </w:r>
      <w:r w:rsidR="00BA7232" w:rsidRPr="00D447B7">
        <w:rPr>
          <w:i/>
          <w:color w:val="002060"/>
          <w:sz w:val="18"/>
        </w:rPr>
        <w:t>to RP</w:t>
      </w:r>
      <w:r w:rsidR="0061771D" w:rsidRPr="00D447B7">
        <w:rPr>
          <w:i/>
          <w:color w:val="002060"/>
          <w:sz w:val="18"/>
        </w:rPr>
        <w:t xml:space="preserve"> from wholesaler</w:t>
      </w:r>
      <w:r w:rsidRPr="00C26D4D">
        <w:rPr>
          <w:i/>
          <w:iCs/>
          <w:color w:val="002060"/>
          <w:sz w:val="18"/>
          <w:szCs w:val="20"/>
        </w:rPr>
        <w:t>)</w:t>
      </w:r>
      <w:r w:rsidR="008C6113" w:rsidRPr="00D447B7">
        <w:rPr>
          <w:rStyle w:val="FootnoteReference"/>
          <w:i/>
          <w:color w:val="002060"/>
          <w:sz w:val="18"/>
        </w:rPr>
        <w:footnoteReference w:id="21"/>
      </w:r>
      <w:r>
        <w:rPr>
          <w:i/>
          <w:iCs/>
          <w:color w:val="002060"/>
          <w:sz w:val="18"/>
          <w:szCs w:val="20"/>
        </w:rPr>
        <w:t>.</w:t>
      </w:r>
    </w:p>
    <w:p w14:paraId="0AA7C3CE" w14:textId="5340DB6B" w:rsidR="00F126FC" w:rsidRDefault="00F126FC" w:rsidP="00F126FC">
      <w:pPr>
        <w:shd w:val="clear" w:color="auto" w:fill="F2F2F2" w:themeFill="background1" w:themeFillShade="F2"/>
        <w:ind w:left="720"/>
        <w:jc w:val="both"/>
        <w:rPr>
          <w:i/>
          <w:iCs/>
          <w:color w:val="002060"/>
          <w:sz w:val="18"/>
          <w:szCs w:val="20"/>
        </w:rPr>
      </w:pPr>
      <w:r>
        <w:rPr>
          <w:i/>
          <w:iCs/>
          <w:color w:val="002060"/>
          <w:sz w:val="18"/>
          <w:szCs w:val="20"/>
        </w:rPr>
        <w:t>Scenario 3. W</w:t>
      </w:r>
      <w:r w:rsidRPr="00C26D4D">
        <w:rPr>
          <w:i/>
          <w:iCs/>
          <w:color w:val="002060"/>
          <w:sz w:val="18"/>
          <w:szCs w:val="20"/>
        </w:rPr>
        <w:t xml:space="preserve">here </w:t>
      </w:r>
      <w:r>
        <w:rPr>
          <w:i/>
          <w:iCs/>
          <w:color w:val="002060"/>
          <w:sz w:val="18"/>
          <w:szCs w:val="20"/>
        </w:rPr>
        <w:t>Scenario 2</w:t>
      </w:r>
      <w:r w:rsidR="003A6400" w:rsidRPr="002E11BE">
        <w:rPr>
          <w:i/>
          <w:color w:val="002060"/>
          <w:sz w:val="18"/>
        </w:rPr>
        <w:t xml:space="preserve"> arises, the </w:t>
      </w:r>
      <w:r w:rsidR="00BC507B" w:rsidRPr="002E11BE">
        <w:rPr>
          <w:i/>
          <w:color w:val="002060"/>
          <w:sz w:val="18"/>
        </w:rPr>
        <w:t>RP</w:t>
      </w:r>
      <w:r w:rsidR="00EC4346" w:rsidRPr="002E11BE">
        <w:rPr>
          <w:i/>
          <w:color w:val="002060"/>
          <w:sz w:val="18"/>
        </w:rPr>
        <w:t xml:space="preserve"> </w:t>
      </w:r>
      <w:r w:rsidR="003A6400" w:rsidRPr="002E11BE">
        <w:rPr>
          <w:i/>
          <w:color w:val="002060"/>
          <w:sz w:val="18"/>
        </w:rPr>
        <w:t xml:space="preserve">may </w:t>
      </w:r>
      <w:r w:rsidR="00FA1AEB" w:rsidRPr="002E11BE">
        <w:rPr>
          <w:i/>
          <w:color w:val="002060"/>
          <w:sz w:val="18"/>
        </w:rPr>
        <w:t xml:space="preserve">be </w:t>
      </w:r>
      <w:r w:rsidR="00C11EEA" w:rsidRPr="002E11BE">
        <w:rPr>
          <w:i/>
          <w:color w:val="002060"/>
          <w:sz w:val="18"/>
        </w:rPr>
        <w:t>subject to</w:t>
      </w:r>
      <w:r w:rsidR="00EC4346" w:rsidRPr="002E11BE">
        <w:rPr>
          <w:i/>
          <w:color w:val="002060"/>
          <w:sz w:val="18"/>
        </w:rPr>
        <w:t xml:space="preserve"> </w:t>
      </w:r>
      <w:r w:rsidR="003A6400" w:rsidRPr="002E11BE">
        <w:rPr>
          <w:i/>
          <w:color w:val="002060"/>
          <w:sz w:val="18"/>
        </w:rPr>
        <w:t xml:space="preserve">a temporary period of inflated demand which will lead to their </w:t>
      </w:r>
      <w:r w:rsidR="00BC507B" w:rsidRPr="002E11BE">
        <w:rPr>
          <w:i/>
          <w:color w:val="002060"/>
          <w:sz w:val="18"/>
        </w:rPr>
        <w:t>minimum stockholding requirement</w:t>
      </w:r>
      <w:r w:rsidR="00244626" w:rsidRPr="002E11BE">
        <w:rPr>
          <w:i/>
          <w:color w:val="002060"/>
          <w:sz w:val="18"/>
        </w:rPr>
        <w:t xml:space="preserve"> </w:t>
      </w:r>
      <w:r w:rsidR="003A6400" w:rsidRPr="002E11BE">
        <w:rPr>
          <w:i/>
          <w:color w:val="002060"/>
          <w:sz w:val="18"/>
        </w:rPr>
        <w:t xml:space="preserve">being elevated </w:t>
      </w:r>
      <w:r w:rsidR="00BE6616" w:rsidRPr="002E11BE">
        <w:rPr>
          <w:i/>
          <w:color w:val="002060"/>
          <w:sz w:val="18"/>
        </w:rPr>
        <w:t xml:space="preserve">significantly </w:t>
      </w:r>
      <w:r w:rsidR="00723B87" w:rsidRPr="002E11BE">
        <w:rPr>
          <w:i/>
          <w:color w:val="002060"/>
          <w:sz w:val="18"/>
        </w:rPr>
        <w:t>above</w:t>
      </w:r>
      <w:r w:rsidR="003A7449" w:rsidRPr="002E11BE">
        <w:rPr>
          <w:i/>
          <w:color w:val="002060"/>
          <w:sz w:val="18"/>
        </w:rPr>
        <w:t xml:space="preserve"> their </w:t>
      </w:r>
      <w:r w:rsidR="000279CC" w:rsidRPr="002E11BE">
        <w:rPr>
          <w:i/>
          <w:color w:val="002060"/>
          <w:sz w:val="18"/>
        </w:rPr>
        <w:t>usual</w:t>
      </w:r>
      <w:r w:rsidR="00AB119E" w:rsidRPr="002E11BE">
        <w:rPr>
          <w:i/>
          <w:color w:val="002060"/>
          <w:sz w:val="18"/>
        </w:rPr>
        <w:t xml:space="preserve"> </w:t>
      </w:r>
      <w:r w:rsidR="00BC507B" w:rsidRPr="002E11BE">
        <w:rPr>
          <w:i/>
          <w:color w:val="002060"/>
          <w:sz w:val="18"/>
        </w:rPr>
        <w:t>requirement</w:t>
      </w:r>
      <w:r w:rsidR="00AB119E" w:rsidRPr="002E11BE">
        <w:rPr>
          <w:i/>
          <w:color w:val="002060"/>
          <w:sz w:val="18"/>
        </w:rPr>
        <w:t>.</w:t>
      </w:r>
      <w:r w:rsidR="00716E7E" w:rsidRPr="002E11BE">
        <w:rPr>
          <w:i/>
          <w:color w:val="002060"/>
          <w:sz w:val="18"/>
        </w:rPr>
        <w:t xml:space="preserve"> </w:t>
      </w:r>
      <w:r w:rsidR="005B16B5" w:rsidRPr="002E11BE">
        <w:rPr>
          <w:i/>
          <w:color w:val="002060"/>
          <w:sz w:val="18"/>
        </w:rPr>
        <w:lastRenderedPageBreak/>
        <w:t xml:space="preserve">The RP should provide </w:t>
      </w:r>
      <w:r w:rsidR="002F6757" w:rsidRPr="002E11BE">
        <w:rPr>
          <w:i/>
          <w:color w:val="002060"/>
          <w:sz w:val="18"/>
        </w:rPr>
        <w:t>notif</w:t>
      </w:r>
      <w:r w:rsidR="003D1D19" w:rsidRPr="002E11BE">
        <w:rPr>
          <w:i/>
          <w:color w:val="002060"/>
          <w:sz w:val="18"/>
        </w:rPr>
        <w:t>ication</w:t>
      </w:r>
      <w:r w:rsidR="002F6757" w:rsidRPr="002E11BE">
        <w:rPr>
          <w:i/>
          <w:color w:val="002060"/>
          <w:sz w:val="18"/>
        </w:rPr>
        <w:t xml:space="preserve"> of any expected challenges they face in meeting th</w:t>
      </w:r>
      <w:r w:rsidR="00512FC9" w:rsidRPr="002E11BE">
        <w:rPr>
          <w:i/>
          <w:color w:val="002060"/>
          <w:sz w:val="18"/>
        </w:rPr>
        <w:t>e</w:t>
      </w:r>
      <w:r w:rsidR="002F6757" w:rsidRPr="002E11BE">
        <w:rPr>
          <w:i/>
          <w:color w:val="002060"/>
          <w:sz w:val="18"/>
        </w:rPr>
        <w:t xml:space="preserve"> </w:t>
      </w:r>
      <w:r w:rsidR="00FA1AEB" w:rsidRPr="002E11BE">
        <w:rPr>
          <w:i/>
          <w:color w:val="002060"/>
          <w:sz w:val="18"/>
        </w:rPr>
        <w:t xml:space="preserve">future </w:t>
      </w:r>
      <w:r w:rsidR="00BC507B" w:rsidRPr="002E11BE">
        <w:rPr>
          <w:i/>
          <w:color w:val="002060"/>
          <w:sz w:val="18"/>
        </w:rPr>
        <w:t xml:space="preserve">increased minimum </w:t>
      </w:r>
      <w:r w:rsidR="00A76F12" w:rsidRPr="002E11BE">
        <w:rPr>
          <w:i/>
          <w:color w:val="002060"/>
          <w:sz w:val="18"/>
        </w:rPr>
        <w:t>stockholding requirement</w:t>
      </w:r>
      <w:r w:rsidR="00FA1AEB" w:rsidRPr="002E11BE">
        <w:rPr>
          <w:i/>
          <w:color w:val="002060"/>
          <w:sz w:val="18"/>
        </w:rPr>
        <w:t>.</w:t>
      </w:r>
      <w:r w:rsidR="00B4552F" w:rsidRPr="002E11BE">
        <w:rPr>
          <w:i/>
          <w:color w:val="002060"/>
          <w:sz w:val="18"/>
        </w:rPr>
        <w:t xml:space="preserve"> Information provided may include</w:t>
      </w:r>
      <w:r>
        <w:rPr>
          <w:i/>
          <w:iCs/>
          <w:color w:val="002060"/>
          <w:sz w:val="18"/>
          <w:szCs w:val="20"/>
        </w:rPr>
        <w:t>:</w:t>
      </w:r>
    </w:p>
    <w:p w14:paraId="298F797C" w14:textId="474A51CA" w:rsidR="00F126FC" w:rsidRDefault="00B4552F" w:rsidP="005A2644">
      <w:pPr>
        <w:pStyle w:val="ListParagraph"/>
        <w:numPr>
          <w:ilvl w:val="0"/>
          <w:numId w:val="41"/>
        </w:numPr>
        <w:shd w:val="clear" w:color="auto" w:fill="F2F2F2" w:themeFill="background1" w:themeFillShade="F2"/>
        <w:contextualSpacing/>
        <w:jc w:val="both"/>
        <w:rPr>
          <w:rFonts w:cstheme="minorBidi"/>
          <w:i/>
          <w:iCs/>
          <w:color w:val="002060"/>
          <w:sz w:val="18"/>
          <w:szCs w:val="20"/>
        </w:rPr>
      </w:pPr>
      <w:r w:rsidRPr="002E11BE">
        <w:rPr>
          <w:i/>
          <w:color w:val="002060"/>
          <w:sz w:val="18"/>
        </w:rPr>
        <w:t>the length of time the competitor was out of stock</w:t>
      </w:r>
      <w:r w:rsidR="00F126FC">
        <w:rPr>
          <w:rFonts w:cstheme="minorBidi"/>
          <w:i/>
          <w:iCs/>
          <w:color w:val="002060"/>
          <w:sz w:val="18"/>
          <w:szCs w:val="20"/>
        </w:rPr>
        <w:t>;</w:t>
      </w:r>
    </w:p>
    <w:p w14:paraId="51DDF2BD" w14:textId="09308E66" w:rsidR="00F126FC" w:rsidRDefault="00C426F8" w:rsidP="005A2644">
      <w:pPr>
        <w:pStyle w:val="ListParagraph"/>
        <w:numPr>
          <w:ilvl w:val="0"/>
          <w:numId w:val="41"/>
        </w:numPr>
        <w:shd w:val="clear" w:color="auto" w:fill="F2F2F2" w:themeFill="background1" w:themeFillShade="F2"/>
        <w:contextualSpacing/>
        <w:jc w:val="both"/>
        <w:rPr>
          <w:rFonts w:cstheme="minorBidi"/>
          <w:i/>
          <w:iCs/>
          <w:color w:val="002060"/>
          <w:sz w:val="18"/>
          <w:szCs w:val="20"/>
        </w:rPr>
      </w:pPr>
      <w:r w:rsidRPr="002E11BE">
        <w:rPr>
          <w:i/>
          <w:color w:val="002060"/>
          <w:sz w:val="18"/>
        </w:rPr>
        <w:t xml:space="preserve">changes in </w:t>
      </w:r>
      <w:r w:rsidR="00B4552F" w:rsidRPr="002E11BE">
        <w:rPr>
          <w:i/>
          <w:color w:val="002060"/>
          <w:sz w:val="18"/>
        </w:rPr>
        <w:t>market share</w:t>
      </w:r>
      <w:r w:rsidR="00F126FC">
        <w:rPr>
          <w:rFonts w:cstheme="minorBidi"/>
          <w:i/>
          <w:iCs/>
          <w:color w:val="002060"/>
          <w:sz w:val="18"/>
          <w:szCs w:val="20"/>
        </w:rPr>
        <w:t>;</w:t>
      </w:r>
      <w:r w:rsidR="00B4552F" w:rsidRPr="002E11BE">
        <w:rPr>
          <w:i/>
          <w:color w:val="002060"/>
          <w:sz w:val="18"/>
        </w:rPr>
        <w:t xml:space="preserve"> and</w:t>
      </w:r>
    </w:p>
    <w:p w14:paraId="2581F16E" w14:textId="5477DBDA" w:rsidR="00F126FC" w:rsidRPr="00C26D4D" w:rsidRDefault="00B4552F" w:rsidP="005A2644">
      <w:pPr>
        <w:pStyle w:val="ListParagraph"/>
        <w:numPr>
          <w:ilvl w:val="0"/>
          <w:numId w:val="41"/>
        </w:numPr>
        <w:shd w:val="clear" w:color="auto" w:fill="F2F2F2" w:themeFill="background1" w:themeFillShade="F2"/>
        <w:contextualSpacing/>
        <w:jc w:val="both"/>
        <w:rPr>
          <w:rFonts w:cstheme="minorBidi"/>
          <w:i/>
          <w:iCs/>
          <w:color w:val="002060"/>
          <w:sz w:val="18"/>
          <w:szCs w:val="20"/>
        </w:rPr>
      </w:pPr>
      <w:r w:rsidRPr="002E11BE">
        <w:rPr>
          <w:i/>
          <w:color w:val="002060"/>
          <w:sz w:val="18"/>
        </w:rPr>
        <w:t xml:space="preserve">the degree to which </w:t>
      </w:r>
      <w:r w:rsidR="00B65192" w:rsidRPr="002E11BE">
        <w:rPr>
          <w:i/>
          <w:color w:val="002060"/>
          <w:sz w:val="18"/>
        </w:rPr>
        <w:t>‘</w:t>
      </w:r>
      <w:r w:rsidR="00C426F8" w:rsidRPr="002E11BE">
        <w:rPr>
          <w:i/>
          <w:color w:val="002060"/>
          <w:sz w:val="18"/>
        </w:rPr>
        <w:t>usual demand</w:t>
      </w:r>
      <w:r w:rsidR="00B65192" w:rsidRPr="002E11BE">
        <w:rPr>
          <w:i/>
          <w:color w:val="002060"/>
          <w:sz w:val="18"/>
        </w:rPr>
        <w:t>’</w:t>
      </w:r>
      <w:r w:rsidR="00C426F8" w:rsidRPr="002E11BE">
        <w:rPr>
          <w:i/>
          <w:color w:val="002060"/>
          <w:sz w:val="18"/>
        </w:rPr>
        <w:t xml:space="preserve"> has increased.</w:t>
      </w:r>
    </w:p>
    <w:p w14:paraId="7DB8E08E" w14:textId="59E13660" w:rsidR="002F6757" w:rsidRPr="002E11BE" w:rsidRDefault="0043558E" w:rsidP="002E11BE">
      <w:pPr>
        <w:shd w:val="clear" w:color="auto" w:fill="F2F2F2" w:themeFill="background1" w:themeFillShade="F2"/>
        <w:ind w:left="720"/>
        <w:jc w:val="both"/>
        <w:rPr>
          <w:i/>
          <w:color w:val="002060"/>
          <w:sz w:val="18"/>
        </w:rPr>
      </w:pPr>
      <w:r w:rsidRPr="002E11BE">
        <w:rPr>
          <w:i/>
          <w:color w:val="002060"/>
          <w:sz w:val="18"/>
        </w:rPr>
        <w:t>The Minister would expect to be notified of a likely breach</w:t>
      </w:r>
      <w:r w:rsidR="002F6757" w:rsidRPr="002E11BE">
        <w:rPr>
          <w:i/>
          <w:color w:val="002060"/>
          <w:sz w:val="18"/>
        </w:rPr>
        <w:t xml:space="preserve"> by the end of the </w:t>
      </w:r>
      <w:r w:rsidR="00EB644B" w:rsidRPr="002E11BE">
        <w:rPr>
          <w:i/>
          <w:color w:val="002060"/>
          <w:sz w:val="18"/>
        </w:rPr>
        <w:t xml:space="preserve">reference period with the </w:t>
      </w:r>
      <w:r w:rsidRPr="002E11BE">
        <w:rPr>
          <w:i/>
          <w:color w:val="002060"/>
          <w:sz w:val="18"/>
        </w:rPr>
        <w:t xml:space="preserve">increased </w:t>
      </w:r>
      <w:r w:rsidR="00B65192" w:rsidRPr="002E11BE">
        <w:rPr>
          <w:i/>
          <w:color w:val="002060"/>
          <w:sz w:val="18"/>
        </w:rPr>
        <w:t>‘</w:t>
      </w:r>
      <w:r w:rsidRPr="002E11BE">
        <w:rPr>
          <w:i/>
          <w:color w:val="002060"/>
          <w:sz w:val="18"/>
        </w:rPr>
        <w:t xml:space="preserve">usual </w:t>
      </w:r>
      <w:r w:rsidR="00EB644B" w:rsidRPr="002E11BE">
        <w:rPr>
          <w:i/>
          <w:color w:val="002060"/>
          <w:sz w:val="18"/>
        </w:rPr>
        <w:t>demand</w:t>
      </w:r>
      <w:r w:rsidR="00B65192" w:rsidRPr="002E11BE">
        <w:rPr>
          <w:i/>
          <w:color w:val="002060"/>
          <w:sz w:val="18"/>
        </w:rPr>
        <w:t>’</w:t>
      </w:r>
      <w:r w:rsidR="00EB644B" w:rsidRPr="002E11BE">
        <w:rPr>
          <w:i/>
          <w:color w:val="002060"/>
          <w:sz w:val="18"/>
        </w:rPr>
        <w:t xml:space="preserve"> figures</w:t>
      </w:r>
      <w:r w:rsidR="00B4552F" w:rsidRPr="002E11BE">
        <w:rPr>
          <w:i/>
          <w:color w:val="002060"/>
          <w:sz w:val="18"/>
        </w:rPr>
        <w:t xml:space="preserve"> (e.g</w:t>
      </w:r>
      <w:r w:rsidR="00F126FC" w:rsidRPr="00C26D4D">
        <w:rPr>
          <w:i/>
          <w:iCs/>
          <w:color w:val="002060"/>
          <w:sz w:val="18"/>
          <w:szCs w:val="20"/>
        </w:rPr>
        <w:t>.</w:t>
      </w:r>
      <w:r w:rsidR="00B4552F" w:rsidRPr="002E11BE">
        <w:rPr>
          <w:i/>
          <w:color w:val="002060"/>
          <w:sz w:val="18"/>
        </w:rPr>
        <w:t xml:space="preserve"> </w:t>
      </w:r>
      <w:r w:rsidR="005B16B5" w:rsidRPr="002E11BE">
        <w:rPr>
          <w:i/>
          <w:color w:val="002060"/>
          <w:sz w:val="18"/>
        </w:rPr>
        <w:t xml:space="preserve">by </w:t>
      </w:r>
      <w:r w:rsidR="00B4552F" w:rsidRPr="002E11BE">
        <w:rPr>
          <w:i/>
          <w:color w:val="002060"/>
          <w:sz w:val="18"/>
        </w:rPr>
        <w:t>11</w:t>
      </w:r>
      <w:r w:rsidR="005B16B5" w:rsidRPr="002E11BE">
        <w:rPr>
          <w:i/>
          <w:color w:val="002060"/>
          <w:sz w:val="18"/>
        </w:rPr>
        <w:t> </w:t>
      </w:r>
      <w:r w:rsidR="00B4552F" w:rsidRPr="002E11BE">
        <w:rPr>
          <w:i/>
          <w:color w:val="002060"/>
          <w:sz w:val="18"/>
        </w:rPr>
        <w:t xml:space="preserve">November </w:t>
      </w:r>
      <w:r w:rsidR="005B16B5" w:rsidRPr="002E11BE">
        <w:rPr>
          <w:i/>
          <w:color w:val="002060"/>
          <w:sz w:val="18"/>
        </w:rPr>
        <w:t xml:space="preserve">for the period 1 April to 30 September </w:t>
      </w:r>
      <w:r w:rsidR="00B4552F" w:rsidRPr="002E11BE">
        <w:rPr>
          <w:i/>
          <w:color w:val="002060"/>
          <w:sz w:val="18"/>
        </w:rPr>
        <w:t xml:space="preserve">or </w:t>
      </w:r>
      <w:r w:rsidR="005B16B5" w:rsidRPr="002E11BE">
        <w:rPr>
          <w:i/>
          <w:color w:val="002060"/>
          <w:sz w:val="18"/>
        </w:rPr>
        <w:t xml:space="preserve">by </w:t>
      </w:r>
      <w:r w:rsidR="00B4552F" w:rsidRPr="002E11BE">
        <w:rPr>
          <w:i/>
          <w:color w:val="002060"/>
          <w:sz w:val="18"/>
        </w:rPr>
        <w:t>12 May</w:t>
      </w:r>
      <w:r w:rsidR="005B16B5" w:rsidRPr="002E11BE">
        <w:rPr>
          <w:i/>
          <w:color w:val="002060"/>
          <w:sz w:val="18"/>
        </w:rPr>
        <w:t xml:space="preserve"> for the period 1 October to 31 March</w:t>
      </w:r>
      <w:r w:rsidR="00B4552F" w:rsidRPr="002E11BE">
        <w:rPr>
          <w:i/>
          <w:color w:val="002060"/>
          <w:sz w:val="18"/>
        </w:rPr>
        <w:t>)</w:t>
      </w:r>
      <w:r w:rsidR="00F36BDE" w:rsidRPr="002E11BE">
        <w:rPr>
          <w:i/>
          <w:color w:val="002060"/>
          <w:sz w:val="18"/>
        </w:rPr>
        <w:t>.</w:t>
      </w:r>
      <w:r w:rsidR="002F6757" w:rsidRPr="002E11BE">
        <w:rPr>
          <w:i/>
          <w:color w:val="002060"/>
          <w:sz w:val="18"/>
        </w:rPr>
        <w:t xml:space="preserve"> </w:t>
      </w:r>
      <w:r w:rsidR="00FC697C" w:rsidRPr="002E11BE">
        <w:rPr>
          <w:i/>
          <w:color w:val="002060"/>
          <w:sz w:val="18"/>
        </w:rPr>
        <w:t xml:space="preserve">In most instances notification of future difficulty meeting the minimum stockholding requirement would be a separate notification to the notification which is made at the time of the likely breach referred to in </w:t>
      </w:r>
      <w:r w:rsidR="00F126FC" w:rsidRPr="00C26D4D">
        <w:rPr>
          <w:i/>
          <w:iCs/>
          <w:color w:val="002060"/>
          <w:sz w:val="18"/>
          <w:szCs w:val="20"/>
        </w:rPr>
        <w:t>Scenario 2.</w:t>
      </w:r>
      <w:r w:rsidR="00FC697C" w:rsidRPr="002E11BE">
        <w:rPr>
          <w:i/>
          <w:color w:val="002060"/>
          <w:sz w:val="18"/>
        </w:rPr>
        <w:t xml:space="preserve"> If </w:t>
      </w:r>
      <w:r w:rsidR="00A12EF8" w:rsidRPr="002E11BE">
        <w:rPr>
          <w:i/>
          <w:color w:val="002060"/>
          <w:sz w:val="18"/>
        </w:rPr>
        <w:t>the RP has been able to maintain their minimum stockholding whilst responding to the shortage</w:t>
      </w:r>
      <w:r w:rsidR="00FC697C" w:rsidRPr="002E11BE">
        <w:rPr>
          <w:i/>
          <w:color w:val="002060"/>
          <w:sz w:val="18"/>
        </w:rPr>
        <w:t xml:space="preserve"> </w:t>
      </w:r>
      <w:r w:rsidR="00F126FC">
        <w:rPr>
          <w:i/>
          <w:iCs/>
          <w:color w:val="002060"/>
          <w:sz w:val="18"/>
          <w:szCs w:val="20"/>
        </w:rPr>
        <w:t>(i.e. the RP</w:t>
      </w:r>
      <w:r w:rsidR="00FC697C" w:rsidRPr="002E11BE">
        <w:rPr>
          <w:i/>
          <w:color w:val="002060"/>
          <w:sz w:val="18"/>
        </w:rPr>
        <w:t xml:space="preserve"> has not made a notification as outlined in </w:t>
      </w:r>
      <w:r w:rsidR="00F126FC">
        <w:rPr>
          <w:i/>
          <w:iCs/>
          <w:color w:val="002060"/>
          <w:sz w:val="18"/>
          <w:szCs w:val="20"/>
        </w:rPr>
        <w:t>Scenario 2</w:t>
      </w:r>
      <w:r w:rsidR="00FC697C" w:rsidRPr="002E11BE">
        <w:rPr>
          <w:i/>
          <w:color w:val="002060"/>
          <w:sz w:val="18"/>
        </w:rPr>
        <w:t xml:space="preserve">), they </w:t>
      </w:r>
      <w:r w:rsidR="007D5F7A">
        <w:rPr>
          <w:i/>
          <w:color w:val="002060"/>
          <w:sz w:val="18"/>
        </w:rPr>
        <w:t>should</w:t>
      </w:r>
      <w:r w:rsidR="007D5F7A" w:rsidRPr="002E11BE">
        <w:rPr>
          <w:i/>
          <w:color w:val="002060"/>
          <w:sz w:val="18"/>
        </w:rPr>
        <w:t xml:space="preserve"> </w:t>
      </w:r>
      <w:r w:rsidR="00FC697C" w:rsidRPr="002E11BE">
        <w:rPr>
          <w:i/>
          <w:color w:val="002060"/>
          <w:sz w:val="18"/>
        </w:rPr>
        <w:t xml:space="preserve">still submit a notification with respect to </w:t>
      </w:r>
      <w:r w:rsidR="007D5F7A">
        <w:rPr>
          <w:i/>
          <w:color w:val="002060"/>
          <w:sz w:val="18"/>
        </w:rPr>
        <w:t>any anticipated</w:t>
      </w:r>
      <w:r w:rsidR="007D5F7A" w:rsidRPr="002E11BE">
        <w:rPr>
          <w:i/>
          <w:color w:val="002060"/>
          <w:sz w:val="18"/>
        </w:rPr>
        <w:t xml:space="preserve"> </w:t>
      </w:r>
      <w:r w:rsidR="00FC697C" w:rsidRPr="002E11BE">
        <w:rPr>
          <w:i/>
          <w:color w:val="002060"/>
          <w:sz w:val="18"/>
        </w:rPr>
        <w:t xml:space="preserve">future </w:t>
      </w:r>
      <w:r w:rsidR="00A12EF8" w:rsidRPr="002E11BE">
        <w:rPr>
          <w:i/>
          <w:color w:val="002060"/>
          <w:sz w:val="18"/>
        </w:rPr>
        <w:t>difficulty meeting their minimum stockholding requirement due to the temporary period of inflated demand.</w:t>
      </w:r>
    </w:p>
    <w:p w14:paraId="54C0DA2B" w14:textId="3DEF7911" w:rsidR="00F126FC" w:rsidRDefault="00F126FC" w:rsidP="00F126FC">
      <w:pPr>
        <w:ind w:left="360"/>
        <w:jc w:val="both"/>
      </w:pPr>
      <w:r>
        <w:t xml:space="preserve">RPs </w:t>
      </w:r>
      <w:r w:rsidRPr="007130EA">
        <w:t>are expected to monitor stock levels and forecast supply and demand in</w:t>
      </w:r>
      <w:r>
        <w:t xml:space="preserve"> </w:t>
      </w:r>
      <w:r w:rsidRPr="007130EA">
        <w:t>conjunction with implementing best practice inventory and supply chain management</w:t>
      </w:r>
      <w:r>
        <w:t xml:space="preserve">. The </w:t>
      </w:r>
      <w:r w:rsidR="00301AB1">
        <w:t>d</w:t>
      </w:r>
      <w:r>
        <w:t xml:space="preserve">epartment expects in most circumstances </w:t>
      </w:r>
      <w:r w:rsidRPr="00D340FF">
        <w:t xml:space="preserve">an RP will form the belief of a likely breach </w:t>
      </w:r>
      <w:r>
        <w:t xml:space="preserve">prior to an actual breach eventuating. </w:t>
      </w:r>
      <w:r w:rsidRPr="007130EA">
        <w:t>Where these</w:t>
      </w:r>
      <w:r>
        <w:t xml:space="preserve"> </w:t>
      </w:r>
      <w:r w:rsidRPr="007130EA">
        <w:t xml:space="preserve">processes cause the </w:t>
      </w:r>
      <w:r>
        <w:t xml:space="preserve">RP </w:t>
      </w:r>
      <w:r w:rsidRPr="007130EA">
        <w:t>to form the belief that a breach of the MSR is more likely</w:t>
      </w:r>
      <w:r>
        <w:t xml:space="preserve"> </w:t>
      </w:r>
      <w:r w:rsidRPr="007130EA">
        <w:t xml:space="preserve">than not, the </w:t>
      </w:r>
      <w:r>
        <w:t xml:space="preserve">RP </w:t>
      </w:r>
      <w:r w:rsidRPr="007130EA">
        <w:t>must submit a likely breach notification to the Minister.</w:t>
      </w:r>
      <w:r>
        <w:t xml:space="preserve"> </w:t>
      </w:r>
      <w:r w:rsidRPr="007130EA">
        <w:t>Importantly, a</w:t>
      </w:r>
      <w:r w:rsidR="00DD4778">
        <w:t>n</w:t>
      </w:r>
      <w:r w:rsidRPr="007130EA">
        <w:t xml:space="preserve"> </w:t>
      </w:r>
      <w:r>
        <w:t xml:space="preserve">RP </w:t>
      </w:r>
      <w:r w:rsidRPr="007130EA">
        <w:t>must include in their considerations for submitting a notification</w:t>
      </w:r>
      <w:r>
        <w:t xml:space="preserve"> </w:t>
      </w:r>
      <w:r w:rsidRPr="007130EA">
        <w:t>whether their controls and mitigation strategies are likely to impact the likelihood of the breach.</w:t>
      </w:r>
    </w:p>
    <w:p w14:paraId="057E7931" w14:textId="77777777" w:rsidR="00F126FC" w:rsidRPr="00C26D4D" w:rsidRDefault="00F126FC" w:rsidP="00F126FC">
      <w:pPr>
        <w:shd w:val="clear" w:color="auto" w:fill="F2F2F2" w:themeFill="background1" w:themeFillShade="F2"/>
        <w:ind w:left="720"/>
        <w:jc w:val="both"/>
        <w:rPr>
          <w:b/>
          <w:bCs/>
          <w:i/>
          <w:iCs/>
          <w:color w:val="002060"/>
          <w:sz w:val="18"/>
          <w:szCs w:val="20"/>
        </w:rPr>
      </w:pPr>
      <w:r w:rsidRPr="00C26D4D">
        <w:rPr>
          <w:b/>
          <w:bCs/>
          <w:i/>
          <w:iCs/>
          <w:color w:val="002060"/>
          <w:sz w:val="18"/>
          <w:szCs w:val="20"/>
        </w:rPr>
        <w:t>Example – An active pharmaceutical ingredient (API) shortage is reported by a supplier.</w:t>
      </w:r>
    </w:p>
    <w:p w14:paraId="5FFC10E9" w14:textId="77777777" w:rsidR="00F126FC" w:rsidRDefault="00F126FC" w:rsidP="00F126FC">
      <w:pPr>
        <w:pStyle w:val="ListParagraph"/>
        <w:shd w:val="clear" w:color="auto" w:fill="F2F2F2" w:themeFill="background1" w:themeFillShade="F2"/>
        <w:jc w:val="both"/>
        <w:rPr>
          <w:rFonts w:cstheme="minorBidi"/>
          <w:i/>
          <w:iCs/>
          <w:color w:val="002060"/>
          <w:sz w:val="18"/>
          <w:szCs w:val="20"/>
        </w:rPr>
      </w:pPr>
      <w:r>
        <w:rPr>
          <w:rFonts w:cstheme="minorBidi"/>
          <w:i/>
          <w:iCs/>
          <w:color w:val="002060"/>
          <w:sz w:val="18"/>
          <w:szCs w:val="20"/>
        </w:rPr>
        <w:t xml:space="preserve">Scenario 1. </w:t>
      </w:r>
      <w:r w:rsidRPr="00C26D4D">
        <w:rPr>
          <w:rFonts w:cstheme="minorBidi"/>
          <w:i/>
          <w:iCs/>
          <w:color w:val="002060"/>
          <w:sz w:val="18"/>
          <w:szCs w:val="20"/>
        </w:rPr>
        <w:t xml:space="preserve">The RP has arrangements in place to access an alternative API source in time to avoid a breach – a likely breach notification would not be required if the RP </w:t>
      </w:r>
      <w:r>
        <w:rPr>
          <w:rFonts w:cstheme="minorBidi"/>
          <w:i/>
          <w:iCs/>
          <w:color w:val="002060"/>
          <w:sz w:val="18"/>
          <w:szCs w:val="20"/>
        </w:rPr>
        <w:t>expects</w:t>
      </w:r>
      <w:r w:rsidRPr="00C26D4D">
        <w:rPr>
          <w:rFonts w:cstheme="minorBidi"/>
          <w:i/>
          <w:iCs/>
          <w:color w:val="002060"/>
          <w:sz w:val="18"/>
          <w:szCs w:val="20"/>
        </w:rPr>
        <w:t xml:space="preserve"> to meet supply schedules and maintain stockholding levels at the required amount.</w:t>
      </w:r>
    </w:p>
    <w:p w14:paraId="642198C1" w14:textId="77777777" w:rsidR="00F126FC" w:rsidRPr="00C26D4D" w:rsidRDefault="00F126FC" w:rsidP="00F126FC">
      <w:pPr>
        <w:pStyle w:val="ListParagraph"/>
        <w:shd w:val="clear" w:color="auto" w:fill="F2F2F2" w:themeFill="background1" w:themeFillShade="F2"/>
        <w:jc w:val="both"/>
        <w:rPr>
          <w:rFonts w:cstheme="minorBidi"/>
          <w:i/>
          <w:iCs/>
          <w:color w:val="002060"/>
          <w:sz w:val="18"/>
          <w:szCs w:val="20"/>
        </w:rPr>
      </w:pPr>
      <w:r>
        <w:rPr>
          <w:rFonts w:cstheme="minorBidi"/>
          <w:i/>
          <w:iCs/>
          <w:color w:val="002060"/>
          <w:sz w:val="18"/>
          <w:szCs w:val="20"/>
        </w:rPr>
        <w:t xml:space="preserve">Scenario 2. </w:t>
      </w:r>
      <w:r w:rsidRPr="00C26D4D">
        <w:rPr>
          <w:rFonts w:cstheme="minorBidi"/>
          <w:i/>
          <w:iCs/>
          <w:color w:val="002060"/>
          <w:sz w:val="18"/>
          <w:szCs w:val="20"/>
        </w:rPr>
        <w:t>The RP is not able to access or is unsure if it can access an alternative API source in time to maintain original production schedule or a varied production schedule which is likely to avoid a breach – a likely breach notification should be made, even if the breach is not inevitable.</w:t>
      </w:r>
    </w:p>
    <w:p w14:paraId="77EE0358" w14:textId="77777777" w:rsidR="00F126FC" w:rsidRDefault="00F126FC" w:rsidP="00F126FC">
      <w:pPr>
        <w:ind w:left="360"/>
        <w:jc w:val="both"/>
      </w:pPr>
      <w:r w:rsidRPr="00EA6859">
        <w:t xml:space="preserve">The RP may </w:t>
      </w:r>
      <w:r>
        <w:t>‘</w:t>
      </w:r>
      <w:r w:rsidRPr="00C26D4D">
        <w:rPr>
          <w:i/>
          <w:iCs/>
        </w:rPr>
        <w:t>form the belief</w:t>
      </w:r>
      <w:r>
        <w:t>’</w:t>
      </w:r>
      <w:r w:rsidRPr="00EA6859">
        <w:t xml:space="preserve"> that they are likely to breach the minimum stockholding requirement based on several </w:t>
      </w:r>
      <w:r>
        <w:t xml:space="preserve">separate </w:t>
      </w:r>
      <w:r w:rsidRPr="00EA6859">
        <w:t xml:space="preserve">events. If the RP makes a notification and then a separate event subsequently occurs which may </w:t>
      </w:r>
      <w:r w:rsidRPr="00C26D4D">
        <w:rPr>
          <w:b/>
          <w:bCs/>
        </w:rPr>
        <w:t>also</w:t>
      </w:r>
      <w:r w:rsidRPr="00EA6859">
        <w:t xml:space="preserve"> cause a ‘likely breach’, </w:t>
      </w:r>
      <w:r>
        <w:t>the reasons submitted for the likely breach must be updated or added. Where this event causes a separate breach to be likely, a separate notification must be submitted.</w:t>
      </w:r>
    </w:p>
    <w:p w14:paraId="01034201" w14:textId="77777777" w:rsidR="00F126FC" w:rsidRDefault="00F126FC" w:rsidP="00F126FC">
      <w:pPr>
        <w:shd w:val="clear" w:color="auto" w:fill="F2F2F2" w:themeFill="background1" w:themeFillShade="F2"/>
        <w:ind w:left="720"/>
        <w:jc w:val="both"/>
        <w:rPr>
          <w:i/>
          <w:iCs/>
          <w:color w:val="002060"/>
          <w:sz w:val="18"/>
          <w:szCs w:val="20"/>
        </w:rPr>
      </w:pPr>
      <w:r>
        <w:rPr>
          <w:i/>
          <w:iCs/>
          <w:color w:val="002060"/>
          <w:sz w:val="18"/>
          <w:szCs w:val="20"/>
        </w:rPr>
        <w:t>Example</w:t>
      </w:r>
    </w:p>
    <w:p w14:paraId="7507DDBA" w14:textId="77777777" w:rsidR="00F126FC" w:rsidRDefault="00F126FC" w:rsidP="00F126FC">
      <w:pPr>
        <w:shd w:val="clear" w:color="auto" w:fill="F2F2F2" w:themeFill="background1" w:themeFillShade="F2"/>
        <w:ind w:left="720"/>
        <w:jc w:val="both"/>
        <w:rPr>
          <w:i/>
          <w:iCs/>
          <w:color w:val="002060"/>
          <w:sz w:val="18"/>
          <w:szCs w:val="20"/>
        </w:rPr>
      </w:pPr>
      <w:r>
        <w:rPr>
          <w:i/>
          <w:iCs/>
          <w:color w:val="002060"/>
          <w:sz w:val="18"/>
          <w:szCs w:val="20"/>
        </w:rPr>
        <w:t>Scenario 1. A batch failure occurs and then a delayed shipment prolongs the initial likely breach, with no intervening resolution. The RP can update the initial notification by adding an additional ‘reason’ for the likely breach and updating the expected resolution date and lowest anticipated stockholding information reflecting the delayed shipment.</w:t>
      </w:r>
    </w:p>
    <w:p w14:paraId="49D21FB5" w14:textId="77777777" w:rsidR="00F126FC" w:rsidRPr="00C26D4D" w:rsidRDefault="00F126FC" w:rsidP="00F126FC">
      <w:pPr>
        <w:shd w:val="clear" w:color="auto" w:fill="F2F2F2" w:themeFill="background1" w:themeFillShade="F2"/>
        <w:ind w:left="720"/>
        <w:jc w:val="both"/>
        <w:rPr>
          <w:i/>
          <w:iCs/>
          <w:color w:val="002060"/>
          <w:sz w:val="18"/>
          <w:szCs w:val="20"/>
        </w:rPr>
      </w:pPr>
      <w:r>
        <w:rPr>
          <w:i/>
          <w:iCs/>
          <w:color w:val="002060"/>
          <w:sz w:val="18"/>
          <w:szCs w:val="20"/>
        </w:rPr>
        <w:t>Scenario 2. A</w:t>
      </w:r>
      <w:r w:rsidRPr="00D77073">
        <w:rPr>
          <w:i/>
          <w:iCs/>
          <w:color w:val="002060"/>
          <w:sz w:val="18"/>
          <w:szCs w:val="20"/>
        </w:rPr>
        <w:t xml:space="preserve"> batch failure occurs</w:t>
      </w:r>
      <w:r>
        <w:rPr>
          <w:i/>
          <w:iCs/>
          <w:color w:val="002060"/>
          <w:sz w:val="18"/>
          <w:szCs w:val="20"/>
        </w:rPr>
        <w:t xml:space="preserve"> which the RP believes will cause a breach in March</w:t>
      </w:r>
      <w:r w:rsidRPr="00F5030F">
        <w:rPr>
          <w:i/>
          <w:iCs/>
          <w:color w:val="002060"/>
          <w:sz w:val="18"/>
          <w:szCs w:val="20"/>
        </w:rPr>
        <w:t xml:space="preserve"> </w:t>
      </w:r>
      <w:r w:rsidRPr="007F0B1D">
        <w:rPr>
          <w:i/>
          <w:iCs/>
          <w:color w:val="002060"/>
          <w:sz w:val="18"/>
          <w:szCs w:val="20"/>
        </w:rPr>
        <w:t>and then a month later</w:t>
      </w:r>
      <w:r>
        <w:rPr>
          <w:i/>
          <w:iCs/>
          <w:color w:val="002060"/>
          <w:sz w:val="18"/>
          <w:szCs w:val="20"/>
        </w:rPr>
        <w:t xml:space="preserve"> a</w:t>
      </w:r>
      <w:r w:rsidRPr="00F5030F">
        <w:rPr>
          <w:i/>
          <w:iCs/>
          <w:color w:val="002060"/>
          <w:sz w:val="18"/>
          <w:szCs w:val="20"/>
        </w:rPr>
        <w:t xml:space="preserve"> </w:t>
      </w:r>
      <w:r w:rsidRPr="00FC5DF1">
        <w:rPr>
          <w:i/>
          <w:iCs/>
          <w:color w:val="002060"/>
          <w:sz w:val="18"/>
          <w:szCs w:val="20"/>
        </w:rPr>
        <w:t xml:space="preserve">delayed shipment occurs </w:t>
      </w:r>
      <w:r>
        <w:rPr>
          <w:i/>
          <w:iCs/>
          <w:color w:val="002060"/>
          <w:sz w:val="18"/>
          <w:szCs w:val="20"/>
        </w:rPr>
        <w:t xml:space="preserve">which the RP believes is likely to cause a separate breach in October. </w:t>
      </w:r>
      <w:r w:rsidRPr="009D3FEE">
        <w:rPr>
          <w:i/>
          <w:iCs/>
          <w:color w:val="002060"/>
          <w:sz w:val="18"/>
          <w:szCs w:val="20"/>
        </w:rPr>
        <w:t>Each separate period that a breach is likely to occur requires a separate ‘likely breach’ notification.</w:t>
      </w:r>
      <w:r>
        <w:rPr>
          <w:i/>
          <w:iCs/>
          <w:color w:val="002060"/>
          <w:sz w:val="18"/>
          <w:szCs w:val="20"/>
        </w:rPr>
        <w:t xml:space="preserve"> </w:t>
      </w:r>
    </w:p>
    <w:p w14:paraId="1D1740CB" w14:textId="77777777" w:rsidR="00F126FC" w:rsidRDefault="00F126FC" w:rsidP="00F126FC">
      <w:pPr>
        <w:ind w:left="360"/>
        <w:jc w:val="both"/>
      </w:pPr>
      <w:r w:rsidRPr="00EA6859">
        <w:t xml:space="preserve">Where a notification has been made of a ‘likely breach’, and the breach eventuates, the RP </w:t>
      </w:r>
      <w:r>
        <w:t>must</w:t>
      </w:r>
      <w:r w:rsidRPr="00EA6859">
        <w:t xml:space="preserve"> </w:t>
      </w:r>
      <w:r>
        <w:t>still submit a</w:t>
      </w:r>
      <w:r w:rsidRPr="00EA6859">
        <w:t xml:space="preserve"> notification for the actual breach.</w:t>
      </w:r>
    </w:p>
    <w:p w14:paraId="201D5DA7" w14:textId="72ECAFE3" w:rsidR="00F126FC" w:rsidRPr="00EA6859" w:rsidRDefault="00F126FC" w:rsidP="00F126FC">
      <w:pPr>
        <w:ind w:left="360"/>
        <w:jc w:val="both"/>
      </w:pPr>
      <w:r w:rsidRPr="00EA6859">
        <w:t>RP should</w:t>
      </w:r>
      <w:r>
        <w:t xml:space="preserve"> always</w:t>
      </w:r>
      <w:r w:rsidRPr="00EA6859">
        <w:t xml:space="preserve"> update information</w:t>
      </w:r>
      <w:r>
        <w:t xml:space="preserve"> provided</w:t>
      </w:r>
      <w:r w:rsidRPr="00EA6859">
        <w:t xml:space="preserve"> to the </w:t>
      </w:r>
      <w:r w:rsidR="00301AB1">
        <w:t>d</w:t>
      </w:r>
      <w:r w:rsidRPr="00EA6859">
        <w:t xml:space="preserve">epartment if there are further developments or to correct any inaccuracy in the initial notifications, </w:t>
      </w:r>
      <w:r>
        <w:t>including where the RP has avoided the breach</w:t>
      </w:r>
      <w:r w:rsidRPr="00EA6859">
        <w:t>.</w:t>
      </w:r>
    </w:p>
    <w:p w14:paraId="219E8219" w14:textId="77777777" w:rsidR="00F126FC" w:rsidRPr="0066323C" w:rsidRDefault="00F126FC" w:rsidP="005A2644">
      <w:pPr>
        <w:keepNext/>
        <w:numPr>
          <w:ilvl w:val="0"/>
          <w:numId w:val="17"/>
        </w:numPr>
        <w:ind w:left="714" w:hanging="357"/>
        <w:jc w:val="both"/>
        <w:rPr>
          <w:b/>
        </w:rPr>
      </w:pPr>
      <w:r>
        <w:rPr>
          <w:b/>
          <w:bCs/>
        </w:rPr>
        <w:lastRenderedPageBreak/>
        <w:t>When to notify of an actual breach</w:t>
      </w:r>
    </w:p>
    <w:p w14:paraId="58F1B5EC" w14:textId="77777777" w:rsidR="00F126FC" w:rsidRDefault="00F126FC" w:rsidP="00F126FC">
      <w:pPr>
        <w:ind w:left="360"/>
        <w:jc w:val="both"/>
      </w:pPr>
      <w:r>
        <w:t>An</w:t>
      </w:r>
      <w:r w:rsidRPr="0066323C">
        <w:t xml:space="preserve"> RP must </w:t>
      </w:r>
      <w:r>
        <w:t>notify</w:t>
      </w:r>
      <w:r w:rsidRPr="0066323C">
        <w:t xml:space="preserve"> a</w:t>
      </w:r>
      <w:r>
        <w:t xml:space="preserve"> </w:t>
      </w:r>
      <w:r w:rsidRPr="0066323C">
        <w:t xml:space="preserve">breach of the minimum stockholding requirement </w:t>
      </w:r>
      <w:r w:rsidRPr="00C26D4D">
        <w:rPr>
          <w:i/>
          <w:iCs/>
        </w:rPr>
        <w:t>'as soon as practicable</w:t>
      </w:r>
      <w:r w:rsidRPr="0066323C">
        <w:t xml:space="preserve">' after </w:t>
      </w:r>
      <w:r w:rsidRPr="00EA6859">
        <w:t>a</w:t>
      </w:r>
      <w:r>
        <w:t>n actual</w:t>
      </w:r>
      <w:r w:rsidRPr="00EA6859">
        <w:t xml:space="preserve"> breach</w:t>
      </w:r>
      <w:r>
        <w:t xml:space="preserve"> of </w:t>
      </w:r>
      <w:r w:rsidRPr="00EA6859">
        <w:t>the minimum stockholding requirement</w:t>
      </w:r>
      <w:r>
        <w:t xml:space="preserve"> occurs.</w:t>
      </w:r>
    </w:p>
    <w:p w14:paraId="4BDD0B74" w14:textId="77777777" w:rsidR="00F126FC" w:rsidRDefault="00F126FC" w:rsidP="00F126FC">
      <w:pPr>
        <w:ind w:left="360"/>
        <w:jc w:val="both"/>
      </w:pPr>
      <w:r>
        <w:t>An</w:t>
      </w:r>
      <w:r w:rsidRPr="00EA6859">
        <w:t xml:space="preserve"> RP must provide separate notifications for each instance of a likely breach or actual breach </w:t>
      </w:r>
      <w:r>
        <w:t>including where stock levels</w:t>
      </w:r>
      <w:r w:rsidRPr="00EA6859">
        <w:t xml:space="preserve"> </w:t>
      </w:r>
      <w:r>
        <w:t>fluctuate above and below the</w:t>
      </w:r>
      <w:r w:rsidRPr="00EA6859">
        <w:t xml:space="preserve"> minimum stockholding requirement</w:t>
      </w:r>
      <w:r>
        <w:t xml:space="preserve">. </w:t>
      </w:r>
      <w:r w:rsidRPr="00EA6859">
        <w:t>Conversely, if a</w:t>
      </w:r>
      <w:r>
        <w:t>n</w:t>
      </w:r>
      <w:r w:rsidRPr="00EA6859">
        <w:t xml:space="preserve"> RP has a stock level which </w:t>
      </w:r>
      <w:r>
        <w:t xml:space="preserve">continuously </w:t>
      </w:r>
      <w:r w:rsidRPr="00EA6859">
        <w:t>does not meet minimum stockholding requirements for a prolonged period, the single notification of likely breach, followed by a single notification of actual breach will suffice</w:t>
      </w:r>
      <w:r>
        <w:rPr>
          <w:rStyle w:val="FootnoteReference"/>
        </w:rPr>
        <w:footnoteReference w:id="22"/>
      </w:r>
      <w:r>
        <w:t>.</w:t>
      </w:r>
    </w:p>
    <w:p w14:paraId="7A0D507B" w14:textId="77777777" w:rsidR="00F126FC" w:rsidRDefault="00F126FC" w:rsidP="00F126FC">
      <w:pPr>
        <w:shd w:val="clear" w:color="auto" w:fill="F2F2F2" w:themeFill="background1" w:themeFillShade="F2"/>
        <w:ind w:left="720"/>
        <w:jc w:val="both"/>
        <w:rPr>
          <w:i/>
          <w:iCs/>
          <w:color w:val="002060"/>
          <w:sz w:val="18"/>
          <w:szCs w:val="20"/>
        </w:rPr>
      </w:pPr>
      <w:r w:rsidRPr="00C26D4D">
        <w:rPr>
          <w:i/>
          <w:iCs/>
          <w:color w:val="002060"/>
          <w:sz w:val="18"/>
          <w:szCs w:val="20"/>
        </w:rPr>
        <w:t>Example</w:t>
      </w:r>
    </w:p>
    <w:p w14:paraId="6BD57BBD" w14:textId="77777777" w:rsidR="00F126FC" w:rsidRPr="00C26D4D" w:rsidRDefault="00F126FC" w:rsidP="00F126FC">
      <w:pPr>
        <w:shd w:val="clear" w:color="auto" w:fill="F2F2F2" w:themeFill="background1" w:themeFillShade="F2"/>
        <w:ind w:left="720"/>
        <w:jc w:val="both"/>
        <w:rPr>
          <w:i/>
          <w:iCs/>
          <w:color w:val="002060"/>
          <w:sz w:val="18"/>
          <w:szCs w:val="20"/>
        </w:rPr>
      </w:pPr>
      <w:r>
        <w:rPr>
          <w:i/>
          <w:iCs/>
          <w:color w:val="002060"/>
          <w:sz w:val="18"/>
          <w:szCs w:val="20"/>
        </w:rPr>
        <w:t>A market</w:t>
      </w:r>
      <w:r w:rsidRPr="00C26D4D">
        <w:rPr>
          <w:i/>
          <w:iCs/>
          <w:color w:val="002060"/>
          <w:sz w:val="18"/>
          <w:szCs w:val="20"/>
        </w:rPr>
        <w:t xml:space="preserve"> competitor</w:t>
      </w:r>
      <w:r>
        <w:rPr>
          <w:i/>
          <w:iCs/>
          <w:color w:val="002060"/>
          <w:sz w:val="18"/>
          <w:szCs w:val="20"/>
        </w:rPr>
        <w:t xml:space="preserve"> with significant market share</w:t>
      </w:r>
      <w:r w:rsidRPr="00C26D4D">
        <w:rPr>
          <w:i/>
          <w:iCs/>
          <w:color w:val="002060"/>
          <w:sz w:val="18"/>
          <w:szCs w:val="20"/>
        </w:rPr>
        <w:t xml:space="preserve"> is experiencing supply issues, causing higher demand on an RP</w:t>
      </w:r>
      <w:r>
        <w:rPr>
          <w:i/>
          <w:iCs/>
          <w:color w:val="002060"/>
          <w:sz w:val="18"/>
          <w:szCs w:val="20"/>
        </w:rPr>
        <w:t>’</w:t>
      </w:r>
      <w:r w:rsidRPr="00C26D4D">
        <w:rPr>
          <w:i/>
          <w:iCs/>
          <w:color w:val="002060"/>
          <w:sz w:val="18"/>
          <w:szCs w:val="20"/>
        </w:rPr>
        <w:t>s designated brand. The RP is unable to adjust production orders in the short term</w:t>
      </w:r>
      <w:r>
        <w:rPr>
          <w:i/>
          <w:iCs/>
          <w:color w:val="002060"/>
          <w:sz w:val="18"/>
          <w:szCs w:val="20"/>
        </w:rPr>
        <w:t xml:space="preserve">. Although </w:t>
      </w:r>
      <w:r w:rsidRPr="00C26D4D">
        <w:rPr>
          <w:i/>
          <w:iCs/>
          <w:color w:val="002060"/>
          <w:sz w:val="18"/>
          <w:szCs w:val="20"/>
        </w:rPr>
        <w:t>stockholding</w:t>
      </w:r>
      <w:r>
        <w:rPr>
          <w:i/>
          <w:iCs/>
          <w:color w:val="002060"/>
          <w:sz w:val="18"/>
          <w:szCs w:val="20"/>
        </w:rPr>
        <w:t xml:space="preserve"> levels</w:t>
      </w:r>
      <w:r w:rsidRPr="00C26D4D">
        <w:rPr>
          <w:i/>
          <w:iCs/>
          <w:color w:val="002060"/>
          <w:sz w:val="18"/>
          <w:szCs w:val="20"/>
        </w:rPr>
        <w:t xml:space="preserve"> return</w:t>
      </w:r>
      <w:r>
        <w:rPr>
          <w:i/>
          <w:iCs/>
          <w:color w:val="002060"/>
          <w:sz w:val="18"/>
          <w:szCs w:val="20"/>
        </w:rPr>
        <w:t xml:space="preserve"> to the required level</w:t>
      </w:r>
      <w:r w:rsidRPr="00C26D4D">
        <w:rPr>
          <w:i/>
          <w:iCs/>
          <w:color w:val="002060"/>
          <w:sz w:val="18"/>
          <w:szCs w:val="20"/>
        </w:rPr>
        <w:t xml:space="preserve"> w</w:t>
      </w:r>
      <w:r>
        <w:rPr>
          <w:i/>
          <w:iCs/>
          <w:color w:val="002060"/>
          <w:sz w:val="18"/>
          <w:szCs w:val="20"/>
        </w:rPr>
        <w:t>ith each</w:t>
      </w:r>
      <w:r w:rsidRPr="00C26D4D">
        <w:rPr>
          <w:i/>
          <w:iCs/>
          <w:color w:val="002060"/>
          <w:sz w:val="18"/>
          <w:szCs w:val="20"/>
        </w:rPr>
        <w:t xml:space="preserve"> </w:t>
      </w:r>
      <w:r>
        <w:rPr>
          <w:i/>
          <w:iCs/>
          <w:color w:val="002060"/>
          <w:sz w:val="18"/>
          <w:szCs w:val="20"/>
        </w:rPr>
        <w:t>replenishment</w:t>
      </w:r>
      <w:r w:rsidRPr="00C26D4D">
        <w:rPr>
          <w:i/>
          <w:iCs/>
          <w:color w:val="002060"/>
          <w:sz w:val="18"/>
          <w:szCs w:val="20"/>
        </w:rPr>
        <w:t>, the higher demand causes the stockholding to fall below the requirement between deliver</w:t>
      </w:r>
      <w:r>
        <w:rPr>
          <w:i/>
          <w:iCs/>
          <w:color w:val="002060"/>
          <w:sz w:val="18"/>
          <w:szCs w:val="20"/>
        </w:rPr>
        <w:t>ies</w:t>
      </w:r>
      <w:r w:rsidRPr="00C26D4D">
        <w:rPr>
          <w:i/>
          <w:iCs/>
          <w:color w:val="002060"/>
          <w:sz w:val="18"/>
          <w:szCs w:val="20"/>
        </w:rPr>
        <w:t xml:space="preserve">. At each point the RP forms the belief of the likely breach </w:t>
      </w:r>
      <w:r>
        <w:rPr>
          <w:i/>
          <w:iCs/>
          <w:color w:val="002060"/>
          <w:sz w:val="18"/>
          <w:szCs w:val="20"/>
        </w:rPr>
        <w:t xml:space="preserve">or a further </w:t>
      </w:r>
      <w:r w:rsidRPr="00C26D4D">
        <w:rPr>
          <w:i/>
          <w:iCs/>
          <w:color w:val="002060"/>
          <w:sz w:val="18"/>
          <w:szCs w:val="20"/>
        </w:rPr>
        <w:t>actual breach</w:t>
      </w:r>
      <w:r>
        <w:rPr>
          <w:i/>
          <w:iCs/>
          <w:color w:val="002060"/>
          <w:sz w:val="18"/>
          <w:szCs w:val="20"/>
        </w:rPr>
        <w:t xml:space="preserve"> occurs,</w:t>
      </w:r>
      <w:r w:rsidRPr="00C26D4D">
        <w:rPr>
          <w:i/>
          <w:iCs/>
          <w:color w:val="002060"/>
          <w:sz w:val="18"/>
          <w:szCs w:val="20"/>
        </w:rPr>
        <w:t xml:space="preserve"> a separate notification must be submitted.</w:t>
      </w:r>
    </w:p>
    <w:p w14:paraId="77F8E1A4" w14:textId="77777777" w:rsidR="00F126FC" w:rsidRPr="00EA6859" w:rsidRDefault="00F126FC" w:rsidP="005A2644">
      <w:pPr>
        <w:numPr>
          <w:ilvl w:val="0"/>
          <w:numId w:val="17"/>
        </w:numPr>
        <w:jc w:val="both"/>
        <w:rPr>
          <w:b/>
          <w:bCs/>
        </w:rPr>
      </w:pPr>
      <w:r>
        <w:rPr>
          <w:b/>
          <w:bCs/>
        </w:rPr>
        <w:t>How to submit a notification</w:t>
      </w:r>
    </w:p>
    <w:p w14:paraId="21F544A5" w14:textId="1A9814F0" w:rsidR="00F126FC" w:rsidRDefault="00F126FC" w:rsidP="00F126FC">
      <w:pPr>
        <w:ind w:left="360"/>
        <w:jc w:val="both"/>
      </w:pPr>
      <w:r w:rsidRPr="00EA6859">
        <w:t>RPs</w:t>
      </w:r>
      <w:r>
        <w:t xml:space="preserve"> can</w:t>
      </w:r>
      <w:r w:rsidRPr="00EA6859">
        <w:t xml:space="preserve"> submit likely and actual breach notifications to the Minister via the </w:t>
      </w:r>
      <w:hyperlink r:id="rId53">
        <w:r>
          <w:rPr>
            <w:color w:val="005EB8" w:themeColor="text2"/>
            <w:u w:val="single"/>
          </w:rPr>
          <w:t>Price Disclosure and Stockholding Notification Portal</w:t>
        </w:r>
      </w:hyperlink>
      <w:r w:rsidRPr="00EA6859">
        <w:t xml:space="preserve"> (</w:t>
      </w:r>
      <w:r w:rsidRPr="00C26D4D">
        <w:rPr>
          <w:b/>
          <w:bCs/>
        </w:rPr>
        <w:t>the Portal</w:t>
      </w:r>
      <w:r w:rsidRPr="00EA6859">
        <w:t xml:space="preserve">). </w:t>
      </w:r>
      <w:r>
        <w:t xml:space="preserve">You can find more information on how to access the Portal and how to submit and update a notification on the </w:t>
      </w:r>
      <w:hyperlink r:id="rId54" w:history="1">
        <w:r w:rsidRPr="009A34E1">
          <w:rPr>
            <w:rStyle w:val="Hyperlink"/>
          </w:rPr>
          <w:t>Portal Resources page.</w:t>
        </w:r>
      </w:hyperlink>
      <w:r>
        <w:t xml:space="preserve"> The Resources page includes user guides, a step-by-step video on how to use the Portal and links to relevant </w:t>
      </w:r>
      <w:r w:rsidR="00301AB1">
        <w:t>d</w:t>
      </w:r>
      <w:r>
        <w:t>epartment materials, including factsheets.</w:t>
      </w:r>
    </w:p>
    <w:p w14:paraId="39037364" w14:textId="1E057D39" w:rsidR="00284BB6" w:rsidRPr="007E0156" w:rsidRDefault="00F126FC" w:rsidP="00FE7FAF">
      <w:pPr>
        <w:ind w:left="360"/>
        <w:jc w:val="both"/>
      </w:pPr>
      <w:r w:rsidRPr="00EA6859">
        <w:t>Where a</w:t>
      </w:r>
      <w:r>
        <w:t>n</w:t>
      </w:r>
      <w:r w:rsidRPr="00EA6859">
        <w:t xml:space="preserve"> </w:t>
      </w:r>
      <w:r>
        <w:t xml:space="preserve">RP </w:t>
      </w:r>
      <w:r w:rsidRPr="00EA6859">
        <w:t xml:space="preserve">is submitting an update to a previously submitted PDF or </w:t>
      </w:r>
      <w:r>
        <w:t>E</w:t>
      </w:r>
      <w:r w:rsidRPr="00EA6859">
        <w:t>xcel notification (including resolution information)</w:t>
      </w:r>
      <w:r>
        <w:t>,</w:t>
      </w:r>
      <w:r>
        <w:rPr>
          <w:rStyle w:val="FootnoteReference"/>
        </w:rPr>
        <w:footnoteReference w:id="23"/>
      </w:r>
      <w:r w:rsidRPr="00EA6859">
        <w:t xml:space="preserve"> RPs can </w:t>
      </w:r>
      <w:r>
        <w:t>provide updates and resolution information for these breaches using</w:t>
      </w:r>
      <w:r w:rsidRPr="00EA6859">
        <w:t xml:space="preserve"> the pro-forma templates available on the</w:t>
      </w:r>
      <w:r>
        <w:t xml:space="preserve"> </w:t>
      </w:r>
      <w:hyperlink r:id="rId55" w:history="1">
        <w:r w:rsidRPr="00785AA4">
          <w:rPr>
            <w:rStyle w:val="Hyperlink"/>
          </w:rPr>
          <w:t>PBS Minimum Stockholding Requirements</w:t>
        </w:r>
      </w:hyperlink>
      <w:r w:rsidRPr="00EA6859">
        <w:t xml:space="preserve"> website</w:t>
      </w:r>
      <w:r>
        <w:t>. These notifications can be</w:t>
      </w:r>
      <w:r w:rsidRPr="00EA6859">
        <w:t xml:space="preserve"> </w:t>
      </w:r>
      <w:r>
        <w:t>submitted to the Minister</w:t>
      </w:r>
      <w:r w:rsidRPr="00EA6859">
        <w:t xml:space="preserve"> via</w:t>
      </w:r>
      <w:r w:rsidR="0092401F" w:rsidRPr="00F15A13">
        <w:t xml:space="preserve"> </w:t>
      </w:r>
      <w:r w:rsidR="00D47523" w:rsidRPr="00F15A13">
        <w:t xml:space="preserve">the </w:t>
      </w:r>
      <w:r w:rsidR="008A72C0" w:rsidRPr="00F15A13">
        <w:t xml:space="preserve">PBS Stockholding </w:t>
      </w:r>
      <w:r w:rsidR="0092401F" w:rsidRPr="00F15A13">
        <w:t xml:space="preserve">inbox </w:t>
      </w:r>
      <w:hyperlink r:id="rId56" w:history="1">
        <w:r w:rsidR="00983DC0" w:rsidRPr="00F15A13">
          <w:rPr>
            <w:rStyle w:val="Hyperlink"/>
          </w:rPr>
          <w:t>pbsstockholding@health.gov.au</w:t>
        </w:r>
      </w:hyperlink>
      <w:r w:rsidR="0092401F" w:rsidRPr="00F15A13">
        <w:t>.</w:t>
      </w:r>
      <w:r w:rsidR="00956C2D" w:rsidRPr="00F15A13">
        <w:t xml:space="preserve"> </w:t>
      </w:r>
      <w:r>
        <w:t>If an RP makes a submission and does not use the published and approved pro-forma template the submission may not meet system and legislative requirements and may require resubmission</w:t>
      </w:r>
      <w:r w:rsidR="00284BB6" w:rsidRPr="00F15A13">
        <w:t>.</w:t>
      </w:r>
    </w:p>
    <w:p w14:paraId="5F031C8F" w14:textId="1D429390" w:rsidR="00F126FC" w:rsidRPr="00EA6859" w:rsidRDefault="00F126FC" w:rsidP="00F126FC">
      <w:pPr>
        <w:spacing w:before="160"/>
        <w:ind w:left="357"/>
        <w:jc w:val="both"/>
      </w:pPr>
      <w:r>
        <w:t>As outlined in section 7.2(a), t</w:t>
      </w:r>
      <w:r w:rsidRPr="00EA6859">
        <w:t xml:space="preserve">o facilitate notifications being made </w:t>
      </w:r>
      <w:r w:rsidRPr="00C26D4D">
        <w:rPr>
          <w:i/>
          <w:iCs/>
        </w:rPr>
        <w:t>as soon as practicable</w:t>
      </w:r>
      <w:r w:rsidRPr="00EA6859">
        <w:t>, a</w:t>
      </w:r>
      <w:r w:rsidR="0074427C">
        <w:t xml:space="preserve">n RP </w:t>
      </w:r>
      <w:r w:rsidRPr="00EA6859">
        <w:t>can submit</w:t>
      </w:r>
      <w:r>
        <w:t xml:space="preserve"> only Part 1 of the </w:t>
      </w:r>
      <w:r w:rsidRPr="00EA6859">
        <w:t>initial notification which includes basic information</w:t>
      </w:r>
      <w:r>
        <w:t xml:space="preserve">. RPs </w:t>
      </w:r>
      <w:r w:rsidRPr="00EA6859">
        <w:t xml:space="preserve">are strongly encouraged to provide the additional information sought in </w:t>
      </w:r>
      <w:r>
        <w:t>Part 2</w:t>
      </w:r>
      <w:r w:rsidRPr="00EA6859">
        <w:t xml:space="preserve"> of the notification form when that information is available</w:t>
      </w:r>
      <w:r>
        <w:t xml:space="preserve"> </w:t>
      </w:r>
      <w:r w:rsidRPr="000C6783">
        <w:t>(either as part of the initial notification or as an update)</w:t>
      </w:r>
      <w:r w:rsidRPr="00EA6859">
        <w:t xml:space="preserve">. </w:t>
      </w:r>
    </w:p>
    <w:p w14:paraId="156B749E" w14:textId="44F193D6" w:rsidR="00F126FC" w:rsidRDefault="00F126FC" w:rsidP="00F126FC">
      <w:pPr>
        <w:ind w:left="360"/>
      </w:pPr>
      <w:r>
        <w:t xml:space="preserve">The </w:t>
      </w:r>
      <w:r w:rsidR="00301AB1">
        <w:t>d</w:t>
      </w:r>
      <w:r>
        <w:t>epartment may request further information from RPs via the Portal. Registered RP users will be notified of any requests via their registered email address. RPs can respond by providing the requested information or clarification via the original notification within the Portal. Failure to respond or provide requested information within requested timeframes may result in escalated compliance action.</w:t>
      </w:r>
    </w:p>
    <w:p w14:paraId="4EE7D413" w14:textId="71506DAF" w:rsidR="00357430" w:rsidRPr="007E0156" w:rsidDel="00067792" w:rsidRDefault="007A2060" w:rsidP="005A2644">
      <w:pPr>
        <w:keepNext/>
        <w:numPr>
          <w:ilvl w:val="0"/>
          <w:numId w:val="17"/>
        </w:numPr>
        <w:ind w:left="714" w:hanging="357"/>
        <w:jc w:val="both"/>
        <w:rPr>
          <w:b/>
        </w:rPr>
      </w:pPr>
      <w:r w:rsidRPr="007E0156">
        <w:rPr>
          <w:b/>
          <w:bCs/>
        </w:rPr>
        <w:t>Actual breach following a likely breach</w:t>
      </w:r>
      <w:r w:rsidR="0094751F" w:rsidRPr="007E0156">
        <w:rPr>
          <w:b/>
          <w:bCs/>
        </w:rPr>
        <w:t xml:space="preserve"> notification</w:t>
      </w:r>
    </w:p>
    <w:p w14:paraId="2B484B43" w14:textId="41607B2E" w:rsidR="00CC21F9" w:rsidRPr="007E0156" w:rsidRDefault="00212ACE" w:rsidP="00CC21F9">
      <w:pPr>
        <w:ind w:left="360"/>
        <w:jc w:val="both"/>
        <w:rPr>
          <w:b/>
          <w:bCs/>
        </w:rPr>
      </w:pPr>
      <w:r w:rsidRPr="007E0156">
        <w:t>A</w:t>
      </w:r>
      <w:r w:rsidR="00DD4778">
        <w:t>n</w:t>
      </w:r>
      <w:r w:rsidR="00686D5B" w:rsidRPr="007E0156">
        <w:t xml:space="preserve"> </w:t>
      </w:r>
      <w:r w:rsidR="0043558E" w:rsidRPr="007E0156">
        <w:t>RP</w:t>
      </w:r>
      <w:r w:rsidRPr="007E0156">
        <w:t xml:space="preserve"> who has submitted a notification of a likely breach is also required to submit a separate notification in the event of a</w:t>
      </w:r>
      <w:r w:rsidR="0043558E" w:rsidRPr="007E0156">
        <w:t>n actual</w:t>
      </w:r>
      <w:r w:rsidRPr="007E0156">
        <w:t xml:space="preserve"> breach subsequently occurring</w:t>
      </w:r>
      <w:r w:rsidR="0043558E" w:rsidRPr="007E0156">
        <w:t xml:space="preserve"> (see</w:t>
      </w:r>
      <w:r w:rsidR="00CC21F9" w:rsidRPr="007E0156">
        <w:t xml:space="preserve"> </w:t>
      </w:r>
      <w:hyperlink w:anchor="Section72b" w:history="1">
        <w:r w:rsidR="00CC21F9" w:rsidRPr="00F15A13">
          <w:t>Section 7.2(b)</w:t>
        </w:r>
      </w:hyperlink>
      <w:r w:rsidR="00F126FC" w:rsidRPr="00EA6859">
        <w:t xml:space="preserve">). If a likely </w:t>
      </w:r>
      <w:r w:rsidR="00F126FC" w:rsidRPr="00EA6859">
        <w:lastRenderedPageBreak/>
        <w:t xml:space="preserve">breach notification submitted via the Portal becomes an actual breach, Responsible Persons </w:t>
      </w:r>
      <w:r w:rsidR="00F126FC">
        <w:t>should</w:t>
      </w:r>
      <w:r w:rsidR="00F126FC" w:rsidRPr="00EA6859">
        <w:t xml:space="preserve"> ‘</w:t>
      </w:r>
      <w:r w:rsidR="00F126FC">
        <w:t>upgrade</w:t>
      </w:r>
      <w:r w:rsidR="00F126FC" w:rsidRPr="00EA6859">
        <w:t>’ the likely breach form to simply and quickly close the likely breach and create a new actual breach notification for submission.</w:t>
      </w:r>
      <w:r w:rsidR="00F126FC" w:rsidRPr="00797F00">
        <w:t xml:space="preserve"> </w:t>
      </w:r>
      <w:r w:rsidR="00F126FC">
        <w:t>Where an RP does not ‘</w:t>
      </w:r>
      <w:r w:rsidR="00F126FC" w:rsidRPr="00F622C5">
        <w:rPr>
          <w:i/>
          <w:iCs/>
        </w:rPr>
        <w:t>upgrade</w:t>
      </w:r>
      <w:r w:rsidR="00F126FC">
        <w:t xml:space="preserve">’ a likely breach to an actual breach, and starts the notification process by submitting an actual breach notification, the Portal will prompt the RP to explain why a likely breach notification was not submitted. </w:t>
      </w:r>
      <w:r w:rsidR="00201FBC" w:rsidRPr="00F15A13">
        <w:fldChar w:fldCharType="begin"/>
      </w:r>
      <w:r w:rsidR="00201FBC" w:rsidRPr="007E0156">
        <w:rPr>
          <w:rStyle w:val="Emphasis"/>
        </w:rPr>
        <w:instrText xml:space="preserve"> REF ProcessAllFootersStartPos \h </w:instrText>
      </w:r>
      <w:r w:rsidR="00787FC1" w:rsidRPr="007E0156">
        <w:rPr>
          <w:rStyle w:val="Emphasis"/>
        </w:rPr>
        <w:instrText xml:space="preserve"> \* MERGEFORMAT </w:instrText>
      </w:r>
      <w:r w:rsidR="00201FBC" w:rsidRPr="00F15A13">
        <w:fldChar w:fldCharType="end"/>
      </w:r>
      <w:r w:rsidR="00201FBC" w:rsidRPr="00F15A13">
        <w:fldChar w:fldCharType="begin"/>
      </w:r>
      <w:r w:rsidR="00201FBC" w:rsidRPr="00F15A13">
        <w:instrText xml:space="preserve"> REF ProcessAllFootersStartPos \h </w:instrText>
      </w:r>
      <w:r w:rsidR="00787FC1" w:rsidRPr="00F15A13">
        <w:instrText xml:space="preserve"> \* MERGEFORMAT </w:instrText>
      </w:r>
      <w:r w:rsidR="00201FBC" w:rsidRPr="00F15A13">
        <w:fldChar w:fldCharType="end"/>
      </w:r>
    </w:p>
    <w:p w14:paraId="4FA00740" w14:textId="0F666FB3" w:rsidR="0055143E" w:rsidRPr="007E0156" w:rsidRDefault="00B77B8D" w:rsidP="005A2644">
      <w:pPr>
        <w:numPr>
          <w:ilvl w:val="0"/>
          <w:numId w:val="17"/>
        </w:numPr>
        <w:rPr>
          <w:b/>
          <w:bCs/>
        </w:rPr>
      </w:pPr>
      <w:r w:rsidRPr="007E0156">
        <w:rPr>
          <w:b/>
          <w:bCs/>
        </w:rPr>
        <w:t>Failure</w:t>
      </w:r>
      <w:r w:rsidR="005522E6" w:rsidRPr="007E0156">
        <w:rPr>
          <w:b/>
          <w:bCs/>
        </w:rPr>
        <w:t xml:space="preserve"> to comply with the stockholding </w:t>
      </w:r>
      <w:r w:rsidRPr="007E0156">
        <w:rPr>
          <w:b/>
          <w:bCs/>
        </w:rPr>
        <w:t xml:space="preserve">breach notification </w:t>
      </w:r>
      <w:r w:rsidR="005522E6" w:rsidRPr="007E0156">
        <w:rPr>
          <w:b/>
          <w:bCs/>
        </w:rPr>
        <w:t>requirements</w:t>
      </w:r>
    </w:p>
    <w:p w14:paraId="3F81C0C7" w14:textId="1945BB5A" w:rsidR="00A156FC" w:rsidRDefault="006E2CFD" w:rsidP="00F126FC">
      <w:pPr>
        <w:ind w:left="360"/>
        <w:jc w:val="both"/>
      </w:pPr>
      <w:r w:rsidRPr="007E0156">
        <w:t xml:space="preserve">Failure to </w:t>
      </w:r>
      <w:r w:rsidR="00686D5B" w:rsidRPr="007E0156">
        <w:t xml:space="preserve">fully comply with the notification requirements in s99AEKD of the Act is an offence. </w:t>
      </w:r>
      <w:r w:rsidR="0043558E" w:rsidRPr="007E0156">
        <w:t>RPs will breach the notification requirements where they</w:t>
      </w:r>
      <w:r w:rsidR="00686D5B" w:rsidRPr="007E0156">
        <w:t xml:space="preserve"> fail to notify</w:t>
      </w:r>
      <w:r w:rsidR="0043558E" w:rsidRPr="007E0156">
        <w:t xml:space="preserve"> the Minister of a likely or actual breach</w:t>
      </w:r>
      <w:r w:rsidR="00686D5B" w:rsidRPr="007E0156">
        <w:t>, provid</w:t>
      </w:r>
      <w:r w:rsidR="0043558E" w:rsidRPr="007E0156">
        <w:t>e</w:t>
      </w:r>
      <w:r w:rsidR="00686D5B" w:rsidRPr="007E0156">
        <w:t xml:space="preserve"> notification </w:t>
      </w:r>
      <w:r w:rsidR="0043558E" w:rsidRPr="007E0156">
        <w:t xml:space="preserve">late </w:t>
      </w:r>
      <w:r w:rsidR="00686D5B" w:rsidRPr="007E0156">
        <w:t xml:space="preserve">or </w:t>
      </w:r>
      <w:r w:rsidR="0043558E" w:rsidRPr="007E0156">
        <w:t xml:space="preserve">provide </w:t>
      </w:r>
      <w:r w:rsidR="00686D5B" w:rsidRPr="007E0156">
        <w:t>an incomplete notification.</w:t>
      </w:r>
      <w:r w:rsidRPr="007E0156">
        <w:t xml:space="preserve"> Assessment and penalties for breaches </w:t>
      </w:r>
      <w:r w:rsidR="0043558E" w:rsidRPr="007E0156">
        <w:t xml:space="preserve">of the </w:t>
      </w:r>
      <w:r w:rsidR="0094751F" w:rsidRPr="007E0156">
        <w:t xml:space="preserve">notification </w:t>
      </w:r>
      <w:r w:rsidRPr="007E0156">
        <w:t xml:space="preserve">requirements </w:t>
      </w:r>
      <w:r w:rsidR="006F3CC3" w:rsidRPr="007E0156">
        <w:t>are</w:t>
      </w:r>
      <w:r w:rsidRPr="007E0156">
        <w:t xml:space="preserve"> </w:t>
      </w:r>
      <w:r w:rsidR="00CB7E8C" w:rsidRPr="007E0156">
        <w:t>discussed</w:t>
      </w:r>
      <w:r w:rsidRPr="007E0156">
        <w:t xml:space="preserve"> in </w:t>
      </w:r>
      <w:hyperlink w:anchor="_Managing_Compliance" w:history="1">
        <w:r w:rsidR="006756E5" w:rsidRPr="001664B7">
          <w:rPr>
            <w:rStyle w:val="Hyperlink"/>
          </w:rPr>
          <w:t>Section 8</w:t>
        </w:r>
      </w:hyperlink>
      <w:r w:rsidR="00F15A13">
        <w:t>.</w:t>
      </w:r>
    </w:p>
    <w:p w14:paraId="348F5EFC" w14:textId="77777777" w:rsidR="00A156FC" w:rsidRPr="00C26D4D" w:rsidRDefault="00A156FC" w:rsidP="00A156FC">
      <w:pPr>
        <w:ind w:left="360"/>
        <w:rPr>
          <w:b/>
          <w:bCs/>
          <w:i/>
          <w:iCs/>
          <w:u w:val="single"/>
        </w:rPr>
      </w:pPr>
      <w:r w:rsidRPr="002B210A">
        <w:rPr>
          <w:b/>
          <w:bCs/>
          <w:i/>
          <w:iCs/>
          <w:u w:val="single"/>
        </w:rPr>
        <w:t>Concurrent medicine shortage reports to the Therapeutic Goods Administration</w:t>
      </w:r>
      <w:r>
        <w:rPr>
          <w:b/>
          <w:bCs/>
          <w:i/>
          <w:iCs/>
          <w:u w:val="single"/>
        </w:rPr>
        <w:t xml:space="preserve"> (TGA)</w:t>
      </w:r>
    </w:p>
    <w:p w14:paraId="41CF5021" w14:textId="422F6F9F" w:rsidR="00AD6AE2" w:rsidRPr="007E0156" w:rsidRDefault="00A156FC" w:rsidP="00FE7FAF">
      <w:pPr>
        <w:ind w:left="360"/>
        <w:jc w:val="both"/>
      </w:pPr>
      <w:r w:rsidRPr="00EA6859">
        <w:t>If a</w:t>
      </w:r>
      <w:r w:rsidR="00DD4778">
        <w:t>n</w:t>
      </w:r>
      <w:r w:rsidRPr="00EA6859">
        <w:t xml:space="preserve"> RP has simultaneously reported a medicine shortage to the T</w:t>
      </w:r>
      <w:r>
        <w:t>GA</w:t>
      </w:r>
      <w:r w:rsidRPr="00EA6859">
        <w:t>, the RP may provide a copy of that report and refer to it for additional information</w:t>
      </w:r>
      <w:r>
        <w:t>. However, the RP</w:t>
      </w:r>
      <w:r w:rsidRPr="00EA6859">
        <w:t xml:space="preserve"> must</w:t>
      </w:r>
      <w:r>
        <w:t xml:space="preserve"> still</w:t>
      </w:r>
      <w:r w:rsidRPr="00EA6859">
        <w:t xml:space="preserve"> complete basic notification information</w:t>
      </w:r>
      <w:r>
        <w:t xml:space="preserve"> in Part 1 of the notification</w:t>
      </w:r>
      <w:r w:rsidRPr="00EA6859">
        <w:t xml:space="preserve">. </w:t>
      </w:r>
      <w:r w:rsidR="00284BB6" w:rsidRPr="007E0156">
        <w:t xml:space="preserve">Where the RP provides a notification to the </w:t>
      </w:r>
      <w:r w:rsidR="00301AB1">
        <w:t>d</w:t>
      </w:r>
      <w:r w:rsidR="00284BB6" w:rsidRPr="007E0156">
        <w:t>epartment, the RP remains responsible for separately complying with any notification requirements to the TGA, and compliance with the TGA’s regulatory requirements.</w:t>
      </w:r>
    </w:p>
    <w:p w14:paraId="00643121" w14:textId="77777777" w:rsidR="00A156FC" w:rsidRPr="00EA6859" w:rsidRDefault="0094751F" w:rsidP="00A156FC">
      <w:pPr>
        <w:ind w:left="360"/>
        <w:jc w:val="both"/>
      </w:pPr>
      <w:r w:rsidRPr="00F15A13">
        <w:t xml:space="preserve">The originals of any documents which are provided as supporting evidence for a notification or relied upon in providing a notification, must be kept for two years from when the notification is made. </w:t>
      </w:r>
      <w:r w:rsidR="00A156FC" w:rsidRPr="00EA6859">
        <w:t>The RP must also keep all methodologies, detailed transactional records, analyses and any other documents relating to the notification for two years from when the notification is made.</w:t>
      </w:r>
    </w:p>
    <w:p w14:paraId="6455F6FB" w14:textId="13D76950" w:rsidR="00AF34A3" w:rsidRPr="007E0156" w:rsidRDefault="00A156FC" w:rsidP="00AF34A3">
      <w:pPr>
        <w:ind w:left="360"/>
        <w:jc w:val="both"/>
      </w:pPr>
      <w:r w:rsidRPr="00C26D4D">
        <w:t>Information provided by a</w:t>
      </w:r>
      <w:r>
        <w:t>n</w:t>
      </w:r>
      <w:r w:rsidR="00AF34A3" w:rsidRPr="00F15A13">
        <w:t xml:space="preserve"> RP under s99AEKD(1) or s99AEKD(2)</w:t>
      </w:r>
      <w:r w:rsidR="00404559" w:rsidRPr="00F15A13">
        <w:t xml:space="preserve"> may be disclosed to the TGA</w:t>
      </w:r>
      <w:r w:rsidR="00AF34A3" w:rsidRPr="00F15A13">
        <w:t xml:space="preserve">. Sharing of this information with the TGA (which, while operating independently is part of the </w:t>
      </w:r>
      <w:r w:rsidR="00301AB1">
        <w:t>d</w:t>
      </w:r>
      <w:r w:rsidR="00AF34A3" w:rsidRPr="00F15A13">
        <w:t xml:space="preserve">epartment), will assist in the proactive management of potential shortages of medicines by the </w:t>
      </w:r>
      <w:r w:rsidR="00301AB1">
        <w:t>d</w:t>
      </w:r>
      <w:r w:rsidR="00AF34A3" w:rsidRPr="00F15A13">
        <w:t>epartment and the TGA, and will assist in assessment of policies and procedures</w:t>
      </w:r>
      <w:r w:rsidR="00AF34A3" w:rsidRPr="007E0156">
        <w:t>.</w:t>
      </w:r>
    </w:p>
    <w:p w14:paraId="44879D90" w14:textId="77777777" w:rsidR="00A156FC" w:rsidRPr="00C26D4D" w:rsidRDefault="00A156FC" w:rsidP="00A156FC">
      <w:pPr>
        <w:ind w:left="360"/>
        <w:jc w:val="both"/>
        <w:rPr>
          <w:b/>
          <w:bCs/>
          <w:i/>
          <w:iCs/>
          <w:u w:val="single"/>
        </w:rPr>
      </w:pPr>
      <w:bookmarkStart w:id="102" w:name="_Ref107505621"/>
      <w:r>
        <w:rPr>
          <w:b/>
          <w:bCs/>
          <w:i/>
          <w:iCs/>
          <w:u w:val="single"/>
        </w:rPr>
        <w:t>Other uses of notification data</w:t>
      </w:r>
    </w:p>
    <w:p w14:paraId="21B48384" w14:textId="403606F7" w:rsidR="00A156FC" w:rsidRDefault="00A156FC" w:rsidP="00A156FC">
      <w:pPr>
        <w:ind w:left="360"/>
        <w:jc w:val="both"/>
      </w:pPr>
      <w:r w:rsidRPr="00EA6859">
        <w:t xml:space="preserve">The </w:t>
      </w:r>
      <w:r w:rsidR="00301AB1">
        <w:t>d</w:t>
      </w:r>
      <w:r w:rsidRPr="00EA6859">
        <w:t>epartment may use notification</w:t>
      </w:r>
      <w:r>
        <w:t xml:space="preserve"> data</w:t>
      </w:r>
      <w:r w:rsidRPr="00EA6859">
        <w:t xml:space="preserve"> for other purposes, including for policy evaluation purposes. Where the </w:t>
      </w:r>
      <w:r w:rsidR="00301AB1">
        <w:t>d</w:t>
      </w:r>
      <w:r w:rsidRPr="00EA6859">
        <w:t xml:space="preserve">epartment uses a notification for such other purposes that involves sharing with third parties (for example peak bodies), the </w:t>
      </w:r>
      <w:r w:rsidR="00301AB1">
        <w:t>d</w:t>
      </w:r>
      <w:r w:rsidRPr="00EA6859">
        <w:t>epartment will remove all identifying information from the notification before doing so or comply with the requirements in the Act if a notification is to be shared with a third party without redaction.</w:t>
      </w:r>
    </w:p>
    <w:p w14:paraId="25262F81" w14:textId="77777777" w:rsidR="00F126FC" w:rsidRPr="00EA6859" w:rsidRDefault="00F126FC" w:rsidP="00F126FC">
      <w:pPr>
        <w:ind w:left="360"/>
        <w:jc w:val="both"/>
        <w:sectPr w:rsidR="00F126FC" w:rsidRPr="00EA6859" w:rsidSect="00F82449">
          <w:pgSz w:w="12240" w:h="15840"/>
          <w:pgMar w:top="1440" w:right="1440" w:bottom="1440" w:left="1440" w:header="720" w:footer="720" w:gutter="0"/>
          <w:cols w:space="720"/>
          <w:docGrid w:linePitch="360"/>
        </w:sectPr>
      </w:pPr>
      <w:r w:rsidRPr="00EA6859">
        <w:t>.</w:t>
      </w:r>
    </w:p>
    <w:p w14:paraId="0DC1B8DF" w14:textId="7AC126ED" w:rsidR="002236DA" w:rsidRPr="003444A6" w:rsidRDefault="002236DA" w:rsidP="003444A6">
      <w:pPr>
        <w:pStyle w:val="Heading4"/>
      </w:pPr>
      <w:bookmarkStart w:id="103" w:name="_Exhibit_15:_Best"/>
      <w:bookmarkStart w:id="104" w:name="_Ref200547414"/>
      <w:bookmarkEnd w:id="102"/>
      <w:bookmarkEnd w:id="103"/>
      <w:r w:rsidRPr="003444A6">
        <w:lastRenderedPageBreak/>
        <w:t xml:space="preserve">Exhibit </w:t>
      </w:r>
      <w:fldSimple w:instr=" SEQ Exhibit \* ARABIC ">
        <w:r w:rsidR="008A2A42">
          <w:rPr>
            <w:noProof/>
          </w:rPr>
          <w:t>15</w:t>
        </w:r>
      </w:fldSimple>
      <w:bookmarkEnd w:id="104"/>
      <w:r w:rsidRPr="003444A6">
        <w:t>: Best practice includes preventative, reporting and mitigation actions before and during a breach</w:t>
      </w:r>
    </w:p>
    <w:p w14:paraId="403DE8B6" w14:textId="09107E1F" w:rsidR="00C24CC2" w:rsidRPr="007E0156" w:rsidRDefault="004D158B" w:rsidP="0092401F">
      <w:r w:rsidRPr="007E0156">
        <w:rPr>
          <w:noProof/>
        </w:rPr>
        <w:drawing>
          <wp:inline distT="0" distB="0" distL="0" distR="0" wp14:anchorId="2B1BAA38" wp14:editId="2CEB838C">
            <wp:extent cx="8229600" cy="4537075"/>
            <wp:effectExtent l="0" t="0" r="0" b="0"/>
            <wp:docPr id="3" name="Picture 3" descr="Table titled – Best practice includes preventative, reporting and mitigation actions. Table consists of bullet point lists of actions to be taken during Time periods described as “Ongoing basis”; “Stockholding breach likely”; “Stockholding breach occurs.” Actions are grouped into Preventative actions; Reporting actions; and Mitigating actions.&#10;Column Heading Ongoing basis has Preventative actions:&#10;• Monitor all elements of supply chain including production lines, warehousing, freight and customs.&#10;• Manage supply to tightly align with demand cycles.&#10;• Efficiently troubleshoot disruptions to maintain supply.&#10;• Prospective procuring of freight space for Australian stock.&#10;• Forecast demand of pharmaceuticals; track actual demand and adjust forecasts as necessary.&#10;Column Heading Ongoing basis has Reporting actions:&#10;• Maintain and audit own data on stockholding volumes.&#10;• File required disclosures.&#10;Column Heading Ongoing basis has Mitigating actions:&#10;• Ensure supply volume maintains required buffer above the minimum stockholding requirement to absorb disruptions.&#10;Column Heading Stockholding breach likely has Preventative actions:&#10;• Maintain and monitor data to generate warning of upcoming breach.&#10;• Take remedial actions to secure supply chain and production capacity in order to avoid actual breach.&#10;• Take actions to fast-track supply chain – e.g. air freight.&#10;• Source supply of medicines that meet the minimum stockholding requirement by sourcing further supply from within own supply chain or sourcing short term contract manufacturing onshore.&#10;• Source alternative supply of medicines that do not meet the minimum stockholding requirement by sourcing substitute brands from own portfolio or purchasing excess supply from another RP.&#10;Column Heading Stockholding breach likely has Reporting actions:&#10;• Notify Minister of likely breach as soon as possible.&#10;• Outline a full and complete report of causative factors and other reasons for likely breach.&#10;Column Heading Stockholding breach likely has Mitigating actions:&#10;• Undertake investigations to understand cause of likely breach.&#10;• Directly address causative factors to limit breach and ensure no repeat cases.&#10;Column Heading Stockholding breach occurs has Preventative actions:&#10;• Comply with any investigation or non-compliance activity from Department of Health.&#10;• Undertake investigations to understand cause of breach.&#10;• Directly address causative factors to ensure no repeat cases.&#10;Column Heading Stockholding breach occurs has Reporting actions:&#10;• Notify Minister of actual breach as soon as practicable.&#10;• Outline a full and complete report of causative factors and other reasons for likely breach.&#10;Column Heading Stockholding breach occurs has Mitigating actions:&#10;• Take remedial actions to secure supply chain and production capacity in order to avoid actual breach.&#10;• Take actions to fast-track supply chain, e.g., air freight.&#10;• Source supply of medicines that meet the minimum stockholding requirement by sourcing further supply from within supply chain or sourcing short term contract manufacturing onshore.&#10;• Source alternative supply of medicines that do not meet minimum stockholding requirement by sourcing substitute brands from own portfolio or purchasing excess supply from another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 titled – Best practice includes preventative, reporting and mitigation actions. Table consists of bullet point lists of actions to be taken during Time periods described as “Ongoing basis”; “Stockholding breach likely”; “Stockholding breach occurs.” Actions are grouped into Preventative actions; Reporting actions; and Mitigating actions.&#10;Column Heading Ongoing basis has Preventative actions:&#10;• Monitor all elements of supply chain including production lines, warehousing, freight and customs.&#10;• Manage supply to tightly align with demand cycles.&#10;• Efficiently troubleshoot disruptions to maintain supply.&#10;• Prospective procuring of freight space for Australian stock.&#10;• Forecast demand of pharmaceuticals; track actual demand and adjust forecasts as necessary.&#10;Column Heading Ongoing basis has Reporting actions:&#10;• Maintain and audit own data on stockholding volumes.&#10;• File required disclosures.&#10;Column Heading Ongoing basis has Mitigating actions:&#10;• Ensure supply volume maintains required buffer above the minimum stockholding requirement to absorb disruptions.&#10;Column Heading Stockholding breach likely has Preventative actions:&#10;• Maintain and monitor data to generate warning of upcoming breach.&#10;• Take remedial actions to secure supply chain and production capacity in order to avoid actual breach.&#10;• Take actions to fast-track supply chain – e.g. air freight.&#10;• Source supply of medicines that meet the minimum stockholding requirement by sourcing further supply from within own supply chain or sourcing short term contract manufacturing onshore.&#10;• Source alternative supply of medicines that do not meet the minimum stockholding requirement by sourcing substitute brands from own portfolio or purchasing excess supply from another RP.&#10;Column Heading Stockholding breach likely has Reporting actions:&#10;• Notify Minister of likely breach as soon as possible.&#10;• Outline a full and complete report of causative factors and other reasons for likely breach.&#10;Column Heading Stockholding breach likely has Mitigating actions:&#10;• Undertake investigations to understand cause of likely breach.&#10;• Directly address causative factors to limit breach and ensure no repeat cases.&#10;Column Heading Stockholding breach occurs has Preventative actions:&#10;• Comply with any investigation or non-compliance activity from Department of Health.&#10;• Undertake investigations to understand cause of breach.&#10;• Directly address causative factors to ensure no repeat cases.&#10;Column Heading Stockholding breach occurs has Reporting actions:&#10;• Notify Minister of actual breach as soon as practicable.&#10;• Outline a full and complete report of causative factors and other reasons for likely breach.&#10;Column Heading Stockholding breach occurs has Mitigating actions:&#10;• Take remedial actions to secure supply chain and production capacity in order to avoid actual breach.&#10;• Take actions to fast-track supply chain, e.g., air freight.&#10;• Source supply of medicines that meet the minimum stockholding requirement by sourcing further supply from within supply chain or sourcing short term contract manufacturing onshore.&#10;• Source alternative supply of medicines that do not meet minimum stockholding requirement by sourcing substitute brands from own portfolio or purchasing excess supply from another RP."/>
                    <pic:cNvPicPr/>
                  </pic:nvPicPr>
                  <pic:blipFill>
                    <a:blip r:embed="rId57"/>
                    <a:stretch>
                      <a:fillRect/>
                    </a:stretch>
                  </pic:blipFill>
                  <pic:spPr>
                    <a:xfrm>
                      <a:off x="0" y="0"/>
                      <a:ext cx="8229600" cy="4537075"/>
                    </a:xfrm>
                    <a:prstGeom prst="rect">
                      <a:avLst/>
                    </a:prstGeom>
                  </pic:spPr>
                </pic:pic>
              </a:graphicData>
            </a:graphic>
          </wp:inline>
        </w:drawing>
      </w:r>
    </w:p>
    <w:p w14:paraId="228BC9C8" w14:textId="6265D3AF" w:rsidR="004D158B" w:rsidRPr="007E0156" w:rsidRDefault="004D158B" w:rsidP="0092401F">
      <w:pPr>
        <w:sectPr w:rsidR="004D158B" w:rsidRPr="007E0156" w:rsidSect="00F82449">
          <w:pgSz w:w="15840" w:h="12240" w:orient="landscape"/>
          <w:pgMar w:top="1440" w:right="1440" w:bottom="1440" w:left="1440" w:header="720" w:footer="720" w:gutter="0"/>
          <w:cols w:space="720"/>
          <w:docGrid w:linePitch="360"/>
        </w:sectPr>
      </w:pPr>
    </w:p>
    <w:p w14:paraId="26A5166C" w14:textId="77777777" w:rsidR="00F126FC" w:rsidRPr="00C26D4D" w:rsidRDefault="00F126FC" w:rsidP="00F126FC">
      <w:pPr>
        <w:pStyle w:val="Heading1"/>
      </w:pPr>
      <w:bookmarkStart w:id="105" w:name="_Managing_Compliance"/>
      <w:bookmarkStart w:id="106" w:name="_Toc205482105"/>
      <w:bookmarkEnd w:id="105"/>
      <w:r w:rsidRPr="00C26D4D">
        <w:lastRenderedPageBreak/>
        <w:t>Managing Compliance</w:t>
      </w:r>
      <w:bookmarkEnd w:id="106"/>
    </w:p>
    <w:p w14:paraId="3E5DEA17" w14:textId="46570D55" w:rsidR="004F0A02" w:rsidRPr="007E0156" w:rsidRDefault="009C7DD3" w:rsidP="00FE7FAF">
      <w:pPr>
        <w:jc w:val="both"/>
      </w:pPr>
      <w:bookmarkStart w:id="107" w:name="_Management_of_breaches"/>
      <w:bookmarkEnd w:id="107"/>
      <w:r w:rsidRPr="007E0156">
        <w:t xml:space="preserve">This </w:t>
      </w:r>
      <w:r w:rsidR="00BF4D78" w:rsidRPr="007E0156">
        <w:t>Section</w:t>
      </w:r>
      <w:r w:rsidRPr="007E0156">
        <w:t xml:space="preserve"> discusses</w:t>
      </w:r>
      <w:r w:rsidR="00453099" w:rsidRPr="007E0156">
        <w:t xml:space="preserve"> three breaches </w:t>
      </w:r>
      <w:r w:rsidR="0043558E" w:rsidRPr="007E0156">
        <w:t xml:space="preserve">of </w:t>
      </w:r>
      <w:r w:rsidR="00E21BF5" w:rsidRPr="007E0156">
        <w:t>the Act</w:t>
      </w:r>
      <w:r w:rsidR="004F0A02" w:rsidRPr="007E0156">
        <w:t>:</w:t>
      </w:r>
    </w:p>
    <w:p w14:paraId="10DC5E3F" w14:textId="77777777" w:rsidR="00743F36" w:rsidRPr="007E0156" w:rsidRDefault="004A5636" w:rsidP="005A2644">
      <w:pPr>
        <w:numPr>
          <w:ilvl w:val="0"/>
          <w:numId w:val="20"/>
        </w:numPr>
        <w:jc w:val="both"/>
      </w:pPr>
      <w:r w:rsidRPr="007E0156">
        <w:t xml:space="preserve">Breach of minimum </w:t>
      </w:r>
      <w:r w:rsidR="004F0A02" w:rsidRPr="007E0156">
        <w:t xml:space="preserve">stockholding </w:t>
      </w:r>
      <w:r w:rsidR="00284DA7" w:rsidRPr="007E0156">
        <w:t>requirements</w:t>
      </w:r>
      <w:r w:rsidR="00016B18" w:rsidRPr="007E0156">
        <w:t xml:space="preserve"> (s99AEK</w:t>
      </w:r>
      <w:r w:rsidR="00470450" w:rsidRPr="007E0156">
        <w:t>E(1)</w:t>
      </w:r>
      <w:r w:rsidR="00016B18" w:rsidRPr="007E0156">
        <w:t>)</w:t>
      </w:r>
      <w:r w:rsidR="00743F36" w:rsidRPr="007E0156">
        <w:t>;</w:t>
      </w:r>
    </w:p>
    <w:p w14:paraId="4308DD39" w14:textId="3803CEA1" w:rsidR="004F0A02" w:rsidRPr="007E0156" w:rsidRDefault="00743F36" w:rsidP="005A2644">
      <w:pPr>
        <w:numPr>
          <w:ilvl w:val="0"/>
          <w:numId w:val="20"/>
        </w:numPr>
        <w:jc w:val="both"/>
      </w:pPr>
      <w:r w:rsidRPr="007E0156">
        <w:t>Breach of requirement to notify the Minister of an actual or likely breach (s99AEKD(3)); and</w:t>
      </w:r>
    </w:p>
    <w:p w14:paraId="47B5FB7E" w14:textId="4DBEA4E4" w:rsidR="00743F36" w:rsidRPr="007E0156" w:rsidRDefault="00743F36" w:rsidP="005A2644">
      <w:pPr>
        <w:numPr>
          <w:ilvl w:val="0"/>
          <w:numId w:val="20"/>
        </w:numPr>
        <w:jc w:val="both"/>
      </w:pPr>
      <w:r w:rsidRPr="007E0156">
        <w:t>Breach of the stockholding disclosure requirements (s99AEKF(3))</w:t>
      </w:r>
      <w:r w:rsidR="0069789F" w:rsidRPr="007E0156">
        <w:t>.</w:t>
      </w:r>
    </w:p>
    <w:p w14:paraId="2FD580C4" w14:textId="7698F58A" w:rsidR="00050CEF" w:rsidRPr="007E0156" w:rsidRDefault="00470450" w:rsidP="004F7FD0">
      <w:pPr>
        <w:jc w:val="both"/>
      </w:pPr>
      <w:r w:rsidRPr="007E0156">
        <w:t xml:space="preserve">Criminal penalties may apply for breach of </w:t>
      </w:r>
      <w:r w:rsidR="0043558E" w:rsidRPr="007E0156">
        <w:t xml:space="preserve">the notification requirements </w:t>
      </w:r>
      <w:r w:rsidR="00F126FC">
        <w:t>or</w:t>
      </w:r>
      <w:r w:rsidRPr="007E0156">
        <w:t xml:space="preserve"> stockholding disclosure requirements.</w:t>
      </w:r>
    </w:p>
    <w:p w14:paraId="63B2B7EA" w14:textId="57560D8D" w:rsidR="000A2F88" w:rsidRPr="007E0156" w:rsidRDefault="00A766BC" w:rsidP="00FE7FAF">
      <w:pPr>
        <w:jc w:val="both"/>
      </w:pPr>
      <w:r w:rsidRPr="007E0156">
        <w:t xml:space="preserve">In the event of </w:t>
      </w:r>
      <w:r w:rsidR="00470450" w:rsidRPr="007E0156">
        <w:t>a breach of the minimum stockholding requirement</w:t>
      </w:r>
      <w:r w:rsidR="00BD61D4" w:rsidRPr="007E0156">
        <w:t>,</w:t>
      </w:r>
      <w:r w:rsidRPr="007E0156">
        <w:t xml:space="preserve"> the Minister may assess </w:t>
      </w:r>
      <w:r w:rsidR="00885EB5" w:rsidRPr="007E0156">
        <w:t>the</w:t>
      </w:r>
      <w:r w:rsidRPr="007E0156">
        <w:t xml:space="preserve"> breach and </w:t>
      </w:r>
      <w:r w:rsidR="0043558E" w:rsidRPr="007E0156">
        <w:t xml:space="preserve">take such </w:t>
      </w:r>
      <w:r w:rsidRPr="007E0156">
        <w:t>action</w:t>
      </w:r>
      <w:r w:rsidR="00885EB5" w:rsidRPr="007E0156">
        <w:t>(</w:t>
      </w:r>
      <w:r w:rsidRPr="007E0156">
        <w:t>s</w:t>
      </w:r>
      <w:r w:rsidR="00885EB5" w:rsidRPr="007E0156">
        <w:t xml:space="preserve">) as they consider </w:t>
      </w:r>
      <w:r w:rsidR="00470450" w:rsidRPr="007E0156">
        <w:t>appropriate</w:t>
      </w:r>
      <w:r w:rsidR="00885EB5" w:rsidRPr="007E0156">
        <w:t>.</w:t>
      </w:r>
    </w:p>
    <w:p w14:paraId="56256FAD" w14:textId="47C502EB" w:rsidR="009F266D" w:rsidRPr="007E0156" w:rsidRDefault="00016B18" w:rsidP="00FE7FAF">
      <w:pPr>
        <w:jc w:val="both"/>
      </w:pPr>
      <w:r w:rsidRPr="007E0156">
        <w:t xml:space="preserve">This </w:t>
      </w:r>
      <w:r w:rsidR="00BF4D78" w:rsidRPr="007E0156">
        <w:t>Section</w:t>
      </w:r>
      <w:r w:rsidRPr="007E0156">
        <w:t xml:space="preserve"> </w:t>
      </w:r>
      <w:r w:rsidR="00470450" w:rsidRPr="007E0156">
        <w:t xml:space="preserve">provides recommendations for actions that </w:t>
      </w:r>
      <w:r w:rsidR="0043558E" w:rsidRPr="007E0156">
        <w:t>RPs</w:t>
      </w:r>
      <w:r w:rsidR="008E68F2" w:rsidRPr="007E0156">
        <w:t xml:space="preserve"> may take to avoid these breaches</w:t>
      </w:r>
      <w:r w:rsidR="00470450" w:rsidRPr="007E0156">
        <w:t xml:space="preserve">, and outlines the </w:t>
      </w:r>
      <w:r w:rsidR="0030410B" w:rsidRPr="007E0156">
        <w:t xml:space="preserve">factors </w:t>
      </w:r>
      <w:r w:rsidR="00A766BC" w:rsidRPr="007E0156">
        <w:t xml:space="preserve">considered when assessing </w:t>
      </w:r>
      <w:r w:rsidR="003053F8" w:rsidRPr="007E0156">
        <w:t>each breach</w:t>
      </w:r>
      <w:r w:rsidR="00567AC0" w:rsidRPr="007E0156">
        <w:t>, the types of evidence that may be considered</w:t>
      </w:r>
      <w:r w:rsidR="003053F8" w:rsidRPr="007E0156">
        <w:t xml:space="preserve"> and </w:t>
      </w:r>
      <w:r w:rsidR="0030410B" w:rsidRPr="007E0156">
        <w:t xml:space="preserve">the </w:t>
      </w:r>
      <w:r w:rsidR="00CC5C04" w:rsidRPr="007E0156">
        <w:t>actions</w:t>
      </w:r>
      <w:r w:rsidR="0030410B" w:rsidRPr="007E0156">
        <w:t xml:space="preserve"> available to the Minister</w:t>
      </w:r>
      <w:r w:rsidR="00470450" w:rsidRPr="007E0156">
        <w:t xml:space="preserve"> in the event of a breach of the minimum stockholding requirement.</w:t>
      </w:r>
    </w:p>
    <w:p w14:paraId="3F023F7C" w14:textId="77777777" w:rsidR="00F126FC" w:rsidRPr="007A785F" w:rsidRDefault="00F126FC" w:rsidP="00F126FC">
      <w:pPr>
        <w:pStyle w:val="Heading2"/>
        <w:jc w:val="both"/>
      </w:pPr>
      <w:bookmarkStart w:id="108" w:name="_Toc205482106"/>
      <w:r w:rsidRPr="00C26D4D">
        <w:t>Department approach to non-compliance</w:t>
      </w:r>
      <w:bookmarkEnd w:id="108"/>
    </w:p>
    <w:p w14:paraId="544A5389" w14:textId="4EBC4C93" w:rsidR="00F126FC" w:rsidRPr="00EA6859" w:rsidRDefault="00F126FC" w:rsidP="00F126FC">
      <w:pPr>
        <w:jc w:val="both"/>
      </w:pPr>
      <w:r w:rsidRPr="00EA6859">
        <w:t xml:space="preserve">The </w:t>
      </w:r>
      <w:r w:rsidR="009E653E">
        <w:t>d</w:t>
      </w:r>
      <w:r w:rsidRPr="00EA6859">
        <w:t xml:space="preserve">epartment is guided by best practice principles to </w:t>
      </w:r>
      <w:r>
        <w:t xml:space="preserve">assess and </w:t>
      </w:r>
      <w:r w:rsidRPr="00EA6859">
        <w:t xml:space="preserve">manage instances of non-compliance with the MSR. These shape the design and approach of the </w:t>
      </w:r>
      <w:r w:rsidR="00301AB1">
        <w:t>d</w:t>
      </w:r>
      <w:r w:rsidRPr="00EA6859">
        <w:t xml:space="preserve">epartment’s </w:t>
      </w:r>
      <w:r>
        <w:t>compliance</w:t>
      </w:r>
      <w:r w:rsidRPr="00EA6859">
        <w:t xml:space="preserve"> framework that:</w:t>
      </w:r>
    </w:p>
    <w:p w14:paraId="4273804B" w14:textId="50B542B0" w:rsidR="00F126FC" w:rsidRPr="00EA6859" w:rsidRDefault="00F126FC" w:rsidP="00FE1647">
      <w:pPr>
        <w:numPr>
          <w:ilvl w:val="0"/>
          <w:numId w:val="47"/>
        </w:numPr>
        <w:ind w:hanging="218"/>
        <w:jc w:val="both"/>
      </w:pPr>
      <w:r w:rsidRPr="00EA6859">
        <w:rPr>
          <w:b/>
        </w:rPr>
        <w:t>Is underpinned by data and information:</w:t>
      </w:r>
      <w:r w:rsidRPr="00EA6859">
        <w:t xml:space="preserve"> the </w:t>
      </w:r>
      <w:r w:rsidR="00301AB1">
        <w:t>d</w:t>
      </w:r>
      <w:r w:rsidRPr="00EA6859">
        <w:t xml:space="preserve">epartment monitors notifications and disclosure of information provided by </w:t>
      </w:r>
      <w:r>
        <w:t>RPs</w:t>
      </w:r>
      <w:r w:rsidRPr="00EA6859">
        <w:t xml:space="preserve"> to understand the reasons for breaches, including the issues and sector conditions that may be impacting specific compliance by specific </w:t>
      </w:r>
      <w:r>
        <w:t>RPs</w:t>
      </w:r>
      <w:r w:rsidRPr="00EA6859">
        <w:t xml:space="preserve"> and overall industry compliance. The </w:t>
      </w:r>
      <w:r w:rsidR="00301AB1">
        <w:t>d</w:t>
      </w:r>
      <w:r w:rsidRPr="00EA6859">
        <w:t xml:space="preserve">epartment will assess each breach and critically evaluate the information and evidence which is put forward by the </w:t>
      </w:r>
      <w:r>
        <w:t>RP</w:t>
      </w:r>
      <w:r w:rsidRPr="00EA6859">
        <w:t xml:space="preserve">. The </w:t>
      </w:r>
      <w:r w:rsidR="00301AB1">
        <w:t>d</w:t>
      </w:r>
      <w:r w:rsidRPr="00EA6859">
        <w:t>epartment may consider other sources of information and data that could be relevant (for example, TGA medicine shortages information).</w:t>
      </w:r>
    </w:p>
    <w:p w14:paraId="640D88B2" w14:textId="13635EF4" w:rsidR="00F126FC" w:rsidRPr="00EA6859" w:rsidRDefault="00F126FC" w:rsidP="00FE1647">
      <w:pPr>
        <w:numPr>
          <w:ilvl w:val="0"/>
          <w:numId w:val="47"/>
        </w:numPr>
        <w:ind w:hanging="218"/>
        <w:jc w:val="both"/>
      </w:pPr>
      <w:r w:rsidRPr="00EA6859">
        <w:rPr>
          <w:b/>
        </w:rPr>
        <w:t>Considers risks:</w:t>
      </w:r>
      <w:r w:rsidRPr="00EA6859">
        <w:t xml:space="preserve"> the </w:t>
      </w:r>
      <w:r w:rsidR="00301AB1">
        <w:t>d</w:t>
      </w:r>
      <w:r w:rsidRPr="00EA6859">
        <w:t>epartment undertakes a risk</w:t>
      </w:r>
      <w:r>
        <w:t>-</w:t>
      </w:r>
      <w:r w:rsidRPr="00EA6859">
        <w:t>based approach to managing non-compliance. Where alleged or apparent non-compliance occurs, compliance or enforcement action is intended to be proportionate to the assessed risk of the non-compliance to the regulatory framework.</w:t>
      </w:r>
    </w:p>
    <w:p w14:paraId="7642117E" w14:textId="3953D91D" w:rsidR="00F126FC" w:rsidRPr="00EA6859" w:rsidRDefault="00F126FC" w:rsidP="00F126FC">
      <w:pPr>
        <w:jc w:val="both"/>
      </w:pPr>
      <w:r w:rsidRPr="00EA6859">
        <w:t>Before the Minister can exercise their powers in response to a breach by a</w:t>
      </w:r>
      <w:r w:rsidR="00DD4778">
        <w:t>n</w:t>
      </w:r>
      <w:r w:rsidRPr="00EA6859">
        <w:t xml:space="preserve"> </w:t>
      </w:r>
      <w:r>
        <w:t>RP</w:t>
      </w:r>
      <w:r w:rsidRPr="00EA6859">
        <w:t xml:space="preserve">, the Minister must consider the matters outlined in </w:t>
      </w:r>
      <w:hyperlink w:anchor="_Failure_to_comply" w:history="1">
        <w:r w:rsidRPr="00EA6859">
          <w:rPr>
            <w:color w:val="005EB8" w:themeColor="text2"/>
            <w:u w:val="single"/>
          </w:rPr>
          <w:t>Section 8.2 b)</w:t>
        </w:r>
      </w:hyperlink>
      <w:r w:rsidRPr="00EA6859">
        <w:t xml:space="preserve"> and may also consider the matters in </w:t>
      </w:r>
      <w:hyperlink w:anchor="_Failure_to_comply" w:history="1">
        <w:r w:rsidRPr="00EA6859">
          <w:rPr>
            <w:color w:val="005EB8" w:themeColor="text2"/>
            <w:u w:val="single"/>
          </w:rPr>
          <w:t>Section 8.2 c).</w:t>
        </w:r>
      </w:hyperlink>
    </w:p>
    <w:p w14:paraId="5FA60023" w14:textId="526272F9" w:rsidR="00F126FC" w:rsidRPr="00EA6859" w:rsidRDefault="00F126FC" w:rsidP="00F126FC">
      <w:pPr>
        <w:jc w:val="both"/>
      </w:pPr>
      <w:r w:rsidRPr="00EA6859">
        <w:t xml:space="preserve">The </w:t>
      </w:r>
      <w:r w:rsidR="00301AB1">
        <w:t>d</w:t>
      </w:r>
      <w:r w:rsidRPr="00EA6859">
        <w:t>epartment may consider non-compliance more serious and higher risk where:</w:t>
      </w:r>
    </w:p>
    <w:p w14:paraId="7E60382C" w14:textId="77777777" w:rsidR="00F126FC" w:rsidRPr="00EA6859" w:rsidRDefault="00F126FC" w:rsidP="005A2644">
      <w:pPr>
        <w:numPr>
          <w:ilvl w:val="0"/>
          <w:numId w:val="37"/>
        </w:numPr>
        <w:jc w:val="both"/>
      </w:pPr>
      <w:r w:rsidRPr="00EA6859">
        <w:t>the conduct is unreasonable, deliberate, negligent, brazen and/or clearly not in line with the intention of the legislation;</w:t>
      </w:r>
    </w:p>
    <w:p w14:paraId="4C57DAAF" w14:textId="402D5A05" w:rsidR="00F126FC" w:rsidRPr="00EA6859" w:rsidRDefault="00F126FC" w:rsidP="005A2644">
      <w:pPr>
        <w:numPr>
          <w:ilvl w:val="0"/>
          <w:numId w:val="37"/>
        </w:numPr>
        <w:jc w:val="both"/>
      </w:pPr>
      <w:r w:rsidRPr="00EA6859">
        <w:t xml:space="preserve">the </w:t>
      </w:r>
      <w:r>
        <w:t>RP</w:t>
      </w:r>
      <w:r w:rsidRPr="00EA6859">
        <w:t xml:space="preserve"> maintains its opposed view to the </w:t>
      </w:r>
      <w:r w:rsidR="009E653E">
        <w:t>d</w:t>
      </w:r>
      <w:r w:rsidRPr="00EA6859">
        <w:t>epartment’s position on the non</w:t>
      </w:r>
      <w:r>
        <w:noBreakHyphen/>
      </w:r>
      <w:r w:rsidRPr="00EA6859">
        <w:t>compliance, and a voluntary improvement in regulatory/compliance behaviour or compliance with regulatory obligations cannot be practicably reached;</w:t>
      </w:r>
    </w:p>
    <w:p w14:paraId="616D3839" w14:textId="77777777" w:rsidR="00F126FC" w:rsidRPr="00EA6859" w:rsidRDefault="00F126FC" w:rsidP="005A2644">
      <w:pPr>
        <w:numPr>
          <w:ilvl w:val="0"/>
          <w:numId w:val="37"/>
        </w:numPr>
        <w:jc w:val="both"/>
      </w:pPr>
      <w:r w:rsidRPr="00EA6859">
        <w:t xml:space="preserve">there is reason to be concerned about future non-compliant behaviour; or the </w:t>
      </w:r>
      <w:r>
        <w:t>RP</w:t>
      </w:r>
      <w:r w:rsidRPr="00EA6859">
        <w:t xml:space="preserve"> fails to demonstrate a willingness to achieve complete compliance.</w:t>
      </w:r>
    </w:p>
    <w:p w14:paraId="3612DBF1" w14:textId="4057BEFD" w:rsidR="00F126FC" w:rsidRPr="00EA6859" w:rsidRDefault="00F126FC" w:rsidP="00F126FC">
      <w:pPr>
        <w:jc w:val="both"/>
      </w:pPr>
      <w:r w:rsidRPr="00EA6859">
        <w:t xml:space="preserve">Where the assessed risk is higher, the </w:t>
      </w:r>
      <w:r w:rsidR="00301AB1">
        <w:t>d</w:t>
      </w:r>
      <w:r w:rsidRPr="00EA6859">
        <w:t xml:space="preserve">epartment may request that the </w:t>
      </w:r>
      <w:r>
        <w:t xml:space="preserve">RP </w:t>
      </w:r>
      <w:r w:rsidRPr="00EA6859">
        <w:t xml:space="preserve">undertake specific additional stockholding reporting or provide evidence of mitigation actions – such as a corrective action plan/plan for </w:t>
      </w:r>
      <w:r w:rsidRPr="00EA6859">
        <w:lastRenderedPageBreak/>
        <w:t>continuous improvement. Where corrective action</w:t>
      </w:r>
      <w:r w:rsidR="00923419">
        <w:t>(</w:t>
      </w:r>
      <w:r w:rsidRPr="00EA6859">
        <w:t>s</w:t>
      </w:r>
      <w:r w:rsidR="00923419">
        <w:t>)</w:t>
      </w:r>
      <w:r w:rsidRPr="00EA6859">
        <w:t xml:space="preserve"> fail to address the identified non-compliance, and does not mitigate the risk</w:t>
      </w:r>
      <w:r w:rsidR="00923419">
        <w:t>(</w:t>
      </w:r>
      <w:r w:rsidRPr="00EA6859">
        <w:t>s</w:t>
      </w:r>
      <w:r w:rsidR="00923419">
        <w:t>)</w:t>
      </w:r>
      <w:r w:rsidRPr="00EA6859">
        <w:t xml:space="preserve">, the </w:t>
      </w:r>
      <w:r w:rsidR="00301AB1">
        <w:t>d</w:t>
      </w:r>
      <w:r w:rsidRPr="00EA6859">
        <w:t xml:space="preserve">epartment may issue warning letters to the </w:t>
      </w:r>
      <w:r>
        <w:t>RP</w:t>
      </w:r>
      <w:r w:rsidRPr="00EA6859">
        <w:t xml:space="preserve">. Severe or unmitigated risks may result in </w:t>
      </w:r>
      <w:r>
        <w:t xml:space="preserve">the </w:t>
      </w:r>
      <w:r w:rsidR="009E653E">
        <w:t>d</w:t>
      </w:r>
      <w:r>
        <w:t>epartment recommending for the</w:t>
      </w:r>
      <w:r w:rsidRPr="00EA6859">
        <w:t xml:space="preserve"> Minister</w:t>
      </w:r>
      <w:r>
        <w:t xml:space="preserve"> to use their</w:t>
      </w:r>
      <w:r w:rsidRPr="00EA6859">
        <w:t xml:space="preserve"> powers, including de-listing or refusing to list the</w:t>
      </w:r>
      <w:r>
        <w:t xml:space="preserve"> RP’</w:t>
      </w:r>
      <w:r w:rsidRPr="00EA6859">
        <w:t>s brand(s) on the PBS.</w:t>
      </w:r>
    </w:p>
    <w:p w14:paraId="0C8C8259" w14:textId="37E72A52" w:rsidR="00F126FC" w:rsidRPr="00EA6859" w:rsidRDefault="00F126FC" w:rsidP="00FE1647">
      <w:pPr>
        <w:numPr>
          <w:ilvl w:val="0"/>
          <w:numId w:val="47"/>
        </w:numPr>
        <w:ind w:hanging="218"/>
        <w:jc w:val="both"/>
      </w:pPr>
      <w:r w:rsidRPr="00EA6859">
        <w:rPr>
          <w:b/>
        </w:rPr>
        <w:t xml:space="preserve">Engages with </w:t>
      </w:r>
      <w:r>
        <w:rPr>
          <w:b/>
          <w:bCs/>
        </w:rPr>
        <w:t>RPs</w:t>
      </w:r>
      <w:r w:rsidRPr="00EA6859">
        <w:rPr>
          <w:b/>
          <w:bCs/>
        </w:rPr>
        <w:t xml:space="preserve"> and seeks to improve outcomes</w:t>
      </w:r>
      <w:r w:rsidRPr="00EA6859">
        <w:rPr>
          <w:b/>
        </w:rPr>
        <w:t>:</w:t>
      </w:r>
      <w:r w:rsidRPr="00EA6859">
        <w:t xml:space="preserve"> the </w:t>
      </w:r>
      <w:r w:rsidR="009E653E">
        <w:t>d</w:t>
      </w:r>
      <w:r w:rsidRPr="00EA6859">
        <w:t xml:space="preserve">epartment engages with </w:t>
      </w:r>
      <w:r>
        <w:t>RPs</w:t>
      </w:r>
      <w:r w:rsidRPr="00EA6859">
        <w:t xml:space="preserve"> to build compliance, fostering communication and collaboration to support </w:t>
      </w:r>
      <w:r w:rsidR="00964B10">
        <w:t>I</w:t>
      </w:r>
      <w:r w:rsidR="00964B10" w:rsidRPr="00EA6859">
        <w:t>ndustry’s</w:t>
      </w:r>
      <w:r w:rsidRPr="00EA6859">
        <w:t xml:space="preserve"> understanding of the expectations, consequences and best practices that can be adopted to drive high rates of compliance. Upon completing a risk assessment of the </w:t>
      </w:r>
      <w:r>
        <w:t>RP</w:t>
      </w:r>
      <w:r w:rsidRPr="00EA6859">
        <w:t xml:space="preserve">’s non-compliance, the </w:t>
      </w:r>
      <w:r w:rsidR="009E653E">
        <w:t>d</w:t>
      </w:r>
      <w:r w:rsidRPr="00EA6859">
        <w:t xml:space="preserve">epartment may engage with the </w:t>
      </w:r>
      <w:r>
        <w:t>RP</w:t>
      </w:r>
      <w:r w:rsidRPr="00EA6859">
        <w:t xml:space="preserve"> to manage the non-compliance. This process involves the </w:t>
      </w:r>
      <w:r>
        <w:t>RP</w:t>
      </w:r>
      <w:r w:rsidRPr="00EA6859">
        <w:t xml:space="preserve"> directly and will firstly seek to establish the facts. It is underpinned by the principle of returning the R</w:t>
      </w:r>
      <w:r>
        <w:t>P</w:t>
      </w:r>
      <w:r w:rsidRPr="00EA6859">
        <w:t xml:space="preserve"> to compliance.</w:t>
      </w:r>
    </w:p>
    <w:p w14:paraId="05EA4A80" w14:textId="61C77C55" w:rsidR="00952D83" w:rsidRPr="007E0156" w:rsidRDefault="00952D83" w:rsidP="00FE7FAF">
      <w:pPr>
        <w:pStyle w:val="Heading2"/>
        <w:jc w:val="both"/>
      </w:pPr>
      <w:bookmarkStart w:id="109" w:name="_Toc205482107"/>
      <w:r w:rsidRPr="007E0156">
        <w:t>Suggested actions for Responsible Persons to achieve compliance with legislation</w:t>
      </w:r>
      <w:bookmarkEnd w:id="109"/>
    </w:p>
    <w:p w14:paraId="0C480EEE" w14:textId="16437FD5" w:rsidR="00470450" w:rsidRPr="007E0156" w:rsidRDefault="002236DA" w:rsidP="00FE7FAF">
      <w:pPr>
        <w:jc w:val="both"/>
      </w:pPr>
      <w:r w:rsidRPr="002236DA">
        <w:rPr>
          <w:color w:val="005EB8"/>
          <w:u w:val="single"/>
        </w:rPr>
        <w:fldChar w:fldCharType="begin"/>
      </w:r>
      <w:r w:rsidRPr="002236DA">
        <w:rPr>
          <w:color w:val="005EB8"/>
          <w:u w:val="single"/>
        </w:rPr>
        <w:instrText xml:space="preserve"> REF _Ref200547414 \h </w:instrText>
      </w:r>
      <w:r w:rsidRPr="002236DA">
        <w:rPr>
          <w:color w:val="005EB8"/>
          <w:u w:val="single"/>
        </w:rPr>
      </w:r>
      <w:r w:rsidRPr="002236DA">
        <w:rPr>
          <w:color w:val="005EB8"/>
          <w:u w:val="single"/>
        </w:rPr>
        <w:fldChar w:fldCharType="separate"/>
      </w:r>
      <w:r w:rsidR="008A2A42" w:rsidRPr="003444A6">
        <w:t xml:space="preserve">Exhibit </w:t>
      </w:r>
      <w:r w:rsidR="008A2A42">
        <w:rPr>
          <w:noProof/>
        </w:rPr>
        <w:t>15</w:t>
      </w:r>
      <w:r w:rsidRPr="002236DA">
        <w:rPr>
          <w:color w:val="005EB8"/>
          <w:u w:val="single"/>
        </w:rPr>
        <w:fldChar w:fldCharType="end"/>
      </w:r>
      <w:r w:rsidR="00E91F99" w:rsidRPr="007E0156">
        <w:t xml:space="preserve"> </w:t>
      </w:r>
      <w:r w:rsidR="00952D83" w:rsidRPr="007E0156">
        <w:t xml:space="preserve">outlines the actions </w:t>
      </w:r>
      <w:r w:rsidR="0043558E" w:rsidRPr="007E0156">
        <w:t>RPs</w:t>
      </w:r>
      <w:r w:rsidR="00952D83" w:rsidRPr="007E0156">
        <w:t xml:space="preserve"> could take to </w:t>
      </w:r>
      <w:r w:rsidR="0043558E" w:rsidRPr="007E0156">
        <w:t xml:space="preserve">ensure they </w:t>
      </w:r>
      <w:r w:rsidR="00952D83" w:rsidRPr="007E0156">
        <w:t>meet</w:t>
      </w:r>
      <w:r w:rsidR="00470450" w:rsidRPr="007E0156">
        <w:t xml:space="preserve"> their obligations under the </w:t>
      </w:r>
      <w:r w:rsidR="00952D83" w:rsidRPr="007E0156">
        <w:t>Act. They are intended as a guide only</w:t>
      </w:r>
      <w:r w:rsidR="0043558E" w:rsidRPr="007E0156">
        <w:t>,</w:t>
      </w:r>
      <w:r w:rsidR="00B57F41">
        <w:t xml:space="preserve"> and</w:t>
      </w:r>
      <w:r w:rsidR="00952D83" w:rsidRPr="007E0156">
        <w:t xml:space="preserve"> do not contain all aspects of good business practice</w:t>
      </w:r>
      <w:r w:rsidR="00364A74" w:rsidRPr="007E0156">
        <w:t>.</w:t>
      </w:r>
      <w:r w:rsidR="00A570E4" w:rsidRPr="007E0156">
        <w:t xml:space="preserve"> </w:t>
      </w:r>
      <w:r w:rsidR="00364A74" w:rsidRPr="007E0156">
        <w:t>T</w:t>
      </w:r>
      <w:r w:rsidR="0043558E" w:rsidRPr="007E0156">
        <w:t>he</w:t>
      </w:r>
      <w:r w:rsidR="00A570E4" w:rsidRPr="007E0156">
        <w:t xml:space="preserve"> </w:t>
      </w:r>
      <w:r w:rsidR="00952D83" w:rsidRPr="007E0156">
        <w:t xml:space="preserve">actions suggested </w:t>
      </w:r>
      <w:r w:rsidR="00364A74" w:rsidRPr="007E0156">
        <w:t xml:space="preserve">do not </w:t>
      </w:r>
      <w:r w:rsidR="00952D83" w:rsidRPr="007E0156">
        <w:t>guarantee adherence to the legislated requirements.</w:t>
      </w:r>
      <w:r w:rsidR="00A570E4" w:rsidRPr="007E0156">
        <w:t xml:space="preserve"> </w:t>
      </w:r>
      <w:r w:rsidR="00952D83" w:rsidRPr="007E0156">
        <w:t xml:space="preserve">Suggested actions are shown for </w:t>
      </w:r>
      <w:r w:rsidR="00470450" w:rsidRPr="007E0156">
        <w:t xml:space="preserve">application on </w:t>
      </w:r>
      <w:r w:rsidR="00952D83" w:rsidRPr="007E0156">
        <w:t xml:space="preserve">an ongoing basis, when a stockholding breach is likely and when a stockholding breach occurs. </w:t>
      </w:r>
      <w:r w:rsidR="00470450" w:rsidRPr="007E0156">
        <w:t xml:space="preserve">It is expected that </w:t>
      </w:r>
      <w:r w:rsidR="0043558E" w:rsidRPr="007E0156">
        <w:t>RPs</w:t>
      </w:r>
      <w:r w:rsidR="00470450" w:rsidRPr="007E0156">
        <w:t xml:space="preserve"> will assess and monitor their supply chain and stock levels </w:t>
      </w:r>
      <w:r w:rsidR="0043558E" w:rsidRPr="007E0156">
        <w:t xml:space="preserve">on an ongoing basis </w:t>
      </w:r>
      <w:r w:rsidR="00470450" w:rsidRPr="007E0156">
        <w:t>to allow them to meet their minimum stockholding requirements, receive timely notification of any supply chain disruptions, and take prompt and effective action to respond to supply disruptions if they occur.</w:t>
      </w:r>
    </w:p>
    <w:p w14:paraId="2FC90636" w14:textId="4FBF2AA1" w:rsidR="00470450" w:rsidRPr="007E0156" w:rsidRDefault="00132DCC" w:rsidP="00FE7FAF">
      <w:pPr>
        <w:jc w:val="both"/>
      </w:pPr>
      <w:r w:rsidRPr="007E0156">
        <w:t xml:space="preserve">In the event of a likely breach, </w:t>
      </w:r>
      <w:r w:rsidR="00F126FC" w:rsidRPr="00EA6859">
        <w:t>a</w:t>
      </w:r>
      <w:r w:rsidR="00F126FC">
        <w:t>n</w:t>
      </w:r>
      <w:r w:rsidRPr="007E0156">
        <w:t xml:space="preserve"> </w:t>
      </w:r>
      <w:r w:rsidR="0043558E" w:rsidRPr="007E0156">
        <w:t>RP</w:t>
      </w:r>
      <w:r w:rsidRPr="007E0156">
        <w:t xml:space="preserve"> is </w:t>
      </w:r>
      <w:r w:rsidR="0043558E" w:rsidRPr="007E0156">
        <w:t xml:space="preserve">required </w:t>
      </w:r>
      <w:r w:rsidRPr="007E0156">
        <w:t xml:space="preserve">to provide notification </w:t>
      </w:r>
      <w:r w:rsidRPr="00F15A13">
        <w:rPr>
          <w:i/>
        </w:rPr>
        <w:t xml:space="preserve">as soon as </w:t>
      </w:r>
      <w:r w:rsidR="0043558E" w:rsidRPr="00F15A13">
        <w:rPr>
          <w:i/>
        </w:rPr>
        <w:t>practicable</w:t>
      </w:r>
      <w:r w:rsidR="0043558E" w:rsidRPr="007E0156">
        <w:t xml:space="preserve"> </w:t>
      </w:r>
      <w:r w:rsidRPr="007E0156">
        <w:t xml:space="preserve">in </w:t>
      </w:r>
      <w:r w:rsidR="0043558E" w:rsidRPr="007E0156">
        <w:t xml:space="preserve">accordance </w:t>
      </w:r>
      <w:r w:rsidRPr="007E0156">
        <w:t>with s99AEKD(</w:t>
      </w:r>
      <w:r w:rsidR="0043558E" w:rsidRPr="007E0156">
        <w:t>1</w:t>
      </w:r>
      <w:r w:rsidRPr="007E0156">
        <w:t xml:space="preserve">), </w:t>
      </w:r>
      <w:r w:rsidR="0043558E" w:rsidRPr="007E0156">
        <w:t xml:space="preserve">is expected to </w:t>
      </w:r>
      <w:r w:rsidRPr="007E0156">
        <w:t>take action to assess the causative factors for the likely breach</w:t>
      </w:r>
      <w:r w:rsidR="00F126FC">
        <w:t>,</w:t>
      </w:r>
      <w:r w:rsidRPr="007E0156">
        <w:t xml:space="preserve"> and respond appropriately</w:t>
      </w:r>
      <w:r w:rsidR="00050CEF" w:rsidRPr="007E0156">
        <w:t xml:space="preserve">. This should include </w:t>
      </w:r>
      <w:r w:rsidRPr="007E0156">
        <w:t>addressing any causative factors which contribute to the risk of future breaches of the minimum stockholding requirement.</w:t>
      </w:r>
    </w:p>
    <w:p w14:paraId="614A9A01" w14:textId="3DCC41BD" w:rsidR="00E0787D" w:rsidRPr="007E0156" w:rsidRDefault="00132DCC" w:rsidP="00FE7FAF">
      <w:pPr>
        <w:jc w:val="both"/>
      </w:pPr>
      <w:r w:rsidRPr="007E0156">
        <w:t xml:space="preserve">The suggested actions in the event of a likely breach or an actual breach are </w:t>
      </w:r>
      <w:r w:rsidR="00050CEF" w:rsidRPr="007E0156">
        <w:t xml:space="preserve">also </w:t>
      </w:r>
      <w:r w:rsidR="00C94CF3" w:rsidRPr="007E0156">
        <w:t>expected to mitigate</w:t>
      </w:r>
      <w:r w:rsidRPr="007E0156">
        <w:t xml:space="preserve"> the impact of any breach</w:t>
      </w:r>
      <w:r w:rsidR="00050CEF" w:rsidRPr="007E0156">
        <w:t xml:space="preserve"> (</w:t>
      </w:r>
      <w:r w:rsidR="0043558E" w:rsidRPr="007E0156">
        <w:t>i.e</w:t>
      </w:r>
      <w:r w:rsidR="00F126FC" w:rsidRPr="00EA6859">
        <w:t>.</w:t>
      </w:r>
      <w:r w:rsidR="0043558E" w:rsidRPr="007E0156">
        <w:t xml:space="preserve"> the </w:t>
      </w:r>
      <w:r w:rsidR="00050CEF" w:rsidRPr="007E0156">
        <w:t>duration of any out-of-stock and/or period of reduced supply)</w:t>
      </w:r>
      <w:r w:rsidRPr="007E0156">
        <w:t>.</w:t>
      </w:r>
    </w:p>
    <w:p w14:paraId="203A47D1" w14:textId="487A05D3" w:rsidR="00E0787D" w:rsidRPr="007E0156" w:rsidRDefault="00F126FC" w:rsidP="00E0787D">
      <w:pPr>
        <w:pStyle w:val="Heading2"/>
        <w:jc w:val="both"/>
      </w:pPr>
      <w:bookmarkStart w:id="110" w:name="_Failure_to_comply"/>
      <w:bookmarkStart w:id="111" w:name="_Toc205482108"/>
      <w:bookmarkEnd w:id="110"/>
      <w:r w:rsidRPr="00C26D4D">
        <w:t>Breaches of</w:t>
      </w:r>
      <w:r w:rsidR="00E0787D" w:rsidRPr="007E0156">
        <w:t xml:space="preserve"> the minimum stockholding requirement</w:t>
      </w:r>
      <w:bookmarkEnd w:id="111"/>
    </w:p>
    <w:p w14:paraId="137ACBB9" w14:textId="54DC761A" w:rsidR="00F126FC" w:rsidRDefault="00E0787D" w:rsidP="00F126FC">
      <w:pPr>
        <w:jc w:val="both"/>
      </w:pPr>
      <w:r w:rsidRPr="007E0156">
        <w:t xml:space="preserve">If </w:t>
      </w:r>
      <w:r w:rsidR="00F126FC" w:rsidRPr="00EA6859">
        <w:t>a</w:t>
      </w:r>
      <w:r w:rsidR="00F126FC">
        <w:t>n</w:t>
      </w:r>
      <w:r w:rsidRPr="007E0156">
        <w:t xml:space="preserve"> RP breaches the minimum stockholding requirement, s99AEKE of the Act applies. Breaches to the minimum stockholding requirement may be assessed and managed by the Minister. RPs may be </w:t>
      </w:r>
      <w:r w:rsidR="007D3381" w:rsidRPr="007E0156">
        <w:t xml:space="preserve">asked </w:t>
      </w:r>
      <w:r w:rsidRPr="007E0156">
        <w:t>to</w:t>
      </w:r>
      <w:r w:rsidR="00F126FC">
        <w:t>:</w:t>
      </w:r>
    </w:p>
    <w:p w14:paraId="63EF8A2C" w14:textId="29DD4CF9" w:rsidR="00F126FC" w:rsidRDefault="00E0787D" w:rsidP="005A2644">
      <w:pPr>
        <w:numPr>
          <w:ilvl w:val="0"/>
          <w:numId w:val="39"/>
        </w:numPr>
        <w:jc w:val="both"/>
      </w:pPr>
      <w:r w:rsidRPr="007E0156">
        <w:t xml:space="preserve">comply with investigations </w:t>
      </w:r>
      <w:r w:rsidR="00F126FC">
        <w:t xml:space="preserve">undertaken by the </w:t>
      </w:r>
      <w:r w:rsidR="009E653E">
        <w:t>d</w:t>
      </w:r>
      <w:r w:rsidR="00F126FC">
        <w:t>epartment;</w:t>
      </w:r>
    </w:p>
    <w:p w14:paraId="4277CCA1" w14:textId="73AE8954" w:rsidR="00F126FC" w:rsidRDefault="00F126FC" w:rsidP="005A2644">
      <w:pPr>
        <w:numPr>
          <w:ilvl w:val="0"/>
          <w:numId w:val="39"/>
        </w:numPr>
        <w:jc w:val="both"/>
      </w:pPr>
      <w:r w:rsidRPr="00C26D4D">
        <w:t>address</w:t>
      </w:r>
      <w:r w:rsidR="007D3381" w:rsidRPr="007E0156">
        <w:t xml:space="preserve"> reasonable </w:t>
      </w:r>
      <w:r w:rsidR="00E0787D" w:rsidRPr="007E0156">
        <w:t xml:space="preserve">compliance actions </w:t>
      </w:r>
      <w:r>
        <w:t xml:space="preserve">imposed by the </w:t>
      </w:r>
      <w:r w:rsidR="009E653E">
        <w:t>d</w:t>
      </w:r>
      <w:r>
        <w:t>epartment (</w:t>
      </w:r>
      <w:r w:rsidR="007D3381" w:rsidRPr="007E0156">
        <w:t xml:space="preserve">designed </w:t>
      </w:r>
      <w:r w:rsidR="00A913FC" w:rsidRPr="007E0156">
        <w:t xml:space="preserve">to </w:t>
      </w:r>
      <w:r w:rsidR="00E0787D" w:rsidRPr="007E0156">
        <w:t>assist RPs to comply with regulation</w:t>
      </w:r>
      <w:r>
        <w:t>);</w:t>
      </w:r>
      <w:r w:rsidR="00E0787D" w:rsidRPr="007E0156">
        <w:t xml:space="preserve"> and</w:t>
      </w:r>
    </w:p>
    <w:p w14:paraId="76E1CF6D" w14:textId="2DE8ECEE" w:rsidR="00E0787D" w:rsidRPr="007E0156" w:rsidRDefault="00E0787D" w:rsidP="005A2644">
      <w:pPr>
        <w:numPr>
          <w:ilvl w:val="0"/>
          <w:numId w:val="39"/>
        </w:numPr>
        <w:jc w:val="both"/>
      </w:pPr>
      <w:r w:rsidRPr="007E0156">
        <w:t>support the maintenance of access to pharmaceutical stock for Australian consumers.</w:t>
      </w:r>
    </w:p>
    <w:p w14:paraId="4FDF72C5" w14:textId="52821639" w:rsidR="00E0787D" w:rsidRPr="007E0156" w:rsidRDefault="00E0787D" w:rsidP="00A94EBF">
      <w:pPr>
        <w:keepNext/>
        <w:jc w:val="both"/>
      </w:pPr>
      <w:r w:rsidRPr="007E0156">
        <w:t>This Section describes the factors the Minister must and may consider when assessing a breach and determining whether to exercise their powers under s99AEKE(2) of the Act. Guidance is provided on the types of information that a</w:t>
      </w:r>
      <w:r w:rsidR="009456FE">
        <w:t>n</w:t>
      </w:r>
      <w:r w:rsidRPr="007E0156">
        <w:t xml:space="preserve"> RP can provide, and which the </w:t>
      </w:r>
      <w:r w:rsidR="009E653E">
        <w:t>d</w:t>
      </w:r>
      <w:r w:rsidRPr="007E0156">
        <w:t xml:space="preserve">epartment or the Minister may request when assessing breaches of the minimum stockholding requirement. The Minister may also take into account </w:t>
      </w:r>
      <w:r w:rsidRPr="007E0156">
        <w:lastRenderedPageBreak/>
        <w:t xml:space="preserve">any other matter that they consider relevant. This guidance does not limit the Minister’s powers, </w:t>
      </w:r>
      <w:r w:rsidR="00B57F41">
        <w:t>n</w:t>
      </w:r>
      <w:r w:rsidRPr="007E0156">
        <w:t>or fetter the Minister’s discretion, under the Act.</w:t>
      </w:r>
    </w:p>
    <w:p w14:paraId="4A42D83E" w14:textId="0F39B490" w:rsidR="00E0787D" w:rsidRPr="007E0156" w:rsidDel="00071018" w:rsidRDefault="00E0787D" w:rsidP="005A2644">
      <w:pPr>
        <w:keepNext/>
        <w:numPr>
          <w:ilvl w:val="0"/>
          <w:numId w:val="31"/>
        </w:numPr>
        <w:ind w:left="714" w:hanging="357"/>
        <w:jc w:val="both"/>
        <w:rPr>
          <w:b/>
          <w:bCs/>
        </w:rPr>
      </w:pPr>
      <w:r w:rsidRPr="007E0156">
        <w:rPr>
          <w:b/>
          <w:bCs/>
        </w:rPr>
        <w:t>Minister’s powers under s99AEKE</w:t>
      </w:r>
    </w:p>
    <w:p w14:paraId="016E92DA" w14:textId="6926E237" w:rsidR="00E0787D" w:rsidRPr="007E0156" w:rsidRDefault="00E0787D" w:rsidP="00E0787D">
      <w:pPr>
        <w:ind w:left="360"/>
        <w:jc w:val="both"/>
      </w:pPr>
      <w:r w:rsidRPr="007E0156">
        <w:t>If a</w:t>
      </w:r>
      <w:r w:rsidR="009456FE">
        <w:t>n</w:t>
      </w:r>
      <w:r w:rsidRPr="007E0156">
        <w:t xml:space="preserve"> RP breaches the minimum stockholding requirement, the Minister may:</w:t>
      </w:r>
    </w:p>
    <w:p w14:paraId="0A045DE3" w14:textId="267174BA" w:rsidR="00E0787D" w:rsidRPr="007E0156" w:rsidRDefault="00625DC8" w:rsidP="005A2644">
      <w:pPr>
        <w:numPr>
          <w:ilvl w:val="3"/>
          <w:numId w:val="5"/>
        </w:numPr>
        <w:ind w:left="1080"/>
        <w:jc w:val="both"/>
      </w:pPr>
      <w:r>
        <w:t>D</w:t>
      </w:r>
      <w:r w:rsidR="00E0787D" w:rsidRPr="007E0156">
        <w:t>e-list from the PBS the brand(s) which do not comply with the minimum stockholding requirement (s99AEKE(2)(a)) and/or any other listed brands of the RP (s99AEKE(2)(b)); and/or</w:t>
      </w:r>
    </w:p>
    <w:p w14:paraId="649272C7" w14:textId="0091C848" w:rsidR="00E0787D" w:rsidRPr="007E0156" w:rsidRDefault="00625DC8" w:rsidP="005A2644">
      <w:pPr>
        <w:numPr>
          <w:ilvl w:val="3"/>
          <w:numId w:val="5"/>
        </w:numPr>
        <w:ind w:left="1080"/>
        <w:jc w:val="both"/>
      </w:pPr>
      <w:r>
        <w:t>R</w:t>
      </w:r>
      <w:r w:rsidR="00E0787D" w:rsidRPr="007E0156">
        <w:t>efuse to list new brands of the same Responsible Person (s99AEKE(2)(c)); and/or</w:t>
      </w:r>
    </w:p>
    <w:p w14:paraId="614A332A" w14:textId="376B4B48" w:rsidR="00E0787D" w:rsidRPr="007E0156" w:rsidRDefault="00625DC8" w:rsidP="005A2644">
      <w:pPr>
        <w:numPr>
          <w:ilvl w:val="3"/>
          <w:numId w:val="5"/>
        </w:numPr>
        <w:ind w:left="1080"/>
        <w:jc w:val="both"/>
      </w:pPr>
      <w:r>
        <w:t>I</w:t>
      </w:r>
      <w:r w:rsidR="00E0787D" w:rsidRPr="007E0156">
        <w:t>f the only listed brand would be a brand of the RP, refuse to make declarations or determinations under ss85(2), (3) or (5) in relation to the pharmaceutical item (s99AEKE(2)(d)).</w:t>
      </w:r>
    </w:p>
    <w:p w14:paraId="7699C5F2" w14:textId="7EDC3011" w:rsidR="00E0787D" w:rsidRPr="007E0156" w:rsidRDefault="00E0787D" w:rsidP="005A2644">
      <w:pPr>
        <w:numPr>
          <w:ilvl w:val="0"/>
          <w:numId w:val="31"/>
        </w:numPr>
        <w:jc w:val="both"/>
        <w:rPr>
          <w:b/>
          <w:bCs/>
        </w:rPr>
      </w:pPr>
      <w:r w:rsidRPr="007E0156">
        <w:rPr>
          <w:b/>
          <w:bCs/>
        </w:rPr>
        <w:t xml:space="preserve">Factors the Minister </w:t>
      </w:r>
      <w:r w:rsidRPr="007E0156">
        <w:rPr>
          <w:b/>
          <w:bCs/>
          <w:i/>
        </w:rPr>
        <w:t>must</w:t>
      </w:r>
      <w:r w:rsidRPr="007E0156">
        <w:rPr>
          <w:b/>
          <w:bCs/>
        </w:rPr>
        <w:t xml:space="preserve"> consider</w:t>
      </w:r>
    </w:p>
    <w:p w14:paraId="044BC024" w14:textId="77777777" w:rsidR="00E0787D" w:rsidRPr="007E0156" w:rsidRDefault="00E0787D" w:rsidP="00E0787D">
      <w:pPr>
        <w:ind w:left="360"/>
        <w:jc w:val="both"/>
      </w:pPr>
      <w:r w:rsidRPr="007E0156">
        <w:t>When assessing a breach of the minimum stockholding requirements and determining whether to exercise their powers under s99AEKE(2), the Minister must consider:</w:t>
      </w:r>
    </w:p>
    <w:p w14:paraId="6916D5DB" w14:textId="1FBB4ECD" w:rsidR="00E0787D" w:rsidRPr="007E0156" w:rsidRDefault="00625DC8" w:rsidP="005A2644">
      <w:pPr>
        <w:numPr>
          <w:ilvl w:val="3"/>
          <w:numId w:val="6"/>
        </w:numPr>
        <w:ind w:left="1080"/>
        <w:jc w:val="both"/>
      </w:pPr>
      <w:r>
        <w:t>T</w:t>
      </w:r>
      <w:r w:rsidR="00E0787D" w:rsidRPr="007E0156">
        <w:t>he RP’s reason for the breach and whether those reasons are, in the opinion of the Minister, reasonable;</w:t>
      </w:r>
    </w:p>
    <w:p w14:paraId="2C1715EA" w14:textId="50291CD4" w:rsidR="00E0787D" w:rsidRPr="007E0156" w:rsidRDefault="00625DC8" w:rsidP="005A2644">
      <w:pPr>
        <w:numPr>
          <w:ilvl w:val="3"/>
          <w:numId w:val="6"/>
        </w:numPr>
        <w:ind w:left="1080"/>
        <w:jc w:val="both"/>
      </w:pPr>
      <w:bookmarkStart w:id="112" w:name="_Hlk112946050"/>
      <w:r>
        <w:t>W</w:t>
      </w:r>
      <w:r w:rsidR="00E0787D" w:rsidRPr="007E0156">
        <w:t>hether, in the Minister’s opinion, the RP will consistently maintain adequate stock</w:t>
      </w:r>
      <w:r w:rsidR="00DF23AD" w:rsidRPr="0005043D">
        <w:rPr>
          <w:vertAlign w:val="superscript"/>
        </w:rPr>
        <w:footnoteReference w:id="24"/>
      </w:r>
      <w:r w:rsidR="00E0787D" w:rsidRPr="007E0156">
        <w:t xml:space="preserve"> of the brand in the future;</w:t>
      </w:r>
    </w:p>
    <w:bookmarkEnd w:id="112"/>
    <w:p w14:paraId="0CB0864E" w14:textId="49007743" w:rsidR="00E0787D" w:rsidRPr="007E0156" w:rsidRDefault="00625DC8" w:rsidP="005A2644">
      <w:pPr>
        <w:numPr>
          <w:ilvl w:val="3"/>
          <w:numId w:val="6"/>
        </w:numPr>
        <w:ind w:left="1080"/>
        <w:jc w:val="both"/>
      </w:pPr>
      <w:r>
        <w:t>W</w:t>
      </w:r>
      <w:r w:rsidR="00E0787D" w:rsidRPr="007E0156">
        <w:t>hether the RP has offered discounts or incentives in relation to sales of the brand;</w:t>
      </w:r>
    </w:p>
    <w:p w14:paraId="6B1D1F12" w14:textId="4CAE1FC7" w:rsidR="00E0787D" w:rsidRPr="007E0156" w:rsidRDefault="00625DC8" w:rsidP="005A2644">
      <w:pPr>
        <w:numPr>
          <w:ilvl w:val="3"/>
          <w:numId w:val="6"/>
        </w:numPr>
        <w:ind w:left="1080"/>
        <w:jc w:val="both"/>
      </w:pPr>
      <w:r>
        <w:t>W</w:t>
      </w:r>
      <w:r w:rsidR="00E0787D" w:rsidRPr="007E0156">
        <w:t>hether the RP has previously breached the minimum stockholding requirement</w:t>
      </w:r>
      <w:r w:rsidR="000A0161" w:rsidRPr="007E0156">
        <w:t xml:space="preserve"> in relation to any brands for which they are the RP</w:t>
      </w:r>
      <w:r w:rsidR="00E0787D" w:rsidRPr="007E0156">
        <w:t xml:space="preserve"> and if so, the reasons for the breach(es) and whether those reasons are, in the opinion of the Minister, reasonable;</w:t>
      </w:r>
    </w:p>
    <w:p w14:paraId="573DF358" w14:textId="3015CFA6" w:rsidR="00E0787D" w:rsidRPr="007E0156" w:rsidRDefault="00625DC8" w:rsidP="005A2644">
      <w:pPr>
        <w:numPr>
          <w:ilvl w:val="3"/>
          <w:numId w:val="6"/>
        </w:numPr>
        <w:ind w:left="1080"/>
        <w:jc w:val="both"/>
      </w:pPr>
      <w:r>
        <w:t>W</w:t>
      </w:r>
      <w:r w:rsidR="00E0787D" w:rsidRPr="007E0156">
        <w:t>hether the RPs for other brands of the same pharmaceutical item have breached the minimum stockholding requirements in relation to those other brands; and</w:t>
      </w:r>
    </w:p>
    <w:p w14:paraId="7EAD4FE8" w14:textId="5A365A11" w:rsidR="00E0787D" w:rsidRPr="007E0156" w:rsidRDefault="00625DC8" w:rsidP="005A2644">
      <w:pPr>
        <w:numPr>
          <w:ilvl w:val="3"/>
          <w:numId w:val="6"/>
        </w:numPr>
        <w:ind w:left="1080"/>
        <w:jc w:val="both"/>
      </w:pPr>
      <w:r>
        <w:t>A</w:t>
      </w:r>
      <w:r w:rsidR="00E0787D" w:rsidRPr="007E0156">
        <w:t>ny other matter the Minister thinks relevant.</w:t>
      </w:r>
    </w:p>
    <w:p w14:paraId="0908345B" w14:textId="00468B51" w:rsidR="00F126FC" w:rsidRPr="00EA6859" w:rsidRDefault="00F126FC" w:rsidP="00F126FC">
      <w:pPr>
        <w:jc w:val="both"/>
        <w:rPr>
          <w:b/>
          <w:bCs/>
        </w:rPr>
      </w:pPr>
      <w:r w:rsidRPr="00EA6859">
        <w:rPr>
          <w:b/>
          <w:bCs/>
        </w:rPr>
        <w:t>What constitutes a ‘reasonable’ reason (s99AEKE(</w:t>
      </w:r>
      <w:r w:rsidR="000D6095">
        <w:rPr>
          <w:b/>
          <w:bCs/>
        </w:rPr>
        <w:t>3</w:t>
      </w:r>
      <w:r w:rsidRPr="00EA6859">
        <w:rPr>
          <w:b/>
          <w:bCs/>
        </w:rPr>
        <w:t>)(</w:t>
      </w:r>
      <w:r w:rsidR="000D6095">
        <w:rPr>
          <w:b/>
          <w:bCs/>
        </w:rPr>
        <w:t>a</w:t>
      </w:r>
      <w:r w:rsidRPr="00EA6859">
        <w:rPr>
          <w:b/>
          <w:bCs/>
        </w:rPr>
        <w:t>)) for a breach?</w:t>
      </w:r>
    </w:p>
    <w:p w14:paraId="1ACD4314" w14:textId="77777777" w:rsidR="00F126FC" w:rsidRPr="00EA6859" w:rsidRDefault="00F126FC" w:rsidP="00F126FC">
      <w:pPr>
        <w:jc w:val="both"/>
      </w:pPr>
      <w:r w:rsidRPr="00EA6859">
        <w:t>It is expected that RPs will draw down on their stockholding</w:t>
      </w:r>
      <w:r>
        <w:t xml:space="preserve"> </w:t>
      </w:r>
      <w:r w:rsidRPr="00067196">
        <w:t>where this is necessary to maintain supply to patients following a significant supply disruption</w:t>
      </w:r>
      <w:r>
        <w:t xml:space="preserve">. </w:t>
      </w:r>
      <w:r w:rsidRPr="00EA6859">
        <w:t xml:space="preserve">Without limiting the discretion of the Minister under s99AEKE, reasons that </w:t>
      </w:r>
      <w:r w:rsidRPr="00EA6859">
        <w:rPr>
          <w:i/>
          <w:iCs/>
        </w:rPr>
        <w:t>may</w:t>
      </w:r>
      <w:r w:rsidRPr="00EA6859">
        <w:t xml:space="preserve"> be considered reasonable by the Minister include but are not limited to:</w:t>
      </w:r>
    </w:p>
    <w:p w14:paraId="4F931CB3" w14:textId="530DACF4" w:rsidR="00F126FC" w:rsidRPr="00EA6859" w:rsidRDefault="00625DC8" w:rsidP="005A2644">
      <w:pPr>
        <w:numPr>
          <w:ilvl w:val="0"/>
          <w:numId w:val="49"/>
        </w:numPr>
        <w:jc w:val="both"/>
      </w:pPr>
      <w:r>
        <w:t>S</w:t>
      </w:r>
      <w:r w:rsidR="00F126FC" w:rsidRPr="00EA6859">
        <w:t>ignificant manufacturing or quality issues such as a product recall</w:t>
      </w:r>
    </w:p>
    <w:p w14:paraId="59C0CEF9" w14:textId="746CC402" w:rsidR="00F126FC" w:rsidRPr="00EA6859" w:rsidRDefault="00625DC8" w:rsidP="005A2644">
      <w:pPr>
        <w:numPr>
          <w:ilvl w:val="0"/>
          <w:numId w:val="49"/>
        </w:numPr>
        <w:jc w:val="both"/>
      </w:pPr>
      <w:r>
        <w:t>S</w:t>
      </w:r>
      <w:r w:rsidR="00F126FC" w:rsidRPr="00EA6859">
        <w:t>ignificant supply chain disruptions such as an API or medicine shortage</w:t>
      </w:r>
    </w:p>
    <w:p w14:paraId="54D11F64" w14:textId="26A831E6" w:rsidR="00F126FC" w:rsidRDefault="00625DC8" w:rsidP="005A2644">
      <w:pPr>
        <w:numPr>
          <w:ilvl w:val="0"/>
          <w:numId w:val="49"/>
        </w:numPr>
        <w:jc w:val="both"/>
      </w:pPr>
      <w:r>
        <w:t>W</w:t>
      </w:r>
      <w:r w:rsidR="00F126FC" w:rsidRPr="00EA6859">
        <w:t>hether there has been a shortage of another medicine which has resulted in significant demand shift to the RP’s brand</w:t>
      </w:r>
      <w:r w:rsidR="0046463F">
        <w:t>.</w:t>
      </w:r>
    </w:p>
    <w:p w14:paraId="75AE1F9C" w14:textId="136CC265" w:rsidR="00F126FC" w:rsidRPr="00EA6859" w:rsidRDefault="00F126FC" w:rsidP="00F126FC">
      <w:pPr>
        <w:jc w:val="both"/>
      </w:pPr>
      <w:r>
        <w:lastRenderedPageBreak/>
        <w:t>A reason</w:t>
      </w:r>
      <w:r w:rsidR="000D6095">
        <w:t xml:space="preserve"> given for a breach</w:t>
      </w:r>
      <w:r>
        <w:t xml:space="preserve"> may be considered </w:t>
      </w:r>
      <w:r w:rsidR="000D6095">
        <w:t xml:space="preserve">less </w:t>
      </w:r>
      <w:r>
        <w:t>reasonable where it arises from circumstances that were within the discretion or control of the RP to impact</w:t>
      </w:r>
      <w:r w:rsidR="000D6095">
        <w:t>,</w:t>
      </w:r>
      <w:r>
        <w:t xml:space="preserve"> influence</w:t>
      </w:r>
      <w:r w:rsidR="000D6095">
        <w:t xml:space="preserve"> or mitigate,</w:t>
      </w:r>
      <w:r>
        <w:t xml:space="preserve"> and which the RP could be expected to have foreseen.</w:t>
      </w:r>
    </w:p>
    <w:p w14:paraId="59DF686C" w14:textId="77777777" w:rsidR="00E0787D" w:rsidRPr="007E0156" w:rsidRDefault="00E0787D" w:rsidP="005A2644">
      <w:pPr>
        <w:numPr>
          <w:ilvl w:val="0"/>
          <w:numId w:val="31"/>
        </w:numPr>
        <w:jc w:val="both"/>
        <w:rPr>
          <w:b/>
          <w:bCs/>
        </w:rPr>
      </w:pPr>
      <w:r w:rsidRPr="007E0156">
        <w:rPr>
          <w:b/>
        </w:rPr>
        <w:t>Factors</w:t>
      </w:r>
      <w:r w:rsidRPr="007E0156">
        <w:rPr>
          <w:b/>
          <w:bCs/>
        </w:rPr>
        <w:t xml:space="preserve"> the Minister </w:t>
      </w:r>
      <w:r w:rsidRPr="007E0156">
        <w:rPr>
          <w:b/>
          <w:bCs/>
          <w:i/>
        </w:rPr>
        <w:t>may</w:t>
      </w:r>
      <w:r w:rsidRPr="007E0156">
        <w:rPr>
          <w:b/>
          <w:bCs/>
        </w:rPr>
        <w:t xml:space="preserve"> consider:</w:t>
      </w:r>
    </w:p>
    <w:p w14:paraId="6AB5DBDC" w14:textId="69A5749C" w:rsidR="00E0787D" w:rsidRPr="007E0156" w:rsidRDefault="00E0787D" w:rsidP="00E0787D">
      <w:pPr>
        <w:ind w:left="360"/>
        <w:jc w:val="both"/>
      </w:pPr>
      <w:r w:rsidRPr="007E0156">
        <w:t>When assessing a breach of the minimum stockholding requirements, the Minister may consider:</w:t>
      </w:r>
    </w:p>
    <w:p w14:paraId="5DC084F3" w14:textId="2DFEC2AD" w:rsidR="00E0787D" w:rsidRPr="007E0156" w:rsidRDefault="00F00800" w:rsidP="005A2644">
      <w:pPr>
        <w:numPr>
          <w:ilvl w:val="3"/>
          <w:numId w:val="7"/>
        </w:numPr>
        <w:ind w:left="1080"/>
        <w:jc w:val="both"/>
      </w:pPr>
      <w:r>
        <w:t>W</w:t>
      </w:r>
      <w:r w:rsidR="00E0787D" w:rsidRPr="007E0156">
        <w:t>hether the RP has fully complied with the breach notification requirements under s99AEKD at the time of likely breach as well as when the breach occurred;</w:t>
      </w:r>
    </w:p>
    <w:p w14:paraId="3DB94C0C" w14:textId="2965D72C" w:rsidR="00E0787D" w:rsidRPr="007E0156" w:rsidRDefault="00F00800" w:rsidP="005A2644">
      <w:pPr>
        <w:numPr>
          <w:ilvl w:val="3"/>
          <w:numId w:val="7"/>
        </w:numPr>
        <w:ind w:left="1080"/>
        <w:jc w:val="both"/>
      </w:pPr>
      <w:r>
        <w:t>T</w:t>
      </w:r>
      <w:r w:rsidR="00E0787D" w:rsidRPr="007E0156">
        <w:t xml:space="preserve">he volume of stock below required </w:t>
      </w:r>
      <w:r w:rsidR="00A30A28" w:rsidRPr="007E0156">
        <w:t xml:space="preserve">minimum stockholding </w:t>
      </w:r>
      <w:r w:rsidR="00E0787D" w:rsidRPr="007E0156">
        <w:t>level;</w:t>
      </w:r>
    </w:p>
    <w:p w14:paraId="08A7462C" w14:textId="6B718651" w:rsidR="00E0787D" w:rsidRPr="007E0156" w:rsidRDefault="00F00800" w:rsidP="005A2644">
      <w:pPr>
        <w:numPr>
          <w:ilvl w:val="3"/>
          <w:numId w:val="7"/>
        </w:numPr>
        <w:ind w:left="1080"/>
        <w:jc w:val="both"/>
      </w:pPr>
      <w:r>
        <w:t>T</w:t>
      </w:r>
      <w:r w:rsidR="00E0787D" w:rsidRPr="007E0156">
        <w:t xml:space="preserve">he length of time the </w:t>
      </w:r>
      <w:r w:rsidR="00EB67DE">
        <w:t>RP</w:t>
      </w:r>
      <w:r w:rsidR="00E0787D" w:rsidRPr="007E0156">
        <w:t xml:space="preserve"> did not comply with the </w:t>
      </w:r>
      <w:r w:rsidR="00EB67DE">
        <w:t xml:space="preserve">brand’s </w:t>
      </w:r>
      <w:r w:rsidR="00E0787D" w:rsidRPr="007E0156">
        <w:t>minimum stockholding requirement;</w:t>
      </w:r>
    </w:p>
    <w:p w14:paraId="6D8EBDA5" w14:textId="0E1DB784" w:rsidR="00A2005B" w:rsidRPr="007E0156" w:rsidRDefault="00F00800" w:rsidP="005A2644">
      <w:pPr>
        <w:numPr>
          <w:ilvl w:val="3"/>
          <w:numId w:val="7"/>
        </w:numPr>
        <w:ind w:left="1080"/>
        <w:jc w:val="both"/>
      </w:pPr>
      <w:r>
        <w:t>T</w:t>
      </w:r>
      <w:r w:rsidR="00E0787D" w:rsidRPr="007E0156">
        <w:t>he number of different items from the RP’s portfolio involved in breach;</w:t>
      </w:r>
    </w:p>
    <w:p w14:paraId="143BC959" w14:textId="04C312DF" w:rsidR="00E0787D" w:rsidRPr="007E0156" w:rsidRDefault="00F00800" w:rsidP="005A2644">
      <w:pPr>
        <w:numPr>
          <w:ilvl w:val="3"/>
          <w:numId w:val="7"/>
        </w:numPr>
        <w:ind w:left="1080"/>
        <w:jc w:val="both"/>
      </w:pPr>
      <w:r>
        <w:t>W</w:t>
      </w:r>
      <w:r w:rsidR="00A97FDD" w:rsidRPr="007E0156">
        <w:t>hether there has been a shortage of another medicine which has resulted in significant demand shift to the RP’s brand (this includes but is not limited to medicine substitution through a Serious Scarcity Substitution Instrument (SSSI));</w:t>
      </w:r>
    </w:p>
    <w:p w14:paraId="428D4ADA" w14:textId="0182C3B3" w:rsidR="00F126FC" w:rsidRPr="00EA6859" w:rsidRDefault="00F00800" w:rsidP="005A2644">
      <w:pPr>
        <w:numPr>
          <w:ilvl w:val="3"/>
          <w:numId w:val="7"/>
        </w:numPr>
        <w:ind w:left="1080"/>
        <w:jc w:val="both"/>
      </w:pPr>
      <w:r>
        <w:t>W</w:t>
      </w:r>
      <w:r w:rsidR="00F126FC" w:rsidRPr="00EA6859">
        <w:t>hether there has been a loss of a significant supply contract for the RP;</w:t>
      </w:r>
    </w:p>
    <w:p w14:paraId="096B1A8F" w14:textId="0DBCC722" w:rsidR="00745770" w:rsidRDefault="00F00800" w:rsidP="005A2644">
      <w:pPr>
        <w:numPr>
          <w:ilvl w:val="3"/>
          <w:numId w:val="7"/>
        </w:numPr>
        <w:ind w:left="1080"/>
        <w:jc w:val="both"/>
      </w:pPr>
      <w:r>
        <w:t>A</w:t>
      </w:r>
      <w:r w:rsidR="00E0787D" w:rsidRPr="007E0156">
        <w:t>ny corrective actions taken by the RP to limit the impact of and/or resolve the breach</w:t>
      </w:r>
      <w:r w:rsidR="005F42AD">
        <w:t>;</w:t>
      </w:r>
    </w:p>
    <w:p w14:paraId="228856DB" w14:textId="37AA7073" w:rsidR="00382403" w:rsidRDefault="00F00800" w:rsidP="005A2644">
      <w:pPr>
        <w:numPr>
          <w:ilvl w:val="3"/>
          <w:numId w:val="7"/>
        </w:numPr>
        <w:ind w:left="1080"/>
        <w:jc w:val="both"/>
      </w:pPr>
      <w:r>
        <w:t>T</w:t>
      </w:r>
      <w:r w:rsidR="00745770" w:rsidRPr="00745770">
        <w:t xml:space="preserve">he volume of stock held by wholesalers or other customers of the RP, may be taken into account to determine whether there is sufficient stock in the whole of the supply chain to ensure adequate supply to patients while the RP takes all reasonable steps to replenish its own stockholdings; </w:t>
      </w:r>
      <w:r w:rsidR="005F42AD">
        <w:t>and</w:t>
      </w:r>
    </w:p>
    <w:p w14:paraId="18AD00B6" w14:textId="03D65571" w:rsidR="005F42AD" w:rsidRPr="007E0156" w:rsidRDefault="00F00800" w:rsidP="005A2644">
      <w:pPr>
        <w:numPr>
          <w:ilvl w:val="3"/>
          <w:numId w:val="7"/>
        </w:numPr>
        <w:ind w:left="1080"/>
        <w:jc w:val="both"/>
      </w:pPr>
      <w:bookmarkStart w:id="113" w:name="Significant_unexpected_orders"/>
      <w:r>
        <w:t>T</w:t>
      </w:r>
      <w:r w:rsidR="005F42AD" w:rsidRPr="005F42AD">
        <w:t>he impact of any significant unexpected order(s) by wholesalers or other customers of the RP on the RP’s stockholding, which were not foreseeable nor projected by the RP and which occurred inside the lead-time for the RP to obtain additional stock to maintain minimum stockholdings.</w:t>
      </w:r>
    </w:p>
    <w:bookmarkEnd w:id="113"/>
    <w:p w14:paraId="4FFEF958" w14:textId="3238E88B" w:rsidR="00E0787D" w:rsidRPr="007E0156" w:rsidRDefault="00E0787D" w:rsidP="005A2644">
      <w:pPr>
        <w:numPr>
          <w:ilvl w:val="0"/>
          <w:numId w:val="31"/>
        </w:numPr>
        <w:jc w:val="both"/>
        <w:rPr>
          <w:b/>
        </w:rPr>
      </w:pPr>
      <w:r w:rsidRPr="007E0156">
        <w:rPr>
          <w:b/>
        </w:rPr>
        <w:t>Evidence the Minister may consider</w:t>
      </w:r>
    </w:p>
    <w:p w14:paraId="0BEBD114" w14:textId="71E8F218" w:rsidR="00F126FC" w:rsidRDefault="00F126FC" w:rsidP="00F126FC">
      <w:pPr>
        <w:ind w:left="720"/>
        <w:jc w:val="both"/>
      </w:pPr>
      <w:r>
        <w:t xml:space="preserve">An initial notification from an RP may contain limited information, and the </w:t>
      </w:r>
      <w:r w:rsidR="009E653E">
        <w:t>d</w:t>
      </w:r>
      <w:r>
        <w:t xml:space="preserve">epartment will engage with the RP to highlight where further information is required. </w:t>
      </w:r>
      <w:r w:rsidR="00E0787D" w:rsidRPr="007E0156">
        <w:t>RPs should ensure that they provide a complete explanation</w:t>
      </w:r>
      <w:r w:rsidR="00260FE1" w:rsidRPr="007E0156">
        <w:t xml:space="preserve">, having regard </w:t>
      </w:r>
      <w:r w:rsidR="00E0787D" w:rsidRPr="007E0156">
        <w:t>to the factors the Minister must consider when assessing a breach and determining whether to exercise their power under s99AEKE(2).</w:t>
      </w:r>
    </w:p>
    <w:p w14:paraId="03B075E5" w14:textId="23EEAC44" w:rsidR="00E0787D" w:rsidRPr="007E0156" w:rsidRDefault="00E0787D" w:rsidP="00FE19B2">
      <w:pPr>
        <w:ind w:left="720"/>
        <w:jc w:val="both"/>
      </w:pPr>
      <w:r w:rsidRPr="007E0156">
        <w:t xml:space="preserve">RPs should provide </w:t>
      </w:r>
      <w:r w:rsidR="00F126FC">
        <w:t>relevant</w:t>
      </w:r>
      <w:r w:rsidRPr="007E0156">
        <w:t xml:space="preserve"> evidence and documentation required to support any claims they make in relation to these factors, including full details in relation to those factors and assumptions underpinning their reasons. </w:t>
      </w:r>
      <w:r w:rsidR="00284BB6" w:rsidRPr="007E0156">
        <w:t>An explanation will not necessarily be extensive (depending upon the circumstances) but should nonetheless be complete and be supported by appropriate evidence.</w:t>
      </w:r>
    </w:p>
    <w:p w14:paraId="23A78C43" w14:textId="77777777" w:rsidR="00E0787D" w:rsidRPr="007E0156" w:rsidRDefault="00E0787D" w:rsidP="00FE19B2">
      <w:pPr>
        <w:ind w:left="720"/>
        <w:jc w:val="both"/>
      </w:pPr>
      <w:r w:rsidRPr="007E0156">
        <w:t>The Minister may consider the following documentation and information in relation to each factor:</w:t>
      </w:r>
    </w:p>
    <w:p w14:paraId="6DBCB769" w14:textId="041D7930" w:rsidR="00E0787D" w:rsidRPr="007E0156" w:rsidRDefault="00F00800" w:rsidP="005A2644">
      <w:pPr>
        <w:numPr>
          <w:ilvl w:val="0"/>
          <w:numId w:val="22"/>
        </w:numPr>
        <w:jc w:val="both"/>
      </w:pPr>
      <w:r>
        <w:t>T</w:t>
      </w:r>
      <w:r w:rsidR="00E0787D" w:rsidRPr="007E0156">
        <w:t>he RP’s reason for the breach and whether those reasons are reasonable:</w:t>
      </w:r>
    </w:p>
    <w:p w14:paraId="7BD52583" w14:textId="77777777" w:rsidR="00E0787D" w:rsidRPr="007E0156" w:rsidRDefault="00E0787D" w:rsidP="005A2644">
      <w:pPr>
        <w:numPr>
          <w:ilvl w:val="0"/>
          <w:numId w:val="23"/>
        </w:numPr>
        <w:jc w:val="both"/>
      </w:pPr>
      <w:r w:rsidRPr="007E0156">
        <w:t>dated internal communication notifying of breach/causative factor to breach or likely breach;</w:t>
      </w:r>
    </w:p>
    <w:p w14:paraId="3B0D01DC" w14:textId="051AD1D4" w:rsidR="00E0787D" w:rsidRPr="007E0156" w:rsidRDefault="00E0787D" w:rsidP="005A2644">
      <w:pPr>
        <w:numPr>
          <w:ilvl w:val="0"/>
          <w:numId w:val="23"/>
        </w:numPr>
        <w:jc w:val="both"/>
      </w:pPr>
      <w:r w:rsidRPr="007E0156">
        <w:lastRenderedPageBreak/>
        <w:t>dated third-party communication to the RP notifying of causative factors for breach or likely breach;</w:t>
      </w:r>
    </w:p>
    <w:p w14:paraId="7D0D24B8" w14:textId="77777777" w:rsidR="00E0787D" w:rsidRPr="007E0156" w:rsidRDefault="00E0787D" w:rsidP="005A2644">
      <w:pPr>
        <w:numPr>
          <w:ilvl w:val="0"/>
          <w:numId w:val="23"/>
        </w:numPr>
        <w:jc w:val="both"/>
      </w:pPr>
      <w:r w:rsidRPr="007E0156">
        <w:t>dated third-party reports assessing causative factors for breach or likely breach;</w:t>
      </w:r>
    </w:p>
    <w:p w14:paraId="7C4691D7" w14:textId="73EAB288" w:rsidR="00E0787D" w:rsidRPr="007E0156" w:rsidRDefault="00E0787D" w:rsidP="005A2644">
      <w:pPr>
        <w:numPr>
          <w:ilvl w:val="0"/>
          <w:numId w:val="23"/>
        </w:numPr>
        <w:jc w:val="both"/>
      </w:pPr>
      <w:r w:rsidRPr="007E0156">
        <w:t>third-party correspondence on supply chain conditions (e.g</w:t>
      </w:r>
      <w:r w:rsidR="00F126FC" w:rsidRPr="00EA6859">
        <w:t>.</w:t>
      </w:r>
      <w:r w:rsidRPr="007E0156">
        <w:t xml:space="preserve"> availability assessment of shipping/air freight);</w:t>
      </w:r>
    </w:p>
    <w:p w14:paraId="3A55CDA2" w14:textId="77777777" w:rsidR="00E0787D" w:rsidRPr="007E0156" w:rsidRDefault="00E0787D" w:rsidP="005A2644">
      <w:pPr>
        <w:numPr>
          <w:ilvl w:val="0"/>
          <w:numId w:val="23"/>
        </w:numPr>
        <w:jc w:val="both"/>
      </w:pPr>
      <w:r w:rsidRPr="007E0156">
        <w:t>analysis outlining supply chain disruptions from usual performance;</w:t>
      </w:r>
    </w:p>
    <w:p w14:paraId="08BE8251" w14:textId="77777777" w:rsidR="00E0787D" w:rsidRPr="007E0156" w:rsidRDefault="00E0787D" w:rsidP="005A2644">
      <w:pPr>
        <w:numPr>
          <w:ilvl w:val="0"/>
          <w:numId w:val="23"/>
        </w:numPr>
        <w:jc w:val="both"/>
      </w:pPr>
      <w:r w:rsidRPr="007E0156">
        <w:t>internal reports and analysis on manufacturing performance and outlook;</w:t>
      </w:r>
    </w:p>
    <w:p w14:paraId="0F9A1553" w14:textId="0DD00E02" w:rsidR="00E0787D" w:rsidRPr="007E0156" w:rsidRDefault="00E0787D" w:rsidP="005A2644">
      <w:pPr>
        <w:numPr>
          <w:ilvl w:val="0"/>
          <w:numId w:val="23"/>
        </w:numPr>
        <w:jc w:val="both"/>
      </w:pPr>
      <w:r w:rsidRPr="007E0156">
        <w:t>market reports outlining the RP’s exits from relevant market;</w:t>
      </w:r>
    </w:p>
    <w:p w14:paraId="2530D7F6" w14:textId="77777777" w:rsidR="00E0787D" w:rsidRPr="007E0156" w:rsidRDefault="00E0787D" w:rsidP="005A2644">
      <w:pPr>
        <w:numPr>
          <w:ilvl w:val="0"/>
          <w:numId w:val="23"/>
        </w:numPr>
        <w:jc w:val="both"/>
      </w:pPr>
      <w:r w:rsidRPr="007E0156">
        <w:t>market reports outlining the market shares of RPs for a given pharmaceutical item;</w:t>
      </w:r>
    </w:p>
    <w:p w14:paraId="2D3AB97B" w14:textId="01B62D49" w:rsidR="00D642FE" w:rsidRPr="00FE19B2" w:rsidRDefault="00284BB6" w:rsidP="005A2644">
      <w:pPr>
        <w:numPr>
          <w:ilvl w:val="0"/>
          <w:numId w:val="23"/>
        </w:numPr>
        <w:jc w:val="both"/>
      </w:pPr>
      <w:r w:rsidRPr="00FE19B2">
        <w:t xml:space="preserve">evidence of prolonged supply chain lead-times which interfere with compliance with stockholding requirements in </w:t>
      </w:r>
      <w:r w:rsidR="00F126FC" w:rsidRPr="00C26D4D">
        <w:t>a brand’s first</w:t>
      </w:r>
      <w:r w:rsidRPr="00FE19B2">
        <w:t xml:space="preserve"> stockholding period, or substantially interfere with the RP responding to demand variation such as following an </w:t>
      </w:r>
      <w:r w:rsidR="00F126FC" w:rsidRPr="00C26D4D">
        <w:t>O</w:t>
      </w:r>
      <w:r w:rsidR="00F126FC">
        <w:t xml:space="preserve">ut </w:t>
      </w:r>
      <w:r w:rsidR="00F126FC" w:rsidRPr="00C26D4D">
        <w:t>O</w:t>
      </w:r>
      <w:r w:rsidR="00F126FC">
        <w:t xml:space="preserve">f </w:t>
      </w:r>
      <w:r w:rsidR="00F126FC" w:rsidRPr="00C26D4D">
        <w:t>S</w:t>
      </w:r>
      <w:r w:rsidR="00F126FC">
        <w:t>tock (</w:t>
      </w:r>
      <w:r w:rsidRPr="00FE19B2">
        <w:rPr>
          <w:b/>
        </w:rPr>
        <w:t>OOS</w:t>
      </w:r>
      <w:r w:rsidR="00F126FC">
        <w:t>)</w:t>
      </w:r>
      <w:r w:rsidRPr="00FE19B2">
        <w:t xml:space="preserve"> by another RP</w:t>
      </w:r>
      <w:r w:rsidR="003E0B13" w:rsidRPr="00FE19B2">
        <w:t>;</w:t>
      </w:r>
    </w:p>
    <w:p w14:paraId="5DD9C4CB" w14:textId="70F07599" w:rsidR="00E0787D" w:rsidRPr="007E0156" w:rsidRDefault="00E0787D" w:rsidP="005A2644">
      <w:pPr>
        <w:numPr>
          <w:ilvl w:val="0"/>
          <w:numId w:val="23"/>
        </w:numPr>
        <w:jc w:val="both"/>
      </w:pPr>
      <w:r w:rsidRPr="007E0156">
        <w:t>TGA Medicine Shortage reports for competitor brands; and</w:t>
      </w:r>
    </w:p>
    <w:p w14:paraId="065F8414" w14:textId="764AF874" w:rsidR="00E0787D" w:rsidRPr="007E0156" w:rsidRDefault="00E0787D" w:rsidP="005A2644">
      <w:pPr>
        <w:numPr>
          <w:ilvl w:val="0"/>
          <w:numId w:val="23"/>
        </w:numPr>
        <w:jc w:val="both"/>
      </w:pPr>
      <w:r w:rsidRPr="007E0156">
        <w:t>correspondence and/or contractual evidence which shows a loss of a significant supply contract for the RP</w:t>
      </w:r>
      <w:r w:rsidR="00A34E29">
        <w:t>.</w:t>
      </w:r>
    </w:p>
    <w:p w14:paraId="195AAF10" w14:textId="28B24394" w:rsidR="00E0787D" w:rsidRPr="007E0156" w:rsidRDefault="00F00800" w:rsidP="005A2644">
      <w:pPr>
        <w:numPr>
          <w:ilvl w:val="0"/>
          <w:numId w:val="22"/>
        </w:numPr>
        <w:jc w:val="both"/>
      </w:pPr>
      <w:r>
        <w:t>W</w:t>
      </w:r>
      <w:r w:rsidR="00E0787D" w:rsidRPr="007E0156">
        <w:t>hether the RP will consistently maintain adequate stock levels in the future:</w:t>
      </w:r>
    </w:p>
    <w:p w14:paraId="46FAAA57" w14:textId="083DE9B9" w:rsidR="00E0787D" w:rsidRPr="007E0156" w:rsidRDefault="00E0787D" w:rsidP="005A2644">
      <w:pPr>
        <w:numPr>
          <w:ilvl w:val="0"/>
          <w:numId w:val="23"/>
        </w:numPr>
        <w:jc w:val="both"/>
      </w:pPr>
      <w:r w:rsidRPr="007E0156">
        <w:t>evidence of the required stock being held by the RP but not in a form that meets the stockholding definition (e.g</w:t>
      </w:r>
      <w:r w:rsidR="00F126FC" w:rsidRPr="00EA6859">
        <w:t>.</w:t>
      </w:r>
      <w:r w:rsidRPr="007E0156">
        <w:t xml:space="preserve"> bulk storage with sufficient packaging materials on hand and packaging facilities to quickly release bulk product in retail form);</w:t>
      </w:r>
    </w:p>
    <w:p w14:paraId="1965A7EB" w14:textId="77777777" w:rsidR="00E0787D" w:rsidRPr="007E0156" w:rsidRDefault="00E0787D" w:rsidP="005A2644">
      <w:pPr>
        <w:numPr>
          <w:ilvl w:val="0"/>
          <w:numId w:val="23"/>
        </w:numPr>
        <w:jc w:val="both"/>
      </w:pPr>
      <w:r w:rsidRPr="007E0156">
        <w:t>stock records indicating the minimum stockholding requirement was satisfied up to the date of breach;</w:t>
      </w:r>
    </w:p>
    <w:p w14:paraId="6BE7B3D1" w14:textId="77777777" w:rsidR="00E0787D" w:rsidRPr="007E0156" w:rsidRDefault="00E0787D" w:rsidP="005A2644">
      <w:pPr>
        <w:numPr>
          <w:ilvl w:val="0"/>
          <w:numId w:val="23"/>
        </w:numPr>
        <w:jc w:val="both"/>
      </w:pPr>
      <w:r w:rsidRPr="007E0156">
        <w:t>assessment of the causative factors of a breach and the outcomes of any investigation into the cause of the breach;</w:t>
      </w:r>
    </w:p>
    <w:p w14:paraId="32EA43C6" w14:textId="0F6441C1" w:rsidR="00E0787D" w:rsidRPr="007E0156" w:rsidRDefault="00E0787D" w:rsidP="005A2644">
      <w:pPr>
        <w:numPr>
          <w:ilvl w:val="0"/>
          <w:numId w:val="23"/>
        </w:numPr>
        <w:jc w:val="both"/>
      </w:pPr>
      <w:r w:rsidRPr="007E0156">
        <w:t xml:space="preserve">evidence of corrective actions </w:t>
      </w:r>
      <w:r w:rsidR="00260FE1" w:rsidRPr="007E0156">
        <w:t xml:space="preserve">which are designed to address </w:t>
      </w:r>
      <w:r w:rsidRPr="007E0156">
        <w:t>the cause of a breach;</w:t>
      </w:r>
    </w:p>
    <w:p w14:paraId="6036DDAB" w14:textId="77777777" w:rsidR="00E0787D" w:rsidRPr="007E0156" w:rsidRDefault="00E0787D" w:rsidP="005A2644">
      <w:pPr>
        <w:numPr>
          <w:ilvl w:val="0"/>
          <w:numId w:val="23"/>
        </w:numPr>
        <w:jc w:val="both"/>
      </w:pPr>
      <w:r w:rsidRPr="007E0156">
        <w:t>whether the RP has an action plan to avoid future breaches;</w:t>
      </w:r>
    </w:p>
    <w:p w14:paraId="33E2C1B0" w14:textId="77777777" w:rsidR="00E0787D" w:rsidRPr="007E0156" w:rsidRDefault="00E0787D" w:rsidP="005A2644">
      <w:pPr>
        <w:numPr>
          <w:ilvl w:val="0"/>
          <w:numId w:val="23"/>
        </w:numPr>
        <w:jc w:val="both"/>
      </w:pPr>
      <w:r w:rsidRPr="007E0156">
        <w:t>adherence to an existing action plan;</w:t>
      </w:r>
    </w:p>
    <w:p w14:paraId="1D2D4B3D" w14:textId="77777777" w:rsidR="00E0787D" w:rsidRPr="007E0156" w:rsidRDefault="00E0787D" w:rsidP="005A2644">
      <w:pPr>
        <w:numPr>
          <w:ilvl w:val="0"/>
          <w:numId w:val="23"/>
        </w:numPr>
        <w:jc w:val="both"/>
      </w:pPr>
      <w:r w:rsidRPr="007E0156">
        <w:t>evidence of suitable resources to maintain required stock levels;</w:t>
      </w:r>
    </w:p>
    <w:p w14:paraId="6DAC35E1" w14:textId="77777777" w:rsidR="00E0787D" w:rsidRPr="007E0156" w:rsidRDefault="00E0787D" w:rsidP="005A2644">
      <w:pPr>
        <w:numPr>
          <w:ilvl w:val="0"/>
          <w:numId w:val="23"/>
        </w:numPr>
        <w:jc w:val="both"/>
      </w:pPr>
      <w:r w:rsidRPr="007E0156">
        <w:t>evidence of suitable systems to monitor all elements of the supply chain including production lines, warehousing, freight and customs;</w:t>
      </w:r>
    </w:p>
    <w:p w14:paraId="029BE6F6" w14:textId="725C2BFD" w:rsidR="00E0787D" w:rsidRPr="007E0156" w:rsidRDefault="00E0787D" w:rsidP="005A2644">
      <w:pPr>
        <w:numPr>
          <w:ilvl w:val="0"/>
          <w:numId w:val="23"/>
        </w:numPr>
        <w:jc w:val="both"/>
      </w:pPr>
      <w:r w:rsidRPr="007E0156">
        <w:t>evidence of ability to accurately forecast demand for brands;</w:t>
      </w:r>
    </w:p>
    <w:p w14:paraId="719598D7" w14:textId="77777777" w:rsidR="00F126FC" w:rsidRPr="00EA6859" w:rsidRDefault="00F126FC" w:rsidP="005A2644">
      <w:pPr>
        <w:numPr>
          <w:ilvl w:val="0"/>
          <w:numId w:val="23"/>
        </w:numPr>
        <w:jc w:val="both"/>
      </w:pPr>
      <w:r w:rsidRPr="00EA6859">
        <w:t>evidence of the quantity of stock which is in transit and the timing for arrival/an RP’s expected return to compliance; and</w:t>
      </w:r>
    </w:p>
    <w:p w14:paraId="31F82656" w14:textId="3A146EBF" w:rsidR="00E0787D" w:rsidRPr="007E0156" w:rsidRDefault="00E0787D" w:rsidP="005A2644">
      <w:pPr>
        <w:numPr>
          <w:ilvl w:val="0"/>
          <w:numId w:val="23"/>
        </w:numPr>
        <w:jc w:val="both"/>
      </w:pPr>
      <w:r w:rsidRPr="007E0156">
        <w:t>evidence of pre-booked freight capacity to Australia and within Australia</w:t>
      </w:r>
      <w:r w:rsidR="00A34E29">
        <w:t>.</w:t>
      </w:r>
    </w:p>
    <w:p w14:paraId="17E38937" w14:textId="359D3A42" w:rsidR="00E0787D" w:rsidRPr="00FE19B2" w:rsidRDefault="00F00800" w:rsidP="005A2644">
      <w:pPr>
        <w:numPr>
          <w:ilvl w:val="0"/>
          <w:numId w:val="22"/>
        </w:numPr>
        <w:jc w:val="both"/>
        <w:rPr>
          <w:sz w:val="16"/>
        </w:rPr>
      </w:pPr>
      <w:r>
        <w:lastRenderedPageBreak/>
        <w:t>W</w:t>
      </w:r>
      <w:r w:rsidR="00E0787D" w:rsidRPr="007E0156">
        <w:t>hether the RP has offered discounts or incentives in relation to sales of the brand during the reporting period</w:t>
      </w:r>
      <w:r w:rsidR="00E0787D" w:rsidRPr="00FE19B2">
        <w:rPr>
          <w:sz w:val="16"/>
        </w:rPr>
        <w:t>:</w:t>
      </w:r>
    </w:p>
    <w:p w14:paraId="0F13B08A" w14:textId="77777777" w:rsidR="00E0787D" w:rsidRPr="007E0156" w:rsidRDefault="00E0787D" w:rsidP="005A2644">
      <w:pPr>
        <w:numPr>
          <w:ilvl w:val="0"/>
          <w:numId w:val="23"/>
        </w:numPr>
        <w:jc w:val="both"/>
      </w:pPr>
      <w:r w:rsidRPr="007E0156">
        <w:t>discounts and incentives offered for the brand; and</w:t>
      </w:r>
    </w:p>
    <w:p w14:paraId="01686266" w14:textId="634B6B02" w:rsidR="00E0787D" w:rsidRPr="007E0156" w:rsidRDefault="00E0787D" w:rsidP="005A2644">
      <w:pPr>
        <w:numPr>
          <w:ilvl w:val="0"/>
          <w:numId w:val="23"/>
        </w:numPr>
        <w:jc w:val="both"/>
      </w:pPr>
      <w:r w:rsidRPr="007E0156">
        <w:t>contracts with wholesalers</w:t>
      </w:r>
      <w:r w:rsidR="00A34E29">
        <w:t>.</w:t>
      </w:r>
    </w:p>
    <w:p w14:paraId="1C938261" w14:textId="43F81FA7" w:rsidR="00E0787D" w:rsidRPr="007E0156" w:rsidRDefault="00F00800" w:rsidP="005A2644">
      <w:pPr>
        <w:numPr>
          <w:ilvl w:val="0"/>
          <w:numId w:val="22"/>
        </w:numPr>
        <w:jc w:val="both"/>
      </w:pPr>
      <w:r>
        <w:t>W</w:t>
      </w:r>
      <w:r w:rsidR="00E0787D" w:rsidRPr="007E0156">
        <w:t>hether the RP has previously breached the minimum stockholding requirement and if so, the reasons for the breach(es) and whether those reasons are reasonable:</w:t>
      </w:r>
    </w:p>
    <w:p w14:paraId="61FD73DE" w14:textId="77777777" w:rsidR="00E0787D" w:rsidRPr="007E0156" w:rsidRDefault="00E0787D" w:rsidP="005A2644">
      <w:pPr>
        <w:numPr>
          <w:ilvl w:val="0"/>
          <w:numId w:val="23"/>
        </w:numPr>
        <w:jc w:val="both"/>
      </w:pPr>
      <w:r w:rsidRPr="007E0156">
        <w:t>stock records indicating the minimum stockholding requirement was satisfied up to the date of breach;</w:t>
      </w:r>
    </w:p>
    <w:p w14:paraId="5352EC91" w14:textId="77777777" w:rsidR="00E0787D" w:rsidRPr="007E0156" w:rsidRDefault="00E0787D" w:rsidP="005A2644">
      <w:pPr>
        <w:numPr>
          <w:ilvl w:val="0"/>
          <w:numId w:val="23"/>
        </w:numPr>
        <w:jc w:val="both"/>
      </w:pPr>
      <w:r w:rsidRPr="007E0156">
        <w:t>notifications and evidence provided with respect to previous breach(es); and</w:t>
      </w:r>
    </w:p>
    <w:p w14:paraId="2F4A61D3" w14:textId="77777777" w:rsidR="00E0787D" w:rsidRPr="007E0156" w:rsidRDefault="00E0787D" w:rsidP="005A2644">
      <w:pPr>
        <w:numPr>
          <w:ilvl w:val="0"/>
          <w:numId w:val="23"/>
        </w:numPr>
        <w:jc w:val="both"/>
      </w:pPr>
      <w:r w:rsidRPr="007E0156">
        <w:t>any additional information and evidence provided by the RP with respect to previous breach(es).</w:t>
      </w:r>
    </w:p>
    <w:p w14:paraId="5397ABC0" w14:textId="4201A47D" w:rsidR="00E0787D" w:rsidRPr="007E0156" w:rsidRDefault="00F00800" w:rsidP="005A2644">
      <w:pPr>
        <w:numPr>
          <w:ilvl w:val="0"/>
          <w:numId w:val="22"/>
        </w:numPr>
        <w:jc w:val="both"/>
      </w:pPr>
      <w:r>
        <w:t>W</w:t>
      </w:r>
      <w:r w:rsidR="00E0787D" w:rsidRPr="007E0156">
        <w:t>hether an RP for other brands of the same item has breached the minimum stockholding requirement in relation to those other brands:</w:t>
      </w:r>
    </w:p>
    <w:p w14:paraId="7CA4C541" w14:textId="505F0F08" w:rsidR="00E0787D" w:rsidRPr="007E0156" w:rsidRDefault="00E0787D" w:rsidP="005A2644">
      <w:pPr>
        <w:numPr>
          <w:ilvl w:val="0"/>
          <w:numId w:val="23"/>
        </w:numPr>
        <w:jc w:val="both"/>
      </w:pPr>
      <w:r w:rsidRPr="007E0156">
        <w:t xml:space="preserve">the </w:t>
      </w:r>
      <w:r w:rsidR="009E653E">
        <w:t>d</w:t>
      </w:r>
      <w:r w:rsidRPr="007E0156">
        <w:t xml:space="preserve">epartment does not expect RPs to provide any additional information or documentation on this point. The </w:t>
      </w:r>
      <w:r w:rsidR="009E653E">
        <w:t>d</w:t>
      </w:r>
      <w:r w:rsidRPr="007E0156">
        <w:t>epartment will provide the Minister with details of any actual breach notifications which it receives for other brands of the same pharmaceutical item.</w:t>
      </w:r>
    </w:p>
    <w:p w14:paraId="39EE865A" w14:textId="3FD57055" w:rsidR="005F42AD" w:rsidRPr="005F42AD" w:rsidRDefault="005F42AD" w:rsidP="00FE19B2">
      <w:pPr>
        <w:ind w:left="720"/>
        <w:contextualSpacing/>
        <w:jc w:val="both"/>
      </w:pPr>
      <w:r w:rsidRPr="005F42AD">
        <w:t xml:space="preserve">If the Minister considers the impact of significant </w:t>
      </w:r>
      <w:r>
        <w:t>unexpected</w:t>
      </w:r>
      <w:r w:rsidRPr="005F42AD">
        <w:t xml:space="preserve"> order(s) by wholesalers or other customers of the RP (see </w:t>
      </w:r>
      <w:r w:rsidR="00F126FC" w:rsidRPr="00EA6859">
        <w:rPr>
          <w:color w:val="005EB8" w:themeColor="text2"/>
          <w:u w:val="single"/>
        </w:rPr>
        <w:t>Section 8.2(c)(vii)</w:t>
      </w:r>
      <w:r w:rsidR="00F126FC" w:rsidRPr="00EA6859">
        <w:t xml:space="preserve"> above</w:t>
      </w:r>
      <w:r w:rsidRPr="005F42AD">
        <w:t>), the following may assist the Minister in considering that factor:</w:t>
      </w:r>
    </w:p>
    <w:p w14:paraId="0EA50C8E" w14:textId="77777777" w:rsidR="005F42AD" w:rsidRPr="005F42AD" w:rsidRDefault="005F42AD" w:rsidP="005A2644">
      <w:pPr>
        <w:numPr>
          <w:ilvl w:val="0"/>
          <w:numId w:val="23"/>
        </w:numPr>
        <w:jc w:val="both"/>
      </w:pPr>
      <w:r w:rsidRPr="005F42AD">
        <w:t>Details of the usual ordering patterns of the customer who placed the unexpected order, and evidence that orders by that customer leading to the breach were significantly outside of the usual ordering pattern and of a magnitude which was causative of the breach;</w:t>
      </w:r>
    </w:p>
    <w:p w14:paraId="6CDF5F9A" w14:textId="77777777" w:rsidR="005F42AD" w:rsidRPr="005F42AD" w:rsidRDefault="005F42AD" w:rsidP="005A2644">
      <w:pPr>
        <w:numPr>
          <w:ilvl w:val="0"/>
          <w:numId w:val="23"/>
        </w:numPr>
        <w:jc w:val="both"/>
      </w:pPr>
      <w:r w:rsidRPr="005F42AD">
        <w:t>Details of the RP’s anticipated sales projections and any variance from those projections as a result of the unexpected order;</w:t>
      </w:r>
    </w:p>
    <w:p w14:paraId="506383BE" w14:textId="77777777" w:rsidR="005F42AD" w:rsidRPr="005F42AD" w:rsidRDefault="005F42AD" w:rsidP="005A2644">
      <w:pPr>
        <w:numPr>
          <w:ilvl w:val="0"/>
          <w:numId w:val="23"/>
        </w:numPr>
        <w:jc w:val="both"/>
      </w:pPr>
      <w:r w:rsidRPr="005F42AD">
        <w:t>If the order was part of a tender or other prior contractual arrangement, details of when the RP first responded to the tender, or commenced contract negotiations with the customer, and details of whether the unexpected order was foreshadowed in the tender, contractual arrangements and/or negotiations;</w:t>
      </w:r>
    </w:p>
    <w:p w14:paraId="14C1DFFA" w14:textId="77777777" w:rsidR="005F42AD" w:rsidRPr="005F42AD" w:rsidRDefault="005F42AD" w:rsidP="005A2644">
      <w:pPr>
        <w:numPr>
          <w:ilvl w:val="0"/>
          <w:numId w:val="23"/>
        </w:numPr>
        <w:jc w:val="both"/>
      </w:pPr>
      <w:r w:rsidRPr="005F42AD">
        <w:t>Evidence that the significant unexpected order was made inside of the lead time of the brand;</w:t>
      </w:r>
    </w:p>
    <w:p w14:paraId="6CBA2607" w14:textId="77777777" w:rsidR="005F42AD" w:rsidRPr="005F42AD" w:rsidRDefault="005F42AD" w:rsidP="005A2644">
      <w:pPr>
        <w:numPr>
          <w:ilvl w:val="0"/>
          <w:numId w:val="23"/>
        </w:numPr>
        <w:jc w:val="both"/>
      </w:pPr>
      <w:r w:rsidRPr="005F42AD">
        <w:t>Details of the supply chain lead time for the brand;</w:t>
      </w:r>
    </w:p>
    <w:p w14:paraId="3C51BAD4" w14:textId="77777777" w:rsidR="005F42AD" w:rsidRPr="005F42AD" w:rsidRDefault="005F42AD" w:rsidP="005A2644">
      <w:pPr>
        <w:numPr>
          <w:ilvl w:val="0"/>
          <w:numId w:val="23"/>
        </w:numPr>
        <w:jc w:val="both"/>
      </w:pPr>
      <w:r w:rsidRPr="005F42AD">
        <w:t>Details of actions taken by the RP to procure additional stock (within or outside of the usual lead time of the brand) and/or improve supply chain timing in order to maintain minimum stockholdings;</w:t>
      </w:r>
    </w:p>
    <w:p w14:paraId="26791A3A" w14:textId="77777777" w:rsidR="005F42AD" w:rsidRPr="005F42AD" w:rsidRDefault="005F42AD" w:rsidP="005A2644">
      <w:pPr>
        <w:numPr>
          <w:ilvl w:val="0"/>
          <w:numId w:val="23"/>
        </w:numPr>
        <w:jc w:val="both"/>
      </w:pPr>
      <w:r w:rsidRPr="005F42AD">
        <w:t>Details of the RP’s planned replenishment schedule and anticipated and actual stock levels for 12 months prior to the breach, clearly indicating the impact of the significant unexpected order(s).</w:t>
      </w:r>
    </w:p>
    <w:p w14:paraId="5C2DB890" w14:textId="0331D1CE" w:rsidR="00A34E29" w:rsidRPr="00FE19B2" w:rsidRDefault="00E0787D" w:rsidP="00575DE9">
      <w:pPr>
        <w:ind w:left="720"/>
        <w:contextualSpacing/>
        <w:jc w:val="both"/>
      </w:pPr>
      <w:r w:rsidRPr="007E0156">
        <w:lastRenderedPageBreak/>
        <w:t>Any previous notifications and supporting documents which have been provided by the RP (whether for the brand which is in breach, or relating to a previous breach or likely breach), will be available for consideration by the Minister in deciding whether to exercise their power in response to a breach of the minimum stockholding requirement.</w:t>
      </w:r>
    </w:p>
    <w:p w14:paraId="796A542E" w14:textId="77777777" w:rsidR="00F126FC" w:rsidRPr="00C26D4D" w:rsidRDefault="00F126FC" w:rsidP="00F126FC">
      <w:pPr>
        <w:pStyle w:val="Heading2"/>
        <w:jc w:val="both"/>
      </w:pPr>
      <w:bookmarkStart w:id="114" w:name="_Toc205482109"/>
      <w:r w:rsidRPr="00C26D4D">
        <w:t>Breaches of the notification requirements</w:t>
      </w:r>
      <w:bookmarkEnd w:id="114"/>
    </w:p>
    <w:p w14:paraId="7BC77204" w14:textId="2BB23720" w:rsidR="00E0787D" w:rsidRPr="007E0156" w:rsidRDefault="00E0787D" w:rsidP="00E0787D">
      <w:pPr>
        <w:jc w:val="both"/>
      </w:pPr>
      <w:r w:rsidRPr="007E0156">
        <w:t xml:space="preserve">As discussed in </w:t>
      </w:r>
      <w:hyperlink w:anchor="_Notification_requirements" w:history="1">
        <w:r w:rsidR="00E06C99" w:rsidRPr="007C009A">
          <w:rPr>
            <w:rStyle w:val="Hyperlink"/>
          </w:rPr>
          <w:t>Section 7.2</w:t>
        </w:r>
      </w:hyperlink>
      <w:r w:rsidRPr="007E0156">
        <w:t>, RPs are required to notify the Minister regarding likely or actual breaches of the minimum stockholding requirement.</w:t>
      </w:r>
    </w:p>
    <w:p w14:paraId="2D6E0887" w14:textId="57F6323D" w:rsidR="00E0787D" w:rsidRPr="007E0156" w:rsidRDefault="00E0787D" w:rsidP="00E0787D">
      <w:pPr>
        <w:jc w:val="both"/>
      </w:pPr>
      <w:r w:rsidRPr="007E0156">
        <w:t xml:space="preserve">Breaches of the notification requirements may be assessed and managed by the </w:t>
      </w:r>
      <w:r w:rsidR="009E653E">
        <w:t>d</w:t>
      </w:r>
      <w:r w:rsidRPr="007E0156">
        <w:t xml:space="preserve">epartment. RPs may be requested to participate in a breach investigation. The instances when a breach occurs and </w:t>
      </w:r>
      <w:r w:rsidR="00260FE1" w:rsidRPr="007E0156">
        <w:t xml:space="preserve">potential </w:t>
      </w:r>
      <w:r w:rsidRPr="007E0156">
        <w:t>penalties that may apply are as follows:</w:t>
      </w:r>
    </w:p>
    <w:p w14:paraId="7149ED4B" w14:textId="0C803110" w:rsidR="00E0787D" w:rsidRPr="007E0156" w:rsidRDefault="00E0787D" w:rsidP="005A2644">
      <w:pPr>
        <w:numPr>
          <w:ilvl w:val="0"/>
          <w:numId w:val="16"/>
        </w:numPr>
        <w:jc w:val="both"/>
        <w:rPr>
          <w:b/>
          <w:bCs/>
        </w:rPr>
      </w:pPr>
      <w:r w:rsidRPr="007E0156">
        <w:rPr>
          <w:b/>
          <w:bCs/>
        </w:rPr>
        <w:t>RPs are required to notify the Minister of likely and actual breaches</w:t>
      </w:r>
    </w:p>
    <w:p w14:paraId="3C2156AC" w14:textId="131063B1" w:rsidR="00E0787D" w:rsidRPr="007E0156" w:rsidRDefault="00F126FC" w:rsidP="00E0787D">
      <w:pPr>
        <w:ind w:left="360"/>
        <w:jc w:val="both"/>
      </w:pPr>
      <w:r w:rsidRPr="00EA6859">
        <w:rPr>
          <w:rFonts w:eastAsiaTheme="minorEastAsia"/>
        </w:rPr>
        <w:t>An</w:t>
      </w:r>
      <w:r w:rsidR="00E0787D" w:rsidRPr="007E0156">
        <w:rPr>
          <w:rFonts w:eastAsiaTheme="minorEastAsia" w:cs="Times New Roman"/>
          <w:bCs/>
          <w:szCs w:val="24"/>
        </w:rPr>
        <w:t xml:space="preserve"> RP</w:t>
      </w:r>
      <w:r w:rsidR="00E0787D" w:rsidRPr="007E0156">
        <w:t xml:space="preserve"> commits an offence if they are subject to the minimum stockholding requirement and fail to give the Minister written notice which:</w:t>
      </w:r>
    </w:p>
    <w:p w14:paraId="6606EB36" w14:textId="0B618A0C" w:rsidR="00E0787D" w:rsidRPr="007E0156" w:rsidRDefault="00F00800" w:rsidP="005A2644">
      <w:pPr>
        <w:numPr>
          <w:ilvl w:val="4"/>
          <w:numId w:val="8"/>
        </w:numPr>
        <w:ind w:left="1530"/>
        <w:jc w:val="both"/>
      </w:pPr>
      <w:r>
        <w:t>I</w:t>
      </w:r>
      <w:r w:rsidR="00E0787D" w:rsidRPr="007E0156">
        <w:t xml:space="preserve">nforms the Minister </w:t>
      </w:r>
      <w:r w:rsidR="00EB67DE">
        <w:t xml:space="preserve">that </w:t>
      </w:r>
      <w:r w:rsidR="00E0787D" w:rsidRPr="007E0156">
        <w:t>they believe they are likely to breach or that they have breached</w:t>
      </w:r>
      <w:r w:rsidR="00260FE1" w:rsidRPr="007E0156">
        <w:t xml:space="preserve"> the minimum stockholding requirement for a particular brand of a pharmaceutical item</w:t>
      </w:r>
      <w:r w:rsidR="00E0787D" w:rsidRPr="007E0156">
        <w:t>;</w:t>
      </w:r>
    </w:p>
    <w:p w14:paraId="327A5195" w14:textId="7D696FEE" w:rsidR="00E0787D" w:rsidRPr="007E0156" w:rsidRDefault="00F00800" w:rsidP="005A2644">
      <w:pPr>
        <w:numPr>
          <w:ilvl w:val="4"/>
          <w:numId w:val="8"/>
        </w:numPr>
        <w:ind w:left="1530"/>
        <w:jc w:val="both"/>
      </w:pPr>
      <w:r>
        <w:t>S</w:t>
      </w:r>
      <w:r w:rsidR="00E0787D" w:rsidRPr="007E0156">
        <w:t>ets out the reasons for that belief or breach; and</w:t>
      </w:r>
    </w:p>
    <w:p w14:paraId="1998883D" w14:textId="5418FC86" w:rsidR="00E0787D" w:rsidRPr="007E0156" w:rsidRDefault="00F00800" w:rsidP="005A2644">
      <w:pPr>
        <w:numPr>
          <w:ilvl w:val="4"/>
          <w:numId w:val="8"/>
        </w:numPr>
        <w:ind w:left="1530"/>
        <w:jc w:val="both"/>
      </w:pPr>
      <w:r>
        <w:t>I</w:t>
      </w:r>
      <w:r w:rsidR="00E0787D" w:rsidRPr="007E0156">
        <w:t xml:space="preserve">s given as </w:t>
      </w:r>
      <w:r w:rsidR="00E0787D" w:rsidRPr="00FE19B2">
        <w:rPr>
          <w:i/>
        </w:rPr>
        <w:t>soon as practicable</w:t>
      </w:r>
      <w:r w:rsidR="00E0787D" w:rsidRPr="007E0156">
        <w:t xml:space="preserve"> after the RP </w:t>
      </w:r>
      <w:r w:rsidR="00E0787D" w:rsidRPr="00FE19B2">
        <w:rPr>
          <w:i/>
        </w:rPr>
        <w:t>forms the belief</w:t>
      </w:r>
      <w:r w:rsidR="00E0787D" w:rsidRPr="007E0156">
        <w:t xml:space="preserve"> or the breach</w:t>
      </w:r>
      <w:r w:rsidR="00F126FC">
        <w:t xml:space="preserve"> occurs</w:t>
      </w:r>
      <w:r w:rsidR="00F126FC" w:rsidRPr="00EA6859">
        <w:t>,</w:t>
      </w:r>
    </w:p>
    <w:p w14:paraId="42A11D09" w14:textId="6E354143" w:rsidR="00E40CE5" w:rsidRPr="007E0156" w:rsidRDefault="00260FE1" w:rsidP="00E0787D">
      <w:pPr>
        <w:ind w:left="360"/>
        <w:jc w:val="both"/>
      </w:pPr>
      <w:r w:rsidRPr="007E0156">
        <w:t xml:space="preserve">A notification is required if </w:t>
      </w:r>
      <w:r w:rsidR="00F126FC">
        <w:t xml:space="preserve">the RP </w:t>
      </w:r>
      <w:r w:rsidR="00F126FC" w:rsidRPr="00C26D4D">
        <w:rPr>
          <w:i/>
          <w:iCs/>
        </w:rPr>
        <w:t>forms the belief</w:t>
      </w:r>
      <w:r w:rsidR="00F126FC">
        <w:t xml:space="preserve"> </w:t>
      </w:r>
      <w:r w:rsidRPr="007E0156">
        <w:t xml:space="preserve">a breach is </w:t>
      </w:r>
      <w:r w:rsidR="00F126FC">
        <w:t>likely</w:t>
      </w:r>
      <w:r w:rsidRPr="007E0156">
        <w:t>. If that likely breach eventuates in an actual breach, a s</w:t>
      </w:r>
      <w:r w:rsidR="00284BB6" w:rsidRPr="007E0156">
        <w:t>eparate notification</w:t>
      </w:r>
      <w:r w:rsidRPr="007E0156">
        <w:t xml:space="preserve"> must be made.</w:t>
      </w:r>
      <w:r w:rsidR="00284BB6" w:rsidRPr="007E0156">
        <w:t xml:space="preserve"> Separate notifications are also required for likely breaches arising in different circumstances or at different times. Where there is an ongoing supply disruption and the RP has periods of breach followed by compliance, notifications are required for each breach </w:t>
      </w:r>
      <w:r w:rsidRPr="007E0156">
        <w:t xml:space="preserve">even if the breaches arise from the </w:t>
      </w:r>
      <w:r w:rsidR="00284BB6" w:rsidRPr="007E0156">
        <w:t>single initial instigating event. Where a</w:t>
      </w:r>
      <w:r w:rsidR="009456FE">
        <w:t>n</w:t>
      </w:r>
      <w:r w:rsidR="00284BB6" w:rsidRPr="007E0156">
        <w:t xml:space="preserve"> RP remains in breach for a period of time, the single notification of likely breach, followed by a single notification of actual breach</w:t>
      </w:r>
      <w:r w:rsidR="00F126FC">
        <w:t>,</w:t>
      </w:r>
      <w:r w:rsidR="00284BB6" w:rsidRPr="007E0156">
        <w:t xml:space="preserve"> will suffice but may be updated as necessary (see</w:t>
      </w:r>
      <w:r w:rsidR="00E417F5" w:rsidRPr="007E0156">
        <w:t xml:space="preserve"> </w:t>
      </w:r>
      <w:hyperlink w:anchor="_Minister_to_be">
        <w:r w:rsidR="00F126FC" w:rsidRPr="00EA6859">
          <w:rPr>
            <w:color w:val="005EB8" w:themeColor="text2"/>
            <w:u w:val="single"/>
          </w:rPr>
          <w:t>Section 7.2</w:t>
        </w:r>
      </w:hyperlink>
      <w:r w:rsidR="00E417F5" w:rsidRPr="007E0156">
        <w:t xml:space="preserve"> above).</w:t>
      </w:r>
    </w:p>
    <w:p w14:paraId="0BAF4E1A" w14:textId="6AE7D2CB" w:rsidR="00E0787D" w:rsidRPr="007E0156" w:rsidRDefault="00E0787D" w:rsidP="00E0787D">
      <w:pPr>
        <w:ind w:left="360"/>
        <w:jc w:val="both"/>
      </w:pPr>
      <w:r w:rsidRPr="007E0156">
        <w:t xml:space="preserve">Further information on notification requirements is covered </w:t>
      </w:r>
      <w:r w:rsidR="001B49A8" w:rsidRPr="007E0156">
        <w:t>i</w:t>
      </w:r>
      <w:r w:rsidR="00E91F99" w:rsidRPr="007E0156">
        <w:t xml:space="preserve">n </w:t>
      </w:r>
      <w:hyperlink w:anchor="_Minister_to_be">
        <w:r w:rsidR="00F126FC" w:rsidRPr="00EA6859">
          <w:rPr>
            <w:color w:val="005EB8" w:themeColor="text2"/>
            <w:u w:val="single"/>
          </w:rPr>
          <w:t>Secti</w:t>
        </w:r>
      </w:hyperlink>
      <w:r w:rsidR="00F126FC" w:rsidRPr="00EA6859">
        <w:rPr>
          <w:color w:val="005EB8" w:themeColor="text2"/>
          <w:u w:val="single"/>
        </w:rPr>
        <w:t>on 7.2</w:t>
      </w:r>
      <w:r w:rsidR="00F126FC" w:rsidRPr="00EA6859">
        <w:t>,</w:t>
      </w:r>
      <w:r w:rsidRPr="007E0156">
        <w:t xml:space="preserve"> including the information and evidence that may be appropriate to submit to show that the notification which is given is compliant.</w:t>
      </w:r>
    </w:p>
    <w:p w14:paraId="52D6C545" w14:textId="77777777" w:rsidR="00F126FC" w:rsidRDefault="00F126FC" w:rsidP="005A2644">
      <w:pPr>
        <w:numPr>
          <w:ilvl w:val="0"/>
          <w:numId w:val="16"/>
        </w:numPr>
        <w:jc w:val="both"/>
        <w:rPr>
          <w:b/>
          <w:bCs/>
        </w:rPr>
      </w:pPr>
      <w:r>
        <w:rPr>
          <w:b/>
          <w:bCs/>
        </w:rPr>
        <w:t>Notification non-compliance may impact breach risk assessment</w:t>
      </w:r>
    </w:p>
    <w:p w14:paraId="145ACDE6" w14:textId="212AC351" w:rsidR="00F126FC" w:rsidRPr="00C26D4D" w:rsidRDefault="00F126FC" w:rsidP="00F126FC">
      <w:pPr>
        <w:ind w:left="360"/>
        <w:jc w:val="both"/>
      </w:pPr>
      <w:r>
        <w:t xml:space="preserve">The </w:t>
      </w:r>
      <w:r w:rsidR="009E653E">
        <w:t>d</w:t>
      </w:r>
      <w:r>
        <w:t>epartment’s assessment of any individual likely or actual breach considers the relevant RP’s compliance history, including if the RP has and continues to submit required notifications. An RP’s assessed failure to comply with the notification requirements may result in an escalated compliance response.</w:t>
      </w:r>
    </w:p>
    <w:p w14:paraId="5F53E8ED" w14:textId="77777777" w:rsidR="00E0787D" w:rsidRPr="007E0156" w:rsidDel="003A6526" w:rsidRDefault="00E0787D" w:rsidP="005A2644">
      <w:pPr>
        <w:numPr>
          <w:ilvl w:val="0"/>
          <w:numId w:val="16"/>
        </w:numPr>
        <w:jc w:val="both"/>
        <w:rPr>
          <w:b/>
          <w:bCs/>
        </w:rPr>
      </w:pPr>
      <w:r w:rsidRPr="007E0156">
        <w:rPr>
          <w:b/>
          <w:bCs/>
        </w:rPr>
        <w:t>Penalties may apply in the event of breaches of the breach notification</w:t>
      </w:r>
      <w:r w:rsidRPr="007E0156">
        <w:rPr>
          <w:b/>
        </w:rPr>
        <w:t xml:space="preserve"> requirements</w:t>
      </w:r>
    </w:p>
    <w:p w14:paraId="7BBA36EE" w14:textId="7FD66608" w:rsidR="00A34E29" w:rsidRPr="00FE19B2" w:rsidRDefault="00E0787D" w:rsidP="00DC695E">
      <w:pPr>
        <w:ind w:left="360"/>
        <w:jc w:val="both"/>
        <w:rPr>
          <w:rFonts w:asciiTheme="majorHAnsi" w:hAnsiTheme="majorHAnsi"/>
          <w:b/>
          <w:color w:val="002142" w:themeColor="accent1"/>
        </w:rPr>
      </w:pPr>
      <w:r w:rsidRPr="007E0156">
        <w:t>The criminal penalty for failing to comply with the breach notification requirements is 60 penalty units (s99AEKD(3)</w:t>
      </w:r>
      <w:r w:rsidR="00B35309" w:rsidRPr="007E0156">
        <w:t xml:space="preserve"> of the Act</w:t>
      </w:r>
      <w:r w:rsidRPr="007E0156">
        <w:t xml:space="preserve">). Depending upon the circumstances of a breach, the </w:t>
      </w:r>
      <w:r w:rsidR="009E653E">
        <w:t>d</w:t>
      </w:r>
      <w:r w:rsidRPr="007E0156">
        <w:t>epartment will consider whether it is appropriate to refer the matter to the Commonwealth Director of Public Prosecutions.</w:t>
      </w:r>
    </w:p>
    <w:p w14:paraId="10E6A25F" w14:textId="2DBB64E4" w:rsidR="001D4D5A" w:rsidRPr="007E0156" w:rsidRDefault="00F126FC" w:rsidP="00FE7FAF">
      <w:pPr>
        <w:pStyle w:val="Heading2"/>
        <w:jc w:val="both"/>
      </w:pPr>
      <w:bookmarkStart w:id="115" w:name="_Toc205482110"/>
      <w:r w:rsidRPr="00C26D4D">
        <w:t>Breaches</w:t>
      </w:r>
      <w:r w:rsidR="00132DCC" w:rsidRPr="007E0156">
        <w:t xml:space="preserve"> of </w:t>
      </w:r>
      <w:r w:rsidRPr="00C26D4D">
        <w:t xml:space="preserve">the </w:t>
      </w:r>
      <w:r w:rsidR="00132DCC" w:rsidRPr="007E0156">
        <w:t>stockholding disclosure requirements</w:t>
      </w:r>
      <w:bookmarkEnd w:id="115"/>
    </w:p>
    <w:p w14:paraId="74158292" w14:textId="3BC6FA1A" w:rsidR="00747887" w:rsidRPr="007E0156" w:rsidRDefault="00874DBB" w:rsidP="00FE7FAF">
      <w:pPr>
        <w:jc w:val="both"/>
      </w:pPr>
      <w:r w:rsidRPr="007E0156">
        <w:t>As discussed in</w:t>
      </w:r>
      <w:r w:rsidR="00E91F99" w:rsidRPr="007E0156">
        <w:t xml:space="preserve"> </w:t>
      </w:r>
      <w:hyperlink w:anchor="_Stockholding_disclosure_requirement">
        <w:r w:rsidR="00F126FC" w:rsidRPr="00EA6859">
          <w:rPr>
            <w:color w:val="005EB8" w:themeColor="text2"/>
            <w:u w:val="single"/>
          </w:rPr>
          <w:t>Section</w:t>
        </w:r>
      </w:hyperlink>
      <w:r w:rsidR="00F126FC" w:rsidRPr="00EA6859">
        <w:rPr>
          <w:color w:val="005EB8" w:themeColor="text2"/>
          <w:u w:val="single"/>
        </w:rPr>
        <w:t xml:space="preserve"> 7.1</w:t>
      </w:r>
      <w:r w:rsidR="00F126FC" w:rsidRPr="00EA6859">
        <w:t>,</w:t>
      </w:r>
      <w:r w:rsidR="00193F19" w:rsidRPr="007E0156">
        <w:t xml:space="preserve"> </w:t>
      </w:r>
      <w:r w:rsidR="0043558E" w:rsidRPr="007E0156">
        <w:t>RPs</w:t>
      </w:r>
      <w:r w:rsidR="00193F19" w:rsidRPr="007E0156">
        <w:t xml:space="preserve"> are required </w:t>
      </w:r>
      <w:r w:rsidR="0043558E" w:rsidRPr="007E0156">
        <w:t xml:space="preserve">under s99AEKF of the Act </w:t>
      </w:r>
      <w:r w:rsidR="00193F19" w:rsidRPr="007E0156">
        <w:t xml:space="preserve">to disclose </w:t>
      </w:r>
      <w:r w:rsidR="0043558E" w:rsidRPr="007E0156">
        <w:t xml:space="preserve">the </w:t>
      </w:r>
      <w:r w:rsidR="00364A74" w:rsidRPr="007E0156">
        <w:t xml:space="preserve">quantity of the brand </w:t>
      </w:r>
      <w:r w:rsidR="0043558E" w:rsidRPr="007E0156">
        <w:t>kept in stock in Australia</w:t>
      </w:r>
      <w:r w:rsidR="00050CEF" w:rsidRPr="007E0156">
        <w:t xml:space="preserve"> for each designated brand</w:t>
      </w:r>
      <w:r w:rsidR="00193F19" w:rsidRPr="007E0156">
        <w:t xml:space="preserve">. </w:t>
      </w:r>
      <w:r w:rsidR="00F126FC" w:rsidRPr="00EA6859">
        <w:t xml:space="preserve">This disclosure assists the Minister to ensure </w:t>
      </w:r>
      <w:r w:rsidR="00F126FC" w:rsidRPr="00EA6859">
        <w:lastRenderedPageBreak/>
        <w:t xml:space="preserve">compliance with the minimum stockholding requirement. Failure to fully comply with the stockholding disclosure requirements is an offence under s99AEKF of the Act. </w:t>
      </w:r>
      <w:r w:rsidR="001D4D5A" w:rsidRPr="007E0156">
        <w:t xml:space="preserve">Breaches to </w:t>
      </w:r>
      <w:r w:rsidR="001D1F84" w:rsidRPr="007E0156">
        <w:t>disclosure</w:t>
      </w:r>
      <w:r w:rsidR="001D4D5A" w:rsidRPr="007E0156">
        <w:t xml:space="preserve"> requirements may be assessed and managed by the </w:t>
      </w:r>
      <w:r w:rsidR="009E653E">
        <w:t>d</w:t>
      </w:r>
      <w:r w:rsidR="00132DCC" w:rsidRPr="007E0156">
        <w:t>epartment</w:t>
      </w:r>
      <w:r w:rsidR="001D4D5A" w:rsidRPr="007E0156">
        <w:t xml:space="preserve">. </w:t>
      </w:r>
      <w:r w:rsidR="0043558E" w:rsidRPr="007E0156">
        <w:t>RPs</w:t>
      </w:r>
      <w:r w:rsidR="00A00B89" w:rsidRPr="007E0156">
        <w:t xml:space="preserve"> may be</w:t>
      </w:r>
      <w:r w:rsidR="00747887" w:rsidRPr="007E0156">
        <w:t xml:space="preserve"> requ</w:t>
      </w:r>
      <w:r w:rsidR="00132DCC" w:rsidRPr="007E0156">
        <w:t>ested</w:t>
      </w:r>
      <w:r w:rsidR="00747887" w:rsidRPr="007E0156">
        <w:t xml:space="preserve"> to participate in a breach investigation</w:t>
      </w:r>
      <w:r w:rsidR="00B45312" w:rsidRPr="007E0156">
        <w:t>.</w:t>
      </w:r>
    </w:p>
    <w:p w14:paraId="3734C1C9" w14:textId="75C88D16" w:rsidR="00E32F02" w:rsidRPr="007E0156" w:rsidRDefault="00E32F02" w:rsidP="00FE7FAF">
      <w:pPr>
        <w:jc w:val="both"/>
      </w:pPr>
      <w:r w:rsidRPr="007E0156">
        <w:t>Th</w:t>
      </w:r>
      <w:r w:rsidR="008E39E7" w:rsidRPr="007E0156">
        <w:t>e</w:t>
      </w:r>
      <w:r w:rsidR="00355B42" w:rsidRPr="007E0156">
        <w:t xml:space="preserve"> instances when a breach occurs and the</w:t>
      </w:r>
      <w:r w:rsidR="00B33094" w:rsidRPr="007E0156">
        <w:t xml:space="preserve"> </w:t>
      </w:r>
      <w:r w:rsidR="00355B42" w:rsidRPr="007E0156">
        <w:t>penalties that may apply</w:t>
      </w:r>
      <w:r w:rsidR="008E39E7" w:rsidRPr="007E0156">
        <w:t xml:space="preserve"> are as follows:</w:t>
      </w:r>
    </w:p>
    <w:p w14:paraId="709B73BF" w14:textId="1A8F2366" w:rsidR="0032048E" w:rsidRPr="007E0156" w:rsidRDefault="0043558E" w:rsidP="005A2644">
      <w:pPr>
        <w:numPr>
          <w:ilvl w:val="0"/>
          <w:numId w:val="32"/>
        </w:numPr>
        <w:jc w:val="both"/>
        <w:rPr>
          <w:b/>
          <w:bCs/>
        </w:rPr>
      </w:pPr>
      <w:r w:rsidRPr="007E0156">
        <w:rPr>
          <w:b/>
          <w:bCs/>
        </w:rPr>
        <w:t>RPs</w:t>
      </w:r>
      <w:r w:rsidR="00F235DE" w:rsidRPr="007E0156">
        <w:rPr>
          <w:b/>
          <w:bCs/>
        </w:rPr>
        <w:t xml:space="preserve"> are required to disclose complete and accurate information</w:t>
      </w:r>
    </w:p>
    <w:p w14:paraId="10D83392" w14:textId="2A1D7377" w:rsidR="0071600A" w:rsidRPr="007E0156" w:rsidRDefault="0043558E" w:rsidP="00E957D2">
      <w:pPr>
        <w:ind w:firstLine="360"/>
        <w:jc w:val="both"/>
      </w:pPr>
      <w:r w:rsidRPr="007E0156">
        <w:t>A</w:t>
      </w:r>
      <w:r w:rsidR="009456FE">
        <w:t>n</w:t>
      </w:r>
      <w:r w:rsidR="00A77802" w:rsidRPr="007E0156">
        <w:t xml:space="preserve"> </w:t>
      </w:r>
      <w:r w:rsidRPr="007E0156">
        <w:t>RP</w:t>
      </w:r>
      <w:r w:rsidR="0071600A" w:rsidRPr="007E0156">
        <w:t xml:space="preserve"> commits an offence if they</w:t>
      </w:r>
      <w:r w:rsidR="00413E36" w:rsidRPr="007E0156">
        <w:t xml:space="preserve"> </w:t>
      </w:r>
      <w:r w:rsidR="0071600A" w:rsidRPr="007E0156">
        <w:t xml:space="preserve">are </w:t>
      </w:r>
      <w:r w:rsidR="00413E36" w:rsidRPr="007E0156">
        <w:t>required to</w:t>
      </w:r>
      <w:r w:rsidR="00132DCC" w:rsidRPr="007E0156">
        <w:t xml:space="preserve"> provide stockholding disclosure </w:t>
      </w:r>
      <w:r w:rsidR="0071600A" w:rsidRPr="007E0156">
        <w:t>and fail to:</w:t>
      </w:r>
    </w:p>
    <w:p w14:paraId="3FC3F41E" w14:textId="561AFD3D" w:rsidR="001D306C" w:rsidRPr="007E0156" w:rsidRDefault="00F00800" w:rsidP="005A2644">
      <w:pPr>
        <w:numPr>
          <w:ilvl w:val="0"/>
          <w:numId w:val="33"/>
        </w:numPr>
        <w:tabs>
          <w:tab w:val="num" w:pos="1560"/>
        </w:tabs>
        <w:ind w:hanging="2466"/>
        <w:jc w:val="both"/>
      </w:pPr>
      <w:r>
        <w:t>S</w:t>
      </w:r>
      <w:r w:rsidR="0043558E" w:rsidRPr="007E0156">
        <w:t>ubmit the information;</w:t>
      </w:r>
      <w:r w:rsidR="0008419B" w:rsidRPr="007E0156">
        <w:t xml:space="preserve"> and/or</w:t>
      </w:r>
    </w:p>
    <w:p w14:paraId="4C40EF6A" w14:textId="02A34690" w:rsidR="00E30AFF" w:rsidRPr="007E0156" w:rsidRDefault="00F00800" w:rsidP="005A2644">
      <w:pPr>
        <w:numPr>
          <w:ilvl w:val="0"/>
          <w:numId w:val="33"/>
        </w:numPr>
        <w:tabs>
          <w:tab w:val="num" w:pos="1560"/>
        </w:tabs>
        <w:ind w:hanging="2466"/>
        <w:jc w:val="both"/>
      </w:pPr>
      <w:r>
        <w:t>P</w:t>
      </w:r>
      <w:r w:rsidR="0043558E" w:rsidRPr="007E0156">
        <w:t>rovide</w:t>
      </w:r>
      <w:r w:rsidR="00E30AFF" w:rsidRPr="007E0156">
        <w:t xml:space="preserve"> </w:t>
      </w:r>
      <w:r w:rsidR="00132DCC" w:rsidRPr="007E0156">
        <w:t xml:space="preserve">all </w:t>
      </w:r>
      <w:r w:rsidR="0043558E" w:rsidRPr="007E0156">
        <w:t xml:space="preserve">required </w:t>
      </w:r>
      <w:r w:rsidR="00132DCC" w:rsidRPr="007E0156">
        <w:t>information</w:t>
      </w:r>
      <w:r w:rsidR="0043558E" w:rsidRPr="007E0156">
        <w:t>;</w:t>
      </w:r>
      <w:r w:rsidR="0008419B" w:rsidRPr="007E0156">
        <w:t xml:space="preserve"> and/or</w:t>
      </w:r>
    </w:p>
    <w:p w14:paraId="3AC68D9E" w14:textId="61D85146" w:rsidR="00132DCC" w:rsidRPr="007E0156" w:rsidRDefault="00F00800" w:rsidP="005A2644">
      <w:pPr>
        <w:numPr>
          <w:ilvl w:val="0"/>
          <w:numId w:val="33"/>
        </w:numPr>
        <w:tabs>
          <w:tab w:val="num" w:pos="1560"/>
        </w:tabs>
        <w:ind w:left="1560" w:hanging="426"/>
        <w:jc w:val="both"/>
      </w:pPr>
      <w:r>
        <w:t>P</w:t>
      </w:r>
      <w:r w:rsidR="0043558E" w:rsidRPr="007E0156">
        <w:t>rovide the require</w:t>
      </w:r>
      <w:r w:rsidR="006F3CC3" w:rsidRPr="007E0156">
        <w:t>d</w:t>
      </w:r>
      <w:r w:rsidR="0043558E" w:rsidRPr="007E0156">
        <w:t xml:space="preserve"> information </w:t>
      </w:r>
      <w:r w:rsidR="00E30AFF" w:rsidRPr="007E0156">
        <w:t xml:space="preserve">within the </w:t>
      </w:r>
      <w:r w:rsidR="007160E1" w:rsidRPr="007E0156">
        <w:t>legisl</w:t>
      </w:r>
      <w:r w:rsidR="00E30AFF" w:rsidRPr="007E0156">
        <w:t>ated timeline</w:t>
      </w:r>
      <w:r w:rsidR="007160E1" w:rsidRPr="007E0156">
        <w:t xml:space="preserve"> </w:t>
      </w:r>
      <w:r w:rsidR="00364A74" w:rsidRPr="007E0156">
        <w:t xml:space="preserve">under </w:t>
      </w:r>
      <w:r w:rsidR="00DC0F6F" w:rsidRPr="007E0156">
        <w:t xml:space="preserve">s85C </w:t>
      </w:r>
      <w:r w:rsidR="00364A74" w:rsidRPr="007E0156">
        <w:t xml:space="preserve">of the </w:t>
      </w:r>
      <w:r w:rsidR="00132DCC" w:rsidRPr="007E0156">
        <w:t>R</w:t>
      </w:r>
      <w:r w:rsidR="00DC0F6F" w:rsidRPr="007E0156">
        <w:t>egulations</w:t>
      </w:r>
      <w:r w:rsidR="00132DCC" w:rsidRPr="007E0156">
        <w:t>.</w:t>
      </w:r>
    </w:p>
    <w:p w14:paraId="2F6A7696" w14:textId="58474192" w:rsidR="0043558E" w:rsidRPr="007E0156" w:rsidRDefault="0043558E" w:rsidP="0043558E">
      <w:pPr>
        <w:ind w:left="360"/>
        <w:jc w:val="both"/>
      </w:pPr>
      <w:r w:rsidRPr="007E0156">
        <w:t>As noted above giving false or misleading information and producing false or misleading documents is an offence.</w:t>
      </w:r>
    </w:p>
    <w:p w14:paraId="3D35CEF0" w14:textId="7004A136" w:rsidR="00F126FC" w:rsidRPr="00EA6859" w:rsidRDefault="00F126FC" w:rsidP="005A2644">
      <w:pPr>
        <w:numPr>
          <w:ilvl w:val="0"/>
          <w:numId w:val="32"/>
        </w:numPr>
        <w:jc w:val="both"/>
        <w:rPr>
          <w:b/>
          <w:bCs/>
        </w:rPr>
      </w:pPr>
      <w:r w:rsidRPr="00EA6859">
        <w:rPr>
          <w:b/>
          <w:bCs/>
        </w:rPr>
        <w:t xml:space="preserve">Failure to comply with the </w:t>
      </w:r>
      <w:r w:rsidR="0043558E" w:rsidRPr="00FE19B2">
        <w:rPr>
          <w:b/>
        </w:rPr>
        <w:t xml:space="preserve">stockholding </w:t>
      </w:r>
      <w:r w:rsidR="003372CF" w:rsidRPr="00FE19B2">
        <w:rPr>
          <w:b/>
        </w:rPr>
        <w:t xml:space="preserve">disclosure </w:t>
      </w:r>
      <w:r w:rsidR="00B2198C" w:rsidRPr="00FE19B2">
        <w:rPr>
          <w:b/>
        </w:rPr>
        <w:t>requirements</w:t>
      </w:r>
    </w:p>
    <w:p w14:paraId="75302C0F" w14:textId="3689AA76" w:rsidR="00DC0F6F" w:rsidRPr="007E0156" w:rsidRDefault="00F126FC" w:rsidP="00FE7FAF">
      <w:pPr>
        <w:ind w:left="360"/>
        <w:jc w:val="both"/>
      </w:pPr>
      <w:r w:rsidRPr="00EA6859">
        <w:t>If the RP becomes aware that it will act or has acted</w:t>
      </w:r>
      <w:r w:rsidR="003372CF" w:rsidRPr="007E0156">
        <w:t xml:space="preserve"> in </w:t>
      </w:r>
      <w:r w:rsidRPr="00EA6859">
        <w:t xml:space="preserve">a non-compliant manner then it should advise the PDDA and the </w:t>
      </w:r>
      <w:r w:rsidR="009E653E">
        <w:t>d</w:t>
      </w:r>
      <w:r w:rsidRPr="00EA6859">
        <w:t>epartment immediately in writing. If verbal notification is provided, it should immediately be followed by written confirmation</w:t>
      </w:r>
      <w:r>
        <w:t xml:space="preserve"> (for example, via email to </w:t>
      </w:r>
      <w:hyperlink r:id="rId58" w:history="1">
        <w:r w:rsidRPr="00026E12">
          <w:rPr>
            <w:rStyle w:val="Hyperlink"/>
          </w:rPr>
          <w:t>pbsstockholding@health.gov.au</w:t>
        </w:r>
      </w:hyperlink>
      <w:r>
        <w:t>)</w:t>
      </w:r>
      <w:r w:rsidRPr="00EA6859">
        <w:t xml:space="preserve">. The </w:t>
      </w:r>
      <w:r w:rsidR="009E653E">
        <w:t>d</w:t>
      </w:r>
      <w:r w:rsidRPr="00EA6859">
        <w:t xml:space="preserve">epartment or the PDDA (acting on behalf of the </w:t>
      </w:r>
      <w:r w:rsidR="009E653E">
        <w:t>d</w:t>
      </w:r>
      <w:r w:rsidRPr="00EA6859">
        <w:t>epartment) will then advise the RP as to the course of action the RP will need to take to minimise the impact of the non</w:t>
      </w:r>
      <w:r>
        <w:t>-</w:t>
      </w:r>
      <w:r w:rsidRPr="00EA6859">
        <w:t>compliance.</w:t>
      </w:r>
    </w:p>
    <w:p w14:paraId="4462D901" w14:textId="3C62D842" w:rsidR="0032048E" w:rsidRPr="007E0156" w:rsidRDefault="003A6526" w:rsidP="005A2644">
      <w:pPr>
        <w:numPr>
          <w:ilvl w:val="0"/>
          <w:numId w:val="32"/>
        </w:numPr>
        <w:jc w:val="both"/>
        <w:rPr>
          <w:b/>
          <w:bCs/>
        </w:rPr>
      </w:pPr>
      <w:r w:rsidRPr="007E0156">
        <w:rPr>
          <w:b/>
          <w:bCs/>
        </w:rPr>
        <w:t xml:space="preserve">Penalties may apply in the event of breaches </w:t>
      </w:r>
      <w:r w:rsidR="0043558E" w:rsidRPr="007E0156">
        <w:rPr>
          <w:b/>
          <w:bCs/>
        </w:rPr>
        <w:t xml:space="preserve">of </w:t>
      </w:r>
      <w:r w:rsidRPr="007E0156">
        <w:rPr>
          <w:b/>
          <w:bCs/>
        </w:rPr>
        <w:t>stockholding disclosure requirements</w:t>
      </w:r>
    </w:p>
    <w:p w14:paraId="20AD35DA" w14:textId="50764B0C" w:rsidR="00F235DE" w:rsidRDefault="00132DCC" w:rsidP="00FE7FAF">
      <w:pPr>
        <w:ind w:left="360"/>
        <w:jc w:val="both"/>
      </w:pPr>
      <w:r w:rsidRPr="007E0156">
        <w:t xml:space="preserve">The criminal penalty for failing to comply with the stockholding disclosure requirements </w:t>
      </w:r>
      <w:r w:rsidR="00653CB8" w:rsidRPr="007E0156">
        <w:t>is 60</w:t>
      </w:r>
      <w:r w:rsidRPr="007E0156">
        <w:t> </w:t>
      </w:r>
      <w:r w:rsidR="00653CB8" w:rsidRPr="007E0156">
        <w:t>penalty units</w:t>
      </w:r>
      <w:r w:rsidR="00050CEF" w:rsidRPr="007E0156">
        <w:t xml:space="preserve"> (s99AEKF(3)</w:t>
      </w:r>
      <w:r w:rsidR="00B35309" w:rsidRPr="007E0156">
        <w:t xml:space="preserve"> of the Act</w:t>
      </w:r>
      <w:r w:rsidR="00050CEF" w:rsidRPr="007E0156">
        <w:t>)</w:t>
      </w:r>
      <w:r w:rsidR="00653CB8" w:rsidRPr="007E0156">
        <w:t xml:space="preserve">. </w:t>
      </w:r>
      <w:r w:rsidRPr="007E0156">
        <w:t xml:space="preserve">Depending upon the circumstances of a breach, the </w:t>
      </w:r>
      <w:r w:rsidR="009E653E">
        <w:t>d</w:t>
      </w:r>
      <w:r w:rsidRPr="007E0156">
        <w:t xml:space="preserve">epartment will consider whether it is appropriate to refer </w:t>
      </w:r>
      <w:r w:rsidR="00353D1C" w:rsidRPr="007E0156">
        <w:t>the matter to the Commonwealth Director of Public Prosecutions.</w:t>
      </w:r>
    </w:p>
    <w:p w14:paraId="0BE25A54" w14:textId="3393C615" w:rsidR="00464FBC" w:rsidRDefault="00464FBC">
      <w:r>
        <w:br w:type="page"/>
      </w:r>
    </w:p>
    <w:p w14:paraId="6460ABEF" w14:textId="04D4257F" w:rsidR="00D60B3C" w:rsidRPr="00C26D4D" w:rsidRDefault="00D60B3C" w:rsidP="00D60B3C">
      <w:pPr>
        <w:pStyle w:val="Heading1"/>
      </w:pPr>
      <w:bookmarkStart w:id="116" w:name="_Toc205482111"/>
      <w:r>
        <w:lastRenderedPageBreak/>
        <w:t>Revision History</w:t>
      </w:r>
      <w:bookmarkEnd w:id="116"/>
    </w:p>
    <w:p w14:paraId="78AEC1A2" w14:textId="77777777" w:rsidR="00D60B3C" w:rsidRDefault="00D60B3C"/>
    <w:p w14:paraId="42B6232D" w14:textId="2DF96F9C" w:rsidR="00D60B3C" w:rsidRPr="00973BEC" w:rsidRDefault="00D60B3C" w:rsidP="00D60B3C">
      <w:pPr>
        <w:rPr>
          <w:rFonts w:cstheme="minorHAnsi"/>
        </w:rPr>
      </w:pPr>
      <w:r w:rsidRPr="00973BEC">
        <w:rPr>
          <w:rFonts w:cstheme="minorHAnsi"/>
        </w:rPr>
        <w:t>Version</w:t>
      </w:r>
      <w:r w:rsidRPr="00973BEC">
        <w:rPr>
          <w:rFonts w:cstheme="minorHAnsi"/>
        </w:rPr>
        <w:tab/>
      </w:r>
      <w:r w:rsidRPr="00973BEC">
        <w:rPr>
          <w:rFonts w:cstheme="minorHAnsi"/>
        </w:rPr>
        <w:tab/>
      </w:r>
      <w:r w:rsidRPr="00973BEC">
        <w:rPr>
          <w:rFonts w:cstheme="minorHAnsi"/>
        </w:rPr>
        <w:tab/>
      </w:r>
      <w:r w:rsidRPr="00973BEC">
        <w:rPr>
          <w:rFonts w:cstheme="minorHAnsi"/>
        </w:rPr>
        <w:tab/>
      </w:r>
      <w:r w:rsidRPr="00973BEC">
        <w:rPr>
          <w:rFonts w:cstheme="minorHAnsi"/>
        </w:rPr>
        <w:tab/>
      </w:r>
      <w:r w:rsidRPr="00973BEC">
        <w:rPr>
          <w:rFonts w:cstheme="minorHAnsi"/>
        </w:rPr>
        <w:tab/>
      </w:r>
      <w:r w:rsidRPr="00973BEC">
        <w:rPr>
          <w:rFonts w:cstheme="minorHAnsi"/>
        </w:rPr>
        <w:tab/>
      </w:r>
      <w:r w:rsidRPr="00973BEC">
        <w:rPr>
          <w:rFonts w:cstheme="minorHAnsi"/>
        </w:rPr>
        <w:tab/>
      </w:r>
      <w:r w:rsidRPr="00973BEC">
        <w:rPr>
          <w:rFonts w:cstheme="minorHAnsi"/>
        </w:rPr>
        <w:tab/>
      </w:r>
      <w:r>
        <w:rPr>
          <w:rFonts w:cstheme="minorHAnsi"/>
        </w:rPr>
        <w:t>2.0</w:t>
      </w:r>
    </w:p>
    <w:p w14:paraId="420A63B9" w14:textId="3A932EBA" w:rsidR="00D60B3C" w:rsidRPr="00973BEC" w:rsidRDefault="00D60B3C" w:rsidP="00D60B3C">
      <w:pPr>
        <w:rPr>
          <w:rFonts w:cstheme="minorHAnsi"/>
        </w:rPr>
      </w:pPr>
      <w:r w:rsidRPr="00973BEC">
        <w:rPr>
          <w:rFonts w:cstheme="minorHAnsi"/>
        </w:rPr>
        <w:t>Last reviewed</w:t>
      </w:r>
      <w:r w:rsidRPr="00973BEC">
        <w:rPr>
          <w:rFonts w:cstheme="minorHAnsi"/>
        </w:rPr>
        <w:tab/>
      </w:r>
      <w:r w:rsidRPr="00973BEC">
        <w:rPr>
          <w:rFonts w:cstheme="minorHAnsi"/>
        </w:rPr>
        <w:tab/>
      </w:r>
      <w:r w:rsidRPr="00973BEC">
        <w:rPr>
          <w:rFonts w:cstheme="minorHAnsi"/>
        </w:rPr>
        <w:tab/>
      </w:r>
      <w:r w:rsidRPr="00973BEC">
        <w:rPr>
          <w:rFonts w:cstheme="minorHAnsi"/>
        </w:rPr>
        <w:tab/>
      </w:r>
      <w:r w:rsidRPr="00973BEC">
        <w:rPr>
          <w:rFonts w:cstheme="minorHAnsi"/>
        </w:rPr>
        <w:tab/>
      </w:r>
      <w:r w:rsidRPr="00973BEC">
        <w:rPr>
          <w:rFonts w:cstheme="minorHAnsi"/>
        </w:rPr>
        <w:tab/>
      </w:r>
      <w:r w:rsidRPr="00973BEC">
        <w:rPr>
          <w:rFonts w:cstheme="minorHAnsi"/>
        </w:rPr>
        <w:tab/>
      </w:r>
      <w:r w:rsidRPr="00973BEC">
        <w:rPr>
          <w:rFonts w:cstheme="minorHAnsi"/>
        </w:rPr>
        <w:tab/>
      </w:r>
      <w:r w:rsidR="00B771AE">
        <w:rPr>
          <w:rFonts w:cstheme="minorHAnsi"/>
        </w:rPr>
        <w:t>17</w:t>
      </w:r>
      <w:r>
        <w:rPr>
          <w:rFonts w:cstheme="minorHAnsi"/>
        </w:rPr>
        <w:t xml:space="preserve"> </w:t>
      </w:r>
      <w:r w:rsidR="00870BDD">
        <w:rPr>
          <w:rFonts w:cstheme="minorHAnsi"/>
        </w:rPr>
        <w:t>July</w:t>
      </w:r>
      <w:r>
        <w:rPr>
          <w:rFonts w:cstheme="minorHAnsi"/>
        </w:rPr>
        <w:t xml:space="preserve"> 2025</w:t>
      </w:r>
    </w:p>
    <w:p w14:paraId="4582B713" w14:textId="7CEC9A1C" w:rsidR="00D60B3C" w:rsidRDefault="00D60B3C">
      <w:r>
        <w:br w:type="page"/>
      </w:r>
    </w:p>
    <w:p w14:paraId="1BE11F95" w14:textId="77777777" w:rsidR="00D60B3C" w:rsidRDefault="00D60B3C"/>
    <w:p w14:paraId="1DA24F13" w14:textId="77777777" w:rsidR="002A7FA6" w:rsidRDefault="002A7FA6" w:rsidP="00C707AE">
      <w:pPr>
        <w:pStyle w:val="URL"/>
      </w:pPr>
    </w:p>
    <w:p w14:paraId="282B2AE3" w14:textId="4D6E5AE8" w:rsidR="00C707AE" w:rsidRPr="004D1339" w:rsidRDefault="00C707AE" w:rsidP="00C707AE">
      <w:pPr>
        <w:pStyle w:val="URL"/>
      </w:pPr>
      <w:r w:rsidRPr="004D1339">
        <w:t>Health.gov.au</w:t>
      </w:r>
    </w:p>
    <w:p w14:paraId="1B190BC7" w14:textId="62B53759" w:rsidR="00C707AE" w:rsidRPr="004D1339" w:rsidRDefault="00C707AE" w:rsidP="00C707AE">
      <w:pPr>
        <w:jc w:val="center"/>
      </w:pPr>
      <w:r w:rsidRPr="004D1339">
        <w:t xml:space="preserve">All information in this publication is correct as at </w:t>
      </w:r>
      <w:r>
        <w:t>August 2025</w:t>
      </w:r>
    </w:p>
    <w:p w14:paraId="4722F230" w14:textId="77777777" w:rsidR="00050E01" w:rsidRPr="0092401F" w:rsidRDefault="00050E01" w:rsidP="0092401F"/>
    <w:sectPr w:rsidR="00050E01" w:rsidRPr="0092401F" w:rsidSect="00F824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612C7" w14:textId="77777777" w:rsidR="000150DC" w:rsidRPr="00FA0517" w:rsidRDefault="000150DC" w:rsidP="00FA0517">
      <w:pPr>
        <w:pStyle w:val="Footer"/>
      </w:pPr>
    </w:p>
  </w:endnote>
  <w:endnote w:type="continuationSeparator" w:id="0">
    <w:p w14:paraId="5B003F6E" w14:textId="77777777" w:rsidR="000150DC" w:rsidRDefault="000150DC" w:rsidP="00CA4CAB">
      <w:pPr>
        <w:spacing w:after="0" w:line="240" w:lineRule="auto"/>
      </w:pPr>
      <w:r>
        <w:continuationSeparator/>
      </w:r>
    </w:p>
  </w:endnote>
  <w:endnote w:type="continuationNotice" w:id="1">
    <w:p w14:paraId="74A12590" w14:textId="77777777" w:rsidR="000150DC" w:rsidRDefault="000150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nderson BCG Serif">
    <w:altName w:val="Cambria"/>
    <w:charset w:val="00"/>
    <w:family w:val="roman"/>
    <w:pitch w:val="variable"/>
    <w:sig w:usb0="A000006F" w:usb1="D000E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7BC0C" w14:textId="4A5D70D8" w:rsidR="00CF497D" w:rsidRDefault="00CF497D">
    <w:pPr>
      <w:pStyle w:val="Footer"/>
    </w:pPr>
    <w:r>
      <w:rPr>
        <w:sz w:val="16"/>
      </w:rPr>
      <w:fldChar w:fldCharType="begin" w:fldLock="1"/>
    </w:r>
    <w:r>
      <w:rPr>
        <w:sz w:val="16"/>
      </w:rPr>
      <w:instrText xml:space="preserve"> DOCVARIABLE  CUFooterText \* MERGEFORMAT </w:instrText>
    </w:r>
    <w:r>
      <w:rPr>
        <w:sz w:val="16"/>
      </w:rPr>
      <w:fldChar w:fldCharType="separate"/>
    </w:r>
    <w:r>
      <w:rPr>
        <w:sz w:val="16"/>
      </w:rPr>
      <w:t>L\345828134.2</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5323308"/>
      <w:docPartObj>
        <w:docPartGallery w:val="Page Numbers (Bottom of Page)"/>
        <w:docPartUnique/>
      </w:docPartObj>
    </w:sdtPr>
    <w:sdtEndPr>
      <w:rPr>
        <w:noProof/>
      </w:rPr>
    </w:sdtEndPr>
    <w:sdtContent>
      <w:p w14:paraId="19D38F52" w14:textId="5577C38F" w:rsidR="00CF497D" w:rsidRDefault="00CF497D">
        <w:pPr>
          <w:pStyle w:val="Footer"/>
          <w:jc w:val="center"/>
        </w:pPr>
        <w:r>
          <w:fldChar w:fldCharType="begin"/>
        </w:r>
        <w:r>
          <w:instrText xml:space="preserve"> PAGE   \* MERGEFORMAT </w:instrText>
        </w:r>
        <w:r>
          <w:fldChar w:fldCharType="separate"/>
        </w:r>
        <w:r>
          <w:rPr>
            <w:noProof/>
          </w:rPr>
          <w:t>33</w:t>
        </w:r>
        <w:r>
          <w:rPr>
            <w:noProof/>
          </w:rPr>
          <w:fldChar w:fldCharType="end"/>
        </w:r>
      </w:p>
    </w:sdtContent>
  </w:sdt>
  <w:p w14:paraId="21466ECD" w14:textId="77777777" w:rsidR="008B4BB5" w:rsidRDefault="008B4BB5"/>
  <w:p w14:paraId="30371003" w14:textId="77777777" w:rsidR="008B4BB5" w:rsidRDefault="008B4BB5"/>
  <w:p w14:paraId="30365A68" w14:textId="420F379A" w:rsidR="008B4BB5" w:rsidRPr="00C413ED" w:rsidRDefault="00EA7641" w:rsidP="00C413ED">
    <w:pPr>
      <w:pStyle w:val="Footer"/>
      <w:rPr>
        <w:rFonts w:ascii="Arial" w:hAnsi="Arial" w:cs="Arial"/>
        <w:sz w:val="14"/>
      </w:rPr>
    </w:pPr>
    <w:r>
      <w:rPr>
        <w:rFonts w:ascii="Arial" w:hAnsi="Arial" w:cs="Arial"/>
        <w:sz w:val="14"/>
      </w:rPr>
      <w:t>Pharmaceutical Benefits Scheme – Minimum Stockholding Guidelines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17773" w14:textId="7021925F" w:rsidR="00CF497D" w:rsidRDefault="00CF497D">
    <w:pPr>
      <w:pStyle w:val="Footer"/>
    </w:pPr>
    <w:r>
      <w:rPr>
        <w:sz w:val="16"/>
      </w:rPr>
      <w:fldChar w:fldCharType="begin" w:fldLock="1"/>
    </w:r>
    <w:r>
      <w:rPr>
        <w:sz w:val="16"/>
      </w:rPr>
      <w:instrText xml:space="preserve"> DOCVARIABLE  CUFooterText \* MERGEFORMAT </w:instrText>
    </w:r>
    <w:r>
      <w:rPr>
        <w:sz w:val="16"/>
      </w:rPr>
      <w:fldChar w:fldCharType="separate"/>
    </w:r>
    <w:r>
      <w:rPr>
        <w:sz w:val="16"/>
      </w:rPr>
      <w:t>L\345828134.2</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C20AA" w14:textId="77777777" w:rsidR="000150DC" w:rsidRPr="00FA0517" w:rsidRDefault="000150DC" w:rsidP="00FA0517">
      <w:pPr>
        <w:pStyle w:val="Footer"/>
      </w:pPr>
    </w:p>
  </w:footnote>
  <w:footnote w:type="continuationSeparator" w:id="0">
    <w:p w14:paraId="4152A0B1" w14:textId="77777777" w:rsidR="000150DC" w:rsidRDefault="000150DC" w:rsidP="00CA4CAB">
      <w:pPr>
        <w:spacing w:after="0" w:line="240" w:lineRule="auto"/>
      </w:pPr>
      <w:r>
        <w:continuationSeparator/>
      </w:r>
    </w:p>
  </w:footnote>
  <w:footnote w:type="continuationNotice" w:id="1">
    <w:p w14:paraId="7CBEFE4E" w14:textId="77777777" w:rsidR="000150DC" w:rsidRDefault="000150DC">
      <w:pPr>
        <w:spacing w:after="0" w:line="240" w:lineRule="auto"/>
      </w:pPr>
    </w:p>
  </w:footnote>
  <w:footnote w:id="2">
    <w:p w14:paraId="3D79D045" w14:textId="7D0D5EC4" w:rsidR="006A6BBA" w:rsidRPr="00E03644" w:rsidRDefault="006A6BBA" w:rsidP="007D609A">
      <w:pPr>
        <w:pStyle w:val="FootnoteText"/>
        <w:jc w:val="both"/>
        <w:rPr>
          <w:sz w:val="18"/>
          <w:szCs w:val="18"/>
        </w:rPr>
      </w:pPr>
      <w:r w:rsidRPr="00E03644">
        <w:rPr>
          <w:rStyle w:val="FootnoteReference"/>
        </w:rPr>
        <w:footnoteRef/>
      </w:r>
      <w:r w:rsidRPr="00E03644">
        <w:t xml:space="preserve"> </w:t>
      </w:r>
      <w:r w:rsidRPr="00E03644">
        <w:rPr>
          <w:sz w:val="18"/>
          <w:szCs w:val="18"/>
        </w:rPr>
        <w:t xml:space="preserve">As amended by the </w:t>
      </w:r>
      <w:hyperlink r:id="rId1" w:history="1">
        <w:r w:rsidRPr="00E03644">
          <w:rPr>
            <w:rStyle w:val="Hyperlink"/>
            <w:i/>
            <w:iCs/>
            <w:sz w:val="18"/>
            <w:szCs w:val="18"/>
          </w:rPr>
          <w:t>National Health (Pharmaceutical Benefits) Amendment (2021 Measures No. 1) Regulations 2021</w:t>
        </w:r>
      </w:hyperlink>
      <w:r w:rsidRPr="00E03644">
        <w:rPr>
          <w:sz w:val="18"/>
          <w:szCs w:val="18"/>
        </w:rPr>
        <w:t>.</w:t>
      </w:r>
    </w:p>
  </w:footnote>
  <w:footnote w:id="3">
    <w:p w14:paraId="6EDB2173" w14:textId="77777777" w:rsidR="00FD0878" w:rsidRPr="00FD0878" w:rsidRDefault="00FD0878" w:rsidP="0081161F">
      <w:pPr>
        <w:pStyle w:val="FootnoteText"/>
        <w:jc w:val="both"/>
        <w:rPr>
          <w:lang w:val="en-AU"/>
        </w:rPr>
      </w:pPr>
      <w:r>
        <w:rPr>
          <w:rStyle w:val="FootnoteReference"/>
        </w:rPr>
        <w:footnoteRef/>
      </w:r>
      <w:r>
        <w:t xml:space="preserve"> </w:t>
      </w:r>
      <w:r w:rsidR="000F5E5C" w:rsidRPr="000F5E5C">
        <w:rPr>
          <w:sz w:val="18"/>
          <w:szCs w:val="18"/>
          <w:lang w:val="en-AU"/>
        </w:rPr>
        <w:t xml:space="preserve">Refer to the </w:t>
      </w:r>
      <w:hyperlink r:id="rId2" w:history="1">
        <w:r w:rsidR="000F5E5C" w:rsidRPr="000F5E5C">
          <w:rPr>
            <w:rStyle w:val="Hyperlink"/>
            <w:sz w:val="18"/>
            <w:szCs w:val="18"/>
            <w:lang w:val="en-AU"/>
          </w:rPr>
          <w:t>PBS Price Disclosure Guidelines</w:t>
        </w:r>
      </w:hyperlink>
      <w:r w:rsidR="000F5E5C" w:rsidRPr="000F5E5C">
        <w:rPr>
          <w:sz w:val="18"/>
          <w:szCs w:val="18"/>
          <w:lang w:val="en-AU"/>
        </w:rPr>
        <w:t xml:space="preserve"> </w:t>
      </w:r>
      <w:r w:rsidR="000164D1">
        <w:rPr>
          <w:sz w:val="18"/>
          <w:szCs w:val="18"/>
          <w:lang w:val="en-AU"/>
        </w:rPr>
        <w:t xml:space="preserve">and the </w:t>
      </w:r>
      <w:hyperlink r:id="rId3" w:history="1">
        <w:r w:rsidR="000164D1" w:rsidRPr="000164D1">
          <w:rPr>
            <w:rStyle w:val="Hyperlink"/>
            <w:sz w:val="18"/>
            <w:szCs w:val="18"/>
            <w:lang w:val="en-AU"/>
          </w:rPr>
          <w:t>Designated brand website</w:t>
        </w:r>
      </w:hyperlink>
      <w:r w:rsidR="000164D1">
        <w:rPr>
          <w:sz w:val="18"/>
          <w:szCs w:val="18"/>
          <w:lang w:val="en-AU"/>
        </w:rPr>
        <w:t xml:space="preserve"> for further information. </w:t>
      </w:r>
    </w:p>
  </w:footnote>
  <w:footnote w:id="4">
    <w:p w14:paraId="4BE24496" w14:textId="77777777" w:rsidR="004831F4" w:rsidRPr="004831F4" w:rsidRDefault="004831F4" w:rsidP="0081161F">
      <w:pPr>
        <w:pStyle w:val="FootnoteText"/>
        <w:jc w:val="both"/>
        <w:rPr>
          <w:lang w:val="en-AU"/>
        </w:rPr>
      </w:pPr>
      <w:r>
        <w:rPr>
          <w:rStyle w:val="FootnoteReference"/>
        </w:rPr>
        <w:footnoteRef/>
      </w:r>
      <w:r>
        <w:t xml:space="preserve"> </w:t>
      </w:r>
      <w:r w:rsidRPr="002039C3">
        <w:rPr>
          <w:sz w:val="18"/>
          <w:szCs w:val="18"/>
          <w:lang w:val="en-AU"/>
        </w:rPr>
        <w:t xml:space="preserve">Determinations will be made for </w:t>
      </w:r>
      <w:r w:rsidR="002039C3" w:rsidRPr="002039C3">
        <w:rPr>
          <w:sz w:val="18"/>
          <w:szCs w:val="18"/>
          <w:lang w:val="en-AU"/>
        </w:rPr>
        <w:t>all brands of the pharmaceutical item</w:t>
      </w:r>
      <w:r w:rsidR="00CA44BE">
        <w:rPr>
          <w:sz w:val="18"/>
          <w:szCs w:val="18"/>
          <w:lang w:val="en-AU"/>
        </w:rPr>
        <w:t xml:space="preserve"> that are</w:t>
      </w:r>
      <w:r w:rsidR="002039C3" w:rsidRPr="002039C3">
        <w:rPr>
          <w:sz w:val="18"/>
          <w:szCs w:val="18"/>
          <w:lang w:val="en-AU"/>
        </w:rPr>
        <w:t xml:space="preserve"> </w:t>
      </w:r>
      <w:r w:rsidR="00CA44BE">
        <w:rPr>
          <w:sz w:val="18"/>
          <w:szCs w:val="18"/>
          <w:lang w:val="en-AU"/>
        </w:rPr>
        <w:t xml:space="preserve">PBS </w:t>
      </w:r>
      <w:r w:rsidR="002039C3" w:rsidRPr="002039C3">
        <w:rPr>
          <w:sz w:val="18"/>
          <w:szCs w:val="18"/>
          <w:lang w:val="en-AU"/>
        </w:rPr>
        <w:t>listed at the time that the price increase occurred</w:t>
      </w:r>
      <w:r w:rsidR="00603C40">
        <w:rPr>
          <w:sz w:val="18"/>
          <w:szCs w:val="18"/>
          <w:lang w:val="en-AU"/>
        </w:rPr>
        <w:t>,</w:t>
      </w:r>
      <w:r w:rsidR="002039C3" w:rsidRPr="002039C3">
        <w:rPr>
          <w:sz w:val="18"/>
          <w:szCs w:val="18"/>
          <w:lang w:val="en-AU"/>
        </w:rPr>
        <w:t xml:space="preserve"> as well as to any </w:t>
      </w:r>
      <w:r w:rsidR="00603C40">
        <w:rPr>
          <w:sz w:val="18"/>
          <w:szCs w:val="18"/>
          <w:lang w:val="en-AU"/>
        </w:rPr>
        <w:t xml:space="preserve">new </w:t>
      </w:r>
      <w:r w:rsidR="002039C3" w:rsidRPr="002039C3">
        <w:rPr>
          <w:sz w:val="18"/>
          <w:szCs w:val="18"/>
          <w:lang w:val="en-AU"/>
        </w:rPr>
        <w:t>brands of the pharmaceutical item that subsequently list on the PBS</w:t>
      </w:r>
      <w:r w:rsidR="007F2B44">
        <w:rPr>
          <w:sz w:val="18"/>
          <w:szCs w:val="18"/>
          <w:lang w:val="en-AU"/>
        </w:rPr>
        <w:t xml:space="preserve"> after the price increase has occurred</w:t>
      </w:r>
      <w:r w:rsidR="00603C40">
        <w:rPr>
          <w:sz w:val="18"/>
          <w:szCs w:val="18"/>
          <w:lang w:val="en-AU"/>
        </w:rPr>
        <w:t>.</w:t>
      </w:r>
    </w:p>
  </w:footnote>
  <w:footnote w:id="5">
    <w:p w14:paraId="253C491D" w14:textId="6CF0D0FB" w:rsidR="00CF497D" w:rsidRPr="00E03644" w:rsidRDefault="00CF497D" w:rsidP="00B65192">
      <w:pPr>
        <w:pStyle w:val="FootnoteText"/>
        <w:jc w:val="both"/>
        <w:rPr>
          <w:sz w:val="18"/>
          <w:szCs w:val="18"/>
        </w:rPr>
      </w:pPr>
      <w:r w:rsidRPr="00E03644">
        <w:rPr>
          <w:rStyle w:val="FootnoteReference"/>
        </w:rPr>
        <w:footnoteRef/>
      </w:r>
      <w:r w:rsidRPr="00E03644">
        <w:t xml:space="preserve"> </w:t>
      </w:r>
      <w:r w:rsidRPr="00E03644">
        <w:rPr>
          <w:sz w:val="18"/>
          <w:szCs w:val="18"/>
        </w:rPr>
        <w:t xml:space="preserve">The s99ADHC(1)(a) criteria is met by brands for which the drug and manner of administration of the brand’s pharmaceutical item has been on F2 for at least 42 months </w:t>
      </w:r>
      <w:r w:rsidRPr="00E03644">
        <w:rPr>
          <w:sz w:val="18"/>
          <w:szCs w:val="18"/>
          <w:u w:val="single"/>
        </w:rPr>
        <w:t xml:space="preserve">and </w:t>
      </w:r>
      <w:r w:rsidRPr="00E03644">
        <w:rPr>
          <w:sz w:val="18"/>
          <w:szCs w:val="18"/>
        </w:rPr>
        <w:t>at least 30 months have passed since the first price disclosure price reduction for any brand with the same drug and manner of administration (see section 2.1 above).</w:t>
      </w:r>
    </w:p>
  </w:footnote>
  <w:footnote w:id="6">
    <w:p w14:paraId="45911F29" w14:textId="33024845" w:rsidR="00CF497D" w:rsidRPr="00E03644" w:rsidRDefault="00CF497D" w:rsidP="00B65192">
      <w:pPr>
        <w:pStyle w:val="FootnoteText"/>
        <w:jc w:val="both"/>
        <w:rPr>
          <w:sz w:val="18"/>
          <w:szCs w:val="18"/>
        </w:rPr>
      </w:pPr>
      <w:r w:rsidRPr="00E03644">
        <w:rPr>
          <w:rStyle w:val="FootnoteReference"/>
          <w:sz w:val="18"/>
          <w:szCs w:val="18"/>
        </w:rPr>
        <w:footnoteRef/>
      </w:r>
      <w:r w:rsidRPr="00E03644">
        <w:rPr>
          <w:sz w:val="18"/>
          <w:szCs w:val="18"/>
        </w:rPr>
        <w:t xml:space="preserve"> ‘Usual demand’ for a brand is calculated in accordance with s85B of the Regulations. </w:t>
      </w:r>
      <w:r w:rsidR="006E69D0" w:rsidRPr="00E03644">
        <w:rPr>
          <w:sz w:val="18"/>
          <w:szCs w:val="18"/>
        </w:rPr>
        <w:t xml:space="preserve">If RPs have any questions about the calculation of the </w:t>
      </w:r>
      <w:r w:rsidR="00B65192">
        <w:rPr>
          <w:sz w:val="18"/>
          <w:szCs w:val="18"/>
        </w:rPr>
        <w:t>‘</w:t>
      </w:r>
      <w:r w:rsidR="006E69D0" w:rsidRPr="00E03644">
        <w:rPr>
          <w:sz w:val="18"/>
          <w:szCs w:val="18"/>
        </w:rPr>
        <w:t>usual demand</w:t>
      </w:r>
      <w:r w:rsidR="00B65192">
        <w:rPr>
          <w:sz w:val="18"/>
          <w:szCs w:val="18"/>
        </w:rPr>
        <w:t>’</w:t>
      </w:r>
      <w:r w:rsidR="006E69D0" w:rsidRPr="00E03644">
        <w:rPr>
          <w:sz w:val="18"/>
          <w:szCs w:val="18"/>
        </w:rPr>
        <w:t xml:space="preserve"> they can enquire with the PDDA or the </w:t>
      </w:r>
      <w:r w:rsidR="009E653E">
        <w:rPr>
          <w:sz w:val="18"/>
          <w:szCs w:val="18"/>
        </w:rPr>
        <w:t>d</w:t>
      </w:r>
      <w:r w:rsidR="006E69D0" w:rsidRPr="00E03644">
        <w:rPr>
          <w:sz w:val="18"/>
          <w:szCs w:val="18"/>
        </w:rPr>
        <w:t xml:space="preserve">epartment. If RPs dispute the PD volume data that is used to calculate </w:t>
      </w:r>
      <w:r w:rsidR="00B65192">
        <w:rPr>
          <w:sz w:val="18"/>
          <w:szCs w:val="18"/>
        </w:rPr>
        <w:t>‘</w:t>
      </w:r>
      <w:r w:rsidR="006E69D0" w:rsidRPr="00E03644">
        <w:rPr>
          <w:sz w:val="18"/>
          <w:szCs w:val="18"/>
        </w:rPr>
        <w:t>usual demand</w:t>
      </w:r>
      <w:r w:rsidR="00B65192">
        <w:rPr>
          <w:sz w:val="18"/>
          <w:szCs w:val="18"/>
        </w:rPr>
        <w:t>’</w:t>
      </w:r>
      <w:r w:rsidR="006E69D0" w:rsidRPr="00E03644">
        <w:rPr>
          <w:sz w:val="18"/>
          <w:szCs w:val="18"/>
        </w:rPr>
        <w:t xml:space="preserve"> they can raise a dispute through the </w:t>
      </w:r>
      <w:hyperlink r:id="rId4" w:history="1">
        <w:r w:rsidR="006E69D0" w:rsidRPr="00E03644">
          <w:rPr>
            <w:rStyle w:val="Hyperlink"/>
            <w:sz w:val="18"/>
            <w:szCs w:val="18"/>
          </w:rPr>
          <w:t>PD Dispute Resolution Administrative Process</w:t>
        </w:r>
      </w:hyperlink>
      <w:r w:rsidR="007D609A" w:rsidRPr="00E03644">
        <w:rPr>
          <w:sz w:val="18"/>
          <w:szCs w:val="18"/>
        </w:rPr>
        <w:t>.</w:t>
      </w:r>
      <w:r w:rsidRPr="00E03644">
        <w:rPr>
          <w:sz w:val="18"/>
          <w:szCs w:val="18"/>
        </w:rPr>
        <w:t xml:space="preserve"> Note that </w:t>
      </w:r>
      <w:r w:rsidR="00F8226E">
        <w:rPr>
          <w:sz w:val="18"/>
          <w:szCs w:val="18"/>
        </w:rPr>
        <w:t>‘</w:t>
      </w:r>
      <w:r w:rsidRPr="00E03644">
        <w:rPr>
          <w:sz w:val="18"/>
          <w:szCs w:val="18"/>
        </w:rPr>
        <w:t>usual demand</w:t>
      </w:r>
      <w:r w:rsidR="00F8226E">
        <w:rPr>
          <w:sz w:val="18"/>
          <w:szCs w:val="18"/>
        </w:rPr>
        <w:t>’</w:t>
      </w:r>
      <w:r w:rsidRPr="00E03644">
        <w:rPr>
          <w:sz w:val="18"/>
          <w:szCs w:val="18"/>
        </w:rPr>
        <w:t xml:space="preserve"> may be subject to change as a result of a dispute outcome.</w:t>
      </w:r>
    </w:p>
  </w:footnote>
  <w:footnote w:id="7">
    <w:p w14:paraId="713563E5" w14:textId="1017506A" w:rsidR="004F0070" w:rsidRPr="004F0070" w:rsidRDefault="004F0070">
      <w:pPr>
        <w:pStyle w:val="FootnoteText"/>
        <w:rPr>
          <w:lang w:val="en-AU"/>
        </w:rPr>
      </w:pPr>
      <w:r>
        <w:rPr>
          <w:rStyle w:val="FootnoteReference"/>
        </w:rPr>
        <w:footnoteRef/>
      </w:r>
      <w:r>
        <w:t xml:space="preserve"> </w:t>
      </w:r>
      <w:r>
        <w:rPr>
          <w:lang w:val="en-AU"/>
        </w:rPr>
        <w:t>s99AEKB of the Act.</w:t>
      </w:r>
    </w:p>
  </w:footnote>
  <w:footnote w:id="8">
    <w:p w14:paraId="3ED82DF8" w14:textId="77777777" w:rsidR="004D453C" w:rsidRDefault="004D453C" w:rsidP="004D453C">
      <w:pPr>
        <w:pStyle w:val="FootnoteText"/>
        <w:jc w:val="both"/>
      </w:pPr>
      <w:r>
        <w:rPr>
          <w:rStyle w:val="FootnoteReference"/>
        </w:rPr>
        <w:footnoteRef/>
      </w:r>
      <w:r>
        <w:t xml:space="preserve"> </w:t>
      </w:r>
      <w:r w:rsidRPr="003D5E58">
        <w:rPr>
          <w:rFonts w:ascii="Arial" w:hAnsi="Arial" w:cs="Arial"/>
          <w:sz w:val="18"/>
          <w:szCs w:val="18"/>
        </w:rPr>
        <w:t>If multiple rebrands are identified at the same time, each set of an old brand and new brand may be listed in a schedule within the same Deed to reduce the administrative burden of signing individual Deeds.</w:t>
      </w:r>
    </w:p>
  </w:footnote>
  <w:footnote w:id="9">
    <w:p w14:paraId="30D892C3" w14:textId="7F8955AD" w:rsidR="00CF497D" w:rsidRPr="00E03644" w:rsidRDefault="00CF497D" w:rsidP="001C1019">
      <w:pPr>
        <w:pStyle w:val="FootnoteText"/>
        <w:jc w:val="both"/>
        <w:rPr>
          <w:lang w:val="en-AU"/>
        </w:rPr>
      </w:pPr>
      <w:r w:rsidRPr="00E03644">
        <w:rPr>
          <w:rStyle w:val="FootnoteReference"/>
        </w:rPr>
        <w:footnoteRef/>
      </w:r>
      <w:r w:rsidRPr="00E03644">
        <w:t xml:space="preserve"> </w:t>
      </w:r>
      <w:r w:rsidRPr="00E03644">
        <w:rPr>
          <w:sz w:val="18"/>
          <w:szCs w:val="18"/>
        </w:rPr>
        <w:t>For example, a brand which has been on F2 since 1 July 2020 and has a price reduction to $4.00 effective 1 April 2024, will have PD data available for the reference period 1 April 2023 to 30 September 2024 and will be required to hold 4 months of ‘usual demand’ effective 1 April 2024.</w:t>
      </w:r>
    </w:p>
  </w:footnote>
  <w:footnote w:id="10">
    <w:p w14:paraId="0117EC09" w14:textId="6B028F24" w:rsidR="00AD4D1F" w:rsidRPr="00E03644" w:rsidRDefault="00AD4D1F" w:rsidP="00AD4D1F">
      <w:pPr>
        <w:pStyle w:val="FootnoteText"/>
        <w:jc w:val="both"/>
        <w:rPr>
          <w:sz w:val="18"/>
          <w:szCs w:val="18"/>
        </w:rPr>
      </w:pPr>
      <w:r w:rsidRPr="00E03644">
        <w:rPr>
          <w:rStyle w:val="FootnoteReference"/>
        </w:rPr>
        <w:footnoteRef/>
      </w:r>
      <w:r w:rsidRPr="00E03644">
        <w:t xml:space="preserve"> </w:t>
      </w:r>
      <w:r w:rsidRPr="00E03644">
        <w:rPr>
          <w:sz w:val="18"/>
          <w:szCs w:val="18"/>
        </w:rPr>
        <w:t>Section 99ADHC(1)(b): the approved ex-manufacturer price (</w:t>
      </w:r>
      <w:r w:rsidRPr="00E03644">
        <w:rPr>
          <w:b/>
          <w:sz w:val="18"/>
          <w:szCs w:val="18"/>
        </w:rPr>
        <w:t>AEMP</w:t>
      </w:r>
      <w:r w:rsidRPr="00E03644">
        <w:rPr>
          <w:sz w:val="18"/>
          <w:szCs w:val="18"/>
        </w:rPr>
        <w:t xml:space="preserve">) of the brand is $4 or less; s99ADHC(1)(c): the AEMP of </w:t>
      </w:r>
      <w:r w:rsidR="00031194">
        <w:rPr>
          <w:sz w:val="18"/>
          <w:szCs w:val="18"/>
        </w:rPr>
        <w:t>a</w:t>
      </w:r>
      <w:r w:rsidRPr="00E03644">
        <w:rPr>
          <w:sz w:val="18"/>
          <w:szCs w:val="18"/>
        </w:rPr>
        <w:t xml:space="preserve"> brand </w:t>
      </w:r>
      <w:r w:rsidR="00031194">
        <w:rPr>
          <w:sz w:val="18"/>
          <w:szCs w:val="18"/>
        </w:rPr>
        <w:t xml:space="preserve">of the same pharmaceutical item </w:t>
      </w:r>
      <w:r w:rsidRPr="00E03644">
        <w:rPr>
          <w:sz w:val="18"/>
          <w:szCs w:val="18"/>
        </w:rPr>
        <w:t>has been increased on or after 1 July 2022 through a new price agreement and a determination is in force in relation to the brand under s99ADHC(2) (</w:t>
      </w:r>
      <w:r w:rsidRPr="00E03644">
        <w:rPr>
          <w:b/>
          <w:bCs/>
          <w:sz w:val="18"/>
          <w:szCs w:val="18"/>
        </w:rPr>
        <w:t>designated brand determination</w:t>
      </w:r>
      <w:r w:rsidRPr="00E03644">
        <w:rPr>
          <w:sz w:val="18"/>
          <w:szCs w:val="18"/>
        </w:rPr>
        <w:t>)</w:t>
      </w:r>
    </w:p>
  </w:footnote>
  <w:footnote w:id="11">
    <w:p w14:paraId="0DC6BF28" w14:textId="273652F6" w:rsidR="00AD4D1F" w:rsidRDefault="00AD4D1F" w:rsidP="00E353DA">
      <w:pPr>
        <w:pStyle w:val="FootnoteText"/>
        <w:jc w:val="both"/>
        <w:rPr>
          <w:sz w:val="18"/>
          <w:szCs w:val="18"/>
        </w:rPr>
      </w:pPr>
      <w:r w:rsidRPr="00E03644">
        <w:rPr>
          <w:rStyle w:val="FootnoteReference"/>
        </w:rPr>
        <w:footnoteRef/>
      </w:r>
      <w:r w:rsidRPr="00E03644">
        <w:t xml:space="preserve"> </w:t>
      </w:r>
      <w:r w:rsidRPr="00E03644">
        <w:rPr>
          <w:sz w:val="18"/>
          <w:szCs w:val="18"/>
        </w:rPr>
        <w:t>Where the new brand listing is for a drug/MoA which meets the s99ADHC(1)(a) criteria</w:t>
      </w:r>
      <w:r w:rsidR="00574B34">
        <w:rPr>
          <w:sz w:val="18"/>
          <w:szCs w:val="18"/>
        </w:rPr>
        <w:t xml:space="preserve"> or the new brand</w:t>
      </w:r>
      <w:r w:rsidR="00FD00B1">
        <w:rPr>
          <w:sz w:val="18"/>
          <w:szCs w:val="18"/>
        </w:rPr>
        <w:t xml:space="preserve"> listing has an AEMP of $4 or less</w:t>
      </w:r>
      <w:r w:rsidRPr="00E03644">
        <w:rPr>
          <w:sz w:val="18"/>
          <w:szCs w:val="18"/>
        </w:rPr>
        <w:t xml:space="preserve">, the new generic brand which listed will be a designated brand immediately on listing, but ‘usual demand’ for the 4-month minimum stockholding requirement cannot be calculated until there is PD data available in the reference period. (see </w:t>
      </w:r>
      <w:hyperlink w:anchor="_Calculation_of_usual_1" w:history="1">
        <w:r w:rsidRPr="00E03644">
          <w:rPr>
            <w:rStyle w:val="Hyperlink"/>
            <w:sz w:val="18"/>
            <w:szCs w:val="18"/>
          </w:rPr>
          <w:t>Section 4.2</w:t>
        </w:r>
      </w:hyperlink>
      <w:r w:rsidRPr="00E03644">
        <w:rPr>
          <w:sz w:val="18"/>
          <w:szCs w:val="18"/>
        </w:rPr>
        <w:t xml:space="preserve"> above).</w:t>
      </w:r>
    </w:p>
    <w:p w14:paraId="1E7C6D0D" w14:textId="77777777" w:rsidR="00E353DA" w:rsidRPr="00E03644" w:rsidRDefault="00E353DA" w:rsidP="00AD4D1F">
      <w:pPr>
        <w:pStyle w:val="FootnoteText"/>
        <w:jc w:val="distribute"/>
        <w:rPr>
          <w:sz w:val="18"/>
          <w:szCs w:val="18"/>
        </w:rPr>
      </w:pPr>
    </w:p>
  </w:footnote>
  <w:footnote w:id="12">
    <w:p w14:paraId="590C3CFA" w14:textId="1B3F7EB9" w:rsidR="00F55F09" w:rsidRPr="00E05744" w:rsidRDefault="00F55F09" w:rsidP="00F55F09">
      <w:pPr>
        <w:pStyle w:val="FootnoteText"/>
        <w:jc w:val="both"/>
        <w:rPr>
          <w:lang w:val="en-AU"/>
        </w:rPr>
      </w:pPr>
      <w:r>
        <w:rPr>
          <w:rStyle w:val="FootnoteReference"/>
        </w:rPr>
        <w:footnoteRef/>
      </w:r>
      <w:r w:rsidRPr="00E05744">
        <w:rPr>
          <w:sz w:val="18"/>
          <w:szCs w:val="18"/>
        </w:rPr>
        <w:t xml:space="preserve"> The </w:t>
      </w:r>
      <w:r w:rsidR="009E653E">
        <w:rPr>
          <w:sz w:val="18"/>
          <w:szCs w:val="18"/>
        </w:rPr>
        <w:t>d</w:t>
      </w:r>
      <w:r w:rsidRPr="00E05744">
        <w:rPr>
          <w:sz w:val="18"/>
          <w:szCs w:val="18"/>
        </w:rPr>
        <w:t>epartment will endeavour to work to these reduced timeframes but cannot guarantee that reduced timeframes will always be met</w:t>
      </w:r>
      <w:r>
        <w:rPr>
          <w:sz w:val="18"/>
          <w:szCs w:val="18"/>
        </w:rPr>
        <w:t>.</w:t>
      </w:r>
    </w:p>
  </w:footnote>
  <w:footnote w:id="13">
    <w:p w14:paraId="0933FAFA" w14:textId="189ED60D" w:rsidR="00F82116" w:rsidRPr="00943CD5" w:rsidRDefault="00F82116" w:rsidP="00F82116">
      <w:pPr>
        <w:pStyle w:val="FootnoteText"/>
        <w:jc w:val="both"/>
        <w:rPr>
          <w:sz w:val="16"/>
          <w:szCs w:val="16"/>
        </w:rPr>
      </w:pPr>
      <w:r w:rsidRPr="00943CD5">
        <w:rPr>
          <w:rStyle w:val="FootnoteReference"/>
          <w:sz w:val="16"/>
          <w:szCs w:val="16"/>
        </w:rPr>
        <w:footnoteRef/>
      </w:r>
      <w:r w:rsidRPr="00943CD5">
        <w:rPr>
          <w:sz w:val="16"/>
          <w:szCs w:val="16"/>
        </w:rPr>
        <w:t xml:space="preserve"> </w:t>
      </w:r>
      <w:r w:rsidRPr="00943CD5">
        <w:rPr>
          <w:rFonts w:cstheme="minorHAnsi"/>
          <w:sz w:val="16"/>
          <w:szCs w:val="16"/>
        </w:rPr>
        <w:t xml:space="preserve">The supply lead time information requested is </w:t>
      </w:r>
      <w:r w:rsidRPr="00943CD5">
        <w:rPr>
          <w:rFonts w:cstheme="minorHAnsi"/>
          <w:i/>
          <w:iCs/>
          <w:sz w:val="16"/>
          <w:szCs w:val="16"/>
        </w:rPr>
        <w:t>'supply chain time from when the brand is packaged by the manufacturer or packaging facility to when it meets the criteria to be counted towards the Responsible Person’s minimum stockholding requirement’</w:t>
      </w:r>
      <w:r w:rsidRPr="00943CD5">
        <w:rPr>
          <w:rFonts w:cstheme="minorHAnsi"/>
          <w:sz w:val="16"/>
          <w:szCs w:val="16"/>
        </w:rPr>
        <w:t xml:space="preserve"> (i.e. stock which is available for sale by the </w:t>
      </w:r>
      <w:r w:rsidR="007C10C9">
        <w:rPr>
          <w:rFonts w:cstheme="minorHAnsi"/>
          <w:sz w:val="16"/>
          <w:szCs w:val="16"/>
        </w:rPr>
        <w:t xml:space="preserve">RP </w:t>
      </w:r>
      <w:r w:rsidRPr="00943CD5">
        <w:rPr>
          <w:rFonts w:cstheme="minorHAnsi"/>
          <w:sz w:val="16"/>
          <w:szCs w:val="16"/>
        </w:rPr>
        <w:t xml:space="preserve">in Australia). If shelf-life runs from an earlier time in the production process or there is any other supply chain timing information relevant to available shelf-life and the risk of wastage of stock, </w:t>
      </w:r>
      <w:r w:rsidR="00980314">
        <w:rPr>
          <w:rFonts w:cstheme="minorHAnsi"/>
          <w:sz w:val="16"/>
          <w:szCs w:val="16"/>
        </w:rPr>
        <w:t xml:space="preserve">RPs </w:t>
      </w:r>
      <w:r w:rsidRPr="00943CD5">
        <w:rPr>
          <w:rFonts w:cstheme="minorHAnsi"/>
          <w:sz w:val="16"/>
          <w:szCs w:val="16"/>
        </w:rPr>
        <w:t>are encouraged to provide details of this in their application.</w:t>
      </w:r>
    </w:p>
  </w:footnote>
  <w:footnote w:id="14">
    <w:p w14:paraId="2A2FEDB0" w14:textId="4EECD9CD" w:rsidR="00F82116" w:rsidRPr="00943CD5" w:rsidRDefault="00F82116" w:rsidP="00F82116">
      <w:pPr>
        <w:pStyle w:val="FootnoteText"/>
        <w:jc w:val="both"/>
        <w:rPr>
          <w:sz w:val="16"/>
          <w:szCs w:val="16"/>
        </w:rPr>
      </w:pPr>
      <w:r w:rsidRPr="00943CD5">
        <w:rPr>
          <w:rStyle w:val="FootnoteReference"/>
          <w:sz w:val="16"/>
          <w:szCs w:val="16"/>
        </w:rPr>
        <w:footnoteRef/>
      </w:r>
      <w:r w:rsidRPr="00943CD5">
        <w:rPr>
          <w:sz w:val="16"/>
          <w:szCs w:val="16"/>
        </w:rPr>
        <w:t xml:space="preserve"> </w:t>
      </w:r>
      <w:r w:rsidR="007C10C9">
        <w:rPr>
          <w:sz w:val="16"/>
          <w:szCs w:val="16"/>
        </w:rPr>
        <w:t xml:space="preserve">RPs </w:t>
      </w:r>
      <w:r w:rsidRPr="00943CD5">
        <w:rPr>
          <w:rFonts w:cstheme="minorHAnsi"/>
          <w:sz w:val="16"/>
          <w:szCs w:val="16"/>
        </w:rPr>
        <w:t xml:space="preserve">often have contractual requirements with customers, for a brand to have a certain amount of shelf-life remaining when received by the wholesaler/pharmacy. The </w:t>
      </w:r>
      <w:r w:rsidR="00980314">
        <w:rPr>
          <w:rFonts w:cstheme="minorHAnsi"/>
          <w:sz w:val="16"/>
          <w:szCs w:val="16"/>
        </w:rPr>
        <w:t>d</w:t>
      </w:r>
      <w:r w:rsidRPr="00943CD5">
        <w:rPr>
          <w:rFonts w:cstheme="minorHAnsi"/>
          <w:sz w:val="16"/>
          <w:szCs w:val="16"/>
        </w:rPr>
        <w:t>epartment recognises that this helps to ensure that adequately dated medicines are available to patients.</w:t>
      </w:r>
    </w:p>
  </w:footnote>
  <w:footnote w:id="15">
    <w:p w14:paraId="0BBE3A81" w14:textId="77777777" w:rsidR="00F82116" w:rsidRPr="00943CD5" w:rsidRDefault="00F82116" w:rsidP="00F82116">
      <w:pPr>
        <w:pStyle w:val="FootnoteText"/>
        <w:jc w:val="both"/>
        <w:rPr>
          <w:rFonts w:cstheme="minorHAnsi"/>
          <w:sz w:val="16"/>
          <w:szCs w:val="16"/>
        </w:rPr>
      </w:pPr>
      <w:r w:rsidRPr="00943CD5">
        <w:rPr>
          <w:rStyle w:val="FootnoteReference"/>
          <w:sz w:val="16"/>
          <w:szCs w:val="16"/>
        </w:rPr>
        <w:footnoteRef/>
      </w:r>
      <w:r w:rsidRPr="00943CD5">
        <w:rPr>
          <w:sz w:val="16"/>
          <w:szCs w:val="16"/>
        </w:rPr>
        <w:t xml:space="preserve"> </w:t>
      </w:r>
      <w:r w:rsidRPr="00943CD5">
        <w:rPr>
          <w:rFonts w:cstheme="minorHAnsi"/>
          <w:sz w:val="16"/>
          <w:szCs w:val="16"/>
        </w:rPr>
        <w:t xml:space="preserve">Safety stock is stock held by </w:t>
      </w:r>
      <w:r w:rsidR="007C10C9">
        <w:rPr>
          <w:rFonts w:cstheme="minorHAnsi"/>
          <w:sz w:val="16"/>
          <w:szCs w:val="16"/>
        </w:rPr>
        <w:t xml:space="preserve">RPs </w:t>
      </w:r>
      <w:r w:rsidRPr="00943CD5">
        <w:rPr>
          <w:rFonts w:cstheme="minorHAnsi"/>
          <w:sz w:val="16"/>
          <w:szCs w:val="16"/>
        </w:rPr>
        <w:t>for utilisation where there is demand variation and supply disruptions (such as minor transit delays), so that compliance with the MSR can be maintained.</w:t>
      </w:r>
    </w:p>
  </w:footnote>
  <w:footnote w:id="16">
    <w:p w14:paraId="1BD717DE" w14:textId="77777777" w:rsidR="00F82116" w:rsidRPr="00461A0F" w:rsidRDefault="00F82116" w:rsidP="00F82116">
      <w:pPr>
        <w:pStyle w:val="FootnoteText"/>
        <w:jc w:val="both"/>
        <w:rPr>
          <w:rFonts w:cstheme="minorHAnsi"/>
        </w:rPr>
      </w:pPr>
      <w:r w:rsidRPr="00943CD5">
        <w:rPr>
          <w:rStyle w:val="FootnoteReference"/>
          <w:rFonts w:cstheme="minorHAnsi"/>
          <w:sz w:val="16"/>
          <w:szCs w:val="16"/>
        </w:rPr>
        <w:footnoteRef/>
      </w:r>
      <w:r w:rsidRPr="00943CD5">
        <w:rPr>
          <w:rFonts w:cstheme="minorHAnsi"/>
          <w:sz w:val="16"/>
          <w:szCs w:val="16"/>
        </w:rPr>
        <w:t xml:space="preserve"> Cycle stock is the inventory purchased to meet expected demand between shipments.</w:t>
      </w:r>
    </w:p>
  </w:footnote>
  <w:footnote w:id="17">
    <w:p w14:paraId="2D738137" w14:textId="201026EB" w:rsidR="00CF497D" w:rsidRPr="00745B13" w:rsidRDefault="00CF497D" w:rsidP="0069789F">
      <w:pPr>
        <w:pStyle w:val="FootnoteText"/>
        <w:jc w:val="both"/>
        <w:rPr>
          <w:sz w:val="16"/>
          <w:szCs w:val="16"/>
        </w:rPr>
      </w:pPr>
      <w:r w:rsidRPr="00745B13">
        <w:rPr>
          <w:rStyle w:val="FootnoteReference"/>
          <w:sz w:val="16"/>
          <w:szCs w:val="16"/>
        </w:rPr>
        <w:footnoteRef/>
      </w:r>
      <w:r w:rsidRPr="00745B13">
        <w:rPr>
          <w:sz w:val="16"/>
          <w:szCs w:val="16"/>
        </w:rPr>
        <w:t xml:space="preserve"> </w:t>
      </w:r>
      <w:bookmarkStart w:id="97" w:name="_Hlk107475892"/>
      <w:r w:rsidRPr="00745B13">
        <w:rPr>
          <w:sz w:val="16"/>
          <w:szCs w:val="16"/>
        </w:rPr>
        <w:t>Fields (i) to (vii) are prepopulated in the PDSU for each brand a</w:t>
      </w:r>
      <w:r w:rsidR="00A56932" w:rsidRPr="00745B13">
        <w:rPr>
          <w:sz w:val="16"/>
          <w:szCs w:val="16"/>
        </w:rPr>
        <w:t>n</w:t>
      </w:r>
      <w:r w:rsidRPr="00745B13">
        <w:rPr>
          <w:sz w:val="16"/>
          <w:szCs w:val="16"/>
        </w:rPr>
        <w:t xml:space="preserve"> RP is required to report for, and these pre-populated fields are presented to the RP following the end of a data collection period. The RP is required to provide the number of packs held in stock at the end of each month in the period; and confirm that the complete data including prepopulated information is true and correct. Where the brand is sold in packs of other sizes, the RP will be able to separately enter the pack size and number of packs held in stock at the end of each month in the period, for any other pack sizes.</w:t>
      </w:r>
      <w:bookmarkEnd w:id="97"/>
    </w:p>
  </w:footnote>
  <w:footnote w:id="18">
    <w:p w14:paraId="7AF60118" w14:textId="5F9116C9" w:rsidR="00CF497D" w:rsidRPr="00745B13" w:rsidRDefault="00CF497D" w:rsidP="00E957D2">
      <w:pPr>
        <w:pStyle w:val="FootnoteText"/>
        <w:jc w:val="both"/>
        <w:rPr>
          <w:sz w:val="16"/>
          <w:szCs w:val="16"/>
        </w:rPr>
      </w:pPr>
      <w:r w:rsidRPr="00745B13">
        <w:rPr>
          <w:rStyle w:val="FootnoteReference"/>
          <w:sz w:val="16"/>
          <w:szCs w:val="16"/>
        </w:rPr>
        <w:footnoteRef/>
      </w:r>
      <w:r w:rsidRPr="00745B13">
        <w:rPr>
          <w:sz w:val="16"/>
          <w:szCs w:val="16"/>
        </w:rPr>
        <w:t xml:space="preserve"> Under s84 of the Act, ‘brand’ of a pharmaceutical item means:</w:t>
      </w:r>
    </w:p>
    <w:p w14:paraId="5C2411F6" w14:textId="357AA766" w:rsidR="00CF497D" w:rsidRPr="00745B13" w:rsidRDefault="00CF497D" w:rsidP="00E957D2">
      <w:pPr>
        <w:pStyle w:val="FootnoteText"/>
        <w:ind w:left="720"/>
        <w:jc w:val="both"/>
        <w:rPr>
          <w:sz w:val="16"/>
          <w:szCs w:val="16"/>
        </w:rPr>
      </w:pPr>
      <w:r w:rsidRPr="00745B13">
        <w:rPr>
          <w:sz w:val="16"/>
          <w:szCs w:val="16"/>
        </w:rPr>
        <w:t>(a) the trade name under which the person who is or will be the responsible person supplies the pharmaceutical item; or</w:t>
      </w:r>
    </w:p>
    <w:p w14:paraId="3D74CDAB" w14:textId="2B925A2B" w:rsidR="00CF497D" w:rsidRPr="00745B13" w:rsidRDefault="00CF497D" w:rsidP="00E957D2">
      <w:pPr>
        <w:pStyle w:val="FootnoteText"/>
        <w:ind w:left="720"/>
        <w:jc w:val="both"/>
        <w:rPr>
          <w:sz w:val="16"/>
          <w:szCs w:val="16"/>
        </w:rPr>
      </w:pPr>
      <w:r w:rsidRPr="00745B13">
        <w:rPr>
          <w:sz w:val="16"/>
          <w:szCs w:val="16"/>
        </w:rPr>
        <w:t>(b) if there is no trade name – the name of the person who is or will be the responsible person.</w:t>
      </w:r>
    </w:p>
  </w:footnote>
  <w:footnote w:id="19">
    <w:p w14:paraId="09E774D7" w14:textId="77777777" w:rsidR="00F126FC" w:rsidRPr="00E03644" w:rsidRDefault="00F126FC" w:rsidP="00F126FC">
      <w:pPr>
        <w:pStyle w:val="FootnoteText"/>
        <w:rPr>
          <w:lang w:val="en-AU"/>
        </w:rPr>
      </w:pPr>
      <w:r w:rsidRPr="00745B13">
        <w:rPr>
          <w:rStyle w:val="FootnoteReference"/>
          <w:sz w:val="16"/>
          <w:szCs w:val="16"/>
        </w:rPr>
        <w:footnoteRef/>
      </w:r>
      <w:r w:rsidRPr="00745B13">
        <w:rPr>
          <w:sz w:val="16"/>
          <w:szCs w:val="16"/>
        </w:rPr>
        <w:t xml:space="preserve"> B</w:t>
      </w:r>
      <w:r w:rsidRPr="00745B13">
        <w:rPr>
          <w:sz w:val="16"/>
          <w:szCs w:val="16"/>
          <w:lang w:val="en-AU"/>
        </w:rPr>
        <w:t>usiness day means a day other than a Saturday, Sunday or a public holiday.</w:t>
      </w:r>
    </w:p>
  </w:footnote>
  <w:footnote w:id="20">
    <w:p w14:paraId="14A5F073" w14:textId="77777777" w:rsidR="00F126FC" w:rsidRPr="00D02414" w:rsidRDefault="00F126FC" w:rsidP="00D02414">
      <w:pPr>
        <w:pStyle w:val="FootnoteText"/>
        <w:jc w:val="both"/>
        <w:rPr>
          <w:sz w:val="16"/>
          <w:szCs w:val="16"/>
        </w:rPr>
      </w:pPr>
      <w:r w:rsidRPr="00D02414">
        <w:rPr>
          <w:rStyle w:val="FootnoteReference"/>
          <w:sz w:val="16"/>
          <w:szCs w:val="16"/>
        </w:rPr>
        <w:footnoteRef/>
      </w:r>
      <w:r w:rsidRPr="00D02414">
        <w:rPr>
          <w:rStyle w:val="FootnoteReference"/>
          <w:sz w:val="16"/>
          <w:szCs w:val="16"/>
        </w:rPr>
        <w:t xml:space="preserve"> </w:t>
      </w:r>
      <w:r w:rsidRPr="00D02414">
        <w:rPr>
          <w:sz w:val="16"/>
          <w:szCs w:val="16"/>
        </w:rPr>
        <w:t>To ‘</w:t>
      </w:r>
      <w:r w:rsidRPr="00D02414">
        <w:rPr>
          <w:i/>
          <w:iCs/>
          <w:sz w:val="16"/>
          <w:szCs w:val="16"/>
        </w:rPr>
        <w:t>form the belief</w:t>
      </w:r>
      <w:r w:rsidRPr="00D02414">
        <w:rPr>
          <w:sz w:val="16"/>
          <w:szCs w:val="16"/>
        </w:rPr>
        <w:t xml:space="preserve">’ a breach is likely </w:t>
      </w:r>
      <w:r w:rsidRPr="00D02414">
        <w:rPr>
          <w:b/>
          <w:bCs/>
          <w:sz w:val="16"/>
          <w:szCs w:val="16"/>
        </w:rPr>
        <w:t>does not require</w:t>
      </w:r>
      <w:r w:rsidRPr="00D02414">
        <w:rPr>
          <w:sz w:val="16"/>
          <w:szCs w:val="16"/>
        </w:rPr>
        <w:t xml:space="preserve"> that a breach is inevitable, simply that </w:t>
      </w:r>
      <w:r w:rsidRPr="00D02414">
        <w:rPr>
          <w:sz w:val="16"/>
          <w:szCs w:val="16"/>
          <w:u w:val="single"/>
        </w:rPr>
        <w:t>a breach is likely</w:t>
      </w:r>
      <w:r w:rsidRPr="00D02414">
        <w:rPr>
          <w:sz w:val="16"/>
          <w:szCs w:val="16"/>
        </w:rPr>
        <w:t>.</w:t>
      </w:r>
    </w:p>
  </w:footnote>
  <w:footnote w:id="21">
    <w:p w14:paraId="7D82EE89" w14:textId="5F309324" w:rsidR="00CF497D" w:rsidRPr="008B51CB" w:rsidRDefault="00CF497D" w:rsidP="00D02414">
      <w:pPr>
        <w:pStyle w:val="FootnoteText"/>
        <w:jc w:val="both"/>
        <w:rPr>
          <w:sz w:val="16"/>
          <w:szCs w:val="16"/>
          <w:lang w:val="en-AU"/>
        </w:rPr>
      </w:pPr>
      <w:r w:rsidRPr="00D02414">
        <w:rPr>
          <w:rStyle w:val="FootnoteReference"/>
          <w:sz w:val="16"/>
          <w:szCs w:val="16"/>
        </w:rPr>
        <w:footnoteRef/>
      </w:r>
      <w:r w:rsidRPr="00D02414">
        <w:rPr>
          <w:sz w:val="16"/>
          <w:szCs w:val="16"/>
        </w:rPr>
        <w:t xml:space="preserve"> Where this factor is cited by the RP, the </w:t>
      </w:r>
      <w:r w:rsidR="009E653E">
        <w:rPr>
          <w:sz w:val="16"/>
          <w:szCs w:val="16"/>
        </w:rPr>
        <w:t>d</w:t>
      </w:r>
      <w:r w:rsidRPr="00D02414">
        <w:rPr>
          <w:sz w:val="16"/>
          <w:szCs w:val="16"/>
        </w:rPr>
        <w:t>epartment notes the expectation that RPs plan their supply chain and stockholding levels to comply with their minimum stockholding requirements, and to account for some disruptions in the market. In considering whether an ‘out-of-stock’ is a reasonable reason for a breach, the Minister may consider whether the out-of-stock episode was of a significant market share, for a long period of time.</w:t>
      </w:r>
    </w:p>
  </w:footnote>
  <w:footnote w:id="22">
    <w:p w14:paraId="68BA31D9" w14:textId="54D36A12" w:rsidR="00F126FC" w:rsidRPr="00301AB1" w:rsidRDefault="00F126FC" w:rsidP="00F126FC">
      <w:pPr>
        <w:pStyle w:val="FootnoteText"/>
        <w:jc w:val="both"/>
        <w:rPr>
          <w:sz w:val="16"/>
          <w:szCs w:val="16"/>
          <w:lang w:val="en-AU"/>
        </w:rPr>
      </w:pPr>
      <w:r w:rsidRPr="00301AB1">
        <w:rPr>
          <w:rStyle w:val="FootnoteReference"/>
          <w:sz w:val="16"/>
          <w:szCs w:val="16"/>
        </w:rPr>
        <w:footnoteRef/>
      </w:r>
      <w:r w:rsidRPr="00301AB1">
        <w:rPr>
          <w:sz w:val="16"/>
          <w:szCs w:val="16"/>
        </w:rPr>
        <w:t xml:space="preserve"> An RP should always update information provided to the </w:t>
      </w:r>
      <w:r w:rsidR="00301AB1" w:rsidRPr="00301AB1">
        <w:rPr>
          <w:sz w:val="16"/>
          <w:szCs w:val="16"/>
        </w:rPr>
        <w:t>d</w:t>
      </w:r>
      <w:r w:rsidRPr="00301AB1">
        <w:rPr>
          <w:sz w:val="16"/>
          <w:szCs w:val="16"/>
        </w:rPr>
        <w:t>epartment if there are further developments or to correct any inaccuracy in the initial notifications.</w:t>
      </w:r>
    </w:p>
  </w:footnote>
  <w:footnote w:id="23">
    <w:p w14:paraId="4A174C90" w14:textId="77777777" w:rsidR="00F126FC" w:rsidRPr="00C26D4D" w:rsidRDefault="00F126FC" w:rsidP="00F126FC">
      <w:pPr>
        <w:pStyle w:val="FootnoteText"/>
        <w:rPr>
          <w:lang w:val="en-AU"/>
        </w:rPr>
      </w:pPr>
      <w:r w:rsidRPr="00301AB1">
        <w:rPr>
          <w:rStyle w:val="FootnoteReference"/>
          <w:sz w:val="16"/>
          <w:szCs w:val="16"/>
        </w:rPr>
        <w:footnoteRef/>
      </w:r>
      <w:r w:rsidRPr="00301AB1">
        <w:rPr>
          <w:sz w:val="16"/>
          <w:szCs w:val="16"/>
        </w:rPr>
        <w:t xml:space="preserve"> RPs cannot access previously submitted PDF and Excel notifications via the Portal.</w:t>
      </w:r>
    </w:p>
  </w:footnote>
  <w:footnote w:id="24">
    <w:p w14:paraId="2C4C4340" w14:textId="60C20882" w:rsidR="00CF497D" w:rsidRPr="00E957D2" w:rsidRDefault="00CF497D" w:rsidP="00A913FC">
      <w:pPr>
        <w:pStyle w:val="FootnoteText"/>
        <w:jc w:val="both"/>
        <w:rPr>
          <w:sz w:val="18"/>
          <w:szCs w:val="18"/>
          <w:lang w:val="en-AU"/>
        </w:rPr>
      </w:pPr>
      <w:r w:rsidRPr="00E03644">
        <w:rPr>
          <w:rStyle w:val="FootnoteReference"/>
        </w:rPr>
        <w:footnoteRef/>
      </w:r>
      <w:r w:rsidRPr="00E03644">
        <w:t xml:space="preserve"> </w:t>
      </w:r>
      <w:r w:rsidR="00A913FC" w:rsidRPr="00E03644">
        <w:rPr>
          <w:rFonts w:ascii="Arial" w:hAnsi="Arial" w:cs="Arial"/>
          <w:sz w:val="18"/>
          <w:szCs w:val="18"/>
        </w:rPr>
        <w:t xml:space="preserve">While it is a matter for the Minister to form a view about, the </w:t>
      </w:r>
      <w:r w:rsidR="009E653E">
        <w:rPr>
          <w:rFonts w:ascii="Arial" w:hAnsi="Arial" w:cs="Arial"/>
          <w:sz w:val="18"/>
          <w:szCs w:val="18"/>
        </w:rPr>
        <w:t>d</w:t>
      </w:r>
      <w:r w:rsidR="00A913FC" w:rsidRPr="00E03644">
        <w:rPr>
          <w:rFonts w:ascii="Arial" w:hAnsi="Arial" w:cs="Arial"/>
          <w:sz w:val="18"/>
          <w:szCs w:val="18"/>
        </w:rPr>
        <w:t>epartment would expect the Minister to consider that a</w:t>
      </w:r>
      <w:r w:rsidR="00A56932">
        <w:rPr>
          <w:rFonts w:ascii="Arial" w:hAnsi="Arial" w:cs="Arial"/>
          <w:sz w:val="18"/>
          <w:szCs w:val="18"/>
        </w:rPr>
        <w:t>n</w:t>
      </w:r>
      <w:r w:rsidR="002C0B04">
        <w:rPr>
          <w:rFonts w:ascii="Arial" w:hAnsi="Arial" w:cs="Arial"/>
          <w:sz w:val="18"/>
          <w:szCs w:val="18"/>
        </w:rPr>
        <w:t xml:space="preserve"> </w:t>
      </w:r>
      <w:r w:rsidR="00A913FC" w:rsidRPr="00E03644">
        <w:rPr>
          <w:rFonts w:ascii="Arial" w:hAnsi="Arial" w:cs="Arial"/>
          <w:sz w:val="18"/>
          <w:szCs w:val="18"/>
        </w:rPr>
        <w:t>RP will consistently maintain ‘</w:t>
      </w:r>
      <w:r w:rsidR="00A913FC" w:rsidRPr="00E03644">
        <w:rPr>
          <w:rFonts w:ascii="Arial" w:hAnsi="Arial" w:cs="Arial"/>
          <w:i/>
          <w:iCs/>
          <w:sz w:val="18"/>
          <w:szCs w:val="18"/>
        </w:rPr>
        <w:t>adequate stock’</w:t>
      </w:r>
      <w:r w:rsidR="00A913FC" w:rsidRPr="00E03644">
        <w:rPr>
          <w:rFonts w:ascii="Arial" w:hAnsi="Arial" w:cs="Arial"/>
          <w:sz w:val="18"/>
          <w:szCs w:val="18"/>
        </w:rPr>
        <w:t xml:space="preserve"> in the future if the RP will meet the minimum stockholding requirement. In some circumstances the Minister may consider that </w:t>
      </w:r>
      <w:r w:rsidR="00A913FC" w:rsidRPr="00E03644">
        <w:rPr>
          <w:rFonts w:ascii="Arial" w:hAnsi="Arial" w:cs="Arial"/>
          <w:i/>
          <w:iCs/>
          <w:sz w:val="18"/>
          <w:szCs w:val="18"/>
        </w:rPr>
        <w:t>‘adequate stock’</w:t>
      </w:r>
      <w:r w:rsidR="00A913FC" w:rsidRPr="00E03644">
        <w:rPr>
          <w:rFonts w:ascii="Arial" w:hAnsi="Arial" w:cs="Arial"/>
          <w:sz w:val="18"/>
          <w:szCs w:val="18"/>
        </w:rPr>
        <w:t xml:space="preserve"> is maintained for a period of time even if the minimum stockholding requirement is not met.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1253E" w14:textId="77777777" w:rsidR="00527A34" w:rsidRDefault="00527A34">
    <w:pPr>
      <w:pStyle w:val="Headertext"/>
      <w:spacing w:after="180"/>
      <w:jc w:val="left"/>
    </w:pPr>
    <w:r>
      <w:rPr>
        <w:noProof/>
        <w:lang w:eastAsia="en-AU"/>
      </w:rPr>
      <w:drawing>
        <wp:anchor distT="0" distB="0" distL="114300" distR="114300" simplePos="0" relativeHeight="251658241" behindDoc="1" locked="0" layoutInCell="1" allowOverlap="1" wp14:anchorId="1FA790AB" wp14:editId="7A65BBCC">
          <wp:simplePos x="0" y="0"/>
          <wp:positionH relativeFrom="page">
            <wp:align>center</wp:align>
          </wp:positionH>
          <wp:positionV relativeFrom="page">
            <wp:align>center</wp:align>
          </wp:positionV>
          <wp:extent cx="7560000" cy="10692000"/>
          <wp:effectExtent l="0" t="0" r="3175" b="0"/>
          <wp:wrapNone/>
          <wp:docPr id="577754661" name="Picture 5777546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26C7C" w14:textId="77777777" w:rsidR="00527A34" w:rsidRDefault="00527A34">
    <w:pPr>
      <w:pStyle w:val="Header"/>
      <w:tabs>
        <w:tab w:val="center" w:pos="4535"/>
      </w:tabs>
    </w:pPr>
    <w:r>
      <w:rPr>
        <w:noProof/>
        <w:lang w:eastAsia="en-AU"/>
      </w:rPr>
      <w:drawing>
        <wp:anchor distT="0" distB="0" distL="114300" distR="114300" simplePos="0" relativeHeight="251658240" behindDoc="1" locked="0" layoutInCell="1" allowOverlap="1" wp14:anchorId="4E6006F4" wp14:editId="54F793AF">
          <wp:simplePos x="0" y="0"/>
          <wp:positionH relativeFrom="page">
            <wp:align>center</wp:align>
          </wp:positionH>
          <wp:positionV relativeFrom="page">
            <wp:align>center</wp:align>
          </wp:positionV>
          <wp:extent cx="7558768" cy="10691999"/>
          <wp:effectExtent l="0" t="0" r="0" b="190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768" cy="10691999"/>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A0BF8" w14:textId="4CCC4554" w:rsidR="00CF497D" w:rsidRDefault="00CF497D">
    <w:pPr>
      <w:pStyle w:val="Header"/>
    </w:pPr>
    <w:r>
      <w:rPr>
        <w:noProof/>
      </w:rPr>
      <w:drawing>
        <wp:inline distT="0" distB="0" distL="0" distR="0" wp14:anchorId="35DBA798" wp14:editId="47C87EE4">
          <wp:extent cx="2788788" cy="442341"/>
          <wp:effectExtent l="0" t="0" r="0" b="0"/>
          <wp:docPr id="511229151" name="Picture 511229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2788788" cy="442341"/>
                  </a:xfrm>
                  <a:prstGeom prst="rect">
                    <a:avLst/>
                  </a:prstGeom>
                </pic:spPr>
              </pic:pic>
            </a:graphicData>
          </a:graphic>
        </wp:inline>
      </w:drawing>
    </w:r>
  </w:p>
  <w:p w14:paraId="75E4E6CA" w14:textId="56178599" w:rsidR="00CF497D" w:rsidRDefault="007D609A" w:rsidP="007D609A">
    <w:pPr>
      <w:pStyle w:val="Header"/>
      <w:tabs>
        <w:tab w:val="clear" w:pos="4680"/>
        <w:tab w:val="clear" w:pos="9360"/>
        <w:tab w:val="left" w:pos="166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C6AF2D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91E87"/>
    <w:multiLevelType w:val="hybridMultilevel"/>
    <w:tmpl w:val="7E2AB12C"/>
    <w:lvl w:ilvl="0" w:tplc="0C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0C7FB6"/>
    <w:multiLevelType w:val="hybridMultilevel"/>
    <w:tmpl w:val="848EC55C"/>
    <w:lvl w:ilvl="0" w:tplc="CC3A5852">
      <w:start w:val="1"/>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46B1B6F"/>
    <w:multiLevelType w:val="hybridMultilevel"/>
    <w:tmpl w:val="48B00060"/>
    <w:lvl w:ilvl="0" w:tplc="0C090017">
      <w:start w:val="1"/>
      <w:numFmt w:val="lowerLetter"/>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4" w15:restartNumberingAfterBreak="0">
    <w:nsid w:val="09704753"/>
    <w:multiLevelType w:val="hybridMultilevel"/>
    <w:tmpl w:val="4BBE099C"/>
    <w:lvl w:ilvl="0" w:tplc="54D85090">
      <w:start w:val="1"/>
      <w:numFmt w:val="lowerRoman"/>
      <w:lvlText w:val="%1."/>
      <w:lvlJc w:val="right"/>
      <w:pPr>
        <w:tabs>
          <w:tab w:val="num" w:pos="990"/>
        </w:tabs>
        <w:ind w:left="990" w:hanging="360"/>
      </w:pPr>
      <w:rPr>
        <w:rFonts w:hint="default"/>
      </w:rPr>
    </w:lvl>
    <w:lvl w:ilvl="1" w:tplc="0C090019" w:tentative="1">
      <w:start w:val="1"/>
      <w:numFmt w:val="lowerLetter"/>
      <w:lvlText w:val="%2."/>
      <w:lvlJc w:val="left"/>
      <w:pPr>
        <w:ind w:left="-1170" w:hanging="360"/>
      </w:pPr>
    </w:lvl>
    <w:lvl w:ilvl="2" w:tplc="0C09001B" w:tentative="1">
      <w:start w:val="1"/>
      <w:numFmt w:val="lowerRoman"/>
      <w:lvlText w:val="%3."/>
      <w:lvlJc w:val="right"/>
      <w:pPr>
        <w:ind w:left="-450" w:hanging="180"/>
      </w:pPr>
    </w:lvl>
    <w:lvl w:ilvl="3" w:tplc="0C09000F" w:tentative="1">
      <w:start w:val="1"/>
      <w:numFmt w:val="decimal"/>
      <w:lvlText w:val="%4."/>
      <w:lvlJc w:val="left"/>
      <w:pPr>
        <w:ind w:left="270" w:hanging="360"/>
      </w:pPr>
    </w:lvl>
    <w:lvl w:ilvl="4" w:tplc="0C090019" w:tentative="1">
      <w:start w:val="1"/>
      <w:numFmt w:val="lowerLetter"/>
      <w:lvlText w:val="%5."/>
      <w:lvlJc w:val="left"/>
      <w:pPr>
        <w:ind w:left="990" w:hanging="360"/>
      </w:pPr>
    </w:lvl>
    <w:lvl w:ilvl="5" w:tplc="0C09001B" w:tentative="1">
      <w:start w:val="1"/>
      <w:numFmt w:val="lowerRoman"/>
      <w:lvlText w:val="%6."/>
      <w:lvlJc w:val="right"/>
      <w:pPr>
        <w:ind w:left="1710" w:hanging="180"/>
      </w:pPr>
    </w:lvl>
    <w:lvl w:ilvl="6" w:tplc="0C09000F" w:tentative="1">
      <w:start w:val="1"/>
      <w:numFmt w:val="decimal"/>
      <w:lvlText w:val="%7."/>
      <w:lvlJc w:val="left"/>
      <w:pPr>
        <w:ind w:left="2430" w:hanging="360"/>
      </w:pPr>
    </w:lvl>
    <w:lvl w:ilvl="7" w:tplc="0C090019" w:tentative="1">
      <w:start w:val="1"/>
      <w:numFmt w:val="lowerLetter"/>
      <w:lvlText w:val="%8."/>
      <w:lvlJc w:val="left"/>
      <w:pPr>
        <w:ind w:left="3150" w:hanging="360"/>
      </w:pPr>
    </w:lvl>
    <w:lvl w:ilvl="8" w:tplc="0C09001B" w:tentative="1">
      <w:start w:val="1"/>
      <w:numFmt w:val="lowerRoman"/>
      <w:lvlText w:val="%9."/>
      <w:lvlJc w:val="right"/>
      <w:pPr>
        <w:ind w:left="3870" w:hanging="180"/>
      </w:pPr>
    </w:lvl>
  </w:abstractNum>
  <w:abstractNum w:abstractNumId="5" w15:restartNumberingAfterBreak="0">
    <w:nsid w:val="0ADA0304"/>
    <w:multiLevelType w:val="hybridMultilevel"/>
    <w:tmpl w:val="3196B996"/>
    <w:lvl w:ilvl="0" w:tplc="8DEC41C2">
      <w:start w:val="3"/>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CE86021"/>
    <w:multiLevelType w:val="hybridMultilevel"/>
    <w:tmpl w:val="10608BF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0A82089"/>
    <w:multiLevelType w:val="hybridMultilevel"/>
    <w:tmpl w:val="B9126C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0DB59FC"/>
    <w:multiLevelType w:val="hybridMultilevel"/>
    <w:tmpl w:val="54AA61F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5423273"/>
    <w:multiLevelType w:val="multilevel"/>
    <w:tmpl w:val="1D905C7C"/>
    <w:lvl w:ilvl="0">
      <w:start w:val="1"/>
      <w:numFmt w:val="decimal"/>
      <w:lvlText w:val="%1."/>
      <w:lvlJc w:val="left"/>
      <w:pPr>
        <w:ind w:left="720" w:hanging="360"/>
      </w:pPr>
      <w:rPr>
        <w:rFonts w:hint="default"/>
      </w:rPr>
    </w:lvl>
    <w:lvl w:ilvl="1">
      <w:start w:val="1"/>
      <w:numFmt w:val="decimal"/>
      <w:isLgl/>
      <w:lvlText w:val="%1.%2"/>
      <w:lvlJc w:val="left"/>
      <w:pPr>
        <w:ind w:left="538"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59F3360"/>
    <w:multiLevelType w:val="hybridMultilevel"/>
    <w:tmpl w:val="334E9B00"/>
    <w:lvl w:ilvl="0" w:tplc="CE7E40E4">
      <w:start w:val="1"/>
      <w:numFmt w:val="lowerRoman"/>
      <w:lvlText w:val="%1."/>
      <w:lvlJc w:val="right"/>
      <w:pPr>
        <w:tabs>
          <w:tab w:val="num" w:pos="720"/>
        </w:tabs>
        <w:ind w:left="720" w:hanging="360"/>
      </w:pPr>
    </w:lvl>
    <w:lvl w:ilvl="1" w:tplc="ED48805C" w:tentative="1">
      <w:start w:val="1"/>
      <w:numFmt w:val="lowerRoman"/>
      <w:lvlText w:val="%2."/>
      <w:lvlJc w:val="right"/>
      <w:pPr>
        <w:tabs>
          <w:tab w:val="num" w:pos="1440"/>
        </w:tabs>
        <w:ind w:left="1440" w:hanging="360"/>
      </w:pPr>
    </w:lvl>
    <w:lvl w:ilvl="2" w:tplc="D712680A">
      <w:start w:val="2"/>
      <w:numFmt w:val="lowerLetter"/>
      <w:lvlText w:val="%3)"/>
      <w:lvlJc w:val="right"/>
      <w:pPr>
        <w:tabs>
          <w:tab w:val="num" w:pos="2160"/>
        </w:tabs>
        <w:ind w:left="2160" w:hanging="360"/>
      </w:pPr>
    </w:lvl>
    <w:lvl w:ilvl="3" w:tplc="E55A61BC" w:tentative="1">
      <w:start w:val="1"/>
      <w:numFmt w:val="lowerRoman"/>
      <w:lvlText w:val="%4."/>
      <w:lvlJc w:val="right"/>
      <w:pPr>
        <w:tabs>
          <w:tab w:val="num" w:pos="2880"/>
        </w:tabs>
        <w:ind w:left="2880" w:hanging="360"/>
      </w:pPr>
    </w:lvl>
    <w:lvl w:ilvl="4" w:tplc="E4BCB3C2">
      <w:start w:val="1"/>
      <w:numFmt w:val="lowerRoman"/>
      <w:lvlText w:val="%5."/>
      <w:lvlJc w:val="right"/>
      <w:pPr>
        <w:tabs>
          <w:tab w:val="num" w:pos="3600"/>
        </w:tabs>
        <w:ind w:left="3600" w:hanging="360"/>
      </w:pPr>
    </w:lvl>
    <w:lvl w:ilvl="5" w:tplc="A2C29934" w:tentative="1">
      <w:start w:val="1"/>
      <w:numFmt w:val="lowerRoman"/>
      <w:lvlText w:val="%6."/>
      <w:lvlJc w:val="right"/>
      <w:pPr>
        <w:tabs>
          <w:tab w:val="num" w:pos="4320"/>
        </w:tabs>
        <w:ind w:left="4320" w:hanging="360"/>
      </w:pPr>
    </w:lvl>
    <w:lvl w:ilvl="6" w:tplc="F7949436" w:tentative="1">
      <w:start w:val="1"/>
      <w:numFmt w:val="lowerRoman"/>
      <w:lvlText w:val="%7."/>
      <w:lvlJc w:val="right"/>
      <w:pPr>
        <w:tabs>
          <w:tab w:val="num" w:pos="5040"/>
        </w:tabs>
        <w:ind w:left="5040" w:hanging="360"/>
      </w:pPr>
    </w:lvl>
    <w:lvl w:ilvl="7" w:tplc="76A408F2" w:tentative="1">
      <w:start w:val="1"/>
      <w:numFmt w:val="lowerRoman"/>
      <w:lvlText w:val="%8."/>
      <w:lvlJc w:val="right"/>
      <w:pPr>
        <w:tabs>
          <w:tab w:val="num" w:pos="5760"/>
        </w:tabs>
        <w:ind w:left="5760" w:hanging="360"/>
      </w:pPr>
    </w:lvl>
    <w:lvl w:ilvl="8" w:tplc="89B20418" w:tentative="1">
      <w:start w:val="1"/>
      <w:numFmt w:val="lowerRoman"/>
      <w:lvlText w:val="%9."/>
      <w:lvlJc w:val="right"/>
      <w:pPr>
        <w:tabs>
          <w:tab w:val="num" w:pos="6480"/>
        </w:tabs>
        <w:ind w:left="6480" w:hanging="360"/>
      </w:pPr>
    </w:lvl>
  </w:abstractNum>
  <w:abstractNum w:abstractNumId="11" w15:restartNumberingAfterBreak="0">
    <w:nsid w:val="160D23AB"/>
    <w:multiLevelType w:val="hybridMultilevel"/>
    <w:tmpl w:val="04E4DC02"/>
    <w:lvl w:ilvl="0" w:tplc="B022B3A6">
      <w:start w:val="1"/>
      <w:numFmt w:val="lowerRoman"/>
      <w:lvlText w:val="%1."/>
      <w:lvlJc w:val="right"/>
      <w:pPr>
        <w:tabs>
          <w:tab w:val="num" w:pos="3600"/>
        </w:tabs>
        <w:ind w:left="360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12C40F2"/>
    <w:multiLevelType w:val="hybridMultilevel"/>
    <w:tmpl w:val="A4504454"/>
    <w:lvl w:ilvl="0" w:tplc="0C09001B">
      <w:start w:val="1"/>
      <w:numFmt w:val="low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44B000C"/>
    <w:multiLevelType w:val="hybridMultilevel"/>
    <w:tmpl w:val="E6CCE1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D402C2"/>
    <w:multiLevelType w:val="hybridMultilevel"/>
    <w:tmpl w:val="DDE2C1C2"/>
    <w:lvl w:ilvl="0" w:tplc="4350B208">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572475B"/>
    <w:multiLevelType w:val="hybridMultilevel"/>
    <w:tmpl w:val="5D8AF16C"/>
    <w:lvl w:ilvl="0" w:tplc="3FACF39A">
      <w:start w:val="1"/>
      <w:numFmt w:val="lowerRoman"/>
      <w:lvlText w:val="%1."/>
      <w:lvlJc w:val="right"/>
      <w:pPr>
        <w:tabs>
          <w:tab w:val="num" w:pos="720"/>
        </w:tabs>
        <w:ind w:left="720" w:hanging="360"/>
      </w:pPr>
    </w:lvl>
    <w:lvl w:ilvl="1" w:tplc="06D2FFF0">
      <w:start w:val="1"/>
      <w:numFmt w:val="lowerRoman"/>
      <w:lvlText w:val="%2."/>
      <w:lvlJc w:val="right"/>
      <w:pPr>
        <w:tabs>
          <w:tab w:val="num" w:pos="1440"/>
        </w:tabs>
        <w:ind w:left="1440" w:hanging="360"/>
      </w:pPr>
    </w:lvl>
    <w:lvl w:ilvl="2" w:tplc="47EA4372">
      <w:start w:val="3"/>
      <w:numFmt w:val="lowerLetter"/>
      <w:lvlText w:val="%3)"/>
      <w:lvlJc w:val="right"/>
      <w:pPr>
        <w:tabs>
          <w:tab w:val="num" w:pos="2160"/>
        </w:tabs>
        <w:ind w:left="2160" w:hanging="360"/>
      </w:pPr>
    </w:lvl>
    <w:lvl w:ilvl="3" w:tplc="D750AF2E">
      <w:start w:val="1"/>
      <w:numFmt w:val="lowerRoman"/>
      <w:lvlText w:val="%4."/>
      <w:lvlJc w:val="right"/>
      <w:pPr>
        <w:tabs>
          <w:tab w:val="num" w:pos="2880"/>
        </w:tabs>
        <w:ind w:left="2880" w:hanging="360"/>
      </w:pPr>
    </w:lvl>
    <w:lvl w:ilvl="4" w:tplc="0FF0B326" w:tentative="1">
      <w:start w:val="1"/>
      <w:numFmt w:val="lowerRoman"/>
      <w:lvlText w:val="%5."/>
      <w:lvlJc w:val="right"/>
      <w:pPr>
        <w:tabs>
          <w:tab w:val="num" w:pos="3600"/>
        </w:tabs>
        <w:ind w:left="3600" w:hanging="360"/>
      </w:pPr>
    </w:lvl>
    <w:lvl w:ilvl="5" w:tplc="5D2CE050" w:tentative="1">
      <w:start w:val="1"/>
      <w:numFmt w:val="lowerRoman"/>
      <w:lvlText w:val="%6."/>
      <w:lvlJc w:val="right"/>
      <w:pPr>
        <w:tabs>
          <w:tab w:val="num" w:pos="4320"/>
        </w:tabs>
        <w:ind w:left="4320" w:hanging="360"/>
      </w:pPr>
    </w:lvl>
    <w:lvl w:ilvl="6" w:tplc="1AC44EE6" w:tentative="1">
      <w:start w:val="1"/>
      <w:numFmt w:val="lowerRoman"/>
      <w:lvlText w:val="%7."/>
      <w:lvlJc w:val="right"/>
      <w:pPr>
        <w:tabs>
          <w:tab w:val="num" w:pos="5040"/>
        </w:tabs>
        <w:ind w:left="5040" w:hanging="360"/>
      </w:pPr>
    </w:lvl>
    <w:lvl w:ilvl="7" w:tplc="5C04A36E" w:tentative="1">
      <w:start w:val="1"/>
      <w:numFmt w:val="lowerRoman"/>
      <w:lvlText w:val="%8."/>
      <w:lvlJc w:val="right"/>
      <w:pPr>
        <w:tabs>
          <w:tab w:val="num" w:pos="5760"/>
        </w:tabs>
        <w:ind w:left="5760" w:hanging="360"/>
      </w:pPr>
    </w:lvl>
    <w:lvl w:ilvl="8" w:tplc="1A7AFD44" w:tentative="1">
      <w:start w:val="1"/>
      <w:numFmt w:val="lowerRoman"/>
      <w:lvlText w:val="%9."/>
      <w:lvlJc w:val="right"/>
      <w:pPr>
        <w:tabs>
          <w:tab w:val="num" w:pos="6480"/>
        </w:tabs>
        <w:ind w:left="6480" w:hanging="360"/>
      </w:pPr>
    </w:lvl>
  </w:abstractNum>
  <w:abstractNum w:abstractNumId="16" w15:restartNumberingAfterBreak="0">
    <w:nsid w:val="2AA0076C"/>
    <w:multiLevelType w:val="hybridMultilevel"/>
    <w:tmpl w:val="AFCA630A"/>
    <w:lvl w:ilvl="0" w:tplc="0C5099F0">
      <w:start w:val="1"/>
      <w:numFmt w:val="lowerRoman"/>
      <w:lvlText w:val="%1."/>
      <w:lvlJc w:val="right"/>
      <w:pPr>
        <w:tabs>
          <w:tab w:val="num" w:pos="720"/>
        </w:tabs>
        <w:ind w:left="720" w:hanging="360"/>
      </w:pPr>
    </w:lvl>
    <w:lvl w:ilvl="1" w:tplc="FF2C0844" w:tentative="1">
      <w:start w:val="1"/>
      <w:numFmt w:val="lowerRoman"/>
      <w:lvlText w:val="%2."/>
      <w:lvlJc w:val="right"/>
      <w:pPr>
        <w:tabs>
          <w:tab w:val="num" w:pos="1440"/>
        </w:tabs>
        <w:ind w:left="1440" w:hanging="360"/>
      </w:pPr>
    </w:lvl>
    <w:lvl w:ilvl="2" w:tplc="7780CCAC" w:tentative="1">
      <w:start w:val="1"/>
      <w:numFmt w:val="lowerRoman"/>
      <w:lvlText w:val="%3."/>
      <w:lvlJc w:val="right"/>
      <w:pPr>
        <w:tabs>
          <w:tab w:val="num" w:pos="2160"/>
        </w:tabs>
        <w:ind w:left="2160" w:hanging="360"/>
      </w:pPr>
    </w:lvl>
    <w:lvl w:ilvl="3" w:tplc="832A6AB2">
      <w:start w:val="1"/>
      <w:numFmt w:val="lowerRoman"/>
      <w:lvlText w:val="%4."/>
      <w:lvlJc w:val="right"/>
      <w:pPr>
        <w:tabs>
          <w:tab w:val="num" w:pos="2880"/>
        </w:tabs>
        <w:ind w:left="2880" w:hanging="360"/>
      </w:pPr>
    </w:lvl>
    <w:lvl w:ilvl="4" w:tplc="B022B3A6">
      <w:start w:val="1"/>
      <w:numFmt w:val="lowerRoman"/>
      <w:lvlText w:val="%5."/>
      <w:lvlJc w:val="right"/>
      <w:pPr>
        <w:tabs>
          <w:tab w:val="num" w:pos="3600"/>
        </w:tabs>
        <w:ind w:left="3600" w:hanging="360"/>
      </w:pPr>
    </w:lvl>
    <w:lvl w:ilvl="5" w:tplc="811A5F4C" w:tentative="1">
      <w:start w:val="1"/>
      <w:numFmt w:val="lowerRoman"/>
      <w:lvlText w:val="%6."/>
      <w:lvlJc w:val="right"/>
      <w:pPr>
        <w:tabs>
          <w:tab w:val="num" w:pos="4320"/>
        </w:tabs>
        <w:ind w:left="4320" w:hanging="360"/>
      </w:pPr>
    </w:lvl>
    <w:lvl w:ilvl="6" w:tplc="4CACC808" w:tentative="1">
      <w:start w:val="1"/>
      <w:numFmt w:val="lowerRoman"/>
      <w:lvlText w:val="%7."/>
      <w:lvlJc w:val="right"/>
      <w:pPr>
        <w:tabs>
          <w:tab w:val="num" w:pos="5040"/>
        </w:tabs>
        <w:ind w:left="5040" w:hanging="360"/>
      </w:pPr>
    </w:lvl>
    <w:lvl w:ilvl="7" w:tplc="6A048C50" w:tentative="1">
      <w:start w:val="1"/>
      <w:numFmt w:val="lowerRoman"/>
      <w:lvlText w:val="%8."/>
      <w:lvlJc w:val="right"/>
      <w:pPr>
        <w:tabs>
          <w:tab w:val="num" w:pos="5760"/>
        </w:tabs>
        <w:ind w:left="5760" w:hanging="360"/>
      </w:pPr>
    </w:lvl>
    <w:lvl w:ilvl="8" w:tplc="711494CA" w:tentative="1">
      <w:start w:val="1"/>
      <w:numFmt w:val="lowerRoman"/>
      <w:lvlText w:val="%9."/>
      <w:lvlJc w:val="right"/>
      <w:pPr>
        <w:tabs>
          <w:tab w:val="num" w:pos="6480"/>
        </w:tabs>
        <w:ind w:left="6480" w:hanging="360"/>
      </w:pPr>
    </w:lvl>
  </w:abstractNum>
  <w:abstractNum w:abstractNumId="17" w15:restartNumberingAfterBreak="0">
    <w:nsid w:val="2B9A6E83"/>
    <w:multiLevelType w:val="hybridMultilevel"/>
    <w:tmpl w:val="E726334A"/>
    <w:lvl w:ilvl="0" w:tplc="BDB8C05E">
      <w:start w:val="1"/>
      <w:numFmt w:val="lowerRoman"/>
      <w:lvlText w:val="%1."/>
      <w:lvlJc w:val="right"/>
      <w:pPr>
        <w:tabs>
          <w:tab w:val="num" w:pos="2880"/>
        </w:tabs>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B80E33"/>
    <w:multiLevelType w:val="hybridMultilevel"/>
    <w:tmpl w:val="55806E9A"/>
    <w:lvl w:ilvl="0" w:tplc="D37CF7C4">
      <w:start w:val="1"/>
      <w:numFmt w:val="bullet"/>
      <w:lvlText w:val="•"/>
      <w:lvlJc w:val="left"/>
      <w:pPr>
        <w:tabs>
          <w:tab w:val="num" w:pos="720"/>
        </w:tabs>
        <w:ind w:left="720" w:hanging="360"/>
      </w:pPr>
      <w:rPr>
        <w:rFonts w:ascii="Trebuchet MS" w:hAnsi="Trebuchet MS" w:hint="default"/>
      </w:rPr>
    </w:lvl>
    <w:lvl w:ilvl="1" w:tplc="7B9EED0E">
      <w:start w:val="1"/>
      <w:numFmt w:val="bullet"/>
      <w:pStyle w:val="Bullet"/>
      <w:lvlText w:val="•"/>
      <w:lvlJc w:val="left"/>
      <w:pPr>
        <w:tabs>
          <w:tab w:val="num" w:pos="1440"/>
        </w:tabs>
        <w:ind w:left="1440" w:hanging="360"/>
      </w:pPr>
      <w:rPr>
        <w:rFonts w:ascii="Trebuchet MS" w:hAnsi="Trebuchet MS" w:hint="default"/>
        <w:color w:val="005EB8" w:themeColor="text2"/>
      </w:rPr>
    </w:lvl>
    <w:lvl w:ilvl="2" w:tplc="92BCAED2" w:tentative="1">
      <w:start w:val="1"/>
      <w:numFmt w:val="bullet"/>
      <w:lvlText w:val="•"/>
      <w:lvlJc w:val="left"/>
      <w:pPr>
        <w:tabs>
          <w:tab w:val="num" w:pos="2160"/>
        </w:tabs>
        <w:ind w:left="2160" w:hanging="360"/>
      </w:pPr>
      <w:rPr>
        <w:rFonts w:ascii="Trebuchet MS" w:hAnsi="Trebuchet MS" w:hint="default"/>
      </w:rPr>
    </w:lvl>
    <w:lvl w:ilvl="3" w:tplc="38EC3C50" w:tentative="1">
      <w:start w:val="1"/>
      <w:numFmt w:val="bullet"/>
      <w:lvlText w:val="•"/>
      <w:lvlJc w:val="left"/>
      <w:pPr>
        <w:tabs>
          <w:tab w:val="num" w:pos="2880"/>
        </w:tabs>
        <w:ind w:left="2880" w:hanging="360"/>
      </w:pPr>
      <w:rPr>
        <w:rFonts w:ascii="Trebuchet MS" w:hAnsi="Trebuchet MS" w:hint="default"/>
      </w:rPr>
    </w:lvl>
    <w:lvl w:ilvl="4" w:tplc="44D4010C" w:tentative="1">
      <w:start w:val="1"/>
      <w:numFmt w:val="bullet"/>
      <w:lvlText w:val="•"/>
      <w:lvlJc w:val="left"/>
      <w:pPr>
        <w:tabs>
          <w:tab w:val="num" w:pos="3600"/>
        </w:tabs>
        <w:ind w:left="3600" w:hanging="360"/>
      </w:pPr>
      <w:rPr>
        <w:rFonts w:ascii="Trebuchet MS" w:hAnsi="Trebuchet MS" w:hint="default"/>
      </w:rPr>
    </w:lvl>
    <w:lvl w:ilvl="5" w:tplc="6E622982" w:tentative="1">
      <w:start w:val="1"/>
      <w:numFmt w:val="bullet"/>
      <w:lvlText w:val="•"/>
      <w:lvlJc w:val="left"/>
      <w:pPr>
        <w:tabs>
          <w:tab w:val="num" w:pos="4320"/>
        </w:tabs>
        <w:ind w:left="4320" w:hanging="360"/>
      </w:pPr>
      <w:rPr>
        <w:rFonts w:ascii="Trebuchet MS" w:hAnsi="Trebuchet MS" w:hint="default"/>
      </w:rPr>
    </w:lvl>
    <w:lvl w:ilvl="6" w:tplc="E9AC1BFA" w:tentative="1">
      <w:start w:val="1"/>
      <w:numFmt w:val="bullet"/>
      <w:lvlText w:val="•"/>
      <w:lvlJc w:val="left"/>
      <w:pPr>
        <w:tabs>
          <w:tab w:val="num" w:pos="5040"/>
        </w:tabs>
        <w:ind w:left="5040" w:hanging="360"/>
      </w:pPr>
      <w:rPr>
        <w:rFonts w:ascii="Trebuchet MS" w:hAnsi="Trebuchet MS" w:hint="default"/>
      </w:rPr>
    </w:lvl>
    <w:lvl w:ilvl="7" w:tplc="9DCAFA26" w:tentative="1">
      <w:start w:val="1"/>
      <w:numFmt w:val="bullet"/>
      <w:lvlText w:val="•"/>
      <w:lvlJc w:val="left"/>
      <w:pPr>
        <w:tabs>
          <w:tab w:val="num" w:pos="5760"/>
        </w:tabs>
        <w:ind w:left="5760" w:hanging="360"/>
      </w:pPr>
      <w:rPr>
        <w:rFonts w:ascii="Trebuchet MS" w:hAnsi="Trebuchet MS" w:hint="default"/>
      </w:rPr>
    </w:lvl>
    <w:lvl w:ilvl="8" w:tplc="422AC4C8" w:tentative="1">
      <w:start w:val="1"/>
      <w:numFmt w:val="bullet"/>
      <w:lvlText w:val="•"/>
      <w:lvlJc w:val="left"/>
      <w:pPr>
        <w:tabs>
          <w:tab w:val="num" w:pos="6480"/>
        </w:tabs>
        <w:ind w:left="6480" w:hanging="360"/>
      </w:pPr>
      <w:rPr>
        <w:rFonts w:ascii="Trebuchet MS" w:hAnsi="Trebuchet MS" w:hint="default"/>
      </w:rPr>
    </w:lvl>
  </w:abstractNum>
  <w:abstractNum w:abstractNumId="19" w15:restartNumberingAfterBreak="0">
    <w:nsid w:val="31ED1C9C"/>
    <w:multiLevelType w:val="hybridMultilevel"/>
    <w:tmpl w:val="6CE03D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31F83B8D"/>
    <w:multiLevelType w:val="hybridMultilevel"/>
    <w:tmpl w:val="8E3CFE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5E2C5D"/>
    <w:multiLevelType w:val="hybridMultilevel"/>
    <w:tmpl w:val="619ABC8E"/>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2" w15:restartNumberingAfterBreak="0">
    <w:nsid w:val="34973BF4"/>
    <w:multiLevelType w:val="hybridMultilevel"/>
    <w:tmpl w:val="87241150"/>
    <w:lvl w:ilvl="0" w:tplc="8FB0C04C">
      <w:start w:val="1"/>
      <w:numFmt w:val="lowerRoman"/>
      <w:lvlText w:val="%1."/>
      <w:lvlJc w:val="right"/>
      <w:pPr>
        <w:tabs>
          <w:tab w:val="num" w:pos="720"/>
        </w:tabs>
        <w:ind w:left="720" w:hanging="360"/>
      </w:pPr>
    </w:lvl>
    <w:lvl w:ilvl="1" w:tplc="BF76B9D0" w:tentative="1">
      <w:start w:val="1"/>
      <w:numFmt w:val="lowerRoman"/>
      <w:lvlText w:val="%2."/>
      <w:lvlJc w:val="right"/>
      <w:pPr>
        <w:tabs>
          <w:tab w:val="num" w:pos="1440"/>
        </w:tabs>
        <w:ind w:left="1440" w:hanging="360"/>
      </w:pPr>
    </w:lvl>
    <w:lvl w:ilvl="2" w:tplc="7B3E76F6">
      <w:start w:val="2"/>
      <w:numFmt w:val="lowerLetter"/>
      <w:lvlText w:val="%3)"/>
      <w:lvlJc w:val="right"/>
      <w:pPr>
        <w:tabs>
          <w:tab w:val="num" w:pos="2160"/>
        </w:tabs>
        <w:ind w:left="2160" w:hanging="360"/>
      </w:pPr>
      <w:rPr>
        <w:b w:val="0"/>
      </w:rPr>
    </w:lvl>
    <w:lvl w:ilvl="3" w:tplc="7DCEAABA" w:tentative="1">
      <w:start w:val="1"/>
      <w:numFmt w:val="lowerRoman"/>
      <w:lvlText w:val="%4."/>
      <w:lvlJc w:val="right"/>
      <w:pPr>
        <w:tabs>
          <w:tab w:val="num" w:pos="2880"/>
        </w:tabs>
        <w:ind w:left="2880" w:hanging="360"/>
      </w:pPr>
    </w:lvl>
    <w:lvl w:ilvl="4" w:tplc="3C18B57C">
      <w:start w:val="1"/>
      <w:numFmt w:val="lowerRoman"/>
      <w:lvlText w:val="%5."/>
      <w:lvlJc w:val="right"/>
      <w:pPr>
        <w:tabs>
          <w:tab w:val="num" w:pos="3600"/>
        </w:tabs>
        <w:ind w:left="3600" w:hanging="360"/>
      </w:pPr>
    </w:lvl>
    <w:lvl w:ilvl="5" w:tplc="F1585DA8" w:tentative="1">
      <w:start w:val="1"/>
      <w:numFmt w:val="lowerRoman"/>
      <w:lvlText w:val="%6."/>
      <w:lvlJc w:val="right"/>
      <w:pPr>
        <w:tabs>
          <w:tab w:val="num" w:pos="4320"/>
        </w:tabs>
        <w:ind w:left="4320" w:hanging="360"/>
      </w:pPr>
    </w:lvl>
    <w:lvl w:ilvl="6" w:tplc="4AA6359C" w:tentative="1">
      <w:start w:val="1"/>
      <w:numFmt w:val="lowerRoman"/>
      <w:lvlText w:val="%7."/>
      <w:lvlJc w:val="right"/>
      <w:pPr>
        <w:tabs>
          <w:tab w:val="num" w:pos="5040"/>
        </w:tabs>
        <w:ind w:left="5040" w:hanging="360"/>
      </w:pPr>
    </w:lvl>
    <w:lvl w:ilvl="7" w:tplc="245C3F12" w:tentative="1">
      <w:start w:val="1"/>
      <w:numFmt w:val="lowerRoman"/>
      <w:lvlText w:val="%8."/>
      <w:lvlJc w:val="right"/>
      <w:pPr>
        <w:tabs>
          <w:tab w:val="num" w:pos="5760"/>
        </w:tabs>
        <w:ind w:left="5760" w:hanging="360"/>
      </w:pPr>
    </w:lvl>
    <w:lvl w:ilvl="8" w:tplc="149CE628" w:tentative="1">
      <w:start w:val="1"/>
      <w:numFmt w:val="lowerRoman"/>
      <w:lvlText w:val="%9."/>
      <w:lvlJc w:val="right"/>
      <w:pPr>
        <w:tabs>
          <w:tab w:val="num" w:pos="6480"/>
        </w:tabs>
        <w:ind w:left="6480" w:hanging="360"/>
      </w:pPr>
    </w:lvl>
  </w:abstractNum>
  <w:abstractNum w:abstractNumId="23" w15:restartNumberingAfterBreak="0">
    <w:nsid w:val="35D73195"/>
    <w:multiLevelType w:val="hybridMultilevel"/>
    <w:tmpl w:val="CF94F5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AFA4FC6"/>
    <w:multiLevelType w:val="hybridMultilevel"/>
    <w:tmpl w:val="54AA61F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61B2FDA"/>
    <w:multiLevelType w:val="hybridMultilevel"/>
    <w:tmpl w:val="516AD018"/>
    <w:lvl w:ilvl="0" w:tplc="BF2C9546">
      <w:start w:val="1"/>
      <w:numFmt w:val="decimal"/>
      <w:lvlText w:val="%1."/>
      <w:lvlJc w:val="left"/>
      <w:pPr>
        <w:ind w:left="108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6C82332"/>
    <w:multiLevelType w:val="hybridMultilevel"/>
    <w:tmpl w:val="5F0E37CC"/>
    <w:lvl w:ilvl="0" w:tplc="664A79A6">
      <w:start w:val="1"/>
      <w:numFmt w:val="decimal"/>
      <w:lvlText w:val="%1."/>
      <w:lvlJc w:val="left"/>
      <w:pPr>
        <w:ind w:left="1080" w:hanging="360"/>
      </w:pPr>
      <w:rPr>
        <w:rFonts w:hint="default"/>
        <w:b/>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4FA65E27"/>
    <w:multiLevelType w:val="hybridMultilevel"/>
    <w:tmpl w:val="884C76E8"/>
    <w:lvl w:ilvl="0" w:tplc="01A6B8BC">
      <w:start w:val="1"/>
      <w:numFmt w:val="lowerRoman"/>
      <w:lvlText w:val="%1."/>
      <w:lvlJc w:val="right"/>
      <w:pPr>
        <w:tabs>
          <w:tab w:val="num" w:pos="720"/>
        </w:tabs>
        <w:ind w:left="720" w:hanging="360"/>
      </w:pPr>
    </w:lvl>
    <w:lvl w:ilvl="1" w:tplc="A1A60152" w:tentative="1">
      <w:start w:val="1"/>
      <w:numFmt w:val="lowerRoman"/>
      <w:lvlText w:val="%2."/>
      <w:lvlJc w:val="right"/>
      <w:pPr>
        <w:tabs>
          <w:tab w:val="num" w:pos="1440"/>
        </w:tabs>
        <w:ind w:left="1440" w:hanging="360"/>
      </w:pPr>
    </w:lvl>
    <w:lvl w:ilvl="2" w:tplc="EAC40C1C" w:tentative="1">
      <w:start w:val="1"/>
      <w:numFmt w:val="lowerRoman"/>
      <w:lvlText w:val="%3."/>
      <w:lvlJc w:val="right"/>
      <w:pPr>
        <w:tabs>
          <w:tab w:val="num" w:pos="2160"/>
        </w:tabs>
        <w:ind w:left="2160" w:hanging="360"/>
      </w:pPr>
    </w:lvl>
    <w:lvl w:ilvl="3" w:tplc="EA0EC098">
      <w:start w:val="1"/>
      <w:numFmt w:val="lowerRoman"/>
      <w:lvlText w:val="%4."/>
      <w:lvlJc w:val="right"/>
      <w:pPr>
        <w:tabs>
          <w:tab w:val="num" w:pos="2880"/>
        </w:tabs>
        <w:ind w:left="2880" w:hanging="360"/>
      </w:pPr>
    </w:lvl>
    <w:lvl w:ilvl="4" w:tplc="2C0C15C4" w:tentative="1">
      <w:start w:val="1"/>
      <w:numFmt w:val="lowerRoman"/>
      <w:lvlText w:val="%5."/>
      <w:lvlJc w:val="right"/>
      <w:pPr>
        <w:tabs>
          <w:tab w:val="num" w:pos="3600"/>
        </w:tabs>
        <w:ind w:left="3600" w:hanging="360"/>
      </w:pPr>
    </w:lvl>
    <w:lvl w:ilvl="5" w:tplc="6108D688" w:tentative="1">
      <w:start w:val="1"/>
      <w:numFmt w:val="lowerRoman"/>
      <w:lvlText w:val="%6."/>
      <w:lvlJc w:val="right"/>
      <w:pPr>
        <w:tabs>
          <w:tab w:val="num" w:pos="4320"/>
        </w:tabs>
        <w:ind w:left="4320" w:hanging="360"/>
      </w:pPr>
    </w:lvl>
    <w:lvl w:ilvl="6" w:tplc="DFCE9BDE" w:tentative="1">
      <w:start w:val="1"/>
      <w:numFmt w:val="lowerRoman"/>
      <w:lvlText w:val="%7."/>
      <w:lvlJc w:val="right"/>
      <w:pPr>
        <w:tabs>
          <w:tab w:val="num" w:pos="5040"/>
        </w:tabs>
        <w:ind w:left="5040" w:hanging="360"/>
      </w:pPr>
    </w:lvl>
    <w:lvl w:ilvl="7" w:tplc="42AAF75A" w:tentative="1">
      <w:start w:val="1"/>
      <w:numFmt w:val="lowerRoman"/>
      <w:lvlText w:val="%8."/>
      <w:lvlJc w:val="right"/>
      <w:pPr>
        <w:tabs>
          <w:tab w:val="num" w:pos="5760"/>
        </w:tabs>
        <w:ind w:left="5760" w:hanging="360"/>
      </w:pPr>
    </w:lvl>
    <w:lvl w:ilvl="8" w:tplc="C540DADA" w:tentative="1">
      <w:start w:val="1"/>
      <w:numFmt w:val="lowerRoman"/>
      <w:lvlText w:val="%9."/>
      <w:lvlJc w:val="right"/>
      <w:pPr>
        <w:tabs>
          <w:tab w:val="num" w:pos="6480"/>
        </w:tabs>
        <w:ind w:left="6480" w:hanging="360"/>
      </w:pPr>
    </w:lvl>
  </w:abstractNum>
  <w:abstractNum w:abstractNumId="28" w15:restartNumberingAfterBreak="0">
    <w:nsid w:val="50A765D9"/>
    <w:multiLevelType w:val="hybridMultilevel"/>
    <w:tmpl w:val="EE56E454"/>
    <w:lvl w:ilvl="0" w:tplc="3C18B57C">
      <w:start w:val="1"/>
      <w:numFmt w:val="lowerRoman"/>
      <w:lvlText w:val="%1."/>
      <w:lvlJc w:val="right"/>
      <w:pPr>
        <w:tabs>
          <w:tab w:val="num" w:pos="3600"/>
        </w:tabs>
        <w:ind w:left="360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5D770E0"/>
    <w:multiLevelType w:val="hybridMultilevel"/>
    <w:tmpl w:val="E7A4399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56A953CF"/>
    <w:multiLevelType w:val="multilevel"/>
    <w:tmpl w:val="7F3A7200"/>
    <w:lvl w:ilvl="0">
      <w:start w:val="1"/>
      <w:numFmt w:val="decimal"/>
      <w:pStyle w:val="Heading1"/>
      <w:lvlText w:val="Section %1."/>
      <w:lvlJc w:val="left"/>
      <w:pPr>
        <w:ind w:left="2984" w:hanging="432"/>
      </w:pPr>
      <w:rPr>
        <w:rFonts w:hint="default"/>
      </w:rPr>
    </w:lvl>
    <w:lvl w:ilvl="1">
      <w:start w:val="1"/>
      <w:numFmt w:val="decimal"/>
      <w:pStyle w:val="Heading2"/>
      <w:lvlText w:val="Section %1.%2."/>
      <w:lvlJc w:val="left"/>
      <w:pPr>
        <w:ind w:left="576" w:hanging="576"/>
      </w:pPr>
    </w:lvl>
    <w:lvl w:ilvl="2">
      <w:start w:val="1"/>
      <w:numFmt w:val="decimal"/>
      <w:pStyle w:val="Heading3"/>
      <w:lvlText w:val="Section %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1" w15:restartNumberingAfterBreak="0">
    <w:nsid w:val="5A69281E"/>
    <w:multiLevelType w:val="hybridMultilevel"/>
    <w:tmpl w:val="674A0B6E"/>
    <w:lvl w:ilvl="0" w:tplc="EA0EC098">
      <w:start w:val="1"/>
      <w:numFmt w:val="lowerRoman"/>
      <w:lvlText w:val="%1."/>
      <w:lvlJc w:val="right"/>
      <w:pPr>
        <w:tabs>
          <w:tab w:val="num" w:pos="1080"/>
        </w:tabs>
        <w:ind w:left="1080" w:hanging="360"/>
      </w:pPr>
    </w:lvl>
    <w:lvl w:ilvl="1" w:tplc="0C090019" w:tentative="1">
      <w:start w:val="1"/>
      <w:numFmt w:val="lowerLetter"/>
      <w:lvlText w:val="%2."/>
      <w:lvlJc w:val="left"/>
      <w:pPr>
        <w:ind w:left="-360" w:hanging="360"/>
      </w:pPr>
    </w:lvl>
    <w:lvl w:ilvl="2" w:tplc="0C09001B" w:tentative="1">
      <w:start w:val="1"/>
      <w:numFmt w:val="lowerRoman"/>
      <w:lvlText w:val="%3."/>
      <w:lvlJc w:val="right"/>
      <w:pPr>
        <w:ind w:left="360" w:hanging="180"/>
      </w:pPr>
    </w:lvl>
    <w:lvl w:ilvl="3" w:tplc="0C09000F" w:tentative="1">
      <w:start w:val="1"/>
      <w:numFmt w:val="decimal"/>
      <w:lvlText w:val="%4."/>
      <w:lvlJc w:val="left"/>
      <w:pPr>
        <w:ind w:left="1080" w:hanging="360"/>
      </w:pPr>
    </w:lvl>
    <w:lvl w:ilvl="4" w:tplc="0C090019" w:tentative="1">
      <w:start w:val="1"/>
      <w:numFmt w:val="lowerLetter"/>
      <w:lvlText w:val="%5."/>
      <w:lvlJc w:val="left"/>
      <w:pPr>
        <w:ind w:left="1800" w:hanging="360"/>
      </w:pPr>
    </w:lvl>
    <w:lvl w:ilvl="5" w:tplc="0C09001B" w:tentative="1">
      <w:start w:val="1"/>
      <w:numFmt w:val="lowerRoman"/>
      <w:lvlText w:val="%6."/>
      <w:lvlJc w:val="right"/>
      <w:pPr>
        <w:ind w:left="2520" w:hanging="180"/>
      </w:pPr>
    </w:lvl>
    <w:lvl w:ilvl="6" w:tplc="0C09000F" w:tentative="1">
      <w:start w:val="1"/>
      <w:numFmt w:val="decimal"/>
      <w:lvlText w:val="%7."/>
      <w:lvlJc w:val="left"/>
      <w:pPr>
        <w:ind w:left="3240" w:hanging="360"/>
      </w:pPr>
    </w:lvl>
    <w:lvl w:ilvl="7" w:tplc="0C090019" w:tentative="1">
      <w:start w:val="1"/>
      <w:numFmt w:val="lowerLetter"/>
      <w:lvlText w:val="%8."/>
      <w:lvlJc w:val="left"/>
      <w:pPr>
        <w:ind w:left="3960" w:hanging="360"/>
      </w:pPr>
    </w:lvl>
    <w:lvl w:ilvl="8" w:tplc="0C09001B" w:tentative="1">
      <w:start w:val="1"/>
      <w:numFmt w:val="lowerRoman"/>
      <w:lvlText w:val="%9."/>
      <w:lvlJc w:val="right"/>
      <w:pPr>
        <w:ind w:left="4680" w:hanging="180"/>
      </w:pPr>
    </w:lvl>
  </w:abstractNum>
  <w:abstractNum w:abstractNumId="32" w15:restartNumberingAfterBreak="0">
    <w:nsid w:val="5AC87811"/>
    <w:multiLevelType w:val="hybridMultilevel"/>
    <w:tmpl w:val="76003C82"/>
    <w:lvl w:ilvl="0" w:tplc="E5FEF190">
      <w:start w:val="1"/>
      <w:numFmt w:val="lowerLetter"/>
      <w:lvlText w:val="%1)"/>
      <w:lvlJc w:val="left"/>
      <w:pPr>
        <w:tabs>
          <w:tab w:val="num" w:pos="720"/>
        </w:tabs>
        <w:ind w:left="720" w:hanging="360"/>
      </w:pPr>
    </w:lvl>
    <w:lvl w:ilvl="1" w:tplc="DB92F87C" w:tentative="1">
      <w:start w:val="1"/>
      <w:numFmt w:val="lowerLetter"/>
      <w:lvlText w:val="%2)"/>
      <w:lvlJc w:val="left"/>
      <w:pPr>
        <w:tabs>
          <w:tab w:val="num" w:pos="1440"/>
        </w:tabs>
        <w:ind w:left="1440" w:hanging="360"/>
      </w:pPr>
    </w:lvl>
    <w:lvl w:ilvl="2" w:tplc="A58EC3D8">
      <w:start w:val="1"/>
      <w:numFmt w:val="lowerLetter"/>
      <w:lvlText w:val="%3)"/>
      <w:lvlJc w:val="left"/>
      <w:pPr>
        <w:tabs>
          <w:tab w:val="num" w:pos="2160"/>
        </w:tabs>
        <w:ind w:left="2160" w:hanging="360"/>
      </w:pPr>
      <w:rPr>
        <w:b w:val="0"/>
      </w:rPr>
    </w:lvl>
    <w:lvl w:ilvl="3" w:tplc="78F4CD98">
      <w:start w:val="1"/>
      <w:numFmt w:val="lowerRoman"/>
      <w:lvlText w:val="%4."/>
      <w:lvlJc w:val="right"/>
      <w:pPr>
        <w:tabs>
          <w:tab w:val="num" w:pos="2880"/>
        </w:tabs>
        <w:ind w:left="2880" w:hanging="360"/>
      </w:pPr>
    </w:lvl>
    <w:lvl w:ilvl="4" w:tplc="C01C9F96" w:tentative="1">
      <w:start w:val="1"/>
      <w:numFmt w:val="lowerLetter"/>
      <w:lvlText w:val="%5)"/>
      <w:lvlJc w:val="left"/>
      <w:pPr>
        <w:tabs>
          <w:tab w:val="num" w:pos="3600"/>
        </w:tabs>
        <w:ind w:left="3600" w:hanging="360"/>
      </w:pPr>
    </w:lvl>
    <w:lvl w:ilvl="5" w:tplc="D5A2518E" w:tentative="1">
      <w:start w:val="1"/>
      <w:numFmt w:val="lowerLetter"/>
      <w:lvlText w:val="%6)"/>
      <w:lvlJc w:val="left"/>
      <w:pPr>
        <w:tabs>
          <w:tab w:val="num" w:pos="4320"/>
        </w:tabs>
        <w:ind w:left="4320" w:hanging="360"/>
      </w:pPr>
    </w:lvl>
    <w:lvl w:ilvl="6" w:tplc="1A6A9CC6" w:tentative="1">
      <w:start w:val="1"/>
      <w:numFmt w:val="lowerLetter"/>
      <w:lvlText w:val="%7)"/>
      <w:lvlJc w:val="left"/>
      <w:pPr>
        <w:tabs>
          <w:tab w:val="num" w:pos="5040"/>
        </w:tabs>
        <w:ind w:left="5040" w:hanging="360"/>
      </w:pPr>
    </w:lvl>
    <w:lvl w:ilvl="7" w:tplc="CF2447B2" w:tentative="1">
      <w:start w:val="1"/>
      <w:numFmt w:val="lowerLetter"/>
      <w:lvlText w:val="%8)"/>
      <w:lvlJc w:val="left"/>
      <w:pPr>
        <w:tabs>
          <w:tab w:val="num" w:pos="5760"/>
        </w:tabs>
        <w:ind w:left="5760" w:hanging="360"/>
      </w:pPr>
    </w:lvl>
    <w:lvl w:ilvl="8" w:tplc="F5704C12" w:tentative="1">
      <w:start w:val="1"/>
      <w:numFmt w:val="lowerLetter"/>
      <w:lvlText w:val="%9)"/>
      <w:lvlJc w:val="left"/>
      <w:pPr>
        <w:tabs>
          <w:tab w:val="num" w:pos="6480"/>
        </w:tabs>
        <w:ind w:left="6480" w:hanging="360"/>
      </w:pPr>
    </w:lvl>
  </w:abstractNum>
  <w:abstractNum w:abstractNumId="33" w15:restartNumberingAfterBreak="0">
    <w:nsid w:val="5C5A2347"/>
    <w:multiLevelType w:val="hybridMultilevel"/>
    <w:tmpl w:val="3FB09E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C5A28CB"/>
    <w:multiLevelType w:val="hybridMultilevel"/>
    <w:tmpl w:val="088E926A"/>
    <w:lvl w:ilvl="0" w:tplc="0C090017">
      <w:start w:val="1"/>
      <w:numFmt w:val="lowerLetter"/>
      <w:lvlText w:val="%1)"/>
      <w:lvlJc w:val="left"/>
      <w:pPr>
        <w:ind w:left="501"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D7C281D"/>
    <w:multiLevelType w:val="hybridMultilevel"/>
    <w:tmpl w:val="4A46E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E217003"/>
    <w:multiLevelType w:val="hybridMultilevel"/>
    <w:tmpl w:val="EA60F70E"/>
    <w:lvl w:ilvl="0" w:tplc="EA0EC098">
      <w:start w:val="1"/>
      <w:numFmt w:val="lowerRoman"/>
      <w:lvlText w:val="%1."/>
      <w:lvlJc w:val="right"/>
      <w:pPr>
        <w:tabs>
          <w:tab w:val="num" w:pos="1440"/>
        </w:tabs>
        <w:ind w:left="1440" w:hanging="360"/>
      </w:pPr>
    </w:lvl>
    <w:lvl w:ilvl="1" w:tplc="0C090019" w:tentative="1">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abstractNum w:abstractNumId="37" w15:restartNumberingAfterBreak="0">
    <w:nsid w:val="612B0499"/>
    <w:multiLevelType w:val="hybridMultilevel"/>
    <w:tmpl w:val="2AD0BF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63006D5"/>
    <w:multiLevelType w:val="hybridMultilevel"/>
    <w:tmpl w:val="90521AC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9" w15:restartNumberingAfterBreak="0">
    <w:nsid w:val="6959447B"/>
    <w:multiLevelType w:val="multilevel"/>
    <w:tmpl w:val="71C4E82C"/>
    <w:lvl w:ilvl="0">
      <w:start w:val="1"/>
      <w:numFmt w:val="decimal"/>
      <w:lvlText w:val="%1."/>
      <w:lvlJc w:val="left"/>
      <w:pPr>
        <w:ind w:left="567" w:hanging="567"/>
      </w:pPr>
      <w:rPr>
        <w:rFonts w:hint="default"/>
      </w:rPr>
    </w:lvl>
    <w:lvl w:ilvl="1">
      <w:start w:val="1"/>
      <w:numFmt w:val="lowerLetter"/>
      <w:lvlRestart w:val="0"/>
      <w:lvlText w:val="%2)"/>
      <w:lvlJc w:val="left"/>
      <w:pPr>
        <w:ind w:left="1134" w:hanging="567"/>
      </w:pPr>
      <w:rPr>
        <w:rFonts w:hint="default"/>
      </w:rPr>
    </w:lvl>
    <w:lvl w:ilvl="2">
      <w:start w:val="1"/>
      <w:numFmt w:val="lowerRoman"/>
      <w:lvlRestart w:val="0"/>
      <w:lvlText w:val="%3)"/>
      <w:lvlJc w:val="left"/>
      <w:pPr>
        <w:ind w:left="1701" w:hanging="567"/>
      </w:pPr>
      <w:rPr>
        <w:rFonts w:hint="default"/>
      </w:rPr>
    </w:lvl>
    <w:lvl w:ilvl="3">
      <w:start w:val="1"/>
      <w:numFmt w:val="decimal"/>
      <w:lvlRestart w:val="0"/>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0" w15:restartNumberingAfterBreak="0">
    <w:nsid w:val="69D25FFD"/>
    <w:multiLevelType w:val="hybridMultilevel"/>
    <w:tmpl w:val="7DFA7878"/>
    <w:lvl w:ilvl="0" w:tplc="3C18B57C">
      <w:start w:val="1"/>
      <w:numFmt w:val="lowerRoman"/>
      <w:lvlText w:val="%1."/>
      <w:lvlJc w:val="right"/>
      <w:pPr>
        <w:tabs>
          <w:tab w:val="num" w:pos="1080"/>
        </w:tabs>
        <w:ind w:left="108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360" w:hanging="180"/>
      </w:pPr>
    </w:lvl>
    <w:lvl w:ilvl="3" w:tplc="0C09000F" w:tentative="1">
      <w:start w:val="1"/>
      <w:numFmt w:val="decimal"/>
      <w:lvlText w:val="%4."/>
      <w:lvlJc w:val="left"/>
      <w:pPr>
        <w:ind w:left="360" w:hanging="360"/>
      </w:pPr>
    </w:lvl>
    <w:lvl w:ilvl="4" w:tplc="0C090019" w:tentative="1">
      <w:start w:val="1"/>
      <w:numFmt w:val="lowerLetter"/>
      <w:lvlText w:val="%5."/>
      <w:lvlJc w:val="left"/>
      <w:pPr>
        <w:ind w:left="1080" w:hanging="360"/>
      </w:pPr>
    </w:lvl>
    <w:lvl w:ilvl="5" w:tplc="0C09001B" w:tentative="1">
      <w:start w:val="1"/>
      <w:numFmt w:val="lowerRoman"/>
      <w:lvlText w:val="%6."/>
      <w:lvlJc w:val="right"/>
      <w:pPr>
        <w:ind w:left="1800" w:hanging="180"/>
      </w:pPr>
    </w:lvl>
    <w:lvl w:ilvl="6" w:tplc="0C09000F" w:tentative="1">
      <w:start w:val="1"/>
      <w:numFmt w:val="decimal"/>
      <w:lvlText w:val="%7."/>
      <w:lvlJc w:val="left"/>
      <w:pPr>
        <w:ind w:left="2520" w:hanging="360"/>
      </w:pPr>
    </w:lvl>
    <w:lvl w:ilvl="7" w:tplc="0C090019" w:tentative="1">
      <w:start w:val="1"/>
      <w:numFmt w:val="lowerLetter"/>
      <w:lvlText w:val="%8."/>
      <w:lvlJc w:val="left"/>
      <w:pPr>
        <w:ind w:left="3240" w:hanging="360"/>
      </w:pPr>
    </w:lvl>
    <w:lvl w:ilvl="8" w:tplc="0C09001B" w:tentative="1">
      <w:start w:val="1"/>
      <w:numFmt w:val="lowerRoman"/>
      <w:lvlText w:val="%9."/>
      <w:lvlJc w:val="right"/>
      <w:pPr>
        <w:ind w:left="3960" w:hanging="180"/>
      </w:pPr>
    </w:lvl>
  </w:abstractNum>
  <w:abstractNum w:abstractNumId="41" w15:restartNumberingAfterBreak="0">
    <w:nsid w:val="6A9D4AD8"/>
    <w:multiLevelType w:val="hybridMultilevel"/>
    <w:tmpl w:val="CFCECA5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2" w15:restartNumberingAfterBreak="0">
    <w:nsid w:val="6F4D1BE7"/>
    <w:multiLevelType w:val="hybridMultilevel"/>
    <w:tmpl w:val="DCF8AC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09E1FE3"/>
    <w:multiLevelType w:val="hybridMultilevel"/>
    <w:tmpl w:val="DA2A25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39E3435"/>
    <w:multiLevelType w:val="hybridMultilevel"/>
    <w:tmpl w:val="821E358A"/>
    <w:lvl w:ilvl="0" w:tplc="0C09001B">
      <w:start w:val="1"/>
      <w:numFmt w:val="lowerRoman"/>
      <w:lvlText w:val="%1."/>
      <w:lvlJc w:val="righ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73A13BCB"/>
    <w:multiLevelType w:val="hybridMultilevel"/>
    <w:tmpl w:val="20EECD44"/>
    <w:lvl w:ilvl="0" w:tplc="0C090001">
      <w:start w:val="1"/>
      <w:numFmt w:val="bullet"/>
      <w:lvlText w:val=""/>
      <w:lvlJc w:val="left"/>
      <w:pPr>
        <w:tabs>
          <w:tab w:val="num" w:pos="1800"/>
        </w:tabs>
        <w:ind w:left="1800" w:hanging="360"/>
      </w:pPr>
      <w:rPr>
        <w:rFonts w:ascii="Symbol" w:hAnsi="Symbol" w:hint="default"/>
      </w:rPr>
    </w:lvl>
    <w:lvl w:ilvl="1" w:tplc="0C090019" w:tentative="1">
      <w:start w:val="1"/>
      <w:numFmt w:val="lowerLetter"/>
      <w:lvlText w:val="%2."/>
      <w:lvlJc w:val="left"/>
      <w:pPr>
        <w:ind w:left="360" w:hanging="360"/>
      </w:pPr>
    </w:lvl>
    <w:lvl w:ilvl="2" w:tplc="0C09001B" w:tentative="1">
      <w:start w:val="1"/>
      <w:numFmt w:val="lowerRoman"/>
      <w:lvlText w:val="%3."/>
      <w:lvlJc w:val="right"/>
      <w:pPr>
        <w:ind w:left="1080" w:hanging="180"/>
      </w:pPr>
    </w:lvl>
    <w:lvl w:ilvl="3" w:tplc="0C09000F" w:tentative="1">
      <w:start w:val="1"/>
      <w:numFmt w:val="decimal"/>
      <w:lvlText w:val="%4."/>
      <w:lvlJc w:val="left"/>
      <w:pPr>
        <w:ind w:left="1800" w:hanging="360"/>
      </w:pPr>
    </w:lvl>
    <w:lvl w:ilvl="4" w:tplc="0C090019" w:tentative="1">
      <w:start w:val="1"/>
      <w:numFmt w:val="lowerLetter"/>
      <w:lvlText w:val="%5."/>
      <w:lvlJc w:val="left"/>
      <w:pPr>
        <w:ind w:left="2520" w:hanging="360"/>
      </w:pPr>
    </w:lvl>
    <w:lvl w:ilvl="5" w:tplc="0C09001B" w:tentative="1">
      <w:start w:val="1"/>
      <w:numFmt w:val="lowerRoman"/>
      <w:lvlText w:val="%6."/>
      <w:lvlJc w:val="right"/>
      <w:pPr>
        <w:ind w:left="3240" w:hanging="180"/>
      </w:pPr>
    </w:lvl>
    <w:lvl w:ilvl="6" w:tplc="0C09000F" w:tentative="1">
      <w:start w:val="1"/>
      <w:numFmt w:val="decimal"/>
      <w:lvlText w:val="%7."/>
      <w:lvlJc w:val="left"/>
      <w:pPr>
        <w:ind w:left="3960" w:hanging="360"/>
      </w:pPr>
    </w:lvl>
    <w:lvl w:ilvl="7" w:tplc="0C090019" w:tentative="1">
      <w:start w:val="1"/>
      <w:numFmt w:val="lowerLetter"/>
      <w:lvlText w:val="%8."/>
      <w:lvlJc w:val="left"/>
      <w:pPr>
        <w:ind w:left="4680" w:hanging="360"/>
      </w:pPr>
    </w:lvl>
    <w:lvl w:ilvl="8" w:tplc="0C09001B" w:tentative="1">
      <w:start w:val="1"/>
      <w:numFmt w:val="lowerRoman"/>
      <w:lvlText w:val="%9."/>
      <w:lvlJc w:val="right"/>
      <w:pPr>
        <w:ind w:left="5400" w:hanging="180"/>
      </w:pPr>
    </w:lvl>
  </w:abstractNum>
  <w:abstractNum w:abstractNumId="46" w15:restartNumberingAfterBreak="0">
    <w:nsid w:val="753E0F93"/>
    <w:multiLevelType w:val="hybridMultilevel"/>
    <w:tmpl w:val="ED743346"/>
    <w:lvl w:ilvl="0" w:tplc="0C09001B">
      <w:start w:val="1"/>
      <w:numFmt w:val="lowerRoman"/>
      <w:lvlText w:val="%1."/>
      <w:lvlJc w:val="righ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7A932B0B"/>
    <w:multiLevelType w:val="hybridMultilevel"/>
    <w:tmpl w:val="10608BF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C772F8D"/>
    <w:multiLevelType w:val="hybridMultilevel"/>
    <w:tmpl w:val="C9462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90873273">
    <w:abstractNumId w:val="18"/>
  </w:num>
  <w:num w:numId="2" w16cid:durableId="2143113934">
    <w:abstractNumId w:val="17"/>
  </w:num>
  <w:num w:numId="3" w16cid:durableId="1025669789">
    <w:abstractNumId w:val="22"/>
  </w:num>
  <w:num w:numId="4" w16cid:durableId="2019454402">
    <w:abstractNumId w:val="10"/>
  </w:num>
  <w:num w:numId="5" w16cid:durableId="1017191136">
    <w:abstractNumId w:val="32"/>
  </w:num>
  <w:num w:numId="6" w16cid:durableId="1577930794">
    <w:abstractNumId w:val="27"/>
  </w:num>
  <w:num w:numId="7" w16cid:durableId="2077436274">
    <w:abstractNumId w:val="15"/>
  </w:num>
  <w:num w:numId="8" w16cid:durableId="1249655705">
    <w:abstractNumId w:val="16"/>
  </w:num>
  <w:num w:numId="9" w16cid:durableId="1495880584">
    <w:abstractNumId w:val="37"/>
  </w:num>
  <w:num w:numId="10" w16cid:durableId="287667899">
    <w:abstractNumId w:val="41"/>
  </w:num>
  <w:num w:numId="11" w16cid:durableId="184950605">
    <w:abstractNumId w:val="48"/>
  </w:num>
  <w:num w:numId="12" w16cid:durableId="1232354562">
    <w:abstractNumId w:val="14"/>
  </w:num>
  <w:num w:numId="13" w16cid:durableId="1531870350">
    <w:abstractNumId w:val="9"/>
  </w:num>
  <w:num w:numId="14" w16cid:durableId="580217242">
    <w:abstractNumId w:val="3"/>
  </w:num>
  <w:num w:numId="15" w16cid:durableId="1879076668">
    <w:abstractNumId w:val="19"/>
  </w:num>
  <w:num w:numId="16" w16cid:durableId="528757465">
    <w:abstractNumId w:val="24"/>
  </w:num>
  <w:num w:numId="17" w16cid:durableId="1273248482">
    <w:abstractNumId w:val="47"/>
  </w:num>
  <w:num w:numId="18" w16cid:durableId="464857543">
    <w:abstractNumId w:val="34"/>
  </w:num>
  <w:num w:numId="19" w16cid:durableId="2037920599">
    <w:abstractNumId w:val="26"/>
  </w:num>
  <w:num w:numId="20" w16cid:durableId="2053185727">
    <w:abstractNumId w:val="25"/>
  </w:num>
  <w:num w:numId="21" w16cid:durableId="1273517654">
    <w:abstractNumId w:val="35"/>
  </w:num>
  <w:num w:numId="22" w16cid:durableId="1064566831">
    <w:abstractNumId w:val="36"/>
  </w:num>
  <w:num w:numId="23" w16cid:durableId="8601562">
    <w:abstractNumId w:val="45"/>
  </w:num>
  <w:num w:numId="24" w16cid:durableId="1338188227">
    <w:abstractNumId w:val="30"/>
  </w:num>
  <w:num w:numId="25" w16cid:durableId="1036999636">
    <w:abstractNumId w:val="2"/>
  </w:num>
  <w:num w:numId="26" w16cid:durableId="1337419560">
    <w:abstractNumId w:val="4"/>
  </w:num>
  <w:num w:numId="27" w16cid:durableId="685450212">
    <w:abstractNumId w:val="13"/>
  </w:num>
  <w:num w:numId="28" w16cid:durableId="15541977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3528988">
    <w:abstractNumId w:val="41"/>
  </w:num>
  <w:num w:numId="30" w16cid:durableId="1903589794">
    <w:abstractNumId w:val="38"/>
  </w:num>
  <w:num w:numId="31" w16cid:durableId="1674256644">
    <w:abstractNumId w:val="6"/>
  </w:num>
  <w:num w:numId="32" w16cid:durableId="1686707749">
    <w:abstractNumId w:val="8"/>
  </w:num>
  <w:num w:numId="33" w16cid:durableId="514223264">
    <w:abstractNumId w:val="11"/>
  </w:num>
  <w:num w:numId="34" w16cid:durableId="1428187210">
    <w:abstractNumId w:val="0"/>
  </w:num>
  <w:num w:numId="35" w16cid:durableId="1286961798">
    <w:abstractNumId w:val="23"/>
  </w:num>
  <w:num w:numId="36" w16cid:durableId="568929955">
    <w:abstractNumId w:val="42"/>
  </w:num>
  <w:num w:numId="37" w16cid:durableId="1985969059">
    <w:abstractNumId w:val="43"/>
  </w:num>
  <w:num w:numId="38" w16cid:durableId="1058935790">
    <w:abstractNumId w:val="21"/>
  </w:num>
  <w:num w:numId="39" w16cid:durableId="758478354">
    <w:abstractNumId w:val="33"/>
  </w:num>
  <w:num w:numId="40" w16cid:durableId="2034844459">
    <w:abstractNumId w:val="7"/>
  </w:num>
  <w:num w:numId="41" w16cid:durableId="1731731302">
    <w:abstractNumId w:val="5"/>
  </w:num>
  <w:num w:numId="42" w16cid:durableId="351147214">
    <w:abstractNumId w:val="40"/>
  </w:num>
  <w:num w:numId="43" w16cid:durableId="386340686">
    <w:abstractNumId w:val="28"/>
  </w:num>
  <w:num w:numId="44" w16cid:durableId="1873765775">
    <w:abstractNumId w:val="39"/>
  </w:num>
  <w:num w:numId="45" w16cid:durableId="1620331839">
    <w:abstractNumId w:val="20"/>
  </w:num>
  <w:num w:numId="46" w16cid:durableId="1714454387">
    <w:abstractNumId w:val="1"/>
  </w:num>
  <w:num w:numId="47" w16cid:durableId="32661641">
    <w:abstractNumId w:val="44"/>
  </w:num>
  <w:num w:numId="48" w16cid:durableId="485245131">
    <w:abstractNumId w:val="46"/>
  </w:num>
  <w:num w:numId="49" w16cid:durableId="292757227">
    <w:abstractNumId w:val="31"/>
  </w:num>
  <w:num w:numId="50" w16cid:durableId="1147891381">
    <w:abstractNumId w:val="1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FooterText" w:val="L\345828134.2"/>
    <w:docVar w:name="PCDocsNumber" w:val="3451-3330-1276"/>
  </w:docVars>
  <w:rsids>
    <w:rsidRoot w:val="00722776"/>
    <w:rsid w:val="00000725"/>
    <w:rsid w:val="00000815"/>
    <w:rsid w:val="00000CD4"/>
    <w:rsid w:val="00000F21"/>
    <w:rsid w:val="00001139"/>
    <w:rsid w:val="0000164A"/>
    <w:rsid w:val="0000246C"/>
    <w:rsid w:val="0000268B"/>
    <w:rsid w:val="00002E9B"/>
    <w:rsid w:val="000030FA"/>
    <w:rsid w:val="000032D6"/>
    <w:rsid w:val="000036BD"/>
    <w:rsid w:val="0000376E"/>
    <w:rsid w:val="000038A0"/>
    <w:rsid w:val="00003C9C"/>
    <w:rsid w:val="00003D04"/>
    <w:rsid w:val="0000410A"/>
    <w:rsid w:val="000042DA"/>
    <w:rsid w:val="00004546"/>
    <w:rsid w:val="00004756"/>
    <w:rsid w:val="00004DE7"/>
    <w:rsid w:val="00005313"/>
    <w:rsid w:val="00006311"/>
    <w:rsid w:val="000068AC"/>
    <w:rsid w:val="000069B3"/>
    <w:rsid w:val="0000704C"/>
    <w:rsid w:val="0000721F"/>
    <w:rsid w:val="000102EA"/>
    <w:rsid w:val="00010FF5"/>
    <w:rsid w:val="00011258"/>
    <w:rsid w:val="00011426"/>
    <w:rsid w:val="00011888"/>
    <w:rsid w:val="00011C97"/>
    <w:rsid w:val="00011E5F"/>
    <w:rsid w:val="0001237F"/>
    <w:rsid w:val="00012490"/>
    <w:rsid w:val="00012866"/>
    <w:rsid w:val="0001287F"/>
    <w:rsid w:val="00012A43"/>
    <w:rsid w:val="00012D40"/>
    <w:rsid w:val="00012D88"/>
    <w:rsid w:val="00012DF0"/>
    <w:rsid w:val="00012F1E"/>
    <w:rsid w:val="0001351D"/>
    <w:rsid w:val="000135FF"/>
    <w:rsid w:val="00013809"/>
    <w:rsid w:val="0001394A"/>
    <w:rsid w:val="00013B82"/>
    <w:rsid w:val="00013D3C"/>
    <w:rsid w:val="00013F27"/>
    <w:rsid w:val="00014457"/>
    <w:rsid w:val="00014932"/>
    <w:rsid w:val="00014ACC"/>
    <w:rsid w:val="00014B1B"/>
    <w:rsid w:val="00014DC2"/>
    <w:rsid w:val="00014DF7"/>
    <w:rsid w:val="000150DC"/>
    <w:rsid w:val="0001529A"/>
    <w:rsid w:val="00015560"/>
    <w:rsid w:val="00015C38"/>
    <w:rsid w:val="00015D83"/>
    <w:rsid w:val="000164D1"/>
    <w:rsid w:val="000164FD"/>
    <w:rsid w:val="00016B18"/>
    <w:rsid w:val="00017BA0"/>
    <w:rsid w:val="00017DBC"/>
    <w:rsid w:val="00017FDC"/>
    <w:rsid w:val="00020449"/>
    <w:rsid w:val="00020F7C"/>
    <w:rsid w:val="0002142E"/>
    <w:rsid w:val="00021903"/>
    <w:rsid w:val="00021948"/>
    <w:rsid w:val="000219AE"/>
    <w:rsid w:val="00021AD2"/>
    <w:rsid w:val="00021D61"/>
    <w:rsid w:val="000228B9"/>
    <w:rsid w:val="00022C59"/>
    <w:rsid w:val="00022F63"/>
    <w:rsid w:val="000232BB"/>
    <w:rsid w:val="00023704"/>
    <w:rsid w:val="00023B86"/>
    <w:rsid w:val="000241D9"/>
    <w:rsid w:val="000247FC"/>
    <w:rsid w:val="0002490D"/>
    <w:rsid w:val="000255D0"/>
    <w:rsid w:val="0002592A"/>
    <w:rsid w:val="00025B11"/>
    <w:rsid w:val="00025E3A"/>
    <w:rsid w:val="00025F69"/>
    <w:rsid w:val="00026144"/>
    <w:rsid w:val="000262DF"/>
    <w:rsid w:val="000267AC"/>
    <w:rsid w:val="00026948"/>
    <w:rsid w:val="00026EAC"/>
    <w:rsid w:val="00027167"/>
    <w:rsid w:val="000274C2"/>
    <w:rsid w:val="000278CC"/>
    <w:rsid w:val="000278FC"/>
    <w:rsid w:val="000279CC"/>
    <w:rsid w:val="00030046"/>
    <w:rsid w:val="00030DEB"/>
    <w:rsid w:val="00031194"/>
    <w:rsid w:val="00031990"/>
    <w:rsid w:val="0003217A"/>
    <w:rsid w:val="0003217D"/>
    <w:rsid w:val="000325C8"/>
    <w:rsid w:val="00032A2F"/>
    <w:rsid w:val="00032D7B"/>
    <w:rsid w:val="00033A55"/>
    <w:rsid w:val="00033B04"/>
    <w:rsid w:val="00033E63"/>
    <w:rsid w:val="000343C5"/>
    <w:rsid w:val="0003463C"/>
    <w:rsid w:val="00034AC4"/>
    <w:rsid w:val="00034B49"/>
    <w:rsid w:val="00034C7E"/>
    <w:rsid w:val="000359B4"/>
    <w:rsid w:val="000359F9"/>
    <w:rsid w:val="00035B0D"/>
    <w:rsid w:val="00035D30"/>
    <w:rsid w:val="00035DF5"/>
    <w:rsid w:val="00035F8C"/>
    <w:rsid w:val="000362CD"/>
    <w:rsid w:val="000362E6"/>
    <w:rsid w:val="000365AF"/>
    <w:rsid w:val="00036915"/>
    <w:rsid w:val="00036B7E"/>
    <w:rsid w:val="00036FD4"/>
    <w:rsid w:val="000374EE"/>
    <w:rsid w:val="00037A33"/>
    <w:rsid w:val="00037EED"/>
    <w:rsid w:val="00040347"/>
    <w:rsid w:val="0004035A"/>
    <w:rsid w:val="000409CC"/>
    <w:rsid w:val="0004145A"/>
    <w:rsid w:val="000414BE"/>
    <w:rsid w:val="00041EC7"/>
    <w:rsid w:val="000426C8"/>
    <w:rsid w:val="000430F4"/>
    <w:rsid w:val="000434DA"/>
    <w:rsid w:val="0004357B"/>
    <w:rsid w:val="00043AAF"/>
    <w:rsid w:val="00044010"/>
    <w:rsid w:val="0004416D"/>
    <w:rsid w:val="000442DE"/>
    <w:rsid w:val="000445F2"/>
    <w:rsid w:val="00044FB6"/>
    <w:rsid w:val="00045DFD"/>
    <w:rsid w:val="0004625B"/>
    <w:rsid w:val="00047AAE"/>
    <w:rsid w:val="00047E8B"/>
    <w:rsid w:val="00047F8E"/>
    <w:rsid w:val="00047FA1"/>
    <w:rsid w:val="0005043D"/>
    <w:rsid w:val="0005070A"/>
    <w:rsid w:val="00050CEF"/>
    <w:rsid w:val="00050D18"/>
    <w:rsid w:val="00050E01"/>
    <w:rsid w:val="000510F9"/>
    <w:rsid w:val="00051130"/>
    <w:rsid w:val="000516DB"/>
    <w:rsid w:val="00051AAE"/>
    <w:rsid w:val="00051B3C"/>
    <w:rsid w:val="00051EEC"/>
    <w:rsid w:val="00052178"/>
    <w:rsid w:val="000521D3"/>
    <w:rsid w:val="00052321"/>
    <w:rsid w:val="00052B81"/>
    <w:rsid w:val="00052C0F"/>
    <w:rsid w:val="00052D36"/>
    <w:rsid w:val="000531E4"/>
    <w:rsid w:val="00053DD2"/>
    <w:rsid w:val="00054634"/>
    <w:rsid w:val="000546A5"/>
    <w:rsid w:val="00055C12"/>
    <w:rsid w:val="0005609F"/>
    <w:rsid w:val="000568C8"/>
    <w:rsid w:val="00056B61"/>
    <w:rsid w:val="00056DD7"/>
    <w:rsid w:val="00057099"/>
    <w:rsid w:val="000571D0"/>
    <w:rsid w:val="000571E7"/>
    <w:rsid w:val="000574FC"/>
    <w:rsid w:val="00057843"/>
    <w:rsid w:val="00057A51"/>
    <w:rsid w:val="00057DE5"/>
    <w:rsid w:val="00060087"/>
    <w:rsid w:val="00060169"/>
    <w:rsid w:val="00060262"/>
    <w:rsid w:val="00060434"/>
    <w:rsid w:val="00060919"/>
    <w:rsid w:val="00060F1D"/>
    <w:rsid w:val="00061357"/>
    <w:rsid w:val="00061CC0"/>
    <w:rsid w:val="000625C7"/>
    <w:rsid w:val="0006293D"/>
    <w:rsid w:val="00062985"/>
    <w:rsid w:val="00063447"/>
    <w:rsid w:val="00063660"/>
    <w:rsid w:val="00063929"/>
    <w:rsid w:val="000639E9"/>
    <w:rsid w:val="00064D8D"/>
    <w:rsid w:val="000657A9"/>
    <w:rsid w:val="00065953"/>
    <w:rsid w:val="00065BFB"/>
    <w:rsid w:val="00065DC0"/>
    <w:rsid w:val="0006608A"/>
    <w:rsid w:val="00066105"/>
    <w:rsid w:val="000665A2"/>
    <w:rsid w:val="000667BB"/>
    <w:rsid w:val="00066D9F"/>
    <w:rsid w:val="0006759F"/>
    <w:rsid w:val="00067792"/>
    <w:rsid w:val="00067C15"/>
    <w:rsid w:val="000700B4"/>
    <w:rsid w:val="0007039E"/>
    <w:rsid w:val="00070ADC"/>
    <w:rsid w:val="00071018"/>
    <w:rsid w:val="00071413"/>
    <w:rsid w:val="00071602"/>
    <w:rsid w:val="00071747"/>
    <w:rsid w:val="00071D3C"/>
    <w:rsid w:val="00072B70"/>
    <w:rsid w:val="00072DFD"/>
    <w:rsid w:val="0007303F"/>
    <w:rsid w:val="00073297"/>
    <w:rsid w:val="000734FD"/>
    <w:rsid w:val="000736D4"/>
    <w:rsid w:val="000736F6"/>
    <w:rsid w:val="00073A89"/>
    <w:rsid w:val="00073D5A"/>
    <w:rsid w:val="00073E43"/>
    <w:rsid w:val="00074435"/>
    <w:rsid w:val="00074645"/>
    <w:rsid w:val="0007470D"/>
    <w:rsid w:val="0007476C"/>
    <w:rsid w:val="00074AE0"/>
    <w:rsid w:val="00074B21"/>
    <w:rsid w:val="00075587"/>
    <w:rsid w:val="00075E44"/>
    <w:rsid w:val="00076E00"/>
    <w:rsid w:val="00076FB4"/>
    <w:rsid w:val="0007787B"/>
    <w:rsid w:val="00077A6D"/>
    <w:rsid w:val="00077C9F"/>
    <w:rsid w:val="00077FCF"/>
    <w:rsid w:val="00080548"/>
    <w:rsid w:val="00080853"/>
    <w:rsid w:val="0008100A"/>
    <w:rsid w:val="0008100B"/>
    <w:rsid w:val="000814B0"/>
    <w:rsid w:val="00081691"/>
    <w:rsid w:val="00081C33"/>
    <w:rsid w:val="00082294"/>
    <w:rsid w:val="00082BA3"/>
    <w:rsid w:val="00082E44"/>
    <w:rsid w:val="00083083"/>
    <w:rsid w:val="000840AB"/>
    <w:rsid w:val="0008419B"/>
    <w:rsid w:val="0008419F"/>
    <w:rsid w:val="00084787"/>
    <w:rsid w:val="000849DA"/>
    <w:rsid w:val="00085405"/>
    <w:rsid w:val="0008555E"/>
    <w:rsid w:val="000857F5"/>
    <w:rsid w:val="00085BFB"/>
    <w:rsid w:val="00085CEF"/>
    <w:rsid w:val="00085E6D"/>
    <w:rsid w:val="0008600C"/>
    <w:rsid w:val="00086165"/>
    <w:rsid w:val="000864ED"/>
    <w:rsid w:val="000866C6"/>
    <w:rsid w:val="00086911"/>
    <w:rsid w:val="00086DD3"/>
    <w:rsid w:val="0008745A"/>
    <w:rsid w:val="000877D8"/>
    <w:rsid w:val="000877F7"/>
    <w:rsid w:val="00087AAC"/>
    <w:rsid w:val="00087ED5"/>
    <w:rsid w:val="00087F17"/>
    <w:rsid w:val="000905B0"/>
    <w:rsid w:val="00090A1B"/>
    <w:rsid w:val="00090A42"/>
    <w:rsid w:val="00091079"/>
    <w:rsid w:val="00091708"/>
    <w:rsid w:val="00091C27"/>
    <w:rsid w:val="000921A8"/>
    <w:rsid w:val="0009276C"/>
    <w:rsid w:val="00092AC5"/>
    <w:rsid w:val="00092E32"/>
    <w:rsid w:val="0009383B"/>
    <w:rsid w:val="00093BA3"/>
    <w:rsid w:val="00093CA3"/>
    <w:rsid w:val="0009433A"/>
    <w:rsid w:val="000944D3"/>
    <w:rsid w:val="000948B9"/>
    <w:rsid w:val="00094E5F"/>
    <w:rsid w:val="00095565"/>
    <w:rsid w:val="00095888"/>
    <w:rsid w:val="00095B50"/>
    <w:rsid w:val="00095BC6"/>
    <w:rsid w:val="00096258"/>
    <w:rsid w:val="0009653A"/>
    <w:rsid w:val="00096584"/>
    <w:rsid w:val="00096A07"/>
    <w:rsid w:val="00096D4C"/>
    <w:rsid w:val="00096E63"/>
    <w:rsid w:val="000973B4"/>
    <w:rsid w:val="000976E6"/>
    <w:rsid w:val="00097919"/>
    <w:rsid w:val="00097CB5"/>
    <w:rsid w:val="00097DEF"/>
    <w:rsid w:val="000A0161"/>
    <w:rsid w:val="000A05F6"/>
    <w:rsid w:val="000A098D"/>
    <w:rsid w:val="000A0AA2"/>
    <w:rsid w:val="000A0E39"/>
    <w:rsid w:val="000A0FEF"/>
    <w:rsid w:val="000A1044"/>
    <w:rsid w:val="000A1DDC"/>
    <w:rsid w:val="000A2340"/>
    <w:rsid w:val="000A2350"/>
    <w:rsid w:val="000A23D1"/>
    <w:rsid w:val="000A257E"/>
    <w:rsid w:val="000A2BBB"/>
    <w:rsid w:val="000A2DCD"/>
    <w:rsid w:val="000A2E00"/>
    <w:rsid w:val="000A2F88"/>
    <w:rsid w:val="000A3672"/>
    <w:rsid w:val="000A3B81"/>
    <w:rsid w:val="000A3BE3"/>
    <w:rsid w:val="000A3C59"/>
    <w:rsid w:val="000A47AF"/>
    <w:rsid w:val="000A4AF5"/>
    <w:rsid w:val="000A4DD1"/>
    <w:rsid w:val="000A53DD"/>
    <w:rsid w:val="000A5E22"/>
    <w:rsid w:val="000A634A"/>
    <w:rsid w:val="000A69B4"/>
    <w:rsid w:val="000A6E3E"/>
    <w:rsid w:val="000A6F12"/>
    <w:rsid w:val="000A702D"/>
    <w:rsid w:val="000A733E"/>
    <w:rsid w:val="000A7646"/>
    <w:rsid w:val="000A7866"/>
    <w:rsid w:val="000B0116"/>
    <w:rsid w:val="000B0174"/>
    <w:rsid w:val="000B0407"/>
    <w:rsid w:val="000B0EBE"/>
    <w:rsid w:val="000B13D0"/>
    <w:rsid w:val="000B169D"/>
    <w:rsid w:val="000B16DB"/>
    <w:rsid w:val="000B1E0B"/>
    <w:rsid w:val="000B251E"/>
    <w:rsid w:val="000B2B5F"/>
    <w:rsid w:val="000B2C33"/>
    <w:rsid w:val="000B2C9F"/>
    <w:rsid w:val="000B2CDB"/>
    <w:rsid w:val="000B31C1"/>
    <w:rsid w:val="000B36CF"/>
    <w:rsid w:val="000B36D0"/>
    <w:rsid w:val="000B3A59"/>
    <w:rsid w:val="000B3D3C"/>
    <w:rsid w:val="000B48A8"/>
    <w:rsid w:val="000B49EF"/>
    <w:rsid w:val="000B4D4E"/>
    <w:rsid w:val="000B4EEA"/>
    <w:rsid w:val="000B511A"/>
    <w:rsid w:val="000B52B9"/>
    <w:rsid w:val="000B5B1E"/>
    <w:rsid w:val="000B5EE2"/>
    <w:rsid w:val="000B5F46"/>
    <w:rsid w:val="000B6134"/>
    <w:rsid w:val="000B61D1"/>
    <w:rsid w:val="000B6FC2"/>
    <w:rsid w:val="000B780E"/>
    <w:rsid w:val="000B787B"/>
    <w:rsid w:val="000B78DC"/>
    <w:rsid w:val="000B7B3A"/>
    <w:rsid w:val="000C035F"/>
    <w:rsid w:val="000C0600"/>
    <w:rsid w:val="000C07EE"/>
    <w:rsid w:val="000C0BAA"/>
    <w:rsid w:val="000C107C"/>
    <w:rsid w:val="000C11F9"/>
    <w:rsid w:val="000C1DCE"/>
    <w:rsid w:val="000C1E94"/>
    <w:rsid w:val="000C3145"/>
    <w:rsid w:val="000C3232"/>
    <w:rsid w:val="000C3265"/>
    <w:rsid w:val="000C348D"/>
    <w:rsid w:val="000C34D6"/>
    <w:rsid w:val="000C34E3"/>
    <w:rsid w:val="000C35F3"/>
    <w:rsid w:val="000C377D"/>
    <w:rsid w:val="000C391F"/>
    <w:rsid w:val="000C3A1B"/>
    <w:rsid w:val="000C3D14"/>
    <w:rsid w:val="000C4276"/>
    <w:rsid w:val="000C43D4"/>
    <w:rsid w:val="000C43E3"/>
    <w:rsid w:val="000C455D"/>
    <w:rsid w:val="000C45BF"/>
    <w:rsid w:val="000C4877"/>
    <w:rsid w:val="000C48B8"/>
    <w:rsid w:val="000C4A25"/>
    <w:rsid w:val="000C4AA4"/>
    <w:rsid w:val="000C4ADB"/>
    <w:rsid w:val="000C4F70"/>
    <w:rsid w:val="000C54E5"/>
    <w:rsid w:val="000C58AF"/>
    <w:rsid w:val="000C5E45"/>
    <w:rsid w:val="000C6847"/>
    <w:rsid w:val="000C6E67"/>
    <w:rsid w:val="000C6FBD"/>
    <w:rsid w:val="000C7417"/>
    <w:rsid w:val="000C74A4"/>
    <w:rsid w:val="000C7AF5"/>
    <w:rsid w:val="000C7B34"/>
    <w:rsid w:val="000D0050"/>
    <w:rsid w:val="000D07E9"/>
    <w:rsid w:val="000D0A78"/>
    <w:rsid w:val="000D0EF2"/>
    <w:rsid w:val="000D1412"/>
    <w:rsid w:val="000D1971"/>
    <w:rsid w:val="000D2171"/>
    <w:rsid w:val="000D35E1"/>
    <w:rsid w:val="000D378E"/>
    <w:rsid w:val="000D3ACA"/>
    <w:rsid w:val="000D4532"/>
    <w:rsid w:val="000D4B58"/>
    <w:rsid w:val="000D4DE2"/>
    <w:rsid w:val="000D53BD"/>
    <w:rsid w:val="000D556C"/>
    <w:rsid w:val="000D584C"/>
    <w:rsid w:val="000D6095"/>
    <w:rsid w:val="000D6740"/>
    <w:rsid w:val="000D684A"/>
    <w:rsid w:val="000D6AA3"/>
    <w:rsid w:val="000D6AF0"/>
    <w:rsid w:val="000D7063"/>
    <w:rsid w:val="000D711D"/>
    <w:rsid w:val="000D76EC"/>
    <w:rsid w:val="000D77A8"/>
    <w:rsid w:val="000D79B3"/>
    <w:rsid w:val="000D7EFB"/>
    <w:rsid w:val="000E10BE"/>
    <w:rsid w:val="000E128A"/>
    <w:rsid w:val="000E19F5"/>
    <w:rsid w:val="000E1B8D"/>
    <w:rsid w:val="000E1C57"/>
    <w:rsid w:val="000E1D12"/>
    <w:rsid w:val="000E2019"/>
    <w:rsid w:val="000E2415"/>
    <w:rsid w:val="000E34A5"/>
    <w:rsid w:val="000E35AE"/>
    <w:rsid w:val="000E387F"/>
    <w:rsid w:val="000E3A55"/>
    <w:rsid w:val="000E3D40"/>
    <w:rsid w:val="000E3F71"/>
    <w:rsid w:val="000E42BB"/>
    <w:rsid w:val="000E48A2"/>
    <w:rsid w:val="000E49A9"/>
    <w:rsid w:val="000E4B04"/>
    <w:rsid w:val="000E4BA6"/>
    <w:rsid w:val="000E5461"/>
    <w:rsid w:val="000E5898"/>
    <w:rsid w:val="000E6499"/>
    <w:rsid w:val="000E64F5"/>
    <w:rsid w:val="000E67FF"/>
    <w:rsid w:val="000E68EA"/>
    <w:rsid w:val="000E6FEB"/>
    <w:rsid w:val="000E7197"/>
    <w:rsid w:val="000E71CF"/>
    <w:rsid w:val="000E72F5"/>
    <w:rsid w:val="000E78DB"/>
    <w:rsid w:val="000E7E71"/>
    <w:rsid w:val="000F070D"/>
    <w:rsid w:val="000F0741"/>
    <w:rsid w:val="000F1051"/>
    <w:rsid w:val="000F10AC"/>
    <w:rsid w:val="000F1291"/>
    <w:rsid w:val="000F14A6"/>
    <w:rsid w:val="000F16C8"/>
    <w:rsid w:val="000F1CC3"/>
    <w:rsid w:val="000F1DF4"/>
    <w:rsid w:val="000F232F"/>
    <w:rsid w:val="000F2497"/>
    <w:rsid w:val="000F2884"/>
    <w:rsid w:val="000F2BEB"/>
    <w:rsid w:val="000F2C3F"/>
    <w:rsid w:val="000F2E3A"/>
    <w:rsid w:val="000F3333"/>
    <w:rsid w:val="000F348C"/>
    <w:rsid w:val="000F3962"/>
    <w:rsid w:val="000F39DB"/>
    <w:rsid w:val="000F3C7C"/>
    <w:rsid w:val="000F3F55"/>
    <w:rsid w:val="000F4557"/>
    <w:rsid w:val="000F4820"/>
    <w:rsid w:val="000F4A9F"/>
    <w:rsid w:val="000F4AE6"/>
    <w:rsid w:val="000F53E3"/>
    <w:rsid w:val="000F56DC"/>
    <w:rsid w:val="000F5C40"/>
    <w:rsid w:val="000F5C8E"/>
    <w:rsid w:val="000F5E5C"/>
    <w:rsid w:val="000F5FD9"/>
    <w:rsid w:val="000F6B43"/>
    <w:rsid w:val="000F6FFF"/>
    <w:rsid w:val="000F70C6"/>
    <w:rsid w:val="000F7108"/>
    <w:rsid w:val="000F7322"/>
    <w:rsid w:val="000F7516"/>
    <w:rsid w:val="000F7627"/>
    <w:rsid w:val="000F78DE"/>
    <w:rsid w:val="000F79B8"/>
    <w:rsid w:val="000F7A1D"/>
    <w:rsid w:val="000F7C8A"/>
    <w:rsid w:val="000F7CAE"/>
    <w:rsid w:val="000F7ED0"/>
    <w:rsid w:val="00100166"/>
    <w:rsid w:val="00100569"/>
    <w:rsid w:val="00100FEC"/>
    <w:rsid w:val="001010AD"/>
    <w:rsid w:val="001011FE"/>
    <w:rsid w:val="001013D3"/>
    <w:rsid w:val="00101679"/>
    <w:rsid w:val="00101C3E"/>
    <w:rsid w:val="00101E93"/>
    <w:rsid w:val="00102B07"/>
    <w:rsid w:val="001031E2"/>
    <w:rsid w:val="00103634"/>
    <w:rsid w:val="001037FE"/>
    <w:rsid w:val="00103AED"/>
    <w:rsid w:val="00103E09"/>
    <w:rsid w:val="001045C1"/>
    <w:rsid w:val="00104BAB"/>
    <w:rsid w:val="00104C93"/>
    <w:rsid w:val="00105067"/>
    <w:rsid w:val="00105426"/>
    <w:rsid w:val="00105D67"/>
    <w:rsid w:val="00105F25"/>
    <w:rsid w:val="00106052"/>
    <w:rsid w:val="00106088"/>
    <w:rsid w:val="001060A1"/>
    <w:rsid w:val="001061A3"/>
    <w:rsid w:val="00106882"/>
    <w:rsid w:val="0010701D"/>
    <w:rsid w:val="0010707D"/>
    <w:rsid w:val="001070D2"/>
    <w:rsid w:val="00107542"/>
    <w:rsid w:val="00107562"/>
    <w:rsid w:val="00107635"/>
    <w:rsid w:val="00107755"/>
    <w:rsid w:val="00107BEA"/>
    <w:rsid w:val="00107C30"/>
    <w:rsid w:val="00110076"/>
    <w:rsid w:val="001100B4"/>
    <w:rsid w:val="001102B7"/>
    <w:rsid w:val="0011081C"/>
    <w:rsid w:val="00110D38"/>
    <w:rsid w:val="00110FD7"/>
    <w:rsid w:val="00111661"/>
    <w:rsid w:val="00111F0D"/>
    <w:rsid w:val="00112710"/>
    <w:rsid w:val="00112A21"/>
    <w:rsid w:val="00112C8E"/>
    <w:rsid w:val="00112EF0"/>
    <w:rsid w:val="00112F27"/>
    <w:rsid w:val="00113445"/>
    <w:rsid w:val="001137E7"/>
    <w:rsid w:val="001142EE"/>
    <w:rsid w:val="0011493C"/>
    <w:rsid w:val="00114CC2"/>
    <w:rsid w:val="00114CE6"/>
    <w:rsid w:val="0011508C"/>
    <w:rsid w:val="0011549B"/>
    <w:rsid w:val="001155FF"/>
    <w:rsid w:val="00115AF4"/>
    <w:rsid w:val="00115B09"/>
    <w:rsid w:val="001160F9"/>
    <w:rsid w:val="00116851"/>
    <w:rsid w:val="00116B09"/>
    <w:rsid w:val="00116BAD"/>
    <w:rsid w:val="0011707F"/>
    <w:rsid w:val="0011740F"/>
    <w:rsid w:val="00117D4E"/>
    <w:rsid w:val="00117F0B"/>
    <w:rsid w:val="001200B7"/>
    <w:rsid w:val="001200F0"/>
    <w:rsid w:val="0012027C"/>
    <w:rsid w:val="001204A2"/>
    <w:rsid w:val="00120843"/>
    <w:rsid w:val="001208F8"/>
    <w:rsid w:val="001209F2"/>
    <w:rsid w:val="00120CCF"/>
    <w:rsid w:val="001213E2"/>
    <w:rsid w:val="0012174F"/>
    <w:rsid w:val="001220CC"/>
    <w:rsid w:val="00122158"/>
    <w:rsid w:val="001226A0"/>
    <w:rsid w:val="001227D4"/>
    <w:rsid w:val="00122C8A"/>
    <w:rsid w:val="00122D5C"/>
    <w:rsid w:val="00122DEC"/>
    <w:rsid w:val="001234C3"/>
    <w:rsid w:val="00123718"/>
    <w:rsid w:val="00123773"/>
    <w:rsid w:val="00123865"/>
    <w:rsid w:val="00123C75"/>
    <w:rsid w:val="00123CEE"/>
    <w:rsid w:val="00123F89"/>
    <w:rsid w:val="00124071"/>
    <w:rsid w:val="001241B5"/>
    <w:rsid w:val="00124531"/>
    <w:rsid w:val="00124620"/>
    <w:rsid w:val="00125263"/>
    <w:rsid w:val="001252B3"/>
    <w:rsid w:val="00125531"/>
    <w:rsid w:val="00125DD7"/>
    <w:rsid w:val="00125F11"/>
    <w:rsid w:val="00125FB3"/>
    <w:rsid w:val="00125FF7"/>
    <w:rsid w:val="001260D3"/>
    <w:rsid w:val="00126174"/>
    <w:rsid w:val="001261BD"/>
    <w:rsid w:val="001262C7"/>
    <w:rsid w:val="00126435"/>
    <w:rsid w:val="00126CDC"/>
    <w:rsid w:val="0012789A"/>
    <w:rsid w:val="00127A10"/>
    <w:rsid w:val="00127D61"/>
    <w:rsid w:val="0013029B"/>
    <w:rsid w:val="001303A6"/>
    <w:rsid w:val="001304C1"/>
    <w:rsid w:val="001305CC"/>
    <w:rsid w:val="00130809"/>
    <w:rsid w:val="00131386"/>
    <w:rsid w:val="00131657"/>
    <w:rsid w:val="001317DF"/>
    <w:rsid w:val="00131D51"/>
    <w:rsid w:val="00132DCC"/>
    <w:rsid w:val="001330BB"/>
    <w:rsid w:val="001330DC"/>
    <w:rsid w:val="00133DCE"/>
    <w:rsid w:val="00133FC1"/>
    <w:rsid w:val="00134068"/>
    <w:rsid w:val="00134130"/>
    <w:rsid w:val="0013439A"/>
    <w:rsid w:val="00134504"/>
    <w:rsid w:val="00134C89"/>
    <w:rsid w:val="00134F2E"/>
    <w:rsid w:val="0013515C"/>
    <w:rsid w:val="00135522"/>
    <w:rsid w:val="00135DAD"/>
    <w:rsid w:val="00135F2D"/>
    <w:rsid w:val="00135F70"/>
    <w:rsid w:val="0013635A"/>
    <w:rsid w:val="0013673A"/>
    <w:rsid w:val="001367A3"/>
    <w:rsid w:val="00137327"/>
    <w:rsid w:val="0013740E"/>
    <w:rsid w:val="001374F1"/>
    <w:rsid w:val="00137AE0"/>
    <w:rsid w:val="00140008"/>
    <w:rsid w:val="00140442"/>
    <w:rsid w:val="001405E3"/>
    <w:rsid w:val="00140688"/>
    <w:rsid w:val="00140766"/>
    <w:rsid w:val="00140C0D"/>
    <w:rsid w:val="00141001"/>
    <w:rsid w:val="00141187"/>
    <w:rsid w:val="00141924"/>
    <w:rsid w:val="00141B52"/>
    <w:rsid w:val="00141D3D"/>
    <w:rsid w:val="00142035"/>
    <w:rsid w:val="00142160"/>
    <w:rsid w:val="00142166"/>
    <w:rsid w:val="001426D1"/>
    <w:rsid w:val="001431BD"/>
    <w:rsid w:val="00143E7E"/>
    <w:rsid w:val="00143F3C"/>
    <w:rsid w:val="00143FA9"/>
    <w:rsid w:val="001448E8"/>
    <w:rsid w:val="0014490B"/>
    <w:rsid w:val="00145BA1"/>
    <w:rsid w:val="00145DED"/>
    <w:rsid w:val="0014676D"/>
    <w:rsid w:val="0014693E"/>
    <w:rsid w:val="00146BB6"/>
    <w:rsid w:val="00146D6B"/>
    <w:rsid w:val="0014765C"/>
    <w:rsid w:val="001479E3"/>
    <w:rsid w:val="00147A5C"/>
    <w:rsid w:val="00150388"/>
    <w:rsid w:val="0015082B"/>
    <w:rsid w:val="0015112F"/>
    <w:rsid w:val="00151225"/>
    <w:rsid w:val="00151829"/>
    <w:rsid w:val="00151910"/>
    <w:rsid w:val="00151956"/>
    <w:rsid w:val="00151A5D"/>
    <w:rsid w:val="00151BCB"/>
    <w:rsid w:val="00152117"/>
    <w:rsid w:val="001528BE"/>
    <w:rsid w:val="00152CB1"/>
    <w:rsid w:val="00152D0B"/>
    <w:rsid w:val="00152E9F"/>
    <w:rsid w:val="0015375E"/>
    <w:rsid w:val="0015469D"/>
    <w:rsid w:val="00154713"/>
    <w:rsid w:val="0015511D"/>
    <w:rsid w:val="001553A4"/>
    <w:rsid w:val="00155F6D"/>
    <w:rsid w:val="00156153"/>
    <w:rsid w:val="001561EC"/>
    <w:rsid w:val="00156267"/>
    <w:rsid w:val="001569A4"/>
    <w:rsid w:val="00156A28"/>
    <w:rsid w:val="00156B21"/>
    <w:rsid w:val="00157324"/>
    <w:rsid w:val="00157493"/>
    <w:rsid w:val="00157509"/>
    <w:rsid w:val="001577D0"/>
    <w:rsid w:val="00157868"/>
    <w:rsid w:val="00157B0E"/>
    <w:rsid w:val="00157B5F"/>
    <w:rsid w:val="00160178"/>
    <w:rsid w:val="00160283"/>
    <w:rsid w:val="00160993"/>
    <w:rsid w:val="001611D7"/>
    <w:rsid w:val="00161A16"/>
    <w:rsid w:val="00162384"/>
    <w:rsid w:val="001624B1"/>
    <w:rsid w:val="00162A37"/>
    <w:rsid w:val="00162B59"/>
    <w:rsid w:val="0016315E"/>
    <w:rsid w:val="0016322F"/>
    <w:rsid w:val="00163277"/>
    <w:rsid w:val="0016345B"/>
    <w:rsid w:val="00163F84"/>
    <w:rsid w:val="0016476D"/>
    <w:rsid w:val="001647CF"/>
    <w:rsid w:val="00164939"/>
    <w:rsid w:val="00164EA7"/>
    <w:rsid w:val="00164F68"/>
    <w:rsid w:val="001651D5"/>
    <w:rsid w:val="00165397"/>
    <w:rsid w:val="00165430"/>
    <w:rsid w:val="00165463"/>
    <w:rsid w:val="00165544"/>
    <w:rsid w:val="0016565D"/>
    <w:rsid w:val="001656A3"/>
    <w:rsid w:val="0016598D"/>
    <w:rsid w:val="00165ECC"/>
    <w:rsid w:val="00166336"/>
    <w:rsid w:val="00166448"/>
    <w:rsid w:val="001664B7"/>
    <w:rsid w:val="001665B2"/>
    <w:rsid w:val="00166885"/>
    <w:rsid w:val="00166B2D"/>
    <w:rsid w:val="00166D29"/>
    <w:rsid w:val="00166F89"/>
    <w:rsid w:val="00166FF4"/>
    <w:rsid w:val="001670C4"/>
    <w:rsid w:val="0016740A"/>
    <w:rsid w:val="001677C2"/>
    <w:rsid w:val="00167D8E"/>
    <w:rsid w:val="00167F5C"/>
    <w:rsid w:val="00170416"/>
    <w:rsid w:val="00170506"/>
    <w:rsid w:val="0017094F"/>
    <w:rsid w:val="0017120F"/>
    <w:rsid w:val="00171676"/>
    <w:rsid w:val="00171D5E"/>
    <w:rsid w:val="00171D75"/>
    <w:rsid w:val="00171DEE"/>
    <w:rsid w:val="00172222"/>
    <w:rsid w:val="0017236F"/>
    <w:rsid w:val="0017261B"/>
    <w:rsid w:val="001729BA"/>
    <w:rsid w:val="00172BB9"/>
    <w:rsid w:val="00172C89"/>
    <w:rsid w:val="001731C6"/>
    <w:rsid w:val="00173302"/>
    <w:rsid w:val="00173891"/>
    <w:rsid w:val="0017389C"/>
    <w:rsid w:val="00174308"/>
    <w:rsid w:val="00175074"/>
    <w:rsid w:val="0017530F"/>
    <w:rsid w:val="0017570D"/>
    <w:rsid w:val="001760D3"/>
    <w:rsid w:val="0017653E"/>
    <w:rsid w:val="00176A7A"/>
    <w:rsid w:val="00176D88"/>
    <w:rsid w:val="00176DA7"/>
    <w:rsid w:val="00176E2D"/>
    <w:rsid w:val="00177701"/>
    <w:rsid w:val="00177960"/>
    <w:rsid w:val="00180E0C"/>
    <w:rsid w:val="00181238"/>
    <w:rsid w:val="0018123D"/>
    <w:rsid w:val="001814CF"/>
    <w:rsid w:val="001815A3"/>
    <w:rsid w:val="001818A5"/>
    <w:rsid w:val="00181B0D"/>
    <w:rsid w:val="00181E3D"/>
    <w:rsid w:val="00182153"/>
    <w:rsid w:val="0018217B"/>
    <w:rsid w:val="001831A7"/>
    <w:rsid w:val="001832EE"/>
    <w:rsid w:val="0018341A"/>
    <w:rsid w:val="001838CC"/>
    <w:rsid w:val="00183A1A"/>
    <w:rsid w:val="00183D59"/>
    <w:rsid w:val="00183F9D"/>
    <w:rsid w:val="001845A6"/>
    <w:rsid w:val="001848D5"/>
    <w:rsid w:val="001852BC"/>
    <w:rsid w:val="00185996"/>
    <w:rsid w:val="001859A6"/>
    <w:rsid w:val="001865DD"/>
    <w:rsid w:val="00186D09"/>
    <w:rsid w:val="001870E6"/>
    <w:rsid w:val="00187179"/>
    <w:rsid w:val="00187595"/>
    <w:rsid w:val="00190B12"/>
    <w:rsid w:val="00190DD6"/>
    <w:rsid w:val="0019150D"/>
    <w:rsid w:val="00191BF2"/>
    <w:rsid w:val="00192064"/>
    <w:rsid w:val="0019215F"/>
    <w:rsid w:val="001923ED"/>
    <w:rsid w:val="0019288B"/>
    <w:rsid w:val="00192E02"/>
    <w:rsid w:val="0019308E"/>
    <w:rsid w:val="001934B4"/>
    <w:rsid w:val="001937F9"/>
    <w:rsid w:val="00193B68"/>
    <w:rsid w:val="00193F19"/>
    <w:rsid w:val="001940D1"/>
    <w:rsid w:val="001943CF"/>
    <w:rsid w:val="00194509"/>
    <w:rsid w:val="001945E7"/>
    <w:rsid w:val="001949E0"/>
    <w:rsid w:val="00194E59"/>
    <w:rsid w:val="00194EFD"/>
    <w:rsid w:val="00195B0E"/>
    <w:rsid w:val="00196088"/>
    <w:rsid w:val="0019624D"/>
    <w:rsid w:val="00196A0C"/>
    <w:rsid w:val="001971D3"/>
    <w:rsid w:val="001972F9"/>
    <w:rsid w:val="0019737F"/>
    <w:rsid w:val="0019745D"/>
    <w:rsid w:val="00197512"/>
    <w:rsid w:val="00197685"/>
    <w:rsid w:val="00197CD9"/>
    <w:rsid w:val="001A0495"/>
    <w:rsid w:val="001A09F0"/>
    <w:rsid w:val="001A0B4B"/>
    <w:rsid w:val="001A0B9E"/>
    <w:rsid w:val="001A0E3C"/>
    <w:rsid w:val="001A11D0"/>
    <w:rsid w:val="001A148D"/>
    <w:rsid w:val="001A1563"/>
    <w:rsid w:val="001A18A2"/>
    <w:rsid w:val="001A1ADD"/>
    <w:rsid w:val="001A2A81"/>
    <w:rsid w:val="001A2ACD"/>
    <w:rsid w:val="001A3510"/>
    <w:rsid w:val="001A35AF"/>
    <w:rsid w:val="001A3A2D"/>
    <w:rsid w:val="001A3CB3"/>
    <w:rsid w:val="001A3DC4"/>
    <w:rsid w:val="001A3FB8"/>
    <w:rsid w:val="001A4208"/>
    <w:rsid w:val="001A45B9"/>
    <w:rsid w:val="001A4A1A"/>
    <w:rsid w:val="001A523F"/>
    <w:rsid w:val="001A582E"/>
    <w:rsid w:val="001A593B"/>
    <w:rsid w:val="001A5A0D"/>
    <w:rsid w:val="001A5A8F"/>
    <w:rsid w:val="001A5C71"/>
    <w:rsid w:val="001A6366"/>
    <w:rsid w:val="001A63AF"/>
    <w:rsid w:val="001A64F2"/>
    <w:rsid w:val="001A6608"/>
    <w:rsid w:val="001A661F"/>
    <w:rsid w:val="001A6763"/>
    <w:rsid w:val="001A6CE8"/>
    <w:rsid w:val="001A6EBB"/>
    <w:rsid w:val="001A6F2F"/>
    <w:rsid w:val="001A73BD"/>
    <w:rsid w:val="001A78B7"/>
    <w:rsid w:val="001B00B5"/>
    <w:rsid w:val="001B08D8"/>
    <w:rsid w:val="001B0A1F"/>
    <w:rsid w:val="001B0A8A"/>
    <w:rsid w:val="001B0E47"/>
    <w:rsid w:val="001B12DC"/>
    <w:rsid w:val="001B141F"/>
    <w:rsid w:val="001B1DCC"/>
    <w:rsid w:val="001B1E3D"/>
    <w:rsid w:val="001B2985"/>
    <w:rsid w:val="001B29B5"/>
    <w:rsid w:val="001B2A4B"/>
    <w:rsid w:val="001B2C00"/>
    <w:rsid w:val="001B35B9"/>
    <w:rsid w:val="001B3651"/>
    <w:rsid w:val="001B3AC6"/>
    <w:rsid w:val="001B4253"/>
    <w:rsid w:val="001B49A8"/>
    <w:rsid w:val="001B4CD7"/>
    <w:rsid w:val="001B5824"/>
    <w:rsid w:val="001B5875"/>
    <w:rsid w:val="001B59A5"/>
    <w:rsid w:val="001B6480"/>
    <w:rsid w:val="001B66B8"/>
    <w:rsid w:val="001B6960"/>
    <w:rsid w:val="001B6C98"/>
    <w:rsid w:val="001B6EC0"/>
    <w:rsid w:val="001B6F82"/>
    <w:rsid w:val="001B7210"/>
    <w:rsid w:val="001B7ABF"/>
    <w:rsid w:val="001B7E14"/>
    <w:rsid w:val="001C042D"/>
    <w:rsid w:val="001C0A5A"/>
    <w:rsid w:val="001C0D76"/>
    <w:rsid w:val="001C0F08"/>
    <w:rsid w:val="001C1019"/>
    <w:rsid w:val="001C1337"/>
    <w:rsid w:val="001C1593"/>
    <w:rsid w:val="001C17A4"/>
    <w:rsid w:val="001C1E9E"/>
    <w:rsid w:val="001C20B2"/>
    <w:rsid w:val="001C210F"/>
    <w:rsid w:val="001C2315"/>
    <w:rsid w:val="001C2476"/>
    <w:rsid w:val="001C24D2"/>
    <w:rsid w:val="001C2B4F"/>
    <w:rsid w:val="001C2EC6"/>
    <w:rsid w:val="001C2F88"/>
    <w:rsid w:val="001C301E"/>
    <w:rsid w:val="001C3426"/>
    <w:rsid w:val="001C3A7C"/>
    <w:rsid w:val="001C3F18"/>
    <w:rsid w:val="001C4135"/>
    <w:rsid w:val="001C44B6"/>
    <w:rsid w:val="001C4D89"/>
    <w:rsid w:val="001C4E08"/>
    <w:rsid w:val="001C4FCC"/>
    <w:rsid w:val="001C5890"/>
    <w:rsid w:val="001C5DA0"/>
    <w:rsid w:val="001C644E"/>
    <w:rsid w:val="001C6970"/>
    <w:rsid w:val="001C6DDD"/>
    <w:rsid w:val="001C6E62"/>
    <w:rsid w:val="001C7083"/>
    <w:rsid w:val="001C7133"/>
    <w:rsid w:val="001C74C0"/>
    <w:rsid w:val="001C756E"/>
    <w:rsid w:val="001C7786"/>
    <w:rsid w:val="001C78AE"/>
    <w:rsid w:val="001C7C96"/>
    <w:rsid w:val="001D05EE"/>
    <w:rsid w:val="001D0BC8"/>
    <w:rsid w:val="001D0DAE"/>
    <w:rsid w:val="001D0E80"/>
    <w:rsid w:val="001D10AF"/>
    <w:rsid w:val="001D13C0"/>
    <w:rsid w:val="001D16D4"/>
    <w:rsid w:val="001D171A"/>
    <w:rsid w:val="001D1F84"/>
    <w:rsid w:val="001D2404"/>
    <w:rsid w:val="001D254C"/>
    <w:rsid w:val="001D2B23"/>
    <w:rsid w:val="001D306C"/>
    <w:rsid w:val="001D3259"/>
    <w:rsid w:val="001D397E"/>
    <w:rsid w:val="001D4784"/>
    <w:rsid w:val="001D4A68"/>
    <w:rsid w:val="001D4D5A"/>
    <w:rsid w:val="001D5043"/>
    <w:rsid w:val="001D5058"/>
    <w:rsid w:val="001D5109"/>
    <w:rsid w:val="001D5A4A"/>
    <w:rsid w:val="001D5C84"/>
    <w:rsid w:val="001D5E98"/>
    <w:rsid w:val="001D619F"/>
    <w:rsid w:val="001D6ACD"/>
    <w:rsid w:val="001D6C09"/>
    <w:rsid w:val="001D6FB2"/>
    <w:rsid w:val="001D71B8"/>
    <w:rsid w:val="001D73B4"/>
    <w:rsid w:val="001D773D"/>
    <w:rsid w:val="001D77F7"/>
    <w:rsid w:val="001E041A"/>
    <w:rsid w:val="001E06C1"/>
    <w:rsid w:val="001E0DAD"/>
    <w:rsid w:val="001E1EC8"/>
    <w:rsid w:val="001E241A"/>
    <w:rsid w:val="001E26BF"/>
    <w:rsid w:val="001E297D"/>
    <w:rsid w:val="001E2CC4"/>
    <w:rsid w:val="001E2D7D"/>
    <w:rsid w:val="001E2EF6"/>
    <w:rsid w:val="001E36F9"/>
    <w:rsid w:val="001E3AF5"/>
    <w:rsid w:val="001E3B2F"/>
    <w:rsid w:val="001E3B32"/>
    <w:rsid w:val="001E3B5C"/>
    <w:rsid w:val="001E3FF3"/>
    <w:rsid w:val="001E40C0"/>
    <w:rsid w:val="001E444C"/>
    <w:rsid w:val="001E462E"/>
    <w:rsid w:val="001E491E"/>
    <w:rsid w:val="001E4B84"/>
    <w:rsid w:val="001E4E46"/>
    <w:rsid w:val="001E531A"/>
    <w:rsid w:val="001E544D"/>
    <w:rsid w:val="001E5862"/>
    <w:rsid w:val="001E58A4"/>
    <w:rsid w:val="001E59D3"/>
    <w:rsid w:val="001E5EFE"/>
    <w:rsid w:val="001E629D"/>
    <w:rsid w:val="001E6307"/>
    <w:rsid w:val="001E64A5"/>
    <w:rsid w:val="001E64D2"/>
    <w:rsid w:val="001E6671"/>
    <w:rsid w:val="001E6C96"/>
    <w:rsid w:val="001E6E2B"/>
    <w:rsid w:val="001E6FE4"/>
    <w:rsid w:val="001E704D"/>
    <w:rsid w:val="001E7147"/>
    <w:rsid w:val="001E718F"/>
    <w:rsid w:val="001E747A"/>
    <w:rsid w:val="001E75F9"/>
    <w:rsid w:val="001E78CB"/>
    <w:rsid w:val="001E7EB4"/>
    <w:rsid w:val="001F05AA"/>
    <w:rsid w:val="001F06DE"/>
    <w:rsid w:val="001F0760"/>
    <w:rsid w:val="001F0A77"/>
    <w:rsid w:val="001F1454"/>
    <w:rsid w:val="001F1747"/>
    <w:rsid w:val="001F196D"/>
    <w:rsid w:val="001F1A4F"/>
    <w:rsid w:val="001F2470"/>
    <w:rsid w:val="001F24F4"/>
    <w:rsid w:val="001F2628"/>
    <w:rsid w:val="001F2881"/>
    <w:rsid w:val="001F301A"/>
    <w:rsid w:val="001F30AD"/>
    <w:rsid w:val="001F32C1"/>
    <w:rsid w:val="001F3983"/>
    <w:rsid w:val="001F3E44"/>
    <w:rsid w:val="001F4457"/>
    <w:rsid w:val="001F47A4"/>
    <w:rsid w:val="001F4EDA"/>
    <w:rsid w:val="001F506B"/>
    <w:rsid w:val="001F559E"/>
    <w:rsid w:val="001F67DB"/>
    <w:rsid w:val="001F71F4"/>
    <w:rsid w:val="001F733A"/>
    <w:rsid w:val="001F76EF"/>
    <w:rsid w:val="00200479"/>
    <w:rsid w:val="00200637"/>
    <w:rsid w:val="00200A46"/>
    <w:rsid w:val="00200AA3"/>
    <w:rsid w:val="00200ABC"/>
    <w:rsid w:val="00201683"/>
    <w:rsid w:val="002017BC"/>
    <w:rsid w:val="00201AD0"/>
    <w:rsid w:val="00201FBC"/>
    <w:rsid w:val="002020A7"/>
    <w:rsid w:val="002021FD"/>
    <w:rsid w:val="00202233"/>
    <w:rsid w:val="00202474"/>
    <w:rsid w:val="002024BA"/>
    <w:rsid w:val="00202852"/>
    <w:rsid w:val="00202AA2"/>
    <w:rsid w:val="0020343E"/>
    <w:rsid w:val="002039C3"/>
    <w:rsid w:val="00203A56"/>
    <w:rsid w:val="00203F19"/>
    <w:rsid w:val="00204295"/>
    <w:rsid w:val="002042F9"/>
    <w:rsid w:val="002044D1"/>
    <w:rsid w:val="00204843"/>
    <w:rsid w:val="00204A5B"/>
    <w:rsid w:val="0020514C"/>
    <w:rsid w:val="002056D8"/>
    <w:rsid w:val="00206590"/>
    <w:rsid w:val="00206871"/>
    <w:rsid w:val="00206A48"/>
    <w:rsid w:val="00206CA4"/>
    <w:rsid w:val="00207682"/>
    <w:rsid w:val="00207719"/>
    <w:rsid w:val="002079C8"/>
    <w:rsid w:val="002100CF"/>
    <w:rsid w:val="00210559"/>
    <w:rsid w:val="00210698"/>
    <w:rsid w:val="00210771"/>
    <w:rsid w:val="0021143F"/>
    <w:rsid w:val="00211B6E"/>
    <w:rsid w:val="00211D07"/>
    <w:rsid w:val="00212007"/>
    <w:rsid w:val="0021264A"/>
    <w:rsid w:val="002127B2"/>
    <w:rsid w:val="00212828"/>
    <w:rsid w:val="00212A32"/>
    <w:rsid w:val="00212ACE"/>
    <w:rsid w:val="00212C84"/>
    <w:rsid w:val="00213374"/>
    <w:rsid w:val="002134EF"/>
    <w:rsid w:val="00213AA6"/>
    <w:rsid w:val="00213AFD"/>
    <w:rsid w:val="002142D3"/>
    <w:rsid w:val="002147A1"/>
    <w:rsid w:val="0021519E"/>
    <w:rsid w:val="0021583E"/>
    <w:rsid w:val="00215864"/>
    <w:rsid w:val="00215931"/>
    <w:rsid w:val="00215A39"/>
    <w:rsid w:val="00215B47"/>
    <w:rsid w:val="00215E0A"/>
    <w:rsid w:val="00215FD0"/>
    <w:rsid w:val="00216913"/>
    <w:rsid w:val="00216AE0"/>
    <w:rsid w:val="00217437"/>
    <w:rsid w:val="00217581"/>
    <w:rsid w:val="00217676"/>
    <w:rsid w:val="0021777C"/>
    <w:rsid w:val="00217D2B"/>
    <w:rsid w:val="00220497"/>
    <w:rsid w:val="002204E2"/>
    <w:rsid w:val="00220687"/>
    <w:rsid w:val="00221482"/>
    <w:rsid w:val="002219A4"/>
    <w:rsid w:val="00221B69"/>
    <w:rsid w:val="00221E37"/>
    <w:rsid w:val="00221F99"/>
    <w:rsid w:val="00221FC9"/>
    <w:rsid w:val="00221FDE"/>
    <w:rsid w:val="0022235D"/>
    <w:rsid w:val="002224AB"/>
    <w:rsid w:val="002224BB"/>
    <w:rsid w:val="00222587"/>
    <w:rsid w:val="00222762"/>
    <w:rsid w:val="00222CF0"/>
    <w:rsid w:val="00222E29"/>
    <w:rsid w:val="002230EE"/>
    <w:rsid w:val="00223277"/>
    <w:rsid w:val="002236DA"/>
    <w:rsid w:val="00223835"/>
    <w:rsid w:val="00223B6E"/>
    <w:rsid w:val="00223C81"/>
    <w:rsid w:val="00223DCB"/>
    <w:rsid w:val="00223F1E"/>
    <w:rsid w:val="002241C5"/>
    <w:rsid w:val="00224777"/>
    <w:rsid w:val="00224778"/>
    <w:rsid w:val="0022480D"/>
    <w:rsid w:val="00224B0C"/>
    <w:rsid w:val="00224C37"/>
    <w:rsid w:val="002251CF"/>
    <w:rsid w:val="00225939"/>
    <w:rsid w:val="00225B6A"/>
    <w:rsid w:val="00225C1C"/>
    <w:rsid w:val="00225F04"/>
    <w:rsid w:val="00226477"/>
    <w:rsid w:val="00226553"/>
    <w:rsid w:val="00226A76"/>
    <w:rsid w:val="00226C30"/>
    <w:rsid w:val="002278B7"/>
    <w:rsid w:val="0023038D"/>
    <w:rsid w:val="002306B4"/>
    <w:rsid w:val="002307D5"/>
    <w:rsid w:val="002317BE"/>
    <w:rsid w:val="00231B94"/>
    <w:rsid w:val="0023220A"/>
    <w:rsid w:val="00232278"/>
    <w:rsid w:val="002323ED"/>
    <w:rsid w:val="0023251F"/>
    <w:rsid w:val="00232947"/>
    <w:rsid w:val="00232BD1"/>
    <w:rsid w:val="00232EC0"/>
    <w:rsid w:val="0023307C"/>
    <w:rsid w:val="002342C4"/>
    <w:rsid w:val="00234533"/>
    <w:rsid w:val="00234729"/>
    <w:rsid w:val="00234794"/>
    <w:rsid w:val="00235032"/>
    <w:rsid w:val="002351FB"/>
    <w:rsid w:val="00235650"/>
    <w:rsid w:val="00235C23"/>
    <w:rsid w:val="00235CF9"/>
    <w:rsid w:val="002362E6"/>
    <w:rsid w:val="0023687E"/>
    <w:rsid w:val="002369A6"/>
    <w:rsid w:val="00236D8E"/>
    <w:rsid w:val="00236DE1"/>
    <w:rsid w:val="0023702E"/>
    <w:rsid w:val="002372C3"/>
    <w:rsid w:val="002373E8"/>
    <w:rsid w:val="00237414"/>
    <w:rsid w:val="002375A6"/>
    <w:rsid w:val="0023786F"/>
    <w:rsid w:val="00237922"/>
    <w:rsid w:val="00237C17"/>
    <w:rsid w:val="00237D2D"/>
    <w:rsid w:val="00237F88"/>
    <w:rsid w:val="00240046"/>
    <w:rsid w:val="00240056"/>
    <w:rsid w:val="00240277"/>
    <w:rsid w:val="002404BB"/>
    <w:rsid w:val="002404DE"/>
    <w:rsid w:val="00240742"/>
    <w:rsid w:val="00240763"/>
    <w:rsid w:val="00240C27"/>
    <w:rsid w:val="00240CA0"/>
    <w:rsid w:val="00240E25"/>
    <w:rsid w:val="002418A8"/>
    <w:rsid w:val="00241B0A"/>
    <w:rsid w:val="00241B4E"/>
    <w:rsid w:val="00241DAC"/>
    <w:rsid w:val="00241FB5"/>
    <w:rsid w:val="0024230C"/>
    <w:rsid w:val="002424AA"/>
    <w:rsid w:val="00243AB4"/>
    <w:rsid w:val="00243B6B"/>
    <w:rsid w:val="00243C77"/>
    <w:rsid w:val="00244626"/>
    <w:rsid w:val="00244D6A"/>
    <w:rsid w:val="00245168"/>
    <w:rsid w:val="00245644"/>
    <w:rsid w:val="00245B2C"/>
    <w:rsid w:val="002467D3"/>
    <w:rsid w:val="00246890"/>
    <w:rsid w:val="00246E78"/>
    <w:rsid w:val="0024765F"/>
    <w:rsid w:val="00247930"/>
    <w:rsid w:val="00247FFA"/>
    <w:rsid w:val="00250E8C"/>
    <w:rsid w:val="002511D9"/>
    <w:rsid w:val="00251A51"/>
    <w:rsid w:val="00251DB3"/>
    <w:rsid w:val="00251FDF"/>
    <w:rsid w:val="00252131"/>
    <w:rsid w:val="002527EF"/>
    <w:rsid w:val="00253414"/>
    <w:rsid w:val="00253679"/>
    <w:rsid w:val="00253859"/>
    <w:rsid w:val="00253964"/>
    <w:rsid w:val="002539A2"/>
    <w:rsid w:val="00253D9C"/>
    <w:rsid w:val="00253E2F"/>
    <w:rsid w:val="00254DDA"/>
    <w:rsid w:val="0025565E"/>
    <w:rsid w:val="00255E48"/>
    <w:rsid w:val="00256525"/>
    <w:rsid w:val="00256556"/>
    <w:rsid w:val="002567C2"/>
    <w:rsid w:val="00256D59"/>
    <w:rsid w:val="00256D8C"/>
    <w:rsid w:val="00257081"/>
    <w:rsid w:val="00257847"/>
    <w:rsid w:val="00257AF3"/>
    <w:rsid w:val="00257BE7"/>
    <w:rsid w:val="00257DC7"/>
    <w:rsid w:val="00257ECB"/>
    <w:rsid w:val="0026074C"/>
    <w:rsid w:val="00260756"/>
    <w:rsid w:val="00260A8A"/>
    <w:rsid w:val="00260C8F"/>
    <w:rsid w:val="00260EFB"/>
    <w:rsid w:val="00260FE1"/>
    <w:rsid w:val="0026120D"/>
    <w:rsid w:val="0026134D"/>
    <w:rsid w:val="002616D4"/>
    <w:rsid w:val="002619ED"/>
    <w:rsid w:val="00261A28"/>
    <w:rsid w:val="00261F19"/>
    <w:rsid w:val="00261F8B"/>
    <w:rsid w:val="002621F9"/>
    <w:rsid w:val="00262807"/>
    <w:rsid w:val="00262AB9"/>
    <w:rsid w:val="00264DF2"/>
    <w:rsid w:val="00264EBA"/>
    <w:rsid w:val="00264FF1"/>
    <w:rsid w:val="0026533D"/>
    <w:rsid w:val="0026559F"/>
    <w:rsid w:val="00265913"/>
    <w:rsid w:val="00265EA4"/>
    <w:rsid w:val="00266430"/>
    <w:rsid w:val="002664C1"/>
    <w:rsid w:val="0026671F"/>
    <w:rsid w:val="00266796"/>
    <w:rsid w:val="0026699C"/>
    <w:rsid w:val="00266A49"/>
    <w:rsid w:val="00266BF1"/>
    <w:rsid w:val="00267084"/>
    <w:rsid w:val="00267270"/>
    <w:rsid w:val="002672EB"/>
    <w:rsid w:val="002675FD"/>
    <w:rsid w:val="002678B5"/>
    <w:rsid w:val="00267B93"/>
    <w:rsid w:val="002702AD"/>
    <w:rsid w:val="00270349"/>
    <w:rsid w:val="00270915"/>
    <w:rsid w:val="00270B7E"/>
    <w:rsid w:val="00270DC2"/>
    <w:rsid w:val="00270F2D"/>
    <w:rsid w:val="0027165D"/>
    <w:rsid w:val="00271AA1"/>
    <w:rsid w:val="00271AD4"/>
    <w:rsid w:val="00271DC2"/>
    <w:rsid w:val="00271F2B"/>
    <w:rsid w:val="0027254D"/>
    <w:rsid w:val="00272ABE"/>
    <w:rsid w:val="00272D6A"/>
    <w:rsid w:val="00272D80"/>
    <w:rsid w:val="00272E5C"/>
    <w:rsid w:val="00272E85"/>
    <w:rsid w:val="00273D0E"/>
    <w:rsid w:val="00274D6F"/>
    <w:rsid w:val="00275616"/>
    <w:rsid w:val="002757E3"/>
    <w:rsid w:val="002759A8"/>
    <w:rsid w:val="00276013"/>
    <w:rsid w:val="00276186"/>
    <w:rsid w:val="00276466"/>
    <w:rsid w:val="002764EE"/>
    <w:rsid w:val="0027692E"/>
    <w:rsid w:val="00276B38"/>
    <w:rsid w:val="002773FE"/>
    <w:rsid w:val="002774AA"/>
    <w:rsid w:val="00277736"/>
    <w:rsid w:val="00277F37"/>
    <w:rsid w:val="002805A4"/>
    <w:rsid w:val="0028065A"/>
    <w:rsid w:val="00280A42"/>
    <w:rsid w:val="00281474"/>
    <w:rsid w:val="002815D9"/>
    <w:rsid w:val="0028235E"/>
    <w:rsid w:val="0028263B"/>
    <w:rsid w:val="00282E06"/>
    <w:rsid w:val="002832FB"/>
    <w:rsid w:val="002833F6"/>
    <w:rsid w:val="002836B2"/>
    <w:rsid w:val="0028370B"/>
    <w:rsid w:val="0028383D"/>
    <w:rsid w:val="002843A4"/>
    <w:rsid w:val="00284512"/>
    <w:rsid w:val="00284BB6"/>
    <w:rsid w:val="00284BB8"/>
    <w:rsid w:val="00284BCA"/>
    <w:rsid w:val="00284DA7"/>
    <w:rsid w:val="00285402"/>
    <w:rsid w:val="0028544E"/>
    <w:rsid w:val="0028571F"/>
    <w:rsid w:val="00285790"/>
    <w:rsid w:val="00285ED3"/>
    <w:rsid w:val="002866AB"/>
    <w:rsid w:val="00286DEE"/>
    <w:rsid w:val="00286DFE"/>
    <w:rsid w:val="00286FE6"/>
    <w:rsid w:val="00287153"/>
    <w:rsid w:val="0028722B"/>
    <w:rsid w:val="0028740E"/>
    <w:rsid w:val="0028792D"/>
    <w:rsid w:val="00287C2D"/>
    <w:rsid w:val="0029014E"/>
    <w:rsid w:val="0029061F"/>
    <w:rsid w:val="0029076B"/>
    <w:rsid w:val="00290942"/>
    <w:rsid w:val="00290ABB"/>
    <w:rsid w:val="00290BEC"/>
    <w:rsid w:val="002912DD"/>
    <w:rsid w:val="00291358"/>
    <w:rsid w:val="002913AE"/>
    <w:rsid w:val="00291691"/>
    <w:rsid w:val="0029199B"/>
    <w:rsid w:val="00291E30"/>
    <w:rsid w:val="002921B8"/>
    <w:rsid w:val="0029225D"/>
    <w:rsid w:val="002923DB"/>
    <w:rsid w:val="0029349E"/>
    <w:rsid w:val="00293E40"/>
    <w:rsid w:val="00294499"/>
    <w:rsid w:val="002947EA"/>
    <w:rsid w:val="00294F4D"/>
    <w:rsid w:val="00295553"/>
    <w:rsid w:val="00295579"/>
    <w:rsid w:val="00295D2D"/>
    <w:rsid w:val="00296277"/>
    <w:rsid w:val="0029662D"/>
    <w:rsid w:val="00296646"/>
    <w:rsid w:val="00296C7B"/>
    <w:rsid w:val="00296DC4"/>
    <w:rsid w:val="0029704B"/>
    <w:rsid w:val="002971AB"/>
    <w:rsid w:val="0029765B"/>
    <w:rsid w:val="002977D5"/>
    <w:rsid w:val="002A01E0"/>
    <w:rsid w:val="002A0218"/>
    <w:rsid w:val="002A0649"/>
    <w:rsid w:val="002A0654"/>
    <w:rsid w:val="002A066D"/>
    <w:rsid w:val="002A098C"/>
    <w:rsid w:val="002A0CE5"/>
    <w:rsid w:val="002A0FE0"/>
    <w:rsid w:val="002A10CE"/>
    <w:rsid w:val="002A1394"/>
    <w:rsid w:val="002A188E"/>
    <w:rsid w:val="002A196C"/>
    <w:rsid w:val="002A1E96"/>
    <w:rsid w:val="002A29E1"/>
    <w:rsid w:val="002A3A00"/>
    <w:rsid w:val="002A416A"/>
    <w:rsid w:val="002A4A5B"/>
    <w:rsid w:val="002A4EB8"/>
    <w:rsid w:val="002A5338"/>
    <w:rsid w:val="002A55FA"/>
    <w:rsid w:val="002A57E7"/>
    <w:rsid w:val="002A5CA4"/>
    <w:rsid w:val="002A5F8B"/>
    <w:rsid w:val="002A65C1"/>
    <w:rsid w:val="002A6720"/>
    <w:rsid w:val="002A697E"/>
    <w:rsid w:val="002A74CB"/>
    <w:rsid w:val="002A7EB1"/>
    <w:rsid w:val="002A7EE8"/>
    <w:rsid w:val="002A7FA6"/>
    <w:rsid w:val="002B0127"/>
    <w:rsid w:val="002B053C"/>
    <w:rsid w:val="002B06F5"/>
    <w:rsid w:val="002B0AA2"/>
    <w:rsid w:val="002B1673"/>
    <w:rsid w:val="002B1879"/>
    <w:rsid w:val="002B1A1E"/>
    <w:rsid w:val="002B1CAF"/>
    <w:rsid w:val="002B21B4"/>
    <w:rsid w:val="002B2304"/>
    <w:rsid w:val="002B2511"/>
    <w:rsid w:val="002B257D"/>
    <w:rsid w:val="002B2673"/>
    <w:rsid w:val="002B27DB"/>
    <w:rsid w:val="002B27DC"/>
    <w:rsid w:val="002B2CAC"/>
    <w:rsid w:val="002B2EFC"/>
    <w:rsid w:val="002B317C"/>
    <w:rsid w:val="002B3B40"/>
    <w:rsid w:val="002B42E9"/>
    <w:rsid w:val="002B44FB"/>
    <w:rsid w:val="002B4746"/>
    <w:rsid w:val="002B48CD"/>
    <w:rsid w:val="002B4D09"/>
    <w:rsid w:val="002B53F8"/>
    <w:rsid w:val="002B5503"/>
    <w:rsid w:val="002B57F4"/>
    <w:rsid w:val="002B5D19"/>
    <w:rsid w:val="002B5DAB"/>
    <w:rsid w:val="002B6908"/>
    <w:rsid w:val="002B6B29"/>
    <w:rsid w:val="002B6CAC"/>
    <w:rsid w:val="002B6D0C"/>
    <w:rsid w:val="002B7530"/>
    <w:rsid w:val="002B787D"/>
    <w:rsid w:val="002B7935"/>
    <w:rsid w:val="002C003B"/>
    <w:rsid w:val="002C06F1"/>
    <w:rsid w:val="002C077B"/>
    <w:rsid w:val="002C07F2"/>
    <w:rsid w:val="002C09E6"/>
    <w:rsid w:val="002C0B04"/>
    <w:rsid w:val="002C105E"/>
    <w:rsid w:val="002C11D1"/>
    <w:rsid w:val="002C1359"/>
    <w:rsid w:val="002C17F3"/>
    <w:rsid w:val="002C2085"/>
    <w:rsid w:val="002C208D"/>
    <w:rsid w:val="002C2193"/>
    <w:rsid w:val="002C2697"/>
    <w:rsid w:val="002C26E1"/>
    <w:rsid w:val="002C2D91"/>
    <w:rsid w:val="002C312D"/>
    <w:rsid w:val="002C3147"/>
    <w:rsid w:val="002C317F"/>
    <w:rsid w:val="002C3441"/>
    <w:rsid w:val="002C371C"/>
    <w:rsid w:val="002C375C"/>
    <w:rsid w:val="002C4333"/>
    <w:rsid w:val="002C4889"/>
    <w:rsid w:val="002C4A7D"/>
    <w:rsid w:val="002C4BC6"/>
    <w:rsid w:val="002C4D0F"/>
    <w:rsid w:val="002C5254"/>
    <w:rsid w:val="002C5424"/>
    <w:rsid w:val="002C5BDB"/>
    <w:rsid w:val="002C65A6"/>
    <w:rsid w:val="002C6788"/>
    <w:rsid w:val="002C682A"/>
    <w:rsid w:val="002C6C11"/>
    <w:rsid w:val="002C6D7F"/>
    <w:rsid w:val="002C733D"/>
    <w:rsid w:val="002D0550"/>
    <w:rsid w:val="002D0E2D"/>
    <w:rsid w:val="002D1240"/>
    <w:rsid w:val="002D1330"/>
    <w:rsid w:val="002D1B9B"/>
    <w:rsid w:val="002D2D93"/>
    <w:rsid w:val="002D310B"/>
    <w:rsid w:val="002D31A0"/>
    <w:rsid w:val="002D34FA"/>
    <w:rsid w:val="002D365D"/>
    <w:rsid w:val="002D3DAB"/>
    <w:rsid w:val="002D3E16"/>
    <w:rsid w:val="002D487E"/>
    <w:rsid w:val="002D488D"/>
    <w:rsid w:val="002D48E7"/>
    <w:rsid w:val="002D5C1F"/>
    <w:rsid w:val="002D5F5D"/>
    <w:rsid w:val="002D645D"/>
    <w:rsid w:val="002D6503"/>
    <w:rsid w:val="002D6718"/>
    <w:rsid w:val="002D6B02"/>
    <w:rsid w:val="002D6C73"/>
    <w:rsid w:val="002D731A"/>
    <w:rsid w:val="002D7CF5"/>
    <w:rsid w:val="002D7EDE"/>
    <w:rsid w:val="002D7F77"/>
    <w:rsid w:val="002E0CE2"/>
    <w:rsid w:val="002E1124"/>
    <w:rsid w:val="002E11BE"/>
    <w:rsid w:val="002E1675"/>
    <w:rsid w:val="002E1B49"/>
    <w:rsid w:val="002E1C7F"/>
    <w:rsid w:val="002E1D13"/>
    <w:rsid w:val="002E1E28"/>
    <w:rsid w:val="002E1E95"/>
    <w:rsid w:val="002E24AC"/>
    <w:rsid w:val="002E2F59"/>
    <w:rsid w:val="002E2F6B"/>
    <w:rsid w:val="002E3DDC"/>
    <w:rsid w:val="002E3F83"/>
    <w:rsid w:val="002E40EB"/>
    <w:rsid w:val="002E43E1"/>
    <w:rsid w:val="002E5411"/>
    <w:rsid w:val="002E5593"/>
    <w:rsid w:val="002E6107"/>
    <w:rsid w:val="002E69C4"/>
    <w:rsid w:val="002E69F4"/>
    <w:rsid w:val="002E6AB0"/>
    <w:rsid w:val="002E71FB"/>
    <w:rsid w:val="002E7746"/>
    <w:rsid w:val="002E7A95"/>
    <w:rsid w:val="002E7D55"/>
    <w:rsid w:val="002F04F5"/>
    <w:rsid w:val="002F0A22"/>
    <w:rsid w:val="002F0AE0"/>
    <w:rsid w:val="002F1CA2"/>
    <w:rsid w:val="002F20CB"/>
    <w:rsid w:val="002F26DE"/>
    <w:rsid w:val="002F28A8"/>
    <w:rsid w:val="002F2988"/>
    <w:rsid w:val="002F2C26"/>
    <w:rsid w:val="002F2DBB"/>
    <w:rsid w:val="002F3149"/>
    <w:rsid w:val="002F34C1"/>
    <w:rsid w:val="002F35E6"/>
    <w:rsid w:val="002F36BE"/>
    <w:rsid w:val="002F3D5B"/>
    <w:rsid w:val="002F4104"/>
    <w:rsid w:val="002F44C2"/>
    <w:rsid w:val="002F4516"/>
    <w:rsid w:val="002F452C"/>
    <w:rsid w:val="002F4A8A"/>
    <w:rsid w:val="002F4AD3"/>
    <w:rsid w:val="002F4AE9"/>
    <w:rsid w:val="002F52F5"/>
    <w:rsid w:val="002F5356"/>
    <w:rsid w:val="002F5717"/>
    <w:rsid w:val="002F637E"/>
    <w:rsid w:val="002F652E"/>
    <w:rsid w:val="002F6757"/>
    <w:rsid w:val="002F6A64"/>
    <w:rsid w:val="002F77AD"/>
    <w:rsid w:val="002F7A9E"/>
    <w:rsid w:val="002F7B99"/>
    <w:rsid w:val="0030027C"/>
    <w:rsid w:val="003006E9"/>
    <w:rsid w:val="00300CEF"/>
    <w:rsid w:val="003012E1"/>
    <w:rsid w:val="0030172F"/>
    <w:rsid w:val="00301AB1"/>
    <w:rsid w:val="00301B08"/>
    <w:rsid w:val="00301BAE"/>
    <w:rsid w:val="00301E19"/>
    <w:rsid w:val="00302094"/>
    <w:rsid w:val="0030268C"/>
    <w:rsid w:val="00302764"/>
    <w:rsid w:val="00302AAC"/>
    <w:rsid w:val="00302B0F"/>
    <w:rsid w:val="00302E3E"/>
    <w:rsid w:val="00302F18"/>
    <w:rsid w:val="0030304F"/>
    <w:rsid w:val="003030B0"/>
    <w:rsid w:val="00303100"/>
    <w:rsid w:val="00303105"/>
    <w:rsid w:val="00303307"/>
    <w:rsid w:val="00303D11"/>
    <w:rsid w:val="00303EB9"/>
    <w:rsid w:val="0030410B"/>
    <w:rsid w:val="00304861"/>
    <w:rsid w:val="0030499C"/>
    <w:rsid w:val="00304CB3"/>
    <w:rsid w:val="00304DD7"/>
    <w:rsid w:val="003050B1"/>
    <w:rsid w:val="003053C8"/>
    <w:rsid w:val="003053F8"/>
    <w:rsid w:val="00305585"/>
    <w:rsid w:val="003058E5"/>
    <w:rsid w:val="00305979"/>
    <w:rsid w:val="00305B10"/>
    <w:rsid w:val="003067A9"/>
    <w:rsid w:val="0030707A"/>
    <w:rsid w:val="0030751B"/>
    <w:rsid w:val="00307648"/>
    <w:rsid w:val="00307DB2"/>
    <w:rsid w:val="00310281"/>
    <w:rsid w:val="00310562"/>
    <w:rsid w:val="0031067C"/>
    <w:rsid w:val="00310717"/>
    <w:rsid w:val="0031078B"/>
    <w:rsid w:val="00310799"/>
    <w:rsid w:val="00310BC2"/>
    <w:rsid w:val="00310CEA"/>
    <w:rsid w:val="00311156"/>
    <w:rsid w:val="003111C8"/>
    <w:rsid w:val="00311691"/>
    <w:rsid w:val="003126A6"/>
    <w:rsid w:val="0031290F"/>
    <w:rsid w:val="00312AF6"/>
    <w:rsid w:val="00312D51"/>
    <w:rsid w:val="003130C8"/>
    <w:rsid w:val="0031354C"/>
    <w:rsid w:val="00313935"/>
    <w:rsid w:val="0031413A"/>
    <w:rsid w:val="003142AC"/>
    <w:rsid w:val="0031430A"/>
    <w:rsid w:val="003143DA"/>
    <w:rsid w:val="003148DC"/>
    <w:rsid w:val="0031496D"/>
    <w:rsid w:val="003157DE"/>
    <w:rsid w:val="00315872"/>
    <w:rsid w:val="00315A73"/>
    <w:rsid w:val="00315F57"/>
    <w:rsid w:val="00316260"/>
    <w:rsid w:val="00316812"/>
    <w:rsid w:val="00316E16"/>
    <w:rsid w:val="003172B7"/>
    <w:rsid w:val="003175D4"/>
    <w:rsid w:val="003178CA"/>
    <w:rsid w:val="0032042B"/>
    <w:rsid w:val="0032048E"/>
    <w:rsid w:val="003208DB"/>
    <w:rsid w:val="0032123C"/>
    <w:rsid w:val="00321368"/>
    <w:rsid w:val="003216EE"/>
    <w:rsid w:val="003219B9"/>
    <w:rsid w:val="00321D2A"/>
    <w:rsid w:val="00321E72"/>
    <w:rsid w:val="00321F3B"/>
    <w:rsid w:val="003220C6"/>
    <w:rsid w:val="003225E5"/>
    <w:rsid w:val="0032263D"/>
    <w:rsid w:val="00322DAC"/>
    <w:rsid w:val="00322E83"/>
    <w:rsid w:val="00323184"/>
    <w:rsid w:val="00323AB6"/>
    <w:rsid w:val="00323BE7"/>
    <w:rsid w:val="0032443A"/>
    <w:rsid w:val="00324887"/>
    <w:rsid w:val="003248F8"/>
    <w:rsid w:val="00324B99"/>
    <w:rsid w:val="00324D14"/>
    <w:rsid w:val="00324DEB"/>
    <w:rsid w:val="00324E10"/>
    <w:rsid w:val="003252E6"/>
    <w:rsid w:val="0032578E"/>
    <w:rsid w:val="00325C6C"/>
    <w:rsid w:val="00325E94"/>
    <w:rsid w:val="003261BB"/>
    <w:rsid w:val="003264AD"/>
    <w:rsid w:val="00326988"/>
    <w:rsid w:val="00326AE1"/>
    <w:rsid w:val="00326E15"/>
    <w:rsid w:val="00327340"/>
    <w:rsid w:val="0032776A"/>
    <w:rsid w:val="0032799B"/>
    <w:rsid w:val="00327C08"/>
    <w:rsid w:val="003306AC"/>
    <w:rsid w:val="003306D9"/>
    <w:rsid w:val="00330A62"/>
    <w:rsid w:val="00331022"/>
    <w:rsid w:val="003312CB"/>
    <w:rsid w:val="003318D7"/>
    <w:rsid w:val="00331970"/>
    <w:rsid w:val="00331A3B"/>
    <w:rsid w:val="00332171"/>
    <w:rsid w:val="00332483"/>
    <w:rsid w:val="0033269F"/>
    <w:rsid w:val="003329DB"/>
    <w:rsid w:val="00332BB7"/>
    <w:rsid w:val="00332BF3"/>
    <w:rsid w:val="00333396"/>
    <w:rsid w:val="003334EC"/>
    <w:rsid w:val="00333877"/>
    <w:rsid w:val="00333A9B"/>
    <w:rsid w:val="00333BD2"/>
    <w:rsid w:val="0033424C"/>
    <w:rsid w:val="00334580"/>
    <w:rsid w:val="0033478D"/>
    <w:rsid w:val="00334B24"/>
    <w:rsid w:val="0033595E"/>
    <w:rsid w:val="00335C6D"/>
    <w:rsid w:val="00336897"/>
    <w:rsid w:val="003368A8"/>
    <w:rsid w:val="003368D8"/>
    <w:rsid w:val="00336DEF"/>
    <w:rsid w:val="00337138"/>
    <w:rsid w:val="003372CF"/>
    <w:rsid w:val="00337C91"/>
    <w:rsid w:val="00337D0D"/>
    <w:rsid w:val="00340257"/>
    <w:rsid w:val="003407C3"/>
    <w:rsid w:val="0034088E"/>
    <w:rsid w:val="0034175E"/>
    <w:rsid w:val="00341788"/>
    <w:rsid w:val="00341CB3"/>
    <w:rsid w:val="00341DD9"/>
    <w:rsid w:val="00342785"/>
    <w:rsid w:val="003427EF"/>
    <w:rsid w:val="00342B17"/>
    <w:rsid w:val="00342C94"/>
    <w:rsid w:val="003432E5"/>
    <w:rsid w:val="00343BFC"/>
    <w:rsid w:val="003440BC"/>
    <w:rsid w:val="00344457"/>
    <w:rsid w:val="003444A6"/>
    <w:rsid w:val="00344745"/>
    <w:rsid w:val="00344896"/>
    <w:rsid w:val="003448A9"/>
    <w:rsid w:val="003449DA"/>
    <w:rsid w:val="0034508A"/>
    <w:rsid w:val="00345142"/>
    <w:rsid w:val="0034536E"/>
    <w:rsid w:val="00345636"/>
    <w:rsid w:val="003460AD"/>
    <w:rsid w:val="00346304"/>
    <w:rsid w:val="00346546"/>
    <w:rsid w:val="0034679F"/>
    <w:rsid w:val="00346B1B"/>
    <w:rsid w:val="003470A3"/>
    <w:rsid w:val="003470C6"/>
    <w:rsid w:val="00347668"/>
    <w:rsid w:val="003478CC"/>
    <w:rsid w:val="003479FD"/>
    <w:rsid w:val="00347C88"/>
    <w:rsid w:val="00347DD5"/>
    <w:rsid w:val="00347F9E"/>
    <w:rsid w:val="00347FAC"/>
    <w:rsid w:val="0035007D"/>
    <w:rsid w:val="003500D9"/>
    <w:rsid w:val="003501F7"/>
    <w:rsid w:val="00350737"/>
    <w:rsid w:val="003508B4"/>
    <w:rsid w:val="00350A49"/>
    <w:rsid w:val="00350A5C"/>
    <w:rsid w:val="00350EE5"/>
    <w:rsid w:val="00351148"/>
    <w:rsid w:val="00351184"/>
    <w:rsid w:val="0035156B"/>
    <w:rsid w:val="003517A0"/>
    <w:rsid w:val="00351B54"/>
    <w:rsid w:val="00352B30"/>
    <w:rsid w:val="0035341C"/>
    <w:rsid w:val="00353913"/>
    <w:rsid w:val="00353AD1"/>
    <w:rsid w:val="00353D1C"/>
    <w:rsid w:val="00353DF7"/>
    <w:rsid w:val="0035413F"/>
    <w:rsid w:val="00354A8D"/>
    <w:rsid w:val="00354C8C"/>
    <w:rsid w:val="003550DF"/>
    <w:rsid w:val="00355535"/>
    <w:rsid w:val="00355579"/>
    <w:rsid w:val="003557DA"/>
    <w:rsid w:val="00355933"/>
    <w:rsid w:val="00355B42"/>
    <w:rsid w:val="00356358"/>
    <w:rsid w:val="003565D6"/>
    <w:rsid w:val="003567EB"/>
    <w:rsid w:val="00357430"/>
    <w:rsid w:val="00357916"/>
    <w:rsid w:val="00357928"/>
    <w:rsid w:val="00357B6C"/>
    <w:rsid w:val="0036012A"/>
    <w:rsid w:val="003608A7"/>
    <w:rsid w:val="00360DB1"/>
    <w:rsid w:val="0036100C"/>
    <w:rsid w:val="00361134"/>
    <w:rsid w:val="00361144"/>
    <w:rsid w:val="00361408"/>
    <w:rsid w:val="00361492"/>
    <w:rsid w:val="00361B36"/>
    <w:rsid w:val="00361B42"/>
    <w:rsid w:val="00362EB0"/>
    <w:rsid w:val="0036300E"/>
    <w:rsid w:val="0036311D"/>
    <w:rsid w:val="00363315"/>
    <w:rsid w:val="00363603"/>
    <w:rsid w:val="00364933"/>
    <w:rsid w:val="00364A74"/>
    <w:rsid w:val="00365AB8"/>
    <w:rsid w:val="00365C2F"/>
    <w:rsid w:val="003668A0"/>
    <w:rsid w:val="00366A09"/>
    <w:rsid w:val="0036707A"/>
    <w:rsid w:val="003670BB"/>
    <w:rsid w:val="003670D5"/>
    <w:rsid w:val="0036738A"/>
    <w:rsid w:val="0036760B"/>
    <w:rsid w:val="00367D29"/>
    <w:rsid w:val="00367F94"/>
    <w:rsid w:val="00370287"/>
    <w:rsid w:val="00370E9C"/>
    <w:rsid w:val="0037100A"/>
    <w:rsid w:val="00371095"/>
    <w:rsid w:val="003712E0"/>
    <w:rsid w:val="003714D8"/>
    <w:rsid w:val="003715EF"/>
    <w:rsid w:val="00371913"/>
    <w:rsid w:val="00371C87"/>
    <w:rsid w:val="003725F6"/>
    <w:rsid w:val="00372C2B"/>
    <w:rsid w:val="00372F82"/>
    <w:rsid w:val="003743DB"/>
    <w:rsid w:val="003743E3"/>
    <w:rsid w:val="00374727"/>
    <w:rsid w:val="00374A86"/>
    <w:rsid w:val="00374BBA"/>
    <w:rsid w:val="00374CD0"/>
    <w:rsid w:val="00374D25"/>
    <w:rsid w:val="0037533F"/>
    <w:rsid w:val="00375504"/>
    <w:rsid w:val="003760EB"/>
    <w:rsid w:val="003762AD"/>
    <w:rsid w:val="00376491"/>
    <w:rsid w:val="00376C4F"/>
    <w:rsid w:val="00377085"/>
    <w:rsid w:val="00377345"/>
    <w:rsid w:val="00377657"/>
    <w:rsid w:val="003776F6"/>
    <w:rsid w:val="00377746"/>
    <w:rsid w:val="00377BC1"/>
    <w:rsid w:val="00377D76"/>
    <w:rsid w:val="00377F30"/>
    <w:rsid w:val="00377F9B"/>
    <w:rsid w:val="0038080F"/>
    <w:rsid w:val="00380F5C"/>
    <w:rsid w:val="00381130"/>
    <w:rsid w:val="0038154E"/>
    <w:rsid w:val="003817A0"/>
    <w:rsid w:val="00381936"/>
    <w:rsid w:val="00381D4E"/>
    <w:rsid w:val="00381E30"/>
    <w:rsid w:val="003821D1"/>
    <w:rsid w:val="00382403"/>
    <w:rsid w:val="0038280E"/>
    <w:rsid w:val="00382A13"/>
    <w:rsid w:val="00382CF7"/>
    <w:rsid w:val="00382F2C"/>
    <w:rsid w:val="0038354C"/>
    <w:rsid w:val="003839C6"/>
    <w:rsid w:val="00383B0C"/>
    <w:rsid w:val="00383EA5"/>
    <w:rsid w:val="00383EE1"/>
    <w:rsid w:val="0038415B"/>
    <w:rsid w:val="00384334"/>
    <w:rsid w:val="003846DD"/>
    <w:rsid w:val="003848D9"/>
    <w:rsid w:val="003857A7"/>
    <w:rsid w:val="00385DA9"/>
    <w:rsid w:val="00386052"/>
    <w:rsid w:val="00386CFB"/>
    <w:rsid w:val="00386D36"/>
    <w:rsid w:val="00387669"/>
    <w:rsid w:val="0038786E"/>
    <w:rsid w:val="003879D2"/>
    <w:rsid w:val="00387F44"/>
    <w:rsid w:val="00387FF2"/>
    <w:rsid w:val="003904EF"/>
    <w:rsid w:val="003904F9"/>
    <w:rsid w:val="003905EC"/>
    <w:rsid w:val="00390693"/>
    <w:rsid w:val="00390754"/>
    <w:rsid w:val="003907F1"/>
    <w:rsid w:val="00390FE1"/>
    <w:rsid w:val="0039134D"/>
    <w:rsid w:val="00391CE3"/>
    <w:rsid w:val="00392465"/>
    <w:rsid w:val="003924FD"/>
    <w:rsid w:val="003926D7"/>
    <w:rsid w:val="003928C7"/>
    <w:rsid w:val="00392C03"/>
    <w:rsid w:val="00392C18"/>
    <w:rsid w:val="0039392B"/>
    <w:rsid w:val="00393CE0"/>
    <w:rsid w:val="00393F20"/>
    <w:rsid w:val="003944E1"/>
    <w:rsid w:val="003947F4"/>
    <w:rsid w:val="00394A7B"/>
    <w:rsid w:val="0039539B"/>
    <w:rsid w:val="00395801"/>
    <w:rsid w:val="00395884"/>
    <w:rsid w:val="003958F7"/>
    <w:rsid w:val="00395EC1"/>
    <w:rsid w:val="00395EEB"/>
    <w:rsid w:val="00396A99"/>
    <w:rsid w:val="00397111"/>
    <w:rsid w:val="003A0422"/>
    <w:rsid w:val="003A063D"/>
    <w:rsid w:val="003A07D2"/>
    <w:rsid w:val="003A0B6B"/>
    <w:rsid w:val="003A11F1"/>
    <w:rsid w:val="003A1390"/>
    <w:rsid w:val="003A14D6"/>
    <w:rsid w:val="003A1784"/>
    <w:rsid w:val="003A19C5"/>
    <w:rsid w:val="003A1BD6"/>
    <w:rsid w:val="003A2880"/>
    <w:rsid w:val="003A29CF"/>
    <w:rsid w:val="003A2C7E"/>
    <w:rsid w:val="003A319F"/>
    <w:rsid w:val="003A3863"/>
    <w:rsid w:val="003A3E96"/>
    <w:rsid w:val="003A4815"/>
    <w:rsid w:val="003A4D3F"/>
    <w:rsid w:val="003A5042"/>
    <w:rsid w:val="003A5975"/>
    <w:rsid w:val="003A5A31"/>
    <w:rsid w:val="003A611F"/>
    <w:rsid w:val="003A6400"/>
    <w:rsid w:val="003A6428"/>
    <w:rsid w:val="003A6482"/>
    <w:rsid w:val="003A6518"/>
    <w:rsid w:val="003A6526"/>
    <w:rsid w:val="003A666D"/>
    <w:rsid w:val="003A66C5"/>
    <w:rsid w:val="003A6D27"/>
    <w:rsid w:val="003A70F3"/>
    <w:rsid w:val="003A7449"/>
    <w:rsid w:val="003A74B5"/>
    <w:rsid w:val="003A7544"/>
    <w:rsid w:val="003A76B9"/>
    <w:rsid w:val="003A7797"/>
    <w:rsid w:val="003A7E08"/>
    <w:rsid w:val="003B057C"/>
    <w:rsid w:val="003B0C6A"/>
    <w:rsid w:val="003B0F11"/>
    <w:rsid w:val="003B1880"/>
    <w:rsid w:val="003B1F61"/>
    <w:rsid w:val="003B2E26"/>
    <w:rsid w:val="003B32DE"/>
    <w:rsid w:val="003B3AED"/>
    <w:rsid w:val="003B3B85"/>
    <w:rsid w:val="003B3D4F"/>
    <w:rsid w:val="003B3DBD"/>
    <w:rsid w:val="003B427C"/>
    <w:rsid w:val="003B42D0"/>
    <w:rsid w:val="003B43B2"/>
    <w:rsid w:val="003B48E1"/>
    <w:rsid w:val="003B4BE3"/>
    <w:rsid w:val="003B534B"/>
    <w:rsid w:val="003B5813"/>
    <w:rsid w:val="003B5849"/>
    <w:rsid w:val="003B5E15"/>
    <w:rsid w:val="003B5E85"/>
    <w:rsid w:val="003B62A9"/>
    <w:rsid w:val="003B6697"/>
    <w:rsid w:val="003B6B14"/>
    <w:rsid w:val="003B71E7"/>
    <w:rsid w:val="003B7649"/>
    <w:rsid w:val="003B7B06"/>
    <w:rsid w:val="003C0791"/>
    <w:rsid w:val="003C0798"/>
    <w:rsid w:val="003C08C0"/>
    <w:rsid w:val="003C0913"/>
    <w:rsid w:val="003C0959"/>
    <w:rsid w:val="003C12B6"/>
    <w:rsid w:val="003C12EF"/>
    <w:rsid w:val="003C236B"/>
    <w:rsid w:val="003C23C1"/>
    <w:rsid w:val="003C2434"/>
    <w:rsid w:val="003C279F"/>
    <w:rsid w:val="003C27C6"/>
    <w:rsid w:val="003C2AD1"/>
    <w:rsid w:val="003C3145"/>
    <w:rsid w:val="003C3424"/>
    <w:rsid w:val="003C3625"/>
    <w:rsid w:val="003C51C6"/>
    <w:rsid w:val="003C58FE"/>
    <w:rsid w:val="003C5A0C"/>
    <w:rsid w:val="003C5B60"/>
    <w:rsid w:val="003C5DEF"/>
    <w:rsid w:val="003C66D4"/>
    <w:rsid w:val="003C6A18"/>
    <w:rsid w:val="003C6D26"/>
    <w:rsid w:val="003C6FF8"/>
    <w:rsid w:val="003C706F"/>
    <w:rsid w:val="003C7096"/>
    <w:rsid w:val="003C73A2"/>
    <w:rsid w:val="003C7785"/>
    <w:rsid w:val="003C77A4"/>
    <w:rsid w:val="003C7CBF"/>
    <w:rsid w:val="003C7DF9"/>
    <w:rsid w:val="003C7F0F"/>
    <w:rsid w:val="003D01BE"/>
    <w:rsid w:val="003D026C"/>
    <w:rsid w:val="003D0597"/>
    <w:rsid w:val="003D0A30"/>
    <w:rsid w:val="003D0D21"/>
    <w:rsid w:val="003D103E"/>
    <w:rsid w:val="003D1120"/>
    <w:rsid w:val="003D18D6"/>
    <w:rsid w:val="003D1A9D"/>
    <w:rsid w:val="003D1D19"/>
    <w:rsid w:val="003D1D51"/>
    <w:rsid w:val="003D1E69"/>
    <w:rsid w:val="003D223B"/>
    <w:rsid w:val="003D289B"/>
    <w:rsid w:val="003D2917"/>
    <w:rsid w:val="003D2A7C"/>
    <w:rsid w:val="003D2E12"/>
    <w:rsid w:val="003D3540"/>
    <w:rsid w:val="003D36EB"/>
    <w:rsid w:val="003D37E5"/>
    <w:rsid w:val="003D4797"/>
    <w:rsid w:val="003D491A"/>
    <w:rsid w:val="003D5BF5"/>
    <w:rsid w:val="003D5E58"/>
    <w:rsid w:val="003D6243"/>
    <w:rsid w:val="003D6DE0"/>
    <w:rsid w:val="003D7044"/>
    <w:rsid w:val="003D7878"/>
    <w:rsid w:val="003D7AE6"/>
    <w:rsid w:val="003D7B6F"/>
    <w:rsid w:val="003D7B8D"/>
    <w:rsid w:val="003D7C91"/>
    <w:rsid w:val="003E07B8"/>
    <w:rsid w:val="003E0A44"/>
    <w:rsid w:val="003E0B13"/>
    <w:rsid w:val="003E0F10"/>
    <w:rsid w:val="003E1CFB"/>
    <w:rsid w:val="003E209C"/>
    <w:rsid w:val="003E2B56"/>
    <w:rsid w:val="003E2BD2"/>
    <w:rsid w:val="003E30FA"/>
    <w:rsid w:val="003E32FC"/>
    <w:rsid w:val="003E33C2"/>
    <w:rsid w:val="003E359A"/>
    <w:rsid w:val="003E396E"/>
    <w:rsid w:val="003E3A89"/>
    <w:rsid w:val="003E3FA9"/>
    <w:rsid w:val="003E4843"/>
    <w:rsid w:val="003E4E94"/>
    <w:rsid w:val="003E4EC2"/>
    <w:rsid w:val="003E4FB9"/>
    <w:rsid w:val="003E5F8B"/>
    <w:rsid w:val="003E64E7"/>
    <w:rsid w:val="003E671D"/>
    <w:rsid w:val="003E6962"/>
    <w:rsid w:val="003E69C9"/>
    <w:rsid w:val="003E6A23"/>
    <w:rsid w:val="003E73C4"/>
    <w:rsid w:val="003E79FC"/>
    <w:rsid w:val="003E7D7D"/>
    <w:rsid w:val="003E7DA0"/>
    <w:rsid w:val="003E7EC7"/>
    <w:rsid w:val="003F042F"/>
    <w:rsid w:val="003F0467"/>
    <w:rsid w:val="003F0510"/>
    <w:rsid w:val="003F0B9C"/>
    <w:rsid w:val="003F0C07"/>
    <w:rsid w:val="003F0C42"/>
    <w:rsid w:val="003F0E29"/>
    <w:rsid w:val="003F12F4"/>
    <w:rsid w:val="003F12FD"/>
    <w:rsid w:val="003F1884"/>
    <w:rsid w:val="003F2085"/>
    <w:rsid w:val="003F20E7"/>
    <w:rsid w:val="003F218E"/>
    <w:rsid w:val="003F250E"/>
    <w:rsid w:val="003F2815"/>
    <w:rsid w:val="003F2A5C"/>
    <w:rsid w:val="003F2BAB"/>
    <w:rsid w:val="003F2BC2"/>
    <w:rsid w:val="003F2C91"/>
    <w:rsid w:val="003F3176"/>
    <w:rsid w:val="003F366A"/>
    <w:rsid w:val="003F3714"/>
    <w:rsid w:val="003F37FC"/>
    <w:rsid w:val="003F3EE1"/>
    <w:rsid w:val="003F40A3"/>
    <w:rsid w:val="003F410A"/>
    <w:rsid w:val="003F48B8"/>
    <w:rsid w:val="003F5417"/>
    <w:rsid w:val="003F554F"/>
    <w:rsid w:val="003F597A"/>
    <w:rsid w:val="003F61B4"/>
    <w:rsid w:val="003F6389"/>
    <w:rsid w:val="003F65F3"/>
    <w:rsid w:val="003F6873"/>
    <w:rsid w:val="003F6BC2"/>
    <w:rsid w:val="003F6C28"/>
    <w:rsid w:val="003F720F"/>
    <w:rsid w:val="003F727E"/>
    <w:rsid w:val="003F778E"/>
    <w:rsid w:val="003F7845"/>
    <w:rsid w:val="003F7D0A"/>
    <w:rsid w:val="004003F0"/>
    <w:rsid w:val="00400597"/>
    <w:rsid w:val="004009E1"/>
    <w:rsid w:val="00400BB6"/>
    <w:rsid w:val="00400D63"/>
    <w:rsid w:val="00400F53"/>
    <w:rsid w:val="00401267"/>
    <w:rsid w:val="004015FD"/>
    <w:rsid w:val="004019B8"/>
    <w:rsid w:val="00401C94"/>
    <w:rsid w:val="00402176"/>
    <w:rsid w:val="00402510"/>
    <w:rsid w:val="00402A5C"/>
    <w:rsid w:val="00402A95"/>
    <w:rsid w:val="00402D64"/>
    <w:rsid w:val="00402E30"/>
    <w:rsid w:val="00402FF4"/>
    <w:rsid w:val="00403665"/>
    <w:rsid w:val="00403B27"/>
    <w:rsid w:val="00403C1A"/>
    <w:rsid w:val="00404023"/>
    <w:rsid w:val="004042D4"/>
    <w:rsid w:val="0040442D"/>
    <w:rsid w:val="00404559"/>
    <w:rsid w:val="00404984"/>
    <w:rsid w:val="00404F72"/>
    <w:rsid w:val="004053F1"/>
    <w:rsid w:val="004054D7"/>
    <w:rsid w:val="00405B8B"/>
    <w:rsid w:val="00405BE8"/>
    <w:rsid w:val="00405E96"/>
    <w:rsid w:val="00406743"/>
    <w:rsid w:val="0040715A"/>
    <w:rsid w:val="00407B1C"/>
    <w:rsid w:val="00407FCE"/>
    <w:rsid w:val="004111CD"/>
    <w:rsid w:val="00411259"/>
    <w:rsid w:val="004112E6"/>
    <w:rsid w:val="00411395"/>
    <w:rsid w:val="00411425"/>
    <w:rsid w:val="0041155C"/>
    <w:rsid w:val="00411637"/>
    <w:rsid w:val="00411DBF"/>
    <w:rsid w:val="00411EC7"/>
    <w:rsid w:val="00412438"/>
    <w:rsid w:val="004126C6"/>
    <w:rsid w:val="0041393B"/>
    <w:rsid w:val="00413A5C"/>
    <w:rsid w:val="00413E36"/>
    <w:rsid w:val="0041486E"/>
    <w:rsid w:val="00414D7B"/>
    <w:rsid w:val="0041528E"/>
    <w:rsid w:val="0041541C"/>
    <w:rsid w:val="00415993"/>
    <w:rsid w:val="00415FC2"/>
    <w:rsid w:val="004160DF"/>
    <w:rsid w:val="00416A20"/>
    <w:rsid w:val="00417299"/>
    <w:rsid w:val="0041732D"/>
    <w:rsid w:val="00417503"/>
    <w:rsid w:val="004179E8"/>
    <w:rsid w:val="00417E0B"/>
    <w:rsid w:val="00420AB8"/>
    <w:rsid w:val="00420BC0"/>
    <w:rsid w:val="004210C8"/>
    <w:rsid w:val="004211A4"/>
    <w:rsid w:val="00421458"/>
    <w:rsid w:val="00422111"/>
    <w:rsid w:val="00422190"/>
    <w:rsid w:val="00422848"/>
    <w:rsid w:val="00422BCD"/>
    <w:rsid w:val="00422D9E"/>
    <w:rsid w:val="00423095"/>
    <w:rsid w:val="004232CD"/>
    <w:rsid w:val="00423316"/>
    <w:rsid w:val="0042348A"/>
    <w:rsid w:val="004236C5"/>
    <w:rsid w:val="00423796"/>
    <w:rsid w:val="00423918"/>
    <w:rsid w:val="00423A47"/>
    <w:rsid w:val="00424537"/>
    <w:rsid w:val="0042476F"/>
    <w:rsid w:val="00424772"/>
    <w:rsid w:val="004248BA"/>
    <w:rsid w:val="00424AD9"/>
    <w:rsid w:val="00424FFB"/>
    <w:rsid w:val="0042579E"/>
    <w:rsid w:val="00425EEF"/>
    <w:rsid w:val="00425F18"/>
    <w:rsid w:val="00425F99"/>
    <w:rsid w:val="00426236"/>
    <w:rsid w:val="00426365"/>
    <w:rsid w:val="004263F9"/>
    <w:rsid w:val="00426454"/>
    <w:rsid w:val="00426566"/>
    <w:rsid w:val="00426804"/>
    <w:rsid w:val="004272FC"/>
    <w:rsid w:val="00427699"/>
    <w:rsid w:val="004303B7"/>
    <w:rsid w:val="004303BC"/>
    <w:rsid w:val="004305A1"/>
    <w:rsid w:val="004305C4"/>
    <w:rsid w:val="00430B12"/>
    <w:rsid w:val="00430F21"/>
    <w:rsid w:val="00431572"/>
    <w:rsid w:val="004315BD"/>
    <w:rsid w:val="0043166A"/>
    <w:rsid w:val="00431D3C"/>
    <w:rsid w:val="00431EB7"/>
    <w:rsid w:val="0043310F"/>
    <w:rsid w:val="00433229"/>
    <w:rsid w:val="004333C6"/>
    <w:rsid w:val="0043424A"/>
    <w:rsid w:val="00434E3B"/>
    <w:rsid w:val="0043528B"/>
    <w:rsid w:val="0043558E"/>
    <w:rsid w:val="0043589F"/>
    <w:rsid w:val="0043605B"/>
    <w:rsid w:val="0043613F"/>
    <w:rsid w:val="00436C33"/>
    <w:rsid w:val="004371F1"/>
    <w:rsid w:val="00437337"/>
    <w:rsid w:val="00437789"/>
    <w:rsid w:val="00437F0E"/>
    <w:rsid w:val="0044016A"/>
    <w:rsid w:val="00440283"/>
    <w:rsid w:val="004404EA"/>
    <w:rsid w:val="00440D56"/>
    <w:rsid w:val="00441582"/>
    <w:rsid w:val="0044171B"/>
    <w:rsid w:val="00441C08"/>
    <w:rsid w:val="004421A3"/>
    <w:rsid w:val="004423D8"/>
    <w:rsid w:val="00442771"/>
    <w:rsid w:val="00442C71"/>
    <w:rsid w:val="004439C4"/>
    <w:rsid w:val="00443BE2"/>
    <w:rsid w:val="00443CD6"/>
    <w:rsid w:val="004441C9"/>
    <w:rsid w:val="00444BE6"/>
    <w:rsid w:val="00444D69"/>
    <w:rsid w:val="00444FF2"/>
    <w:rsid w:val="0044569E"/>
    <w:rsid w:val="00445B49"/>
    <w:rsid w:val="00445B4C"/>
    <w:rsid w:val="00445C29"/>
    <w:rsid w:val="00445C8F"/>
    <w:rsid w:val="004460B1"/>
    <w:rsid w:val="00446578"/>
    <w:rsid w:val="0044716B"/>
    <w:rsid w:val="0044723E"/>
    <w:rsid w:val="00447302"/>
    <w:rsid w:val="0044740D"/>
    <w:rsid w:val="004476CF"/>
    <w:rsid w:val="00447F51"/>
    <w:rsid w:val="00451346"/>
    <w:rsid w:val="0045167D"/>
    <w:rsid w:val="004521FA"/>
    <w:rsid w:val="00452346"/>
    <w:rsid w:val="0045276A"/>
    <w:rsid w:val="00452950"/>
    <w:rsid w:val="00452B0F"/>
    <w:rsid w:val="00452F06"/>
    <w:rsid w:val="00452FA4"/>
    <w:rsid w:val="00453099"/>
    <w:rsid w:val="00453357"/>
    <w:rsid w:val="00453A37"/>
    <w:rsid w:val="00453D7E"/>
    <w:rsid w:val="00453DF8"/>
    <w:rsid w:val="00453E98"/>
    <w:rsid w:val="004540C4"/>
    <w:rsid w:val="00454767"/>
    <w:rsid w:val="00454F20"/>
    <w:rsid w:val="00455613"/>
    <w:rsid w:val="004565A4"/>
    <w:rsid w:val="004569D6"/>
    <w:rsid w:val="004570C1"/>
    <w:rsid w:val="00457139"/>
    <w:rsid w:val="0045762F"/>
    <w:rsid w:val="00457847"/>
    <w:rsid w:val="00457E52"/>
    <w:rsid w:val="0046012D"/>
    <w:rsid w:val="004604FD"/>
    <w:rsid w:val="00460885"/>
    <w:rsid w:val="00460CA0"/>
    <w:rsid w:val="00461482"/>
    <w:rsid w:val="004614A5"/>
    <w:rsid w:val="0046173F"/>
    <w:rsid w:val="00461798"/>
    <w:rsid w:val="00461AFE"/>
    <w:rsid w:val="00461BE1"/>
    <w:rsid w:val="00461C30"/>
    <w:rsid w:val="00461F15"/>
    <w:rsid w:val="00461F25"/>
    <w:rsid w:val="00461FC6"/>
    <w:rsid w:val="00462779"/>
    <w:rsid w:val="00462B4B"/>
    <w:rsid w:val="00462B8F"/>
    <w:rsid w:val="00462D1B"/>
    <w:rsid w:val="004631B6"/>
    <w:rsid w:val="00463264"/>
    <w:rsid w:val="004638A5"/>
    <w:rsid w:val="004642B4"/>
    <w:rsid w:val="0046463F"/>
    <w:rsid w:val="00464744"/>
    <w:rsid w:val="00464874"/>
    <w:rsid w:val="00464971"/>
    <w:rsid w:val="00464A60"/>
    <w:rsid w:val="00464FBC"/>
    <w:rsid w:val="004658CF"/>
    <w:rsid w:val="00465AEB"/>
    <w:rsid w:val="00465DF3"/>
    <w:rsid w:val="0046718D"/>
    <w:rsid w:val="004677E6"/>
    <w:rsid w:val="00467A73"/>
    <w:rsid w:val="00470433"/>
    <w:rsid w:val="00470450"/>
    <w:rsid w:val="004706C0"/>
    <w:rsid w:val="00470B19"/>
    <w:rsid w:val="0047115E"/>
    <w:rsid w:val="0047130C"/>
    <w:rsid w:val="004714C6"/>
    <w:rsid w:val="00471716"/>
    <w:rsid w:val="00471BC1"/>
    <w:rsid w:val="00471EE6"/>
    <w:rsid w:val="0047241A"/>
    <w:rsid w:val="00472547"/>
    <w:rsid w:val="00472C9E"/>
    <w:rsid w:val="00472F0D"/>
    <w:rsid w:val="0047342B"/>
    <w:rsid w:val="0047354B"/>
    <w:rsid w:val="00473A02"/>
    <w:rsid w:val="00473C0F"/>
    <w:rsid w:val="00473D90"/>
    <w:rsid w:val="004745A1"/>
    <w:rsid w:val="00474698"/>
    <w:rsid w:val="004746CE"/>
    <w:rsid w:val="00474C53"/>
    <w:rsid w:val="00475310"/>
    <w:rsid w:val="004753BE"/>
    <w:rsid w:val="00475A66"/>
    <w:rsid w:val="00475C8F"/>
    <w:rsid w:val="00475E6F"/>
    <w:rsid w:val="00476089"/>
    <w:rsid w:val="00476300"/>
    <w:rsid w:val="0047736B"/>
    <w:rsid w:val="0047741D"/>
    <w:rsid w:val="00477B8F"/>
    <w:rsid w:val="00480573"/>
    <w:rsid w:val="004809E0"/>
    <w:rsid w:val="00480E42"/>
    <w:rsid w:val="004810B9"/>
    <w:rsid w:val="0048118B"/>
    <w:rsid w:val="00481AFD"/>
    <w:rsid w:val="00481B1B"/>
    <w:rsid w:val="00482166"/>
    <w:rsid w:val="004825E7"/>
    <w:rsid w:val="0048266F"/>
    <w:rsid w:val="004828A4"/>
    <w:rsid w:val="00482993"/>
    <w:rsid w:val="00482CA3"/>
    <w:rsid w:val="004831F4"/>
    <w:rsid w:val="00483508"/>
    <w:rsid w:val="0048364A"/>
    <w:rsid w:val="00483A12"/>
    <w:rsid w:val="0048408F"/>
    <w:rsid w:val="0048413F"/>
    <w:rsid w:val="00484494"/>
    <w:rsid w:val="00484D08"/>
    <w:rsid w:val="00484E11"/>
    <w:rsid w:val="00485331"/>
    <w:rsid w:val="00485458"/>
    <w:rsid w:val="0048557D"/>
    <w:rsid w:val="00486281"/>
    <w:rsid w:val="004866BB"/>
    <w:rsid w:val="004867EA"/>
    <w:rsid w:val="004868BF"/>
    <w:rsid w:val="004869B2"/>
    <w:rsid w:val="00486A0E"/>
    <w:rsid w:val="00487041"/>
    <w:rsid w:val="0048713C"/>
    <w:rsid w:val="00487413"/>
    <w:rsid w:val="004876C8"/>
    <w:rsid w:val="00487878"/>
    <w:rsid w:val="00487F39"/>
    <w:rsid w:val="0049090E"/>
    <w:rsid w:val="00491233"/>
    <w:rsid w:val="004915FD"/>
    <w:rsid w:val="0049170E"/>
    <w:rsid w:val="00491B82"/>
    <w:rsid w:val="00492060"/>
    <w:rsid w:val="004922F0"/>
    <w:rsid w:val="004923B6"/>
    <w:rsid w:val="00492586"/>
    <w:rsid w:val="00492F7B"/>
    <w:rsid w:val="00493135"/>
    <w:rsid w:val="004938CD"/>
    <w:rsid w:val="00493C48"/>
    <w:rsid w:val="00494097"/>
    <w:rsid w:val="0049424A"/>
    <w:rsid w:val="00494597"/>
    <w:rsid w:val="004947F9"/>
    <w:rsid w:val="00494B7E"/>
    <w:rsid w:val="00494FE1"/>
    <w:rsid w:val="0049503C"/>
    <w:rsid w:val="004954B0"/>
    <w:rsid w:val="00495993"/>
    <w:rsid w:val="004959B2"/>
    <w:rsid w:val="00495C7D"/>
    <w:rsid w:val="00495E4A"/>
    <w:rsid w:val="00495F73"/>
    <w:rsid w:val="004960D8"/>
    <w:rsid w:val="004963FB"/>
    <w:rsid w:val="004969CF"/>
    <w:rsid w:val="00496CC7"/>
    <w:rsid w:val="00497000"/>
    <w:rsid w:val="0049741A"/>
    <w:rsid w:val="00497677"/>
    <w:rsid w:val="00497981"/>
    <w:rsid w:val="00497A1B"/>
    <w:rsid w:val="00497A97"/>
    <w:rsid w:val="004A0035"/>
    <w:rsid w:val="004A046C"/>
    <w:rsid w:val="004A0549"/>
    <w:rsid w:val="004A08B3"/>
    <w:rsid w:val="004A1655"/>
    <w:rsid w:val="004A176C"/>
    <w:rsid w:val="004A1EE1"/>
    <w:rsid w:val="004A1F0C"/>
    <w:rsid w:val="004A2B79"/>
    <w:rsid w:val="004A2EC7"/>
    <w:rsid w:val="004A3041"/>
    <w:rsid w:val="004A335D"/>
    <w:rsid w:val="004A35B3"/>
    <w:rsid w:val="004A432A"/>
    <w:rsid w:val="004A4522"/>
    <w:rsid w:val="004A525F"/>
    <w:rsid w:val="004A5636"/>
    <w:rsid w:val="004A5C65"/>
    <w:rsid w:val="004A5EAC"/>
    <w:rsid w:val="004A621E"/>
    <w:rsid w:val="004A62ED"/>
    <w:rsid w:val="004A6428"/>
    <w:rsid w:val="004A6851"/>
    <w:rsid w:val="004A69D2"/>
    <w:rsid w:val="004A7608"/>
    <w:rsid w:val="004A76AB"/>
    <w:rsid w:val="004A7989"/>
    <w:rsid w:val="004A79E8"/>
    <w:rsid w:val="004A7CDB"/>
    <w:rsid w:val="004A7D3E"/>
    <w:rsid w:val="004B0043"/>
    <w:rsid w:val="004B00D4"/>
    <w:rsid w:val="004B081B"/>
    <w:rsid w:val="004B0A8E"/>
    <w:rsid w:val="004B0BB8"/>
    <w:rsid w:val="004B0BD0"/>
    <w:rsid w:val="004B0C61"/>
    <w:rsid w:val="004B0F0F"/>
    <w:rsid w:val="004B1B76"/>
    <w:rsid w:val="004B1E37"/>
    <w:rsid w:val="004B2660"/>
    <w:rsid w:val="004B2EF0"/>
    <w:rsid w:val="004B325D"/>
    <w:rsid w:val="004B369F"/>
    <w:rsid w:val="004B4463"/>
    <w:rsid w:val="004B4469"/>
    <w:rsid w:val="004B4DC2"/>
    <w:rsid w:val="004B4F18"/>
    <w:rsid w:val="004B5770"/>
    <w:rsid w:val="004B58F7"/>
    <w:rsid w:val="004B5BE8"/>
    <w:rsid w:val="004B5FE4"/>
    <w:rsid w:val="004B6515"/>
    <w:rsid w:val="004B6A4B"/>
    <w:rsid w:val="004B6FA0"/>
    <w:rsid w:val="004B7C19"/>
    <w:rsid w:val="004B7DF5"/>
    <w:rsid w:val="004C007A"/>
    <w:rsid w:val="004C038B"/>
    <w:rsid w:val="004C0604"/>
    <w:rsid w:val="004C0D75"/>
    <w:rsid w:val="004C110F"/>
    <w:rsid w:val="004C130C"/>
    <w:rsid w:val="004C14B5"/>
    <w:rsid w:val="004C14DE"/>
    <w:rsid w:val="004C1878"/>
    <w:rsid w:val="004C2035"/>
    <w:rsid w:val="004C2043"/>
    <w:rsid w:val="004C249C"/>
    <w:rsid w:val="004C2773"/>
    <w:rsid w:val="004C2D16"/>
    <w:rsid w:val="004C3212"/>
    <w:rsid w:val="004C38E8"/>
    <w:rsid w:val="004C3CCE"/>
    <w:rsid w:val="004C4321"/>
    <w:rsid w:val="004C461D"/>
    <w:rsid w:val="004C4707"/>
    <w:rsid w:val="004C4C5E"/>
    <w:rsid w:val="004C5253"/>
    <w:rsid w:val="004C538C"/>
    <w:rsid w:val="004C5522"/>
    <w:rsid w:val="004C55BA"/>
    <w:rsid w:val="004C5663"/>
    <w:rsid w:val="004C5853"/>
    <w:rsid w:val="004C5B97"/>
    <w:rsid w:val="004C6194"/>
    <w:rsid w:val="004C66AA"/>
    <w:rsid w:val="004C72FA"/>
    <w:rsid w:val="004C742D"/>
    <w:rsid w:val="004D09C8"/>
    <w:rsid w:val="004D10EE"/>
    <w:rsid w:val="004D158B"/>
    <w:rsid w:val="004D182E"/>
    <w:rsid w:val="004D1A84"/>
    <w:rsid w:val="004D1D63"/>
    <w:rsid w:val="004D24CB"/>
    <w:rsid w:val="004D2638"/>
    <w:rsid w:val="004D2795"/>
    <w:rsid w:val="004D28A9"/>
    <w:rsid w:val="004D3467"/>
    <w:rsid w:val="004D374C"/>
    <w:rsid w:val="004D3C70"/>
    <w:rsid w:val="004D4432"/>
    <w:rsid w:val="004D453C"/>
    <w:rsid w:val="004D49F0"/>
    <w:rsid w:val="004D55F9"/>
    <w:rsid w:val="004D5DC7"/>
    <w:rsid w:val="004D668F"/>
    <w:rsid w:val="004D66F8"/>
    <w:rsid w:val="004D6867"/>
    <w:rsid w:val="004D738E"/>
    <w:rsid w:val="004D7543"/>
    <w:rsid w:val="004D7695"/>
    <w:rsid w:val="004D7729"/>
    <w:rsid w:val="004D79F5"/>
    <w:rsid w:val="004D7B34"/>
    <w:rsid w:val="004D7C97"/>
    <w:rsid w:val="004D7D52"/>
    <w:rsid w:val="004E0406"/>
    <w:rsid w:val="004E11E7"/>
    <w:rsid w:val="004E128A"/>
    <w:rsid w:val="004E184D"/>
    <w:rsid w:val="004E2149"/>
    <w:rsid w:val="004E24BF"/>
    <w:rsid w:val="004E24D3"/>
    <w:rsid w:val="004E2E8F"/>
    <w:rsid w:val="004E30E1"/>
    <w:rsid w:val="004E31F5"/>
    <w:rsid w:val="004E3618"/>
    <w:rsid w:val="004E369B"/>
    <w:rsid w:val="004E38C6"/>
    <w:rsid w:val="004E3BC1"/>
    <w:rsid w:val="004E3C52"/>
    <w:rsid w:val="004E3D77"/>
    <w:rsid w:val="004E4413"/>
    <w:rsid w:val="004E44D3"/>
    <w:rsid w:val="004E4B20"/>
    <w:rsid w:val="004E4C01"/>
    <w:rsid w:val="004E51CD"/>
    <w:rsid w:val="004E58C2"/>
    <w:rsid w:val="004E58E8"/>
    <w:rsid w:val="004E5FC5"/>
    <w:rsid w:val="004E627B"/>
    <w:rsid w:val="004E65CE"/>
    <w:rsid w:val="004E687C"/>
    <w:rsid w:val="004E6882"/>
    <w:rsid w:val="004E68F3"/>
    <w:rsid w:val="004E6A5C"/>
    <w:rsid w:val="004E6ACA"/>
    <w:rsid w:val="004E6EE1"/>
    <w:rsid w:val="004E7210"/>
    <w:rsid w:val="004E76EF"/>
    <w:rsid w:val="004E788D"/>
    <w:rsid w:val="004E7A91"/>
    <w:rsid w:val="004E7E28"/>
    <w:rsid w:val="004F0070"/>
    <w:rsid w:val="004F027D"/>
    <w:rsid w:val="004F07AF"/>
    <w:rsid w:val="004F080E"/>
    <w:rsid w:val="004F0A02"/>
    <w:rsid w:val="004F15A2"/>
    <w:rsid w:val="004F17E2"/>
    <w:rsid w:val="004F1A97"/>
    <w:rsid w:val="004F2483"/>
    <w:rsid w:val="004F2FA5"/>
    <w:rsid w:val="004F311D"/>
    <w:rsid w:val="004F3126"/>
    <w:rsid w:val="004F33B6"/>
    <w:rsid w:val="004F34AC"/>
    <w:rsid w:val="004F3825"/>
    <w:rsid w:val="004F3C2D"/>
    <w:rsid w:val="004F425C"/>
    <w:rsid w:val="004F477F"/>
    <w:rsid w:val="004F4859"/>
    <w:rsid w:val="004F4A54"/>
    <w:rsid w:val="004F50F0"/>
    <w:rsid w:val="004F57AD"/>
    <w:rsid w:val="004F5F5A"/>
    <w:rsid w:val="004F6133"/>
    <w:rsid w:val="004F6807"/>
    <w:rsid w:val="004F704A"/>
    <w:rsid w:val="004F7307"/>
    <w:rsid w:val="004F7339"/>
    <w:rsid w:val="004F78B0"/>
    <w:rsid w:val="004F7AFD"/>
    <w:rsid w:val="004F7B9F"/>
    <w:rsid w:val="004F7FD0"/>
    <w:rsid w:val="0050003A"/>
    <w:rsid w:val="00500119"/>
    <w:rsid w:val="00500187"/>
    <w:rsid w:val="00500257"/>
    <w:rsid w:val="005004D9"/>
    <w:rsid w:val="00500ABF"/>
    <w:rsid w:val="00500AF7"/>
    <w:rsid w:val="00501043"/>
    <w:rsid w:val="005017F1"/>
    <w:rsid w:val="00501B22"/>
    <w:rsid w:val="00501D35"/>
    <w:rsid w:val="00501F52"/>
    <w:rsid w:val="0050252B"/>
    <w:rsid w:val="00502B56"/>
    <w:rsid w:val="00502C3B"/>
    <w:rsid w:val="00502C57"/>
    <w:rsid w:val="00502EEE"/>
    <w:rsid w:val="005032BE"/>
    <w:rsid w:val="00503D6A"/>
    <w:rsid w:val="00503DCA"/>
    <w:rsid w:val="00504A60"/>
    <w:rsid w:val="00504B44"/>
    <w:rsid w:val="00505100"/>
    <w:rsid w:val="0050544E"/>
    <w:rsid w:val="00505CE0"/>
    <w:rsid w:val="00505E22"/>
    <w:rsid w:val="00505EAA"/>
    <w:rsid w:val="005062B0"/>
    <w:rsid w:val="005063B9"/>
    <w:rsid w:val="005065AB"/>
    <w:rsid w:val="00506971"/>
    <w:rsid w:val="00506E18"/>
    <w:rsid w:val="00506EA1"/>
    <w:rsid w:val="00507EE1"/>
    <w:rsid w:val="005103BF"/>
    <w:rsid w:val="00510429"/>
    <w:rsid w:val="00510C9A"/>
    <w:rsid w:val="00510E1B"/>
    <w:rsid w:val="00510EF9"/>
    <w:rsid w:val="005111CF"/>
    <w:rsid w:val="0051164E"/>
    <w:rsid w:val="0051175A"/>
    <w:rsid w:val="00512261"/>
    <w:rsid w:val="00512515"/>
    <w:rsid w:val="00512570"/>
    <w:rsid w:val="00512711"/>
    <w:rsid w:val="00512ABA"/>
    <w:rsid w:val="00512BC4"/>
    <w:rsid w:val="00512DF9"/>
    <w:rsid w:val="00512E2F"/>
    <w:rsid w:val="00512E8D"/>
    <w:rsid w:val="00512EF6"/>
    <w:rsid w:val="00512FC9"/>
    <w:rsid w:val="00513226"/>
    <w:rsid w:val="0051331C"/>
    <w:rsid w:val="00513340"/>
    <w:rsid w:val="0051372E"/>
    <w:rsid w:val="005140B1"/>
    <w:rsid w:val="0051412F"/>
    <w:rsid w:val="005142E1"/>
    <w:rsid w:val="00514E5F"/>
    <w:rsid w:val="0051545E"/>
    <w:rsid w:val="00516231"/>
    <w:rsid w:val="00516270"/>
    <w:rsid w:val="00516E4F"/>
    <w:rsid w:val="00516EC3"/>
    <w:rsid w:val="00516F16"/>
    <w:rsid w:val="00516F30"/>
    <w:rsid w:val="0051755B"/>
    <w:rsid w:val="00517670"/>
    <w:rsid w:val="00517F76"/>
    <w:rsid w:val="00520266"/>
    <w:rsid w:val="0052114C"/>
    <w:rsid w:val="0052124A"/>
    <w:rsid w:val="00521D55"/>
    <w:rsid w:val="00521F24"/>
    <w:rsid w:val="0052258A"/>
    <w:rsid w:val="0052263F"/>
    <w:rsid w:val="005229EB"/>
    <w:rsid w:val="00522BF6"/>
    <w:rsid w:val="00522C62"/>
    <w:rsid w:val="00522CEC"/>
    <w:rsid w:val="0052329F"/>
    <w:rsid w:val="00523426"/>
    <w:rsid w:val="00523631"/>
    <w:rsid w:val="00523868"/>
    <w:rsid w:val="005239AF"/>
    <w:rsid w:val="00524BA0"/>
    <w:rsid w:val="0052515F"/>
    <w:rsid w:val="0052518D"/>
    <w:rsid w:val="00525AFE"/>
    <w:rsid w:val="00525D82"/>
    <w:rsid w:val="00525DC6"/>
    <w:rsid w:val="00525F6E"/>
    <w:rsid w:val="00526183"/>
    <w:rsid w:val="00526911"/>
    <w:rsid w:val="0052757F"/>
    <w:rsid w:val="00527699"/>
    <w:rsid w:val="00527941"/>
    <w:rsid w:val="00527A34"/>
    <w:rsid w:val="00530677"/>
    <w:rsid w:val="00530BB8"/>
    <w:rsid w:val="00530BEE"/>
    <w:rsid w:val="00530F9A"/>
    <w:rsid w:val="005311D9"/>
    <w:rsid w:val="005317A8"/>
    <w:rsid w:val="00531828"/>
    <w:rsid w:val="0053202D"/>
    <w:rsid w:val="00532053"/>
    <w:rsid w:val="00533384"/>
    <w:rsid w:val="005334B8"/>
    <w:rsid w:val="005337F7"/>
    <w:rsid w:val="00533A80"/>
    <w:rsid w:val="005346EA"/>
    <w:rsid w:val="00535BDC"/>
    <w:rsid w:val="00535F2D"/>
    <w:rsid w:val="00536483"/>
    <w:rsid w:val="00537068"/>
    <w:rsid w:val="0053711A"/>
    <w:rsid w:val="005372CF"/>
    <w:rsid w:val="00537306"/>
    <w:rsid w:val="00537AEF"/>
    <w:rsid w:val="0054005D"/>
    <w:rsid w:val="00540142"/>
    <w:rsid w:val="0054028F"/>
    <w:rsid w:val="005402DE"/>
    <w:rsid w:val="00540B32"/>
    <w:rsid w:val="00540B66"/>
    <w:rsid w:val="005413D6"/>
    <w:rsid w:val="00542235"/>
    <w:rsid w:val="0054255A"/>
    <w:rsid w:val="00542BBE"/>
    <w:rsid w:val="00542CCC"/>
    <w:rsid w:val="00542E37"/>
    <w:rsid w:val="00542EF3"/>
    <w:rsid w:val="005430E0"/>
    <w:rsid w:val="005432FE"/>
    <w:rsid w:val="005433CA"/>
    <w:rsid w:val="005433E1"/>
    <w:rsid w:val="0054374E"/>
    <w:rsid w:val="00543C47"/>
    <w:rsid w:val="00543D85"/>
    <w:rsid w:val="00543E21"/>
    <w:rsid w:val="00543E5F"/>
    <w:rsid w:val="005441C7"/>
    <w:rsid w:val="005442EB"/>
    <w:rsid w:val="00544DE9"/>
    <w:rsid w:val="00545257"/>
    <w:rsid w:val="00545368"/>
    <w:rsid w:val="005453E9"/>
    <w:rsid w:val="00545815"/>
    <w:rsid w:val="00545A81"/>
    <w:rsid w:val="00545F32"/>
    <w:rsid w:val="0054620F"/>
    <w:rsid w:val="005463A3"/>
    <w:rsid w:val="005465C9"/>
    <w:rsid w:val="00546F07"/>
    <w:rsid w:val="00546F98"/>
    <w:rsid w:val="00546FF2"/>
    <w:rsid w:val="00547158"/>
    <w:rsid w:val="00547238"/>
    <w:rsid w:val="005475BC"/>
    <w:rsid w:val="00547B4D"/>
    <w:rsid w:val="00547D67"/>
    <w:rsid w:val="00547FD8"/>
    <w:rsid w:val="00550267"/>
    <w:rsid w:val="005502EA"/>
    <w:rsid w:val="005502F6"/>
    <w:rsid w:val="0055049A"/>
    <w:rsid w:val="005505C0"/>
    <w:rsid w:val="00550714"/>
    <w:rsid w:val="005508F3"/>
    <w:rsid w:val="005510EB"/>
    <w:rsid w:val="0055139F"/>
    <w:rsid w:val="005513E1"/>
    <w:rsid w:val="0055143E"/>
    <w:rsid w:val="00551890"/>
    <w:rsid w:val="00551A6A"/>
    <w:rsid w:val="005522E6"/>
    <w:rsid w:val="00552412"/>
    <w:rsid w:val="0055264A"/>
    <w:rsid w:val="005526DD"/>
    <w:rsid w:val="00552A11"/>
    <w:rsid w:val="00552A93"/>
    <w:rsid w:val="00552C5E"/>
    <w:rsid w:val="00552CB4"/>
    <w:rsid w:val="0055309C"/>
    <w:rsid w:val="00553454"/>
    <w:rsid w:val="00553E27"/>
    <w:rsid w:val="00554654"/>
    <w:rsid w:val="005546D2"/>
    <w:rsid w:val="00554D24"/>
    <w:rsid w:val="00554D3B"/>
    <w:rsid w:val="00555570"/>
    <w:rsid w:val="0055569D"/>
    <w:rsid w:val="005557B0"/>
    <w:rsid w:val="00555830"/>
    <w:rsid w:val="00555B8E"/>
    <w:rsid w:val="00555D24"/>
    <w:rsid w:val="005567A8"/>
    <w:rsid w:val="005569F4"/>
    <w:rsid w:val="00556AC7"/>
    <w:rsid w:val="00556AFA"/>
    <w:rsid w:val="00556D78"/>
    <w:rsid w:val="00556E3A"/>
    <w:rsid w:val="00557358"/>
    <w:rsid w:val="005573EE"/>
    <w:rsid w:val="00557453"/>
    <w:rsid w:val="005578D9"/>
    <w:rsid w:val="00557C61"/>
    <w:rsid w:val="00557D2A"/>
    <w:rsid w:val="00557F21"/>
    <w:rsid w:val="00560733"/>
    <w:rsid w:val="00560EF2"/>
    <w:rsid w:val="005614C1"/>
    <w:rsid w:val="00561B5C"/>
    <w:rsid w:val="005621FE"/>
    <w:rsid w:val="0056277E"/>
    <w:rsid w:val="00562E97"/>
    <w:rsid w:val="005632C7"/>
    <w:rsid w:val="005635B7"/>
    <w:rsid w:val="00563722"/>
    <w:rsid w:val="00563880"/>
    <w:rsid w:val="00563964"/>
    <w:rsid w:val="00563A2A"/>
    <w:rsid w:val="00563AF8"/>
    <w:rsid w:val="00563E0F"/>
    <w:rsid w:val="00563FDD"/>
    <w:rsid w:val="00564290"/>
    <w:rsid w:val="0056437B"/>
    <w:rsid w:val="005650E1"/>
    <w:rsid w:val="0056530B"/>
    <w:rsid w:val="00565435"/>
    <w:rsid w:val="005654DF"/>
    <w:rsid w:val="0056564A"/>
    <w:rsid w:val="00565651"/>
    <w:rsid w:val="00566585"/>
    <w:rsid w:val="00566AE0"/>
    <w:rsid w:val="005670F0"/>
    <w:rsid w:val="005673E8"/>
    <w:rsid w:val="00567AC0"/>
    <w:rsid w:val="00567B35"/>
    <w:rsid w:val="00567D1E"/>
    <w:rsid w:val="00570141"/>
    <w:rsid w:val="005705BE"/>
    <w:rsid w:val="0057084D"/>
    <w:rsid w:val="00570D68"/>
    <w:rsid w:val="00570E7E"/>
    <w:rsid w:val="00570E8F"/>
    <w:rsid w:val="00571045"/>
    <w:rsid w:val="00571416"/>
    <w:rsid w:val="005714A9"/>
    <w:rsid w:val="0057160B"/>
    <w:rsid w:val="00571FAF"/>
    <w:rsid w:val="005725ED"/>
    <w:rsid w:val="00572AD3"/>
    <w:rsid w:val="00572BB0"/>
    <w:rsid w:val="00572C15"/>
    <w:rsid w:val="00572D4A"/>
    <w:rsid w:val="00572D4E"/>
    <w:rsid w:val="00573136"/>
    <w:rsid w:val="0057365E"/>
    <w:rsid w:val="00573925"/>
    <w:rsid w:val="005743E9"/>
    <w:rsid w:val="005746F9"/>
    <w:rsid w:val="005747A5"/>
    <w:rsid w:val="00574B34"/>
    <w:rsid w:val="00575463"/>
    <w:rsid w:val="00575585"/>
    <w:rsid w:val="005758D4"/>
    <w:rsid w:val="00575934"/>
    <w:rsid w:val="00575DE9"/>
    <w:rsid w:val="00576397"/>
    <w:rsid w:val="00576620"/>
    <w:rsid w:val="0057686F"/>
    <w:rsid w:val="00576987"/>
    <w:rsid w:val="00576D6A"/>
    <w:rsid w:val="00576F94"/>
    <w:rsid w:val="005776AC"/>
    <w:rsid w:val="005777CD"/>
    <w:rsid w:val="005803A0"/>
    <w:rsid w:val="00580602"/>
    <w:rsid w:val="00580718"/>
    <w:rsid w:val="005809F7"/>
    <w:rsid w:val="00580FD3"/>
    <w:rsid w:val="00581AC7"/>
    <w:rsid w:val="00581DFC"/>
    <w:rsid w:val="0058268A"/>
    <w:rsid w:val="0058327A"/>
    <w:rsid w:val="00583610"/>
    <w:rsid w:val="00583D61"/>
    <w:rsid w:val="00584668"/>
    <w:rsid w:val="0058481E"/>
    <w:rsid w:val="005849E4"/>
    <w:rsid w:val="00584C5C"/>
    <w:rsid w:val="00584E68"/>
    <w:rsid w:val="005856DE"/>
    <w:rsid w:val="00585AAA"/>
    <w:rsid w:val="00585BAB"/>
    <w:rsid w:val="00585D9F"/>
    <w:rsid w:val="00585FD8"/>
    <w:rsid w:val="005864B6"/>
    <w:rsid w:val="00586AF1"/>
    <w:rsid w:val="00586C61"/>
    <w:rsid w:val="00586D32"/>
    <w:rsid w:val="005871F6"/>
    <w:rsid w:val="0058728F"/>
    <w:rsid w:val="00587CE3"/>
    <w:rsid w:val="005901F9"/>
    <w:rsid w:val="00590B76"/>
    <w:rsid w:val="00590B8F"/>
    <w:rsid w:val="00590BE0"/>
    <w:rsid w:val="00590F93"/>
    <w:rsid w:val="00591305"/>
    <w:rsid w:val="00591617"/>
    <w:rsid w:val="00591D2C"/>
    <w:rsid w:val="00591F84"/>
    <w:rsid w:val="00592327"/>
    <w:rsid w:val="00592447"/>
    <w:rsid w:val="00592BF6"/>
    <w:rsid w:val="00592DD5"/>
    <w:rsid w:val="00592DE3"/>
    <w:rsid w:val="00592E20"/>
    <w:rsid w:val="00593238"/>
    <w:rsid w:val="00593B9F"/>
    <w:rsid w:val="00594580"/>
    <w:rsid w:val="00594BF8"/>
    <w:rsid w:val="00595154"/>
    <w:rsid w:val="0059593D"/>
    <w:rsid w:val="0059594E"/>
    <w:rsid w:val="005966E1"/>
    <w:rsid w:val="00596ADD"/>
    <w:rsid w:val="00596BAF"/>
    <w:rsid w:val="00596C18"/>
    <w:rsid w:val="00596CCD"/>
    <w:rsid w:val="00596E51"/>
    <w:rsid w:val="00596E89"/>
    <w:rsid w:val="00596F39"/>
    <w:rsid w:val="005973CE"/>
    <w:rsid w:val="00597767"/>
    <w:rsid w:val="00597958"/>
    <w:rsid w:val="005A0064"/>
    <w:rsid w:val="005A0A91"/>
    <w:rsid w:val="005A0D21"/>
    <w:rsid w:val="005A10A0"/>
    <w:rsid w:val="005A1141"/>
    <w:rsid w:val="005A1532"/>
    <w:rsid w:val="005A16A0"/>
    <w:rsid w:val="005A1826"/>
    <w:rsid w:val="005A1B30"/>
    <w:rsid w:val="005A1F37"/>
    <w:rsid w:val="005A2644"/>
    <w:rsid w:val="005A29A5"/>
    <w:rsid w:val="005A29D7"/>
    <w:rsid w:val="005A2EBF"/>
    <w:rsid w:val="005A33CE"/>
    <w:rsid w:val="005A355B"/>
    <w:rsid w:val="005A3717"/>
    <w:rsid w:val="005A5124"/>
    <w:rsid w:val="005A515B"/>
    <w:rsid w:val="005A51A6"/>
    <w:rsid w:val="005A5237"/>
    <w:rsid w:val="005A53DB"/>
    <w:rsid w:val="005A5DA2"/>
    <w:rsid w:val="005A5E21"/>
    <w:rsid w:val="005A6180"/>
    <w:rsid w:val="005A61F3"/>
    <w:rsid w:val="005A6B05"/>
    <w:rsid w:val="005A6B45"/>
    <w:rsid w:val="005A6B51"/>
    <w:rsid w:val="005A6CBE"/>
    <w:rsid w:val="005A6F0B"/>
    <w:rsid w:val="005A6F4D"/>
    <w:rsid w:val="005A7568"/>
    <w:rsid w:val="005A7FEB"/>
    <w:rsid w:val="005B0113"/>
    <w:rsid w:val="005B0329"/>
    <w:rsid w:val="005B0925"/>
    <w:rsid w:val="005B092D"/>
    <w:rsid w:val="005B0979"/>
    <w:rsid w:val="005B16B5"/>
    <w:rsid w:val="005B1769"/>
    <w:rsid w:val="005B2323"/>
    <w:rsid w:val="005B2605"/>
    <w:rsid w:val="005B2620"/>
    <w:rsid w:val="005B2663"/>
    <w:rsid w:val="005B27F6"/>
    <w:rsid w:val="005B2E08"/>
    <w:rsid w:val="005B315C"/>
    <w:rsid w:val="005B34FE"/>
    <w:rsid w:val="005B35C8"/>
    <w:rsid w:val="005B36FF"/>
    <w:rsid w:val="005B466B"/>
    <w:rsid w:val="005B4683"/>
    <w:rsid w:val="005B4BE0"/>
    <w:rsid w:val="005B4C04"/>
    <w:rsid w:val="005B4C24"/>
    <w:rsid w:val="005B4D34"/>
    <w:rsid w:val="005B5871"/>
    <w:rsid w:val="005B5BF6"/>
    <w:rsid w:val="005B60D4"/>
    <w:rsid w:val="005B61D9"/>
    <w:rsid w:val="005B632B"/>
    <w:rsid w:val="005B6513"/>
    <w:rsid w:val="005B6AEE"/>
    <w:rsid w:val="005B6B43"/>
    <w:rsid w:val="005B71F6"/>
    <w:rsid w:val="005B744A"/>
    <w:rsid w:val="005B76BD"/>
    <w:rsid w:val="005C013B"/>
    <w:rsid w:val="005C013D"/>
    <w:rsid w:val="005C03C9"/>
    <w:rsid w:val="005C0C4A"/>
    <w:rsid w:val="005C1376"/>
    <w:rsid w:val="005C1427"/>
    <w:rsid w:val="005C1950"/>
    <w:rsid w:val="005C21B4"/>
    <w:rsid w:val="005C24C6"/>
    <w:rsid w:val="005C2701"/>
    <w:rsid w:val="005C278F"/>
    <w:rsid w:val="005C30D7"/>
    <w:rsid w:val="005C382C"/>
    <w:rsid w:val="005C39F8"/>
    <w:rsid w:val="005C3C09"/>
    <w:rsid w:val="005C3E81"/>
    <w:rsid w:val="005C3F74"/>
    <w:rsid w:val="005C410F"/>
    <w:rsid w:val="005C43FE"/>
    <w:rsid w:val="005C4618"/>
    <w:rsid w:val="005C4C5F"/>
    <w:rsid w:val="005C5197"/>
    <w:rsid w:val="005C5423"/>
    <w:rsid w:val="005C55B6"/>
    <w:rsid w:val="005C5ED6"/>
    <w:rsid w:val="005C5F60"/>
    <w:rsid w:val="005C61B1"/>
    <w:rsid w:val="005C638C"/>
    <w:rsid w:val="005C6C41"/>
    <w:rsid w:val="005C73AF"/>
    <w:rsid w:val="005C7574"/>
    <w:rsid w:val="005C7580"/>
    <w:rsid w:val="005C761A"/>
    <w:rsid w:val="005C7A16"/>
    <w:rsid w:val="005D041B"/>
    <w:rsid w:val="005D04E6"/>
    <w:rsid w:val="005D0E79"/>
    <w:rsid w:val="005D1393"/>
    <w:rsid w:val="005D1A32"/>
    <w:rsid w:val="005D1AAD"/>
    <w:rsid w:val="005D1E4C"/>
    <w:rsid w:val="005D2200"/>
    <w:rsid w:val="005D2530"/>
    <w:rsid w:val="005D2807"/>
    <w:rsid w:val="005D29EF"/>
    <w:rsid w:val="005D2DC1"/>
    <w:rsid w:val="005D3379"/>
    <w:rsid w:val="005D3523"/>
    <w:rsid w:val="005D37D4"/>
    <w:rsid w:val="005D3A18"/>
    <w:rsid w:val="005D3B82"/>
    <w:rsid w:val="005D406E"/>
    <w:rsid w:val="005D4385"/>
    <w:rsid w:val="005D4999"/>
    <w:rsid w:val="005D4E76"/>
    <w:rsid w:val="005D4E9B"/>
    <w:rsid w:val="005D52EB"/>
    <w:rsid w:val="005D5499"/>
    <w:rsid w:val="005D5731"/>
    <w:rsid w:val="005D5802"/>
    <w:rsid w:val="005D5ADB"/>
    <w:rsid w:val="005D5ECF"/>
    <w:rsid w:val="005D5F32"/>
    <w:rsid w:val="005D6795"/>
    <w:rsid w:val="005D6AD4"/>
    <w:rsid w:val="005D759A"/>
    <w:rsid w:val="005D7872"/>
    <w:rsid w:val="005E0184"/>
    <w:rsid w:val="005E01BE"/>
    <w:rsid w:val="005E01DC"/>
    <w:rsid w:val="005E02B7"/>
    <w:rsid w:val="005E0841"/>
    <w:rsid w:val="005E08B4"/>
    <w:rsid w:val="005E08BA"/>
    <w:rsid w:val="005E1096"/>
    <w:rsid w:val="005E12CB"/>
    <w:rsid w:val="005E14E8"/>
    <w:rsid w:val="005E14F4"/>
    <w:rsid w:val="005E1535"/>
    <w:rsid w:val="005E1FD1"/>
    <w:rsid w:val="005E2888"/>
    <w:rsid w:val="005E2980"/>
    <w:rsid w:val="005E2BC7"/>
    <w:rsid w:val="005E2C5B"/>
    <w:rsid w:val="005E2DE3"/>
    <w:rsid w:val="005E2EAA"/>
    <w:rsid w:val="005E30C8"/>
    <w:rsid w:val="005E32B0"/>
    <w:rsid w:val="005E3582"/>
    <w:rsid w:val="005E371C"/>
    <w:rsid w:val="005E3D41"/>
    <w:rsid w:val="005E4444"/>
    <w:rsid w:val="005E4CA1"/>
    <w:rsid w:val="005E4E33"/>
    <w:rsid w:val="005E50B2"/>
    <w:rsid w:val="005E5260"/>
    <w:rsid w:val="005E53D5"/>
    <w:rsid w:val="005E53E6"/>
    <w:rsid w:val="005E546A"/>
    <w:rsid w:val="005E5560"/>
    <w:rsid w:val="005E5906"/>
    <w:rsid w:val="005E76B5"/>
    <w:rsid w:val="005E78AE"/>
    <w:rsid w:val="005E7A5C"/>
    <w:rsid w:val="005E7C41"/>
    <w:rsid w:val="005F002B"/>
    <w:rsid w:val="005F00F0"/>
    <w:rsid w:val="005F0A3C"/>
    <w:rsid w:val="005F0D1C"/>
    <w:rsid w:val="005F0E1F"/>
    <w:rsid w:val="005F1862"/>
    <w:rsid w:val="005F20E5"/>
    <w:rsid w:val="005F229F"/>
    <w:rsid w:val="005F25B6"/>
    <w:rsid w:val="005F3226"/>
    <w:rsid w:val="005F3A83"/>
    <w:rsid w:val="005F42AD"/>
    <w:rsid w:val="005F444E"/>
    <w:rsid w:val="005F4CBD"/>
    <w:rsid w:val="005F5398"/>
    <w:rsid w:val="005F543E"/>
    <w:rsid w:val="005F5AE6"/>
    <w:rsid w:val="005F5CDB"/>
    <w:rsid w:val="005F5DE3"/>
    <w:rsid w:val="005F5EBD"/>
    <w:rsid w:val="005F662B"/>
    <w:rsid w:val="005F6ADE"/>
    <w:rsid w:val="005F7165"/>
    <w:rsid w:val="005F7205"/>
    <w:rsid w:val="005F7541"/>
    <w:rsid w:val="005F774C"/>
    <w:rsid w:val="00600334"/>
    <w:rsid w:val="0060059E"/>
    <w:rsid w:val="00600BFC"/>
    <w:rsid w:val="00600F49"/>
    <w:rsid w:val="00601105"/>
    <w:rsid w:val="00601A6E"/>
    <w:rsid w:val="00601E1C"/>
    <w:rsid w:val="00602306"/>
    <w:rsid w:val="00602483"/>
    <w:rsid w:val="00602574"/>
    <w:rsid w:val="00602D59"/>
    <w:rsid w:val="006033D1"/>
    <w:rsid w:val="00603660"/>
    <w:rsid w:val="00603C40"/>
    <w:rsid w:val="00603D7A"/>
    <w:rsid w:val="00603DDF"/>
    <w:rsid w:val="00604395"/>
    <w:rsid w:val="00604AD5"/>
    <w:rsid w:val="006051C2"/>
    <w:rsid w:val="00605498"/>
    <w:rsid w:val="00605506"/>
    <w:rsid w:val="0060585A"/>
    <w:rsid w:val="00605B8C"/>
    <w:rsid w:val="00605D21"/>
    <w:rsid w:val="00605FDE"/>
    <w:rsid w:val="00606058"/>
    <w:rsid w:val="0060657B"/>
    <w:rsid w:val="006065BE"/>
    <w:rsid w:val="0060677B"/>
    <w:rsid w:val="00606D61"/>
    <w:rsid w:val="00607556"/>
    <w:rsid w:val="0060772A"/>
    <w:rsid w:val="00610196"/>
    <w:rsid w:val="006102B5"/>
    <w:rsid w:val="006109BA"/>
    <w:rsid w:val="006119F4"/>
    <w:rsid w:val="00611A74"/>
    <w:rsid w:val="00612000"/>
    <w:rsid w:val="006120C1"/>
    <w:rsid w:val="00612266"/>
    <w:rsid w:val="00612350"/>
    <w:rsid w:val="00612414"/>
    <w:rsid w:val="00612527"/>
    <w:rsid w:val="0061285A"/>
    <w:rsid w:val="006128E9"/>
    <w:rsid w:val="00613277"/>
    <w:rsid w:val="006132BF"/>
    <w:rsid w:val="006135CE"/>
    <w:rsid w:val="006142B1"/>
    <w:rsid w:val="006142E6"/>
    <w:rsid w:val="0061453A"/>
    <w:rsid w:val="00614DD3"/>
    <w:rsid w:val="00615047"/>
    <w:rsid w:val="0061521A"/>
    <w:rsid w:val="006155BE"/>
    <w:rsid w:val="0061597F"/>
    <w:rsid w:val="006159C6"/>
    <w:rsid w:val="006164C6"/>
    <w:rsid w:val="0061687D"/>
    <w:rsid w:val="00616892"/>
    <w:rsid w:val="006168E7"/>
    <w:rsid w:val="0061719D"/>
    <w:rsid w:val="0061771D"/>
    <w:rsid w:val="0061789E"/>
    <w:rsid w:val="006179BF"/>
    <w:rsid w:val="0062015E"/>
    <w:rsid w:val="00620A4F"/>
    <w:rsid w:val="00620AE4"/>
    <w:rsid w:val="006214D2"/>
    <w:rsid w:val="00621565"/>
    <w:rsid w:val="00622021"/>
    <w:rsid w:val="00622086"/>
    <w:rsid w:val="006221C4"/>
    <w:rsid w:val="00622373"/>
    <w:rsid w:val="00622F5E"/>
    <w:rsid w:val="00623FFB"/>
    <w:rsid w:val="006241C8"/>
    <w:rsid w:val="00624C78"/>
    <w:rsid w:val="00624CAC"/>
    <w:rsid w:val="00624D11"/>
    <w:rsid w:val="00624D60"/>
    <w:rsid w:val="00624FBC"/>
    <w:rsid w:val="006250DD"/>
    <w:rsid w:val="00625CE8"/>
    <w:rsid w:val="00625DC8"/>
    <w:rsid w:val="00625DF3"/>
    <w:rsid w:val="00625F7B"/>
    <w:rsid w:val="006262D2"/>
    <w:rsid w:val="0062668C"/>
    <w:rsid w:val="006266BF"/>
    <w:rsid w:val="00626953"/>
    <w:rsid w:val="006269E4"/>
    <w:rsid w:val="00627071"/>
    <w:rsid w:val="006272D0"/>
    <w:rsid w:val="00627A98"/>
    <w:rsid w:val="0063043A"/>
    <w:rsid w:val="00630534"/>
    <w:rsid w:val="006308A7"/>
    <w:rsid w:val="00630FA9"/>
    <w:rsid w:val="006310E3"/>
    <w:rsid w:val="006311DC"/>
    <w:rsid w:val="00631253"/>
    <w:rsid w:val="0063142F"/>
    <w:rsid w:val="0063170D"/>
    <w:rsid w:val="00631886"/>
    <w:rsid w:val="00631E77"/>
    <w:rsid w:val="00632021"/>
    <w:rsid w:val="0063210E"/>
    <w:rsid w:val="00632155"/>
    <w:rsid w:val="0063234E"/>
    <w:rsid w:val="00632883"/>
    <w:rsid w:val="00632A4F"/>
    <w:rsid w:val="00632DA0"/>
    <w:rsid w:val="00632E27"/>
    <w:rsid w:val="0063360A"/>
    <w:rsid w:val="00634195"/>
    <w:rsid w:val="00634307"/>
    <w:rsid w:val="006344AD"/>
    <w:rsid w:val="006348F6"/>
    <w:rsid w:val="00634A3D"/>
    <w:rsid w:val="00634B30"/>
    <w:rsid w:val="00635883"/>
    <w:rsid w:val="00635903"/>
    <w:rsid w:val="006359F7"/>
    <w:rsid w:val="00636116"/>
    <w:rsid w:val="00636271"/>
    <w:rsid w:val="0063663E"/>
    <w:rsid w:val="00637D61"/>
    <w:rsid w:val="00637DBF"/>
    <w:rsid w:val="00637E3F"/>
    <w:rsid w:val="00637ED7"/>
    <w:rsid w:val="00637FAD"/>
    <w:rsid w:val="00637FD1"/>
    <w:rsid w:val="00640C52"/>
    <w:rsid w:val="00640CA8"/>
    <w:rsid w:val="00640DAD"/>
    <w:rsid w:val="00640EA1"/>
    <w:rsid w:val="00640F44"/>
    <w:rsid w:val="006410D5"/>
    <w:rsid w:val="00641118"/>
    <w:rsid w:val="006411F6"/>
    <w:rsid w:val="00641238"/>
    <w:rsid w:val="006415F3"/>
    <w:rsid w:val="00641659"/>
    <w:rsid w:val="006417B1"/>
    <w:rsid w:val="00641B20"/>
    <w:rsid w:val="00641B7D"/>
    <w:rsid w:val="00642018"/>
    <w:rsid w:val="006421B0"/>
    <w:rsid w:val="00642376"/>
    <w:rsid w:val="00642813"/>
    <w:rsid w:val="006428D9"/>
    <w:rsid w:val="00642907"/>
    <w:rsid w:val="0064291D"/>
    <w:rsid w:val="00642A85"/>
    <w:rsid w:val="00642B66"/>
    <w:rsid w:val="00642CB8"/>
    <w:rsid w:val="00642DA7"/>
    <w:rsid w:val="006431F6"/>
    <w:rsid w:val="00643220"/>
    <w:rsid w:val="0064324F"/>
    <w:rsid w:val="006433E5"/>
    <w:rsid w:val="006433FA"/>
    <w:rsid w:val="00643637"/>
    <w:rsid w:val="00643786"/>
    <w:rsid w:val="006438D3"/>
    <w:rsid w:val="0064471D"/>
    <w:rsid w:val="006447B1"/>
    <w:rsid w:val="0064500B"/>
    <w:rsid w:val="0064502E"/>
    <w:rsid w:val="00645177"/>
    <w:rsid w:val="00645243"/>
    <w:rsid w:val="0064539B"/>
    <w:rsid w:val="00645536"/>
    <w:rsid w:val="00645CBD"/>
    <w:rsid w:val="00646152"/>
    <w:rsid w:val="006461FC"/>
    <w:rsid w:val="006467DD"/>
    <w:rsid w:val="00646D2E"/>
    <w:rsid w:val="00646E92"/>
    <w:rsid w:val="00647323"/>
    <w:rsid w:val="00647CF0"/>
    <w:rsid w:val="00647E8C"/>
    <w:rsid w:val="006500EB"/>
    <w:rsid w:val="00650848"/>
    <w:rsid w:val="00650BA5"/>
    <w:rsid w:val="0065159B"/>
    <w:rsid w:val="006518E6"/>
    <w:rsid w:val="00651A1B"/>
    <w:rsid w:val="00651BFF"/>
    <w:rsid w:val="00651D8F"/>
    <w:rsid w:val="00651FD0"/>
    <w:rsid w:val="0065200F"/>
    <w:rsid w:val="0065297C"/>
    <w:rsid w:val="00652ABF"/>
    <w:rsid w:val="00652B08"/>
    <w:rsid w:val="00652FD4"/>
    <w:rsid w:val="00652FFE"/>
    <w:rsid w:val="0065337D"/>
    <w:rsid w:val="006533EE"/>
    <w:rsid w:val="006535BD"/>
    <w:rsid w:val="00653C8B"/>
    <w:rsid w:val="00653CB8"/>
    <w:rsid w:val="00653D4D"/>
    <w:rsid w:val="006540B0"/>
    <w:rsid w:val="0065414B"/>
    <w:rsid w:val="006541A7"/>
    <w:rsid w:val="00654349"/>
    <w:rsid w:val="00654B3F"/>
    <w:rsid w:val="006551F9"/>
    <w:rsid w:val="006555F5"/>
    <w:rsid w:val="00655693"/>
    <w:rsid w:val="00655E78"/>
    <w:rsid w:val="006562D8"/>
    <w:rsid w:val="00656E0F"/>
    <w:rsid w:val="0065741B"/>
    <w:rsid w:val="006575FC"/>
    <w:rsid w:val="00657CD6"/>
    <w:rsid w:val="00657EBB"/>
    <w:rsid w:val="00660678"/>
    <w:rsid w:val="00660836"/>
    <w:rsid w:val="006608C5"/>
    <w:rsid w:val="00660D58"/>
    <w:rsid w:val="00660FB1"/>
    <w:rsid w:val="00660FDB"/>
    <w:rsid w:val="006611F5"/>
    <w:rsid w:val="00661564"/>
    <w:rsid w:val="006615E9"/>
    <w:rsid w:val="00661B39"/>
    <w:rsid w:val="00661D89"/>
    <w:rsid w:val="00661FF7"/>
    <w:rsid w:val="00662447"/>
    <w:rsid w:val="0066257D"/>
    <w:rsid w:val="006626F2"/>
    <w:rsid w:val="00662759"/>
    <w:rsid w:val="006629B6"/>
    <w:rsid w:val="00662C2B"/>
    <w:rsid w:val="00662DCB"/>
    <w:rsid w:val="0066350F"/>
    <w:rsid w:val="006637CC"/>
    <w:rsid w:val="00663D6D"/>
    <w:rsid w:val="00663FF1"/>
    <w:rsid w:val="00663FF7"/>
    <w:rsid w:val="0066411A"/>
    <w:rsid w:val="006641B4"/>
    <w:rsid w:val="006643A3"/>
    <w:rsid w:val="00664921"/>
    <w:rsid w:val="00664AE7"/>
    <w:rsid w:val="00664ECB"/>
    <w:rsid w:val="00664EF8"/>
    <w:rsid w:val="00664F39"/>
    <w:rsid w:val="00665160"/>
    <w:rsid w:val="00665703"/>
    <w:rsid w:val="0066583A"/>
    <w:rsid w:val="00665EC3"/>
    <w:rsid w:val="00665F1B"/>
    <w:rsid w:val="00666272"/>
    <w:rsid w:val="00666392"/>
    <w:rsid w:val="006665CA"/>
    <w:rsid w:val="00666A4A"/>
    <w:rsid w:val="00666B2F"/>
    <w:rsid w:val="0066713B"/>
    <w:rsid w:val="0066787E"/>
    <w:rsid w:val="006702ED"/>
    <w:rsid w:val="006702F4"/>
    <w:rsid w:val="006704DB"/>
    <w:rsid w:val="006705F8"/>
    <w:rsid w:val="0067067D"/>
    <w:rsid w:val="00670CAA"/>
    <w:rsid w:val="00670EB8"/>
    <w:rsid w:val="0067128C"/>
    <w:rsid w:val="006712D0"/>
    <w:rsid w:val="00671308"/>
    <w:rsid w:val="0067182C"/>
    <w:rsid w:val="00671C3C"/>
    <w:rsid w:val="00671C43"/>
    <w:rsid w:val="00671F84"/>
    <w:rsid w:val="0067207A"/>
    <w:rsid w:val="0067215C"/>
    <w:rsid w:val="006722B9"/>
    <w:rsid w:val="006722F1"/>
    <w:rsid w:val="00672562"/>
    <w:rsid w:val="00672694"/>
    <w:rsid w:val="00672709"/>
    <w:rsid w:val="0067288E"/>
    <w:rsid w:val="00672DA5"/>
    <w:rsid w:val="00672E6D"/>
    <w:rsid w:val="006733B0"/>
    <w:rsid w:val="00673564"/>
    <w:rsid w:val="006737D4"/>
    <w:rsid w:val="006737DB"/>
    <w:rsid w:val="00673911"/>
    <w:rsid w:val="006739B2"/>
    <w:rsid w:val="00673A32"/>
    <w:rsid w:val="00673B29"/>
    <w:rsid w:val="006742FD"/>
    <w:rsid w:val="006747F5"/>
    <w:rsid w:val="0067498B"/>
    <w:rsid w:val="00674A99"/>
    <w:rsid w:val="0067539F"/>
    <w:rsid w:val="006756E5"/>
    <w:rsid w:val="006758AD"/>
    <w:rsid w:val="006759BA"/>
    <w:rsid w:val="00675B46"/>
    <w:rsid w:val="00675C5E"/>
    <w:rsid w:val="00675D08"/>
    <w:rsid w:val="00675E85"/>
    <w:rsid w:val="006761A4"/>
    <w:rsid w:val="006765A4"/>
    <w:rsid w:val="00676958"/>
    <w:rsid w:val="00676C3E"/>
    <w:rsid w:val="00676E76"/>
    <w:rsid w:val="006770AE"/>
    <w:rsid w:val="00677380"/>
    <w:rsid w:val="00677637"/>
    <w:rsid w:val="00677942"/>
    <w:rsid w:val="00677D2C"/>
    <w:rsid w:val="00680242"/>
    <w:rsid w:val="00680471"/>
    <w:rsid w:val="006804BB"/>
    <w:rsid w:val="00680926"/>
    <w:rsid w:val="00680EF1"/>
    <w:rsid w:val="00681102"/>
    <w:rsid w:val="00681111"/>
    <w:rsid w:val="00681198"/>
    <w:rsid w:val="00681377"/>
    <w:rsid w:val="0068197F"/>
    <w:rsid w:val="006819D4"/>
    <w:rsid w:val="00681AF9"/>
    <w:rsid w:val="006822E1"/>
    <w:rsid w:val="00682A5B"/>
    <w:rsid w:val="0068376E"/>
    <w:rsid w:val="00683854"/>
    <w:rsid w:val="00683B76"/>
    <w:rsid w:val="006846D6"/>
    <w:rsid w:val="006849FC"/>
    <w:rsid w:val="00685118"/>
    <w:rsid w:val="0068529A"/>
    <w:rsid w:val="00685C19"/>
    <w:rsid w:val="00685C61"/>
    <w:rsid w:val="00685D5B"/>
    <w:rsid w:val="00685E70"/>
    <w:rsid w:val="006863C6"/>
    <w:rsid w:val="00686757"/>
    <w:rsid w:val="006867D7"/>
    <w:rsid w:val="00686D5B"/>
    <w:rsid w:val="00687478"/>
    <w:rsid w:val="0068761F"/>
    <w:rsid w:val="00687831"/>
    <w:rsid w:val="006901F4"/>
    <w:rsid w:val="006909F1"/>
    <w:rsid w:val="006912C0"/>
    <w:rsid w:val="006912FE"/>
    <w:rsid w:val="00691943"/>
    <w:rsid w:val="00691D64"/>
    <w:rsid w:val="00691E27"/>
    <w:rsid w:val="00691E7C"/>
    <w:rsid w:val="006923E0"/>
    <w:rsid w:val="00692483"/>
    <w:rsid w:val="00692C94"/>
    <w:rsid w:val="00692D3F"/>
    <w:rsid w:val="00692EE3"/>
    <w:rsid w:val="00692EF4"/>
    <w:rsid w:val="00692F69"/>
    <w:rsid w:val="00693A2C"/>
    <w:rsid w:val="00693BAB"/>
    <w:rsid w:val="00693ED2"/>
    <w:rsid w:val="006942FD"/>
    <w:rsid w:val="006948CE"/>
    <w:rsid w:val="00694CF0"/>
    <w:rsid w:val="00695026"/>
    <w:rsid w:val="00695724"/>
    <w:rsid w:val="0069574F"/>
    <w:rsid w:val="00695973"/>
    <w:rsid w:val="0069607A"/>
    <w:rsid w:val="006960B9"/>
    <w:rsid w:val="006966E7"/>
    <w:rsid w:val="00696B83"/>
    <w:rsid w:val="00696EDF"/>
    <w:rsid w:val="00696F13"/>
    <w:rsid w:val="00696F7C"/>
    <w:rsid w:val="006972AF"/>
    <w:rsid w:val="0069774F"/>
    <w:rsid w:val="0069777B"/>
    <w:rsid w:val="00697788"/>
    <w:rsid w:val="0069789F"/>
    <w:rsid w:val="00697B01"/>
    <w:rsid w:val="00697D63"/>
    <w:rsid w:val="00697D6B"/>
    <w:rsid w:val="006A021A"/>
    <w:rsid w:val="006A02DD"/>
    <w:rsid w:val="006A0850"/>
    <w:rsid w:val="006A0D1C"/>
    <w:rsid w:val="006A12E3"/>
    <w:rsid w:val="006A143A"/>
    <w:rsid w:val="006A1D36"/>
    <w:rsid w:val="006A25E3"/>
    <w:rsid w:val="006A2609"/>
    <w:rsid w:val="006A2845"/>
    <w:rsid w:val="006A32D8"/>
    <w:rsid w:val="006A35E0"/>
    <w:rsid w:val="006A3DC1"/>
    <w:rsid w:val="006A408E"/>
    <w:rsid w:val="006A4169"/>
    <w:rsid w:val="006A4613"/>
    <w:rsid w:val="006A4BEC"/>
    <w:rsid w:val="006A4D20"/>
    <w:rsid w:val="006A4D2A"/>
    <w:rsid w:val="006A518B"/>
    <w:rsid w:val="006A553E"/>
    <w:rsid w:val="006A5E45"/>
    <w:rsid w:val="006A64D9"/>
    <w:rsid w:val="006A6BBA"/>
    <w:rsid w:val="006A6C6A"/>
    <w:rsid w:val="006A6DC7"/>
    <w:rsid w:val="006A7468"/>
    <w:rsid w:val="006A7479"/>
    <w:rsid w:val="006A79A0"/>
    <w:rsid w:val="006A7BC4"/>
    <w:rsid w:val="006A7F63"/>
    <w:rsid w:val="006B02FF"/>
    <w:rsid w:val="006B0420"/>
    <w:rsid w:val="006B0AE3"/>
    <w:rsid w:val="006B0F0F"/>
    <w:rsid w:val="006B1015"/>
    <w:rsid w:val="006B1E7A"/>
    <w:rsid w:val="006B2D56"/>
    <w:rsid w:val="006B3480"/>
    <w:rsid w:val="006B35DD"/>
    <w:rsid w:val="006B37A4"/>
    <w:rsid w:val="006B4293"/>
    <w:rsid w:val="006B4403"/>
    <w:rsid w:val="006B45FA"/>
    <w:rsid w:val="006B48C5"/>
    <w:rsid w:val="006B48D1"/>
    <w:rsid w:val="006B5314"/>
    <w:rsid w:val="006B5863"/>
    <w:rsid w:val="006B58C1"/>
    <w:rsid w:val="006B5926"/>
    <w:rsid w:val="006B60E4"/>
    <w:rsid w:val="006B6434"/>
    <w:rsid w:val="006B6C68"/>
    <w:rsid w:val="006B6CF8"/>
    <w:rsid w:val="006B6E41"/>
    <w:rsid w:val="006B70A1"/>
    <w:rsid w:val="006B7225"/>
    <w:rsid w:val="006B74AA"/>
    <w:rsid w:val="006B782F"/>
    <w:rsid w:val="006B78D8"/>
    <w:rsid w:val="006B79A4"/>
    <w:rsid w:val="006B7B85"/>
    <w:rsid w:val="006B7EF5"/>
    <w:rsid w:val="006B7FAE"/>
    <w:rsid w:val="006C040B"/>
    <w:rsid w:val="006C0BD8"/>
    <w:rsid w:val="006C0FB2"/>
    <w:rsid w:val="006C0FBD"/>
    <w:rsid w:val="006C1052"/>
    <w:rsid w:val="006C12CC"/>
    <w:rsid w:val="006C189E"/>
    <w:rsid w:val="006C1A40"/>
    <w:rsid w:val="006C1A4E"/>
    <w:rsid w:val="006C247E"/>
    <w:rsid w:val="006C280C"/>
    <w:rsid w:val="006C3349"/>
    <w:rsid w:val="006C36DD"/>
    <w:rsid w:val="006C3FEA"/>
    <w:rsid w:val="006C484B"/>
    <w:rsid w:val="006C485C"/>
    <w:rsid w:val="006C51B7"/>
    <w:rsid w:val="006C53C4"/>
    <w:rsid w:val="006C5627"/>
    <w:rsid w:val="006C56CD"/>
    <w:rsid w:val="006C5C55"/>
    <w:rsid w:val="006C5E1A"/>
    <w:rsid w:val="006C604E"/>
    <w:rsid w:val="006C6161"/>
    <w:rsid w:val="006C62E3"/>
    <w:rsid w:val="006C67A7"/>
    <w:rsid w:val="006C6960"/>
    <w:rsid w:val="006C70E2"/>
    <w:rsid w:val="006C7520"/>
    <w:rsid w:val="006C75F9"/>
    <w:rsid w:val="006C7C61"/>
    <w:rsid w:val="006C7FC3"/>
    <w:rsid w:val="006D0074"/>
    <w:rsid w:val="006D0C12"/>
    <w:rsid w:val="006D0D90"/>
    <w:rsid w:val="006D18CE"/>
    <w:rsid w:val="006D1B47"/>
    <w:rsid w:val="006D1CE2"/>
    <w:rsid w:val="006D1DE6"/>
    <w:rsid w:val="006D1E43"/>
    <w:rsid w:val="006D2700"/>
    <w:rsid w:val="006D2936"/>
    <w:rsid w:val="006D297F"/>
    <w:rsid w:val="006D2D6F"/>
    <w:rsid w:val="006D2E14"/>
    <w:rsid w:val="006D3612"/>
    <w:rsid w:val="006D372C"/>
    <w:rsid w:val="006D390E"/>
    <w:rsid w:val="006D3FE3"/>
    <w:rsid w:val="006D45D6"/>
    <w:rsid w:val="006D4697"/>
    <w:rsid w:val="006D5B9E"/>
    <w:rsid w:val="006D6429"/>
    <w:rsid w:val="006D6809"/>
    <w:rsid w:val="006D6862"/>
    <w:rsid w:val="006D738E"/>
    <w:rsid w:val="006E02D6"/>
    <w:rsid w:val="006E0B8A"/>
    <w:rsid w:val="006E0C2D"/>
    <w:rsid w:val="006E11D1"/>
    <w:rsid w:val="006E1514"/>
    <w:rsid w:val="006E161A"/>
    <w:rsid w:val="006E169B"/>
    <w:rsid w:val="006E1793"/>
    <w:rsid w:val="006E18C7"/>
    <w:rsid w:val="006E1E6B"/>
    <w:rsid w:val="006E208E"/>
    <w:rsid w:val="006E228F"/>
    <w:rsid w:val="006E2AE9"/>
    <w:rsid w:val="006E2CFD"/>
    <w:rsid w:val="006E2D5B"/>
    <w:rsid w:val="006E304A"/>
    <w:rsid w:val="006E3569"/>
    <w:rsid w:val="006E3743"/>
    <w:rsid w:val="006E38B9"/>
    <w:rsid w:val="006E3949"/>
    <w:rsid w:val="006E3E30"/>
    <w:rsid w:val="006E469B"/>
    <w:rsid w:val="006E48E1"/>
    <w:rsid w:val="006E4A20"/>
    <w:rsid w:val="006E4C7C"/>
    <w:rsid w:val="006E4E4D"/>
    <w:rsid w:val="006E4E9A"/>
    <w:rsid w:val="006E52AD"/>
    <w:rsid w:val="006E52EC"/>
    <w:rsid w:val="006E57F3"/>
    <w:rsid w:val="006E5892"/>
    <w:rsid w:val="006E58EB"/>
    <w:rsid w:val="006E59A3"/>
    <w:rsid w:val="006E5DA2"/>
    <w:rsid w:val="006E629D"/>
    <w:rsid w:val="006E665F"/>
    <w:rsid w:val="006E69D0"/>
    <w:rsid w:val="006E6A01"/>
    <w:rsid w:val="006E6B1A"/>
    <w:rsid w:val="006E6F27"/>
    <w:rsid w:val="006E72BB"/>
    <w:rsid w:val="006E7981"/>
    <w:rsid w:val="006E7A24"/>
    <w:rsid w:val="006E7E18"/>
    <w:rsid w:val="006F0BEC"/>
    <w:rsid w:val="006F12BF"/>
    <w:rsid w:val="006F1596"/>
    <w:rsid w:val="006F17A9"/>
    <w:rsid w:val="006F17B9"/>
    <w:rsid w:val="006F17E1"/>
    <w:rsid w:val="006F18C8"/>
    <w:rsid w:val="006F1CEB"/>
    <w:rsid w:val="006F1D52"/>
    <w:rsid w:val="006F2113"/>
    <w:rsid w:val="006F2126"/>
    <w:rsid w:val="006F2476"/>
    <w:rsid w:val="006F25FF"/>
    <w:rsid w:val="006F2652"/>
    <w:rsid w:val="006F29BC"/>
    <w:rsid w:val="006F33A9"/>
    <w:rsid w:val="006F387A"/>
    <w:rsid w:val="006F38EA"/>
    <w:rsid w:val="006F3CC3"/>
    <w:rsid w:val="006F3F1F"/>
    <w:rsid w:val="006F4CBA"/>
    <w:rsid w:val="006F4D4F"/>
    <w:rsid w:val="006F50A8"/>
    <w:rsid w:val="006F539D"/>
    <w:rsid w:val="006F5676"/>
    <w:rsid w:val="006F5820"/>
    <w:rsid w:val="006F631F"/>
    <w:rsid w:val="006F63C3"/>
    <w:rsid w:val="006F65E2"/>
    <w:rsid w:val="006F67B7"/>
    <w:rsid w:val="006F6AF3"/>
    <w:rsid w:val="006F6FC4"/>
    <w:rsid w:val="006F7093"/>
    <w:rsid w:val="006F724B"/>
    <w:rsid w:val="007007A2"/>
    <w:rsid w:val="00700A67"/>
    <w:rsid w:val="00700BBF"/>
    <w:rsid w:val="00700C15"/>
    <w:rsid w:val="00701082"/>
    <w:rsid w:val="007011BE"/>
    <w:rsid w:val="007015AF"/>
    <w:rsid w:val="00702659"/>
    <w:rsid w:val="00702B02"/>
    <w:rsid w:val="0070362A"/>
    <w:rsid w:val="007037EA"/>
    <w:rsid w:val="00703C7D"/>
    <w:rsid w:val="0070546C"/>
    <w:rsid w:val="00705F5B"/>
    <w:rsid w:val="0070652B"/>
    <w:rsid w:val="00706718"/>
    <w:rsid w:val="0070766D"/>
    <w:rsid w:val="0070799F"/>
    <w:rsid w:val="00707B4F"/>
    <w:rsid w:val="0071045C"/>
    <w:rsid w:val="00710553"/>
    <w:rsid w:val="0071072A"/>
    <w:rsid w:val="0071078A"/>
    <w:rsid w:val="00710CA8"/>
    <w:rsid w:val="00711270"/>
    <w:rsid w:val="00711291"/>
    <w:rsid w:val="00711655"/>
    <w:rsid w:val="00711D08"/>
    <w:rsid w:val="00712105"/>
    <w:rsid w:val="00712160"/>
    <w:rsid w:val="007126BB"/>
    <w:rsid w:val="00712700"/>
    <w:rsid w:val="007127BB"/>
    <w:rsid w:val="00712A1A"/>
    <w:rsid w:val="00713380"/>
    <w:rsid w:val="00713E50"/>
    <w:rsid w:val="00714060"/>
    <w:rsid w:val="007149C1"/>
    <w:rsid w:val="00714F14"/>
    <w:rsid w:val="0071592C"/>
    <w:rsid w:val="0071600A"/>
    <w:rsid w:val="007160E1"/>
    <w:rsid w:val="007161FB"/>
    <w:rsid w:val="0071669F"/>
    <w:rsid w:val="00716A53"/>
    <w:rsid w:val="00716E7E"/>
    <w:rsid w:val="0071768F"/>
    <w:rsid w:val="00717A1C"/>
    <w:rsid w:val="00717A57"/>
    <w:rsid w:val="00717BAC"/>
    <w:rsid w:val="00720300"/>
    <w:rsid w:val="00720372"/>
    <w:rsid w:val="0072048C"/>
    <w:rsid w:val="007205EB"/>
    <w:rsid w:val="00720DC8"/>
    <w:rsid w:val="00721CE0"/>
    <w:rsid w:val="00722776"/>
    <w:rsid w:val="0072296B"/>
    <w:rsid w:val="00722C05"/>
    <w:rsid w:val="0072300F"/>
    <w:rsid w:val="00723084"/>
    <w:rsid w:val="00723134"/>
    <w:rsid w:val="00723188"/>
    <w:rsid w:val="00723B87"/>
    <w:rsid w:val="00723F8A"/>
    <w:rsid w:val="007245A6"/>
    <w:rsid w:val="0072471F"/>
    <w:rsid w:val="007248DA"/>
    <w:rsid w:val="007254FA"/>
    <w:rsid w:val="00725F5A"/>
    <w:rsid w:val="00725FCD"/>
    <w:rsid w:val="00726084"/>
    <w:rsid w:val="0072614C"/>
    <w:rsid w:val="00726703"/>
    <w:rsid w:val="00726F2E"/>
    <w:rsid w:val="0072798A"/>
    <w:rsid w:val="00727A95"/>
    <w:rsid w:val="007302FF"/>
    <w:rsid w:val="00730698"/>
    <w:rsid w:val="007308D2"/>
    <w:rsid w:val="00730BE5"/>
    <w:rsid w:val="00730DAF"/>
    <w:rsid w:val="00731784"/>
    <w:rsid w:val="0073185B"/>
    <w:rsid w:val="0073192A"/>
    <w:rsid w:val="00731B7D"/>
    <w:rsid w:val="00731D4F"/>
    <w:rsid w:val="00732042"/>
    <w:rsid w:val="007320B5"/>
    <w:rsid w:val="007324B0"/>
    <w:rsid w:val="007327C5"/>
    <w:rsid w:val="00732DB6"/>
    <w:rsid w:val="00733603"/>
    <w:rsid w:val="007338AB"/>
    <w:rsid w:val="00733D8C"/>
    <w:rsid w:val="007345D2"/>
    <w:rsid w:val="0073516B"/>
    <w:rsid w:val="0073587C"/>
    <w:rsid w:val="00735B4C"/>
    <w:rsid w:val="00735E9E"/>
    <w:rsid w:val="00735FAA"/>
    <w:rsid w:val="0073603F"/>
    <w:rsid w:val="0073624A"/>
    <w:rsid w:val="007364AF"/>
    <w:rsid w:val="007366A8"/>
    <w:rsid w:val="007368F1"/>
    <w:rsid w:val="00736C45"/>
    <w:rsid w:val="00736DDB"/>
    <w:rsid w:val="00736F18"/>
    <w:rsid w:val="00737133"/>
    <w:rsid w:val="007378E7"/>
    <w:rsid w:val="00737FE1"/>
    <w:rsid w:val="007407CA"/>
    <w:rsid w:val="007411A2"/>
    <w:rsid w:val="007419A8"/>
    <w:rsid w:val="0074210B"/>
    <w:rsid w:val="00742534"/>
    <w:rsid w:val="0074255F"/>
    <w:rsid w:val="00742C26"/>
    <w:rsid w:val="00742EB7"/>
    <w:rsid w:val="007432C7"/>
    <w:rsid w:val="00743391"/>
    <w:rsid w:val="007435F1"/>
    <w:rsid w:val="00743A9A"/>
    <w:rsid w:val="00743B5F"/>
    <w:rsid w:val="00743CF7"/>
    <w:rsid w:val="00743F36"/>
    <w:rsid w:val="00744033"/>
    <w:rsid w:val="0074427C"/>
    <w:rsid w:val="00744912"/>
    <w:rsid w:val="00745139"/>
    <w:rsid w:val="00745770"/>
    <w:rsid w:val="00745B13"/>
    <w:rsid w:val="00745DB0"/>
    <w:rsid w:val="00745F4C"/>
    <w:rsid w:val="00745F6C"/>
    <w:rsid w:val="00746258"/>
    <w:rsid w:val="00746491"/>
    <w:rsid w:val="007468A4"/>
    <w:rsid w:val="00746AD3"/>
    <w:rsid w:val="00746C60"/>
    <w:rsid w:val="00746D84"/>
    <w:rsid w:val="00746EB6"/>
    <w:rsid w:val="007473D2"/>
    <w:rsid w:val="00747887"/>
    <w:rsid w:val="00747CC0"/>
    <w:rsid w:val="0075021D"/>
    <w:rsid w:val="0075042B"/>
    <w:rsid w:val="00750786"/>
    <w:rsid w:val="00750EAE"/>
    <w:rsid w:val="0075157E"/>
    <w:rsid w:val="00751A07"/>
    <w:rsid w:val="00752136"/>
    <w:rsid w:val="007524E5"/>
    <w:rsid w:val="0075254C"/>
    <w:rsid w:val="00752A0F"/>
    <w:rsid w:val="00752E7E"/>
    <w:rsid w:val="0075333F"/>
    <w:rsid w:val="00753417"/>
    <w:rsid w:val="007536A6"/>
    <w:rsid w:val="00753807"/>
    <w:rsid w:val="0075384F"/>
    <w:rsid w:val="00753BDB"/>
    <w:rsid w:val="00753CA9"/>
    <w:rsid w:val="00753F57"/>
    <w:rsid w:val="00754001"/>
    <w:rsid w:val="0075412C"/>
    <w:rsid w:val="0075436B"/>
    <w:rsid w:val="00754500"/>
    <w:rsid w:val="00754A23"/>
    <w:rsid w:val="00754B6E"/>
    <w:rsid w:val="00754DC6"/>
    <w:rsid w:val="0075513A"/>
    <w:rsid w:val="0075569E"/>
    <w:rsid w:val="00755945"/>
    <w:rsid w:val="00755C66"/>
    <w:rsid w:val="0075619F"/>
    <w:rsid w:val="007564FE"/>
    <w:rsid w:val="00756806"/>
    <w:rsid w:val="00756ACC"/>
    <w:rsid w:val="00756E11"/>
    <w:rsid w:val="007571D3"/>
    <w:rsid w:val="0075783B"/>
    <w:rsid w:val="00757A92"/>
    <w:rsid w:val="00757E31"/>
    <w:rsid w:val="00757EF0"/>
    <w:rsid w:val="0076032B"/>
    <w:rsid w:val="0076079E"/>
    <w:rsid w:val="007607AB"/>
    <w:rsid w:val="00760A4B"/>
    <w:rsid w:val="00761020"/>
    <w:rsid w:val="0076107F"/>
    <w:rsid w:val="007612B8"/>
    <w:rsid w:val="0076158E"/>
    <w:rsid w:val="00761691"/>
    <w:rsid w:val="007617CB"/>
    <w:rsid w:val="007619BD"/>
    <w:rsid w:val="00761F59"/>
    <w:rsid w:val="00762019"/>
    <w:rsid w:val="0076210E"/>
    <w:rsid w:val="00762587"/>
    <w:rsid w:val="007626DF"/>
    <w:rsid w:val="0076294F"/>
    <w:rsid w:val="00762ACB"/>
    <w:rsid w:val="00762B2F"/>
    <w:rsid w:val="007633D4"/>
    <w:rsid w:val="0076387B"/>
    <w:rsid w:val="00763C40"/>
    <w:rsid w:val="00764ADF"/>
    <w:rsid w:val="00764D00"/>
    <w:rsid w:val="007652D8"/>
    <w:rsid w:val="00765D57"/>
    <w:rsid w:val="0076643C"/>
    <w:rsid w:val="007664AA"/>
    <w:rsid w:val="007667AA"/>
    <w:rsid w:val="00767298"/>
    <w:rsid w:val="0076772E"/>
    <w:rsid w:val="007700AB"/>
    <w:rsid w:val="007705D0"/>
    <w:rsid w:val="007707B8"/>
    <w:rsid w:val="00770B58"/>
    <w:rsid w:val="0077125C"/>
    <w:rsid w:val="00771398"/>
    <w:rsid w:val="00771489"/>
    <w:rsid w:val="00771602"/>
    <w:rsid w:val="0077166D"/>
    <w:rsid w:val="007718E8"/>
    <w:rsid w:val="007719C6"/>
    <w:rsid w:val="00771B1D"/>
    <w:rsid w:val="00771CFD"/>
    <w:rsid w:val="00772310"/>
    <w:rsid w:val="007723B4"/>
    <w:rsid w:val="007723B8"/>
    <w:rsid w:val="0077262F"/>
    <w:rsid w:val="00772724"/>
    <w:rsid w:val="00772A99"/>
    <w:rsid w:val="00772B1C"/>
    <w:rsid w:val="00772FF3"/>
    <w:rsid w:val="007731F0"/>
    <w:rsid w:val="007732B3"/>
    <w:rsid w:val="0077366E"/>
    <w:rsid w:val="007736AB"/>
    <w:rsid w:val="0077403D"/>
    <w:rsid w:val="007749E9"/>
    <w:rsid w:val="00774BE1"/>
    <w:rsid w:val="00775A0B"/>
    <w:rsid w:val="00776216"/>
    <w:rsid w:val="007763F9"/>
    <w:rsid w:val="007766DA"/>
    <w:rsid w:val="007778D9"/>
    <w:rsid w:val="00777951"/>
    <w:rsid w:val="00777E6F"/>
    <w:rsid w:val="007800BF"/>
    <w:rsid w:val="00780204"/>
    <w:rsid w:val="00780874"/>
    <w:rsid w:val="00780BD5"/>
    <w:rsid w:val="00780E40"/>
    <w:rsid w:val="00781920"/>
    <w:rsid w:val="007819CF"/>
    <w:rsid w:val="00781CD4"/>
    <w:rsid w:val="007820BE"/>
    <w:rsid w:val="007821E7"/>
    <w:rsid w:val="00782356"/>
    <w:rsid w:val="00782760"/>
    <w:rsid w:val="00782847"/>
    <w:rsid w:val="00782892"/>
    <w:rsid w:val="007828D9"/>
    <w:rsid w:val="00782C8D"/>
    <w:rsid w:val="00782DF7"/>
    <w:rsid w:val="00782F47"/>
    <w:rsid w:val="00782FBA"/>
    <w:rsid w:val="0078313E"/>
    <w:rsid w:val="0078316F"/>
    <w:rsid w:val="007833DF"/>
    <w:rsid w:val="00783476"/>
    <w:rsid w:val="007834B3"/>
    <w:rsid w:val="00783980"/>
    <w:rsid w:val="007839E7"/>
    <w:rsid w:val="007845E8"/>
    <w:rsid w:val="007845EC"/>
    <w:rsid w:val="0078477E"/>
    <w:rsid w:val="00784E3A"/>
    <w:rsid w:val="00784EC5"/>
    <w:rsid w:val="0078502B"/>
    <w:rsid w:val="0078528E"/>
    <w:rsid w:val="007855E2"/>
    <w:rsid w:val="00785775"/>
    <w:rsid w:val="00785813"/>
    <w:rsid w:val="00785906"/>
    <w:rsid w:val="00785A02"/>
    <w:rsid w:val="00785A26"/>
    <w:rsid w:val="00785BB1"/>
    <w:rsid w:val="00785DF9"/>
    <w:rsid w:val="00786660"/>
    <w:rsid w:val="00786E01"/>
    <w:rsid w:val="00786F8F"/>
    <w:rsid w:val="00787459"/>
    <w:rsid w:val="007875C8"/>
    <w:rsid w:val="00787648"/>
    <w:rsid w:val="00787A3E"/>
    <w:rsid w:val="00787B3D"/>
    <w:rsid w:val="00787F32"/>
    <w:rsid w:val="00787F34"/>
    <w:rsid w:val="00787FC1"/>
    <w:rsid w:val="007911E0"/>
    <w:rsid w:val="0079141E"/>
    <w:rsid w:val="00791542"/>
    <w:rsid w:val="007915C4"/>
    <w:rsid w:val="00791A97"/>
    <w:rsid w:val="00791C75"/>
    <w:rsid w:val="00792889"/>
    <w:rsid w:val="007929D5"/>
    <w:rsid w:val="00792B6E"/>
    <w:rsid w:val="00792FE5"/>
    <w:rsid w:val="007933B9"/>
    <w:rsid w:val="00793420"/>
    <w:rsid w:val="00793834"/>
    <w:rsid w:val="00793BA1"/>
    <w:rsid w:val="007947B1"/>
    <w:rsid w:val="00794B6E"/>
    <w:rsid w:val="00794E3A"/>
    <w:rsid w:val="00794EAE"/>
    <w:rsid w:val="007952E4"/>
    <w:rsid w:val="007955C6"/>
    <w:rsid w:val="00795639"/>
    <w:rsid w:val="00795985"/>
    <w:rsid w:val="00795B94"/>
    <w:rsid w:val="00795E78"/>
    <w:rsid w:val="00795F19"/>
    <w:rsid w:val="00795F55"/>
    <w:rsid w:val="0079633C"/>
    <w:rsid w:val="00796342"/>
    <w:rsid w:val="00796486"/>
    <w:rsid w:val="007965B5"/>
    <w:rsid w:val="007967B5"/>
    <w:rsid w:val="00797451"/>
    <w:rsid w:val="007975A4"/>
    <w:rsid w:val="00797A94"/>
    <w:rsid w:val="00797C45"/>
    <w:rsid w:val="007A00A8"/>
    <w:rsid w:val="007A0496"/>
    <w:rsid w:val="007A084D"/>
    <w:rsid w:val="007A0BAA"/>
    <w:rsid w:val="007A0C84"/>
    <w:rsid w:val="007A15F2"/>
    <w:rsid w:val="007A16E5"/>
    <w:rsid w:val="007A1F34"/>
    <w:rsid w:val="007A2060"/>
    <w:rsid w:val="007A2812"/>
    <w:rsid w:val="007A2F7D"/>
    <w:rsid w:val="007A2FFE"/>
    <w:rsid w:val="007A316A"/>
    <w:rsid w:val="007A3823"/>
    <w:rsid w:val="007A387C"/>
    <w:rsid w:val="007A39A5"/>
    <w:rsid w:val="007A39DC"/>
    <w:rsid w:val="007A3D64"/>
    <w:rsid w:val="007A3F8C"/>
    <w:rsid w:val="007A45F3"/>
    <w:rsid w:val="007A4F83"/>
    <w:rsid w:val="007A548A"/>
    <w:rsid w:val="007A558C"/>
    <w:rsid w:val="007A5653"/>
    <w:rsid w:val="007A5D7D"/>
    <w:rsid w:val="007A5EA7"/>
    <w:rsid w:val="007A6223"/>
    <w:rsid w:val="007A63FE"/>
    <w:rsid w:val="007A6C1D"/>
    <w:rsid w:val="007A6C5B"/>
    <w:rsid w:val="007A6F37"/>
    <w:rsid w:val="007A7348"/>
    <w:rsid w:val="007A785F"/>
    <w:rsid w:val="007A7BCF"/>
    <w:rsid w:val="007A7D1B"/>
    <w:rsid w:val="007B06E4"/>
    <w:rsid w:val="007B0B88"/>
    <w:rsid w:val="007B11AB"/>
    <w:rsid w:val="007B177D"/>
    <w:rsid w:val="007B198B"/>
    <w:rsid w:val="007B1B8A"/>
    <w:rsid w:val="007B1CDD"/>
    <w:rsid w:val="007B1F61"/>
    <w:rsid w:val="007B2016"/>
    <w:rsid w:val="007B285F"/>
    <w:rsid w:val="007B2B62"/>
    <w:rsid w:val="007B2FEA"/>
    <w:rsid w:val="007B30C5"/>
    <w:rsid w:val="007B3117"/>
    <w:rsid w:val="007B3140"/>
    <w:rsid w:val="007B3962"/>
    <w:rsid w:val="007B3984"/>
    <w:rsid w:val="007B3AEE"/>
    <w:rsid w:val="007B3C28"/>
    <w:rsid w:val="007B3D5C"/>
    <w:rsid w:val="007B4787"/>
    <w:rsid w:val="007B48FF"/>
    <w:rsid w:val="007B4D98"/>
    <w:rsid w:val="007B52DF"/>
    <w:rsid w:val="007B54D1"/>
    <w:rsid w:val="007B55DB"/>
    <w:rsid w:val="007B5923"/>
    <w:rsid w:val="007B5DDD"/>
    <w:rsid w:val="007B5E4B"/>
    <w:rsid w:val="007B60C6"/>
    <w:rsid w:val="007B6157"/>
    <w:rsid w:val="007B6616"/>
    <w:rsid w:val="007B664F"/>
    <w:rsid w:val="007B6812"/>
    <w:rsid w:val="007B6A3A"/>
    <w:rsid w:val="007B6BB0"/>
    <w:rsid w:val="007B6C42"/>
    <w:rsid w:val="007B6E89"/>
    <w:rsid w:val="007B714F"/>
    <w:rsid w:val="007B733C"/>
    <w:rsid w:val="007B7D37"/>
    <w:rsid w:val="007B7D9D"/>
    <w:rsid w:val="007B7EDB"/>
    <w:rsid w:val="007C009A"/>
    <w:rsid w:val="007C0498"/>
    <w:rsid w:val="007C0552"/>
    <w:rsid w:val="007C09F9"/>
    <w:rsid w:val="007C0CDA"/>
    <w:rsid w:val="007C0D98"/>
    <w:rsid w:val="007C10C9"/>
    <w:rsid w:val="007C15CA"/>
    <w:rsid w:val="007C2B6D"/>
    <w:rsid w:val="007C2C17"/>
    <w:rsid w:val="007C2F25"/>
    <w:rsid w:val="007C31D6"/>
    <w:rsid w:val="007C362B"/>
    <w:rsid w:val="007C39DB"/>
    <w:rsid w:val="007C3B80"/>
    <w:rsid w:val="007C3FCC"/>
    <w:rsid w:val="007C41BD"/>
    <w:rsid w:val="007C53CB"/>
    <w:rsid w:val="007C5B5E"/>
    <w:rsid w:val="007C5D28"/>
    <w:rsid w:val="007C6096"/>
    <w:rsid w:val="007C631A"/>
    <w:rsid w:val="007C6341"/>
    <w:rsid w:val="007C66DE"/>
    <w:rsid w:val="007C6E59"/>
    <w:rsid w:val="007C6F14"/>
    <w:rsid w:val="007C71F7"/>
    <w:rsid w:val="007C782E"/>
    <w:rsid w:val="007C7B5A"/>
    <w:rsid w:val="007C7D50"/>
    <w:rsid w:val="007D0045"/>
    <w:rsid w:val="007D01FA"/>
    <w:rsid w:val="007D04AF"/>
    <w:rsid w:val="007D0823"/>
    <w:rsid w:val="007D0BEE"/>
    <w:rsid w:val="007D12C1"/>
    <w:rsid w:val="007D1518"/>
    <w:rsid w:val="007D1DB2"/>
    <w:rsid w:val="007D1FBF"/>
    <w:rsid w:val="007D2449"/>
    <w:rsid w:val="007D2622"/>
    <w:rsid w:val="007D2671"/>
    <w:rsid w:val="007D2B72"/>
    <w:rsid w:val="007D2F0A"/>
    <w:rsid w:val="007D326B"/>
    <w:rsid w:val="007D3381"/>
    <w:rsid w:val="007D3638"/>
    <w:rsid w:val="007D373E"/>
    <w:rsid w:val="007D3765"/>
    <w:rsid w:val="007D3986"/>
    <w:rsid w:val="007D3B14"/>
    <w:rsid w:val="007D5523"/>
    <w:rsid w:val="007D55F9"/>
    <w:rsid w:val="007D5BE3"/>
    <w:rsid w:val="007D5F7A"/>
    <w:rsid w:val="007D609A"/>
    <w:rsid w:val="007D61A4"/>
    <w:rsid w:val="007D67C9"/>
    <w:rsid w:val="007D6AF6"/>
    <w:rsid w:val="007D6B13"/>
    <w:rsid w:val="007D6B52"/>
    <w:rsid w:val="007D6BBE"/>
    <w:rsid w:val="007D6D92"/>
    <w:rsid w:val="007D6DBB"/>
    <w:rsid w:val="007D78C3"/>
    <w:rsid w:val="007D7926"/>
    <w:rsid w:val="007D7B93"/>
    <w:rsid w:val="007D7C67"/>
    <w:rsid w:val="007D7CA7"/>
    <w:rsid w:val="007D7F4A"/>
    <w:rsid w:val="007E0156"/>
    <w:rsid w:val="007E024B"/>
    <w:rsid w:val="007E02B6"/>
    <w:rsid w:val="007E03C5"/>
    <w:rsid w:val="007E0C71"/>
    <w:rsid w:val="007E149F"/>
    <w:rsid w:val="007E1784"/>
    <w:rsid w:val="007E1DD8"/>
    <w:rsid w:val="007E221A"/>
    <w:rsid w:val="007E2347"/>
    <w:rsid w:val="007E2746"/>
    <w:rsid w:val="007E2CBC"/>
    <w:rsid w:val="007E2D95"/>
    <w:rsid w:val="007E3873"/>
    <w:rsid w:val="007E407D"/>
    <w:rsid w:val="007E4396"/>
    <w:rsid w:val="007E479D"/>
    <w:rsid w:val="007E4829"/>
    <w:rsid w:val="007E4941"/>
    <w:rsid w:val="007E494C"/>
    <w:rsid w:val="007E54AD"/>
    <w:rsid w:val="007E5C7E"/>
    <w:rsid w:val="007E60B7"/>
    <w:rsid w:val="007E6B4E"/>
    <w:rsid w:val="007E6C53"/>
    <w:rsid w:val="007E70C9"/>
    <w:rsid w:val="007E733B"/>
    <w:rsid w:val="007E7353"/>
    <w:rsid w:val="007E73B1"/>
    <w:rsid w:val="007E7407"/>
    <w:rsid w:val="007E7700"/>
    <w:rsid w:val="007E78F1"/>
    <w:rsid w:val="007E793D"/>
    <w:rsid w:val="007E7B48"/>
    <w:rsid w:val="007E7E6E"/>
    <w:rsid w:val="007F009E"/>
    <w:rsid w:val="007F0295"/>
    <w:rsid w:val="007F09D6"/>
    <w:rsid w:val="007F0D7F"/>
    <w:rsid w:val="007F11D6"/>
    <w:rsid w:val="007F1607"/>
    <w:rsid w:val="007F17A6"/>
    <w:rsid w:val="007F1803"/>
    <w:rsid w:val="007F187F"/>
    <w:rsid w:val="007F1923"/>
    <w:rsid w:val="007F199A"/>
    <w:rsid w:val="007F1ACA"/>
    <w:rsid w:val="007F1AD4"/>
    <w:rsid w:val="007F1C26"/>
    <w:rsid w:val="007F1E66"/>
    <w:rsid w:val="007F2279"/>
    <w:rsid w:val="007F290A"/>
    <w:rsid w:val="007F2B44"/>
    <w:rsid w:val="007F2B45"/>
    <w:rsid w:val="007F2F02"/>
    <w:rsid w:val="007F325F"/>
    <w:rsid w:val="007F337B"/>
    <w:rsid w:val="007F34CE"/>
    <w:rsid w:val="007F3573"/>
    <w:rsid w:val="007F3650"/>
    <w:rsid w:val="007F384C"/>
    <w:rsid w:val="007F3C51"/>
    <w:rsid w:val="007F3EAE"/>
    <w:rsid w:val="007F3FE4"/>
    <w:rsid w:val="007F41FD"/>
    <w:rsid w:val="007F45DE"/>
    <w:rsid w:val="007F4697"/>
    <w:rsid w:val="007F49DB"/>
    <w:rsid w:val="007F4CB6"/>
    <w:rsid w:val="007F5336"/>
    <w:rsid w:val="007F5883"/>
    <w:rsid w:val="007F60C5"/>
    <w:rsid w:val="007F6204"/>
    <w:rsid w:val="007F661A"/>
    <w:rsid w:val="007F6664"/>
    <w:rsid w:val="007F7A71"/>
    <w:rsid w:val="007F7C42"/>
    <w:rsid w:val="007F7DF4"/>
    <w:rsid w:val="007F7ECB"/>
    <w:rsid w:val="0080027B"/>
    <w:rsid w:val="0080061A"/>
    <w:rsid w:val="00800732"/>
    <w:rsid w:val="008008B3"/>
    <w:rsid w:val="00800AD6"/>
    <w:rsid w:val="00800CE8"/>
    <w:rsid w:val="00800CF9"/>
    <w:rsid w:val="00801554"/>
    <w:rsid w:val="00801AF0"/>
    <w:rsid w:val="00801CB6"/>
    <w:rsid w:val="0080254E"/>
    <w:rsid w:val="0080270B"/>
    <w:rsid w:val="00802B04"/>
    <w:rsid w:val="00802C15"/>
    <w:rsid w:val="00803131"/>
    <w:rsid w:val="0080334D"/>
    <w:rsid w:val="00803CEB"/>
    <w:rsid w:val="00803E39"/>
    <w:rsid w:val="00803F08"/>
    <w:rsid w:val="008047BF"/>
    <w:rsid w:val="00805915"/>
    <w:rsid w:val="008059EF"/>
    <w:rsid w:val="00806117"/>
    <w:rsid w:val="0080624D"/>
    <w:rsid w:val="0080657E"/>
    <w:rsid w:val="008066A6"/>
    <w:rsid w:val="008069BB"/>
    <w:rsid w:val="00806C9E"/>
    <w:rsid w:val="00806DA2"/>
    <w:rsid w:val="00807610"/>
    <w:rsid w:val="0080762E"/>
    <w:rsid w:val="00807741"/>
    <w:rsid w:val="00807785"/>
    <w:rsid w:val="00807931"/>
    <w:rsid w:val="00807947"/>
    <w:rsid w:val="0081054C"/>
    <w:rsid w:val="00810579"/>
    <w:rsid w:val="00810C4B"/>
    <w:rsid w:val="008110E7"/>
    <w:rsid w:val="00811112"/>
    <w:rsid w:val="008111EB"/>
    <w:rsid w:val="00811338"/>
    <w:rsid w:val="0081134C"/>
    <w:rsid w:val="00811453"/>
    <w:rsid w:val="0081155F"/>
    <w:rsid w:val="0081161F"/>
    <w:rsid w:val="00811762"/>
    <w:rsid w:val="008117C0"/>
    <w:rsid w:val="00812334"/>
    <w:rsid w:val="00812AAE"/>
    <w:rsid w:val="00812B6D"/>
    <w:rsid w:val="00812EF3"/>
    <w:rsid w:val="00813BFB"/>
    <w:rsid w:val="00813EDF"/>
    <w:rsid w:val="00813F1F"/>
    <w:rsid w:val="00813FF7"/>
    <w:rsid w:val="0081438F"/>
    <w:rsid w:val="008143DE"/>
    <w:rsid w:val="00814438"/>
    <w:rsid w:val="00814692"/>
    <w:rsid w:val="00814B45"/>
    <w:rsid w:val="00814CDD"/>
    <w:rsid w:val="00814D1D"/>
    <w:rsid w:val="00814F17"/>
    <w:rsid w:val="00814F3F"/>
    <w:rsid w:val="00815863"/>
    <w:rsid w:val="00815EC6"/>
    <w:rsid w:val="00815F74"/>
    <w:rsid w:val="0081611F"/>
    <w:rsid w:val="008166DB"/>
    <w:rsid w:val="008168CF"/>
    <w:rsid w:val="008168EE"/>
    <w:rsid w:val="00816E6B"/>
    <w:rsid w:val="00817208"/>
    <w:rsid w:val="00817A57"/>
    <w:rsid w:val="00817B5B"/>
    <w:rsid w:val="00817BD8"/>
    <w:rsid w:val="00817BF0"/>
    <w:rsid w:val="00817EC4"/>
    <w:rsid w:val="00820506"/>
    <w:rsid w:val="00820677"/>
    <w:rsid w:val="00820B5F"/>
    <w:rsid w:val="00820E8E"/>
    <w:rsid w:val="00820F52"/>
    <w:rsid w:val="00821102"/>
    <w:rsid w:val="00821297"/>
    <w:rsid w:val="008213F5"/>
    <w:rsid w:val="00821464"/>
    <w:rsid w:val="00821576"/>
    <w:rsid w:val="00821876"/>
    <w:rsid w:val="00821D58"/>
    <w:rsid w:val="00821F0D"/>
    <w:rsid w:val="0082234C"/>
    <w:rsid w:val="00822370"/>
    <w:rsid w:val="0082270A"/>
    <w:rsid w:val="0082298B"/>
    <w:rsid w:val="00822AF3"/>
    <w:rsid w:val="00822C85"/>
    <w:rsid w:val="00823AB6"/>
    <w:rsid w:val="00823D30"/>
    <w:rsid w:val="008242C2"/>
    <w:rsid w:val="008249F9"/>
    <w:rsid w:val="00824AC2"/>
    <w:rsid w:val="00825126"/>
    <w:rsid w:val="00825923"/>
    <w:rsid w:val="00826D5A"/>
    <w:rsid w:val="00827497"/>
    <w:rsid w:val="00827E82"/>
    <w:rsid w:val="00830837"/>
    <w:rsid w:val="00830CD7"/>
    <w:rsid w:val="00830E1D"/>
    <w:rsid w:val="00830ED1"/>
    <w:rsid w:val="00830F6F"/>
    <w:rsid w:val="008312F8"/>
    <w:rsid w:val="008314CF"/>
    <w:rsid w:val="00831FF5"/>
    <w:rsid w:val="00832509"/>
    <w:rsid w:val="008325D2"/>
    <w:rsid w:val="008325DE"/>
    <w:rsid w:val="0083272E"/>
    <w:rsid w:val="008328DE"/>
    <w:rsid w:val="00832B5A"/>
    <w:rsid w:val="00832D5F"/>
    <w:rsid w:val="008330AF"/>
    <w:rsid w:val="008331F0"/>
    <w:rsid w:val="00833748"/>
    <w:rsid w:val="008346C8"/>
    <w:rsid w:val="00834A14"/>
    <w:rsid w:val="00834BB2"/>
    <w:rsid w:val="00834DEF"/>
    <w:rsid w:val="008351C0"/>
    <w:rsid w:val="00835FB4"/>
    <w:rsid w:val="00836C73"/>
    <w:rsid w:val="00836CCD"/>
    <w:rsid w:val="00837916"/>
    <w:rsid w:val="00840D1F"/>
    <w:rsid w:val="00840E51"/>
    <w:rsid w:val="00841667"/>
    <w:rsid w:val="0084195F"/>
    <w:rsid w:val="00842147"/>
    <w:rsid w:val="00842942"/>
    <w:rsid w:val="00842A07"/>
    <w:rsid w:val="00842AFA"/>
    <w:rsid w:val="00842B38"/>
    <w:rsid w:val="00842D43"/>
    <w:rsid w:val="00843041"/>
    <w:rsid w:val="008439CF"/>
    <w:rsid w:val="008443AB"/>
    <w:rsid w:val="00845BEB"/>
    <w:rsid w:val="008460E0"/>
    <w:rsid w:val="008460FE"/>
    <w:rsid w:val="008471F1"/>
    <w:rsid w:val="0084755A"/>
    <w:rsid w:val="00847933"/>
    <w:rsid w:val="00847CA6"/>
    <w:rsid w:val="0084C07F"/>
    <w:rsid w:val="008500C5"/>
    <w:rsid w:val="00850A7B"/>
    <w:rsid w:val="00850DC4"/>
    <w:rsid w:val="008519E0"/>
    <w:rsid w:val="00851B40"/>
    <w:rsid w:val="00851CA7"/>
    <w:rsid w:val="00851FCA"/>
    <w:rsid w:val="00852A66"/>
    <w:rsid w:val="00852A80"/>
    <w:rsid w:val="0085337C"/>
    <w:rsid w:val="0085356A"/>
    <w:rsid w:val="008535E1"/>
    <w:rsid w:val="008536F6"/>
    <w:rsid w:val="00853B43"/>
    <w:rsid w:val="00853D95"/>
    <w:rsid w:val="0085428F"/>
    <w:rsid w:val="0085475E"/>
    <w:rsid w:val="00854850"/>
    <w:rsid w:val="008548BB"/>
    <w:rsid w:val="00854949"/>
    <w:rsid w:val="00854B77"/>
    <w:rsid w:val="00854F81"/>
    <w:rsid w:val="0085516E"/>
    <w:rsid w:val="008554A9"/>
    <w:rsid w:val="00855E39"/>
    <w:rsid w:val="0085681F"/>
    <w:rsid w:val="00856835"/>
    <w:rsid w:val="00856A70"/>
    <w:rsid w:val="00856B93"/>
    <w:rsid w:val="00856D63"/>
    <w:rsid w:val="00857193"/>
    <w:rsid w:val="00857363"/>
    <w:rsid w:val="00857BC4"/>
    <w:rsid w:val="0086016F"/>
    <w:rsid w:val="0086027B"/>
    <w:rsid w:val="00860499"/>
    <w:rsid w:val="00860B51"/>
    <w:rsid w:val="00860F59"/>
    <w:rsid w:val="00861289"/>
    <w:rsid w:val="0086132B"/>
    <w:rsid w:val="00861604"/>
    <w:rsid w:val="00861845"/>
    <w:rsid w:val="00861E71"/>
    <w:rsid w:val="00862251"/>
    <w:rsid w:val="0086259F"/>
    <w:rsid w:val="0086273A"/>
    <w:rsid w:val="00862A85"/>
    <w:rsid w:val="00862F96"/>
    <w:rsid w:val="00863169"/>
    <w:rsid w:val="00863461"/>
    <w:rsid w:val="008634DC"/>
    <w:rsid w:val="00863BEE"/>
    <w:rsid w:val="00863C6B"/>
    <w:rsid w:val="00863F65"/>
    <w:rsid w:val="008642D6"/>
    <w:rsid w:val="008642DA"/>
    <w:rsid w:val="008647E3"/>
    <w:rsid w:val="008650E4"/>
    <w:rsid w:val="008653A6"/>
    <w:rsid w:val="00865BF0"/>
    <w:rsid w:val="00865F75"/>
    <w:rsid w:val="008665BC"/>
    <w:rsid w:val="00866A05"/>
    <w:rsid w:val="00870A03"/>
    <w:rsid w:val="00870B9E"/>
    <w:rsid w:val="00870BDD"/>
    <w:rsid w:val="00871303"/>
    <w:rsid w:val="0087174D"/>
    <w:rsid w:val="00871C4B"/>
    <w:rsid w:val="00872A9C"/>
    <w:rsid w:val="008736DC"/>
    <w:rsid w:val="00873805"/>
    <w:rsid w:val="00873834"/>
    <w:rsid w:val="0087396F"/>
    <w:rsid w:val="00873BD0"/>
    <w:rsid w:val="00873D02"/>
    <w:rsid w:val="00873F94"/>
    <w:rsid w:val="0087404F"/>
    <w:rsid w:val="008741D5"/>
    <w:rsid w:val="00874876"/>
    <w:rsid w:val="008749D6"/>
    <w:rsid w:val="00874B9B"/>
    <w:rsid w:val="00874DBB"/>
    <w:rsid w:val="00874F5C"/>
    <w:rsid w:val="00875618"/>
    <w:rsid w:val="00875780"/>
    <w:rsid w:val="00875911"/>
    <w:rsid w:val="008759E7"/>
    <w:rsid w:val="008759FA"/>
    <w:rsid w:val="00875F47"/>
    <w:rsid w:val="00876883"/>
    <w:rsid w:val="00876917"/>
    <w:rsid w:val="0087744F"/>
    <w:rsid w:val="008778EF"/>
    <w:rsid w:val="008778FD"/>
    <w:rsid w:val="00877A62"/>
    <w:rsid w:val="00877A76"/>
    <w:rsid w:val="00877A88"/>
    <w:rsid w:val="0088025B"/>
    <w:rsid w:val="008804C2"/>
    <w:rsid w:val="00880878"/>
    <w:rsid w:val="00880BF3"/>
    <w:rsid w:val="00880FC8"/>
    <w:rsid w:val="0088118C"/>
    <w:rsid w:val="00881655"/>
    <w:rsid w:val="00881D80"/>
    <w:rsid w:val="00881E23"/>
    <w:rsid w:val="0088217B"/>
    <w:rsid w:val="008821D3"/>
    <w:rsid w:val="0088274A"/>
    <w:rsid w:val="0088285A"/>
    <w:rsid w:val="00882DBA"/>
    <w:rsid w:val="00882DF8"/>
    <w:rsid w:val="00883474"/>
    <w:rsid w:val="00883875"/>
    <w:rsid w:val="00883C57"/>
    <w:rsid w:val="00883D71"/>
    <w:rsid w:val="008841D4"/>
    <w:rsid w:val="00884339"/>
    <w:rsid w:val="0088462B"/>
    <w:rsid w:val="00884A05"/>
    <w:rsid w:val="00884B77"/>
    <w:rsid w:val="00884C58"/>
    <w:rsid w:val="00884DE6"/>
    <w:rsid w:val="00884E8F"/>
    <w:rsid w:val="0088565D"/>
    <w:rsid w:val="008856CC"/>
    <w:rsid w:val="008857C1"/>
    <w:rsid w:val="00885C07"/>
    <w:rsid w:val="00885EB5"/>
    <w:rsid w:val="008862B4"/>
    <w:rsid w:val="00887A94"/>
    <w:rsid w:val="00887CF7"/>
    <w:rsid w:val="00887D22"/>
    <w:rsid w:val="00887FE8"/>
    <w:rsid w:val="00890386"/>
    <w:rsid w:val="00891501"/>
    <w:rsid w:val="0089196C"/>
    <w:rsid w:val="008919A3"/>
    <w:rsid w:val="00891C12"/>
    <w:rsid w:val="00891FA8"/>
    <w:rsid w:val="008928C2"/>
    <w:rsid w:val="00892AA4"/>
    <w:rsid w:val="00892AE1"/>
    <w:rsid w:val="0089314E"/>
    <w:rsid w:val="008933F3"/>
    <w:rsid w:val="00893519"/>
    <w:rsid w:val="00893778"/>
    <w:rsid w:val="00893AAF"/>
    <w:rsid w:val="00894417"/>
    <w:rsid w:val="00894B14"/>
    <w:rsid w:val="00894F31"/>
    <w:rsid w:val="00895847"/>
    <w:rsid w:val="008963EB"/>
    <w:rsid w:val="00896839"/>
    <w:rsid w:val="00897145"/>
    <w:rsid w:val="00897209"/>
    <w:rsid w:val="00897551"/>
    <w:rsid w:val="00897643"/>
    <w:rsid w:val="0089768F"/>
    <w:rsid w:val="008978E1"/>
    <w:rsid w:val="00897915"/>
    <w:rsid w:val="008979D3"/>
    <w:rsid w:val="008A081F"/>
    <w:rsid w:val="008A0D82"/>
    <w:rsid w:val="008A105F"/>
    <w:rsid w:val="008A14F9"/>
    <w:rsid w:val="008A2202"/>
    <w:rsid w:val="008A27F5"/>
    <w:rsid w:val="008A29BD"/>
    <w:rsid w:val="008A29C0"/>
    <w:rsid w:val="008A2A42"/>
    <w:rsid w:val="008A2F58"/>
    <w:rsid w:val="008A31D0"/>
    <w:rsid w:val="008A3481"/>
    <w:rsid w:val="008A34CA"/>
    <w:rsid w:val="008A3597"/>
    <w:rsid w:val="008A35C0"/>
    <w:rsid w:val="008A3835"/>
    <w:rsid w:val="008A3AAE"/>
    <w:rsid w:val="008A3B66"/>
    <w:rsid w:val="008A3ECD"/>
    <w:rsid w:val="008A40D7"/>
    <w:rsid w:val="008A4154"/>
    <w:rsid w:val="008A42CE"/>
    <w:rsid w:val="008A45C1"/>
    <w:rsid w:val="008A486C"/>
    <w:rsid w:val="008A496D"/>
    <w:rsid w:val="008A50E5"/>
    <w:rsid w:val="008A53C5"/>
    <w:rsid w:val="008A5562"/>
    <w:rsid w:val="008A567B"/>
    <w:rsid w:val="008A5F27"/>
    <w:rsid w:val="008A611B"/>
    <w:rsid w:val="008A619C"/>
    <w:rsid w:val="008A67A9"/>
    <w:rsid w:val="008A697E"/>
    <w:rsid w:val="008A6CE7"/>
    <w:rsid w:val="008A6D1F"/>
    <w:rsid w:val="008A70A3"/>
    <w:rsid w:val="008A72C0"/>
    <w:rsid w:val="008A7CF3"/>
    <w:rsid w:val="008B0167"/>
    <w:rsid w:val="008B0178"/>
    <w:rsid w:val="008B0282"/>
    <w:rsid w:val="008B0873"/>
    <w:rsid w:val="008B0A1B"/>
    <w:rsid w:val="008B0EE9"/>
    <w:rsid w:val="008B1596"/>
    <w:rsid w:val="008B16AF"/>
    <w:rsid w:val="008B1904"/>
    <w:rsid w:val="008B2146"/>
    <w:rsid w:val="008B2239"/>
    <w:rsid w:val="008B251C"/>
    <w:rsid w:val="008B254F"/>
    <w:rsid w:val="008B2E97"/>
    <w:rsid w:val="008B3C0B"/>
    <w:rsid w:val="008B4334"/>
    <w:rsid w:val="008B4520"/>
    <w:rsid w:val="008B4904"/>
    <w:rsid w:val="008B4BB5"/>
    <w:rsid w:val="008B4E28"/>
    <w:rsid w:val="008B5180"/>
    <w:rsid w:val="008B51CB"/>
    <w:rsid w:val="008B523F"/>
    <w:rsid w:val="008B5B2A"/>
    <w:rsid w:val="008B5C51"/>
    <w:rsid w:val="008B5E89"/>
    <w:rsid w:val="008B6123"/>
    <w:rsid w:val="008B645A"/>
    <w:rsid w:val="008B64CC"/>
    <w:rsid w:val="008B68D8"/>
    <w:rsid w:val="008B7210"/>
    <w:rsid w:val="008B73A4"/>
    <w:rsid w:val="008B78C0"/>
    <w:rsid w:val="008B7924"/>
    <w:rsid w:val="008B79B2"/>
    <w:rsid w:val="008B7A6C"/>
    <w:rsid w:val="008B7F1B"/>
    <w:rsid w:val="008C040A"/>
    <w:rsid w:val="008C0C10"/>
    <w:rsid w:val="008C1EE8"/>
    <w:rsid w:val="008C2088"/>
    <w:rsid w:val="008C264D"/>
    <w:rsid w:val="008C2688"/>
    <w:rsid w:val="008C27C6"/>
    <w:rsid w:val="008C2AF6"/>
    <w:rsid w:val="008C2D4A"/>
    <w:rsid w:val="008C2D64"/>
    <w:rsid w:val="008C2F25"/>
    <w:rsid w:val="008C2FA5"/>
    <w:rsid w:val="008C2FBB"/>
    <w:rsid w:val="008C2FF6"/>
    <w:rsid w:val="008C3081"/>
    <w:rsid w:val="008C3141"/>
    <w:rsid w:val="008C3149"/>
    <w:rsid w:val="008C3190"/>
    <w:rsid w:val="008C31B7"/>
    <w:rsid w:val="008C33AD"/>
    <w:rsid w:val="008C3615"/>
    <w:rsid w:val="008C3693"/>
    <w:rsid w:val="008C36A0"/>
    <w:rsid w:val="008C39BE"/>
    <w:rsid w:val="008C3DB0"/>
    <w:rsid w:val="008C4E0A"/>
    <w:rsid w:val="008C539A"/>
    <w:rsid w:val="008C5675"/>
    <w:rsid w:val="008C5AD4"/>
    <w:rsid w:val="008C5CF9"/>
    <w:rsid w:val="008C6113"/>
    <w:rsid w:val="008C6459"/>
    <w:rsid w:val="008C6562"/>
    <w:rsid w:val="008C6845"/>
    <w:rsid w:val="008C6850"/>
    <w:rsid w:val="008C6DFB"/>
    <w:rsid w:val="008C6E30"/>
    <w:rsid w:val="008C73E5"/>
    <w:rsid w:val="008C740B"/>
    <w:rsid w:val="008C76EE"/>
    <w:rsid w:val="008C79BC"/>
    <w:rsid w:val="008C7B59"/>
    <w:rsid w:val="008D0288"/>
    <w:rsid w:val="008D02E0"/>
    <w:rsid w:val="008D1378"/>
    <w:rsid w:val="008D1B86"/>
    <w:rsid w:val="008D23EC"/>
    <w:rsid w:val="008D2612"/>
    <w:rsid w:val="008D267B"/>
    <w:rsid w:val="008D2915"/>
    <w:rsid w:val="008D2E56"/>
    <w:rsid w:val="008D307F"/>
    <w:rsid w:val="008D348E"/>
    <w:rsid w:val="008D42C4"/>
    <w:rsid w:val="008D49CE"/>
    <w:rsid w:val="008D4C88"/>
    <w:rsid w:val="008D4DA1"/>
    <w:rsid w:val="008D556E"/>
    <w:rsid w:val="008D56DC"/>
    <w:rsid w:val="008D5B24"/>
    <w:rsid w:val="008D5C4B"/>
    <w:rsid w:val="008D634E"/>
    <w:rsid w:val="008D6B35"/>
    <w:rsid w:val="008D745A"/>
    <w:rsid w:val="008D7637"/>
    <w:rsid w:val="008D76C5"/>
    <w:rsid w:val="008D7BD8"/>
    <w:rsid w:val="008D7C8E"/>
    <w:rsid w:val="008E0077"/>
    <w:rsid w:val="008E01C8"/>
    <w:rsid w:val="008E04B9"/>
    <w:rsid w:val="008E04F0"/>
    <w:rsid w:val="008E08C0"/>
    <w:rsid w:val="008E0DC5"/>
    <w:rsid w:val="008E0F46"/>
    <w:rsid w:val="008E11BD"/>
    <w:rsid w:val="008E14AC"/>
    <w:rsid w:val="008E1A8E"/>
    <w:rsid w:val="008E1BC8"/>
    <w:rsid w:val="008E1C05"/>
    <w:rsid w:val="008E1C4B"/>
    <w:rsid w:val="008E1F4F"/>
    <w:rsid w:val="008E2293"/>
    <w:rsid w:val="008E23DA"/>
    <w:rsid w:val="008E23DE"/>
    <w:rsid w:val="008E2740"/>
    <w:rsid w:val="008E307C"/>
    <w:rsid w:val="008E3816"/>
    <w:rsid w:val="008E393A"/>
    <w:rsid w:val="008E3969"/>
    <w:rsid w:val="008E39CF"/>
    <w:rsid w:val="008E39E7"/>
    <w:rsid w:val="008E3E83"/>
    <w:rsid w:val="008E3F5F"/>
    <w:rsid w:val="008E3F80"/>
    <w:rsid w:val="008E4BC9"/>
    <w:rsid w:val="008E5048"/>
    <w:rsid w:val="008E536A"/>
    <w:rsid w:val="008E537B"/>
    <w:rsid w:val="008E578E"/>
    <w:rsid w:val="008E5FFD"/>
    <w:rsid w:val="008E68D3"/>
    <w:rsid w:val="008E68F2"/>
    <w:rsid w:val="008E6D4A"/>
    <w:rsid w:val="008E6DEC"/>
    <w:rsid w:val="008E6EDB"/>
    <w:rsid w:val="008E700F"/>
    <w:rsid w:val="008E71A3"/>
    <w:rsid w:val="008E78FB"/>
    <w:rsid w:val="008F01CC"/>
    <w:rsid w:val="008F06BE"/>
    <w:rsid w:val="008F0744"/>
    <w:rsid w:val="008F0ADC"/>
    <w:rsid w:val="008F13DC"/>
    <w:rsid w:val="008F1441"/>
    <w:rsid w:val="008F15D1"/>
    <w:rsid w:val="008F1D06"/>
    <w:rsid w:val="008F2923"/>
    <w:rsid w:val="008F2A42"/>
    <w:rsid w:val="008F2DC0"/>
    <w:rsid w:val="008F399F"/>
    <w:rsid w:val="008F3FFE"/>
    <w:rsid w:val="008F4FE9"/>
    <w:rsid w:val="008F53A6"/>
    <w:rsid w:val="008F5705"/>
    <w:rsid w:val="008F59D3"/>
    <w:rsid w:val="008F5DF7"/>
    <w:rsid w:val="008F609F"/>
    <w:rsid w:val="008F6496"/>
    <w:rsid w:val="008F69D6"/>
    <w:rsid w:val="008F784C"/>
    <w:rsid w:val="009004C4"/>
    <w:rsid w:val="00900820"/>
    <w:rsid w:val="00900B03"/>
    <w:rsid w:val="00900F49"/>
    <w:rsid w:val="0090189A"/>
    <w:rsid w:val="0090201C"/>
    <w:rsid w:val="0090247A"/>
    <w:rsid w:val="00902911"/>
    <w:rsid w:val="00902DBF"/>
    <w:rsid w:val="00902E67"/>
    <w:rsid w:val="00903307"/>
    <w:rsid w:val="0090416C"/>
    <w:rsid w:val="00904200"/>
    <w:rsid w:val="00904EDB"/>
    <w:rsid w:val="00904FF9"/>
    <w:rsid w:val="0090575C"/>
    <w:rsid w:val="00905822"/>
    <w:rsid w:val="00905C3F"/>
    <w:rsid w:val="00905FDD"/>
    <w:rsid w:val="009063EA"/>
    <w:rsid w:val="00906696"/>
    <w:rsid w:val="0090676C"/>
    <w:rsid w:val="009068A5"/>
    <w:rsid w:val="0090732F"/>
    <w:rsid w:val="00907589"/>
    <w:rsid w:val="00907777"/>
    <w:rsid w:val="009077AE"/>
    <w:rsid w:val="009077BE"/>
    <w:rsid w:val="00907CF2"/>
    <w:rsid w:val="00907EDA"/>
    <w:rsid w:val="00907F2B"/>
    <w:rsid w:val="00907F85"/>
    <w:rsid w:val="00907FAE"/>
    <w:rsid w:val="009102C4"/>
    <w:rsid w:val="0091061A"/>
    <w:rsid w:val="00910823"/>
    <w:rsid w:val="00910DE2"/>
    <w:rsid w:val="00910E70"/>
    <w:rsid w:val="00911058"/>
    <w:rsid w:val="00911261"/>
    <w:rsid w:val="00911A12"/>
    <w:rsid w:val="00911BB7"/>
    <w:rsid w:val="00911CAD"/>
    <w:rsid w:val="00911CD3"/>
    <w:rsid w:val="00911E19"/>
    <w:rsid w:val="00911ED2"/>
    <w:rsid w:val="009121C7"/>
    <w:rsid w:val="00912295"/>
    <w:rsid w:val="00912D5E"/>
    <w:rsid w:val="00912DBA"/>
    <w:rsid w:val="009133D1"/>
    <w:rsid w:val="009134CC"/>
    <w:rsid w:val="00913A47"/>
    <w:rsid w:val="00913B9B"/>
    <w:rsid w:val="00913D15"/>
    <w:rsid w:val="00914091"/>
    <w:rsid w:val="00914595"/>
    <w:rsid w:val="009149EA"/>
    <w:rsid w:val="00914A49"/>
    <w:rsid w:val="00914CB8"/>
    <w:rsid w:val="0091521B"/>
    <w:rsid w:val="00915457"/>
    <w:rsid w:val="0091591D"/>
    <w:rsid w:val="009160F7"/>
    <w:rsid w:val="00916436"/>
    <w:rsid w:val="009167F0"/>
    <w:rsid w:val="009168E8"/>
    <w:rsid w:val="0091698C"/>
    <w:rsid w:val="00916DF3"/>
    <w:rsid w:val="00917057"/>
    <w:rsid w:val="00917DAA"/>
    <w:rsid w:val="0092048E"/>
    <w:rsid w:val="0092056F"/>
    <w:rsid w:val="0092057B"/>
    <w:rsid w:val="009207B5"/>
    <w:rsid w:val="00920A03"/>
    <w:rsid w:val="00920AB0"/>
    <w:rsid w:val="00920C5F"/>
    <w:rsid w:val="00921050"/>
    <w:rsid w:val="00921067"/>
    <w:rsid w:val="00921E51"/>
    <w:rsid w:val="00921EAD"/>
    <w:rsid w:val="009223A1"/>
    <w:rsid w:val="0092284A"/>
    <w:rsid w:val="00922AA6"/>
    <w:rsid w:val="00922B74"/>
    <w:rsid w:val="00922B94"/>
    <w:rsid w:val="00923419"/>
    <w:rsid w:val="00923828"/>
    <w:rsid w:val="0092389B"/>
    <w:rsid w:val="00923D49"/>
    <w:rsid w:val="0092401F"/>
    <w:rsid w:val="009245DE"/>
    <w:rsid w:val="009251E4"/>
    <w:rsid w:val="0092557F"/>
    <w:rsid w:val="0092591A"/>
    <w:rsid w:val="00925AAF"/>
    <w:rsid w:val="00925DE3"/>
    <w:rsid w:val="0092601B"/>
    <w:rsid w:val="0092602B"/>
    <w:rsid w:val="00926557"/>
    <w:rsid w:val="00926921"/>
    <w:rsid w:val="0092776B"/>
    <w:rsid w:val="009301CF"/>
    <w:rsid w:val="0093052D"/>
    <w:rsid w:val="00930C32"/>
    <w:rsid w:val="00930D0E"/>
    <w:rsid w:val="00930EA6"/>
    <w:rsid w:val="00931714"/>
    <w:rsid w:val="0093201D"/>
    <w:rsid w:val="0093241D"/>
    <w:rsid w:val="009324D3"/>
    <w:rsid w:val="009324F5"/>
    <w:rsid w:val="0093271C"/>
    <w:rsid w:val="0093300A"/>
    <w:rsid w:val="009330C8"/>
    <w:rsid w:val="009334C4"/>
    <w:rsid w:val="009340D6"/>
    <w:rsid w:val="009345E1"/>
    <w:rsid w:val="00934789"/>
    <w:rsid w:val="009348D0"/>
    <w:rsid w:val="00934945"/>
    <w:rsid w:val="009350D6"/>
    <w:rsid w:val="00935148"/>
    <w:rsid w:val="00935184"/>
    <w:rsid w:val="0093531B"/>
    <w:rsid w:val="00935509"/>
    <w:rsid w:val="009355F7"/>
    <w:rsid w:val="009357B4"/>
    <w:rsid w:val="00935AA8"/>
    <w:rsid w:val="00935DC1"/>
    <w:rsid w:val="0093604E"/>
    <w:rsid w:val="0093615C"/>
    <w:rsid w:val="009365E6"/>
    <w:rsid w:val="00936F88"/>
    <w:rsid w:val="009377DD"/>
    <w:rsid w:val="0093791C"/>
    <w:rsid w:val="00937C65"/>
    <w:rsid w:val="0094032A"/>
    <w:rsid w:val="00940621"/>
    <w:rsid w:val="00940D23"/>
    <w:rsid w:val="00940DCD"/>
    <w:rsid w:val="00940E52"/>
    <w:rsid w:val="00941722"/>
    <w:rsid w:val="0094180B"/>
    <w:rsid w:val="009418F8"/>
    <w:rsid w:val="00941EBB"/>
    <w:rsid w:val="00942025"/>
    <w:rsid w:val="009423EF"/>
    <w:rsid w:val="0094243D"/>
    <w:rsid w:val="0094267F"/>
    <w:rsid w:val="00942F40"/>
    <w:rsid w:val="00943835"/>
    <w:rsid w:val="00943CD5"/>
    <w:rsid w:val="009440A7"/>
    <w:rsid w:val="00944C66"/>
    <w:rsid w:val="00945291"/>
    <w:rsid w:val="00945517"/>
    <w:rsid w:val="009456FE"/>
    <w:rsid w:val="00945B92"/>
    <w:rsid w:val="009461DC"/>
    <w:rsid w:val="009462EE"/>
    <w:rsid w:val="00946C90"/>
    <w:rsid w:val="00946CFD"/>
    <w:rsid w:val="00947134"/>
    <w:rsid w:val="009474A9"/>
    <w:rsid w:val="0094751F"/>
    <w:rsid w:val="009478CF"/>
    <w:rsid w:val="00947DC1"/>
    <w:rsid w:val="00950EC6"/>
    <w:rsid w:val="009511DE"/>
    <w:rsid w:val="00951FC0"/>
    <w:rsid w:val="00952487"/>
    <w:rsid w:val="0095256A"/>
    <w:rsid w:val="00952D6A"/>
    <w:rsid w:val="00952D83"/>
    <w:rsid w:val="009533A9"/>
    <w:rsid w:val="00953B41"/>
    <w:rsid w:val="00953FDF"/>
    <w:rsid w:val="00954317"/>
    <w:rsid w:val="00954440"/>
    <w:rsid w:val="009544C4"/>
    <w:rsid w:val="00954617"/>
    <w:rsid w:val="00954C9B"/>
    <w:rsid w:val="00954DF5"/>
    <w:rsid w:val="0095537F"/>
    <w:rsid w:val="009553FD"/>
    <w:rsid w:val="009556B0"/>
    <w:rsid w:val="009559CE"/>
    <w:rsid w:val="009566FC"/>
    <w:rsid w:val="00956C2D"/>
    <w:rsid w:val="00956F90"/>
    <w:rsid w:val="009578A7"/>
    <w:rsid w:val="00957C51"/>
    <w:rsid w:val="00957F2D"/>
    <w:rsid w:val="00960FFA"/>
    <w:rsid w:val="00961361"/>
    <w:rsid w:val="0096139E"/>
    <w:rsid w:val="00962637"/>
    <w:rsid w:val="0096265A"/>
    <w:rsid w:val="00962934"/>
    <w:rsid w:val="0096314E"/>
    <w:rsid w:val="0096335E"/>
    <w:rsid w:val="009636F4"/>
    <w:rsid w:val="00963A5B"/>
    <w:rsid w:val="00963F54"/>
    <w:rsid w:val="00963F87"/>
    <w:rsid w:val="0096406D"/>
    <w:rsid w:val="009640C4"/>
    <w:rsid w:val="00964604"/>
    <w:rsid w:val="00964B10"/>
    <w:rsid w:val="009655C9"/>
    <w:rsid w:val="00965738"/>
    <w:rsid w:val="00965CE1"/>
    <w:rsid w:val="00965E31"/>
    <w:rsid w:val="00966475"/>
    <w:rsid w:val="00966735"/>
    <w:rsid w:val="00966ACF"/>
    <w:rsid w:val="00967949"/>
    <w:rsid w:val="00967E23"/>
    <w:rsid w:val="0097038D"/>
    <w:rsid w:val="009707C5"/>
    <w:rsid w:val="009708D2"/>
    <w:rsid w:val="009709EF"/>
    <w:rsid w:val="00970A99"/>
    <w:rsid w:val="0097116C"/>
    <w:rsid w:val="00971173"/>
    <w:rsid w:val="009713F4"/>
    <w:rsid w:val="009714DA"/>
    <w:rsid w:val="0097152A"/>
    <w:rsid w:val="0097167D"/>
    <w:rsid w:val="0097172D"/>
    <w:rsid w:val="00971765"/>
    <w:rsid w:val="0097184A"/>
    <w:rsid w:val="009718DA"/>
    <w:rsid w:val="00971AC2"/>
    <w:rsid w:val="00971E6D"/>
    <w:rsid w:val="00972271"/>
    <w:rsid w:val="009723DB"/>
    <w:rsid w:val="00972400"/>
    <w:rsid w:val="00973513"/>
    <w:rsid w:val="009736FF"/>
    <w:rsid w:val="00973DBC"/>
    <w:rsid w:val="00974266"/>
    <w:rsid w:val="009742E5"/>
    <w:rsid w:val="00974874"/>
    <w:rsid w:val="00974964"/>
    <w:rsid w:val="00974D1E"/>
    <w:rsid w:val="009756BE"/>
    <w:rsid w:val="0097589A"/>
    <w:rsid w:val="00975A89"/>
    <w:rsid w:val="00975AE2"/>
    <w:rsid w:val="00975C59"/>
    <w:rsid w:val="00975CAD"/>
    <w:rsid w:val="00975FEC"/>
    <w:rsid w:val="009760B3"/>
    <w:rsid w:val="00976222"/>
    <w:rsid w:val="00976535"/>
    <w:rsid w:val="00976A63"/>
    <w:rsid w:val="009771C9"/>
    <w:rsid w:val="0097721D"/>
    <w:rsid w:val="0097745F"/>
    <w:rsid w:val="0097771C"/>
    <w:rsid w:val="00977A34"/>
    <w:rsid w:val="00977A6E"/>
    <w:rsid w:val="00977C10"/>
    <w:rsid w:val="009800BC"/>
    <w:rsid w:val="00980314"/>
    <w:rsid w:val="009807E1"/>
    <w:rsid w:val="00980F95"/>
    <w:rsid w:val="00981020"/>
    <w:rsid w:val="00981426"/>
    <w:rsid w:val="00981664"/>
    <w:rsid w:val="00981698"/>
    <w:rsid w:val="0098197D"/>
    <w:rsid w:val="00981ACB"/>
    <w:rsid w:val="00982797"/>
    <w:rsid w:val="00983258"/>
    <w:rsid w:val="0098350A"/>
    <w:rsid w:val="00983C52"/>
    <w:rsid w:val="00983DC0"/>
    <w:rsid w:val="009848F7"/>
    <w:rsid w:val="00984CB6"/>
    <w:rsid w:val="00984CC5"/>
    <w:rsid w:val="009851A1"/>
    <w:rsid w:val="0098520E"/>
    <w:rsid w:val="0098522D"/>
    <w:rsid w:val="00985922"/>
    <w:rsid w:val="00985BDE"/>
    <w:rsid w:val="009860F5"/>
    <w:rsid w:val="009861F3"/>
    <w:rsid w:val="00986415"/>
    <w:rsid w:val="009874DB"/>
    <w:rsid w:val="0098782C"/>
    <w:rsid w:val="0098789B"/>
    <w:rsid w:val="00987A8E"/>
    <w:rsid w:val="00987E5A"/>
    <w:rsid w:val="00987FF9"/>
    <w:rsid w:val="0099003A"/>
    <w:rsid w:val="0099037B"/>
    <w:rsid w:val="0099038E"/>
    <w:rsid w:val="00990757"/>
    <w:rsid w:val="00990A0D"/>
    <w:rsid w:val="00990CCB"/>
    <w:rsid w:val="00990CF3"/>
    <w:rsid w:val="0099111A"/>
    <w:rsid w:val="00991133"/>
    <w:rsid w:val="0099173A"/>
    <w:rsid w:val="00991748"/>
    <w:rsid w:val="009917CE"/>
    <w:rsid w:val="009919EF"/>
    <w:rsid w:val="0099309A"/>
    <w:rsid w:val="0099310B"/>
    <w:rsid w:val="00993803"/>
    <w:rsid w:val="0099386B"/>
    <w:rsid w:val="00993953"/>
    <w:rsid w:val="009946F4"/>
    <w:rsid w:val="0099478E"/>
    <w:rsid w:val="00994829"/>
    <w:rsid w:val="00994917"/>
    <w:rsid w:val="00994A5D"/>
    <w:rsid w:val="00994DD2"/>
    <w:rsid w:val="009956BD"/>
    <w:rsid w:val="00995ECA"/>
    <w:rsid w:val="00996017"/>
    <w:rsid w:val="009961DD"/>
    <w:rsid w:val="00996242"/>
    <w:rsid w:val="009962B7"/>
    <w:rsid w:val="0099636A"/>
    <w:rsid w:val="009966DB"/>
    <w:rsid w:val="00996E87"/>
    <w:rsid w:val="00996F6A"/>
    <w:rsid w:val="009979F1"/>
    <w:rsid w:val="00997D92"/>
    <w:rsid w:val="009A03AC"/>
    <w:rsid w:val="009A0790"/>
    <w:rsid w:val="009A07FF"/>
    <w:rsid w:val="009A0B27"/>
    <w:rsid w:val="009A0CD5"/>
    <w:rsid w:val="009A12E2"/>
    <w:rsid w:val="009A16A2"/>
    <w:rsid w:val="009A1848"/>
    <w:rsid w:val="009A18D0"/>
    <w:rsid w:val="009A1F29"/>
    <w:rsid w:val="009A206B"/>
    <w:rsid w:val="009A20CE"/>
    <w:rsid w:val="009A2358"/>
    <w:rsid w:val="009A266C"/>
    <w:rsid w:val="009A285E"/>
    <w:rsid w:val="009A2B11"/>
    <w:rsid w:val="009A2C67"/>
    <w:rsid w:val="009A31A1"/>
    <w:rsid w:val="009A370B"/>
    <w:rsid w:val="009A3B1F"/>
    <w:rsid w:val="009A4279"/>
    <w:rsid w:val="009A4AD5"/>
    <w:rsid w:val="009A4EF7"/>
    <w:rsid w:val="009A520C"/>
    <w:rsid w:val="009A5A35"/>
    <w:rsid w:val="009A5D71"/>
    <w:rsid w:val="009A5F39"/>
    <w:rsid w:val="009A612B"/>
    <w:rsid w:val="009A6434"/>
    <w:rsid w:val="009A6C6E"/>
    <w:rsid w:val="009A6E07"/>
    <w:rsid w:val="009A71E5"/>
    <w:rsid w:val="009A7437"/>
    <w:rsid w:val="009A76BE"/>
    <w:rsid w:val="009A76E5"/>
    <w:rsid w:val="009A773C"/>
    <w:rsid w:val="009A7819"/>
    <w:rsid w:val="009A7E8B"/>
    <w:rsid w:val="009B07DA"/>
    <w:rsid w:val="009B0CF7"/>
    <w:rsid w:val="009B12EB"/>
    <w:rsid w:val="009B13E3"/>
    <w:rsid w:val="009B1679"/>
    <w:rsid w:val="009B1684"/>
    <w:rsid w:val="009B2994"/>
    <w:rsid w:val="009B2D54"/>
    <w:rsid w:val="009B2F33"/>
    <w:rsid w:val="009B30A2"/>
    <w:rsid w:val="009B3B0D"/>
    <w:rsid w:val="009B3F12"/>
    <w:rsid w:val="009B408C"/>
    <w:rsid w:val="009B4663"/>
    <w:rsid w:val="009B46CC"/>
    <w:rsid w:val="009B474C"/>
    <w:rsid w:val="009B4A1D"/>
    <w:rsid w:val="009B4CE9"/>
    <w:rsid w:val="009B4DED"/>
    <w:rsid w:val="009B50F8"/>
    <w:rsid w:val="009B51CA"/>
    <w:rsid w:val="009B59BE"/>
    <w:rsid w:val="009B5B0A"/>
    <w:rsid w:val="009B622D"/>
    <w:rsid w:val="009B6509"/>
    <w:rsid w:val="009B7388"/>
    <w:rsid w:val="009B74A9"/>
    <w:rsid w:val="009B75C8"/>
    <w:rsid w:val="009B7724"/>
    <w:rsid w:val="009B7AE4"/>
    <w:rsid w:val="009B7CCC"/>
    <w:rsid w:val="009B7D08"/>
    <w:rsid w:val="009B7D51"/>
    <w:rsid w:val="009B7D72"/>
    <w:rsid w:val="009B7E77"/>
    <w:rsid w:val="009B7ED6"/>
    <w:rsid w:val="009C038D"/>
    <w:rsid w:val="009C050B"/>
    <w:rsid w:val="009C0592"/>
    <w:rsid w:val="009C08D5"/>
    <w:rsid w:val="009C102F"/>
    <w:rsid w:val="009C10DB"/>
    <w:rsid w:val="009C2005"/>
    <w:rsid w:val="009C204B"/>
    <w:rsid w:val="009C2307"/>
    <w:rsid w:val="009C23A6"/>
    <w:rsid w:val="009C2402"/>
    <w:rsid w:val="009C2668"/>
    <w:rsid w:val="009C27FC"/>
    <w:rsid w:val="009C33AD"/>
    <w:rsid w:val="009C3556"/>
    <w:rsid w:val="009C3B24"/>
    <w:rsid w:val="009C4439"/>
    <w:rsid w:val="009C4C72"/>
    <w:rsid w:val="009C4F06"/>
    <w:rsid w:val="009C5083"/>
    <w:rsid w:val="009C5087"/>
    <w:rsid w:val="009C511F"/>
    <w:rsid w:val="009C5CBE"/>
    <w:rsid w:val="009C6AAE"/>
    <w:rsid w:val="009C6B68"/>
    <w:rsid w:val="009C75BC"/>
    <w:rsid w:val="009C78A1"/>
    <w:rsid w:val="009C7DD3"/>
    <w:rsid w:val="009C7E18"/>
    <w:rsid w:val="009D0C73"/>
    <w:rsid w:val="009D0C97"/>
    <w:rsid w:val="009D0CA4"/>
    <w:rsid w:val="009D0E0B"/>
    <w:rsid w:val="009D119A"/>
    <w:rsid w:val="009D1554"/>
    <w:rsid w:val="009D19F7"/>
    <w:rsid w:val="009D1E62"/>
    <w:rsid w:val="009D1E82"/>
    <w:rsid w:val="009D20E5"/>
    <w:rsid w:val="009D2393"/>
    <w:rsid w:val="009D23DB"/>
    <w:rsid w:val="009D2640"/>
    <w:rsid w:val="009D2D79"/>
    <w:rsid w:val="009D3246"/>
    <w:rsid w:val="009D35C6"/>
    <w:rsid w:val="009D362A"/>
    <w:rsid w:val="009D3833"/>
    <w:rsid w:val="009D3995"/>
    <w:rsid w:val="009D3A39"/>
    <w:rsid w:val="009D3B65"/>
    <w:rsid w:val="009D3F55"/>
    <w:rsid w:val="009D4140"/>
    <w:rsid w:val="009D4895"/>
    <w:rsid w:val="009D4B09"/>
    <w:rsid w:val="009D4D57"/>
    <w:rsid w:val="009D5502"/>
    <w:rsid w:val="009D5850"/>
    <w:rsid w:val="009D5D35"/>
    <w:rsid w:val="009D6AFD"/>
    <w:rsid w:val="009D6C2E"/>
    <w:rsid w:val="009D6F0E"/>
    <w:rsid w:val="009D7052"/>
    <w:rsid w:val="009D758D"/>
    <w:rsid w:val="009D75DF"/>
    <w:rsid w:val="009D7EA5"/>
    <w:rsid w:val="009E0918"/>
    <w:rsid w:val="009E11F8"/>
    <w:rsid w:val="009E177E"/>
    <w:rsid w:val="009E198C"/>
    <w:rsid w:val="009E1DBF"/>
    <w:rsid w:val="009E2A10"/>
    <w:rsid w:val="009E2ACB"/>
    <w:rsid w:val="009E2E2B"/>
    <w:rsid w:val="009E310A"/>
    <w:rsid w:val="009E31A8"/>
    <w:rsid w:val="009E3B16"/>
    <w:rsid w:val="009E3E98"/>
    <w:rsid w:val="009E3FC1"/>
    <w:rsid w:val="009E40FE"/>
    <w:rsid w:val="009E4376"/>
    <w:rsid w:val="009E4AF7"/>
    <w:rsid w:val="009E4BE4"/>
    <w:rsid w:val="009E4D0B"/>
    <w:rsid w:val="009E50E4"/>
    <w:rsid w:val="009E534B"/>
    <w:rsid w:val="009E5A4B"/>
    <w:rsid w:val="009E5E20"/>
    <w:rsid w:val="009E615D"/>
    <w:rsid w:val="009E6297"/>
    <w:rsid w:val="009E64BC"/>
    <w:rsid w:val="009E653E"/>
    <w:rsid w:val="009E6B9C"/>
    <w:rsid w:val="009E6FBA"/>
    <w:rsid w:val="009E7008"/>
    <w:rsid w:val="009E763E"/>
    <w:rsid w:val="009E77EE"/>
    <w:rsid w:val="009E7C85"/>
    <w:rsid w:val="009E7D12"/>
    <w:rsid w:val="009E7D2F"/>
    <w:rsid w:val="009E7E9B"/>
    <w:rsid w:val="009F0667"/>
    <w:rsid w:val="009F0B9A"/>
    <w:rsid w:val="009F156C"/>
    <w:rsid w:val="009F1F14"/>
    <w:rsid w:val="009F221B"/>
    <w:rsid w:val="009F266D"/>
    <w:rsid w:val="009F2877"/>
    <w:rsid w:val="009F2D46"/>
    <w:rsid w:val="009F2DA6"/>
    <w:rsid w:val="009F327F"/>
    <w:rsid w:val="009F3419"/>
    <w:rsid w:val="009F3B33"/>
    <w:rsid w:val="009F3F33"/>
    <w:rsid w:val="009F4CC5"/>
    <w:rsid w:val="009F50F3"/>
    <w:rsid w:val="009F52CE"/>
    <w:rsid w:val="009F5536"/>
    <w:rsid w:val="009F5A78"/>
    <w:rsid w:val="009F5AF3"/>
    <w:rsid w:val="009F5B5B"/>
    <w:rsid w:val="009F5CDE"/>
    <w:rsid w:val="009F5DB0"/>
    <w:rsid w:val="009F5ED1"/>
    <w:rsid w:val="009F6286"/>
    <w:rsid w:val="009F62A9"/>
    <w:rsid w:val="009F6633"/>
    <w:rsid w:val="009F6CFB"/>
    <w:rsid w:val="009F6FD6"/>
    <w:rsid w:val="009F7490"/>
    <w:rsid w:val="009F751E"/>
    <w:rsid w:val="009F7583"/>
    <w:rsid w:val="009F76FC"/>
    <w:rsid w:val="009F79E0"/>
    <w:rsid w:val="009F7C80"/>
    <w:rsid w:val="009F7F09"/>
    <w:rsid w:val="00A00605"/>
    <w:rsid w:val="00A00B0A"/>
    <w:rsid w:val="00A00B89"/>
    <w:rsid w:val="00A00BC2"/>
    <w:rsid w:val="00A00D2E"/>
    <w:rsid w:val="00A00D36"/>
    <w:rsid w:val="00A012E4"/>
    <w:rsid w:val="00A0157C"/>
    <w:rsid w:val="00A01DF5"/>
    <w:rsid w:val="00A0212D"/>
    <w:rsid w:val="00A02359"/>
    <w:rsid w:val="00A02993"/>
    <w:rsid w:val="00A03238"/>
    <w:rsid w:val="00A03264"/>
    <w:rsid w:val="00A032FA"/>
    <w:rsid w:val="00A03797"/>
    <w:rsid w:val="00A03BC2"/>
    <w:rsid w:val="00A04148"/>
    <w:rsid w:val="00A04220"/>
    <w:rsid w:val="00A04E43"/>
    <w:rsid w:val="00A061AE"/>
    <w:rsid w:val="00A06507"/>
    <w:rsid w:val="00A0656B"/>
    <w:rsid w:val="00A06616"/>
    <w:rsid w:val="00A06D89"/>
    <w:rsid w:val="00A0725C"/>
    <w:rsid w:val="00A075D5"/>
    <w:rsid w:val="00A0795F"/>
    <w:rsid w:val="00A10549"/>
    <w:rsid w:val="00A10565"/>
    <w:rsid w:val="00A1068E"/>
    <w:rsid w:val="00A10BFA"/>
    <w:rsid w:val="00A11053"/>
    <w:rsid w:val="00A115A8"/>
    <w:rsid w:val="00A11783"/>
    <w:rsid w:val="00A11E13"/>
    <w:rsid w:val="00A11EB6"/>
    <w:rsid w:val="00A11FE3"/>
    <w:rsid w:val="00A12218"/>
    <w:rsid w:val="00A124D5"/>
    <w:rsid w:val="00A128C7"/>
    <w:rsid w:val="00A12EF8"/>
    <w:rsid w:val="00A12F70"/>
    <w:rsid w:val="00A131FF"/>
    <w:rsid w:val="00A13206"/>
    <w:rsid w:val="00A1359C"/>
    <w:rsid w:val="00A13665"/>
    <w:rsid w:val="00A1382F"/>
    <w:rsid w:val="00A13B77"/>
    <w:rsid w:val="00A13D2C"/>
    <w:rsid w:val="00A14261"/>
    <w:rsid w:val="00A14650"/>
    <w:rsid w:val="00A14953"/>
    <w:rsid w:val="00A153A9"/>
    <w:rsid w:val="00A156FC"/>
    <w:rsid w:val="00A15DA9"/>
    <w:rsid w:val="00A165B1"/>
    <w:rsid w:val="00A17014"/>
    <w:rsid w:val="00A17743"/>
    <w:rsid w:val="00A177F3"/>
    <w:rsid w:val="00A17AD1"/>
    <w:rsid w:val="00A2004F"/>
    <w:rsid w:val="00A2005B"/>
    <w:rsid w:val="00A201F7"/>
    <w:rsid w:val="00A205B7"/>
    <w:rsid w:val="00A20755"/>
    <w:rsid w:val="00A209D5"/>
    <w:rsid w:val="00A20D0E"/>
    <w:rsid w:val="00A21416"/>
    <w:rsid w:val="00A2179A"/>
    <w:rsid w:val="00A2182C"/>
    <w:rsid w:val="00A21C73"/>
    <w:rsid w:val="00A2225E"/>
    <w:rsid w:val="00A222DE"/>
    <w:rsid w:val="00A2256E"/>
    <w:rsid w:val="00A22853"/>
    <w:rsid w:val="00A229E5"/>
    <w:rsid w:val="00A22BB9"/>
    <w:rsid w:val="00A23321"/>
    <w:rsid w:val="00A23456"/>
    <w:rsid w:val="00A23E50"/>
    <w:rsid w:val="00A240A9"/>
    <w:rsid w:val="00A24871"/>
    <w:rsid w:val="00A24E51"/>
    <w:rsid w:val="00A25076"/>
    <w:rsid w:val="00A252CC"/>
    <w:rsid w:val="00A25805"/>
    <w:rsid w:val="00A25CB3"/>
    <w:rsid w:val="00A260BD"/>
    <w:rsid w:val="00A26483"/>
    <w:rsid w:val="00A26DAD"/>
    <w:rsid w:val="00A26FBF"/>
    <w:rsid w:val="00A27152"/>
    <w:rsid w:val="00A27260"/>
    <w:rsid w:val="00A274E7"/>
    <w:rsid w:val="00A275FD"/>
    <w:rsid w:val="00A27D67"/>
    <w:rsid w:val="00A27D96"/>
    <w:rsid w:val="00A27EC9"/>
    <w:rsid w:val="00A3047A"/>
    <w:rsid w:val="00A305A9"/>
    <w:rsid w:val="00A3068E"/>
    <w:rsid w:val="00A3093D"/>
    <w:rsid w:val="00A30A28"/>
    <w:rsid w:val="00A30A61"/>
    <w:rsid w:val="00A30B8A"/>
    <w:rsid w:val="00A30C80"/>
    <w:rsid w:val="00A30E86"/>
    <w:rsid w:val="00A31441"/>
    <w:rsid w:val="00A314AC"/>
    <w:rsid w:val="00A316E3"/>
    <w:rsid w:val="00A31729"/>
    <w:rsid w:val="00A31EE0"/>
    <w:rsid w:val="00A3229D"/>
    <w:rsid w:val="00A328A4"/>
    <w:rsid w:val="00A329FD"/>
    <w:rsid w:val="00A32AD0"/>
    <w:rsid w:val="00A32CEF"/>
    <w:rsid w:val="00A33087"/>
    <w:rsid w:val="00A332B6"/>
    <w:rsid w:val="00A34610"/>
    <w:rsid w:val="00A34AD7"/>
    <w:rsid w:val="00A34D1C"/>
    <w:rsid w:val="00A34E29"/>
    <w:rsid w:val="00A34F60"/>
    <w:rsid w:val="00A35B21"/>
    <w:rsid w:val="00A35E75"/>
    <w:rsid w:val="00A35E98"/>
    <w:rsid w:val="00A364BA"/>
    <w:rsid w:val="00A368B7"/>
    <w:rsid w:val="00A3692C"/>
    <w:rsid w:val="00A36E09"/>
    <w:rsid w:val="00A371EE"/>
    <w:rsid w:val="00A372DB"/>
    <w:rsid w:val="00A3755D"/>
    <w:rsid w:val="00A37BEF"/>
    <w:rsid w:val="00A37FDE"/>
    <w:rsid w:val="00A40069"/>
    <w:rsid w:val="00A40A9C"/>
    <w:rsid w:val="00A41033"/>
    <w:rsid w:val="00A41407"/>
    <w:rsid w:val="00A41AE6"/>
    <w:rsid w:val="00A42578"/>
    <w:rsid w:val="00A4297B"/>
    <w:rsid w:val="00A43450"/>
    <w:rsid w:val="00A434C3"/>
    <w:rsid w:val="00A4444B"/>
    <w:rsid w:val="00A44471"/>
    <w:rsid w:val="00A44C86"/>
    <w:rsid w:val="00A45C66"/>
    <w:rsid w:val="00A45E28"/>
    <w:rsid w:val="00A46CF4"/>
    <w:rsid w:val="00A46F5C"/>
    <w:rsid w:val="00A478CB"/>
    <w:rsid w:val="00A47D2A"/>
    <w:rsid w:val="00A47E2C"/>
    <w:rsid w:val="00A502F0"/>
    <w:rsid w:val="00A50795"/>
    <w:rsid w:val="00A50798"/>
    <w:rsid w:val="00A507C5"/>
    <w:rsid w:val="00A50BD1"/>
    <w:rsid w:val="00A50C6C"/>
    <w:rsid w:val="00A50D94"/>
    <w:rsid w:val="00A51A6C"/>
    <w:rsid w:val="00A51BC3"/>
    <w:rsid w:val="00A51F0C"/>
    <w:rsid w:val="00A526BB"/>
    <w:rsid w:val="00A528D2"/>
    <w:rsid w:val="00A529BC"/>
    <w:rsid w:val="00A53193"/>
    <w:rsid w:val="00A5320A"/>
    <w:rsid w:val="00A5365C"/>
    <w:rsid w:val="00A53FB8"/>
    <w:rsid w:val="00A53FD0"/>
    <w:rsid w:val="00A54D38"/>
    <w:rsid w:val="00A54F5B"/>
    <w:rsid w:val="00A550C8"/>
    <w:rsid w:val="00A55245"/>
    <w:rsid w:val="00A554AD"/>
    <w:rsid w:val="00A558BE"/>
    <w:rsid w:val="00A55BC4"/>
    <w:rsid w:val="00A55EC9"/>
    <w:rsid w:val="00A562B5"/>
    <w:rsid w:val="00A5634E"/>
    <w:rsid w:val="00A56781"/>
    <w:rsid w:val="00A56932"/>
    <w:rsid w:val="00A5705E"/>
    <w:rsid w:val="00A570E4"/>
    <w:rsid w:val="00A577C7"/>
    <w:rsid w:val="00A57D34"/>
    <w:rsid w:val="00A57E6D"/>
    <w:rsid w:val="00A600AF"/>
    <w:rsid w:val="00A612F0"/>
    <w:rsid w:val="00A616B5"/>
    <w:rsid w:val="00A61983"/>
    <w:rsid w:val="00A61DAA"/>
    <w:rsid w:val="00A61FD4"/>
    <w:rsid w:val="00A6239E"/>
    <w:rsid w:val="00A62823"/>
    <w:rsid w:val="00A62E3E"/>
    <w:rsid w:val="00A62E79"/>
    <w:rsid w:val="00A63675"/>
    <w:rsid w:val="00A63954"/>
    <w:rsid w:val="00A63EB0"/>
    <w:rsid w:val="00A6407C"/>
    <w:rsid w:val="00A642B5"/>
    <w:rsid w:val="00A64D42"/>
    <w:rsid w:val="00A64E33"/>
    <w:rsid w:val="00A64E4C"/>
    <w:rsid w:val="00A65004"/>
    <w:rsid w:val="00A650E6"/>
    <w:rsid w:val="00A6519F"/>
    <w:rsid w:val="00A65410"/>
    <w:rsid w:val="00A655AE"/>
    <w:rsid w:val="00A65C4F"/>
    <w:rsid w:val="00A66072"/>
    <w:rsid w:val="00A660D0"/>
    <w:rsid w:val="00A661F7"/>
    <w:rsid w:val="00A66537"/>
    <w:rsid w:val="00A665BA"/>
    <w:rsid w:val="00A666A6"/>
    <w:rsid w:val="00A673F0"/>
    <w:rsid w:val="00A676CD"/>
    <w:rsid w:val="00A67AF8"/>
    <w:rsid w:val="00A67BCA"/>
    <w:rsid w:val="00A70070"/>
    <w:rsid w:val="00A70268"/>
    <w:rsid w:val="00A704CC"/>
    <w:rsid w:val="00A706EB"/>
    <w:rsid w:val="00A707F6"/>
    <w:rsid w:val="00A70A1A"/>
    <w:rsid w:val="00A70F87"/>
    <w:rsid w:val="00A71531"/>
    <w:rsid w:val="00A71C1F"/>
    <w:rsid w:val="00A72292"/>
    <w:rsid w:val="00A727AD"/>
    <w:rsid w:val="00A72BF9"/>
    <w:rsid w:val="00A72C9F"/>
    <w:rsid w:val="00A73243"/>
    <w:rsid w:val="00A735EA"/>
    <w:rsid w:val="00A73642"/>
    <w:rsid w:val="00A736A9"/>
    <w:rsid w:val="00A737E3"/>
    <w:rsid w:val="00A7394A"/>
    <w:rsid w:val="00A7493F"/>
    <w:rsid w:val="00A74AA5"/>
    <w:rsid w:val="00A752CF"/>
    <w:rsid w:val="00A753E8"/>
    <w:rsid w:val="00A754BF"/>
    <w:rsid w:val="00A758F2"/>
    <w:rsid w:val="00A7591D"/>
    <w:rsid w:val="00A75E46"/>
    <w:rsid w:val="00A76448"/>
    <w:rsid w:val="00A766BC"/>
    <w:rsid w:val="00A7693E"/>
    <w:rsid w:val="00A76A43"/>
    <w:rsid w:val="00A76A59"/>
    <w:rsid w:val="00A76F12"/>
    <w:rsid w:val="00A771F8"/>
    <w:rsid w:val="00A77536"/>
    <w:rsid w:val="00A77802"/>
    <w:rsid w:val="00A77F53"/>
    <w:rsid w:val="00A80D4C"/>
    <w:rsid w:val="00A80E27"/>
    <w:rsid w:val="00A81214"/>
    <w:rsid w:val="00A8121C"/>
    <w:rsid w:val="00A81A62"/>
    <w:rsid w:val="00A81B99"/>
    <w:rsid w:val="00A81F12"/>
    <w:rsid w:val="00A822CE"/>
    <w:rsid w:val="00A828B6"/>
    <w:rsid w:val="00A82BA7"/>
    <w:rsid w:val="00A82D9F"/>
    <w:rsid w:val="00A82EFD"/>
    <w:rsid w:val="00A8360E"/>
    <w:rsid w:val="00A83C15"/>
    <w:rsid w:val="00A83EC5"/>
    <w:rsid w:val="00A84074"/>
    <w:rsid w:val="00A84548"/>
    <w:rsid w:val="00A847E1"/>
    <w:rsid w:val="00A847F4"/>
    <w:rsid w:val="00A84926"/>
    <w:rsid w:val="00A84C99"/>
    <w:rsid w:val="00A85624"/>
    <w:rsid w:val="00A8584B"/>
    <w:rsid w:val="00A858DE"/>
    <w:rsid w:val="00A8599C"/>
    <w:rsid w:val="00A861DB"/>
    <w:rsid w:val="00A86578"/>
    <w:rsid w:val="00A86901"/>
    <w:rsid w:val="00A86CE6"/>
    <w:rsid w:val="00A87171"/>
    <w:rsid w:val="00A87691"/>
    <w:rsid w:val="00A8776E"/>
    <w:rsid w:val="00A90661"/>
    <w:rsid w:val="00A906C7"/>
    <w:rsid w:val="00A913FC"/>
    <w:rsid w:val="00A91B54"/>
    <w:rsid w:val="00A92249"/>
    <w:rsid w:val="00A92556"/>
    <w:rsid w:val="00A9259D"/>
    <w:rsid w:val="00A92B1E"/>
    <w:rsid w:val="00A92B93"/>
    <w:rsid w:val="00A92BF1"/>
    <w:rsid w:val="00A93B61"/>
    <w:rsid w:val="00A93C18"/>
    <w:rsid w:val="00A93E64"/>
    <w:rsid w:val="00A945F6"/>
    <w:rsid w:val="00A94717"/>
    <w:rsid w:val="00A94AC6"/>
    <w:rsid w:val="00A94C63"/>
    <w:rsid w:val="00A94EBF"/>
    <w:rsid w:val="00A94FD5"/>
    <w:rsid w:val="00A9501B"/>
    <w:rsid w:val="00A95CF0"/>
    <w:rsid w:val="00A95DEB"/>
    <w:rsid w:val="00A96132"/>
    <w:rsid w:val="00A96172"/>
    <w:rsid w:val="00A96601"/>
    <w:rsid w:val="00A9676C"/>
    <w:rsid w:val="00A96F8E"/>
    <w:rsid w:val="00A970DE"/>
    <w:rsid w:val="00A97632"/>
    <w:rsid w:val="00A9763C"/>
    <w:rsid w:val="00A977F6"/>
    <w:rsid w:val="00A97E2C"/>
    <w:rsid w:val="00A97FDD"/>
    <w:rsid w:val="00AA0060"/>
    <w:rsid w:val="00AA0DC0"/>
    <w:rsid w:val="00AA0EF0"/>
    <w:rsid w:val="00AA1321"/>
    <w:rsid w:val="00AA1469"/>
    <w:rsid w:val="00AA179C"/>
    <w:rsid w:val="00AA1AC5"/>
    <w:rsid w:val="00AA1BDB"/>
    <w:rsid w:val="00AA1F1C"/>
    <w:rsid w:val="00AA2019"/>
    <w:rsid w:val="00AA20DF"/>
    <w:rsid w:val="00AA237C"/>
    <w:rsid w:val="00AA2506"/>
    <w:rsid w:val="00AA272C"/>
    <w:rsid w:val="00AA3369"/>
    <w:rsid w:val="00AA36A1"/>
    <w:rsid w:val="00AA3A43"/>
    <w:rsid w:val="00AA5140"/>
    <w:rsid w:val="00AA527E"/>
    <w:rsid w:val="00AA5651"/>
    <w:rsid w:val="00AA5850"/>
    <w:rsid w:val="00AA59C1"/>
    <w:rsid w:val="00AA5F2D"/>
    <w:rsid w:val="00AA6132"/>
    <w:rsid w:val="00AA62F8"/>
    <w:rsid w:val="00AA6319"/>
    <w:rsid w:val="00AA6676"/>
    <w:rsid w:val="00AA6789"/>
    <w:rsid w:val="00AA6816"/>
    <w:rsid w:val="00AA6B4F"/>
    <w:rsid w:val="00AA6DC6"/>
    <w:rsid w:val="00AA6E63"/>
    <w:rsid w:val="00AA6FB8"/>
    <w:rsid w:val="00AA7854"/>
    <w:rsid w:val="00AA7BE0"/>
    <w:rsid w:val="00AA7C97"/>
    <w:rsid w:val="00AA7E25"/>
    <w:rsid w:val="00AB04FB"/>
    <w:rsid w:val="00AB0557"/>
    <w:rsid w:val="00AB09C0"/>
    <w:rsid w:val="00AB0A71"/>
    <w:rsid w:val="00AB0C16"/>
    <w:rsid w:val="00AB119E"/>
    <w:rsid w:val="00AB142C"/>
    <w:rsid w:val="00AB1AD7"/>
    <w:rsid w:val="00AB1B09"/>
    <w:rsid w:val="00AB1E5D"/>
    <w:rsid w:val="00AB20EA"/>
    <w:rsid w:val="00AB22A6"/>
    <w:rsid w:val="00AB23AB"/>
    <w:rsid w:val="00AB2B81"/>
    <w:rsid w:val="00AB2DAD"/>
    <w:rsid w:val="00AB30C2"/>
    <w:rsid w:val="00AB30E7"/>
    <w:rsid w:val="00AB336B"/>
    <w:rsid w:val="00AB338F"/>
    <w:rsid w:val="00AB3710"/>
    <w:rsid w:val="00AB3BC3"/>
    <w:rsid w:val="00AB403E"/>
    <w:rsid w:val="00AB4410"/>
    <w:rsid w:val="00AB46D1"/>
    <w:rsid w:val="00AB4EF2"/>
    <w:rsid w:val="00AB5064"/>
    <w:rsid w:val="00AB554D"/>
    <w:rsid w:val="00AB5757"/>
    <w:rsid w:val="00AB59AA"/>
    <w:rsid w:val="00AB5F27"/>
    <w:rsid w:val="00AB5FCA"/>
    <w:rsid w:val="00AB61AB"/>
    <w:rsid w:val="00AB61D1"/>
    <w:rsid w:val="00AB65A2"/>
    <w:rsid w:val="00AB6605"/>
    <w:rsid w:val="00AB6D73"/>
    <w:rsid w:val="00AB73D5"/>
    <w:rsid w:val="00AB777A"/>
    <w:rsid w:val="00AB7A67"/>
    <w:rsid w:val="00AC0D1D"/>
    <w:rsid w:val="00AC0D96"/>
    <w:rsid w:val="00AC0F4A"/>
    <w:rsid w:val="00AC0FC2"/>
    <w:rsid w:val="00AC1440"/>
    <w:rsid w:val="00AC1889"/>
    <w:rsid w:val="00AC1ECF"/>
    <w:rsid w:val="00AC286B"/>
    <w:rsid w:val="00AC290A"/>
    <w:rsid w:val="00AC3BA3"/>
    <w:rsid w:val="00AC410A"/>
    <w:rsid w:val="00AC4358"/>
    <w:rsid w:val="00AC4A03"/>
    <w:rsid w:val="00AC4C00"/>
    <w:rsid w:val="00AC4C1E"/>
    <w:rsid w:val="00AC52B2"/>
    <w:rsid w:val="00AC5AAA"/>
    <w:rsid w:val="00AC5B4A"/>
    <w:rsid w:val="00AC5DF2"/>
    <w:rsid w:val="00AC6129"/>
    <w:rsid w:val="00AC6178"/>
    <w:rsid w:val="00AC6651"/>
    <w:rsid w:val="00AC676F"/>
    <w:rsid w:val="00AC6A09"/>
    <w:rsid w:val="00AC6B37"/>
    <w:rsid w:val="00AC6C23"/>
    <w:rsid w:val="00AC6C59"/>
    <w:rsid w:val="00AC6E9A"/>
    <w:rsid w:val="00AC72CE"/>
    <w:rsid w:val="00AC7767"/>
    <w:rsid w:val="00AC7FCB"/>
    <w:rsid w:val="00AD0044"/>
    <w:rsid w:val="00AD019C"/>
    <w:rsid w:val="00AD0257"/>
    <w:rsid w:val="00AD0F53"/>
    <w:rsid w:val="00AD17D6"/>
    <w:rsid w:val="00AD1BA4"/>
    <w:rsid w:val="00AD246A"/>
    <w:rsid w:val="00AD2574"/>
    <w:rsid w:val="00AD278C"/>
    <w:rsid w:val="00AD2BDC"/>
    <w:rsid w:val="00AD2C29"/>
    <w:rsid w:val="00AD2FC9"/>
    <w:rsid w:val="00AD34AD"/>
    <w:rsid w:val="00AD3ABA"/>
    <w:rsid w:val="00AD4068"/>
    <w:rsid w:val="00AD40FD"/>
    <w:rsid w:val="00AD4485"/>
    <w:rsid w:val="00AD4877"/>
    <w:rsid w:val="00AD4A22"/>
    <w:rsid w:val="00AD4D1F"/>
    <w:rsid w:val="00AD4D33"/>
    <w:rsid w:val="00AD561F"/>
    <w:rsid w:val="00AD57B7"/>
    <w:rsid w:val="00AD5821"/>
    <w:rsid w:val="00AD60A4"/>
    <w:rsid w:val="00AD66B4"/>
    <w:rsid w:val="00AD672F"/>
    <w:rsid w:val="00AD6A51"/>
    <w:rsid w:val="00AD6AE2"/>
    <w:rsid w:val="00AD6B34"/>
    <w:rsid w:val="00AD6D52"/>
    <w:rsid w:val="00AD6F5C"/>
    <w:rsid w:val="00AD706C"/>
    <w:rsid w:val="00AD7590"/>
    <w:rsid w:val="00AD7A04"/>
    <w:rsid w:val="00AD7D27"/>
    <w:rsid w:val="00AD7F5C"/>
    <w:rsid w:val="00AE0571"/>
    <w:rsid w:val="00AE0920"/>
    <w:rsid w:val="00AE0DCF"/>
    <w:rsid w:val="00AE0ED9"/>
    <w:rsid w:val="00AE1499"/>
    <w:rsid w:val="00AE18A7"/>
    <w:rsid w:val="00AE1AA3"/>
    <w:rsid w:val="00AE2164"/>
    <w:rsid w:val="00AE226E"/>
    <w:rsid w:val="00AE24B4"/>
    <w:rsid w:val="00AE29CE"/>
    <w:rsid w:val="00AE2BAE"/>
    <w:rsid w:val="00AE2F82"/>
    <w:rsid w:val="00AE3001"/>
    <w:rsid w:val="00AE3098"/>
    <w:rsid w:val="00AE3267"/>
    <w:rsid w:val="00AE3279"/>
    <w:rsid w:val="00AE384F"/>
    <w:rsid w:val="00AE3875"/>
    <w:rsid w:val="00AE3E7A"/>
    <w:rsid w:val="00AE3E94"/>
    <w:rsid w:val="00AE3EB0"/>
    <w:rsid w:val="00AE4315"/>
    <w:rsid w:val="00AE4AA8"/>
    <w:rsid w:val="00AE4BC6"/>
    <w:rsid w:val="00AE4BFD"/>
    <w:rsid w:val="00AE5729"/>
    <w:rsid w:val="00AE59B4"/>
    <w:rsid w:val="00AE5D92"/>
    <w:rsid w:val="00AE64D4"/>
    <w:rsid w:val="00AE676A"/>
    <w:rsid w:val="00AE68E7"/>
    <w:rsid w:val="00AE6923"/>
    <w:rsid w:val="00AE705F"/>
    <w:rsid w:val="00AE7064"/>
    <w:rsid w:val="00AE71D7"/>
    <w:rsid w:val="00AE7994"/>
    <w:rsid w:val="00AE7A8A"/>
    <w:rsid w:val="00AF005E"/>
    <w:rsid w:val="00AF02BB"/>
    <w:rsid w:val="00AF0506"/>
    <w:rsid w:val="00AF0575"/>
    <w:rsid w:val="00AF0E00"/>
    <w:rsid w:val="00AF1604"/>
    <w:rsid w:val="00AF1BE4"/>
    <w:rsid w:val="00AF2010"/>
    <w:rsid w:val="00AF23F1"/>
    <w:rsid w:val="00AF2785"/>
    <w:rsid w:val="00AF2BDA"/>
    <w:rsid w:val="00AF2F67"/>
    <w:rsid w:val="00AF3063"/>
    <w:rsid w:val="00AF3148"/>
    <w:rsid w:val="00AF314E"/>
    <w:rsid w:val="00AF33F3"/>
    <w:rsid w:val="00AF33FD"/>
    <w:rsid w:val="00AF34A3"/>
    <w:rsid w:val="00AF365A"/>
    <w:rsid w:val="00AF3857"/>
    <w:rsid w:val="00AF3B9D"/>
    <w:rsid w:val="00AF3D1E"/>
    <w:rsid w:val="00AF4278"/>
    <w:rsid w:val="00AF4560"/>
    <w:rsid w:val="00AF482B"/>
    <w:rsid w:val="00AF4B56"/>
    <w:rsid w:val="00AF4C03"/>
    <w:rsid w:val="00AF4CC9"/>
    <w:rsid w:val="00AF5177"/>
    <w:rsid w:val="00AF5361"/>
    <w:rsid w:val="00AF5551"/>
    <w:rsid w:val="00AF5D9B"/>
    <w:rsid w:val="00AF5E41"/>
    <w:rsid w:val="00AF624B"/>
    <w:rsid w:val="00AF70FF"/>
    <w:rsid w:val="00AF72A4"/>
    <w:rsid w:val="00AF762D"/>
    <w:rsid w:val="00AF76E9"/>
    <w:rsid w:val="00AF7888"/>
    <w:rsid w:val="00AF78DA"/>
    <w:rsid w:val="00B00136"/>
    <w:rsid w:val="00B003B6"/>
    <w:rsid w:val="00B0076C"/>
    <w:rsid w:val="00B007A7"/>
    <w:rsid w:val="00B00912"/>
    <w:rsid w:val="00B00A1F"/>
    <w:rsid w:val="00B00ACF"/>
    <w:rsid w:val="00B016ED"/>
    <w:rsid w:val="00B0195B"/>
    <w:rsid w:val="00B01ACF"/>
    <w:rsid w:val="00B01C1D"/>
    <w:rsid w:val="00B01EF9"/>
    <w:rsid w:val="00B01F69"/>
    <w:rsid w:val="00B0324F"/>
    <w:rsid w:val="00B034E3"/>
    <w:rsid w:val="00B035F0"/>
    <w:rsid w:val="00B036C2"/>
    <w:rsid w:val="00B038F5"/>
    <w:rsid w:val="00B040A3"/>
    <w:rsid w:val="00B04172"/>
    <w:rsid w:val="00B041DA"/>
    <w:rsid w:val="00B0430E"/>
    <w:rsid w:val="00B0457F"/>
    <w:rsid w:val="00B0472D"/>
    <w:rsid w:val="00B04C3D"/>
    <w:rsid w:val="00B05022"/>
    <w:rsid w:val="00B054E1"/>
    <w:rsid w:val="00B0609E"/>
    <w:rsid w:val="00B063E0"/>
    <w:rsid w:val="00B066BA"/>
    <w:rsid w:val="00B06E4B"/>
    <w:rsid w:val="00B072E9"/>
    <w:rsid w:val="00B077D5"/>
    <w:rsid w:val="00B07F0F"/>
    <w:rsid w:val="00B1025A"/>
    <w:rsid w:val="00B10861"/>
    <w:rsid w:val="00B10B7F"/>
    <w:rsid w:val="00B110A3"/>
    <w:rsid w:val="00B115A2"/>
    <w:rsid w:val="00B11FC1"/>
    <w:rsid w:val="00B11FDB"/>
    <w:rsid w:val="00B12309"/>
    <w:rsid w:val="00B128B4"/>
    <w:rsid w:val="00B12CB0"/>
    <w:rsid w:val="00B12E65"/>
    <w:rsid w:val="00B136B8"/>
    <w:rsid w:val="00B137CF"/>
    <w:rsid w:val="00B1395F"/>
    <w:rsid w:val="00B13ACB"/>
    <w:rsid w:val="00B13D89"/>
    <w:rsid w:val="00B1423C"/>
    <w:rsid w:val="00B151C1"/>
    <w:rsid w:val="00B1592E"/>
    <w:rsid w:val="00B15BA9"/>
    <w:rsid w:val="00B15DB9"/>
    <w:rsid w:val="00B15FCE"/>
    <w:rsid w:val="00B1625A"/>
    <w:rsid w:val="00B162AF"/>
    <w:rsid w:val="00B16473"/>
    <w:rsid w:val="00B16680"/>
    <w:rsid w:val="00B16835"/>
    <w:rsid w:val="00B169E6"/>
    <w:rsid w:val="00B16A82"/>
    <w:rsid w:val="00B16C87"/>
    <w:rsid w:val="00B16EE2"/>
    <w:rsid w:val="00B171D0"/>
    <w:rsid w:val="00B17893"/>
    <w:rsid w:val="00B179B4"/>
    <w:rsid w:val="00B17BF6"/>
    <w:rsid w:val="00B200DB"/>
    <w:rsid w:val="00B20774"/>
    <w:rsid w:val="00B20E12"/>
    <w:rsid w:val="00B20EA2"/>
    <w:rsid w:val="00B20FEA"/>
    <w:rsid w:val="00B210FC"/>
    <w:rsid w:val="00B2198C"/>
    <w:rsid w:val="00B21DFE"/>
    <w:rsid w:val="00B224A9"/>
    <w:rsid w:val="00B225C0"/>
    <w:rsid w:val="00B22DFE"/>
    <w:rsid w:val="00B22FB4"/>
    <w:rsid w:val="00B23058"/>
    <w:rsid w:val="00B23458"/>
    <w:rsid w:val="00B23738"/>
    <w:rsid w:val="00B24243"/>
    <w:rsid w:val="00B242C4"/>
    <w:rsid w:val="00B243C5"/>
    <w:rsid w:val="00B24477"/>
    <w:rsid w:val="00B24479"/>
    <w:rsid w:val="00B24812"/>
    <w:rsid w:val="00B24C62"/>
    <w:rsid w:val="00B24D38"/>
    <w:rsid w:val="00B24E25"/>
    <w:rsid w:val="00B24E6A"/>
    <w:rsid w:val="00B24EBD"/>
    <w:rsid w:val="00B2565C"/>
    <w:rsid w:val="00B2582C"/>
    <w:rsid w:val="00B258FA"/>
    <w:rsid w:val="00B25E4C"/>
    <w:rsid w:val="00B262DB"/>
    <w:rsid w:val="00B26302"/>
    <w:rsid w:val="00B26B3E"/>
    <w:rsid w:val="00B26EA3"/>
    <w:rsid w:val="00B2705F"/>
    <w:rsid w:val="00B270BB"/>
    <w:rsid w:val="00B27142"/>
    <w:rsid w:val="00B279E2"/>
    <w:rsid w:val="00B27DCE"/>
    <w:rsid w:val="00B30149"/>
    <w:rsid w:val="00B30826"/>
    <w:rsid w:val="00B30853"/>
    <w:rsid w:val="00B308AF"/>
    <w:rsid w:val="00B30B59"/>
    <w:rsid w:val="00B30D27"/>
    <w:rsid w:val="00B30E66"/>
    <w:rsid w:val="00B31495"/>
    <w:rsid w:val="00B3170B"/>
    <w:rsid w:val="00B31E97"/>
    <w:rsid w:val="00B3266D"/>
    <w:rsid w:val="00B328A1"/>
    <w:rsid w:val="00B329F3"/>
    <w:rsid w:val="00B32B5D"/>
    <w:rsid w:val="00B32CB4"/>
    <w:rsid w:val="00B33094"/>
    <w:rsid w:val="00B33447"/>
    <w:rsid w:val="00B336E0"/>
    <w:rsid w:val="00B33905"/>
    <w:rsid w:val="00B339DD"/>
    <w:rsid w:val="00B33FF8"/>
    <w:rsid w:val="00B340BF"/>
    <w:rsid w:val="00B342AA"/>
    <w:rsid w:val="00B34621"/>
    <w:rsid w:val="00B348E0"/>
    <w:rsid w:val="00B34D14"/>
    <w:rsid w:val="00B34DD0"/>
    <w:rsid w:val="00B34FF3"/>
    <w:rsid w:val="00B35309"/>
    <w:rsid w:val="00B357B7"/>
    <w:rsid w:val="00B359BB"/>
    <w:rsid w:val="00B35C3A"/>
    <w:rsid w:val="00B35E08"/>
    <w:rsid w:val="00B3607E"/>
    <w:rsid w:val="00B36719"/>
    <w:rsid w:val="00B36CB4"/>
    <w:rsid w:val="00B36EC6"/>
    <w:rsid w:val="00B36FA4"/>
    <w:rsid w:val="00B37041"/>
    <w:rsid w:val="00B3743D"/>
    <w:rsid w:val="00B37F7B"/>
    <w:rsid w:val="00B410E7"/>
    <w:rsid w:val="00B4115E"/>
    <w:rsid w:val="00B423E3"/>
    <w:rsid w:val="00B425AC"/>
    <w:rsid w:val="00B4262B"/>
    <w:rsid w:val="00B42799"/>
    <w:rsid w:val="00B427C7"/>
    <w:rsid w:val="00B42876"/>
    <w:rsid w:val="00B4291A"/>
    <w:rsid w:val="00B42B5D"/>
    <w:rsid w:val="00B42B73"/>
    <w:rsid w:val="00B433DF"/>
    <w:rsid w:val="00B435F2"/>
    <w:rsid w:val="00B4364A"/>
    <w:rsid w:val="00B43CF1"/>
    <w:rsid w:val="00B43F2D"/>
    <w:rsid w:val="00B43F77"/>
    <w:rsid w:val="00B44007"/>
    <w:rsid w:val="00B44498"/>
    <w:rsid w:val="00B44D7B"/>
    <w:rsid w:val="00B45312"/>
    <w:rsid w:val="00B45352"/>
    <w:rsid w:val="00B4552F"/>
    <w:rsid w:val="00B456D9"/>
    <w:rsid w:val="00B457D5"/>
    <w:rsid w:val="00B45CA7"/>
    <w:rsid w:val="00B46561"/>
    <w:rsid w:val="00B469CC"/>
    <w:rsid w:val="00B46A48"/>
    <w:rsid w:val="00B471F2"/>
    <w:rsid w:val="00B47461"/>
    <w:rsid w:val="00B47519"/>
    <w:rsid w:val="00B475AA"/>
    <w:rsid w:val="00B47957"/>
    <w:rsid w:val="00B47CED"/>
    <w:rsid w:val="00B47D83"/>
    <w:rsid w:val="00B47FA9"/>
    <w:rsid w:val="00B500A4"/>
    <w:rsid w:val="00B504DC"/>
    <w:rsid w:val="00B508B5"/>
    <w:rsid w:val="00B50BFD"/>
    <w:rsid w:val="00B50F6C"/>
    <w:rsid w:val="00B50FA2"/>
    <w:rsid w:val="00B510EE"/>
    <w:rsid w:val="00B51129"/>
    <w:rsid w:val="00B5172C"/>
    <w:rsid w:val="00B51D99"/>
    <w:rsid w:val="00B52A02"/>
    <w:rsid w:val="00B52D05"/>
    <w:rsid w:val="00B52E16"/>
    <w:rsid w:val="00B53051"/>
    <w:rsid w:val="00B53A2E"/>
    <w:rsid w:val="00B53A50"/>
    <w:rsid w:val="00B54186"/>
    <w:rsid w:val="00B5420D"/>
    <w:rsid w:val="00B54552"/>
    <w:rsid w:val="00B54CAE"/>
    <w:rsid w:val="00B54E28"/>
    <w:rsid w:val="00B55305"/>
    <w:rsid w:val="00B55313"/>
    <w:rsid w:val="00B556D1"/>
    <w:rsid w:val="00B559B3"/>
    <w:rsid w:val="00B55A15"/>
    <w:rsid w:val="00B56423"/>
    <w:rsid w:val="00B564EE"/>
    <w:rsid w:val="00B566A8"/>
    <w:rsid w:val="00B56AE4"/>
    <w:rsid w:val="00B56CA8"/>
    <w:rsid w:val="00B571FB"/>
    <w:rsid w:val="00B57301"/>
    <w:rsid w:val="00B57407"/>
    <w:rsid w:val="00B5758E"/>
    <w:rsid w:val="00B57E3E"/>
    <w:rsid w:val="00B57F41"/>
    <w:rsid w:val="00B607A4"/>
    <w:rsid w:val="00B607FB"/>
    <w:rsid w:val="00B608B1"/>
    <w:rsid w:val="00B60975"/>
    <w:rsid w:val="00B60C38"/>
    <w:rsid w:val="00B61613"/>
    <w:rsid w:val="00B617CF"/>
    <w:rsid w:val="00B618AF"/>
    <w:rsid w:val="00B61C7C"/>
    <w:rsid w:val="00B622CF"/>
    <w:rsid w:val="00B626E7"/>
    <w:rsid w:val="00B62B49"/>
    <w:rsid w:val="00B62B5E"/>
    <w:rsid w:val="00B62C0E"/>
    <w:rsid w:val="00B62F22"/>
    <w:rsid w:val="00B632FD"/>
    <w:rsid w:val="00B6395E"/>
    <w:rsid w:val="00B63963"/>
    <w:rsid w:val="00B639C1"/>
    <w:rsid w:val="00B63D69"/>
    <w:rsid w:val="00B63F32"/>
    <w:rsid w:val="00B6405D"/>
    <w:rsid w:val="00B64364"/>
    <w:rsid w:val="00B64FB4"/>
    <w:rsid w:val="00B650B6"/>
    <w:rsid w:val="00B65192"/>
    <w:rsid w:val="00B65471"/>
    <w:rsid w:val="00B658BE"/>
    <w:rsid w:val="00B65CBB"/>
    <w:rsid w:val="00B65DA0"/>
    <w:rsid w:val="00B65E26"/>
    <w:rsid w:val="00B661AF"/>
    <w:rsid w:val="00B66817"/>
    <w:rsid w:val="00B66878"/>
    <w:rsid w:val="00B67AD0"/>
    <w:rsid w:val="00B67B95"/>
    <w:rsid w:val="00B67C14"/>
    <w:rsid w:val="00B67EA4"/>
    <w:rsid w:val="00B701CE"/>
    <w:rsid w:val="00B70492"/>
    <w:rsid w:val="00B70612"/>
    <w:rsid w:val="00B70631"/>
    <w:rsid w:val="00B7141F"/>
    <w:rsid w:val="00B714AC"/>
    <w:rsid w:val="00B71C8A"/>
    <w:rsid w:val="00B72013"/>
    <w:rsid w:val="00B72059"/>
    <w:rsid w:val="00B721F8"/>
    <w:rsid w:val="00B727AF"/>
    <w:rsid w:val="00B72989"/>
    <w:rsid w:val="00B729C6"/>
    <w:rsid w:val="00B729EA"/>
    <w:rsid w:val="00B73054"/>
    <w:rsid w:val="00B73476"/>
    <w:rsid w:val="00B73BC3"/>
    <w:rsid w:val="00B73D5A"/>
    <w:rsid w:val="00B73FDA"/>
    <w:rsid w:val="00B743BB"/>
    <w:rsid w:val="00B744BC"/>
    <w:rsid w:val="00B7496A"/>
    <w:rsid w:val="00B74A49"/>
    <w:rsid w:val="00B74BD9"/>
    <w:rsid w:val="00B75397"/>
    <w:rsid w:val="00B75442"/>
    <w:rsid w:val="00B75660"/>
    <w:rsid w:val="00B756B1"/>
    <w:rsid w:val="00B75AB9"/>
    <w:rsid w:val="00B75C9A"/>
    <w:rsid w:val="00B75EF2"/>
    <w:rsid w:val="00B769D2"/>
    <w:rsid w:val="00B76AF6"/>
    <w:rsid w:val="00B76DB9"/>
    <w:rsid w:val="00B76F08"/>
    <w:rsid w:val="00B771AE"/>
    <w:rsid w:val="00B77977"/>
    <w:rsid w:val="00B77B8D"/>
    <w:rsid w:val="00B77C8E"/>
    <w:rsid w:val="00B809EF"/>
    <w:rsid w:val="00B80BE6"/>
    <w:rsid w:val="00B80EE8"/>
    <w:rsid w:val="00B8174F"/>
    <w:rsid w:val="00B81A23"/>
    <w:rsid w:val="00B81B31"/>
    <w:rsid w:val="00B81BD2"/>
    <w:rsid w:val="00B81BE5"/>
    <w:rsid w:val="00B81C1E"/>
    <w:rsid w:val="00B8267B"/>
    <w:rsid w:val="00B82D76"/>
    <w:rsid w:val="00B83042"/>
    <w:rsid w:val="00B833CA"/>
    <w:rsid w:val="00B8354E"/>
    <w:rsid w:val="00B835C2"/>
    <w:rsid w:val="00B8411B"/>
    <w:rsid w:val="00B84360"/>
    <w:rsid w:val="00B84370"/>
    <w:rsid w:val="00B84FFF"/>
    <w:rsid w:val="00B85112"/>
    <w:rsid w:val="00B85270"/>
    <w:rsid w:val="00B8569B"/>
    <w:rsid w:val="00B85EF5"/>
    <w:rsid w:val="00B86612"/>
    <w:rsid w:val="00B86B03"/>
    <w:rsid w:val="00B86C54"/>
    <w:rsid w:val="00B8737D"/>
    <w:rsid w:val="00B8739A"/>
    <w:rsid w:val="00B87443"/>
    <w:rsid w:val="00B8751F"/>
    <w:rsid w:val="00B875FF"/>
    <w:rsid w:val="00B87818"/>
    <w:rsid w:val="00B878FD"/>
    <w:rsid w:val="00B8790F"/>
    <w:rsid w:val="00B87A4D"/>
    <w:rsid w:val="00B87BF3"/>
    <w:rsid w:val="00B87FA7"/>
    <w:rsid w:val="00B90444"/>
    <w:rsid w:val="00B91135"/>
    <w:rsid w:val="00B91307"/>
    <w:rsid w:val="00B914C7"/>
    <w:rsid w:val="00B91A07"/>
    <w:rsid w:val="00B91B8A"/>
    <w:rsid w:val="00B91D8C"/>
    <w:rsid w:val="00B921C7"/>
    <w:rsid w:val="00B9225A"/>
    <w:rsid w:val="00B92A1C"/>
    <w:rsid w:val="00B93373"/>
    <w:rsid w:val="00B9349A"/>
    <w:rsid w:val="00B94367"/>
    <w:rsid w:val="00B949A1"/>
    <w:rsid w:val="00B94BE1"/>
    <w:rsid w:val="00B953F7"/>
    <w:rsid w:val="00B95515"/>
    <w:rsid w:val="00B95B36"/>
    <w:rsid w:val="00B95C8E"/>
    <w:rsid w:val="00B964C6"/>
    <w:rsid w:val="00B968F0"/>
    <w:rsid w:val="00B96BAC"/>
    <w:rsid w:val="00B96C8A"/>
    <w:rsid w:val="00B9797F"/>
    <w:rsid w:val="00B979DB"/>
    <w:rsid w:val="00B97B68"/>
    <w:rsid w:val="00BA05D8"/>
    <w:rsid w:val="00BA06FE"/>
    <w:rsid w:val="00BA07AA"/>
    <w:rsid w:val="00BA0B27"/>
    <w:rsid w:val="00BA0D8E"/>
    <w:rsid w:val="00BA176C"/>
    <w:rsid w:val="00BA1923"/>
    <w:rsid w:val="00BA19AF"/>
    <w:rsid w:val="00BA1FD0"/>
    <w:rsid w:val="00BA240E"/>
    <w:rsid w:val="00BA25D7"/>
    <w:rsid w:val="00BA3252"/>
    <w:rsid w:val="00BA33D4"/>
    <w:rsid w:val="00BA35A3"/>
    <w:rsid w:val="00BA3BB9"/>
    <w:rsid w:val="00BA4B2F"/>
    <w:rsid w:val="00BA4DAC"/>
    <w:rsid w:val="00BA4EDE"/>
    <w:rsid w:val="00BA515C"/>
    <w:rsid w:val="00BA54A1"/>
    <w:rsid w:val="00BA556B"/>
    <w:rsid w:val="00BA5AA5"/>
    <w:rsid w:val="00BA5B1D"/>
    <w:rsid w:val="00BA68BF"/>
    <w:rsid w:val="00BA6924"/>
    <w:rsid w:val="00BA6E3E"/>
    <w:rsid w:val="00BA702C"/>
    <w:rsid w:val="00BA7232"/>
    <w:rsid w:val="00BA76C4"/>
    <w:rsid w:val="00BA775B"/>
    <w:rsid w:val="00BA795E"/>
    <w:rsid w:val="00BA7F9F"/>
    <w:rsid w:val="00BB0321"/>
    <w:rsid w:val="00BB0322"/>
    <w:rsid w:val="00BB05A7"/>
    <w:rsid w:val="00BB05D3"/>
    <w:rsid w:val="00BB08E6"/>
    <w:rsid w:val="00BB0F27"/>
    <w:rsid w:val="00BB1BDD"/>
    <w:rsid w:val="00BB1D9C"/>
    <w:rsid w:val="00BB2216"/>
    <w:rsid w:val="00BB23CF"/>
    <w:rsid w:val="00BB26FB"/>
    <w:rsid w:val="00BB2825"/>
    <w:rsid w:val="00BB287C"/>
    <w:rsid w:val="00BB28E3"/>
    <w:rsid w:val="00BB2938"/>
    <w:rsid w:val="00BB2B6D"/>
    <w:rsid w:val="00BB2FDF"/>
    <w:rsid w:val="00BB30B1"/>
    <w:rsid w:val="00BB3243"/>
    <w:rsid w:val="00BB389B"/>
    <w:rsid w:val="00BB4432"/>
    <w:rsid w:val="00BB44D5"/>
    <w:rsid w:val="00BB46E5"/>
    <w:rsid w:val="00BB4927"/>
    <w:rsid w:val="00BB4A12"/>
    <w:rsid w:val="00BB4FC7"/>
    <w:rsid w:val="00BB5064"/>
    <w:rsid w:val="00BB5078"/>
    <w:rsid w:val="00BB55A3"/>
    <w:rsid w:val="00BB5734"/>
    <w:rsid w:val="00BB5852"/>
    <w:rsid w:val="00BB5CF3"/>
    <w:rsid w:val="00BB5D14"/>
    <w:rsid w:val="00BB6062"/>
    <w:rsid w:val="00BB6532"/>
    <w:rsid w:val="00BB6612"/>
    <w:rsid w:val="00BB6C18"/>
    <w:rsid w:val="00BB6E16"/>
    <w:rsid w:val="00BB6E22"/>
    <w:rsid w:val="00BB74C8"/>
    <w:rsid w:val="00BB7D74"/>
    <w:rsid w:val="00BB7EC3"/>
    <w:rsid w:val="00BC01FD"/>
    <w:rsid w:val="00BC024A"/>
    <w:rsid w:val="00BC04B4"/>
    <w:rsid w:val="00BC059A"/>
    <w:rsid w:val="00BC0B85"/>
    <w:rsid w:val="00BC0D29"/>
    <w:rsid w:val="00BC1288"/>
    <w:rsid w:val="00BC14FA"/>
    <w:rsid w:val="00BC172D"/>
    <w:rsid w:val="00BC1756"/>
    <w:rsid w:val="00BC1BE9"/>
    <w:rsid w:val="00BC1F30"/>
    <w:rsid w:val="00BC21D6"/>
    <w:rsid w:val="00BC2539"/>
    <w:rsid w:val="00BC29ED"/>
    <w:rsid w:val="00BC2AD6"/>
    <w:rsid w:val="00BC3238"/>
    <w:rsid w:val="00BC33FB"/>
    <w:rsid w:val="00BC3830"/>
    <w:rsid w:val="00BC3A95"/>
    <w:rsid w:val="00BC3A9B"/>
    <w:rsid w:val="00BC40BC"/>
    <w:rsid w:val="00BC40C0"/>
    <w:rsid w:val="00BC459D"/>
    <w:rsid w:val="00BC47E0"/>
    <w:rsid w:val="00BC496C"/>
    <w:rsid w:val="00BC4AD4"/>
    <w:rsid w:val="00BC4C6B"/>
    <w:rsid w:val="00BC4DC8"/>
    <w:rsid w:val="00BC507B"/>
    <w:rsid w:val="00BC54A1"/>
    <w:rsid w:val="00BC58A0"/>
    <w:rsid w:val="00BC5930"/>
    <w:rsid w:val="00BC596C"/>
    <w:rsid w:val="00BC5C53"/>
    <w:rsid w:val="00BC5DDC"/>
    <w:rsid w:val="00BC60C1"/>
    <w:rsid w:val="00BC6976"/>
    <w:rsid w:val="00BC6A3B"/>
    <w:rsid w:val="00BC7088"/>
    <w:rsid w:val="00BC7127"/>
    <w:rsid w:val="00BC77A8"/>
    <w:rsid w:val="00BC7F76"/>
    <w:rsid w:val="00BD0113"/>
    <w:rsid w:val="00BD0C0D"/>
    <w:rsid w:val="00BD1041"/>
    <w:rsid w:val="00BD17B7"/>
    <w:rsid w:val="00BD185F"/>
    <w:rsid w:val="00BD1ACB"/>
    <w:rsid w:val="00BD29AA"/>
    <w:rsid w:val="00BD2D24"/>
    <w:rsid w:val="00BD3502"/>
    <w:rsid w:val="00BD3583"/>
    <w:rsid w:val="00BD35DF"/>
    <w:rsid w:val="00BD380C"/>
    <w:rsid w:val="00BD38AD"/>
    <w:rsid w:val="00BD3938"/>
    <w:rsid w:val="00BD39CD"/>
    <w:rsid w:val="00BD3CBD"/>
    <w:rsid w:val="00BD40A1"/>
    <w:rsid w:val="00BD41A5"/>
    <w:rsid w:val="00BD4906"/>
    <w:rsid w:val="00BD4CB8"/>
    <w:rsid w:val="00BD5428"/>
    <w:rsid w:val="00BD61D4"/>
    <w:rsid w:val="00BD62BB"/>
    <w:rsid w:val="00BD69D2"/>
    <w:rsid w:val="00BD6C4F"/>
    <w:rsid w:val="00BD6F59"/>
    <w:rsid w:val="00BD723E"/>
    <w:rsid w:val="00BD7ABB"/>
    <w:rsid w:val="00BD7BA2"/>
    <w:rsid w:val="00BE0163"/>
    <w:rsid w:val="00BE032F"/>
    <w:rsid w:val="00BE1403"/>
    <w:rsid w:val="00BE1716"/>
    <w:rsid w:val="00BE1D9C"/>
    <w:rsid w:val="00BE1E1D"/>
    <w:rsid w:val="00BE21E6"/>
    <w:rsid w:val="00BE2436"/>
    <w:rsid w:val="00BE247F"/>
    <w:rsid w:val="00BE283D"/>
    <w:rsid w:val="00BE2CBA"/>
    <w:rsid w:val="00BE2E66"/>
    <w:rsid w:val="00BE349A"/>
    <w:rsid w:val="00BE3714"/>
    <w:rsid w:val="00BE3BD4"/>
    <w:rsid w:val="00BE491B"/>
    <w:rsid w:val="00BE50F9"/>
    <w:rsid w:val="00BE53B4"/>
    <w:rsid w:val="00BE5678"/>
    <w:rsid w:val="00BE593F"/>
    <w:rsid w:val="00BE5D9B"/>
    <w:rsid w:val="00BE5E15"/>
    <w:rsid w:val="00BE626F"/>
    <w:rsid w:val="00BE62D8"/>
    <w:rsid w:val="00BE6616"/>
    <w:rsid w:val="00BE6741"/>
    <w:rsid w:val="00BE6853"/>
    <w:rsid w:val="00BE6C5C"/>
    <w:rsid w:val="00BE6DA0"/>
    <w:rsid w:val="00BE7082"/>
    <w:rsid w:val="00BE7227"/>
    <w:rsid w:val="00BE7318"/>
    <w:rsid w:val="00BE748B"/>
    <w:rsid w:val="00BE79BB"/>
    <w:rsid w:val="00BE7BC0"/>
    <w:rsid w:val="00BE7E84"/>
    <w:rsid w:val="00BE7E9F"/>
    <w:rsid w:val="00BF03D3"/>
    <w:rsid w:val="00BF08E3"/>
    <w:rsid w:val="00BF0D5D"/>
    <w:rsid w:val="00BF14AF"/>
    <w:rsid w:val="00BF23A8"/>
    <w:rsid w:val="00BF2C50"/>
    <w:rsid w:val="00BF2C83"/>
    <w:rsid w:val="00BF2EDA"/>
    <w:rsid w:val="00BF2F02"/>
    <w:rsid w:val="00BF2FBA"/>
    <w:rsid w:val="00BF3072"/>
    <w:rsid w:val="00BF3307"/>
    <w:rsid w:val="00BF3495"/>
    <w:rsid w:val="00BF3694"/>
    <w:rsid w:val="00BF388F"/>
    <w:rsid w:val="00BF3C57"/>
    <w:rsid w:val="00BF3C95"/>
    <w:rsid w:val="00BF3D05"/>
    <w:rsid w:val="00BF463A"/>
    <w:rsid w:val="00BF4798"/>
    <w:rsid w:val="00BF4D78"/>
    <w:rsid w:val="00BF4EBD"/>
    <w:rsid w:val="00BF53A6"/>
    <w:rsid w:val="00BF549D"/>
    <w:rsid w:val="00BF563D"/>
    <w:rsid w:val="00BF6100"/>
    <w:rsid w:val="00BF6104"/>
    <w:rsid w:val="00BF6414"/>
    <w:rsid w:val="00BF6F25"/>
    <w:rsid w:val="00BF707E"/>
    <w:rsid w:val="00BF70E0"/>
    <w:rsid w:val="00BF7B3B"/>
    <w:rsid w:val="00BF7B8F"/>
    <w:rsid w:val="00BF7C87"/>
    <w:rsid w:val="00BF7EC5"/>
    <w:rsid w:val="00C0000D"/>
    <w:rsid w:val="00C0022E"/>
    <w:rsid w:val="00C00A71"/>
    <w:rsid w:val="00C00C1C"/>
    <w:rsid w:val="00C00F94"/>
    <w:rsid w:val="00C012CA"/>
    <w:rsid w:val="00C01E1B"/>
    <w:rsid w:val="00C020B8"/>
    <w:rsid w:val="00C02290"/>
    <w:rsid w:val="00C0336C"/>
    <w:rsid w:val="00C03428"/>
    <w:rsid w:val="00C03984"/>
    <w:rsid w:val="00C03F0D"/>
    <w:rsid w:val="00C0437A"/>
    <w:rsid w:val="00C04697"/>
    <w:rsid w:val="00C04ABB"/>
    <w:rsid w:val="00C04C6F"/>
    <w:rsid w:val="00C04D17"/>
    <w:rsid w:val="00C054B8"/>
    <w:rsid w:val="00C05509"/>
    <w:rsid w:val="00C05B8E"/>
    <w:rsid w:val="00C06471"/>
    <w:rsid w:val="00C108B6"/>
    <w:rsid w:val="00C11319"/>
    <w:rsid w:val="00C11449"/>
    <w:rsid w:val="00C1161B"/>
    <w:rsid w:val="00C11EEA"/>
    <w:rsid w:val="00C11FEE"/>
    <w:rsid w:val="00C12370"/>
    <w:rsid w:val="00C125C0"/>
    <w:rsid w:val="00C13791"/>
    <w:rsid w:val="00C137B2"/>
    <w:rsid w:val="00C13875"/>
    <w:rsid w:val="00C138D7"/>
    <w:rsid w:val="00C13997"/>
    <w:rsid w:val="00C13BC6"/>
    <w:rsid w:val="00C13BFC"/>
    <w:rsid w:val="00C13C01"/>
    <w:rsid w:val="00C13C31"/>
    <w:rsid w:val="00C14570"/>
    <w:rsid w:val="00C1498F"/>
    <w:rsid w:val="00C14CB1"/>
    <w:rsid w:val="00C14D61"/>
    <w:rsid w:val="00C1534C"/>
    <w:rsid w:val="00C156AE"/>
    <w:rsid w:val="00C16028"/>
    <w:rsid w:val="00C165A3"/>
    <w:rsid w:val="00C16804"/>
    <w:rsid w:val="00C17184"/>
    <w:rsid w:val="00C171C0"/>
    <w:rsid w:val="00C1744E"/>
    <w:rsid w:val="00C17557"/>
    <w:rsid w:val="00C17633"/>
    <w:rsid w:val="00C1789D"/>
    <w:rsid w:val="00C17DED"/>
    <w:rsid w:val="00C17EAB"/>
    <w:rsid w:val="00C17F83"/>
    <w:rsid w:val="00C200B4"/>
    <w:rsid w:val="00C20331"/>
    <w:rsid w:val="00C203E6"/>
    <w:rsid w:val="00C208D2"/>
    <w:rsid w:val="00C20D67"/>
    <w:rsid w:val="00C213B6"/>
    <w:rsid w:val="00C2181C"/>
    <w:rsid w:val="00C21971"/>
    <w:rsid w:val="00C22006"/>
    <w:rsid w:val="00C22658"/>
    <w:rsid w:val="00C22BA9"/>
    <w:rsid w:val="00C23939"/>
    <w:rsid w:val="00C23A0E"/>
    <w:rsid w:val="00C244EC"/>
    <w:rsid w:val="00C245A6"/>
    <w:rsid w:val="00C2476C"/>
    <w:rsid w:val="00C24A2F"/>
    <w:rsid w:val="00C24B9F"/>
    <w:rsid w:val="00C24CC2"/>
    <w:rsid w:val="00C24D61"/>
    <w:rsid w:val="00C24FEB"/>
    <w:rsid w:val="00C25311"/>
    <w:rsid w:val="00C25509"/>
    <w:rsid w:val="00C25ED7"/>
    <w:rsid w:val="00C2643E"/>
    <w:rsid w:val="00C265A9"/>
    <w:rsid w:val="00C26B57"/>
    <w:rsid w:val="00C26FCC"/>
    <w:rsid w:val="00C27192"/>
    <w:rsid w:val="00C27D24"/>
    <w:rsid w:val="00C3011F"/>
    <w:rsid w:val="00C3043A"/>
    <w:rsid w:val="00C30697"/>
    <w:rsid w:val="00C30E21"/>
    <w:rsid w:val="00C3114C"/>
    <w:rsid w:val="00C313E7"/>
    <w:rsid w:val="00C319AA"/>
    <w:rsid w:val="00C31A6A"/>
    <w:rsid w:val="00C3254F"/>
    <w:rsid w:val="00C331FC"/>
    <w:rsid w:val="00C33B85"/>
    <w:rsid w:val="00C3401C"/>
    <w:rsid w:val="00C34290"/>
    <w:rsid w:val="00C34313"/>
    <w:rsid w:val="00C34349"/>
    <w:rsid w:val="00C34562"/>
    <w:rsid w:val="00C34738"/>
    <w:rsid w:val="00C34A8C"/>
    <w:rsid w:val="00C34CBE"/>
    <w:rsid w:val="00C34EE0"/>
    <w:rsid w:val="00C351CF"/>
    <w:rsid w:val="00C35572"/>
    <w:rsid w:val="00C35C58"/>
    <w:rsid w:val="00C3653C"/>
    <w:rsid w:val="00C36F63"/>
    <w:rsid w:val="00C37438"/>
    <w:rsid w:val="00C375C4"/>
    <w:rsid w:val="00C376A1"/>
    <w:rsid w:val="00C37D3B"/>
    <w:rsid w:val="00C37E83"/>
    <w:rsid w:val="00C37EC7"/>
    <w:rsid w:val="00C37FC9"/>
    <w:rsid w:val="00C4022B"/>
    <w:rsid w:val="00C402DB"/>
    <w:rsid w:val="00C404F3"/>
    <w:rsid w:val="00C40852"/>
    <w:rsid w:val="00C40B01"/>
    <w:rsid w:val="00C40B33"/>
    <w:rsid w:val="00C413ED"/>
    <w:rsid w:val="00C41B75"/>
    <w:rsid w:val="00C4208E"/>
    <w:rsid w:val="00C4269B"/>
    <w:rsid w:val="00C426F8"/>
    <w:rsid w:val="00C4289B"/>
    <w:rsid w:val="00C43088"/>
    <w:rsid w:val="00C4340D"/>
    <w:rsid w:val="00C435E0"/>
    <w:rsid w:val="00C43D31"/>
    <w:rsid w:val="00C441F4"/>
    <w:rsid w:val="00C4489C"/>
    <w:rsid w:val="00C44CAC"/>
    <w:rsid w:val="00C44E85"/>
    <w:rsid w:val="00C44FF8"/>
    <w:rsid w:val="00C4500C"/>
    <w:rsid w:val="00C451B6"/>
    <w:rsid w:val="00C45416"/>
    <w:rsid w:val="00C459BF"/>
    <w:rsid w:val="00C45BF0"/>
    <w:rsid w:val="00C4602E"/>
    <w:rsid w:val="00C46596"/>
    <w:rsid w:val="00C4665F"/>
    <w:rsid w:val="00C46FCD"/>
    <w:rsid w:val="00C47128"/>
    <w:rsid w:val="00C473F0"/>
    <w:rsid w:val="00C474D8"/>
    <w:rsid w:val="00C47748"/>
    <w:rsid w:val="00C47957"/>
    <w:rsid w:val="00C47D10"/>
    <w:rsid w:val="00C5007C"/>
    <w:rsid w:val="00C50340"/>
    <w:rsid w:val="00C504DC"/>
    <w:rsid w:val="00C508F4"/>
    <w:rsid w:val="00C50A81"/>
    <w:rsid w:val="00C50AD4"/>
    <w:rsid w:val="00C51A82"/>
    <w:rsid w:val="00C51B8B"/>
    <w:rsid w:val="00C51B90"/>
    <w:rsid w:val="00C51BD0"/>
    <w:rsid w:val="00C51BDF"/>
    <w:rsid w:val="00C51BEE"/>
    <w:rsid w:val="00C51CE8"/>
    <w:rsid w:val="00C51DD1"/>
    <w:rsid w:val="00C52017"/>
    <w:rsid w:val="00C52100"/>
    <w:rsid w:val="00C52339"/>
    <w:rsid w:val="00C5291D"/>
    <w:rsid w:val="00C52943"/>
    <w:rsid w:val="00C529E6"/>
    <w:rsid w:val="00C52BBE"/>
    <w:rsid w:val="00C52EA9"/>
    <w:rsid w:val="00C53077"/>
    <w:rsid w:val="00C532F8"/>
    <w:rsid w:val="00C53947"/>
    <w:rsid w:val="00C53D32"/>
    <w:rsid w:val="00C5406B"/>
    <w:rsid w:val="00C5428D"/>
    <w:rsid w:val="00C543AD"/>
    <w:rsid w:val="00C544C8"/>
    <w:rsid w:val="00C5453E"/>
    <w:rsid w:val="00C547F2"/>
    <w:rsid w:val="00C548C1"/>
    <w:rsid w:val="00C54A81"/>
    <w:rsid w:val="00C54E6F"/>
    <w:rsid w:val="00C54FD7"/>
    <w:rsid w:val="00C55639"/>
    <w:rsid w:val="00C556C9"/>
    <w:rsid w:val="00C569E3"/>
    <w:rsid w:val="00C57557"/>
    <w:rsid w:val="00C5772E"/>
    <w:rsid w:val="00C57CFE"/>
    <w:rsid w:val="00C60B0A"/>
    <w:rsid w:val="00C60D1F"/>
    <w:rsid w:val="00C60DCF"/>
    <w:rsid w:val="00C60FC9"/>
    <w:rsid w:val="00C61651"/>
    <w:rsid w:val="00C61967"/>
    <w:rsid w:val="00C619B6"/>
    <w:rsid w:val="00C61BCA"/>
    <w:rsid w:val="00C61D2E"/>
    <w:rsid w:val="00C62067"/>
    <w:rsid w:val="00C620D2"/>
    <w:rsid w:val="00C62108"/>
    <w:rsid w:val="00C62241"/>
    <w:rsid w:val="00C62272"/>
    <w:rsid w:val="00C6244C"/>
    <w:rsid w:val="00C62495"/>
    <w:rsid w:val="00C624B3"/>
    <w:rsid w:val="00C6306F"/>
    <w:rsid w:val="00C6315E"/>
    <w:rsid w:val="00C63356"/>
    <w:rsid w:val="00C63387"/>
    <w:rsid w:val="00C63565"/>
    <w:rsid w:val="00C63679"/>
    <w:rsid w:val="00C637CA"/>
    <w:rsid w:val="00C64904"/>
    <w:rsid w:val="00C64A5E"/>
    <w:rsid w:val="00C64E99"/>
    <w:rsid w:val="00C64FD0"/>
    <w:rsid w:val="00C652DE"/>
    <w:rsid w:val="00C6568E"/>
    <w:rsid w:val="00C6592D"/>
    <w:rsid w:val="00C6593C"/>
    <w:rsid w:val="00C65A5C"/>
    <w:rsid w:val="00C65B55"/>
    <w:rsid w:val="00C66071"/>
    <w:rsid w:val="00C66076"/>
    <w:rsid w:val="00C67271"/>
    <w:rsid w:val="00C6771A"/>
    <w:rsid w:val="00C67BEF"/>
    <w:rsid w:val="00C67C69"/>
    <w:rsid w:val="00C70322"/>
    <w:rsid w:val="00C704A1"/>
    <w:rsid w:val="00C707AE"/>
    <w:rsid w:val="00C70A6B"/>
    <w:rsid w:val="00C7136F"/>
    <w:rsid w:val="00C71411"/>
    <w:rsid w:val="00C716C1"/>
    <w:rsid w:val="00C72469"/>
    <w:rsid w:val="00C725F1"/>
    <w:rsid w:val="00C72D93"/>
    <w:rsid w:val="00C73A70"/>
    <w:rsid w:val="00C742FD"/>
    <w:rsid w:val="00C74456"/>
    <w:rsid w:val="00C7469C"/>
    <w:rsid w:val="00C7472A"/>
    <w:rsid w:val="00C752BD"/>
    <w:rsid w:val="00C75948"/>
    <w:rsid w:val="00C760CD"/>
    <w:rsid w:val="00C76868"/>
    <w:rsid w:val="00C769B8"/>
    <w:rsid w:val="00C771E6"/>
    <w:rsid w:val="00C771F6"/>
    <w:rsid w:val="00C77206"/>
    <w:rsid w:val="00C7747F"/>
    <w:rsid w:val="00C7757D"/>
    <w:rsid w:val="00C800DC"/>
    <w:rsid w:val="00C80282"/>
    <w:rsid w:val="00C8093B"/>
    <w:rsid w:val="00C8104E"/>
    <w:rsid w:val="00C81C10"/>
    <w:rsid w:val="00C81CC0"/>
    <w:rsid w:val="00C821EC"/>
    <w:rsid w:val="00C82242"/>
    <w:rsid w:val="00C8237C"/>
    <w:rsid w:val="00C82BB4"/>
    <w:rsid w:val="00C82D57"/>
    <w:rsid w:val="00C82F7E"/>
    <w:rsid w:val="00C836C0"/>
    <w:rsid w:val="00C83D97"/>
    <w:rsid w:val="00C83F35"/>
    <w:rsid w:val="00C8405D"/>
    <w:rsid w:val="00C84181"/>
    <w:rsid w:val="00C84324"/>
    <w:rsid w:val="00C844DD"/>
    <w:rsid w:val="00C8499D"/>
    <w:rsid w:val="00C84D22"/>
    <w:rsid w:val="00C85319"/>
    <w:rsid w:val="00C856AB"/>
    <w:rsid w:val="00C85940"/>
    <w:rsid w:val="00C86660"/>
    <w:rsid w:val="00C86ECA"/>
    <w:rsid w:val="00C87536"/>
    <w:rsid w:val="00C8755E"/>
    <w:rsid w:val="00C876BD"/>
    <w:rsid w:val="00C87798"/>
    <w:rsid w:val="00C87A0C"/>
    <w:rsid w:val="00C87BC1"/>
    <w:rsid w:val="00C87FE5"/>
    <w:rsid w:val="00C901C0"/>
    <w:rsid w:val="00C906C0"/>
    <w:rsid w:val="00C908A0"/>
    <w:rsid w:val="00C91186"/>
    <w:rsid w:val="00C91382"/>
    <w:rsid w:val="00C916D2"/>
    <w:rsid w:val="00C9184A"/>
    <w:rsid w:val="00C91CC8"/>
    <w:rsid w:val="00C9209B"/>
    <w:rsid w:val="00C921D8"/>
    <w:rsid w:val="00C9291F"/>
    <w:rsid w:val="00C92AE2"/>
    <w:rsid w:val="00C931B8"/>
    <w:rsid w:val="00C933FB"/>
    <w:rsid w:val="00C93436"/>
    <w:rsid w:val="00C938B8"/>
    <w:rsid w:val="00C94571"/>
    <w:rsid w:val="00C945A0"/>
    <w:rsid w:val="00C949CE"/>
    <w:rsid w:val="00C94CF3"/>
    <w:rsid w:val="00C95094"/>
    <w:rsid w:val="00C9510D"/>
    <w:rsid w:val="00C957E6"/>
    <w:rsid w:val="00C95C50"/>
    <w:rsid w:val="00C95F17"/>
    <w:rsid w:val="00C96088"/>
    <w:rsid w:val="00C9608B"/>
    <w:rsid w:val="00C960A9"/>
    <w:rsid w:val="00C9661F"/>
    <w:rsid w:val="00C96A79"/>
    <w:rsid w:val="00C96E62"/>
    <w:rsid w:val="00C96F52"/>
    <w:rsid w:val="00C96F6A"/>
    <w:rsid w:val="00C97541"/>
    <w:rsid w:val="00C97762"/>
    <w:rsid w:val="00C97AA1"/>
    <w:rsid w:val="00C97F4F"/>
    <w:rsid w:val="00CA060E"/>
    <w:rsid w:val="00CA0927"/>
    <w:rsid w:val="00CA0FCC"/>
    <w:rsid w:val="00CA11F4"/>
    <w:rsid w:val="00CA11FA"/>
    <w:rsid w:val="00CA20A8"/>
    <w:rsid w:val="00CA2496"/>
    <w:rsid w:val="00CA266C"/>
    <w:rsid w:val="00CA26C7"/>
    <w:rsid w:val="00CA2BAA"/>
    <w:rsid w:val="00CA346B"/>
    <w:rsid w:val="00CA3636"/>
    <w:rsid w:val="00CA3B13"/>
    <w:rsid w:val="00CA3ECD"/>
    <w:rsid w:val="00CA3F8B"/>
    <w:rsid w:val="00CA4395"/>
    <w:rsid w:val="00CA440B"/>
    <w:rsid w:val="00CA44BE"/>
    <w:rsid w:val="00CA4BCB"/>
    <w:rsid w:val="00CA4CAB"/>
    <w:rsid w:val="00CA4E33"/>
    <w:rsid w:val="00CA4EF1"/>
    <w:rsid w:val="00CA54B6"/>
    <w:rsid w:val="00CA56DA"/>
    <w:rsid w:val="00CA5E62"/>
    <w:rsid w:val="00CA615C"/>
    <w:rsid w:val="00CA6788"/>
    <w:rsid w:val="00CA6ABC"/>
    <w:rsid w:val="00CA6B8E"/>
    <w:rsid w:val="00CA6EB1"/>
    <w:rsid w:val="00CA7197"/>
    <w:rsid w:val="00CA74D3"/>
    <w:rsid w:val="00CA78A5"/>
    <w:rsid w:val="00CA78CF"/>
    <w:rsid w:val="00CA792B"/>
    <w:rsid w:val="00CA7A18"/>
    <w:rsid w:val="00CB0296"/>
    <w:rsid w:val="00CB068B"/>
    <w:rsid w:val="00CB06C0"/>
    <w:rsid w:val="00CB073B"/>
    <w:rsid w:val="00CB07D1"/>
    <w:rsid w:val="00CB0A1F"/>
    <w:rsid w:val="00CB0BA5"/>
    <w:rsid w:val="00CB0CD0"/>
    <w:rsid w:val="00CB13B9"/>
    <w:rsid w:val="00CB1873"/>
    <w:rsid w:val="00CB1972"/>
    <w:rsid w:val="00CB2B82"/>
    <w:rsid w:val="00CB2D5A"/>
    <w:rsid w:val="00CB30A0"/>
    <w:rsid w:val="00CB33CD"/>
    <w:rsid w:val="00CB3BBA"/>
    <w:rsid w:val="00CB4C54"/>
    <w:rsid w:val="00CB4CB3"/>
    <w:rsid w:val="00CB5232"/>
    <w:rsid w:val="00CB5285"/>
    <w:rsid w:val="00CB553E"/>
    <w:rsid w:val="00CB5591"/>
    <w:rsid w:val="00CB5DA2"/>
    <w:rsid w:val="00CB5DC0"/>
    <w:rsid w:val="00CB68C0"/>
    <w:rsid w:val="00CB6993"/>
    <w:rsid w:val="00CB6FEA"/>
    <w:rsid w:val="00CB7B74"/>
    <w:rsid w:val="00CB7B92"/>
    <w:rsid w:val="00CB7E62"/>
    <w:rsid w:val="00CB7E8C"/>
    <w:rsid w:val="00CC0925"/>
    <w:rsid w:val="00CC0DB6"/>
    <w:rsid w:val="00CC100A"/>
    <w:rsid w:val="00CC1962"/>
    <w:rsid w:val="00CC1B0F"/>
    <w:rsid w:val="00CC1D59"/>
    <w:rsid w:val="00CC1FC7"/>
    <w:rsid w:val="00CC20D8"/>
    <w:rsid w:val="00CC21F9"/>
    <w:rsid w:val="00CC29C5"/>
    <w:rsid w:val="00CC2FB2"/>
    <w:rsid w:val="00CC37D4"/>
    <w:rsid w:val="00CC3967"/>
    <w:rsid w:val="00CC3B0A"/>
    <w:rsid w:val="00CC4A32"/>
    <w:rsid w:val="00CC4E69"/>
    <w:rsid w:val="00CC5393"/>
    <w:rsid w:val="00CC5C04"/>
    <w:rsid w:val="00CC6902"/>
    <w:rsid w:val="00CC6F06"/>
    <w:rsid w:val="00CC7081"/>
    <w:rsid w:val="00CC7230"/>
    <w:rsid w:val="00CC7569"/>
    <w:rsid w:val="00CC79D5"/>
    <w:rsid w:val="00CC7CDB"/>
    <w:rsid w:val="00CC7D7C"/>
    <w:rsid w:val="00CD0375"/>
    <w:rsid w:val="00CD0F49"/>
    <w:rsid w:val="00CD1515"/>
    <w:rsid w:val="00CD16EF"/>
    <w:rsid w:val="00CD1919"/>
    <w:rsid w:val="00CD1A42"/>
    <w:rsid w:val="00CD1FCE"/>
    <w:rsid w:val="00CD246D"/>
    <w:rsid w:val="00CD254B"/>
    <w:rsid w:val="00CD33AB"/>
    <w:rsid w:val="00CD381A"/>
    <w:rsid w:val="00CD3F13"/>
    <w:rsid w:val="00CD418B"/>
    <w:rsid w:val="00CD4283"/>
    <w:rsid w:val="00CD47D3"/>
    <w:rsid w:val="00CD49AB"/>
    <w:rsid w:val="00CD4E9D"/>
    <w:rsid w:val="00CD4ED1"/>
    <w:rsid w:val="00CD4F80"/>
    <w:rsid w:val="00CD5EED"/>
    <w:rsid w:val="00CD5F6D"/>
    <w:rsid w:val="00CD662D"/>
    <w:rsid w:val="00CD6850"/>
    <w:rsid w:val="00CD6E86"/>
    <w:rsid w:val="00CD7254"/>
    <w:rsid w:val="00CD7FB9"/>
    <w:rsid w:val="00CE03F5"/>
    <w:rsid w:val="00CE0875"/>
    <w:rsid w:val="00CE102E"/>
    <w:rsid w:val="00CE1E65"/>
    <w:rsid w:val="00CE27A2"/>
    <w:rsid w:val="00CE2AA1"/>
    <w:rsid w:val="00CE370F"/>
    <w:rsid w:val="00CE3729"/>
    <w:rsid w:val="00CE38E7"/>
    <w:rsid w:val="00CE3B62"/>
    <w:rsid w:val="00CE4393"/>
    <w:rsid w:val="00CE4970"/>
    <w:rsid w:val="00CE4D1A"/>
    <w:rsid w:val="00CE5223"/>
    <w:rsid w:val="00CE5566"/>
    <w:rsid w:val="00CE5CF8"/>
    <w:rsid w:val="00CE614D"/>
    <w:rsid w:val="00CE62C8"/>
    <w:rsid w:val="00CE66EB"/>
    <w:rsid w:val="00CE78B0"/>
    <w:rsid w:val="00CE7A78"/>
    <w:rsid w:val="00CE7B61"/>
    <w:rsid w:val="00CF002B"/>
    <w:rsid w:val="00CF058C"/>
    <w:rsid w:val="00CF0959"/>
    <w:rsid w:val="00CF0A49"/>
    <w:rsid w:val="00CF0D40"/>
    <w:rsid w:val="00CF181E"/>
    <w:rsid w:val="00CF1941"/>
    <w:rsid w:val="00CF1DF5"/>
    <w:rsid w:val="00CF1F2F"/>
    <w:rsid w:val="00CF21BC"/>
    <w:rsid w:val="00CF25BC"/>
    <w:rsid w:val="00CF2F9C"/>
    <w:rsid w:val="00CF3AFD"/>
    <w:rsid w:val="00CF3C6C"/>
    <w:rsid w:val="00CF3D1B"/>
    <w:rsid w:val="00CF4371"/>
    <w:rsid w:val="00CF440E"/>
    <w:rsid w:val="00CF497D"/>
    <w:rsid w:val="00CF4CF5"/>
    <w:rsid w:val="00CF4EDD"/>
    <w:rsid w:val="00CF50A1"/>
    <w:rsid w:val="00CF5227"/>
    <w:rsid w:val="00CF53EB"/>
    <w:rsid w:val="00CF59E3"/>
    <w:rsid w:val="00CF6412"/>
    <w:rsid w:val="00CF693A"/>
    <w:rsid w:val="00CF70B6"/>
    <w:rsid w:val="00CF72FD"/>
    <w:rsid w:val="00D005F3"/>
    <w:rsid w:val="00D0156E"/>
    <w:rsid w:val="00D01ACA"/>
    <w:rsid w:val="00D01B77"/>
    <w:rsid w:val="00D01F4A"/>
    <w:rsid w:val="00D01FA1"/>
    <w:rsid w:val="00D02340"/>
    <w:rsid w:val="00D02414"/>
    <w:rsid w:val="00D0242E"/>
    <w:rsid w:val="00D026B1"/>
    <w:rsid w:val="00D02B9D"/>
    <w:rsid w:val="00D03040"/>
    <w:rsid w:val="00D0329B"/>
    <w:rsid w:val="00D03DED"/>
    <w:rsid w:val="00D0414F"/>
    <w:rsid w:val="00D046BD"/>
    <w:rsid w:val="00D0483F"/>
    <w:rsid w:val="00D04D66"/>
    <w:rsid w:val="00D059D4"/>
    <w:rsid w:val="00D05C8D"/>
    <w:rsid w:val="00D061E9"/>
    <w:rsid w:val="00D06229"/>
    <w:rsid w:val="00D0649F"/>
    <w:rsid w:val="00D0687D"/>
    <w:rsid w:val="00D069CC"/>
    <w:rsid w:val="00D06BA1"/>
    <w:rsid w:val="00D06D68"/>
    <w:rsid w:val="00D07158"/>
    <w:rsid w:val="00D075F3"/>
    <w:rsid w:val="00D07AAC"/>
    <w:rsid w:val="00D07CCD"/>
    <w:rsid w:val="00D07D55"/>
    <w:rsid w:val="00D07ED1"/>
    <w:rsid w:val="00D10541"/>
    <w:rsid w:val="00D10FB3"/>
    <w:rsid w:val="00D11188"/>
    <w:rsid w:val="00D11634"/>
    <w:rsid w:val="00D11B12"/>
    <w:rsid w:val="00D11B8C"/>
    <w:rsid w:val="00D11C40"/>
    <w:rsid w:val="00D11D80"/>
    <w:rsid w:val="00D12165"/>
    <w:rsid w:val="00D12D7C"/>
    <w:rsid w:val="00D135B2"/>
    <w:rsid w:val="00D143C1"/>
    <w:rsid w:val="00D1461A"/>
    <w:rsid w:val="00D14639"/>
    <w:rsid w:val="00D149E7"/>
    <w:rsid w:val="00D14A39"/>
    <w:rsid w:val="00D14D07"/>
    <w:rsid w:val="00D151D3"/>
    <w:rsid w:val="00D159FF"/>
    <w:rsid w:val="00D160AA"/>
    <w:rsid w:val="00D16107"/>
    <w:rsid w:val="00D16161"/>
    <w:rsid w:val="00D16280"/>
    <w:rsid w:val="00D16C50"/>
    <w:rsid w:val="00D16EDB"/>
    <w:rsid w:val="00D17109"/>
    <w:rsid w:val="00D17482"/>
    <w:rsid w:val="00D17758"/>
    <w:rsid w:val="00D179DD"/>
    <w:rsid w:val="00D17FE9"/>
    <w:rsid w:val="00D20110"/>
    <w:rsid w:val="00D203BC"/>
    <w:rsid w:val="00D20484"/>
    <w:rsid w:val="00D20595"/>
    <w:rsid w:val="00D20783"/>
    <w:rsid w:val="00D21982"/>
    <w:rsid w:val="00D2251E"/>
    <w:rsid w:val="00D226BF"/>
    <w:rsid w:val="00D2289B"/>
    <w:rsid w:val="00D2299D"/>
    <w:rsid w:val="00D22FFE"/>
    <w:rsid w:val="00D2313D"/>
    <w:rsid w:val="00D23B77"/>
    <w:rsid w:val="00D23B84"/>
    <w:rsid w:val="00D23C75"/>
    <w:rsid w:val="00D23F0E"/>
    <w:rsid w:val="00D24143"/>
    <w:rsid w:val="00D244AD"/>
    <w:rsid w:val="00D24A41"/>
    <w:rsid w:val="00D24A5D"/>
    <w:rsid w:val="00D24C58"/>
    <w:rsid w:val="00D2522E"/>
    <w:rsid w:val="00D252FC"/>
    <w:rsid w:val="00D26104"/>
    <w:rsid w:val="00D263AE"/>
    <w:rsid w:val="00D2690F"/>
    <w:rsid w:val="00D26A35"/>
    <w:rsid w:val="00D26B79"/>
    <w:rsid w:val="00D27094"/>
    <w:rsid w:val="00D2736A"/>
    <w:rsid w:val="00D27BCC"/>
    <w:rsid w:val="00D27EF9"/>
    <w:rsid w:val="00D27FD3"/>
    <w:rsid w:val="00D3021C"/>
    <w:rsid w:val="00D30313"/>
    <w:rsid w:val="00D3062F"/>
    <w:rsid w:val="00D30935"/>
    <w:rsid w:val="00D30FB5"/>
    <w:rsid w:val="00D311AC"/>
    <w:rsid w:val="00D31364"/>
    <w:rsid w:val="00D3173C"/>
    <w:rsid w:val="00D319F9"/>
    <w:rsid w:val="00D31A60"/>
    <w:rsid w:val="00D31E00"/>
    <w:rsid w:val="00D32AEB"/>
    <w:rsid w:val="00D32CE8"/>
    <w:rsid w:val="00D32D3F"/>
    <w:rsid w:val="00D32E54"/>
    <w:rsid w:val="00D332E5"/>
    <w:rsid w:val="00D3406B"/>
    <w:rsid w:val="00D3434B"/>
    <w:rsid w:val="00D34DC4"/>
    <w:rsid w:val="00D35C5E"/>
    <w:rsid w:val="00D35E2B"/>
    <w:rsid w:val="00D360FA"/>
    <w:rsid w:val="00D3619C"/>
    <w:rsid w:val="00D36359"/>
    <w:rsid w:val="00D36375"/>
    <w:rsid w:val="00D367DA"/>
    <w:rsid w:val="00D368C6"/>
    <w:rsid w:val="00D3697B"/>
    <w:rsid w:val="00D36AA6"/>
    <w:rsid w:val="00D36E83"/>
    <w:rsid w:val="00D37469"/>
    <w:rsid w:val="00D37987"/>
    <w:rsid w:val="00D37FD6"/>
    <w:rsid w:val="00D4026C"/>
    <w:rsid w:val="00D40467"/>
    <w:rsid w:val="00D404EF"/>
    <w:rsid w:val="00D40745"/>
    <w:rsid w:val="00D40F6E"/>
    <w:rsid w:val="00D4125B"/>
    <w:rsid w:val="00D41379"/>
    <w:rsid w:val="00D41724"/>
    <w:rsid w:val="00D418F3"/>
    <w:rsid w:val="00D41A1E"/>
    <w:rsid w:val="00D41FFE"/>
    <w:rsid w:val="00D42109"/>
    <w:rsid w:val="00D42774"/>
    <w:rsid w:val="00D427F2"/>
    <w:rsid w:val="00D42B08"/>
    <w:rsid w:val="00D42B9E"/>
    <w:rsid w:val="00D43157"/>
    <w:rsid w:val="00D434FC"/>
    <w:rsid w:val="00D435BF"/>
    <w:rsid w:val="00D43CE0"/>
    <w:rsid w:val="00D44138"/>
    <w:rsid w:val="00D447B7"/>
    <w:rsid w:val="00D4513C"/>
    <w:rsid w:val="00D45448"/>
    <w:rsid w:val="00D459E7"/>
    <w:rsid w:val="00D45CE1"/>
    <w:rsid w:val="00D46C73"/>
    <w:rsid w:val="00D47047"/>
    <w:rsid w:val="00D47252"/>
    <w:rsid w:val="00D473D7"/>
    <w:rsid w:val="00D47465"/>
    <w:rsid w:val="00D47523"/>
    <w:rsid w:val="00D4752A"/>
    <w:rsid w:val="00D47944"/>
    <w:rsid w:val="00D5007B"/>
    <w:rsid w:val="00D5080F"/>
    <w:rsid w:val="00D50A95"/>
    <w:rsid w:val="00D50B9D"/>
    <w:rsid w:val="00D50E90"/>
    <w:rsid w:val="00D50F2B"/>
    <w:rsid w:val="00D517C3"/>
    <w:rsid w:val="00D518C5"/>
    <w:rsid w:val="00D51B3F"/>
    <w:rsid w:val="00D51EA4"/>
    <w:rsid w:val="00D52031"/>
    <w:rsid w:val="00D526DF"/>
    <w:rsid w:val="00D52CF6"/>
    <w:rsid w:val="00D53355"/>
    <w:rsid w:val="00D53781"/>
    <w:rsid w:val="00D537F0"/>
    <w:rsid w:val="00D53BAD"/>
    <w:rsid w:val="00D5403A"/>
    <w:rsid w:val="00D544EA"/>
    <w:rsid w:val="00D5499E"/>
    <w:rsid w:val="00D54A2C"/>
    <w:rsid w:val="00D54AAD"/>
    <w:rsid w:val="00D54E48"/>
    <w:rsid w:val="00D55045"/>
    <w:rsid w:val="00D55196"/>
    <w:rsid w:val="00D55600"/>
    <w:rsid w:val="00D5566D"/>
    <w:rsid w:val="00D55DCB"/>
    <w:rsid w:val="00D55EF8"/>
    <w:rsid w:val="00D56032"/>
    <w:rsid w:val="00D564C3"/>
    <w:rsid w:val="00D56589"/>
    <w:rsid w:val="00D56717"/>
    <w:rsid w:val="00D56D27"/>
    <w:rsid w:val="00D57777"/>
    <w:rsid w:val="00D57854"/>
    <w:rsid w:val="00D6027C"/>
    <w:rsid w:val="00D60802"/>
    <w:rsid w:val="00D60B3C"/>
    <w:rsid w:val="00D61052"/>
    <w:rsid w:val="00D612CA"/>
    <w:rsid w:val="00D6173F"/>
    <w:rsid w:val="00D6180C"/>
    <w:rsid w:val="00D61954"/>
    <w:rsid w:val="00D61CA8"/>
    <w:rsid w:val="00D61D38"/>
    <w:rsid w:val="00D621E4"/>
    <w:rsid w:val="00D62C8C"/>
    <w:rsid w:val="00D62E00"/>
    <w:rsid w:val="00D63406"/>
    <w:rsid w:val="00D63572"/>
    <w:rsid w:val="00D63B8C"/>
    <w:rsid w:val="00D63CA3"/>
    <w:rsid w:val="00D63F7B"/>
    <w:rsid w:val="00D642FE"/>
    <w:rsid w:val="00D64851"/>
    <w:rsid w:val="00D64B17"/>
    <w:rsid w:val="00D64FC6"/>
    <w:rsid w:val="00D6502C"/>
    <w:rsid w:val="00D66182"/>
    <w:rsid w:val="00D67B48"/>
    <w:rsid w:val="00D70719"/>
    <w:rsid w:val="00D707E3"/>
    <w:rsid w:val="00D7099B"/>
    <w:rsid w:val="00D70D44"/>
    <w:rsid w:val="00D7118A"/>
    <w:rsid w:val="00D7118F"/>
    <w:rsid w:val="00D71594"/>
    <w:rsid w:val="00D72C8A"/>
    <w:rsid w:val="00D72F5D"/>
    <w:rsid w:val="00D731A4"/>
    <w:rsid w:val="00D736D1"/>
    <w:rsid w:val="00D7384B"/>
    <w:rsid w:val="00D73A0B"/>
    <w:rsid w:val="00D73F59"/>
    <w:rsid w:val="00D74198"/>
    <w:rsid w:val="00D74388"/>
    <w:rsid w:val="00D74730"/>
    <w:rsid w:val="00D74C7F"/>
    <w:rsid w:val="00D74C94"/>
    <w:rsid w:val="00D74DF2"/>
    <w:rsid w:val="00D7503D"/>
    <w:rsid w:val="00D752ED"/>
    <w:rsid w:val="00D75325"/>
    <w:rsid w:val="00D75B85"/>
    <w:rsid w:val="00D75DF5"/>
    <w:rsid w:val="00D76432"/>
    <w:rsid w:val="00D7675F"/>
    <w:rsid w:val="00D767A4"/>
    <w:rsid w:val="00D770CA"/>
    <w:rsid w:val="00D771A1"/>
    <w:rsid w:val="00D77270"/>
    <w:rsid w:val="00D77766"/>
    <w:rsid w:val="00D77C54"/>
    <w:rsid w:val="00D8004D"/>
    <w:rsid w:val="00D807E3"/>
    <w:rsid w:val="00D80DE2"/>
    <w:rsid w:val="00D81836"/>
    <w:rsid w:val="00D8196C"/>
    <w:rsid w:val="00D81F08"/>
    <w:rsid w:val="00D82378"/>
    <w:rsid w:val="00D82DE8"/>
    <w:rsid w:val="00D82ED4"/>
    <w:rsid w:val="00D83134"/>
    <w:rsid w:val="00D838CA"/>
    <w:rsid w:val="00D83BAA"/>
    <w:rsid w:val="00D83EDA"/>
    <w:rsid w:val="00D843A2"/>
    <w:rsid w:val="00D848C5"/>
    <w:rsid w:val="00D84A97"/>
    <w:rsid w:val="00D851CD"/>
    <w:rsid w:val="00D8555E"/>
    <w:rsid w:val="00D85CDD"/>
    <w:rsid w:val="00D85F5D"/>
    <w:rsid w:val="00D86226"/>
    <w:rsid w:val="00D8643C"/>
    <w:rsid w:val="00D86916"/>
    <w:rsid w:val="00D877C0"/>
    <w:rsid w:val="00D90068"/>
    <w:rsid w:val="00D9006E"/>
    <w:rsid w:val="00D902FF"/>
    <w:rsid w:val="00D90588"/>
    <w:rsid w:val="00D90876"/>
    <w:rsid w:val="00D9111D"/>
    <w:rsid w:val="00D911D3"/>
    <w:rsid w:val="00D91295"/>
    <w:rsid w:val="00D915EE"/>
    <w:rsid w:val="00D91A96"/>
    <w:rsid w:val="00D91F33"/>
    <w:rsid w:val="00D9238F"/>
    <w:rsid w:val="00D923EB"/>
    <w:rsid w:val="00D926DE"/>
    <w:rsid w:val="00D92B39"/>
    <w:rsid w:val="00D92D7B"/>
    <w:rsid w:val="00D92D92"/>
    <w:rsid w:val="00D92FE1"/>
    <w:rsid w:val="00D93780"/>
    <w:rsid w:val="00D9390B"/>
    <w:rsid w:val="00D93E41"/>
    <w:rsid w:val="00D93FCE"/>
    <w:rsid w:val="00D945A8"/>
    <w:rsid w:val="00D949F3"/>
    <w:rsid w:val="00D94CED"/>
    <w:rsid w:val="00D94E8C"/>
    <w:rsid w:val="00D953E2"/>
    <w:rsid w:val="00D953F9"/>
    <w:rsid w:val="00D96029"/>
    <w:rsid w:val="00D969ED"/>
    <w:rsid w:val="00D96DA6"/>
    <w:rsid w:val="00D9702F"/>
    <w:rsid w:val="00D975AF"/>
    <w:rsid w:val="00D97728"/>
    <w:rsid w:val="00D97745"/>
    <w:rsid w:val="00DA0279"/>
    <w:rsid w:val="00DA0303"/>
    <w:rsid w:val="00DA0A03"/>
    <w:rsid w:val="00DA0CFF"/>
    <w:rsid w:val="00DA0E11"/>
    <w:rsid w:val="00DA1BEA"/>
    <w:rsid w:val="00DA20CF"/>
    <w:rsid w:val="00DA2276"/>
    <w:rsid w:val="00DA23AA"/>
    <w:rsid w:val="00DA28D7"/>
    <w:rsid w:val="00DA2D33"/>
    <w:rsid w:val="00DA2DEE"/>
    <w:rsid w:val="00DA3199"/>
    <w:rsid w:val="00DA3C18"/>
    <w:rsid w:val="00DA405D"/>
    <w:rsid w:val="00DA40AE"/>
    <w:rsid w:val="00DA4E74"/>
    <w:rsid w:val="00DA511A"/>
    <w:rsid w:val="00DA5154"/>
    <w:rsid w:val="00DA545C"/>
    <w:rsid w:val="00DA5727"/>
    <w:rsid w:val="00DA612B"/>
    <w:rsid w:val="00DA649C"/>
    <w:rsid w:val="00DA67AD"/>
    <w:rsid w:val="00DA6953"/>
    <w:rsid w:val="00DA6AF6"/>
    <w:rsid w:val="00DA6F08"/>
    <w:rsid w:val="00DA7C51"/>
    <w:rsid w:val="00DA7E40"/>
    <w:rsid w:val="00DB051A"/>
    <w:rsid w:val="00DB06DF"/>
    <w:rsid w:val="00DB096D"/>
    <w:rsid w:val="00DB0AF1"/>
    <w:rsid w:val="00DB0D6C"/>
    <w:rsid w:val="00DB10BB"/>
    <w:rsid w:val="00DB12CC"/>
    <w:rsid w:val="00DB17FD"/>
    <w:rsid w:val="00DB1C2E"/>
    <w:rsid w:val="00DB200A"/>
    <w:rsid w:val="00DB2405"/>
    <w:rsid w:val="00DB2766"/>
    <w:rsid w:val="00DB28AF"/>
    <w:rsid w:val="00DB29E3"/>
    <w:rsid w:val="00DB2BB9"/>
    <w:rsid w:val="00DB32E7"/>
    <w:rsid w:val="00DB3CF4"/>
    <w:rsid w:val="00DB4257"/>
    <w:rsid w:val="00DB43A2"/>
    <w:rsid w:val="00DB4B96"/>
    <w:rsid w:val="00DB4C2E"/>
    <w:rsid w:val="00DB4E64"/>
    <w:rsid w:val="00DB5608"/>
    <w:rsid w:val="00DB5924"/>
    <w:rsid w:val="00DB5970"/>
    <w:rsid w:val="00DB5E5D"/>
    <w:rsid w:val="00DB6472"/>
    <w:rsid w:val="00DB66BE"/>
    <w:rsid w:val="00DB66ED"/>
    <w:rsid w:val="00DB6D5D"/>
    <w:rsid w:val="00DB6FF6"/>
    <w:rsid w:val="00DB725A"/>
    <w:rsid w:val="00DB7DB0"/>
    <w:rsid w:val="00DB7F1B"/>
    <w:rsid w:val="00DC0116"/>
    <w:rsid w:val="00DC03F1"/>
    <w:rsid w:val="00DC054A"/>
    <w:rsid w:val="00DC055C"/>
    <w:rsid w:val="00DC0C92"/>
    <w:rsid w:val="00DC0ED5"/>
    <w:rsid w:val="00DC0F6F"/>
    <w:rsid w:val="00DC1742"/>
    <w:rsid w:val="00DC197C"/>
    <w:rsid w:val="00DC1983"/>
    <w:rsid w:val="00DC1B74"/>
    <w:rsid w:val="00DC1FC5"/>
    <w:rsid w:val="00DC21F3"/>
    <w:rsid w:val="00DC24DF"/>
    <w:rsid w:val="00DC2AA1"/>
    <w:rsid w:val="00DC2B54"/>
    <w:rsid w:val="00DC2CE5"/>
    <w:rsid w:val="00DC2D0E"/>
    <w:rsid w:val="00DC30F0"/>
    <w:rsid w:val="00DC317C"/>
    <w:rsid w:val="00DC3733"/>
    <w:rsid w:val="00DC37E7"/>
    <w:rsid w:val="00DC42BC"/>
    <w:rsid w:val="00DC441B"/>
    <w:rsid w:val="00DC4781"/>
    <w:rsid w:val="00DC51AF"/>
    <w:rsid w:val="00DC5800"/>
    <w:rsid w:val="00DC695E"/>
    <w:rsid w:val="00DC6A1A"/>
    <w:rsid w:val="00DC6B18"/>
    <w:rsid w:val="00DC6E44"/>
    <w:rsid w:val="00DC6F9D"/>
    <w:rsid w:val="00DC7469"/>
    <w:rsid w:val="00DC7CF1"/>
    <w:rsid w:val="00DD0233"/>
    <w:rsid w:val="00DD081C"/>
    <w:rsid w:val="00DD0AD0"/>
    <w:rsid w:val="00DD1180"/>
    <w:rsid w:val="00DD1AA2"/>
    <w:rsid w:val="00DD21FF"/>
    <w:rsid w:val="00DD2D8B"/>
    <w:rsid w:val="00DD3299"/>
    <w:rsid w:val="00DD373D"/>
    <w:rsid w:val="00DD4778"/>
    <w:rsid w:val="00DD4EBA"/>
    <w:rsid w:val="00DD58A2"/>
    <w:rsid w:val="00DD5B86"/>
    <w:rsid w:val="00DD5CA0"/>
    <w:rsid w:val="00DD5D39"/>
    <w:rsid w:val="00DD6282"/>
    <w:rsid w:val="00DD66EA"/>
    <w:rsid w:val="00DD6E04"/>
    <w:rsid w:val="00DD78A2"/>
    <w:rsid w:val="00DD7C53"/>
    <w:rsid w:val="00DD7F0C"/>
    <w:rsid w:val="00DD7F6B"/>
    <w:rsid w:val="00DE0B15"/>
    <w:rsid w:val="00DE0D56"/>
    <w:rsid w:val="00DE0DB6"/>
    <w:rsid w:val="00DE0E3A"/>
    <w:rsid w:val="00DE0F6B"/>
    <w:rsid w:val="00DE153D"/>
    <w:rsid w:val="00DE1FB9"/>
    <w:rsid w:val="00DE20E0"/>
    <w:rsid w:val="00DE2785"/>
    <w:rsid w:val="00DE2932"/>
    <w:rsid w:val="00DE3308"/>
    <w:rsid w:val="00DE3408"/>
    <w:rsid w:val="00DE3FC5"/>
    <w:rsid w:val="00DE4654"/>
    <w:rsid w:val="00DE5566"/>
    <w:rsid w:val="00DE565F"/>
    <w:rsid w:val="00DE57DA"/>
    <w:rsid w:val="00DE5B4C"/>
    <w:rsid w:val="00DE5F38"/>
    <w:rsid w:val="00DE6123"/>
    <w:rsid w:val="00DE67DA"/>
    <w:rsid w:val="00DE6C93"/>
    <w:rsid w:val="00DE7126"/>
    <w:rsid w:val="00DE735B"/>
    <w:rsid w:val="00DE7BB9"/>
    <w:rsid w:val="00DE7D52"/>
    <w:rsid w:val="00DF0224"/>
    <w:rsid w:val="00DF049E"/>
    <w:rsid w:val="00DF0A42"/>
    <w:rsid w:val="00DF0AB2"/>
    <w:rsid w:val="00DF11B2"/>
    <w:rsid w:val="00DF1201"/>
    <w:rsid w:val="00DF133B"/>
    <w:rsid w:val="00DF16F8"/>
    <w:rsid w:val="00DF16FE"/>
    <w:rsid w:val="00DF18AF"/>
    <w:rsid w:val="00DF19CA"/>
    <w:rsid w:val="00DF1C6D"/>
    <w:rsid w:val="00DF1D88"/>
    <w:rsid w:val="00DF1EB7"/>
    <w:rsid w:val="00DF2309"/>
    <w:rsid w:val="00DF23AD"/>
    <w:rsid w:val="00DF2555"/>
    <w:rsid w:val="00DF2A36"/>
    <w:rsid w:val="00DF2F76"/>
    <w:rsid w:val="00DF304D"/>
    <w:rsid w:val="00DF3114"/>
    <w:rsid w:val="00DF4001"/>
    <w:rsid w:val="00DF47C1"/>
    <w:rsid w:val="00DF4853"/>
    <w:rsid w:val="00DF4A5C"/>
    <w:rsid w:val="00DF4D0E"/>
    <w:rsid w:val="00DF4F80"/>
    <w:rsid w:val="00DF538D"/>
    <w:rsid w:val="00DF541A"/>
    <w:rsid w:val="00DF5DA1"/>
    <w:rsid w:val="00DF5F45"/>
    <w:rsid w:val="00DF61E5"/>
    <w:rsid w:val="00DF61E9"/>
    <w:rsid w:val="00DF6A29"/>
    <w:rsid w:val="00DF6CF5"/>
    <w:rsid w:val="00DF7039"/>
    <w:rsid w:val="00DF7496"/>
    <w:rsid w:val="00DF76A2"/>
    <w:rsid w:val="00DF7832"/>
    <w:rsid w:val="00DF79FC"/>
    <w:rsid w:val="00DF7A1F"/>
    <w:rsid w:val="00DF7C24"/>
    <w:rsid w:val="00DF7CAD"/>
    <w:rsid w:val="00DF7CE7"/>
    <w:rsid w:val="00E00324"/>
    <w:rsid w:val="00E0047B"/>
    <w:rsid w:val="00E016F9"/>
    <w:rsid w:val="00E017B5"/>
    <w:rsid w:val="00E0197D"/>
    <w:rsid w:val="00E01BCB"/>
    <w:rsid w:val="00E01EBD"/>
    <w:rsid w:val="00E02124"/>
    <w:rsid w:val="00E026C4"/>
    <w:rsid w:val="00E027F2"/>
    <w:rsid w:val="00E02864"/>
    <w:rsid w:val="00E03456"/>
    <w:rsid w:val="00E03640"/>
    <w:rsid w:val="00E03644"/>
    <w:rsid w:val="00E036BA"/>
    <w:rsid w:val="00E03C10"/>
    <w:rsid w:val="00E03FC3"/>
    <w:rsid w:val="00E049F3"/>
    <w:rsid w:val="00E04D23"/>
    <w:rsid w:val="00E05744"/>
    <w:rsid w:val="00E05EB0"/>
    <w:rsid w:val="00E061AB"/>
    <w:rsid w:val="00E063E9"/>
    <w:rsid w:val="00E065FD"/>
    <w:rsid w:val="00E0693D"/>
    <w:rsid w:val="00E06C99"/>
    <w:rsid w:val="00E06D19"/>
    <w:rsid w:val="00E06EB4"/>
    <w:rsid w:val="00E07207"/>
    <w:rsid w:val="00E0787D"/>
    <w:rsid w:val="00E0794D"/>
    <w:rsid w:val="00E07C79"/>
    <w:rsid w:val="00E10204"/>
    <w:rsid w:val="00E10842"/>
    <w:rsid w:val="00E10957"/>
    <w:rsid w:val="00E10ABB"/>
    <w:rsid w:val="00E10B44"/>
    <w:rsid w:val="00E10BC6"/>
    <w:rsid w:val="00E10E1F"/>
    <w:rsid w:val="00E10EDD"/>
    <w:rsid w:val="00E10FBF"/>
    <w:rsid w:val="00E11107"/>
    <w:rsid w:val="00E11112"/>
    <w:rsid w:val="00E11736"/>
    <w:rsid w:val="00E11E16"/>
    <w:rsid w:val="00E12278"/>
    <w:rsid w:val="00E128B8"/>
    <w:rsid w:val="00E12A17"/>
    <w:rsid w:val="00E12E32"/>
    <w:rsid w:val="00E134C1"/>
    <w:rsid w:val="00E138F4"/>
    <w:rsid w:val="00E139C5"/>
    <w:rsid w:val="00E14255"/>
    <w:rsid w:val="00E14880"/>
    <w:rsid w:val="00E15628"/>
    <w:rsid w:val="00E15D9C"/>
    <w:rsid w:val="00E15ED6"/>
    <w:rsid w:val="00E16557"/>
    <w:rsid w:val="00E168EB"/>
    <w:rsid w:val="00E16945"/>
    <w:rsid w:val="00E16E75"/>
    <w:rsid w:val="00E16EAF"/>
    <w:rsid w:val="00E16ED6"/>
    <w:rsid w:val="00E17565"/>
    <w:rsid w:val="00E17940"/>
    <w:rsid w:val="00E17D8E"/>
    <w:rsid w:val="00E17E15"/>
    <w:rsid w:val="00E17EC9"/>
    <w:rsid w:val="00E20179"/>
    <w:rsid w:val="00E202DF"/>
    <w:rsid w:val="00E207E4"/>
    <w:rsid w:val="00E20B71"/>
    <w:rsid w:val="00E21169"/>
    <w:rsid w:val="00E211BC"/>
    <w:rsid w:val="00E212C9"/>
    <w:rsid w:val="00E2182C"/>
    <w:rsid w:val="00E2182D"/>
    <w:rsid w:val="00E21BF5"/>
    <w:rsid w:val="00E221AA"/>
    <w:rsid w:val="00E23E95"/>
    <w:rsid w:val="00E24440"/>
    <w:rsid w:val="00E244AF"/>
    <w:rsid w:val="00E24975"/>
    <w:rsid w:val="00E24AFA"/>
    <w:rsid w:val="00E25292"/>
    <w:rsid w:val="00E2533F"/>
    <w:rsid w:val="00E25746"/>
    <w:rsid w:val="00E25BF9"/>
    <w:rsid w:val="00E263FA"/>
    <w:rsid w:val="00E265B2"/>
    <w:rsid w:val="00E26F1D"/>
    <w:rsid w:val="00E277DD"/>
    <w:rsid w:val="00E27B5E"/>
    <w:rsid w:val="00E27DBD"/>
    <w:rsid w:val="00E27DC0"/>
    <w:rsid w:val="00E30AFF"/>
    <w:rsid w:val="00E30C08"/>
    <w:rsid w:val="00E30DA4"/>
    <w:rsid w:val="00E30F97"/>
    <w:rsid w:val="00E31604"/>
    <w:rsid w:val="00E31668"/>
    <w:rsid w:val="00E316C7"/>
    <w:rsid w:val="00E319E1"/>
    <w:rsid w:val="00E31BDA"/>
    <w:rsid w:val="00E3281A"/>
    <w:rsid w:val="00E32A6D"/>
    <w:rsid w:val="00E32B32"/>
    <w:rsid w:val="00E32C8A"/>
    <w:rsid w:val="00E32F02"/>
    <w:rsid w:val="00E3325F"/>
    <w:rsid w:val="00E33362"/>
    <w:rsid w:val="00E33947"/>
    <w:rsid w:val="00E33BD7"/>
    <w:rsid w:val="00E34093"/>
    <w:rsid w:val="00E3432A"/>
    <w:rsid w:val="00E35141"/>
    <w:rsid w:val="00E353DA"/>
    <w:rsid w:val="00E355EF"/>
    <w:rsid w:val="00E35FCC"/>
    <w:rsid w:val="00E36007"/>
    <w:rsid w:val="00E36527"/>
    <w:rsid w:val="00E36888"/>
    <w:rsid w:val="00E36A7A"/>
    <w:rsid w:val="00E37149"/>
    <w:rsid w:val="00E37419"/>
    <w:rsid w:val="00E37519"/>
    <w:rsid w:val="00E3772B"/>
    <w:rsid w:val="00E37BE2"/>
    <w:rsid w:val="00E37D55"/>
    <w:rsid w:val="00E4066A"/>
    <w:rsid w:val="00E40B82"/>
    <w:rsid w:val="00E40CE5"/>
    <w:rsid w:val="00E41304"/>
    <w:rsid w:val="00E41490"/>
    <w:rsid w:val="00E4151E"/>
    <w:rsid w:val="00E417F5"/>
    <w:rsid w:val="00E41A63"/>
    <w:rsid w:val="00E41C1D"/>
    <w:rsid w:val="00E41DFD"/>
    <w:rsid w:val="00E41E2C"/>
    <w:rsid w:val="00E42069"/>
    <w:rsid w:val="00E42237"/>
    <w:rsid w:val="00E42F30"/>
    <w:rsid w:val="00E43E3E"/>
    <w:rsid w:val="00E43F40"/>
    <w:rsid w:val="00E44132"/>
    <w:rsid w:val="00E441C6"/>
    <w:rsid w:val="00E441E1"/>
    <w:rsid w:val="00E44471"/>
    <w:rsid w:val="00E44A59"/>
    <w:rsid w:val="00E44B6A"/>
    <w:rsid w:val="00E44EB5"/>
    <w:rsid w:val="00E4538F"/>
    <w:rsid w:val="00E45623"/>
    <w:rsid w:val="00E45792"/>
    <w:rsid w:val="00E4590E"/>
    <w:rsid w:val="00E45967"/>
    <w:rsid w:val="00E45BF4"/>
    <w:rsid w:val="00E45E5D"/>
    <w:rsid w:val="00E4620D"/>
    <w:rsid w:val="00E4633F"/>
    <w:rsid w:val="00E46648"/>
    <w:rsid w:val="00E4712E"/>
    <w:rsid w:val="00E47680"/>
    <w:rsid w:val="00E47EA4"/>
    <w:rsid w:val="00E5050A"/>
    <w:rsid w:val="00E50564"/>
    <w:rsid w:val="00E50747"/>
    <w:rsid w:val="00E50AE2"/>
    <w:rsid w:val="00E50D21"/>
    <w:rsid w:val="00E51918"/>
    <w:rsid w:val="00E51A01"/>
    <w:rsid w:val="00E51BE2"/>
    <w:rsid w:val="00E51C25"/>
    <w:rsid w:val="00E51DB8"/>
    <w:rsid w:val="00E52355"/>
    <w:rsid w:val="00E52568"/>
    <w:rsid w:val="00E53B90"/>
    <w:rsid w:val="00E53C4B"/>
    <w:rsid w:val="00E53F7D"/>
    <w:rsid w:val="00E54353"/>
    <w:rsid w:val="00E549B4"/>
    <w:rsid w:val="00E54B35"/>
    <w:rsid w:val="00E54BB6"/>
    <w:rsid w:val="00E54FD7"/>
    <w:rsid w:val="00E55038"/>
    <w:rsid w:val="00E5593C"/>
    <w:rsid w:val="00E55C8F"/>
    <w:rsid w:val="00E55F8B"/>
    <w:rsid w:val="00E56230"/>
    <w:rsid w:val="00E56269"/>
    <w:rsid w:val="00E562AE"/>
    <w:rsid w:val="00E56A96"/>
    <w:rsid w:val="00E56D07"/>
    <w:rsid w:val="00E57080"/>
    <w:rsid w:val="00E573FF"/>
    <w:rsid w:val="00E576AD"/>
    <w:rsid w:val="00E60120"/>
    <w:rsid w:val="00E60A5C"/>
    <w:rsid w:val="00E60D6A"/>
    <w:rsid w:val="00E60D9E"/>
    <w:rsid w:val="00E613D5"/>
    <w:rsid w:val="00E61752"/>
    <w:rsid w:val="00E617B5"/>
    <w:rsid w:val="00E62C61"/>
    <w:rsid w:val="00E6313C"/>
    <w:rsid w:val="00E6316A"/>
    <w:rsid w:val="00E6355B"/>
    <w:rsid w:val="00E63D40"/>
    <w:rsid w:val="00E64A74"/>
    <w:rsid w:val="00E64B2F"/>
    <w:rsid w:val="00E64C60"/>
    <w:rsid w:val="00E64D6D"/>
    <w:rsid w:val="00E65297"/>
    <w:rsid w:val="00E65B19"/>
    <w:rsid w:val="00E65EB7"/>
    <w:rsid w:val="00E65FE5"/>
    <w:rsid w:val="00E6602D"/>
    <w:rsid w:val="00E66099"/>
    <w:rsid w:val="00E660DA"/>
    <w:rsid w:val="00E6612A"/>
    <w:rsid w:val="00E66526"/>
    <w:rsid w:val="00E66806"/>
    <w:rsid w:val="00E6705D"/>
    <w:rsid w:val="00E6749D"/>
    <w:rsid w:val="00E674DF"/>
    <w:rsid w:val="00E67672"/>
    <w:rsid w:val="00E676A1"/>
    <w:rsid w:val="00E678F5"/>
    <w:rsid w:val="00E6793B"/>
    <w:rsid w:val="00E67D97"/>
    <w:rsid w:val="00E705BC"/>
    <w:rsid w:val="00E707FB"/>
    <w:rsid w:val="00E70D50"/>
    <w:rsid w:val="00E70D5E"/>
    <w:rsid w:val="00E7113D"/>
    <w:rsid w:val="00E711BF"/>
    <w:rsid w:val="00E71325"/>
    <w:rsid w:val="00E71862"/>
    <w:rsid w:val="00E71FA5"/>
    <w:rsid w:val="00E72ACA"/>
    <w:rsid w:val="00E72B2B"/>
    <w:rsid w:val="00E72D4C"/>
    <w:rsid w:val="00E730F4"/>
    <w:rsid w:val="00E7317F"/>
    <w:rsid w:val="00E735E4"/>
    <w:rsid w:val="00E73730"/>
    <w:rsid w:val="00E73D56"/>
    <w:rsid w:val="00E7438C"/>
    <w:rsid w:val="00E74631"/>
    <w:rsid w:val="00E74C83"/>
    <w:rsid w:val="00E75207"/>
    <w:rsid w:val="00E75570"/>
    <w:rsid w:val="00E759E9"/>
    <w:rsid w:val="00E75F7E"/>
    <w:rsid w:val="00E76371"/>
    <w:rsid w:val="00E766F3"/>
    <w:rsid w:val="00E76953"/>
    <w:rsid w:val="00E769C3"/>
    <w:rsid w:val="00E772BD"/>
    <w:rsid w:val="00E77C0D"/>
    <w:rsid w:val="00E77D2E"/>
    <w:rsid w:val="00E77D45"/>
    <w:rsid w:val="00E77FDA"/>
    <w:rsid w:val="00E803AB"/>
    <w:rsid w:val="00E804BD"/>
    <w:rsid w:val="00E806E4"/>
    <w:rsid w:val="00E80971"/>
    <w:rsid w:val="00E80A23"/>
    <w:rsid w:val="00E80F93"/>
    <w:rsid w:val="00E812A3"/>
    <w:rsid w:val="00E812CF"/>
    <w:rsid w:val="00E81AE3"/>
    <w:rsid w:val="00E81CA7"/>
    <w:rsid w:val="00E81D97"/>
    <w:rsid w:val="00E81ECA"/>
    <w:rsid w:val="00E823CD"/>
    <w:rsid w:val="00E82C77"/>
    <w:rsid w:val="00E83048"/>
    <w:rsid w:val="00E833C8"/>
    <w:rsid w:val="00E83A1D"/>
    <w:rsid w:val="00E83CA9"/>
    <w:rsid w:val="00E8417B"/>
    <w:rsid w:val="00E842AF"/>
    <w:rsid w:val="00E84315"/>
    <w:rsid w:val="00E845F4"/>
    <w:rsid w:val="00E8465C"/>
    <w:rsid w:val="00E848AB"/>
    <w:rsid w:val="00E851BF"/>
    <w:rsid w:val="00E855A9"/>
    <w:rsid w:val="00E85D88"/>
    <w:rsid w:val="00E864B8"/>
    <w:rsid w:val="00E8693D"/>
    <w:rsid w:val="00E86BE9"/>
    <w:rsid w:val="00E86D23"/>
    <w:rsid w:val="00E87417"/>
    <w:rsid w:val="00E874FA"/>
    <w:rsid w:val="00E877AF"/>
    <w:rsid w:val="00E9003D"/>
    <w:rsid w:val="00E90223"/>
    <w:rsid w:val="00E902B1"/>
    <w:rsid w:val="00E903EE"/>
    <w:rsid w:val="00E90821"/>
    <w:rsid w:val="00E908F0"/>
    <w:rsid w:val="00E90B9F"/>
    <w:rsid w:val="00E90BAC"/>
    <w:rsid w:val="00E90E66"/>
    <w:rsid w:val="00E910B6"/>
    <w:rsid w:val="00E9132C"/>
    <w:rsid w:val="00E91480"/>
    <w:rsid w:val="00E91484"/>
    <w:rsid w:val="00E91740"/>
    <w:rsid w:val="00E919A9"/>
    <w:rsid w:val="00E91F02"/>
    <w:rsid w:val="00E91F99"/>
    <w:rsid w:val="00E9264D"/>
    <w:rsid w:val="00E92A06"/>
    <w:rsid w:val="00E92E2B"/>
    <w:rsid w:val="00E936CE"/>
    <w:rsid w:val="00E938D1"/>
    <w:rsid w:val="00E93993"/>
    <w:rsid w:val="00E93C5B"/>
    <w:rsid w:val="00E94566"/>
    <w:rsid w:val="00E9492C"/>
    <w:rsid w:val="00E94C9B"/>
    <w:rsid w:val="00E94CB2"/>
    <w:rsid w:val="00E95660"/>
    <w:rsid w:val="00E957D2"/>
    <w:rsid w:val="00E9587E"/>
    <w:rsid w:val="00E95B6C"/>
    <w:rsid w:val="00E95C18"/>
    <w:rsid w:val="00E9691A"/>
    <w:rsid w:val="00E971A6"/>
    <w:rsid w:val="00E974EC"/>
    <w:rsid w:val="00E974FC"/>
    <w:rsid w:val="00E97B27"/>
    <w:rsid w:val="00E97E4C"/>
    <w:rsid w:val="00E97F00"/>
    <w:rsid w:val="00EA00B9"/>
    <w:rsid w:val="00EA04FC"/>
    <w:rsid w:val="00EA0610"/>
    <w:rsid w:val="00EA07C7"/>
    <w:rsid w:val="00EA0A68"/>
    <w:rsid w:val="00EA0AD9"/>
    <w:rsid w:val="00EA0F0C"/>
    <w:rsid w:val="00EA0F27"/>
    <w:rsid w:val="00EA10FE"/>
    <w:rsid w:val="00EA16AF"/>
    <w:rsid w:val="00EA18D1"/>
    <w:rsid w:val="00EA193C"/>
    <w:rsid w:val="00EA19AF"/>
    <w:rsid w:val="00EA1B66"/>
    <w:rsid w:val="00EA1BD4"/>
    <w:rsid w:val="00EA2076"/>
    <w:rsid w:val="00EA25B1"/>
    <w:rsid w:val="00EA29C8"/>
    <w:rsid w:val="00EA2C10"/>
    <w:rsid w:val="00EA2EA5"/>
    <w:rsid w:val="00EA2FBA"/>
    <w:rsid w:val="00EA372B"/>
    <w:rsid w:val="00EA3B43"/>
    <w:rsid w:val="00EA3D22"/>
    <w:rsid w:val="00EA4059"/>
    <w:rsid w:val="00EA43E4"/>
    <w:rsid w:val="00EA48E0"/>
    <w:rsid w:val="00EA4DAB"/>
    <w:rsid w:val="00EA6225"/>
    <w:rsid w:val="00EA62AC"/>
    <w:rsid w:val="00EA6312"/>
    <w:rsid w:val="00EA6478"/>
    <w:rsid w:val="00EA6834"/>
    <w:rsid w:val="00EA6965"/>
    <w:rsid w:val="00EA6BFC"/>
    <w:rsid w:val="00EA72DD"/>
    <w:rsid w:val="00EA7597"/>
    <w:rsid w:val="00EA7641"/>
    <w:rsid w:val="00EB054E"/>
    <w:rsid w:val="00EB0BED"/>
    <w:rsid w:val="00EB0EFE"/>
    <w:rsid w:val="00EB10BB"/>
    <w:rsid w:val="00EB1467"/>
    <w:rsid w:val="00EB159E"/>
    <w:rsid w:val="00EB16D7"/>
    <w:rsid w:val="00EB22D2"/>
    <w:rsid w:val="00EB242B"/>
    <w:rsid w:val="00EB2CAF"/>
    <w:rsid w:val="00EB31E8"/>
    <w:rsid w:val="00EB3BE5"/>
    <w:rsid w:val="00EB3D35"/>
    <w:rsid w:val="00EB3E12"/>
    <w:rsid w:val="00EB4752"/>
    <w:rsid w:val="00EB483C"/>
    <w:rsid w:val="00EB488B"/>
    <w:rsid w:val="00EB4CA5"/>
    <w:rsid w:val="00EB4CB0"/>
    <w:rsid w:val="00EB4E4D"/>
    <w:rsid w:val="00EB4F23"/>
    <w:rsid w:val="00EB548A"/>
    <w:rsid w:val="00EB5E0F"/>
    <w:rsid w:val="00EB644B"/>
    <w:rsid w:val="00EB67DE"/>
    <w:rsid w:val="00EB68D2"/>
    <w:rsid w:val="00EB6AB7"/>
    <w:rsid w:val="00EB6AFB"/>
    <w:rsid w:val="00EB6FA1"/>
    <w:rsid w:val="00EB7126"/>
    <w:rsid w:val="00EB7232"/>
    <w:rsid w:val="00EB72A0"/>
    <w:rsid w:val="00EB7405"/>
    <w:rsid w:val="00EB7433"/>
    <w:rsid w:val="00EB78F4"/>
    <w:rsid w:val="00EB7F21"/>
    <w:rsid w:val="00EC07C5"/>
    <w:rsid w:val="00EC0857"/>
    <w:rsid w:val="00EC0A3A"/>
    <w:rsid w:val="00EC1366"/>
    <w:rsid w:val="00EC1866"/>
    <w:rsid w:val="00EC192E"/>
    <w:rsid w:val="00EC1CE3"/>
    <w:rsid w:val="00EC2BDE"/>
    <w:rsid w:val="00EC2C73"/>
    <w:rsid w:val="00EC2CA1"/>
    <w:rsid w:val="00EC33DB"/>
    <w:rsid w:val="00EC3426"/>
    <w:rsid w:val="00EC3D3C"/>
    <w:rsid w:val="00EC3DB4"/>
    <w:rsid w:val="00EC4085"/>
    <w:rsid w:val="00EC4103"/>
    <w:rsid w:val="00EC42BC"/>
    <w:rsid w:val="00EC4346"/>
    <w:rsid w:val="00EC4A84"/>
    <w:rsid w:val="00EC4D6A"/>
    <w:rsid w:val="00EC4EDA"/>
    <w:rsid w:val="00EC533F"/>
    <w:rsid w:val="00EC547E"/>
    <w:rsid w:val="00EC5C08"/>
    <w:rsid w:val="00EC5C44"/>
    <w:rsid w:val="00EC60DD"/>
    <w:rsid w:val="00EC6F8D"/>
    <w:rsid w:val="00EC6FD3"/>
    <w:rsid w:val="00EC71BA"/>
    <w:rsid w:val="00EC722E"/>
    <w:rsid w:val="00EC7979"/>
    <w:rsid w:val="00EC7AEF"/>
    <w:rsid w:val="00ED0689"/>
    <w:rsid w:val="00ED08C9"/>
    <w:rsid w:val="00ED098F"/>
    <w:rsid w:val="00ED0E4E"/>
    <w:rsid w:val="00ED109F"/>
    <w:rsid w:val="00ED1414"/>
    <w:rsid w:val="00ED1BA2"/>
    <w:rsid w:val="00ED21CD"/>
    <w:rsid w:val="00ED2440"/>
    <w:rsid w:val="00ED246B"/>
    <w:rsid w:val="00ED28D9"/>
    <w:rsid w:val="00ED2BC4"/>
    <w:rsid w:val="00ED2D59"/>
    <w:rsid w:val="00ED2E78"/>
    <w:rsid w:val="00ED2ECF"/>
    <w:rsid w:val="00ED32A8"/>
    <w:rsid w:val="00ED338C"/>
    <w:rsid w:val="00ED36E5"/>
    <w:rsid w:val="00ED3ED1"/>
    <w:rsid w:val="00ED3F11"/>
    <w:rsid w:val="00ED41FF"/>
    <w:rsid w:val="00ED43F7"/>
    <w:rsid w:val="00ED45EB"/>
    <w:rsid w:val="00ED4A85"/>
    <w:rsid w:val="00ED4B0D"/>
    <w:rsid w:val="00ED4BD1"/>
    <w:rsid w:val="00ED4C66"/>
    <w:rsid w:val="00ED5877"/>
    <w:rsid w:val="00ED58A0"/>
    <w:rsid w:val="00ED5C02"/>
    <w:rsid w:val="00ED5FBA"/>
    <w:rsid w:val="00ED6357"/>
    <w:rsid w:val="00ED64D4"/>
    <w:rsid w:val="00ED6827"/>
    <w:rsid w:val="00ED686A"/>
    <w:rsid w:val="00ED6897"/>
    <w:rsid w:val="00ED6BCD"/>
    <w:rsid w:val="00ED7117"/>
    <w:rsid w:val="00ED7259"/>
    <w:rsid w:val="00ED7391"/>
    <w:rsid w:val="00ED7A06"/>
    <w:rsid w:val="00ED7DC1"/>
    <w:rsid w:val="00EE0404"/>
    <w:rsid w:val="00EE0892"/>
    <w:rsid w:val="00EE0D0A"/>
    <w:rsid w:val="00EE0ED0"/>
    <w:rsid w:val="00EE13CB"/>
    <w:rsid w:val="00EE15CB"/>
    <w:rsid w:val="00EE18DA"/>
    <w:rsid w:val="00EE196A"/>
    <w:rsid w:val="00EE1B58"/>
    <w:rsid w:val="00EE21E0"/>
    <w:rsid w:val="00EE243B"/>
    <w:rsid w:val="00EE24DE"/>
    <w:rsid w:val="00EE2744"/>
    <w:rsid w:val="00EE28B5"/>
    <w:rsid w:val="00EE2E07"/>
    <w:rsid w:val="00EE35DA"/>
    <w:rsid w:val="00EE368D"/>
    <w:rsid w:val="00EE374D"/>
    <w:rsid w:val="00EE3B69"/>
    <w:rsid w:val="00EE3C5B"/>
    <w:rsid w:val="00EE3CA1"/>
    <w:rsid w:val="00EE3F53"/>
    <w:rsid w:val="00EE409C"/>
    <w:rsid w:val="00EE433D"/>
    <w:rsid w:val="00EE452F"/>
    <w:rsid w:val="00EE47C5"/>
    <w:rsid w:val="00EE4AEF"/>
    <w:rsid w:val="00EE4B96"/>
    <w:rsid w:val="00EE527D"/>
    <w:rsid w:val="00EE532D"/>
    <w:rsid w:val="00EE585D"/>
    <w:rsid w:val="00EE60D7"/>
    <w:rsid w:val="00EE6120"/>
    <w:rsid w:val="00EE64F3"/>
    <w:rsid w:val="00EE673C"/>
    <w:rsid w:val="00EE6B47"/>
    <w:rsid w:val="00EE6E48"/>
    <w:rsid w:val="00EE7C85"/>
    <w:rsid w:val="00EE7E70"/>
    <w:rsid w:val="00EF0BF5"/>
    <w:rsid w:val="00EF13E7"/>
    <w:rsid w:val="00EF1B63"/>
    <w:rsid w:val="00EF1CD2"/>
    <w:rsid w:val="00EF2CD5"/>
    <w:rsid w:val="00EF2E37"/>
    <w:rsid w:val="00EF36F4"/>
    <w:rsid w:val="00EF3A36"/>
    <w:rsid w:val="00EF3BF7"/>
    <w:rsid w:val="00EF4649"/>
    <w:rsid w:val="00EF46A4"/>
    <w:rsid w:val="00EF47C3"/>
    <w:rsid w:val="00EF4882"/>
    <w:rsid w:val="00EF4AB7"/>
    <w:rsid w:val="00EF4D27"/>
    <w:rsid w:val="00EF59B3"/>
    <w:rsid w:val="00EF5BC9"/>
    <w:rsid w:val="00EF5CE4"/>
    <w:rsid w:val="00EF5F33"/>
    <w:rsid w:val="00EF616D"/>
    <w:rsid w:val="00EF645A"/>
    <w:rsid w:val="00EF65CD"/>
    <w:rsid w:val="00EF68C2"/>
    <w:rsid w:val="00EF6C22"/>
    <w:rsid w:val="00EF6D7B"/>
    <w:rsid w:val="00EF737A"/>
    <w:rsid w:val="00EF7A0D"/>
    <w:rsid w:val="00F0020B"/>
    <w:rsid w:val="00F0031D"/>
    <w:rsid w:val="00F00800"/>
    <w:rsid w:val="00F00B8F"/>
    <w:rsid w:val="00F00C85"/>
    <w:rsid w:val="00F00CE7"/>
    <w:rsid w:val="00F014CC"/>
    <w:rsid w:val="00F0153A"/>
    <w:rsid w:val="00F01592"/>
    <w:rsid w:val="00F016FD"/>
    <w:rsid w:val="00F017CE"/>
    <w:rsid w:val="00F023A5"/>
    <w:rsid w:val="00F027B3"/>
    <w:rsid w:val="00F02F4C"/>
    <w:rsid w:val="00F0325E"/>
    <w:rsid w:val="00F03450"/>
    <w:rsid w:val="00F03EF9"/>
    <w:rsid w:val="00F04070"/>
    <w:rsid w:val="00F04516"/>
    <w:rsid w:val="00F047DD"/>
    <w:rsid w:val="00F04A87"/>
    <w:rsid w:val="00F04D53"/>
    <w:rsid w:val="00F059EB"/>
    <w:rsid w:val="00F05B18"/>
    <w:rsid w:val="00F05B8F"/>
    <w:rsid w:val="00F05D18"/>
    <w:rsid w:val="00F0653C"/>
    <w:rsid w:val="00F0654E"/>
    <w:rsid w:val="00F06695"/>
    <w:rsid w:val="00F0683E"/>
    <w:rsid w:val="00F069E1"/>
    <w:rsid w:val="00F06D39"/>
    <w:rsid w:val="00F07372"/>
    <w:rsid w:val="00F073E2"/>
    <w:rsid w:val="00F07E11"/>
    <w:rsid w:val="00F10638"/>
    <w:rsid w:val="00F1065A"/>
    <w:rsid w:val="00F10827"/>
    <w:rsid w:val="00F10D2C"/>
    <w:rsid w:val="00F1124B"/>
    <w:rsid w:val="00F1127C"/>
    <w:rsid w:val="00F11E41"/>
    <w:rsid w:val="00F11E49"/>
    <w:rsid w:val="00F126FC"/>
    <w:rsid w:val="00F12928"/>
    <w:rsid w:val="00F135D7"/>
    <w:rsid w:val="00F1398F"/>
    <w:rsid w:val="00F13D51"/>
    <w:rsid w:val="00F13E05"/>
    <w:rsid w:val="00F13FF5"/>
    <w:rsid w:val="00F148B1"/>
    <w:rsid w:val="00F14C95"/>
    <w:rsid w:val="00F153DC"/>
    <w:rsid w:val="00F155A2"/>
    <w:rsid w:val="00F15742"/>
    <w:rsid w:val="00F157C0"/>
    <w:rsid w:val="00F15A13"/>
    <w:rsid w:val="00F15DF0"/>
    <w:rsid w:val="00F1639C"/>
    <w:rsid w:val="00F16680"/>
    <w:rsid w:val="00F166F9"/>
    <w:rsid w:val="00F16AC1"/>
    <w:rsid w:val="00F16DDA"/>
    <w:rsid w:val="00F17C41"/>
    <w:rsid w:val="00F201AD"/>
    <w:rsid w:val="00F208CD"/>
    <w:rsid w:val="00F21617"/>
    <w:rsid w:val="00F21845"/>
    <w:rsid w:val="00F21AEB"/>
    <w:rsid w:val="00F2201B"/>
    <w:rsid w:val="00F2213E"/>
    <w:rsid w:val="00F22193"/>
    <w:rsid w:val="00F221C3"/>
    <w:rsid w:val="00F225D7"/>
    <w:rsid w:val="00F230D6"/>
    <w:rsid w:val="00F230E9"/>
    <w:rsid w:val="00F235DE"/>
    <w:rsid w:val="00F236FF"/>
    <w:rsid w:val="00F24070"/>
    <w:rsid w:val="00F249DB"/>
    <w:rsid w:val="00F24A05"/>
    <w:rsid w:val="00F24C6F"/>
    <w:rsid w:val="00F24EA9"/>
    <w:rsid w:val="00F2529A"/>
    <w:rsid w:val="00F259E4"/>
    <w:rsid w:val="00F25A4E"/>
    <w:rsid w:val="00F25AE7"/>
    <w:rsid w:val="00F25CD3"/>
    <w:rsid w:val="00F26774"/>
    <w:rsid w:val="00F2684E"/>
    <w:rsid w:val="00F27022"/>
    <w:rsid w:val="00F27A28"/>
    <w:rsid w:val="00F27C82"/>
    <w:rsid w:val="00F30CC5"/>
    <w:rsid w:val="00F32058"/>
    <w:rsid w:val="00F32179"/>
    <w:rsid w:val="00F32700"/>
    <w:rsid w:val="00F32B8B"/>
    <w:rsid w:val="00F3312E"/>
    <w:rsid w:val="00F33684"/>
    <w:rsid w:val="00F3489D"/>
    <w:rsid w:val="00F35494"/>
    <w:rsid w:val="00F35B46"/>
    <w:rsid w:val="00F36BDE"/>
    <w:rsid w:val="00F36EDB"/>
    <w:rsid w:val="00F37001"/>
    <w:rsid w:val="00F374D7"/>
    <w:rsid w:val="00F376FF"/>
    <w:rsid w:val="00F37B1C"/>
    <w:rsid w:val="00F37B46"/>
    <w:rsid w:val="00F37D3D"/>
    <w:rsid w:val="00F40BFD"/>
    <w:rsid w:val="00F40DDD"/>
    <w:rsid w:val="00F40FD8"/>
    <w:rsid w:val="00F412D6"/>
    <w:rsid w:val="00F413EF"/>
    <w:rsid w:val="00F41508"/>
    <w:rsid w:val="00F417D6"/>
    <w:rsid w:val="00F41B8B"/>
    <w:rsid w:val="00F4232F"/>
    <w:rsid w:val="00F4256D"/>
    <w:rsid w:val="00F4267D"/>
    <w:rsid w:val="00F427CC"/>
    <w:rsid w:val="00F42BBA"/>
    <w:rsid w:val="00F42F41"/>
    <w:rsid w:val="00F43303"/>
    <w:rsid w:val="00F43371"/>
    <w:rsid w:val="00F43584"/>
    <w:rsid w:val="00F436B4"/>
    <w:rsid w:val="00F43979"/>
    <w:rsid w:val="00F43D69"/>
    <w:rsid w:val="00F43FF1"/>
    <w:rsid w:val="00F443B1"/>
    <w:rsid w:val="00F446FC"/>
    <w:rsid w:val="00F44A0B"/>
    <w:rsid w:val="00F44CB5"/>
    <w:rsid w:val="00F45353"/>
    <w:rsid w:val="00F455E7"/>
    <w:rsid w:val="00F45699"/>
    <w:rsid w:val="00F45BE1"/>
    <w:rsid w:val="00F463E9"/>
    <w:rsid w:val="00F464AB"/>
    <w:rsid w:val="00F46A88"/>
    <w:rsid w:val="00F46B26"/>
    <w:rsid w:val="00F46B47"/>
    <w:rsid w:val="00F46BD3"/>
    <w:rsid w:val="00F46C6C"/>
    <w:rsid w:val="00F4744D"/>
    <w:rsid w:val="00F47605"/>
    <w:rsid w:val="00F478A8"/>
    <w:rsid w:val="00F47E6A"/>
    <w:rsid w:val="00F5081A"/>
    <w:rsid w:val="00F50AA5"/>
    <w:rsid w:val="00F511C1"/>
    <w:rsid w:val="00F51997"/>
    <w:rsid w:val="00F523B7"/>
    <w:rsid w:val="00F52C1E"/>
    <w:rsid w:val="00F52FF7"/>
    <w:rsid w:val="00F53102"/>
    <w:rsid w:val="00F538F2"/>
    <w:rsid w:val="00F53E27"/>
    <w:rsid w:val="00F54252"/>
    <w:rsid w:val="00F54D10"/>
    <w:rsid w:val="00F54D31"/>
    <w:rsid w:val="00F54DFD"/>
    <w:rsid w:val="00F54ED1"/>
    <w:rsid w:val="00F551E5"/>
    <w:rsid w:val="00F55251"/>
    <w:rsid w:val="00F55784"/>
    <w:rsid w:val="00F55F09"/>
    <w:rsid w:val="00F560E3"/>
    <w:rsid w:val="00F562C9"/>
    <w:rsid w:val="00F56549"/>
    <w:rsid w:val="00F567F1"/>
    <w:rsid w:val="00F56C96"/>
    <w:rsid w:val="00F56ED8"/>
    <w:rsid w:val="00F56FB9"/>
    <w:rsid w:val="00F576B0"/>
    <w:rsid w:val="00F5787E"/>
    <w:rsid w:val="00F57C00"/>
    <w:rsid w:val="00F57CA1"/>
    <w:rsid w:val="00F600E7"/>
    <w:rsid w:val="00F6028C"/>
    <w:rsid w:val="00F604D2"/>
    <w:rsid w:val="00F60504"/>
    <w:rsid w:val="00F60A25"/>
    <w:rsid w:val="00F60AEB"/>
    <w:rsid w:val="00F60D3B"/>
    <w:rsid w:val="00F6114B"/>
    <w:rsid w:val="00F6162B"/>
    <w:rsid w:val="00F617E8"/>
    <w:rsid w:val="00F61BB1"/>
    <w:rsid w:val="00F61F93"/>
    <w:rsid w:val="00F6243E"/>
    <w:rsid w:val="00F6276B"/>
    <w:rsid w:val="00F62C15"/>
    <w:rsid w:val="00F62F90"/>
    <w:rsid w:val="00F63A22"/>
    <w:rsid w:val="00F63B1B"/>
    <w:rsid w:val="00F63C99"/>
    <w:rsid w:val="00F63FBF"/>
    <w:rsid w:val="00F641AC"/>
    <w:rsid w:val="00F6437C"/>
    <w:rsid w:val="00F646BE"/>
    <w:rsid w:val="00F64BF7"/>
    <w:rsid w:val="00F64C0C"/>
    <w:rsid w:val="00F64FE5"/>
    <w:rsid w:val="00F65AC9"/>
    <w:rsid w:val="00F65C04"/>
    <w:rsid w:val="00F65FC1"/>
    <w:rsid w:val="00F6666C"/>
    <w:rsid w:val="00F66848"/>
    <w:rsid w:val="00F668E2"/>
    <w:rsid w:val="00F6696F"/>
    <w:rsid w:val="00F66A4B"/>
    <w:rsid w:val="00F66D66"/>
    <w:rsid w:val="00F671FF"/>
    <w:rsid w:val="00F67494"/>
    <w:rsid w:val="00F67B3C"/>
    <w:rsid w:val="00F67F86"/>
    <w:rsid w:val="00F70162"/>
    <w:rsid w:val="00F702F0"/>
    <w:rsid w:val="00F7067A"/>
    <w:rsid w:val="00F70808"/>
    <w:rsid w:val="00F70990"/>
    <w:rsid w:val="00F70A8B"/>
    <w:rsid w:val="00F70CC7"/>
    <w:rsid w:val="00F7127B"/>
    <w:rsid w:val="00F714EB"/>
    <w:rsid w:val="00F718E3"/>
    <w:rsid w:val="00F71BD3"/>
    <w:rsid w:val="00F72CB4"/>
    <w:rsid w:val="00F7336F"/>
    <w:rsid w:val="00F740B1"/>
    <w:rsid w:val="00F74563"/>
    <w:rsid w:val="00F74919"/>
    <w:rsid w:val="00F74E63"/>
    <w:rsid w:val="00F759A6"/>
    <w:rsid w:val="00F75DC4"/>
    <w:rsid w:val="00F75E4E"/>
    <w:rsid w:val="00F75F94"/>
    <w:rsid w:val="00F75FBA"/>
    <w:rsid w:val="00F761F0"/>
    <w:rsid w:val="00F7657C"/>
    <w:rsid w:val="00F76695"/>
    <w:rsid w:val="00F76946"/>
    <w:rsid w:val="00F76AC7"/>
    <w:rsid w:val="00F76CC8"/>
    <w:rsid w:val="00F7728D"/>
    <w:rsid w:val="00F77480"/>
    <w:rsid w:val="00F77481"/>
    <w:rsid w:val="00F77556"/>
    <w:rsid w:val="00F77E19"/>
    <w:rsid w:val="00F802D0"/>
    <w:rsid w:val="00F80582"/>
    <w:rsid w:val="00F81312"/>
    <w:rsid w:val="00F819AB"/>
    <w:rsid w:val="00F81E25"/>
    <w:rsid w:val="00F820E0"/>
    <w:rsid w:val="00F82116"/>
    <w:rsid w:val="00F8226E"/>
    <w:rsid w:val="00F82449"/>
    <w:rsid w:val="00F828D6"/>
    <w:rsid w:val="00F83744"/>
    <w:rsid w:val="00F83F54"/>
    <w:rsid w:val="00F83F94"/>
    <w:rsid w:val="00F8426F"/>
    <w:rsid w:val="00F846DC"/>
    <w:rsid w:val="00F847FD"/>
    <w:rsid w:val="00F84956"/>
    <w:rsid w:val="00F849A0"/>
    <w:rsid w:val="00F84BCA"/>
    <w:rsid w:val="00F84BCE"/>
    <w:rsid w:val="00F85AEE"/>
    <w:rsid w:val="00F85D90"/>
    <w:rsid w:val="00F861D4"/>
    <w:rsid w:val="00F86381"/>
    <w:rsid w:val="00F8662B"/>
    <w:rsid w:val="00F87887"/>
    <w:rsid w:val="00F87A48"/>
    <w:rsid w:val="00F87ABE"/>
    <w:rsid w:val="00F87D67"/>
    <w:rsid w:val="00F87DF6"/>
    <w:rsid w:val="00F87E8C"/>
    <w:rsid w:val="00F90574"/>
    <w:rsid w:val="00F909A0"/>
    <w:rsid w:val="00F90E80"/>
    <w:rsid w:val="00F912B8"/>
    <w:rsid w:val="00F9168F"/>
    <w:rsid w:val="00F91E30"/>
    <w:rsid w:val="00F92563"/>
    <w:rsid w:val="00F929E3"/>
    <w:rsid w:val="00F92F4C"/>
    <w:rsid w:val="00F92F88"/>
    <w:rsid w:val="00F9358C"/>
    <w:rsid w:val="00F935C7"/>
    <w:rsid w:val="00F93767"/>
    <w:rsid w:val="00F93AC0"/>
    <w:rsid w:val="00F93EE3"/>
    <w:rsid w:val="00F94187"/>
    <w:rsid w:val="00F9428E"/>
    <w:rsid w:val="00F94E9E"/>
    <w:rsid w:val="00F94F18"/>
    <w:rsid w:val="00F9502E"/>
    <w:rsid w:val="00F9545A"/>
    <w:rsid w:val="00F95606"/>
    <w:rsid w:val="00F95B9F"/>
    <w:rsid w:val="00F95C74"/>
    <w:rsid w:val="00F961EA"/>
    <w:rsid w:val="00F9653C"/>
    <w:rsid w:val="00F96662"/>
    <w:rsid w:val="00F9673A"/>
    <w:rsid w:val="00F96918"/>
    <w:rsid w:val="00F97198"/>
    <w:rsid w:val="00F97401"/>
    <w:rsid w:val="00F97539"/>
    <w:rsid w:val="00F975FC"/>
    <w:rsid w:val="00F978B9"/>
    <w:rsid w:val="00F9798F"/>
    <w:rsid w:val="00F97B2C"/>
    <w:rsid w:val="00FA0236"/>
    <w:rsid w:val="00FA0286"/>
    <w:rsid w:val="00FA0517"/>
    <w:rsid w:val="00FA0683"/>
    <w:rsid w:val="00FA0945"/>
    <w:rsid w:val="00FA112D"/>
    <w:rsid w:val="00FA1258"/>
    <w:rsid w:val="00FA13F4"/>
    <w:rsid w:val="00FA1976"/>
    <w:rsid w:val="00FA1A83"/>
    <w:rsid w:val="00FA1AEB"/>
    <w:rsid w:val="00FA1B61"/>
    <w:rsid w:val="00FA1EC8"/>
    <w:rsid w:val="00FA2201"/>
    <w:rsid w:val="00FA2661"/>
    <w:rsid w:val="00FA2748"/>
    <w:rsid w:val="00FA2797"/>
    <w:rsid w:val="00FA2AEB"/>
    <w:rsid w:val="00FA2DFA"/>
    <w:rsid w:val="00FA2E66"/>
    <w:rsid w:val="00FA33E8"/>
    <w:rsid w:val="00FA398E"/>
    <w:rsid w:val="00FA3992"/>
    <w:rsid w:val="00FA4C68"/>
    <w:rsid w:val="00FA58E8"/>
    <w:rsid w:val="00FA679F"/>
    <w:rsid w:val="00FA6ADF"/>
    <w:rsid w:val="00FA6C15"/>
    <w:rsid w:val="00FA6D4D"/>
    <w:rsid w:val="00FA709D"/>
    <w:rsid w:val="00FA7691"/>
    <w:rsid w:val="00FA7EA3"/>
    <w:rsid w:val="00FA7FBA"/>
    <w:rsid w:val="00FA7FDD"/>
    <w:rsid w:val="00FB00FD"/>
    <w:rsid w:val="00FB027B"/>
    <w:rsid w:val="00FB04B1"/>
    <w:rsid w:val="00FB075D"/>
    <w:rsid w:val="00FB08A1"/>
    <w:rsid w:val="00FB0BE9"/>
    <w:rsid w:val="00FB0C0E"/>
    <w:rsid w:val="00FB1243"/>
    <w:rsid w:val="00FB14E1"/>
    <w:rsid w:val="00FB1D38"/>
    <w:rsid w:val="00FB1EFE"/>
    <w:rsid w:val="00FB24E0"/>
    <w:rsid w:val="00FB26F7"/>
    <w:rsid w:val="00FB28FA"/>
    <w:rsid w:val="00FB2A00"/>
    <w:rsid w:val="00FB2F5C"/>
    <w:rsid w:val="00FB31DF"/>
    <w:rsid w:val="00FB331F"/>
    <w:rsid w:val="00FB3695"/>
    <w:rsid w:val="00FB3A92"/>
    <w:rsid w:val="00FB425A"/>
    <w:rsid w:val="00FB426A"/>
    <w:rsid w:val="00FB4583"/>
    <w:rsid w:val="00FB474E"/>
    <w:rsid w:val="00FB487C"/>
    <w:rsid w:val="00FB4F65"/>
    <w:rsid w:val="00FB50A4"/>
    <w:rsid w:val="00FB517B"/>
    <w:rsid w:val="00FB53AF"/>
    <w:rsid w:val="00FB54EC"/>
    <w:rsid w:val="00FB55F9"/>
    <w:rsid w:val="00FB5675"/>
    <w:rsid w:val="00FB5E0E"/>
    <w:rsid w:val="00FB6346"/>
    <w:rsid w:val="00FB6ADB"/>
    <w:rsid w:val="00FB6ED3"/>
    <w:rsid w:val="00FB743C"/>
    <w:rsid w:val="00FB7499"/>
    <w:rsid w:val="00FC0000"/>
    <w:rsid w:val="00FC0004"/>
    <w:rsid w:val="00FC0140"/>
    <w:rsid w:val="00FC01F3"/>
    <w:rsid w:val="00FC03A9"/>
    <w:rsid w:val="00FC05BD"/>
    <w:rsid w:val="00FC0788"/>
    <w:rsid w:val="00FC0C36"/>
    <w:rsid w:val="00FC10F6"/>
    <w:rsid w:val="00FC12D7"/>
    <w:rsid w:val="00FC1A69"/>
    <w:rsid w:val="00FC26D8"/>
    <w:rsid w:val="00FC28D5"/>
    <w:rsid w:val="00FC31B4"/>
    <w:rsid w:val="00FC31CB"/>
    <w:rsid w:val="00FC333A"/>
    <w:rsid w:val="00FC334E"/>
    <w:rsid w:val="00FC3822"/>
    <w:rsid w:val="00FC3A86"/>
    <w:rsid w:val="00FC3BD0"/>
    <w:rsid w:val="00FC4B5C"/>
    <w:rsid w:val="00FC4E32"/>
    <w:rsid w:val="00FC50D5"/>
    <w:rsid w:val="00FC5624"/>
    <w:rsid w:val="00FC5E4F"/>
    <w:rsid w:val="00FC6228"/>
    <w:rsid w:val="00FC697C"/>
    <w:rsid w:val="00FC6C50"/>
    <w:rsid w:val="00FC7259"/>
    <w:rsid w:val="00FC7521"/>
    <w:rsid w:val="00FC76F0"/>
    <w:rsid w:val="00FC77F5"/>
    <w:rsid w:val="00FC7878"/>
    <w:rsid w:val="00FD00B1"/>
    <w:rsid w:val="00FD0878"/>
    <w:rsid w:val="00FD089C"/>
    <w:rsid w:val="00FD0CE9"/>
    <w:rsid w:val="00FD0E41"/>
    <w:rsid w:val="00FD1489"/>
    <w:rsid w:val="00FD2082"/>
    <w:rsid w:val="00FD3CAA"/>
    <w:rsid w:val="00FD3D37"/>
    <w:rsid w:val="00FD41EB"/>
    <w:rsid w:val="00FD47DF"/>
    <w:rsid w:val="00FD481B"/>
    <w:rsid w:val="00FD5255"/>
    <w:rsid w:val="00FD55C4"/>
    <w:rsid w:val="00FD5833"/>
    <w:rsid w:val="00FD5AD1"/>
    <w:rsid w:val="00FD6047"/>
    <w:rsid w:val="00FD6639"/>
    <w:rsid w:val="00FD6878"/>
    <w:rsid w:val="00FD6AE1"/>
    <w:rsid w:val="00FD72D9"/>
    <w:rsid w:val="00FE01F4"/>
    <w:rsid w:val="00FE031D"/>
    <w:rsid w:val="00FE05C7"/>
    <w:rsid w:val="00FE0A21"/>
    <w:rsid w:val="00FE0CCB"/>
    <w:rsid w:val="00FE0D27"/>
    <w:rsid w:val="00FE102A"/>
    <w:rsid w:val="00FE1647"/>
    <w:rsid w:val="00FE1855"/>
    <w:rsid w:val="00FE19B2"/>
    <w:rsid w:val="00FE1EF6"/>
    <w:rsid w:val="00FE201E"/>
    <w:rsid w:val="00FE25E4"/>
    <w:rsid w:val="00FE25FC"/>
    <w:rsid w:val="00FE2750"/>
    <w:rsid w:val="00FE281D"/>
    <w:rsid w:val="00FE290A"/>
    <w:rsid w:val="00FE2ADA"/>
    <w:rsid w:val="00FE2DF8"/>
    <w:rsid w:val="00FE3045"/>
    <w:rsid w:val="00FE329F"/>
    <w:rsid w:val="00FE3CE4"/>
    <w:rsid w:val="00FE3EE5"/>
    <w:rsid w:val="00FE4CFA"/>
    <w:rsid w:val="00FE508F"/>
    <w:rsid w:val="00FE5276"/>
    <w:rsid w:val="00FE535B"/>
    <w:rsid w:val="00FE5676"/>
    <w:rsid w:val="00FE5A7D"/>
    <w:rsid w:val="00FE7BEC"/>
    <w:rsid w:val="00FE7BEF"/>
    <w:rsid w:val="00FE7CBF"/>
    <w:rsid w:val="00FE7FAF"/>
    <w:rsid w:val="00FF0347"/>
    <w:rsid w:val="00FF0765"/>
    <w:rsid w:val="00FF085E"/>
    <w:rsid w:val="00FF08B8"/>
    <w:rsid w:val="00FF09BC"/>
    <w:rsid w:val="00FF0BF5"/>
    <w:rsid w:val="00FF1143"/>
    <w:rsid w:val="00FF1991"/>
    <w:rsid w:val="00FF23D2"/>
    <w:rsid w:val="00FF23DA"/>
    <w:rsid w:val="00FF2428"/>
    <w:rsid w:val="00FF299A"/>
    <w:rsid w:val="00FF30CD"/>
    <w:rsid w:val="00FF315F"/>
    <w:rsid w:val="00FF3D27"/>
    <w:rsid w:val="00FF3F35"/>
    <w:rsid w:val="00FF40D7"/>
    <w:rsid w:val="00FF473C"/>
    <w:rsid w:val="00FF4BB2"/>
    <w:rsid w:val="00FF573F"/>
    <w:rsid w:val="00FF583A"/>
    <w:rsid w:val="00FF5B83"/>
    <w:rsid w:val="00FF5B9B"/>
    <w:rsid w:val="00FF5F04"/>
    <w:rsid w:val="00FF6540"/>
    <w:rsid w:val="00FF68D1"/>
    <w:rsid w:val="00FF6939"/>
    <w:rsid w:val="00FF6A99"/>
    <w:rsid w:val="00FF6DD1"/>
    <w:rsid w:val="00FF7546"/>
    <w:rsid w:val="00FF79A8"/>
    <w:rsid w:val="0807D9F3"/>
    <w:rsid w:val="09A3D074"/>
    <w:rsid w:val="0EE85BDE"/>
    <w:rsid w:val="1DFBC944"/>
    <w:rsid w:val="1E968289"/>
    <w:rsid w:val="1F0DD2B9"/>
    <w:rsid w:val="21A85412"/>
    <w:rsid w:val="28CFBD47"/>
    <w:rsid w:val="2B911599"/>
    <w:rsid w:val="32A2CF4E"/>
    <w:rsid w:val="336FA37B"/>
    <w:rsid w:val="354BD5FF"/>
    <w:rsid w:val="3B068C1F"/>
    <w:rsid w:val="3B8686C2"/>
    <w:rsid w:val="414BB843"/>
    <w:rsid w:val="44BE3D9C"/>
    <w:rsid w:val="47B89BE7"/>
    <w:rsid w:val="48DC29B3"/>
    <w:rsid w:val="55F89928"/>
    <w:rsid w:val="65D4B9AF"/>
    <w:rsid w:val="684B81F2"/>
    <w:rsid w:val="7D2A4029"/>
    <w:rsid w:val="7D64087C"/>
    <w:rsid w:val="7D6C6209"/>
    <w:rsid w:val="7F57E6CE"/>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4AA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B77"/>
    <w:rPr>
      <w:sz w:val="20"/>
    </w:rPr>
  </w:style>
  <w:style w:type="paragraph" w:styleId="Heading1">
    <w:name w:val="heading 1"/>
    <w:basedOn w:val="Normal"/>
    <w:next w:val="Normal"/>
    <w:link w:val="Heading1Char"/>
    <w:uiPriority w:val="9"/>
    <w:qFormat/>
    <w:rsid w:val="0030268C"/>
    <w:pPr>
      <w:keepNext/>
      <w:keepLines/>
      <w:numPr>
        <w:numId w:val="24"/>
      </w:numPr>
      <w:spacing w:before="240" w:after="240"/>
      <w:ind w:left="432"/>
      <w:outlineLvl w:val="0"/>
    </w:pPr>
    <w:rPr>
      <w:rFonts w:asciiTheme="majorHAnsi" w:eastAsiaTheme="majorEastAsia" w:hAnsiTheme="majorHAnsi" w:cstheme="majorBidi"/>
      <w:b/>
      <w:color w:val="005EB8" w:themeColor="text2"/>
      <w:sz w:val="28"/>
      <w:szCs w:val="32"/>
    </w:rPr>
  </w:style>
  <w:style w:type="paragraph" w:styleId="Heading2">
    <w:name w:val="heading 2"/>
    <w:basedOn w:val="Normal"/>
    <w:next w:val="Normal"/>
    <w:link w:val="Heading2Char"/>
    <w:uiPriority w:val="9"/>
    <w:unhideWhenUsed/>
    <w:qFormat/>
    <w:rsid w:val="00873834"/>
    <w:pPr>
      <w:keepNext/>
      <w:keepLines/>
      <w:numPr>
        <w:ilvl w:val="1"/>
        <w:numId w:val="24"/>
      </w:numPr>
      <w:spacing w:before="40" w:after="240"/>
      <w:outlineLvl w:val="1"/>
    </w:pPr>
    <w:rPr>
      <w:rFonts w:asciiTheme="majorHAnsi" w:eastAsiaTheme="majorEastAsia" w:hAnsiTheme="majorHAnsi" w:cstheme="majorBidi"/>
      <w:b/>
      <w:color w:val="002142" w:themeColor="accent1"/>
      <w:sz w:val="24"/>
      <w:szCs w:val="26"/>
    </w:rPr>
  </w:style>
  <w:style w:type="paragraph" w:styleId="Heading3">
    <w:name w:val="heading 3"/>
    <w:basedOn w:val="Normal"/>
    <w:next w:val="Normal"/>
    <w:link w:val="Heading3Char"/>
    <w:uiPriority w:val="9"/>
    <w:unhideWhenUsed/>
    <w:qFormat/>
    <w:rsid w:val="005142E1"/>
    <w:pPr>
      <w:keepNext/>
      <w:keepLines/>
      <w:numPr>
        <w:ilvl w:val="2"/>
        <w:numId w:val="24"/>
      </w:numPr>
      <w:spacing w:before="40" w:after="240"/>
      <w:ind w:left="2160" w:hanging="360"/>
      <w:outlineLvl w:val="2"/>
    </w:pPr>
    <w:rPr>
      <w:rFonts w:asciiTheme="majorHAnsi" w:eastAsiaTheme="majorEastAsia" w:hAnsiTheme="majorHAnsi" w:cstheme="majorBidi"/>
      <w:color w:val="005EB8" w:themeColor="text2"/>
      <w:sz w:val="22"/>
      <w:szCs w:val="24"/>
    </w:rPr>
  </w:style>
  <w:style w:type="paragraph" w:styleId="Heading4">
    <w:name w:val="heading 4"/>
    <w:basedOn w:val="Caption"/>
    <w:next w:val="Normal"/>
    <w:link w:val="Heading4Char"/>
    <w:uiPriority w:val="9"/>
    <w:unhideWhenUsed/>
    <w:qFormat/>
    <w:rsid w:val="003444A6"/>
    <w:pPr>
      <w:keepNext/>
      <w:outlineLvl w:val="3"/>
    </w:pPr>
  </w:style>
  <w:style w:type="paragraph" w:styleId="Heading5">
    <w:name w:val="heading 5"/>
    <w:basedOn w:val="Normal"/>
    <w:next w:val="Normal"/>
    <w:link w:val="Heading5Char"/>
    <w:uiPriority w:val="9"/>
    <w:semiHidden/>
    <w:unhideWhenUsed/>
    <w:qFormat/>
    <w:rsid w:val="00B04172"/>
    <w:pPr>
      <w:keepNext/>
      <w:keepLines/>
      <w:numPr>
        <w:ilvl w:val="4"/>
        <w:numId w:val="24"/>
      </w:numPr>
      <w:spacing w:before="40" w:after="0"/>
      <w:ind w:left="3600" w:hanging="360"/>
      <w:outlineLvl w:val="4"/>
    </w:pPr>
    <w:rPr>
      <w:rFonts w:asciiTheme="majorHAnsi" w:eastAsiaTheme="majorEastAsia" w:hAnsiTheme="majorHAnsi" w:cstheme="majorBidi"/>
      <w:color w:val="001831" w:themeColor="accent1" w:themeShade="BF"/>
    </w:rPr>
  </w:style>
  <w:style w:type="paragraph" w:styleId="Heading6">
    <w:name w:val="heading 6"/>
    <w:basedOn w:val="Normal"/>
    <w:next w:val="Normal"/>
    <w:link w:val="Heading6Char"/>
    <w:uiPriority w:val="9"/>
    <w:qFormat/>
    <w:rsid w:val="00B3266D"/>
    <w:pPr>
      <w:keepNext/>
      <w:numPr>
        <w:ilvl w:val="5"/>
        <w:numId w:val="24"/>
      </w:numPr>
      <w:spacing w:before="240" w:after="60" w:line="240" w:lineRule="auto"/>
      <w:ind w:left="4320" w:hanging="360"/>
      <w:outlineLvl w:val="5"/>
    </w:pPr>
    <w:rPr>
      <w:rFonts w:ascii="Arial" w:eastAsia="Times New Roman" w:hAnsi="Arial" w:cs="Times New Roman"/>
      <w:b/>
      <w:bCs/>
      <w:i/>
      <w:sz w:val="22"/>
      <w:lang w:val="en-AU"/>
    </w:rPr>
  </w:style>
  <w:style w:type="paragraph" w:styleId="Heading7">
    <w:name w:val="heading 7"/>
    <w:basedOn w:val="Normal"/>
    <w:next w:val="Normal"/>
    <w:link w:val="Heading7Char"/>
    <w:uiPriority w:val="9"/>
    <w:semiHidden/>
    <w:unhideWhenUsed/>
    <w:qFormat/>
    <w:rsid w:val="00B3266D"/>
    <w:pPr>
      <w:keepNext/>
      <w:keepLines/>
      <w:numPr>
        <w:ilvl w:val="6"/>
        <w:numId w:val="24"/>
      </w:numPr>
      <w:spacing w:before="40" w:after="0" w:line="240" w:lineRule="auto"/>
      <w:ind w:left="5040" w:hanging="360"/>
      <w:outlineLvl w:val="6"/>
    </w:pPr>
    <w:rPr>
      <w:rFonts w:asciiTheme="majorHAnsi" w:eastAsiaTheme="majorEastAsia" w:hAnsiTheme="majorHAnsi" w:cstheme="majorBidi"/>
      <w:i/>
      <w:iCs/>
      <w:color w:val="001020" w:themeColor="accent1" w:themeShade="7F"/>
      <w:sz w:val="22"/>
      <w:szCs w:val="24"/>
      <w:lang w:val="en-AU"/>
    </w:rPr>
  </w:style>
  <w:style w:type="paragraph" w:styleId="Heading8">
    <w:name w:val="heading 8"/>
    <w:basedOn w:val="Normal"/>
    <w:next w:val="Normal"/>
    <w:link w:val="Heading8Char"/>
    <w:uiPriority w:val="9"/>
    <w:semiHidden/>
    <w:unhideWhenUsed/>
    <w:qFormat/>
    <w:rsid w:val="00B3266D"/>
    <w:pPr>
      <w:keepNext/>
      <w:keepLines/>
      <w:numPr>
        <w:ilvl w:val="7"/>
        <w:numId w:val="24"/>
      </w:numPr>
      <w:spacing w:before="40" w:after="0" w:line="240" w:lineRule="auto"/>
      <w:ind w:left="5760" w:hanging="360"/>
      <w:outlineLvl w:val="7"/>
    </w:pPr>
    <w:rPr>
      <w:rFonts w:asciiTheme="majorHAnsi" w:eastAsiaTheme="majorEastAsia" w:hAnsiTheme="majorHAnsi" w:cstheme="majorBidi"/>
      <w:color w:val="505050" w:themeColor="text1" w:themeTint="D8"/>
      <w:sz w:val="21"/>
      <w:szCs w:val="21"/>
      <w:lang w:val="en-AU"/>
    </w:rPr>
  </w:style>
  <w:style w:type="paragraph" w:styleId="Heading9">
    <w:name w:val="heading 9"/>
    <w:basedOn w:val="Normal"/>
    <w:next w:val="Normal"/>
    <w:link w:val="Heading9Char"/>
    <w:uiPriority w:val="9"/>
    <w:semiHidden/>
    <w:unhideWhenUsed/>
    <w:qFormat/>
    <w:rsid w:val="00B3266D"/>
    <w:pPr>
      <w:keepNext/>
      <w:keepLines/>
      <w:numPr>
        <w:ilvl w:val="8"/>
        <w:numId w:val="24"/>
      </w:numPr>
      <w:spacing w:before="40" w:after="0" w:line="240" w:lineRule="auto"/>
      <w:ind w:left="6480" w:hanging="360"/>
      <w:outlineLvl w:val="8"/>
    </w:pPr>
    <w:rPr>
      <w:rFonts w:asciiTheme="majorHAnsi" w:eastAsiaTheme="majorEastAsia" w:hAnsiTheme="majorHAnsi" w:cstheme="majorBidi"/>
      <w:i/>
      <w:iCs/>
      <w:color w:val="505050" w:themeColor="text1" w:themeTint="D8"/>
      <w:sz w:val="21"/>
      <w:szCs w:val="21"/>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13A47"/>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aliases w:val="Bullet point,Bullets,CV text,Dot pt,F5 List Paragraph,FooterText,L,List Paragraph1,List Paragraph11,List Paragraph111,List Paragraph2,Medium Grid 1 - Accent 21,NAST Quote,NFP GP Bulleted List,Numbered Paragraph,Recommendation,列,Body text"/>
    <w:basedOn w:val="Normal"/>
    <w:link w:val="ListParagraphChar"/>
    <w:uiPriority w:val="34"/>
    <w:qFormat/>
    <w:rsid w:val="00076E00"/>
    <w:pPr>
      <w:ind w:left="720"/>
    </w:pPr>
    <w:rPr>
      <w:rFonts w:eastAsiaTheme="minorEastAsia" w:cs="Times New Roman"/>
      <w:szCs w:val="24"/>
    </w:rPr>
  </w:style>
  <w:style w:type="paragraph" w:styleId="FootnoteText">
    <w:name w:val="footnote text"/>
    <w:basedOn w:val="Normal"/>
    <w:link w:val="FootnoteTextChar"/>
    <w:uiPriority w:val="99"/>
    <w:unhideWhenUsed/>
    <w:rsid w:val="00CA4CAB"/>
    <w:pPr>
      <w:spacing w:after="0" w:line="240" w:lineRule="auto"/>
    </w:pPr>
    <w:rPr>
      <w:szCs w:val="20"/>
    </w:rPr>
  </w:style>
  <w:style w:type="character" w:customStyle="1" w:styleId="FootnoteTextChar">
    <w:name w:val="Footnote Text Char"/>
    <w:basedOn w:val="DefaultParagraphFont"/>
    <w:link w:val="FootnoteText"/>
    <w:uiPriority w:val="99"/>
    <w:rsid w:val="00CA4CAB"/>
    <w:rPr>
      <w:sz w:val="20"/>
      <w:szCs w:val="20"/>
    </w:rPr>
  </w:style>
  <w:style w:type="character" w:styleId="FootnoteReference">
    <w:name w:val="footnote reference"/>
    <w:basedOn w:val="DefaultParagraphFont"/>
    <w:uiPriority w:val="99"/>
    <w:semiHidden/>
    <w:unhideWhenUsed/>
    <w:rsid w:val="00CA4CAB"/>
    <w:rPr>
      <w:vertAlign w:val="superscript"/>
    </w:rPr>
  </w:style>
  <w:style w:type="character" w:customStyle="1" w:styleId="Heading1Char">
    <w:name w:val="Heading 1 Char"/>
    <w:basedOn w:val="DefaultParagraphFont"/>
    <w:link w:val="Heading1"/>
    <w:uiPriority w:val="9"/>
    <w:rsid w:val="0070652B"/>
    <w:rPr>
      <w:rFonts w:asciiTheme="majorHAnsi" w:eastAsiaTheme="majorEastAsia" w:hAnsiTheme="majorHAnsi" w:cstheme="majorBidi"/>
      <w:b/>
      <w:color w:val="005EB8" w:themeColor="text2"/>
      <w:sz w:val="28"/>
      <w:szCs w:val="32"/>
    </w:rPr>
  </w:style>
  <w:style w:type="character" w:customStyle="1" w:styleId="Heading2Char">
    <w:name w:val="Heading 2 Char"/>
    <w:basedOn w:val="DefaultParagraphFont"/>
    <w:link w:val="Heading2"/>
    <w:uiPriority w:val="9"/>
    <w:rsid w:val="0090676C"/>
    <w:rPr>
      <w:rFonts w:asciiTheme="majorHAnsi" w:eastAsiaTheme="majorEastAsia" w:hAnsiTheme="majorHAnsi" w:cstheme="majorBidi"/>
      <w:b/>
      <w:color w:val="002142" w:themeColor="accent1"/>
      <w:sz w:val="24"/>
      <w:szCs w:val="26"/>
    </w:rPr>
  </w:style>
  <w:style w:type="paragraph" w:customStyle="1" w:styleId="Bullet">
    <w:name w:val="Bullet"/>
    <w:basedOn w:val="Normal"/>
    <w:qFormat/>
    <w:rsid w:val="008647E3"/>
    <w:pPr>
      <w:numPr>
        <w:ilvl w:val="1"/>
        <w:numId w:val="1"/>
      </w:numPr>
      <w:ind w:left="360"/>
    </w:pPr>
    <w:rPr>
      <w:iCs/>
    </w:rPr>
  </w:style>
  <w:style w:type="paragraph" w:styleId="Caption">
    <w:name w:val="caption"/>
    <w:basedOn w:val="Normal"/>
    <w:next w:val="Normal"/>
    <w:unhideWhenUsed/>
    <w:qFormat/>
    <w:rsid w:val="006F6AF3"/>
    <w:pPr>
      <w:spacing w:before="240" w:after="240" w:line="240" w:lineRule="auto"/>
    </w:pPr>
    <w:rPr>
      <w:b/>
      <w:iCs/>
      <w:color w:val="005EB8" w:themeColor="text2"/>
      <w:sz w:val="18"/>
      <w:szCs w:val="18"/>
    </w:rPr>
  </w:style>
  <w:style w:type="character" w:customStyle="1" w:styleId="Heading3Char">
    <w:name w:val="Heading 3 Char"/>
    <w:basedOn w:val="DefaultParagraphFont"/>
    <w:link w:val="Heading3"/>
    <w:uiPriority w:val="9"/>
    <w:rsid w:val="005142E1"/>
    <w:rPr>
      <w:rFonts w:asciiTheme="majorHAnsi" w:eastAsiaTheme="majorEastAsia" w:hAnsiTheme="majorHAnsi" w:cstheme="majorBidi"/>
      <w:color w:val="005EB8" w:themeColor="text2"/>
      <w:szCs w:val="24"/>
    </w:rPr>
  </w:style>
  <w:style w:type="paragraph" w:styleId="Header">
    <w:name w:val="header"/>
    <w:basedOn w:val="Normal"/>
    <w:link w:val="HeaderChar"/>
    <w:unhideWhenUsed/>
    <w:qFormat/>
    <w:rsid w:val="00166885"/>
    <w:pPr>
      <w:tabs>
        <w:tab w:val="center" w:pos="4680"/>
        <w:tab w:val="right" w:pos="9360"/>
      </w:tabs>
      <w:spacing w:after="0" w:line="240" w:lineRule="auto"/>
    </w:pPr>
  </w:style>
  <w:style w:type="character" w:customStyle="1" w:styleId="HeaderChar">
    <w:name w:val="Header Char"/>
    <w:basedOn w:val="DefaultParagraphFont"/>
    <w:link w:val="Header"/>
    <w:rsid w:val="00166885"/>
    <w:rPr>
      <w:sz w:val="20"/>
    </w:rPr>
  </w:style>
  <w:style w:type="paragraph" w:styleId="Footer">
    <w:name w:val="footer"/>
    <w:basedOn w:val="Normal"/>
    <w:link w:val="FooterChar"/>
    <w:uiPriority w:val="99"/>
    <w:unhideWhenUsed/>
    <w:rsid w:val="001668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6885"/>
    <w:rPr>
      <w:sz w:val="20"/>
    </w:rPr>
  </w:style>
  <w:style w:type="paragraph" w:styleId="EndnoteText">
    <w:name w:val="endnote text"/>
    <w:basedOn w:val="Normal"/>
    <w:link w:val="EndnoteTextChar"/>
    <w:uiPriority w:val="99"/>
    <w:semiHidden/>
    <w:unhideWhenUsed/>
    <w:rsid w:val="00FA0517"/>
    <w:pPr>
      <w:spacing w:after="0" w:line="240" w:lineRule="auto"/>
    </w:pPr>
    <w:rPr>
      <w:szCs w:val="20"/>
    </w:rPr>
  </w:style>
  <w:style w:type="character" w:customStyle="1" w:styleId="EndnoteTextChar">
    <w:name w:val="Endnote Text Char"/>
    <w:basedOn w:val="DefaultParagraphFont"/>
    <w:link w:val="EndnoteText"/>
    <w:uiPriority w:val="99"/>
    <w:semiHidden/>
    <w:rsid w:val="00FA0517"/>
    <w:rPr>
      <w:sz w:val="20"/>
      <w:szCs w:val="20"/>
    </w:rPr>
  </w:style>
  <w:style w:type="character" w:styleId="EndnoteReference">
    <w:name w:val="endnote reference"/>
    <w:basedOn w:val="DefaultParagraphFont"/>
    <w:uiPriority w:val="99"/>
    <w:semiHidden/>
    <w:unhideWhenUsed/>
    <w:rsid w:val="00FA0517"/>
    <w:rPr>
      <w:vertAlign w:val="superscript"/>
    </w:rPr>
  </w:style>
  <w:style w:type="character" w:styleId="Hyperlink">
    <w:name w:val="Hyperlink"/>
    <w:uiPriority w:val="99"/>
    <w:unhideWhenUsed/>
    <w:qFormat/>
    <w:rsid w:val="00802C15"/>
    <w:rPr>
      <w:color w:val="005EB8" w:themeColor="text2"/>
      <w:u w:val="single"/>
    </w:rPr>
  </w:style>
  <w:style w:type="character" w:styleId="CommentReference">
    <w:name w:val="annotation reference"/>
    <w:basedOn w:val="DefaultParagraphFont"/>
    <w:uiPriority w:val="99"/>
    <w:unhideWhenUsed/>
    <w:rsid w:val="008653A6"/>
    <w:rPr>
      <w:sz w:val="16"/>
      <w:szCs w:val="16"/>
    </w:rPr>
  </w:style>
  <w:style w:type="paragraph" w:styleId="CommentText">
    <w:name w:val="annotation text"/>
    <w:basedOn w:val="Normal"/>
    <w:link w:val="CommentTextChar"/>
    <w:uiPriority w:val="99"/>
    <w:unhideWhenUsed/>
    <w:rsid w:val="0058327A"/>
    <w:pPr>
      <w:spacing w:line="240" w:lineRule="auto"/>
    </w:pPr>
    <w:rPr>
      <w:szCs w:val="20"/>
    </w:rPr>
  </w:style>
  <w:style w:type="character" w:customStyle="1" w:styleId="CommentTextChar">
    <w:name w:val="Comment Text Char"/>
    <w:basedOn w:val="DefaultParagraphFont"/>
    <w:link w:val="CommentText"/>
    <w:uiPriority w:val="99"/>
    <w:rsid w:val="008653A6"/>
    <w:rPr>
      <w:sz w:val="20"/>
      <w:szCs w:val="20"/>
    </w:rPr>
  </w:style>
  <w:style w:type="paragraph" w:styleId="CommentSubject">
    <w:name w:val="annotation subject"/>
    <w:basedOn w:val="CommentText"/>
    <w:next w:val="CommentText"/>
    <w:link w:val="CommentSubjectChar"/>
    <w:uiPriority w:val="99"/>
    <w:semiHidden/>
    <w:unhideWhenUsed/>
    <w:rsid w:val="008653A6"/>
    <w:rPr>
      <w:b/>
      <w:bCs/>
    </w:rPr>
  </w:style>
  <w:style w:type="character" w:customStyle="1" w:styleId="CommentSubjectChar">
    <w:name w:val="Comment Subject Char"/>
    <w:basedOn w:val="CommentTextChar"/>
    <w:link w:val="CommentSubject"/>
    <w:uiPriority w:val="99"/>
    <w:semiHidden/>
    <w:rsid w:val="008653A6"/>
    <w:rPr>
      <w:b/>
      <w:bCs/>
      <w:sz w:val="20"/>
      <w:szCs w:val="20"/>
    </w:rPr>
  </w:style>
  <w:style w:type="character" w:customStyle="1" w:styleId="cf01">
    <w:name w:val="cf01"/>
    <w:basedOn w:val="DefaultParagraphFont"/>
    <w:rsid w:val="00CD7FB9"/>
    <w:rPr>
      <w:rFonts w:ascii="Segoe UI" w:hAnsi="Segoe UI" w:cs="Segoe UI" w:hint="default"/>
      <w:sz w:val="18"/>
      <w:szCs w:val="18"/>
    </w:rPr>
  </w:style>
  <w:style w:type="character" w:customStyle="1" w:styleId="UnresolvedMention1">
    <w:name w:val="Unresolved Mention1"/>
    <w:basedOn w:val="DefaultParagraphFont"/>
    <w:uiPriority w:val="99"/>
    <w:semiHidden/>
    <w:unhideWhenUsed/>
    <w:rsid w:val="00074435"/>
    <w:rPr>
      <w:color w:val="605E5C"/>
      <w:shd w:val="clear" w:color="auto" w:fill="E1DFDD"/>
    </w:rPr>
  </w:style>
  <w:style w:type="paragraph" w:customStyle="1" w:styleId="paragraph">
    <w:name w:val="paragraph"/>
    <w:aliases w:val="a"/>
    <w:basedOn w:val="Normal"/>
    <w:link w:val="paragraphChar"/>
    <w:rsid w:val="00F641AC"/>
    <w:pPr>
      <w:spacing w:before="100" w:beforeAutospacing="1" w:after="100" w:afterAutospacing="1" w:line="240" w:lineRule="auto"/>
    </w:pPr>
    <w:rPr>
      <w:rFonts w:ascii="Times New Roman" w:eastAsia="Times New Roman" w:hAnsi="Times New Roman" w:cs="Times New Roman"/>
      <w:sz w:val="24"/>
      <w:szCs w:val="24"/>
      <w:lang w:val="en-AU" w:eastAsia="ja-JP"/>
    </w:rPr>
  </w:style>
  <w:style w:type="character" w:customStyle="1" w:styleId="Heading6Char">
    <w:name w:val="Heading 6 Char"/>
    <w:basedOn w:val="DefaultParagraphFont"/>
    <w:link w:val="Heading6"/>
    <w:uiPriority w:val="9"/>
    <w:rsid w:val="00B3266D"/>
    <w:rPr>
      <w:rFonts w:ascii="Arial" w:eastAsia="Times New Roman" w:hAnsi="Arial" w:cs="Times New Roman"/>
      <w:b/>
      <w:bCs/>
      <w:i/>
      <w:lang w:val="en-AU"/>
    </w:rPr>
  </w:style>
  <w:style w:type="character" w:customStyle="1" w:styleId="Heading7Char">
    <w:name w:val="Heading 7 Char"/>
    <w:basedOn w:val="DefaultParagraphFont"/>
    <w:link w:val="Heading7"/>
    <w:uiPriority w:val="9"/>
    <w:semiHidden/>
    <w:rsid w:val="00B3266D"/>
    <w:rPr>
      <w:rFonts w:asciiTheme="majorHAnsi" w:eastAsiaTheme="majorEastAsia" w:hAnsiTheme="majorHAnsi" w:cstheme="majorBidi"/>
      <w:i/>
      <w:iCs/>
      <w:color w:val="001020" w:themeColor="accent1" w:themeShade="7F"/>
      <w:szCs w:val="24"/>
      <w:lang w:val="en-AU"/>
    </w:rPr>
  </w:style>
  <w:style w:type="character" w:customStyle="1" w:styleId="Heading8Char">
    <w:name w:val="Heading 8 Char"/>
    <w:basedOn w:val="DefaultParagraphFont"/>
    <w:link w:val="Heading8"/>
    <w:uiPriority w:val="9"/>
    <w:semiHidden/>
    <w:rsid w:val="00B3266D"/>
    <w:rPr>
      <w:rFonts w:asciiTheme="majorHAnsi" w:eastAsiaTheme="majorEastAsia" w:hAnsiTheme="majorHAnsi" w:cstheme="majorBidi"/>
      <w:color w:val="505050" w:themeColor="text1" w:themeTint="D8"/>
      <w:sz w:val="21"/>
      <w:szCs w:val="21"/>
      <w:lang w:val="en-AU"/>
    </w:rPr>
  </w:style>
  <w:style w:type="character" w:customStyle="1" w:styleId="Heading9Char">
    <w:name w:val="Heading 9 Char"/>
    <w:basedOn w:val="DefaultParagraphFont"/>
    <w:link w:val="Heading9"/>
    <w:uiPriority w:val="9"/>
    <w:semiHidden/>
    <w:rsid w:val="00B3266D"/>
    <w:rPr>
      <w:rFonts w:asciiTheme="majorHAnsi" w:eastAsiaTheme="majorEastAsia" w:hAnsiTheme="majorHAnsi" w:cstheme="majorBidi"/>
      <w:i/>
      <w:iCs/>
      <w:color w:val="505050" w:themeColor="text1" w:themeTint="D8"/>
      <w:sz w:val="21"/>
      <w:szCs w:val="21"/>
      <w:lang w:val="en-AU"/>
    </w:rPr>
  </w:style>
  <w:style w:type="paragraph" w:customStyle="1" w:styleId="Paragraphtext">
    <w:name w:val="Paragraph text"/>
    <w:basedOn w:val="Normal"/>
    <w:qFormat/>
    <w:rsid w:val="00B3266D"/>
    <w:pPr>
      <w:spacing w:before="120" w:after="0" w:line="240" w:lineRule="auto"/>
      <w:ind w:left="567" w:hanging="567"/>
      <w:jc w:val="both"/>
    </w:pPr>
    <w:rPr>
      <w:rFonts w:ascii="Arial" w:eastAsia="Times New Roman" w:hAnsi="Arial" w:cs="Times New Roman"/>
      <w:color w:val="313131" w:themeColor="text1"/>
      <w:sz w:val="22"/>
      <w:szCs w:val="24"/>
      <w:lang w:val="en-AU"/>
    </w:rPr>
  </w:style>
  <w:style w:type="paragraph" w:styleId="Revision">
    <w:name w:val="Revision"/>
    <w:hidden/>
    <w:uiPriority w:val="99"/>
    <w:semiHidden/>
    <w:rsid w:val="008E3F5F"/>
    <w:pPr>
      <w:spacing w:after="0" w:line="240" w:lineRule="auto"/>
    </w:pPr>
    <w:rPr>
      <w:sz w:val="20"/>
    </w:rPr>
  </w:style>
  <w:style w:type="character" w:styleId="FollowedHyperlink">
    <w:name w:val="FollowedHyperlink"/>
    <w:basedOn w:val="DefaultParagraphFont"/>
    <w:uiPriority w:val="99"/>
    <w:semiHidden/>
    <w:unhideWhenUsed/>
    <w:rsid w:val="00200637"/>
    <w:rPr>
      <w:color w:val="910048" w:themeColor="followedHyperlink"/>
      <w:u w:val="single"/>
    </w:rPr>
  </w:style>
  <w:style w:type="character" w:customStyle="1" w:styleId="Heading4Char">
    <w:name w:val="Heading 4 Char"/>
    <w:basedOn w:val="DefaultParagraphFont"/>
    <w:link w:val="Heading4"/>
    <w:uiPriority w:val="9"/>
    <w:rsid w:val="003444A6"/>
    <w:rPr>
      <w:b/>
      <w:iCs/>
      <w:color w:val="005EB8" w:themeColor="text2"/>
      <w:sz w:val="18"/>
      <w:szCs w:val="18"/>
    </w:rPr>
  </w:style>
  <w:style w:type="character" w:customStyle="1" w:styleId="Heading5Char">
    <w:name w:val="Heading 5 Char"/>
    <w:basedOn w:val="DefaultParagraphFont"/>
    <w:link w:val="Heading5"/>
    <w:uiPriority w:val="9"/>
    <w:semiHidden/>
    <w:rsid w:val="00B04172"/>
    <w:rPr>
      <w:rFonts w:asciiTheme="majorHAnsi" w:eastAsiaTheme="majorEastAsia" w:hAnsiTheme="majorHAnsi" w:cstheme="majorBidi"/>
      <w:color w:val="001831" w:themeColor="accent1" w:themeShade="BF"/>
      <w:sz w:val="20"/>
    </w:rPr>
  </w:style>
  <w:style w:type="paragraph" w:customStyle="1" w:styleId="Default">
    <w:name w:val="Default"/>
    <w:rsid w:val="0021777C"/>
    <w:pPr>
      <w:autoSpaceDE w:val="0"/>
      <w:autoSpaceDN w:val="0"/>
      <w:adjustRightInd w:val="0"/>
      <w:spacing w:after="0" w:line="240" w:lineRule="auto"/>
    </w:pPr>
    <w:rPr>
      <w:rFonts w:ascii="Calibri" w:hAnsi="Calibri" w:cs="Calibri"/>
      <w:color w:val="000000"/>
      <w:sz w:val="24"/>
      <w:szCs w:val="24"/>
      <w:lang w:val="en-AU"/>
    </w:rPr>
  </w:style>
  <w:style w:type="paragraph" w:styleId="BalloonText">
    <w:name w:val="Balloon Text"/>
    <w:basedOn w:val="Normal"/>
    <w:link w:val="BalloonTextChar"/>
    <w:uiPriority w:val="99"/>
    <w:semiHidden/>
    <w:unhideWhenUsed/>
    <w:rsid w:val="00FF19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991"/>
    <w:rPr>
      <w:rFonts w:ascii="Segoe UI" w:hAnsi="Segoe UI" w:cs="Segoe UI"/>
      <w:sz w:val="18"/>
      <w:szCs w:val="18"/>
    </w:rPr>
  </w:style>
  <w:style w:type="character" w:styleId="UnresolvedMention">
    <w:name w:val="Unresolved Mention"/>
    <w:basedOn w:val="DefaultParagraphFont"/>
    <w:uiPriority w:val="99"/>
    <w:unhideWhenUsed/>
    <w:rsid w:val="006308A7"/>
    <w:rPr>
      <w:color w:val="605E5C"/>
      <w:shd w:val="clear" w:color="auto" w:fill="E1DFDD"/>
    </w:rPr>
  </w:style>
  <w:style w:type="character" w:styleId="Emphasis">
    <w:name w:val="Emphasis"/>
    <w:basedOn w:val="Hyperlink"/>
    <w:uiPriority w:val="20"/>
    <w:qFormat/>
    <w:rsid w:val="002C09E6"/>
    <w:rPr>
      <w:i w:val="0"/>
      <w:iCs/>
      <w:color w:val="005EB8" w:themeColor="text2"/>
      <w:u w:val="single"/>
    </w:rPr>
  </w:style>
  <w:style w:type="character" w:styleId="SmartHyperlink">
    <w:name w:val="Smart Hyperlink"/>
    <w:basedOn w:val="DefaultParagraphFont"/>
    <w:uiPriority w:val="99"/>
    <w:semiHidden/>
    <w:unhideWhenUsed/>
    <w:rsid w:val="00210698"/>
    <w:rPr>
      <w:u w:val="dotted"/>
    </w:rPr>
  </w:style>
  <w:style w:type="character" w:styleId="Mention">
    <w:name w:val="Mention"/>
    <w:basedOn w:val="DefaultParagraphFont"/>
    <w:uiPriority w:val="99"/>
    <w:unhideWhenUsed/>
    <w:rsid w:val="00F96918"/>
    <w:rPr>
      <w:color w:val="2B579A"/>
      <w:shd w:val="clear" w:color="auto" w:fill="E1DFDD"/>
    </w:rPr>
  </w:style>
  <w:style w:type="paragraph" w:styleId="BodyText3">
    <w:name w:val="Body Text 3"/>
    <w:basedOn w:val="Normal"/>
    <w:link w:val="BodyText3Char"/>
    <w:semiHidden/>
    <w:rsid w:val="005849E4"/>
    <w:pPr>
      <w:spacing w:after="120" w:line="240" w:lineRule="auto"/>
    </w:pPr>
    <w:rPr>
      <w:rFonts w:ascii="Henderson BCG Serif" w:hAnsi="Henderson BCG Serif" w:cs="Times New Roman"/>
      <w:sz w:val="16"/>
      <w:szCs w:val="16"/>
      <w:lang w:eastAsia="de-DE"/>
    </w:rPr>
  </w:style>
  <w:style w:type="character" w:customStyle="1" w:styleId="BodyText3Char">
    <w:name w:val="Body Text 3 Char"/>
    <w:basedOn w:val="DefaultParagraphFont"/>
    <w:link w:val="BodyText3"/>
    <w:semiHidden/>
    <w:rsid w:val="005849E4"/>
    <w:rPr>
      <w:rFonts w:ascii="Henderson BCG Serif" w:hAnsi="Henderson BCG Serif" w:cs="Times New Roman"/>
      <w:sz w:val="16"/>
      <w:szCs w:val="16"/>
      <w:lang w:eastAsia="de-DE"/>
    </w:rPr>
  </w:style>
  <w:style w:type="paragraph" w:customStyle="1" w:styleId="Definition">
    <w:name w:val="Definition"/>
    <w:aliases w:val="dd"/>
    <w:basedOn w:val="Normal"/>
    <w:link w:val="DefinitionChar"/>
    <w:rsid w:val="00C3653C"/>
    <w:pPr>
      <w:spacing w:before="180" w:after="0" w:line="240" w:lineRule="auto"/>
      <w:ind w:left="1134"/>
    </w:pPr>
    <w:rPr>
      <w:rFonts w:ascii="Times New Roman" w:eastAsia="Times New Roman" w:hAnsi="Times New Roman" w:cs="Times New Roman"/>
      <w:sz w:val="22"/>
      <w:szCs w:val="20"/>
      <w:lang w:val="en-AU" w:eastAsia="en-AU"/>
    </w:rPr>
  </w:style>
  <w:style w:type="character" w:customStyle="1" w:styleId="paragraphChar">
    <w:name w:val="paragraph Char"/>
    <w:aliases w:val="a Char"/>
    <w:link w:val="paragraph"/>
    <w:rsid w:val="00C3653C"/>
    <w:rPr>
      <w:rFonts w:ascii="Times New Roman" w:eastAsia="Times New Roman" w:hAnsi="Times New Roman" w:cs="Times New Roman"/>
      <w:sz w:val="24"/>
      <w:szCs w:val="24"/>
      <w:lang w:val="en-AU" w:eastAsia="ja-JP"/>
    </w:rPr>
  </w:style>
  <w:style w:type="character" w:customStyle="1" w:styleId="DefinitionChar">
    <w:name w:val="Definition Char"/>
    <w:aliases w:val="dd Char"/>
    <w:link w:val="Definition"/>
    <w:rsid w:val="00C3653C"/>
    <w:rPr>
      <w:rFonts w:ascii="Times New Roman" w:eastAsia="Times New Roman" w:hAnsi="Times New Roman" w:cs="Times New Roman"/>
      <w:szCs w:val="20"/>
      <w:lang w:val="en-AU" w:eastAsia="en-AU"/>
    </w:rPr>
  </w:style>
  <w:style w:type="paragraph" w:styleId="ListBullet">
    <w:name w:val="List Bullet"/>
    <w:basedOn w:val="Normal"/>
    <w:qFormat/>
    <w:rsid w:val="00E10B44"/>
    <w:pPr>
      <w:numPr>
        <w:numId w:val="34"/>
      </w:numPr>
      <w:tabs>
        <w:tab w:val="left" w:pos="680"/>
      </w:tabs>
      <w:spacing w:before="60" w:after="60" w:line="276" w:lineRule="auto"/>
    </w:pPr>
    <w:rPr>
      <w:rFonts w:ascii="Arial" w:eastAsia="Times New Roman" w:hAnsi="Arial" w:cs="Times New Roman"/>
      <w:color w:val="313131" w:themeColor="text1"/>
      <w:sz w:val="22"/>
      <w:szCs w:val="24"/>
      <w:lang w:val="en-AU"/>
    </w:rPr>
  </w:style>
  <w:style w:type="table" w:styleId="TableGrid">
    <w:name w:val="Table Grid"/>
    <w:basedOn w:val="TableNormal"/>
    <w:rsid w:val="00E10B44"/>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Char,Bullets Char,CV text Char,Dot pt Char,F5 List Paragraph Char,FooterText Char,L Char,List Paragraph1 Char,List Paragraph11 Char,List Paragraph111 Char,List Paragraph2 Char,Medium Grid 1 - Accent 21 Char,列 Char"/>
    <w:basedOn w:val="DefaultParagraphFont"/>
    <w:link w:val="ListParagraph"/>
    <w:uiPriority w:val="99"/>
    <w:qFormat/>
    <w:locked/>
    <w:rsid w:val="00E10B44"/>
    <w:rPr>
      <w:rFonts w:eastAsiaTheme="minorEastAsia" w:cs="Times New Roman"/>
      <w:sz w:val="20"/>
      <w:szCs w:val="24"/>
    </w:rPr>
  </w:style>
  <w:style w:type="character" w:customStyle="1" w:styleId="normaltextrun">
    <w:name w:val="normaltextrun"/>
    <w:basedOn w:val="DefaultParagraphFont"/>
    <w:rsid w:val="00E10B44"/>
  </w:style>
  <w:style w:type="paragraph" w:styleId="Title">
    <w:name w:val="Title"/>
    <w:basedOn w:val="Normal"/>
    <w:next w:val="Normal"/>
    <w:link w:val="TitleChar"/>
    <w:qFormat/>
    <w:rsid w:val="00E10B44"/>
    <w:pPr>
      <w:spacing w:after="80" w:line="240" w:lineRule="auto"/>
      <w:contextualSpacing/>
    </w:pPr>
    <w:rPr>
      <w:rFonts w:asciiTheme="majorHAnsi" w:eastAsiaTheme="majorEastAsia" w:hAnsiTheme="majorHAnsi" w:cstheme="majorBidi"/>
      <w:spacing w:val="-10"/>
      <w:kern w:val="28"/>
      <w:sz w:val="56"/>
      <w:szCs w:val="56"/>
      <w:lang w:val="en-AU"/>
      <w14:ligatures w14:val="standardContextual"/>
    </w:rPr>
  </w:style>
  <w:style w:type="character" w:customStyle="1" w:styleId="TitleChar">
    <w:name w:val="Title Char"/>
    <w:basedOn w:val="DefaultParagraphFont"/>
    <w:link w:val="Title"/>
    <w:rsid w:val="00E10B44"/>
    <w:rPr>
      <w:rFonts w:asciiTheme="majorHAnsi" w:eastAsiaTheme="majorEastAsia" w:hAnsiTheme="majorHAnsi" w:cstheme="majorBidi"/>
      <w:spacing w:val="-10"/>
      <w:kern w:val="28"/>
      <w:sz w:val="56"/>
      <w:szCs w:val="56"/>
      <w:lang w:val="en-AU"/>
      <w14:ligatures w14:val="standardContextual"/>
    </w:rPr>
  </w:style>
  <w:style w:type="paragraph" w:styleId="Subtitle">
    <w:name w:val="Subtitle"/>
    <w:basedOn w:val="Normal"/>
    <w:next w:val="Normal"/>
    <w:link w:val="SubtitleChar"/>
    <w:qFormat/>
    <w:rsid w:val="00E10B44"/>
    <w:pPr>
      <w:numPr>
        <w:ilvl w:val="1"/>
      </w:numPr>
    </w:pPr>
    <w:rPr>
      <w:rFonts w:eastAsiaTheme="majorEastAsia" w:cstheme="majorBidi"/>
      <w:color w:val="787878" w:themeColor="text1" w:themeTint="A6"/>
      <w:spacing w:val="15"/>
      <w:kern w:val="2"/>
      <w:sz w:val="28"/>
      <w:szCs w:val="28"/>
      <w:lang w:val="en-AU"/>
      <w14:ligatures w14:val="standardContextual"/>
    </w:rPr>
  </w:style>
  <w:style w:type="character" w:customStyle="1" w:styleId="SubtitleChar">
    <w:name w:val="Subtitle Char"/>
    <w:basedOn w:val="DefaultParagraphFont"/>
    <w:link w:val="Subtitle"/>
    <w:rsid w:val="00E10B44"/>
    <w:rPr>
      <w:rFonts w:eastAsiaTheme="majorEastAsia" w:cstheme="majorBidi"/>
      <w:color w:val="787878" w:themeColor="text1" w:themeTint="A6"/>
      <w:spacing w:val="15"/>
      <w:kern w:val="2"/>
      <w:sz w:val="28"/>
      <w:szCs w:val="28"/>
      <w:lang w:val="en-AU"/>
      <w14:ligatures w14:val="standardContextual"/>
    </w:rPr>
  </w:style>
  <w:style w:type="paragraph" w:styleId="Quote">
    <w:name w:val="Quote"/>
    <w:basedOn w:val="Normal"/>
    <w:next w:val="Normal"/>
    <w:link w:val="QuoteChar"/>
    <w:uiPriority w:val="29"/>
    <w:qFormat/>
    <w:rsid w:val="00E10B44"/>
    <w:pPr>
      <w:spacing w:before="160"/>
      <w:jc w:val="center"/>
    </w:pPr>
    <w:rPr>
      <w:rFonts w:ascii="Times New Roman" w:hAnsi="Times New Roman" w:cs="Times New Roman"/>
      <w:i/>
      <w:iCs/>
      <w:color w:val="646464" w:themeColor="text1" w:themeTint="BF"/>
      <w:kern w:val="2"/>
      <w:sz w:val="24"/>
      <w:szCs w:val="24"/>
      <w:lang w:val="en-AU"/>
      <w14:ligatures w14:val="standardContextual"/>
    </w:rPr>
  </w:style>
  <w:style w:type="character" w:customStyle="1" w:styleId="QuoteChar">
    <w:name w:val="Quote Char"/>
    <w:basedOn w:val="DefaultParagraphFont"/>
    <w:link w:val="Quote"/>
    <w:uiPriority w:val="29"/>
    <w:rsid w:val="00E10B44"/>
    <w:rPr>
      <w:rFonts w:ascii="Times New Roman" w:hAnsi="Times New Roman" w:cs="Times New Roman"/>
      <w:i/>
      <w:iCs/>
      <w:color w:val="646464" w:themeColor="text1" w:themeTint="BF"/>
      <w:kern w:val="2"/>
      <w:sz w:val="24"/>
      <w:szCs w:val="24"/>
      <w:lang w:val="en-AU"/>
      <w14:ligatures w14:val="standardContextual"/>
    </w:rPr>
  </w:style>
  <w:style w:type="character" w:styleId="IntenseEmphasis">
    <w:name w:val="Intense Emphasis"/>
    <w:basedOn w:val="DefaultParagraphFont"/>
    <w:uiPriority w:val="21"/>
    <w:qFormat/>
    <w:rsid w:val="00E10B44"/>
    <w:rPr>
      <w:i/>
      <w:iCs/>
      <w:color w:val="001831" w:themeColor="accent1" w:themeShade="BF"/>
    </w:rPr>
  </w:style>
  <w:style w:type="paragraph" w:styleId="IntenseQuote">
    <w:name w:val="Intense Quote"/>
    <w:basedOn w:val="Normal"/>
    <w:next w:val="Normal"/>
    <w:link w:val="IntenseQuoteChar"/>
    <w:uiPriority w:val="30"/>
    <w:qFormat/>
    <w:rsid w:val="00E10B44"/>
    <w:pPr>
      <w:pBdr>
        <w:top w:val="single" w:sz="4" w:space="10" w:color="001831" w:themeColor="accent1" w:themeShade="BF"/>
        <w:bottom w:val="single" w:sz="4" w:space="10" w:color="001831" w:themeColor="accent1" w:themeShade="BF"/>
      </w:pBdr>
      <w:spacing w:before="360" w:after="360"/>
      <w:ind w:left="864" w:right="864"/>
      <w:jc w:val="center"/>
    </w:pPr>
    <w:rPr>
      <w:rFonts w:ascii="Times New Roman" w:hAnsi="Times New Roman" w:cs="Times New Roman"/>
      <w:i/>
      <w:iCs/>
      <w:color w:val="001831" w:themeColor="accent1" w:themeShade="BF"/>
      <w:kern w:val="2"/>
      <w:sz w:val="24"/>
      <w:szCs w:val="24"/>
      <w:lang w:val="en-AU"/>
      <w14:ligatures w14:val="standardContextual"/>
    </w:rPr>
  </w:style>
  <w:style w:type="character" w:customStyle="1" w:styleId="IntenseQuoteChar">
    <w:name w:val="Intense Quote Char"/>
    <w:basedOn w:val="DefaultParagraphFont"/>
    <w:link w:val="IntenseQuote"/>
    <w:uiPriority w:val="30"/>
    <w:rsid w:val="00E10B44"/>
    <w:rPr>
      <w:rFonts w:ascii="Times New Roman" w:hAnsi="Times New Roman" w:cs="Times New Roman"/>
      <w:i/>
      <w:iCs/>
      <w:color w:val="001831" w:themeColor="accent1" w:themeShade="BF"/>
      <w:kern w:val="2"/>
      <w:sz w:val="24"/>
      <w:szCs w:val="24"/>
      <w:lang w:val="en-AU"/>
      <w14:ligatures w14:val="standardContextual"/>
    </w:rPr>
  </w:style>
  <w:style w:type="character" w:styleId="IntenseReference">
    <w:name w:val="Intense Reference"/>
    <w:basedOn w:val="DefaultParagraphFont"/>
    <w:uiPriority w:val="32"/>
    <w:qFormat/>
    <w:rsid w:val="00E10B44"/>
    <w:rPr>
      <w:b/>
      <w:bCs/>
      <w:smallCaps/>
      <w:color w:val="001831" w:themeColor="accent1" w:themeShade="BF"/>
      <w:spacing w:val="5"/>
    </w:rPr>
  </w:style>
  <w:style w:type="paragraph" w:customStyle="1" w:styleId="pf0">
    <w:name w:val="pf0"/>
    <w:basedOn w:val="Normal"/>
    <w:rsid w:val="00E10B44"/>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Headertext">
    <w:name w:val="Header text"/>
    <w:rsid w:val="00527A34"/>
    <w:pPr>
      <w:spacing w:after="0" w:line="240" w:lineRule="auto"/>
      <w:jc w:val="right"/>
    </w:pPr>
    <w:rPr>
      <w:rFonts w:ascii="Arial" w:eastAsia="Times New Roman" w:hAnsi="Arial" w:cs="Times New Roman"/>
      <w:sz w:val="20"/>
      <w:szCs w:val="24"/>
      <w:lang w:val="en-AU"/>
    </w:rPr>
  </w:style>
  <w:style w:type="paragraph" w:styleId="TOCHeading">
    <w:name w:val="TOC Heading"/>
    <w:basedOn w:val="Heading1"/>
    <w:next w:val="Normal"/>
    <w:uiPriority w:val="39"/>
    <w:unhideWhenUsed/>
    <w:qFormat/>
    <w:rsid w:val="008331F0"/>
    <w:pPr>
      <w:numPr>
        <w:numId w:val="0"/>
      </w:numPr>
      <w:spacing w:after="0"/>
      <w:outlineLvl w:val="9"/>
    </w:pPr>
    <w:rPr>
      <w:b w:val="0"/>
      <w:color w:val="001831" w:themeColor="accent1" w:themeShade="BF"/>
      <w:sz w:val="32"/>
    </w:rPr>
  </w:style>
  <w:style w:type="paragraph" w:styleId="TOC1">
    <w:name w:val="toc 1"/>
    <w:basedOn w:val="Normal"/>
    <w:next w:val="Normal"/>
    <w:autoRedefine/>
    <w:uiPriority w:val="39"/>
    <w:unhideWhenUsed/>
    <w:rsid w:val="00120CCF"/>
    <w:pPr>
      <w:tabs>
        <w:tab w:val="left" w:pos="1200"/>
        <w:tab w:val="right" w:leader="dot" w:pos="9350"/>
      </w:tabs>
      <w:spacing w:after="100"/>
    </w:pPr>
    <w:rPr>
      <w:b/>
      <w:bCs/>
      <w:noProof/>
    </w:rPr>
  </w:style>
  <w:style w:type="paragraph" w:styleId="TOC2">
    <w:name w:val="toc 2"/>
    <w:basedOn w:val="Normal"/>
    <w:next w:val="Normal"/>
    <w:autoRedefine/>
    <w:uiPriority w:val="39"/>
    <w:unhideWhenUsed/>
    <w:rsid w:val="00FC6C50"/>
    <w:pPr>
      <w:tabs>
        <w:tab w:val="left" w:pos="1560"/>
        <w:tab w:val="right" w:leader="dot" w:pos="9350"/>
      </w:tabs>
      <w:spacing w:after="100"/>
      <w:ind w:left="1559" w:hanging="1361"/>
    </w:pPr>
  </w:style>
  <w:style w:type="paragraph" w:customStyle="1" w:styleId="URL">
    <w:name w:val="URL"/>
    <w:basedOn w:val="Normal"/>
    <w:rsid w:val="00C707AE"/>
    <w:pPr>
      <w:spacing w:before="3120" w:after="120" w:line="276" w:lineRule="auto"/>
      <w:jc w:val="center"/>
    </w:pPr>
    <w:rPr>
      <w:rFonts w:ascii="Arial" w:eastAsia="Times New Roman" w:hAnsi="Arial" w:cs="Times New Roman"/>
      <w:b/>
      <w:bCs/>
      <w:color w:val="313131" w:themeColor="text1"/>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9628">
      <w:bodyDiv w:val="1"/>
      <w:marLeft w:val="0"/>
      <w:marRight w:val="0"/>
      <w:marTop w:val="0"/>
      <w:marBottom w:val="0"/>
      <w:divBdr>
        <w:top w:val="none" w:sz="0" w:space="0" w:color="auto"/>
        <w:left w:val="none" w:sz="0" w:space="0" w:color="auto"/>
        <w:bottom w:val="none" w:sz="0" w:space="0" w:color="auto"/>
        <w:right w:val="none" w:sz="0" w:space="0" w:color="auto"/>
      </w:divBdr>
    </w:div>
    <w:div w:id="93208360">
      <w:bodyDiv w:val="1"/>
      <w:marLeft w:val="0"/>
      <w:marRight w:val="0"/>
      <w:marTop w:val="0"/>
      <w:marBottom w:val="0"/>
      <w:divBdr>
        <w:top w:val="none" w:sz="0" w:space="0" w:color="auto"/>
        <w:left w:val="none" w:sz="0" w:space="0" w:color="auto"/>
        <w:bottom w:val="none" w:sz="0" w:space="0" w:color="auto"/>
        <w:right w:val="none" w:sz="0" w:space="0" w:color="auto"/>
      </w:divBdr>
    </w:div>
    <w:div w:id="117382496">
      <w:bodyDiv w:val="1"/>
      <w:marLeft w:val="0"/>
      <w:marRight w:val="0"/>
      <w:marTop w:val="0"/>
      <w:marBottom w:val="0"/>
      <w:divBdr>
        <w:top w:val="none" w:sz="0" w:space="0" w:color="auto"/>
        <w:left w:val="none" w:sz="0" w:space="0" w:color="auto"/>
        <w:bottom w:val="none" w:sz="0" w:space="0" w:color="auto"/>
        <w:right w:val="none" w:sz="0" w:space="0" w:color="auto"/>
      </w:divBdr>
    </w:div>
    <w:div w:id="117989108">
      <w:bodyDiv w:val="1"/>
      <w:marLeft w:val="0"/>
      <w:marRight w:val="0"/>
      <w:marTop w:val="0"/>
      <w:marBottom w:val="0"/>
      <w:divBdr>
        <w:top w:val="none" w:sz="0" w:space="0" w:color="auto"/>
        <w:left w:val="none" w:sz="0" w:space="0" w:color="auto"/>
        <w:bottom w:val="none" w:sz="0" w:space="0" w:color="auto"/>
        <w:right w:val="none" w:sz="0" w:space="0" w:color="auto"/>
      </w:divBdr>
    </w:div>
    <w:div w:id="131749664">
      <w:bodyDiv w:val="1"/>
      <w:marLeft w:val="0"/>
      <w:marRight w:val="0"/>
      <w:marTop w:val="0"/>
      <w:marBottom w:val="0"/>
      <w:divBdr>
        <w:top w:val="none" w:sz="0" w:space="0" w:color="auto"/>
        <w:left w:val="none" w:sz="0" w:space="0" w:color="auto"/>
        <w:bottom w:val="none" w:sz="0" w:space="0" w:color="auto"/>
        <w:right w:val="none" w:sz="0" w:space="0" w:color="auto"/>
      </w:divBdr>
      <w:divsChild>
        <w:div w:id="375081921">
          <w:marLeft w:val="533"/>
          <w:marRight w:val="0"/>
          <w:marTop w:val="0"/>
          <w:marBottom w:val="0"/>
          <w:divBdr>
            <w:top w:val="none" w:sz="0" w:space="0" w:color="auto"/>
            <w:left w:val="none" w:sz="0" w:space="0" w:color="auto"/>
            <w:bottom w:val="none" w:sz="0" w:space="0" w:color="auto"/>
            <w:right w:val="none" w:sz="0" w:space="0" w:color="auto"/>
          </w:divBdr>
        </w:div>
        <w:div w:id="1091239973">
          <w:marLeft w:val="1987"/>
          <w:marRight w:val="0"/>
          <w:marTop w:val="0"/>
          <w:marBottom w:val="0"/>
          <w:divBdr>
            <w:top w:val="none" w:sz="0" w:space="0" w:color="auto"/>
            <w:left w:val="none" w:sz="0" w:space="0" w:color="auto"/>
            <w:bottom w:val="none" w:sz="0" w:space="0" w:color="auto"/>
            <w:right w:val="none" w:sz="0" w:space="0" w:color="auto"/>
          </w:divBdr>
        </w:div>
        <w:div w:id="1672445525">
          <w:marLeft w:val="1987"/>
          <w:marRight w:val="0"/>
          <w:marTop w:val="0"/>
          <w:marBottom w:val="0"/>
          <w:divBdr>
            <w:top w:val="none" w:sz="0" w:space="0" w:color="auto"/>
            <w:left w:val="none" w:sz="0" w:space="0" w:color="auto"/>
            <w:bottom w:val="none" w:sz="0" w:space="0" w:color="auto"/>
            <w:right w:val="none" w:sz="0" w:space="0" w:color="auto"/>
          </w:divBdr>
        </w:div>
        <w:div w:id="1897430421">
          <w:marLeft w:val="1987"/>
          <w:marRight w:val="0"/>
          <w:marTop w:val="0"/>
          <w:marBottom w:val="0"/>
          <w:divBdr>
            <w:top w:val="none" w:sz="0" w:space="0" w:color="auto"/>
            <w:left w:val="none" w:sz="0" w:space="0" w:color="auto"/>
            <w:bottom w:val="none" w:sz="0" w:space="0" w:color="auto"/>
            <w:right w:val="none" w:sz="0" w:space="0" w:color="auto"/>
          </w:divBdr>
        </w:div>
      </w:divsChild>
    </w:div>
    <w:div w:id="166596750">
      <w:bodyDiv w:val="1"/>
      <w:marLeft w:val="0"/>
      <w:marRight w:val="0"/>
      <w:marTop w:val="0"/>
      <w:marBottom w:val="0"/>
      <w:divBdr>
        <w:top w:val="none" w:sz="0" w:space="0" w:color="auto"/>
        <w:left w:val="none" w:sz="0" w:space="0" w:color="auto"/>
        <w:bottom w:val="none" w:sz="0" w:space="0" w:color="auto"/>
        <w:right w:val="none" w:sz="0" w:space="0" w:color="auto"/>
      </w:divBdr>
    </w:div>
    <w:div w:id="183399371">
      <w:bodyDiv w:val="1"/>
      <w:marLeft w:val="0"/>
      <w:marRight w:val="0"/>
      <w:marTop w:val="0"/>
      <w:marBottom w:val="0"/>
      <w:divBdr>
        <w:top w:val="none" w:sz="0" w:space="0" w:color="auto"/>
        <w:left w:val="none" w:sz="0" w:space="0" w:color="auto"/>
        <w:bottom w:val="none" w:sz="0" w:space="0" w:color="auto"/>
        <w:right w:val="none" w:sz="0" w:space="0" w:color="auto"/>
      </w:divBdr>
    </w:div>
    <w:div w:id="219832427">
      <w:bodyDiv w:val="1"/>
      <w:marLeft w:val="0"/>
      <w:marRight w:val="0"/>
      <w:marTop w:val="0"/>
      <w:marBottom w:val="0"/>
      <w:divBdr>
        <w:top w:val="none" w:sz="0" w:space="0" w:color="auto"/>
        <w:left w:val="none" w:sz="0" w:space="0" w:color="auto"/>
        <w:bottom w:val="none" w:sz="0" w:space="0" w:color="auto"/>
        <w:right w:val="none" w:sz="0" w:space="0" w:color="auto"/>
      </w:divBdr>
    </w:div>
    <w:div w:id="229467600">
      <w:bodyDiv w:val="1"/>
      <w:marLeft w:val="0"/>
      <w:marRight w:val="0"/>
      <w:marTop w:val="0"/>
      <w:marBottom w:val="0"/>
      <w:divBdr>
        <w:top w:val="none" w:sz="0" w:space="0" w:color="auto"/>
        <w:left w:val="none" w:sz="0" w:space="0" w:color="auto"/>
        <w:bottom w:val="none" w:sz="0" w:space="0" w:color="auto"/>
        <w:right w:val="none" w:sz="0" w:space="0" w:color="auto"/>
      </w:divBdr>
      <w:divsChild>
        <w:div w:id="293953642">
          <w:marLeft w:val="677"/>
          <w:marRight w:val="0"/>
          <w:marTop w:val="0"/>
          <w:marBottom w:val="0"/>
          <w:divBdr>
            <w:top w:val="none" w:sz="0" w:space="0" w:color="auto"/>
            <w:left w:val="none" w:sz="0" w:space="0" w:color="auto"/>
            <w:bottom w:val="none" w:sz="0" w:space="0" w:color="auto"/>
            <w:right w:val="none" w:sz="0" w:space="0" w:color="auto"/>
          </w:divBdr>
        </w:div>
        <w:div w:id="589242934">
          <w:marLeft w:val="677"/>
          <w:marRight w:val="0"/>
          <w:marTop w:val="0"/>
          <w:marBottom w:val="0"/>
          <w:divBdr>
            <w:top w:val="none" w:sz="0" w:space="0" w:color="auto"/>
            <w:left w:val="none" w:sz="0" w:space="0" w:color="auto"/>
            <w:bottom w:val="none" w:sz="0" w:space="0" w:color="auto"/>
            <w:right w:val="none" w:sz="0" w:space="0" w:color="auto"/>
          </w:divBdr>
        </w:div>
        <w:div w:id="943725660">
          <w:marLeft w:val="677"/>
          <w:marRight w:val="0"/>
          <w:marTop w:val="0"/>
          <w:marBottom w:val="0"/>
          <w:divBdr>
            <w:top w:val="none" w:sz="0" w:space="0" w:color="auto"/>
            <w:left w:val="none" w:sz="0" w:space="0" w:color="auto"/>
            <w:bottom w:val="none" w:sz="0" w:space="0" w:color="auto"/>
            <w:right w:val="none" w:sz="0" w:space="0" w:color="auto"/>
          </w:divBdr>
        </w:div>
        <w:div w:id="1323779510">
          <w:marLeft w:val="677"/>
          <w:marRight w:val="0"/>
          <w:marTop w:val="0"/>
          <w:marBottom w:val="0"/>
          <w:divBdr>
            <w:top w:val="none" w:sz="0" w:space="0" w:color="auto"/>
            <w:left w:val="none" w:sz="0" w:space="0" w:color="auto"/>
            <w:bottom w:val="none" w:sz="0" w:space="0" w:color="auto"/>
            <w:right w:val="none" w:sz="0" w:space="0" w:color="auto"/>
          </w:divBdr>
        </w:div>
        <w:div w:id="1627926736">
          <w:marLeft w:val="677"/>
          <w:marRight w:val="0"/>
          <w:marTop w:val="0"/>
          <w:marBottom w:val="0"/>
          <w:divBdr>
            <w:top w:val="none" w:sz="0" w:space="0" w:color="auto"/>
            <w:left w:val="none" w:sz="0" w:space="0" w:color="auto"/>
            <w:bottom w:val="none" w:sz="0" w:space="0" w:color="auto"/>
            <w:right w:val="none" w:sz="0" w:space="0" w:color="auto"/>
          </w:divBdr>
        </w:div>
        <w:div w:id="1685789937">
          <w:marLeft w:val="677"/>
          <w:marRight w:val="0"/>
          <w:marTop w:val="0"/>
          <w:marBottom w:val="0"/>
          <w:divBdr>
            <w:top w:val="none" w:sz="0" w:space="0" w:color="auto"/>
            <w:left w:val="none" w:sz="0" w:space="0" w:color="auto"/>
            <w:bottom w:val="none" w:sz="0" w:space="0" w:color="auto"/>
            <w:right w:val="none" w:sz="0" w:space="0" w:color="auto"/>
          </w:divBdr>
        </w:div>
        <w:div w:id="1806316731">
          <w:marLeft w:val="677"/>
          <w:marRight w:val="0"/>
          <w:marTop w:val="0"/>
          <w:marBottom w:val="0"/>
          <w:divBdr>
            <w:top w:val="none" w:sz="0" w:space="0" w:color="auto"/>
            <w:left w:val="none" w:sz="0" w:space="0" w:color="auto"/>
            <w:bottom w:val="none" w:sz="0" w:space="0" w:color="auto"/>
            <w:right w:val="none" w:sz="0" w:space="0" w:color="auto"/>
          </w:divBdr>
        </w:div>
      </w:divsChild>
    </w:div>
    <w:div w:id="251476380">
      <w:bodyDiv w:val="1"/>
      <w:marLeft w:val="0"/>
      <w:marRight w:val="0"/>
      <w:marTop w:val="0"/>
      <w:marBottom w:val="0"/>
      <w:divBdr>
        <w:top w:val="none" w:sz="0" w:space="0" w:color="auto"/>
        <w:left w:val="none" w:sz="0" w:space="0" w:color="auto"/>
        <w:bottom w:val="none" w:sz="0" w:space="0" w:color="auto"/>
        <w:right w:val="none" w:sz="0" w:space="0" w:color="auto"/>
      </w:divBdr>
    </w:div>
    <w:div w:id="289014603">
      <w:bodyDiv w:val="1"/>
      <w:marLeft w:val="0"/>
      <w:marRight w:val="0"/>
      <w:marTop w:val="0"/>
      <w:marBottom w:val="0"/>
      <w:divBdr>
        <w:top w:val="none" w:sz="0" w:space="0" w:color="auto"/>
        <w:left w:val="none" w:sz="0" w:space="0" w:color="auto"/>
        <w:bottom w:val="none" w:sz="0" w:space="0" w:color="auto"/>
        <w:right w:val="none" w:sz="0" w:space="0" w:color="auto"/>
      </w:divBdr>
    </w:div>
    <w:div w:id="318315771">
      <w:bodyDiv w:val="1"/>
      <w:marLeft w:val="0"/>
      <w:marRight w:val="0"/>
      <w:marTop w:val="0"/>
      <w:marBottom w:val="0"/>
      <w:divBdr>
        <w:top w:val="none" w:sz="0" w:space="0" w:color="auto"/>
        <w:left w:val="none" w:sz="0" w:space="0" w:color="auto"/>
        <w:bottom w:val="none" w:sz="0" w:space="0" w:color="auto"/>
        <w:right w:val="none" w:sz="0" w:space="0" w:color="auto"/>
      </w:divBdr>
    </w:div>
    <w:div w:id="363019014">
      <w:bodyDiv w:val="1"/>
      <w:marLeft w:val="0"/>
      <w:marRight w:val="0"/>
      <w:marTop w:val="0"/>
      <w:marBottom w:val="0"/>
      <w:divBdr>
        <w:top w:val="none" w:sz="0" w:space="0" w:color="auto"/>
        <w:left w:val="none" w:sz="0" w:space="0" w:color="auto"/>
        <w:bottom w:val="none" w:sz="0" w:space="0" w:color="auto"/>
        <w:right w:val="none" w:sz="0" w:space="0" w:color="auto"/>
      </w:divBdr>
    </w:div>
    <w:div w:id="373846853">
      <w:bodyDiv w:val="1"/>
      <w:marLeft w:val="0"/>
      <w:marRight w:val="0"/>
      <w:marTop w:val="0"/>
      <w:marBottom w:val="0"/>
      <w:divBdr>
        <w:top w:val="none" w:sz="0" w:space="0" w:color="auto"/>
        <w:left w:val="none" w:sz="0" w:space="0" w:color="auto"/>
        <w:bottom w:val="none" w:sz="0" w:space="0" w:color="auto"/>
        <w:right w:val="none" w:sz="0" w:space="0" w:color="auto"/>
      </w:divBdr>
    </w:div>
    <w:div w:id="422411433">
      <w:bodyDiv w:val="1"/>
      <w:marLeft w:val="0"/>
      <w:marRight w:val="0"/>
      <w:marTop w:val="0"/>
      <w:marBottom w:val="0"/>
      <w:divBdr>
        <w:top w:val="none" w:sz="0" w:space="0" w:color="auto"/>
        <w:left w:val="none" w:sz="0" w:space="0" w:color="auto"/>
        <w:bottom w:val="none" w:sz="0" w:space="0" w:color="auto"/>
        <w:right w:val="none" w:sz="0" w:space="0" w:color="auto"/>
      </w:divBdr>
    </w:div>
    <w:div w:id="556942950">
      <w:bodyDiv w:val="1"/>
      <w:marLeft w:val="0"/>
      <w:marRight w:val="0"/>
      <w:marTop w:val="0"/>
      <w:marBottom w:val="0"/>
      <w:divBdr>
        <w:top w:val="none" w:sz="0" w:space="0" w:color="auto"/>
        <w:left w:val="none" w:sz="0" w:space="0" w:color="auto"/>
        <w:bottom w:val="none" w:sz="0" w:space="0" w:color="auto"/>
        <w:right w:val="none" w:sz="0" w:space="0" w:color="auto"/>
      </w:divBdr>
    </w:div>
    <w:div w:id="565189471">
      <w:bodyDiv w:val="1"/>
      <w:marLeft w:val="0"/>
      <w:marRight w:val="0"/>
      <w:marTop w:val="0"/>
      <w:marBottom w:val="0"/>
      <w:divBdr>
        <w:top w:val="none" w:sz="0" w:space="0" w:color="auto"/>
        <w:left w:val="none" w:sz="0" w:space="0" w:color="auto"/>
        <w:bottom w:val="none" w:sz="0" w:space="0" w:color="auto"/>
        <w:right w:val="none" w:sz="0" w:space="0" w:color="auto"/>
      </w:divBdr>
    </w:div>
    <w:div w:id="578909396">
      <w:bodyDiv w:val="1"/>
      <w:marLeft w:val="0"/>
      <w:marRight w:val="0"/>
      <w:marTop w:val="0"/>
      <w:marBottom w:val="0"/>
      <w:divBdr>
        <w:top w:val="none" w:sz="0" w:space="0" w:color="auto"/>
        <w:left w:val="none" w:sz="0" w:space="0" w:color="auto"/>
        <w:bottom w:val="none" w:sz="0" w:space="0" w:color="auto"/>
        <w:right w:val="none" w:sz="0" w:space="0" w:color="auto"/>
      </w:divBdr>
    </w:div>
    <w:div w:id="621964720">
      <w:bodyDiv w:val="1"/>
      <w:marLeft w:val="0"/>
      <w:marRight w:val="0"/>
      <w:marTop w:val="0"/>
      <w:marBottom w:val="0"/>
      <w:divBdr>
        <w:top w:val="none" w:sz="0" w:space="0" w:color="auto"/>
        <w:left w:val="none" w:sz="0" w:space="0" w:color="auto"/>
        <w:bottom w:val="none" w:sz="0" w:space="0" w:color="auto"/>
        <w:right w:val="none" w:sz="0" w:space="0" w:color="auto"/>
      </w:divBdr>
    </w:div>
    <w:div w:id="626663217">
      <w:bodyDiv w:val="1"/>
      <w:marLeft w:val="0"/>
      <w:marRight w:val="0"/>
      <w:marTop w:val="0"/>
      <w:marBottom w:val="0"/>
      <w:divBdr>
        <w:top w:val="none" w:sz="0" w:space="0" w:color="auto"/>
        <w:left w:val="none" w:sz="0" w:space="0" w:color="auto"/>
        <w:bottom w:val="none" w:sz="0" w:space="0" w:color="auto"/>
        <w:right w:val="none" w:sz="0" w:space="0" w:color="auto"/>
      </w:divBdr>
    </w:div>
    <w:div w:id="640430657">
      <w:bodyDiv w:val="1"/>
      <w:marLeft w:val="0"/>
      <w:marRight w:val="0"/>
      <w:marTop w:val="0"/>
      <w:marBottom w:val="0"/>
      <w:divBdr>
        <w:top w:val="none" w:sz="0" w:space="0" w:color="auto"/>
        <w:left w:val="none" w:sz="0" w:space="0" w:color="auto"/>
        <w:bottom w:val="none" w:sz="0" w:space="0" w:color="auto"/>
        <w:right w:val="none" w:sz="0" w:space="0" w:color="auto"/>
      </w:divBdr>
    </w:div>
    <w:div w:id="657613770">
      <w:bodyDiv w:val="1"/>
      <w:marLeft w:val="0"/>
      <w:marRight w:val="0"/>
      <w:marTop w:val="0"/>
      <w:marBottom w:val="0"/>
      <w:divBdr>
        <w:top w:val="none" w:sz="0" w:space="0" w:color="auto"/>
        <w:left w:val="none" w:sz="0" w:space="0" w:color="auto"/>
        <w:bottom w:val="none" w:sz="0" w:space="0" w:color="auto"/>
        <w:right w:val="none" w:sz="0" w:space="0" w:color="auto"/>
      </w:divBdr>
    </w:div>
    <w:div w:id="710039257">
      <w:bodyDiv w:val="1"/>
      <w:marLeft w:val="0"/>
      <w:marRight w:val="0"/>
      <w:marTop w:val="0"/>
      <w:marBottom w:val="0"/>
      <w:divBdr>
        <w:top w:val="none" w:sz="0" w:space="0" w:color="auto"/>
        <w:left w:val="none" w:sz="0" w:space="0" w:color="auto"/>
        <w:bottom w:val="none" w:sz="0" w:space="0" w:color="auto"/>
        <w:right w:val="none" w:sz="0" w:space="0" w:color="auto"/>
      </w:divBdr>
    </w:div>
    <w:div w:id="760566058">
      <w:bodyDiv w:val="1"/>
      <w:marLeft w:val="0"/>
      <w:marRight w:val="0"/>
      <w:marTop w:val="0"/>
      <w:marBottom w:val="0"/>
      <w:divBdr>
        <w:top w:val="none" w:sz="0" w:space="0" w:color="auto"/>
        <w:left w:val="none" w:sz="0" w:space="0" w:color="auto"/>
        <w:bottom w:val="none" w:sz="0" w:space="0" w:color="auto"/>
        <w:right w:val="none" w:sz="0" w:space="0" w:color="auto"/>
      </w:divBdr>
      <w:divsChild>
        <w:div w:id="240145248">
          <w:marLeft w:val="1382"/>
          <w:marRight w:val="0"/>
          <w:marTop w:val="0"/>
          <w:marBottom w:val="0"/>
          <w:divBdr>
            <w:top w:val="none" w:sz="0" w:space="0" w:color="auto"/>
            <w:left w:val="none" w:sz="0" w:space="0" w:color="auto"/>
            <w:bottom w:val="none" w:sz="0" w:space="0" w:color="auto"/>
            <w:right w:val="none" w:sz="0" w:space="0" w:color="auto"/>
          </w:divBdr>
        </w:div>
        <w:div w:id="740103156">
          <w:marLeft w:val="360"/>
          <w:marRight w:val="0"/>
          <w:marTop w:val="0"/>
          <w:marBottom w:val="0"/>
          <w:divBdr>
            <w:top w:val="none" w:sz="0" w:space="0" w:color="auto"/>
            <w:left w:val="none" w:sz="0" w:space="0" w:color="auto"/>
            <w:bottom w:val="none" w:sz="0" w:space="0" w:color="auto"/>
            <w:right w:val="none" w:sz="0" w:space="0" w:color="auto"/>
          </w:divBdr>
        </w:div>
        <w:div w:id="1223911049">
          <w:marLeft w:val="360"/>
          <w:marRight w:val="0"/>
          <w:marTop w:val="0"/>
          <w:marBottom w:val="0"/>
          <w:divBdr>
            <w:top w:val="none" w:sz="0" w:space="0" w:color="auto"/>
            <w:left w:val="none" w:sz="0" w:space="0" w:color="auto"/>
            <w:bottom w:val="none" w:sz="0" w:space="0" w:color="auto"/>
            <w:right w:val="none" w:sz="0" w:space="0" w:color="auto"/>
          </w:divBdr>
        </w:div>
        <w:div w:id="1386759689">
          <w:marLeft w:val="1382"/>
          <w:marRight w:val="0"/>
          <w:marTop w:val="0"/>
          <w:marBottom w:val="0"/>
          <w:divBdr>
            <w:top w:val="none" w:sz="0" w:space="0" w:color="auto"/>
            <w:left w:val="none" w:sz="0" w:space="0" w:color="auto"/>
            <w:bottom w:val="none" w:sz="0" w:space="0" w:color="auto"/>
            <w:right w:val="none" w:sz="0" w:space="0" w:color="auto"/>
          </w:divBdr>
        </w:div>
        <w:div w:id="1489252363">
          <w:marLeft w:val="1382"/>
          <w:marRight w:val="0"/>
          <w:marTop w:val="0"/>
          <w:marBottom w:val="0"/>
          <w:divBdr>
            <w:top w:val="none" w:sz="0" w:space="0" w:color="auto"/>
            <w:left w:val="none" w:sz="0" w:space="0" w:color="auto"/>
            <w:bottom w:val="none" w:sz="0" w:space="0" w:color="auto"/>
            <w:right w:val="none" w:sz="0" w:space="0" w:color="auto"/>
          </w:divBdr>
        </w:div>
      </w:divsChild>
    </w:div>
    <w:div w:id="768349841">
      <w:bodyDiv w:val="1"/>
      <w:marLeft w:val="0"/>
      <w:marRight w:val="0"/>
      <w:marTop w:val="0"/>
      <w:marBottom w:val="0"/>
      <w:divBdr>
        <w:top w:val="none" w:sz="0" w:space="0" w:color="auto"/>
        <w:left w:val="none" w:sz="0" w:space="0" w:color="auto"/>
        <w:bottom w:val="none" w:sz="0" w:space="0" w:color="auto"/>
        <w:right w:val="none" w:sz="0" w:space="0" w:color="auto"/>
      </w:divBdr>
    </w:div>
    <w:div w:id="777482560">
      <w:bodyDiv w:val="1"/>
      <w:marLeft w:val="0"/>
      <w:marRight w:val="0"/>
      <w:marTop w:val="0"/>
      <w:marBottom w:val="0"/>
      <w:divBdr>
        <w:top w:val="none" w:sz="0" w:space="0" w:color="auto"/>
        <w:left w:val="none" w:sz="0" w:space="0" w:color="auto"/>
        <w:bottom w:val="none" w:sz="0" w:space="0" w:color="auto"/>
        <w:right w:val="none" w:sz="0" w:space="0" w:color="auto"/>
      </w:divBdr>
    </w:div>
    <w:div w:id="777524771">
      <w:bodyDiv w:val="1"/>
      <w:marLeft w:val="0"/>
      <w:marRight w:val="0"/>
      <w:marTop w:val="0"/>
      <w:marBottom w:val="0"/>
      <w:divBdr>
        <w:top w:val="none" w:sz="0" w:space="0" w:color="auto"/>
        <w:left w:val="none" w:sz="0" w:space="0" w:color="auto"/>
        <w:bottom w:val="none" w:sz="0" w:space="0" w:color="auto"/>
        <w:right w:val="none" w:sz="0" w:space="0" w:color="auto"/>
      </w:divBdr>
    </w:div>
    <w:div w:id="805855430">
      <w:bodyDiv w:val="1"/>
      <w:marLeft w:val="0"/>
      <w:marRight w:val="0"/>
      <w:marTop w:val="0"/>
      <w:marBottom w:val="0"/>
      <w:divBdr>
        <w:top w:val="none" w:sz="0" w:space="0" w:color="auto"/>
        <w:left w:val="none" w:sz="0" w:space="0" w:color="auto"/>
        <w:bottom w:val="none" w:sz="0" w:space="0" w:color="auto"/>
        <w:right w:val="none" w:sz="0" w:space="0" w:color="auto"/>
      </w:divBdr>
      <w:divsChild>
        <w:div w:id="236282718">
          <w:marLeft w:val="677"/>
          <w:marRight w:val="0"/>
          <w:marTop w:val="0"/>
          <w:marBottom w:val="0"/>
          <w:divBdr>
            <w:top w:val="none" w:sz="0" w:space="0" w:color="auto"/>
            <w:left w:val="none" w:sz="0" w:space="0" w:color="auto"/>
            <w:bottom w:val="none" w:sz="0" w:space="0" w:color="auto"/>
            <w:right w:val="none" w:sz="0" w:space="0" w:color="auto"/>
          </w:divBdr>
        </w:div>
        <w:div w:id="658464033">
          <w:marLeft w:val="677"/>
          <w:marRight w:val="0"/>
          <w:marTop w:val="0"/>
          <w:marBottom w:val="0"/>
          <w:divBdr>
            <w:top w:val="none" w:sz="0" w:space="0" w:color="auto"/>
            <w:left w:val="none" w:sz="0" w:space="0" w:color="auto"/>
            <w:bottom w:val="none" w:sz="0" w:space="0" w:color="auto"/>
            <w:right w:val="none" w:sz="0" w:space="0" w:color="auto"/>
          </w:divBdr>
        </w:div>
        <w:div w:id="883711676">
          <w:marLeft w:val="677"/>
          <w:marRight w:val="0"/>
          <w:marTop w:val="0"/>
          <w:marBottom w:val="0"/>
          <w:divBdr>
            <w:top w:val="none" w:sz="0" w:space="0" w:color="auto"/>
            <w:left w:val="none" w:sz="0" w:space="0" w:color="auto"/>
            <w:bottom w:val="none" w:sz="0" w:space="0" w:color="auto"/>
            <w:right w:val="none" w:sz="0" w:space="0" w:color="auto"/>
          </w:divBdr>
        </w:div>
        <w:div w:id="1149589150">
          <w:marLeft w:val="677"/>
          <w:marRight w:val="0"/>
          <w:marTop w:val="0"/>
          <w:marBottom w:val="0"/>
          <w:divBdr>
            <w:top w:val="none" w:sz="0" w:space="0" w:color="auto"/>
            <w:left w:val="none" w:sz="0" w:space="0" w:color="auto"/>
            <w:bottom w:val="none" w:sz="0" w:space="0" w:color="auto"/>
            <w:right w:val="none" w:sz="0" w:space="0" w:color="auto"/>
          </w:divBdr>
        </w:div>
        <w:div w:id="1345548830">
          <w:marLeft w:val="677"/>
          <w:marRight w:val="0"/>
          <w:marTop w:val="0"/>
          <w:marBottom w:val="0"/>
          <w:divBdr>
            <w:top w:val="none" w:sz="0" w:space="0" w:color="auto"/>
            <w:left w:val="none" w:sz="0" w:space="0" w:color="auto"/>
            <w:bottom w:val="none" w:sz="0" w:space="0" w:color="auto"/>
            <w:right w:val="none" w:sz="0" w:space="0" w:color="auto"/>
          </w:divBdr>
        </w:div>
        <w:div w:id="1487283687">
          <w:marLeft w:val="677"/>
          <w:marRight w:val="0"/>
          <w:marTop w:val="0"/>
          <w:marBottom w:val="0"/>
          <w:divBdr>
            <w:top w:val="none" w:sz="0" w:space="0" w:color="auto"/>
            <w:left w:val="none" w:sz="0" w:space="0" w:color="auto"/>
            <w:bottom w:val="none" w:sz="0" w:space="0" w:color="auto"/>
            <w:right w:val="none" w:sz="0" w:space="0" w:color="auto"/>
          </w:divBdr>
        </w:div>
        <w:div w:id="1600603969">
          <w:marLeft w:val="677"/>
          <w:marRight w:val="0"/>
          <w:marTop w:val="0"/>
          <w:marBottom w:val="0"/>
          <w:divBdr>
            <w:top w:val="none" w:sz="0" w:space="0" w:color="auto"/>
            <w:left w:val="none" w:sz="0" w:space="0" w:color="auto"/>
            <w:bottom w:val="none" w:sz="0" w:space="0" w:color="auto"/>
            <w:right w:val="none" w:sz="0" w:space="0" w:color="auto"/>
          </w:divBdr>
        </w:div>
      </w:divsChild>
    </w:div>
    <w:div w:id="864831696">
      <w:bodyDiv w:val="1"/>
      <w:marLeft w:val="0"/>
      <w:marRight w:val="0"/>
      <w:marTop w:val="0"/>
      <w:marBottom w:val="0"/>
      <w:divBdr>
        <w:top w:val="none" w:sz="0" w:space="0" w:color="auto"/>
        <w:left w:val="none" w:sz="0" w:space="0" w:color="auto"/>
        <w:bottom w:val="none" w:sz="0" w:space="0" w:color="auto"/>
        <w:right w:val="none" w:sz="0" w:space="0" w:color="auto"/>
      </w:divBdr>
      <w:divsChild>
        <w:div w:id="1523932465">
          <w:marLeft w:val="504"/>
          <w:marRight w:val="0"/>
          <w:marTop w:val="0"/>
          <w:marBottom w:val="0"/>
          <w:divBdr>
            <w:top w:val="none" w:sz="0" w:space="0" w:color="auto"/>
            <w:left w:val="none" w:sz="0" w:space="0" w:color="auto"/>
            <w:bottom w:val="none" w:sz="0" w:space="0" w:color="auto"/>
            <w:right w:val="none" w:sz="0" w:space="0" w:color="auto"/>
          </w:divBdr>
        </w:div>
      </w:divsChild>
    </w:div>
    <w:div w:id="867838861">
      <w:bodyDiv w:val="1"/>
      <w:marLeft w:val="0"/>
      <w:marRight w:val="0"/>
      <w:marTop w:val="0"/>
      <w:marBottom w:val="0"/>
      <w:divBdr>
        <w:top w:val="none" w:sz="0" w:space="0" w:color="auto"/>
        <w:left w:val="none" w:sz="0" w:space="0" w:color="auto"/>
        <w:bottom w:val="none" w:sz="0" w:space="0" w:color="auto"/>
        <w:right w:val="none" w:sz="0" w:space="0" w:color="auto"/>
      </w:divBdr>
      <w:divsChild>
        <w:div w:id="162621851">
          <w:marLeft w:val="1987"/>
          <w:marRight w:val="0"/>
          <w:marTop w:val="0"/>
          <w:marBottom w:val="0"/>
          <w:divBdr>
            <w:top w:val="none" w:sz="0" w:space="0" w:color="auto"/>
            <w:left w:val="none" w:sz="0" w:space="0" w:color="auto"/>
            <w:bottom w:val="none" w:sz="0" w:space="0" w:color="auto"/>
            <w:right w:val="none" w:sz="0" w:space="0" w:color="auto"/>
          </w:divBdr>
        </w:div>
        <w:div w:id="261114722">
          <w:marLeft w:val="533"/>
          <w:marRight w:val="0"/>
          <w:marTop w:val="0"/>
          <w:marBottom w:val="0"/>
          <w:divBdr>
            <w:top w:val="none" w:sz="0" w:space="0" w:color="auto"/>
            <w:left w:val="none" w:sz="0" w:space="0" w:color="auto"/>
            <w:bottom w:val="none" w:sz="0" w:space="0" w:color="auto"/>
            <w:right w:val="none" w:sz="0" w:space="0" w:color="auto"/>
          </w:divBdr>
        </w:div>
        <w:div w:id="352655245">
          <w:marLeft w:val="533"/>
          <w:marRight w:val="0"/>
          <w:marTop w:val="0"/>
          <w:marBottom w:val="0"/>
          <w:divBdr>
            <w:top w:val="none" w:sz="0" w:space="0" w:color="auto"/>
            <w:left w:val="none" w:sz="0" w:space="0" w:color="auto"/>
            <w:bottom w:val="none" w:sz="0" w:space="0" w:color="auto"/>
            <w:right w:val="none" w:sz="0" w:space="0" w:color="auto"/>
          </w:divBdr>
        </w:div>
        <w:div w:id="460853556">
          <w:marLeft w:val="1987"/>
          <w:marRight w:val="0"/>
          <w:marTop w:val="0"/>
          <w:marBottom w:val="0"/>
          <w:divBdr>
            <w:top w:val="none" w:sz="0" w:space="0" w:color="auto"/>
            <w:left w:val="none" w:sz="0" w:space="0" w:color="auto"/>
            <w:bottom w:val="none" w:sz="0" w:space="0" w:color="auto"/>
            <w:right w:val="none" w:sz="0" w:space="0" w:color="auto"/>
          </w:divBdr>
        </w:div>
        <w:div w:id="678123697">
          <w:marLeft w:val="1987"/>
          <w:marRight w:val="0"/>
          <w:marTop w:val="0"/>
          <w:marBottom w:val="0"/>
          <w:divBdr>
            <w:top w:val="none" w:sz="0" w:space="0" w:color="auto"/>
            <w:left w:val="none" w:sz="0" w:space="0" w:color="auto"/>
            <w:bottom w:val="none" w:sz="0" w:space="0" w:color="auto"/>
            <w:right w:val="none" w:sz="0" w:space="0" w:color="auto"/>
          </w:divBdr>
        </w:div>
        <w:div w:id="1439715361">
          <w:marLeft w:val="1987"/>
          <w:marRight w:val="0"/>
          <w:marTop w:val="0"/>
          <w:marBottom w:val="0"/>
          <w:divBdr>
            <w:top w:val="none" w:sz="0" w:space="0" w:color="auto"/>
            <w:left w:val="none" w:sz="0" w:space="0" w:color="auto"/>
            <w:bottom w:val="none" w:sz="0" w:space="0" w:color="auto"/>
            <w:right w:val="none" w:sz="0" w:space="0" w:color="auto"/>
          </w:divBdr>
        </w:div>
        <w:div w:id="1548175087">
          <w:marLeft w:val="2059"/>
          <w:marRight w:val="0"/>
          <w:marTop w:val="0"/>
          <w:marBottom w:val="0"/>
          <w:divBdr>
            <w:top w:val="none" w:sz="0" w:space="0" w:color="auto"/>
            <w:left w:val="none" w:sz="0" w:space="0" w:color="auto"/>
            <w:bottom w:val="none" w:sz="0" w:space="0" w:color="auto"/>
            <w:right w:val="none" w:sz="0" w:space="0" w:color="auto"/>
          </w:divBdr>
        </w:div>
        <w:div w:id="1719474688">
          <w:marLeft w:val="1987"/>
          <w:marRight w:val="0"/>
          <w:marTop w:val="0"/>
          <w:marBottom w:val="0"/>
          <w:divBdr>
            <w:top w:val="none" w:sz="0" w:space="0" w:color="auto"/>
            <w:left w:val="none" w:sz="0" w:space="0" w:color="auto"/>
            <w:bottom w:val="none" w:sz="0" w:space="0" w:color="auto"/>
            <w:right w:val="none" w:sz="0" w:space="0" w:color="auto"/>
          </w:divBdr>
        </w:div>
        <w:div w:id="1882859911">
          <w:marLeft w:val="2059"/>
          <w:marRight w:val="0"/>
          <w:marTop w:val="0"/>
          <w:marBottom w:val="0"/>
          <w:divBdr>
            <w:top w:val="none" w:sz="0" w:space="0" w:color="auto"/>
            <w:left w:val="none" w:sz="0" w:space="0" w:color="auto"/>
            <w:bottom w:val="none" w:sz="0" w:space="0" w:color="auto"/>
            <w:right w:val="none" w:sz="0" w:space="0" w:color="auto"/>
          </w:divBdr>
        </w:div>
        <w:div w:id="1884440566">
          <w:marLeft w:val="2059"/>
          <w:marRight w:val="0"/>
          <w:marTop w:val="0"/>
          <w:marBottom w:val="0"/>
          <w:divBdr>
            <w:top w:val="none" w:sz="0" w:space="0" w:color="auto"/>
            <w:left w:val="none" w:sz="0" w:space="0" w:color="auto"/>
            <w:bottom w:val="none" w:sz="0" w:space="0" w:color="auto"/>
            <w:right w:val="none" w:sz="0" w:space="0" w:color="auto"/>
          </w:divBdr>
        </w:div>
        <w:div w:id="1923250983">
          <w:marLeft w:val="1987"/>
          <w:marRight w:val="0"/>
          <w:marTop w:val="0"/>
          <w:marBottom w:val="0"/>
          <w:divBdr>
            <w:top w:val="none" w:sz="0" w:space="0" w:color="auto"/>
            <w:left w:val="none" w:sz="0" w:space="0" w:color="auto"/>
            <w:bottom w:val="none" w:sz="0" w:space="0" w:color="auto"/>
            <w:right w:val="none" w:sz="0" w:space="0" w:color="auto"/>
          </w:divBdr>
        </w:div>
        <w:div w:id="1976566605">
          <w:marLeft w:val="1987"/>
          <w:marRight w:val="0"/>
          <w:marTop w:val="0"/>
          <w:marBottom w:val="0"/>
          <w:divBdr>
            <w:top w:val="none" w:sz="0" w:space="0" w:color="auto"/>
            <w:left w:val="none" w:sz="0" w:space="0" w:color="auto"/>
            <w:bottom w:val="none" w:sz="0" w:space="0" w:color="auto"/>
            <w:right w:val="none" w:sz="0" w:space="0" w:color="auto"/>
          </w:divBdr>
        </w:div>
      </w:divsChild>
    </w:div>
    <w:div w:id="876047797">
      <w:bodyDiv w:val="1"/>
      <w:marLeft w:val="0"/>
      <w:marRight w:val="0"/>
      <w:marTop w:val="0"/>
      <w:marBottom w:val="0"/>
      <w:divBdr>
        <w:top w:val="none" w:sz="0" w:space="0" w:color="auto"/>
        <w:left w:val="none" w:sz="0" w:space="0" w:color="auto"/>
        <w:bottom w:val="none" w:sz="0" w:space="0" w:color="auto"/>
        <w:right w:val="none" w:sz="0" w:space="0" w:color="auto"/>
      </w:divBdr>
      <w:divsChild>
        <w:div w:id="1555390512">
          <w:marLeft w:val="1526"/>
          <w:marRight w:val="0"/>
          <w:marTop w:val="0"/>
          <w:marBottom w:val="0"/>
          <w:divBdr>
            <w:top w:val="none" w:sz="0" w:space="0" w:color="auto"/>
            <w:left w:val="none" w:sz="0" w:space="0" w:color="auto"/>
            <w:bottom w:val="none" w:sz="0" w:space="0" w:color="auto"/>
            <w:right w:val="none" w:sz="0" w:space="0" w:color="auto"/>
          </w:divBdr>
        </w:div>
      </w:divsChild>
    </w:div>
    <w:div w:id="897786012">
      <w:bodyDiv w:val="1"/>
      <w:marLeft w:val="0"/>
      <w:marRight w:val="0"/>
      <w:marTop w:val="0"/>
      <w:marBottom w:val="0"/>
      <w:divBdr>
        <w:top w:val="none" w:sz="0" w:space="0" w:color="auto"/>
        <w:left w:val="none" w:sz="0" w:space="0" w:color="auto"/>
        <w:bottom w:val="none" w:sz="0" w:space="0" w:color="auto"/>
        <w:right w:val="none" w:sz="0" w:space="0" w:color="auto"/>
      </w:divBdr>
    </w:div>
    <w:div w:id="914751658">
      <w:bodyDiv w:val="1"/>
      <w:marLeft w:val="0"/>
      <w:marRight w:val="0"/>
      <w:marTop w:val="0"/>
      <w:marBottom w:val="0"/>
      <w:divBdr>
        <w:top w:val="none" w:sz="0" w:space="0" w:color="auto"/>
        <w:left w:val="none" w:sz="0" w:space="0" w:color="auto"/>
        <w:bottom w:val="none" w:sz="0" w:space="0" w:color="auto"/>
        <w:right w:val="none" w:sz="0" w:space="0" w:color="auto"/>
      </w:divBdr>
    </w:div>
    <w:div w:id="925502124">
      <w:bodyDiv w:val="1"/>
      <w:marLeft w:val="0"/>
      <w:marRight w:val="0"/>
      <w:marTop w:val="0"/>
      <w:marBottom w:val="0"/>
      <w:divBdr>
        <w:top w:val="none" w:sz="0" w:space="0" w:color="auto"/>
        <w:left w:val="none" w:sz="0" w:space="0" w:color="auto"/>
        <w:bottom w:val="none" w:sz="0" w:space="0" w:color="auto"/>
        <w:right w:val="none" w:sz="0" w:space="0" w:color="auto"/>
      </w:divBdr>
    </w:div>
    <w:div w:id="950479284">
      <w:bodyDiv w:val="1"/>
      <w:marLeft w:val="0"/>
      <w:marRight w:val="0"/>
      <w:marTop w:val="0"/>
      <w:marBottom w:val="0"/>
      <w:divBdr>
        <w:top w:val="none" w:sz="0" w:space="0" w:color="auto"/>
        <w:left w:val="none" w:sz="0" w:space="0" w:color="auto"/>
        <w:bottom w:val="none" w:sz="0" w:space="0" w:color="auto"/>
        <w:right w:val="none" w:sz="0" w:space="0" w:color="auto"/>
      </w:divBdr>
    </w:div>
    <w:div w:id="1012603964">
      <w:bodyDiv w:val="1"/>
      <w:marLeft w:val="0"/>
      <w:marRight w:val="0"/>
      <w:marTop w:val="0"/>
      <w:marBottom w:val="0"/>
      <w:divBdr>
        <w:top w:val="none" w:sz="0" w:space="0" w:color="auto"/>
        <w:left w:val="none" w:sz="0" w:space="0" w:color="auto"/>
        <w:bottom w:val="none" w:sz="0" w:space="0" w:color="auto"/>
        <w:right w:val="none" w:sz="0" w:space="0" w:color="auto"/>
      </w:divBdr>
    </w:div>
    <w:div w:id="1084377520">
      <w:bodyDiv w:val="1"/>
      <w:marLeft w:val="0"/>
      <w:marRight w:val="0"/>
      <w:marTop w:val="0"/>
      <w:marBottom w:val="0"/>
      <w:divBdr>
        <w:top w:val="none" w:sz="0" w:space="0" w:color="auto"/>
        <w:left w:val="none" w:sz="0" w:space="0" w:color="auto"/>
        <w:bottom w:val="none" w:sz="0" w:space="0" w:color="auto"/>
        <w:right w:val="none" w:sz="0" w:space="0" w:color="auto"/>
      </w:divBdr>
    </w:div>
    <w:div w:id="1098061233">
      <w:bodyDiv w:val="1"/>
      <w:marLeft w:val="0"/>
      <w:marRight w:val="0"/>
      <w:marTop w:val="0"/>
      <w:marBottom w:val="0"/>
      <w:divBdr>
        <w:top w:val="none" w:sz="0" w:space="0" w:color="auto"/>
        <w:left w:val="none" w:sz="0" w:space="0" w:color="auto"/>
        <w:bottom w:val="none" w:sz="0" w:space="0" w:color="auto"/>
        <w:right w:val="none" w:sz="0" w:space="0" w:color="auto"/>
      </w:divBdr>
    </w:div>
    <w:div w:id="1104035814">
      <w:bodyDiv w:val="1"/>
      <w:marLeft w:val="0"/>
      <w:marRight w:val="0"/>
      <w:marTop w:val="0"/>
      <w:marBottom w:val="0"/>
      <w:divBdr>
        <w:top w:val="none" w:sz="0" w:space="0" w:color="auto"/>
        <w:left w:val="none" w:sz="0" w:space="0" w:color="auto"/>
        <w:bottom w:val="none" w:sz="0" w:space="0" w:color="auto"/>
        <w:right w:val="none" w:sz="0" w:space="0" w:color="auto"/>
      </w:divBdr>
    </w:div>
    <w:div w:id="1166438768">
      <w:bodyDiv w:val="1"/>
      <w:marLeft w:val="0"/>
      <w:marRight w:val="0"/>
      <w:marTop w:val="0"/>
      <w:marBottom w:val="0"/>
      <w:divBdr>
        <w:top w:val="none" w:sz="0" w:space="0" w:color="auto"/>
        <w:left w:val="none" w:sz="0" w:space="0" w:color="auto"/>
        <w:bottom w:val="none" w:sz="0" w:space="0" w:color="auto"/>
        <w:right w:val="none" w:sz="0" w:space="0" w:color="auto"/>
      </w:divBdr>
    </w:div>
    <w:div w:id="1194735680">
      <w:bodyDiv w:val="1"/>
      <w:marLeft w:val="0"/>
      <w:marRight w:val="0"/>
      <w:marTop w:val="0"/>
      <w:marBottom w:val="0"/>
      <w:divBdr>
        <w:top w:val="none" w:sz="0" w:space="0" w:color="auto"/>
        <w:left w:val="none" w:sz="0" w:space="0" w:color="auto"/>
        <w:bottom w:val="none" w:sz="0" w:space="0" w:color="auto"/>
        <w:right w:val="none" w:sz="0" w:space="0" w:color="auto"/>
      </w:divBdr>
      <w:divsChild>
        <w:div w:id="570969385">
          <w:marLeft w:val="706"/>
          <w:marRight w:val="0"/>
          <w:marTop w:val="0"/>
          <w:marBottom w:val="0"/>
          <w:divBdr>
            <w:top w:val="none" w:sz="0" w:space="0" w:color="auto"/>
            <w:left w:val="none" w:sz="0" w:space="0" w:color="auto"/>
            <w:bottom w:val="none" w:sz="0" w:space="0" w:color="auto"/>
            <w:right w:val="none" w:sz="0" w:space="0" w:color="auto"/>
          </w:divBdr>
        </w:div>
        <w:div w:id="1085108676">
          <w:marLeft w:val="706"/>
          <w:marRight w:val="0"/>
          <w:marTop w:val="0"/>
          <w:marBottom w:val="0"/>
          <w:divBdr>
            <w:top w:val="none" w:sz="0" w:space="0" w:color="auto"/>
            <w:left w:val="none" w:sz="0" w:space="0" w:color="auto"/>
            <w:bottom w:val="none" w:sz="0" w:space="0" w:color="auto"/>
            <w:right w:val="none" w:sz="0" w:space="0" w:color="auto"/>
          </w:divBdr>
        </w:div>
        <w:div w:id="1405835876">
          <w:marLeft w:val="706"/>
          <w:marRight w:val="0"/>
          <w:marTop w:val="0"/>
          <w:marBottom w:val="0"/>
          <w:divBdr>
            <w:top w:val="none" w:sz="0" w:space="0" w:color="auto"/>
            <w:left w:val="none" w:sz="0" w:space="0" w:color="auto"/>
            <w:bottom w:val="none" w:sz="0" w:space="0" w:color="auto"/>
            <w:right w:val="none" w:sz="0" w:space="0" w:color="auto"/>
          </w:divBdr>
        </w:div>
        <w:div w:id="1919098664">
          <w:marLeft w:val="706"/>
          <w:marRight w:val="0"/>
          <w:marTop w:val="0"/>
          <w:marBottom w:val="0"/>
          <w:divBdr>
            <w:top w:val="none" w:sz="0" w:space="0" w:color="auto"/>
            <w:left w:val="none" w:sz="0" w:space="0" w:color="auto"/>
            <w:bottom w:val="none" w:sz="0" w:space="0" w:color="auto"/>
            <w:right w:val="none" w:sz="0" w:space="0" w:color="auto"/>
          </w:divBdr>
        </w:div>
      </w:divsChild>
    </w:div>
    <w:div w:id="1222792562">
      <w:bodyDiv w:val="1"/>
      <w:marLeft w:val="0"/>
      <w:marRight w:val="0"/>
      <w:marTop w:val="0"/>
      <w:marBottom w:val="0"/>
      <w:divBdr>
        <w:top w:val="none" w:sz="0" w:space="0" w:color="auto"/>
        <w:left w:val="none" w:sz="0" w:space="0" w:color="auto"/>
        <w:bottom w:val="none" w:sz="0" w:space="0" w:color="auto"/>
        <w:right w:val="none" w:sz="0" w:space="0" w:color="auto"/>
      </w:divBdr>
    </w:div>
    <w:div w:id="1297566580">
      <w:bodyDiv w:val="1"/>
      <w:marLeft w:val="0"/>
      <w:marRight w:val="0"/>
      <w:marTop w:val="0"/>
      <w:marBottom w:val="0"/>
      <w:divBdr>
        <w:top w:val="none" w:sz="0" w:space="0" w:color="auto"/>
        <w:left w:val="none" w:sz="0" w:space="0" w:color="auto"/>
        <w:bottom w:val="none" w:sz="0" w:space="0" w:color="auto"/>
        <w:right w:val="none" w:sz="0" w:space="0" w:color="auto"/>
      </w:divBdr>
    </w:div>
    <w:div w:id="1309553480">
      <w:bodyDiv w:val="1"/>
      <w:marLeft w:val="0"/>
      <w:marRight w:val="0"/>
      <w:marTop w:val="0"/>
      <w:marBottom w:val="0"/>
      <w:divBdr>
        <w:top w:val="none" w:sz="0" w:space="0" w:color="auto"/>
        <w:left w:val="none" w:sz="0" w:space="0" w:color="auto"/>
        <w:bottom w:val="none" w:sz="0" w:space="0" w:color="auto"/>
        <w:right w:val="none" w:sz="0" w:space="0" w:color="auto"/>
      </w:divBdr>
    </w:div>
    <w:div w:id="1311404139">
      <w:bodyDiv w:val="1"/>
      <w:marLeft w:val="0"/>
      <w:marRight w:val="0"/>
      <w:marTop w:val="0"/>
      <w:marBottom w:val="0"/>
      <w:divBdr>
        <w:top w:val="none" w:sz="0" w:space="0" w:color="auto"/>
        <w:left w:val="none" w:sz="0" w:space="0" w:color="auto"/>
        <w:bottom w:val="none" w:sz="0" w:space="0" w:color="auto"/>
        <w:right w:val="none" w:sz="0" w:space="0" w:color="auto"/>
      </w:divBdr>
      <w:divsChild>
        <w:div w:id="129826988">
          <w:marLeft w:val="2059"/>
          <w:marRight w:val="0"/>
          <w:marTop w:val="0"/>
          <w:marBottom w:val="0"/>
          <w:divBdr>
            <w:top w:val="none" w:sz="0" w:space="0" w:color="auto"/>
            <w:left w:val="none" w:sz="0" w:space="0" w:color="auto"/>
            <w:bottom w:val="none" w:sz="0" w:space="0" w:color="auto"/>
            <w:right w:val="none" w:sz="0" w:space="0" w:color="auto"/>
          </w:divBdr>
        </w:div>
        <w:div w:id="301622162">
          <w:marLeft w:val="2246"/>
          <w:marRight w:val="0"/>
          <w:marTop w:val="0"/>
          <w:marBottom w:val="0"/>
          <w:divBdr>
            <w:top w:val="none" w:sz="0" w:space="0" w:color="auto"/>
            <w:left w:val="none" w:sz="0" w:space="0" w:color="auto"/>
            <w:bottom w:val="none" w:sz="0" w:space="0" w:color="auto"/>
            <w:right w:val="none" w:sz="0" w:space="0" w:color="auto"/>
          </w:divBdr>
        </w:div>
        <w:div w:id="320550581">
          <w:marLeft w:val="1526"/>
          <w:marRight w:val="0"/>
          <w:marTop w:val="0"/>
          <w:marBottom w:val="0"/>
          <w:divBdr>
            <w:top w:val="none" w:sz="0" w:space="0" w:color="auto"/>
            <w:left w:val="none" w:sz="0" w:space="0" w:color="auto"/>
            <w:bottom w:val="none" w:sz="0" w:space="0" w:color="auto"/>
            <w:right w:val="none" w:sz="0" w:space="0" w:color="auto"/>
          </w:divBdr>
        </w:div>
        <w:div w:id="348987332">
          <w:marLeft w:val="2246"/>
          <w:marRight w:val="0"/>
          <w:marTop w:val="0"/>
          <w:marBottom w:val="0"/>
          <w:divBdr>
            <w:top w:val="none" w:sz="0" w:space="0" w:color="auto"/>
            <w:left w:val="none" w:sz="0" w:space="0" w:color="auto"/>
            <w:bottom w:val="none" w:sz="0" w:space="0" w:color="auto"/>
            <w:right w:val="none" w:sz="0" w:space="0" w:color="auto"/>
          </w:divBdr>
        </w:div>
        <w:div w:id="431509318">
          <w:marLeft w:val="2246"/>
          <w:marRight w:val="0"/>
          <w:marTop w:val="0"/>
          <w:marBottom w:val="0"/>
          <w:divBdr>
            <w:top w:val="none" w:sz="0" w:space="0" w:color="auto"/>
            <w:left w:val="none" w:sz="0" w:space="0" w:color="auto"/>
            <w:bottom w:val="none" w:sz="0" w:space="0" w:color="auto"/>
            <w:right w:val="none" w:sz="0" w:space="0" w:color="auto"/>
          </w:divBdr>
        </w:div>
        <w:div w:id="488905582">
          <w:marLeft w:val="1526"/>
          <w:marRight w:val="0"/>
          <w:marTop w:val="0"/>
          <w:marBottom w:val="0"/>
          <w:divBdr>
            <w:top w:val="none" w:sz="0" w:space="0" w:color="auto"/>
            <w:left w:val="none" w:sz="0" w:space="0" w:color="auto"/>
            <w:bottom w:val="none" w:sz="0" w:space="0" w:color="auto"/>
            <w:right w:val="none" w:sz="0" w:space="0" w:color="auto"/>
          </w:divBdr>
        </w:div>
        <w:div w:id="948244794">
          <w:marLeft w:val="2246"/>
          <w:marRight w:val="0"/>
          <w:marTop w:val="0"/>
          <w:marBottom w:val="0"/>
          <w:divBdr>
            <w:top w:val="none" w:sz="0" w:space="0" w:color="auto"/>
            <w:left w:val="none" w:sz="0" w:space="0" w:color="auto"/>
            <w:bottom w:val="none" w:sz="0" w:space="0" w:color="auto"/>
            <w:right w:val="none" w:sz="0" w:space="0" w:color="auto"/>
          </w:divBdr>
        </w:div>
        <w:div w:id="964967929">
          <w:marLeft w:val="2246"/>
          <w:marRight w:val="0"/>
          <w:marTop w:val="0"/>
          <w:marBottom w:val="0"/>
          <w:divBdr>
            <w:top w:val="none" w:sz="0" w:space="0" w:color="auto"/>
            <w:left w:val="none" w:sz="0" w:space="0" w:color="auto"/>
            <w:bottom w:val="none" w:sz="0" w:space="0" w:color="auto"/>
            <w:right w:val="none" w:sz="0" w:space="0" w:color="auto"/>
          </w:divBdr>
        </w:div>
        <w:div w:id="1063717450">
          <w:marLeft w:val="2246"/>
          <w:marRight w:val="0"/>
          <w:marTop w:val="0"/>
          <w:marBottom w:val="0"/>
          <w:divBdr>
            <w:top w:val="none" w:sz="0" w:space="0" w:color="auto"/>
            <w:left w:val="none" w:sz="0" w:space="0" w:color="auto"/>
            <w:bottom w:val="none" w:sz="0" w:space="0" w:color="auto"/>
            <w:right w:val="none" w:sz="0" w:space="0" w:color="auto"/>
          </w:divBdr>
        </w:div>
        <w:div w:id="1206059140">
          <w:marLeft w:val="2246"/>
          <w:marRight w:val="0"/>
          <w:marTop w:val="0"/>
          <w:marBottom w:val="0"/>
          <w:divBdr>
            <w:top w:val="none" w:sz="0" w:space="0" w:color="auto"/>
            <w:left w:val="none" w:sz="0" w:space="0" w:color="auto"/>
            <w:bottom w:val="none" w:sz="0" w:space="0" w:color="auto"/>
            <w:right w:val="none" w:sz="0" w:space="0" w:color="auto"/>
          </w:divBdr>
        </w:div>
        <w:div w:id="1350597405">
          <w:marLeft w:val="2246"/>
          <w:marRight w:val="0"/>
          <w:marTop w:val="0"/>
          <w:marBottom w:val="0"/>
          <w:divBdr>
            <w:top w:val="none" w:sz="0" w:space="0" w:color="auto"/>
            <w:left w:val="none" w:sz="0" w:space="0" w:color="auto"/>
            <w:bottom w:val="none" w:sz="0" w:space="0" w:color="auto"/>
            <w:right w:val="none" w:sz="0" w:space="0" w:color="auto"/>
          </w:divBdr>
        </w:div>
        <w:div w:id="1552182306">
          <w:marLeft w:val="2059"/>
          <w:marRight w:val="0"/>
          <w:marTop w:val="0"/>
          <w:marBottom w:val="0"/>
          <w:divBdr>
            <w:top w:val="none" w:sz="0" w:space="0" w:color="auto"/>
            <w:left w:val="none" w:sz="0" w:space="0" w:color="auto"/>
            <w:bottom w:val="none" w:sz="0" w:space="0" w:color="auto"/>
            <w:right w:val="none" w:sz="0" w:space="0" w:color="auto"/>
          </w:divBdr>
        </w:div>
        <w:div w:id="1872911557">
          <w:marLeft w:val="2246"/>
          <w:marRight w:val="0"/>
          <w:marTop w:val="0"/>
          <w:marBottom w:val="0"/>
          <w:divBdr>
            <w:top w:val="none" w:sz="0" w:space="0" w:color="auto"/>
            <w:left w:val="none" w:sz="0" w:space="0" w:color="auto"/>
            <w:bottom w:val="none" w:sz="0" w:space="0" w:color="auto"/>
            <w:right w:val="none" w:sz="0" w:space="0" w:color="auto"/>
          </w:divBdr>
        </w:div>
        <w:div w:id="2018119887">
          <w:marLeft w:val="1526"/>
          <w:marRight w:val="0"/>
          <w:marTop w:val="0"/>
          <w:marBottom w:val="0"/>
          <w:divBdr>
            <w:top w:val="none" w:sz="0" w:space="0" w:color="auto"/>
            <w:left w:val="none" w:sz="0" w:space="0" w:color="auto"/>
            <w:bottom w:val="none" w:sz="0" w:space="0" w:color="auto"/>
            <w:right w:val="none" w:sz="0" w:space="0" w:color="auto"/>
          </w:divBdr>
        </w:div>
        <w:div w:id="2117825888">
          <w:marLeft w:val="2246"/>
          <w:marRight w:val="0"/>
          <w:marTop w:val="0"/>
          <w:marBottom w:val="0"/>
          <w:divBdr>
            <w:top w:val="none" w:sz="0" w:space="0" w:color="auto"/>
            <w:left w:val="none" w:sz="0" w:space="0" w:color="auto"/>
            <w:bottom w:val="none" w:sz="0" w:space="0" w:color="auto"/>
            <w:right w:val="none" w:sz="0" w:space="0" w:color="auto"/>
          </w:divBdr>
        </w:div>
      </w:divsChild>
    </w:div>
    <w:div w:id="1321468032">
      <w:bodyDiv w:val="1"/>
      <w:marLeft w:val="0"/>
      <w:marRight w:val="0"/>
      <w:marTop w:val="0"/>
      <w:marBottom w:val="0"/>
      <w:divBdr>
        <w:top w:val="none" w:sz="0" w:space="0" w:color="auto"/>
        <w:left w:val="none" w:sz="0" w:space="0" w:color="auto"/>
        <w:bottom w:val="none" w:sz="0" w:space="0" w:color="auto"/>
        <w:right w:val="none" w:sz="0" w:space="0" w:color="auto"/>
      </w:divBdr>
    </w:div>
    <w:div w:id="1357972672">
      <w:bodyDiv w:val="1"/>
      <w:marLeft w:val="0"/>
      <w:marRight w:val="0"/>
      <w:marTop w:val="0"/>
      <w:marBottom w:val="0"/>
      <w:divBdr>
        <w:top w:val="none" w:sz="0" w:space="0" w:color="auto"/>
        <w:left w:val="none" w:sz="0" w:space="0" w:color="auto"/>
        <w:bottom w:val="none" w:sz="0" w:space="0" w:color="auto"/>
        <w:right w:val="none" w:sz="0" w:space="0" w:color="auto"/>
      </w:divBdr>
      <w:divsChild>
        <w:div w:id="842010527">
          <w:marLeft w:val="590"/>
          <w:marRight w:val="0"/>
          <w:marTop w:val="0"/>
          <w:marBottom w:val="0"/>
          <w:divBdr>
            <w:top w:val="none" w:sz="0" w:space="0" w:color="auto"/>
            <w:left w:val="none" w:sz="0" w:space="0" w:color="auto"/>
            <w:bottom w:val="none" w:sz="0" w:space="0" w:color="auto"/>
            <w:right w:val="none" w:sz="0" w:space="0" w:color="auto"/>
          </w:divBdr>
        </w:div>
      </w:divsChild>
    </w:div>
    <w:div w:id="1359503912">
      <w:bodyDiv w:val="1"/>
      <w:marLeft w:val="0"/>
      <w:marRight w:val="0"/>
      <w:marTop w:val="0"/>
      <w:marBottom w:val="0"/>
      <w:divBdr>
        <w:top w:val="none" w:sz="0" w:space="0" w:color="auto"/>
        <w:left w:val="none" w:sz="0" w:space="0" w:color="auto"/>
        <w:bottom w:val="none" w:sz="0" w:space="0" w:color="auto"/>
        <w:right w:val="none" w:sz="0" w:space="0" w:color="auto"/>
      </w:divBdr>
      <w:divsChild>
        <w:div w:id="255986531">
          <w:marLeft w:val="1526"/>
          <w:marRight w:val="0"/>
          <w:marTop w:val="0"/>
          <w:marBottom w:val="0"/>
          <w:divBdr>
            <w:top w:val="none" w:sz="0" w:space="0" w:color="auto"/>
            <w:left w:val="none" w:sz="0" w:space="0" w:color="auto"/>
            <w:bottom w:val="none" w:sz="0" w:space="0" w:color="auto"/>
            <w:right w:val="none" w:sz="0" w:space="0" w:color="auto"/>
          </w:divBdr>
        </w:div>
        <w:div w:id="657541611">
          <w:marLeft w:val="1526"/>
          <w:marRight w:val="0"/>
          <w:marTop w:val="0"/>
          <w:marBottom w:val="0"/>
          <w:divBdr>
            <w:top w:val="none" w:sz="0" w:space="0" w:color="auto"/>
            <w:left w:val="none" w:sz="0" w:space="0" w:color="auto"/>
            <w:bottom w:val="none" w:sz="0" w:space="0" w:color="auto"/>
            <w:right w:val="none" w:sz="0" w:space="0" w:color="auto"/>
          </w:divBdr>
        </w:div>
        <w:div w:id="812940386">
          <w:marLeft w:val="1526"/>
          <w:marRight w:val="0"/>
          <w:marTop w:val="0"/>
          <w:marBottom w:val="0"/>
          <w:divBdr>
            <w:top w:val="none" w:sz="0" w:space="0" w:color="auto"/>
            <w:left w:val="none" w:sz="0" w:space="0" w:color="auto"/>
            <w:bottom w:val="none" w:sz="0" w:space="0" w:color="auto"/>
            <w:right w:val="none" w:sz="0" w:space="0" w:color="auto"/>
          </w:divBdr>
        </w:div>
        <w:div w:id="1524898623">
          <w:marLeft w:val="1526"/>
          <w:marRight w:val="0"/>
          <w:marTop w:val="0"/>
          <w:marBottom w:val="0"/>
          <w:divBdr>
            <w:top w:val="none" w:sz="0" w:space="0" w:color="auto"/>
            <w:left w:val="none" w:sz="0" w:space="0" w:color="auto"/>
            <w:bottom w:val="none" w:sz="0" w:space="0" w:color="auto"/>
            <w:right w:val="none" w:sz="0" w:space="0" w:color="auto"/>
          </w:divBdr>
        </w:div>
      </w:divsChild>
    </w:div>
    <w:div w:id="1365986188">
      <w:bodyDiv w:val="1"/>
      <w:marLeft w:val="0"/>
      <w:marRight w:val="0"/>
      <w:marTop w:val="0"/>
      <w:marBottom w:val="0"/>
      <w:divBdr>
        <w:top w:val="none" w:sz="0" w:space="0" w:color="auto"/>
        <w:left w:val="none" w:sz="0" w:space="0" w:color="auto"/>
        <w:bottom w:val="none" w:sz="0" w:space="0" w:color="auto"/>
        <w:right w:val="none" w:sz="0" w:space="0" w:color="auto"/>
      </w:divBdr>
    </w:div>
    <w:div w:id="1367749940">
      <w:bodyDiv w:val="1"/>
      <w:marLeft w:val="0"/>
      <w:marRight w:val="0"/>
      <w:marTop w:val="0"/>
      <w:marBottom w:val="0"/>
      <w:divBdr>
        <w:top w:val="none" w:sz="0" w:space="0" w:color="auto"/>
        <w:left w:val="none" w:sz="0" w:space="0" w:color="auto"/>
        <w:bottom w:val="none" w:sz="0" w:space="0" w:color="auto"/>
        <w:right w:val="none" w:sz="0" w:space="0" w:color="auto"/>
      </w:divBdr>
    </w:div>
    <w:div w:id="1385107518">
      <w:bodyDiv w:val="1"/>
      <w:marLeft w:val="0"/>
      <w:marRight w:val="0"/>
      <w:marTop w:val="0"/>
      <w:marBottom w:val="0"/>
      <w:divBdr>
        <w:top w:val="none" w:sz="0" w:space="0" w:color="auto"/>
        <w:left w:val="none" w:sz="0" w:space="0" w:color="auto"/>
        <w:bottom w:val="none" w:sz="0" w:space="0" w:color="auto"/>
        <w:right w:val="none" w:sz="0" w:space="0" w:color="auto"/>
      </w:divBdr>
    </w:div>
    <w:div w:id="1386293197">
      <w:bodyDiv w:val="1"/>
      <w:marLeft w:val="0"/>
      <w:marRight w:val="0"/>
      <w:marTop w:val="0"/>
      <w:marBottom w:val="0"/>
      <w:divBdr>
        <w:top w:val="none" w:sz="0" w:space="0" w:color="auto"/>
        <w:left w:val="none" w:sz="0" w:space="0" w:color="auto"/>
        <w:bottom w:val="none" w:sz="0" w:space="0" w:color="auto"/>
        <w:right w:val="none" w:sz="0" w:space="0" w:color="auto"/>
      </w:divBdr>
    </w:div>
    <w:div w:id="1418288848">
      <w:bodyDiv w:val="1"/>
      <w:marLeft w:val="0"/>
      <w:marRight w:val="0"/>
      <w:marTop w:val="0"/>
      <w:marBottom w:val="0"/>
      <w:divBdr>
        <w:top w:val="none" w:sz="0" w:space="0" w:color="auto"/>
        <w:left w:val="none" w:sz="0" w:space="0" w:color="auto"/>
        <w:bottom w:val="none" w:sz="0" w:space="0" w:color="auto"/>
        <w:right w:val="none" w:sz="0" w:space="0" w:color="auto"/>
      </w:divBdr>
    </w:div>
    <w:div w:id="1450708940">
      <w:bodyDiv w:val="1"/>
      <w:marLeft w:val="0"/>
      <w:marRight w:val="0"/>
      <w:marTop w:val="0"/>
      <w:marBottom w:val="0"/>
      <w:divBdr>
        <w:top w:val="none" w:sz="0" w:space="0" w:color="auto"/>
        <w:left w:val="none" w:sz="0" w:space="0" w:color="auto"/>
        <w:bottom w:val="none" w:sz="0" w:space="0" w:color="auto"/>
        <w:right w:val="none" w:sz="0" w:space="0" w:color="auto"/>
      </w:divBdr>
    </w:div>
    <w:div w:id="1499924908">
      <w:bodyDiv w:val="1"/>
      <w:marLeft w:val="0"/>
      <w:marRight w:val="0"/>
      <w:marTop w:val="0"/>
      <w:marBottom w:val="0"/>
      <w:divBdr>
        <w:top w:val="none" w:sz="0" w:space="0" w:color="auto"/>
        <w:left w:val="none" w:sz="0" w:space="0" w:color="auto"/>
        <w:bottom w:val="none" w:sz="0" w:space="0" w:color="auto"/>
        <w:right w:val="none" w:sz="0" w:space="0" w:color="auto"/>
      </w:divBdr>
    </w:div>
    <w:div w:id="1525246589">
      <w:bodyDiv w:val="1"/>
      <w:marLeft w:val="0"/>
      <w:marRight w:val="0"/>
      <w:marTop w:val="0"/>
      <w:marBottom w:val="0"/>
      <w:divBdr>
        <w:top w:val="none" w:sz="0" w:space="0" w:color="auto"/>
        <w:left w:val="none" w:sz="0" w:space="0" w:color="auto"/>
        <w:bottom w:val="none" w:sz="0" w:space="0" w:color="auto"/>
        <w:right w:val="none" w:sz="0" w:space="0" w:color="auto"/>
      </w:divBdr>
    </w:div>
    <w:div w:id="1527983791">
      <w:bodyDiv w:val="1"/>
      <w:marLeft w:val="0"/>
      <w:marRight w:val="0"/>
      <w:marTop w:val="0"/>
      <w:marBottom w:val="0"/>
      <w:divBdr>
        <w:top w:val="none" w:sz="0" w:space="0" w:color="auto"/>
        <w:left w:val="none" w:sz="0" w:space="0" w:color="auto"/>
        <w:bottom w:val="none" w:sz="0" w:space="0" w:color="auto"/>
        <w:right w:val="none" w:sz="0" w:space="0" w:color="auto"/>
      </w:divBdr>
    </w:div>
    <w:div w:id="1563129644">
      <w:bodyDiv w:val="1"/>
      <w:marLeft w:val="0"/>
      <w:marRight w:val="0"/>
      <w:marTop w:val="0"/>
      <w:marBottom w:val="0"/>
      <w:divBdr>
        <w:top w:val="none" w:sz="0" w:space="0" w:color="auto"/>
        <w:left w:val="none" w:sz="0" w:space="0" w:color="auto"/>
        <w:bottom w:val="none" w:sz="0" w:space="0" w:color="auto"/>
        <w:right w:val="none" w:sz="0" w:space="0" w:color="auto"/>
      </w:divBdr>
    </w:div>
    <w:div w:id="1565263555">
      <w:bodyDiv w:val="1"/>
      <w:marLeft w:val="0"/>
      <w:marRight w:val="0"/>
      <w:marTop w:val="0"/>
      <w:marBottom w:val="0"/>
      <w:divBdr>
        <w:top w:val="none" w:sz="0" w:space="0" w:color="auto"/>
        <w:left w:val="none" w:sz="0" w:space="0" w:color="auto"/>
        <w:bottom w:val="none" w:sz="0" w:space="0" w:color="auto"/>
        <w:right w:val="none" w:sz="0" w:space="0" w:color="auto"/>
      </w:divBdr>
    </w:div>
    <w:div w:id="1571307996">
      <w:bodyDiv w:val="1"/>
      <w:marLeft w:val="0"/>
      <w:marRight w:val="0"/>
      <w:marTop w:val="0"/>
      <w:marBottom w:val="0"/>
      <w:divBdr>
        <w:top w:val="none" w:sz="0" w:space="0" w:color="auto"/>
        <w:left w:val="none" w:sz="0" w:space="0" w:color="auto"/>
        <w:bottom w:val="none" w:sz="0" w:space="0" w:color="auto"/>
        <w:right w:val="none" w:sz="0" w:space="0" w:color="auto"/>
      </w:divBdr>
    </w:div>
    <w:div w:id="1575312400">
      <w:bodyDiv w:val="1"/>
      <w:marLeft w:val="0"/>
      <w:marRight w:val="0"/>
      <w:marTop w:val="0"/>
      <w:marBottom w:val="0"/>
      <w:divBdr>
        <w:top w:val="none" w:sz="0" w:space="0" w:color="auto"/>
        <w:left w:val="none" w:sz="0" w:space="0" w:color="auto"/>
        <w:bottom w:val="none" w:sz="0" w:space="0" w:color="auto"/>
        <w:right w:val="none" w:sz="0" w:space="0" w:color="auto"/>
      </w:divBdr>
      <w:divsChild>
        <w:div w:id="163206303">
          <w:marLeft w:val="2909"/>
          <w:marRight w:val="0"/>
          <w:marTop w:val="0"/>
          <w:marBottom w:val="0"/>
          <w:divBdr>
            <w:top w:val="none" w:sz="0" w:space="0" w:color="auto"/>
            <w:left w:val="none" w:sz="0" w:space="0" w:color="auto"/>
            <w:bottom w:val="none" w:sz="0" w:space="0" w:color="auto"/>
            <w:right w:val="none" w:sz="0" w:space="0" w:color="auto"/>
          </w:divBdr>
        </w:div>
        <w:div w:id="236943211">
          <w:marLeft w:val="1526"/>
          <w:marRight w:val="0"/>
          <w:marTop w:val="0"/>
          <w:marBottom w:val="0"/>
          <w:divBdr>
            <w:top w:val="none" w:sz="0" w:space="0" w:color="auto"/>
            <w:left w:val="none" w:sz="0" w:space="0" w:color="auto"/>
            <w:bottom w:val="none" w:sz="0" w:space="0" w:color="auto"/>
            <w:right w:val="none" w:sz="0" w:space="0" w:color="auto"/>
          </w:divBdr>
        </w:div>
        <w:div w:id="358316423">
          <w:marLeft w:val="2909"/>
          <w:marRight w:val="0"/>
          <w:marTop w:val="0"/>
          <w:marBottom w:val="0"/>
          <w:divBdr>
            <w:top w:val="none" w:sz="0" w:space="0" w:color="auto"/>
            <w:left w:val="none" w:sz="0" w:space="0" w:color="auto"/>
            <w:bottom w:val="none" w:sz="0" w:space="0" w:color="auto"/>
            <w:right w:val="none" w:sz="0" w:space="0" w:color="auto"/>
          </w:divBdr>
        </w:div>
        <w:div w:id="406073950">
          <w:marLeft w:val="2909"/>
          <w:marRight w:val="0"/>
          <w:marTop w:val="0"/>
          <w:marBottom w:val="0"/>
          <w:divBdr>
            <w:top w:val="none" w:sz="0" w:space="0" w:color="auto"/>
            <w:left w:val="none" w:sz="0" w:space="0" w:color="auto"/>
            <w:bottom w:val="none" w:sz="0" w:space="0" w:color="auto"/>
            <w:right w:val="none" w:sz="0" w:space="0" w:color="auto"/>
          </w:divBdr>
        </w:div>
        <w:div w:id="786045107">
          <w:marLeft w:val="2909"/>
          <w:marRight w:val="0"/>
          <w:marTop w:val="0"/>
          <w:marBottom w:val="0"/>
          <w:divBdr>
            <w:top w:val="none" w:sz="0" w:space="0" w:color="auto"/>
            <w:left w:val="none" w:sz="0" w:space="0" w:color="auto"/>
            <w:bottom w:val="none" w:sz="0" w:space="0" w:color="auto"/>
            <w:right w:val="none" w:sz="0" w:space="0" w:color="auto"/>
          </w:divBdr>
        </w:div>
        <w:div w:id="789668640">
          <w:marLeft w:val="2909"/>
          <w:marRight w:val="0"/>
          <w:marTop w:val="0"/>
          <w:marBottom w:val="0"/>
          <w:divBdr>
            <w:top w:val="none" w:sz="0" w:space="0" w:color="auto"/>
            <w:left w:val="none" w:sz="0" w:space="0" w:color="auto"/>
            <w:bottom w:val="none" w:sz="0" w:space="0" w:color="auto"/>
            <w:right w:val="none" w:sz="0" w:space="0" w:color="auto"/>
          </w:divBdr>
        </w:div>
        <w:div w:id="871111854">
          <w:marLeft w:val="1526"/>
          <w:marRight w:val="0"/>
          <w:marTop w:val="0"/>
          <w:marBottom w:val="0"/>
          <w:divBdr>
            <w:top w:val="none" w:sz="0" w:space="0" w:color="auto"/>
            <w:left w:val="none" w:sz="0" w:space="0" w:color="auto"/>
            <w:bottom w:val="none" w:sz="0" w:space="0" w:color="auto"/>
            <w:right w:val="none" w:sz="0" w:space="0" w:color="auto"/>
          </w:divBdr>
        </w:div>
        <w:div w:id="972636928">
          <w:marLeft w:val="2909"/>
          <w:marRight w:val="0"/>
          <w:marTop w:val="0"/>
          <w:marBottom w:val="0"/>
          <w:divBdr>
            <w:top w:val="none" w:sz="0" w:space="0" w:color="auto"/>
            <w:left w:val="none" w:sz="0" w:space="0" w:color="auto"/>
            <w:bottom w:val="none" w:sz="0" w:space="0" w:color="auto"/>
            <w:right w:val="none" w:sz="0" w:space="0" w:color="auto"/>
          </w:divBdr>
        </w:div>
        <w:div w:id="1649439625">
          <w:marLeft w:val="2909"/>
          <w:marRight w:val="0"/>
          <w:marTop w:val="0"/>
          <w:marBottom w:val="0"/>
          <w:divBdr>
            <w:top w:val="none" w:sz="0" w:space="0" w:color="auto"/>
            <w:left w:val="none" w:sz="0" w:space="0" w:color="auto"/>
            <w:bottom w:val="none" w:sz="0" w:space="0" w:color="auto"/>
            <w:right w:val="none" w:sz="0" w:space="0" w:color="auto"/>
          </w:divBdr>
        </w:div>
        <w:div w:id="1662351372">
          <w:marLeft w:val="2909"/>
          <w:marRight w:val="0"/>
          <w:marTop w:val="0"/>
          <w:marBottom w:val="0"/>
          <w:divBdr>
            <w:top w:val="none" w:sz="0" w:space="0" w:color="auto"/>
            <w:left w:val="none" w:sz="0" w:space="0" w:color="auto"/>
            <w:bottom w:val="none" w:sz="0" w:space="0" w:color="auto"/>
            <w:right w:val="none" w:sz="0" w:space="0" w:color="auto"/>
          </w:divBdr>
        </w:div>
        <w:div w:id="1740665817">
          <w:marLeft w:val="2909"/>
          <w:marRight w:val="0"/>
          <w:marTop w:val="0"/>
          <w:marBottom w:val="0"/>
          <w:divBdr>
            <w:top w:val="none" w:sz="0" w:space="0" w:color="auto"/>
            <w:left w:val="none" w:sz="0" w:space="0" w:color="auto"/>
            <w:bottom w:val="none" w:sz="0" w:space="0" w:color="auto"/>
            <w:right w:val="none" w:sz="0" w:space="0" w:color="auto"/>
          </w:divBdr>
        </w:div>
        <w:div w:id="1827700701">
          <w:marLeft w:val="2909"/>
          <w:marRight w:val="0"/>
          <w:marTop w:val="0"/>
          <w:marBottom w:val="0"/>
          <w:divBdr>
            <w:top w:val="none" w:sz="0" w:space="0" w:color="auto"/>
            <w:left w:val="none" w:sz="0" w:space="0" w:color="auto"/>
            <w:bottom w:val="none" w:sz="0" w:space="0" w:color="auto"/>
            <w:right w:val="none" w:sz="0" w:space="0" w:color="auto"/>
          </w:divBdr>
        </w:div>
        <w:div w:id="1863860950">
          <w:marLeft w:val="1526"/>
          <w:marRight w:val="0"/>
          <w:marTop w:val="0"/>
          <w:marBottom w:val="0"/>
          <w:divBdr>
            <w:top w:val="none" w:sz="0" w:space="0" w:color="auto"/>
            <w:left w:val="none" w:sz="0" w:space="0" w:color="auto"/>
            <w:bottom w:val="none" w:sz="0" w:space="0" w:color="auto"/>
            <w:right w:val="none" w:sz="0" w:space="0" w:color="auto"/>
          </w:divBdr>
        </w:div>
        <w:div w:id="1882667799">
          <w:marLeft w:val="2909"/>
          <w:marRight w:val="0"/>
          <w:marTop w:val="0"/>
          <w:marBottom w:val="0"/>
          <w:divBdr>
            <w:top w:val="none" w:sz="0" w:space="0" w:color="auto"/>
            <w:left w:val="none" w:sz="0" w:space="0" w:color="auto"/>
            <w:bottom w:val="none" w:sz="0" w:space="0" w:color="auto"/>
            <w:right w:val="none" w:sz="0" w:space="0" w:color="auto"/>
          </w:divBdr>
        </w:div>
        <w:div w:id="1973561999">
          <w:marLeft w:val="504"/>
          <w:marRight w:val="0"/>
          <w:marTop w:val="0"/>
          <w:marBottom w:val="0"/>
          <w:divBdr>
            <w:top w:val="none" w:sz="0" w:space="0" w:color="auto"/>
            <w:left w:val="none" w:sz="0" w:space="0" w:color="auto"/>
            <w:bottom w:val="none" w:sz="0" w:space="0" w:color="auto"/>
            <w:right w:val="none" w:sz="0" w:space="0" w:color="auto"/>
          </w:divBdr>
        </w:div>
      </w:divsChild>
    </w:div>
    <w:div w:id="1746536176">
      <w:bodyDiv w:val="1"/>
      <w:marLeft w:val="0"/>
      <w:marRight w:val="0"/>
      <w:marTop w:val="0"/>
      <w:marBottom w:val="0"/>
      <w:divBdr>
        <w:top w:val="none" w:sz="0" w:space="0" w:color="auto"/>
        <w:left w:val="none" w:sz="0" w:space="0" w:color="auto"/>
        <w:bottom w:val="none" w:sz="0" w:space="0" w:color="auto"/>
        <w:right w:val="none" w:sz="0" w:space="0" w:color="auto"/>
      </w:divBdr>
      <w:divsChild>
        <w:div w:id="120458840">
          <w:marLeft w:val="677"/>
          <w:marRight w:val="0"/>
          <w:marTop w:val="0"/>
          <w:marBottom w:val="0"/>
          <w:divBdr>
            <w:top w:val="none" w:sz="0" w:space="0" w:color="auto"/>
            <w:left w:val="none" w:sz="0" w:space="0" w:color="auto"/>
            <w:bottom w:val="none" w:sz="0" w:space="0" w:color="auto"/>
            <w:right w:val="none" w:sz="0" w:space="0" w:color="auto"/>
          </w:divBdr>
        </w:div>
        <w:div w:id="410931037">
          <w:marLeft w:val="677"/>
          <w:marRight w:val="0"/>
          <w:marTop w:val="0"/>
          <w:marBottom w:val="0"/>
          <w:divBdr>
            <w:top w:val="none" w:sz="0" w:space="0" w:color="auto"/>
            <w:left w:val="none" w:sz="0" w:space="0" w:color="auto"/>
            <w:bottom w:val="none" w:sz="0" w:space="0" w:color="auto"/>
            <w:right w:val="none" w:sz="0" w:space="0" w:color="auto"/>
          </w:divBdr>
        </w:div>
        <w:div w:id="669911183">
          <w:marLeft w:val="677"/>
          <w:marRight w:val="0"/>
          <w:marTop w:val="0"/>
          <w:marBottom w:val="0"/>
          <w:divBdr>
            <w:top w:val="none" w:sz="0" w:space="0" w:color="auto"/>
            <w:left w:val="none" w:sz="0" w:space="0" w:color="auto"/>
            <w:bottom w:val="none" w:sz="0" w:space="0" w:color="auto"/>
            <w:right w:val="none" w:sz="0" w:space="0" w:color="auto"/>
          </w:divBdr>
        </w:div>
        <w:div w:id="804078688">
          <w:marLeft w:val="677"/>
          <w:marRight w:val="0"/>
          <w:marTop w:val="0"/>
          <w:marBottom w:val="0"/>
          <w:divBdr>
            <w:top w:val="none" w:sz="0" w:space="0" w:color="auto"/>
            <w:left w:val="none" w:sz="0" w:space="0" w:color="auto"/>
            <w:bottom w:val="none" w:sz="0" w:space="0" w:color="auto"/>
            <w:right w:val="none" w:sz="0" w:space="0" w:color="auto"/>
          </w:divBdr>
        </w:div>
        <w:div w:id="876164039">
          <w:marLeft w:val="677"/>
          <w:marRight w:val="0"/>
          <w:marTop w:val="0"/>
          <w:marBottom w:val="0"/>
          <w:divBdr>
            <w:top w:val="none" w:sz="0" w:space="0" w:color="auto"/>
            <w:left w:val="none" w:sz="0" w:space="0" w:color="auto"/>
            <w:bottom w:val="none" w:sz="0" w:space="0" w:color="auto"/>
            <w:right w:val="none" w:sz="0" w:space="0" w:color="auto"/>
          </w:divBdr>
        </w:div>
        <w:div w:id="1339502511">
          <w:marLeft w:val="677"/>
          <w:marRight w:val="0"/>
          <w:marTop w:val="0"/>
          <w:marBottom w:val="0"/>
          <w:divBdr>
            <w:top w:val="none" w:sz="0" w:space="0" w:color="auto"/>
            <w:left w:val="none" w:sz="0" w:space="0" w:color="auto"/>
            <w:bottom w:val="none" w:sz="0" w:space="0" w:color="auto"/>
            <w:right w:val="none" w:sz="0" w:space="0" w:color="auto"/>
          </w:divBdr>
        </w:div>
        <w:div w:id="2049990058">
          <w:marLeft w:val="677"/>
          <w:marRight w:val="0"/>
          <w:marTop w:val="0"/>
          <w:marBottom w:val="0"/>
          <w:divBdr>
            <w:top w:val="none" w:sz="0" w:space="0" w:color="auto"/>
            <w:left w:val="none" w:sz="0" w:space="0" w:color="auto"/>
            <w:bottom w:val="none" w:sz="0" w:space="0" w:color="auto"/>
            <w:right w:val="none" w:sz="0" w:space="0" w:color="auto"/>
          </w:divBdr>
        </w:div>
      </w:divsChild>
    </w:div>
    <w:div w:id="1778254447">
      <w:bodyDiv w:val="1"/>
      <w:marLeft w:val="0"/>
      <w:marRight w:val="0"/>
      <w:marTop w:val="0"/>
      <w:marBottom w:val="0"/>
      <w:divBdr>
        <w:top w:val="none" w:sz="0" w:space="0" w:color="auto"/>
        <w:left w:val="none" w:sz="0" w:space="0" w:color="auto"/>
        <w:bottom w:val="none" w:sz="0" w:space="0" w:color="auto"/>
        <w:right w:val="none" w:sz="0" w:space="0" w:color="auto"/>
      </w:divBdr>
      <w:divsChild>
        <w:div w:id="188686989">
          <w:marLeft w:val="1440"/>
          <w:marRight w:val="0"/>
          <w:marTop w:val="0"/>
          <w:marBottom w:val="0"/>
          <w:divBdr>
            <w:top w:val="none" w:sz="0" w:space="0" w:color="auto"/>
            <w:left w:val="none" w:sz="0" w:space="0" w:color="auto"/>
            <w:bottom w:val="none" w:sz="0" w:space="0" w:color="auto"/>
            <w:right w:val="none" w:sz="0" w:space="0" w:color="auto"/>
          </w:divBdr>
        </w:div>
        <w:div w:id="252977724">
          <w:marLeft w:val="1440"/>
          <w:marRight w:val="0"/>
          <w:marTop w:val="0"/>
          <w:marBottom w:val="0"/>
          <w:divBdr>
            <w:top w:val="none" w:sz="0" w:space="0" w:color="auto"/>
            <w:left w:val="none" w:sz="0" w:space="0" w:color="auto"/>
            <w:bottom w:val="none" w:sz="0" w:space="0" w:color="auto"/>
            <w:right w:val="none" w:sz="0" w:space="0" w:color="auto"/>
          </w:divBdr>
        </w:div>
        <w:div w:id="802581805">
          <w:marLeft w:val="1426"/>
          <w:marRight w:val="0"/>
          <w:marTop w:val="0"/>
          <w:marBottom w:val="0"/>
          <w:divBdr>
            <w:top w:val="none" w:sz="0" w:space="0" w:color="auto"/>
            <w:left w:val="none" w:sz="0" w:space="0" w:color="auto"/>
            <w:bottom w:val="none" w:sz="0" w:space="0" w:color="auto"/>
            <w:right w:val="none" w:sz="0" w:space="0" w:color="auto"/>
          </w:divBdr>
        </w:div>
        <w:div w:id="1305549725">
          <w:marLeft w:val="1426"/>
          <w:marRight w:val="0"/>
          <w:marTop w:val="0"/>
          <w:marBottom w:val="0"/>
          <w:divBdr>
            <w:top w:val="none" w:sz="0" w:space="0" w:color="auto"/>
            <w:left w:val="none" w:sz="0" w:space="0" w:color="auto"/>
            <w:bottom w:val="none" w:sz="0" w:space="0" w:color="auto"/>
            <w:right w:val="none" w:sz="0" w:space="0" w:color="auto"/>
          </w:divBdr>
        </w:div>
        <w:div w:id="1827088437">
          <w:marLeft w:val="1440"/>
          <w:marRight w:val="0"/>
          <w:marTop w:val="0"/>
          <w:marBottom w:val="0"/>
          <w:divBdr>
            <w:top w:val="none" w:sz="0" w:space="0" w:color="auto"/>
            <w:left w:val="none" w:sz="0" w:space="0" w:color="auto"/>
            <w:bottom w:val="none" w:sz="0" w:space="0" w:color="auto"/>
            <w:right w:val="none" w:sz="0" w:space="0" w:color="auto"/>
          </w:divBdr>
        </w:div>
        <w:div w:id="2005434226">
          <w:marLeft w:val="1440"/>
          <w:marRight w:val="0"/>
          <w:marTop w:val="0"/>
          <w:marBottom w:val="0"/>
          <w:divBdr>
            <w:top w:val="none" w:sz="0" w:space="0" w:color="auto"/>
            <w:left w:val="none" w:sz="0" w:space="0" w:color="auto"/>
            <w:bottom w:val="none" w:sz="0" w:space="0" w:color="auto"/>
            <w:right w:val="none" w:sz="0" w:space="0" w:color="auto"/>
          </w:divBdr>
        </w:div>
        <w:div w:id="2029257839">
          <w:marLeft w:val="1426"/>
          <w:marRight w:val="0"/>
          <w:marTop w:val="0"/>
          <w:marBottom w:val="0"/>
          <w:divBdr>
            <w:top w:val="none" w:sz="0" w:space="0" w:color="auto"/>
            <w:left w:val="none" w:sz="0" w:space="0" w:color="auto"/>
            <w:bottom w:val="none" w:sz="0" w:space="0" w:color="auto"/>
            <w:right w:val="none" w:sz="0" w:space="0" w:color="auto"/>
          </w:divBdr>
        </w:div>
      </w:divsChild>
    </w:div>
    <w:div w:id="1788503524">
      <w:bodyDiv w:val="1"/>
      <w:marLeft w:val="0"/>
      <w:marRight w:val="0"/>
      <w:marTop w:val="0"/>
      <w:marBottom w:val="0"/>
      <w:divBdr>
        <w:top w:val="none" w:sz="0" w:space="0" w:color="auto"/>
        <w:left w:val="none" w:sz="0" w:space="0" w:color="auto"/>
        <w:bottom w:val="none" w:sz="0" w:space="0" w:color="auto"/>
        <w:right w:val="none" w:sz="0" w:space="0" w:color="auto"/>
      </w:divBdr>
    </w:div>
    <w:div w:id="1794443272">
      <w:bodyDiv w:val="1"/>
      <w:marLeft w:val="0"/>
      <w:marRight w:val="0"/>
      <w:marTop w:val="0"/>
      <w:marBottom w:val="0"/>
      <w:divBdr>
        <w:top w:val="none" w:sz="0" w:space="0" w:color="auto"/>
        <w:left w:val="none" w:sz="0" w:space="0" w:color="auto"/>
        <w:bottom w:val="none" w:sz="0" w:space="0" w:color="auto"/>
        <w:right w:val="none" w:sz="0" w:space="0" w:color="auto"/>
      </w:divBdr>
    </w:div>
    <w:div w:id="1801531953">
      <w:bodyDiv w:val="1"/>
      <w:marLeft w:val="0"/>
      <w:marRight w:val="0"/>
      <w:marTop w:val="0"/>
      <w:marBottom w:val="0"/>
      <w:divBdr>
        <w:top w:val="none" w:sz="0" w:space="0" w:color="auto"/>
        <w:left w:val="none" w:sz="0" w:space="0" w:color="auto"/>
        <w:bottom w:val="none" w:sz="0" w:space="0" w:color="auto"/>
        <w:right w:val="none" w:sz="0" w:space="0" w:color="auto"/>
      </w:divBdr>
    </w:div>
    <w:div w:id="1826896479">
      <w:bodyDiv w:val="1"/>
      <w:marLeft w:val="0"/>
      <w:marRight w:val="0"/>
      <w:marTop w:val="0"/>
      <w:marBottom w:val="0"/>
      <w:divBdr>
        <w:top w:val="none" w:sz="0" w:space="0" w:color="auto"/>
        <w:left w:val="none" w:sz="0" w:space="0" w:color="auto"/>
        <w:bottom w:val="none" w:sz="0" w:space="0" w:color="auto"/>
        <w:right w:val="none" w:sz="0" w:space="0" w:color="auto"/>
      </w:divBdr>
    </w:div>
    <w:div w:id="1866748171">
      <w:bodyDiv w:val="1"/>
      <w:marLeft w:val="0"/>
      <w:marRight w:val="0"/>
      <w:marTop w:val="0"/>
      <w:marBottom w:val="0"/>
      <w:divBdr>
        <w:top w:val="none" w:sz="0" w:space="0" w:color="auto"/>
        <w:left w:val="none" w:sz="0" w:space="0" w:color="auto"/>
        <w:bottom w:val="none" w:sz="0" w:space="0" w:color="auto"/>
        <w:right w:val="none" w:sz="0" w:space="0" w:color="auto"/>
      </w:divBdr>
    </w:div>
    <w:div w:id="1919747854">
      <w:bodyDiv w:val="1"/>
      <w:marLeft w:val="0"/>
      <w:marRight w:val="0"/>
      <w:marTop w:val="0"/>
      <w:marBottom w:val="0"/>
      <w:divBdr>
        <w:top w:val="none" w:sz="0" w:space="0" w:color="auto"/>
        <w:left w:val="none" w:sz="0" w:space="0" w:color="auto"/>
        <w:bottom w:val="none" w:sz="0" w:space="0" w:color="auto"/>
        <w:right w:val="none" w:sz="0" w:space="0" w:color="auto"/>
      </w:divBdr>
      <w:divsChild>
        <w:div w:id="111049406">
          <w:marLeft w:val="2246"/>
          <w:marRight w:val="0"/>
          <w:marTop w:val="0"/>
          <w:marBottom w:val="0"/>
          <w:divBdr>
            <w:top w:val="none" w:sz="0" w:space="0" w:color="auto"/>
            <w:left w:val="none" w:sz="0" w:space="0" w:color="auto"/>
            <w:bottom w:val="none" w:sz="0" w:space="0" w:color="auto"/>
            <w:right w:val="none" w:sz="0" w:space="0" w:color="auto"/>
          </w:divBdr>
        </w:div>
        <w:div w:id="274412782">
          <w:marLeft w:val="2246"/>
          <w:marRight w:val="0"/>
          <w:marTop w:val="0"/>
          <w:marBottom w:val="0"/>
          <w:divBdr>
            <w:top w:val="none" w:sz="0" w:space="0" w:color="auto"/>
            <w:left w:val="none" w:sz="0" w:space="0" w:color="auto"/>
            <w:bottom w:val="none" w:sz="0" w:space="0" w:color="auto"/>
            <w:right w:val="none" w:sz="0" w:space="0" w:color="auto"/>
          </w:divBdr>
        </w:div>
        <w:div w:id="583606833">
          <w:marLeft w:val="504"/>
          <w:marRight w:val="0"/>
          <w:marTop w:val="0"/>
          <w:marBottom w:val="0"/>
          <w:divBdr>
            <w:top w:val="none" w:sz="0" w:space="0" w:color="auto"/>
            <w:left w:val="none" w:sz="0" w:space="0" w:color="auto"/>
            <w:bottom w:val="none" w:sz="0" w:space="0" w:color="auto"/>
            <w:right w:val="none" w:sz="0" w:space="0" w:color="auto"/>
          </w:divBdr>
        </w:div>
        <w:div w:id="622931213">
          <w:marLeft w:val="2246"/>
          <w:marRight w:val="0"/>
          <w:marTop w:val="0"/>
          <w:marBottom w:val="0"/>
          <w:divBdr>
            <w:top w:val="none" w:sz="0" w:space="0" w:color="auto"/>
            <w:left w:val="none" w:sz="0" w:space="0" w:color="auto"/>
            <w:bottom w:val="none" w:sz="0" w:space="0" w:color="auto"/>
            <w:right w:val="none" w:sz="0" w:space="0" w:color="auto"/>
          </w:divBdr>
        </w:div>
        <w:div w:id="660347759">
          <w:marLeft w:val="1526"/>
          <w:marRight w:val="0"/>
          <w:marTop w:val="0"/>
          <w:marBottom w:val="0"/>
          <w:divBdr>
            <w:top w:val="none" w:sz="0" w:space="0" w:color="auto"/>
            <w:left w:val="none" w:sz="0" w:space="0" w:color="auto"/>
            <w:bottom w:val="none" w:sz="0" w:space="0" w:color="auto"/>
            <w:right w:val="none" w:sz="0" w:space="0" w:color="auto"/>
          </w:divBdr>
        </w:div>
        <w:div w:id="733359372">
          <w:marLeft w:val="1526"/>
          <w:marRight w:val="0"/>
          <w:marTop w:val="0"/>
          <w:marBottom w:val="0"/>
          <w:divBdr>
            <w:top w:val="none" w:sz="0" w:space="0" w:color="auto"/>
            <w:left w:val="none" w:sz="0" w:space="0" w:color="auto"/>
            <w:bottom w:val="none" w:sz="0" w:space="0" w:color="auto"/>
            <w:right w:val="none" w:sz="0" w:space="0" w:color="auto"/>
          </w:divBdr>
        </w:div>
        <w:div w:id="995767508">
          <w:marLeft w:val="1526"/>
          <w:marRight w:val="0"/>
          <w:marTop w:val="0"/>
          <w:marBottom w:val="0"/>
          <w:divBdr>
            <w:top w:val="none" w:sz="0" w:space="0" w:color="auto"/>
            <w:left w:val="none" w:sz="0" w:space="0" w:color="auto"/>
            <w:bottom w:val="none" w:sz="0" w:space="0" w:color="auto"/>
            <w:right w:val="none" w:sz="0" w:space="0" w:color="auto"/>
          </w:divBdr>
        </w:div>
        <w:div w:id="1003363184">
          <w:marLeft w:val="2246"/>
          <w:marRight w:val="0"/>
          <w:marTop w:val="0"/>
          <w:marBottom w:val="0"/>
          <w:divBdr>
            <w:top w:val="none" w:sz="0" w:space="0" w:color="auto"/>
            <w:left w:val="none" w:sz="0" w:space="0" w:color="auto"/>
            <w:bottom w:val="none" w:sz="0" w:space="0" w:color="auto"/>
            <w:right w:val="none" w:sz="0" w:space="0" w:color="auto"/>
          </w:divBdr>
        </w:div>
        <w:div w:id="1101485634">
          <w:marLeft w:val="2246"/>
          <w:marRight w:val="0"/>
          <w:marTop w:val="0"/>
          <w:marBottom w:val="0"/>
          <w:divBdr>
            <w:top w:val="none" w:sz="0" w:space="0" w:color="auto"/>
            <w:left w:val="none" w:sz="0" w:space="0" w:color="auto"/>
            <w:bottom w:val="none" w:sz="0" w:space="0" w:color="auto"/>
            <w:right w:val="none" w:sz="0" w:space="0" w:color="auto"/>
          </w:divBdr>
        </w:div>
        <w:div w:id="1520386144">
          <w:marLeft w:val="2246"/>
          <w:marRight w:val="0"/>
          <w:marTop w:val="0"/>
          <w:marBottom w:val="0"/>
          <w:divBdr>
            <w:top w:val="none" w:sz="0" w:space="0" w:color="auto"/>
            <w:left w:val="none" w:sz="0" w:space="0" w:color="auto"/>
            <w:bottom w:val="none" w:sz="0" w:space="0" w:color="auto"/>
            <w:right w:val="none" w:sz="0" w:space="0" w:color="auto"/>
          </w:divBdr>
        </w:div>
        <w:div w:id="1600404735">
          <w:marLeft w:val="2246"/>
          <w:marRight w:val="0"/>
          <w:marTop w:val="0"/>
          <w:marBottom w:val="0"/>
          <w:divBdr>
            <w:top w:val="none" w:sz="0" w:space="0" w:color="auto"/>
            <w:left w:val="none" w:sz="0" w:space="0" w:color="auto"/>
            <w:bottom w:val="none" w:sz="0" w:space="0" w:color="auto"/>
            <w:right w:val="none" w:sz="0" w:space="0" w:color="auto"/>
          </w:divBdr>
        </w:div>
        <w:div w:id="1825972464">
          <w:marLeft w:val="2059"/>
          <w:marRight w:val="0"/>
          <w:marTop w:val="0"/>
          <w:marBottom w:val="0"/>
          <w:divBdr>
            <w:top w:val="none" w:sz="0" w:space="0" w:color="auto"/>
            <w:left w:val="none" w:sz="0" w:space="0" w:color="auto"/>
            <w:bottom w:val="none" w:sz="0" w:space="0" w:color="auto"/>
            <w:right w:val="none" w:sz="0" w:space="0" w:color="auto"/>
          </w:divBdr>
        </w:div>
        <w:div w:id="1962954125">
          <w:marLeft w:val="2966"/>
          <w:marRight w:val="0"/>
          <w:marTop w:val="0"/>
          <w:marBottom w:val="0"/>
          <w:divBdr>
            <w:top w:val="none" w:sz="0" w:space="0" w:color="auto"/>
            <w:left w:val="none" w:sz="0" w:space="0" w:color="auto"/>
            <w:bottom w:val="none" w:sz="0" w:space="0" w:color="auto"/>
            <w:right w:val="none" w:sz="0" w:space="0" w:color="auto"/>
          </w:divBdr>
        </w:div>
        <w:div w:id="1983079753">
          <w:marLeft w:val="2966"/>
          <w:marRight w:val="0"/>
          <w:marTop w:val="0"/>
          <w:marBottom w:val="0"/>
          <w:divBdr>
            <w:top w:val="none" w:sz="0" w:space="0" w:color="auto"/>
            <w:left w:val="none" w:sz="0" w:space="0" w:color="auto"/>
            <w:bottom w:val="none" w:sz="0" w:space="0" w:color="auto"/>
            <w:right w:val="none" w:sz="0" w:space="0" w:color="auto"/>
          </w:divBdr>
        </w:div>
      </w:divsChild>
    </w:div>
    <w:div w:id="1934245999">
      <w:bodyDiv w:val="1"/>
      <w:marLeft w:val="0"/>
      <w:marRight w:val="0"/>
      <w:marTop w:val="0"/>
      <w:marBottom w:val="0"/>
      <w:divBdr>
        <w:top w:val="none" w:sz="0" w:space="0" w:color="auto"/>
        <w:left w:val="none" w:sz="0" w:space="0" w:color="auto"/>
        <w:bottom w:val="none" w:sz="0" w:space="0" w:color="auto"/>
        <w:right w:val="none" w:sz="0" w:space="0" w:color="auto"/>
      </w:divBdr>
    </w:div>
    <w:div w:id="1943684224">
      <w:bodyDiv w:val="1"/>
      <w:marLeft w:val="0"/>
      <w:marRight w:val="0"/>
      <w:marTop w:val="0"/>
      <w:marBottom w:val="0"/>
      <w:divBdr>
        <w:top w:val="none" w:sz="0" w:space="0" w:color="auto"/>
        <w:left w:val="none" w:sz="0" w:space="0" w:color="auto"/>
        <w:bottom w:val="none" w:sz="0" w:space="0" w:color="auto"/>
        <w:right w:val="none" w:sz="0" w:space="0" w:color="auto"/>
      </w:divBdr>
    </w:div>
    <w:div w:id="1963337117">
      <w:bodyDiv w:val="1"/>
      <w:marLeft w:val="0"/>
      <w:marRight w:val="0"/>
      <w:marTop w:val="0"/>
      <w:marBottom w:val="0"/>
      <w:divBdr>
        <w:top w:val="none" w:sz="0" w:space="0" w:color="auto"/>
        <w:left w:val="none" w:sz="0" w:space="0" w:color="auto"/>
        <w:bottom w:val="none" w:sz="0" w:space="0" w:color="auto"/>
        <w:right w:val="none" w:sz="0" w:space="0" w:color="auto"/>
      </w:divBdr>
    </w:div>
    <w:div w:id="1978027125">
      <w:bodyDiv w:val="1"/>
      <w:marLeft w:val="0"/>
      <w:marRight w:val="0"/>
      <w:marTop w:val="0"/>
      <w:marBottom w:val="0"/>
      <w:divBdr>
        <w:top w:val="none" w:sz="0" w:space="0" w:color="auto"/>
        <w:left w:val="none" w:sz="0" w:space="0" w:color="auto"/>
        <w:bottom w:val="none" w:sz="0" w:space="0" w:color="auto"/>
        <w:right w:val="none" w:sz="0" w:space="0" w:color="auto"/>
      </w:divBdr>
      <w:divsChild>
        <w:div w:id="23599028">
          <w:marLeft w:val="1339"/>
          <w:marRight w:val="0"/>
          <w:marTop w:val="0"/>
          <w:marBottom w:val="0"/>
          <w:divBdr>
            <w:top w:val="none" w:sz="0" w:space="0" w:color="auto"/>
            <w:left w:val="none" w:sz="0" w:space="0" w:color="auto"/>
            <w:bottom w:val="none" w:sz="0" w:space="0" w:color="auto"/>
            <w:right w:val="none" w:sz="0" w:space="0" w:color="auto"/>
          </w:divBdr>
        </w:div>
        <w:div w:id="190997779">
          <w:marLeft w:val="533"/>
          <w:marRight w:val="0"/>
          <w:marTop w:val="0"/>
          <w:marBottom w:val="0"/>
          <w:divBdr>
            <w:top w:val="none" w:sz="0" w:space="0" w:color="auto"/>
            <w:left w:val="none" w:sz="0" w:space="0" w:color="auto"/>
            <w:bottom w:val="none" w:sz="0" w:space="0" w:color="auto"/>
            <w:right w:val="none" w:sz="0" w:space="0" w:color="auto"/>
          </w:divBdr>
        </w:div>
        <w:div w:id="271203283">
          <w:marLeft w:val="1339"/>
          <w:marRight w:val="0"/>
          <w:marTop w:val="0"/>
          <w:marBottom w:val="0"/>
          <w:divBdr>
            <w:top w:val="none" w:sz="0" w:space="0" w:color="auto"/>
            <w:left w:val="none" w:sz="0" w:space="0" w:color="auto"/>
            <w:bottom w:val="none" w:sz="0" w:space="0" w:color="auto"/>
            <w:right w:val="none" w:sz="0" w:space="0" w:color="auto"/>
          </w:divBdr>
        </w:div>
        <w:div w:id="315231322">
          <w:marLeft w:val="1339"/>
          <w:marRight w:val="0"/>
          <w:marTop w:val="0"/>
          <w:marBottom w:val="0"/>
          <w:divBdr>
            <w:top w:val="none" w:sz="0" w:space="0" w:color="auto"/>
            <w:left w:val="none" w:sz="0" w:space="0" w:color="auto"/>
            <w:bottom w:val="none" w:sz="0" w:space="0" w:color="auto"/>
            <w:right w:val="none" w:sz="0" w:space="0" w:color="auto"/>
          </w:divBdr>
        </w:div>
        <w:div w:id="429934402">
          <w:marLeft w:val="533"/>
          <w:marRight w:val="0"/>
          <w:marTop w:val="0"/>
          <w:marBottom w:val="0"/>
          <w:divBdr>
            <w:top w:val="none" w:sz="0" w:space="0" w:color="auto"/>
            <w:left w:val="none" w:sz="0" w:space="0" w:color="auto"/>
            <w:bottom w:val="none" w:sz="0" w:space="0" w:color="auto"/>
            <w:right w:val="none" w:sz="0" w:space="0" w:color="auto"/>
          </w:divBdr>
        </w:div>
        <w:div w:id="531959754">
          <w:marLeft w:val="533"/>
          <w:marRight w:val="0"/>
          <w:marTop w:val="0"/>
          <w:marBottom w:val="0"/>
          <w:divBdr>
            <w:top w:val="none" w:sz="0" w:space="0" w:color="auto"/>
            <w:left w:val="none" w:sz="0" w:space="0" w:color="auto"/>
            <w:bottom w:val="none" w:sz="0" w:space="0" w:color="auto"/>
            <w:right w:val="none" w:sz="0" w:space="0" w:color="auto"/>
          </w:divBdr>
        </w:div>
        <w:div w:id="569922324">
          <w:marLeft w:val="533"/>
          <w:marRight w:val="0"/>
          <w:marTop w:val="0"/>
          <w:marBottom w:val="0"/>
          <w:divBdr>
            <w:top w:val="none" w:sz="0" w:space="0" w:color="auto"/>
            <w:left w:val="none" w:sz="0" w:space="0" w:color="auto"/>
            <w:bottom w:val="none" w:sz="0" w:space="0" w:color="auto"/>
            <w:right w:val="none" w:sz="0" w:space="0" w:color="auto"/>
          </w:divBdr>
        </w:div>
        <w:div w:id="647320047">
          <w:marLeft w:val="1339"/>
          <w:marRight w:val="0"/>
          <w:marTop w:val="0"/>
          <w:marBottom w:val="0"/>
          <w:divBdr>
            <w:top w:val="none" w:sz="0" w:space="0" w:color="auto"/>
            <w:left w:val="none" w:sz="0" w:space="0" w:color="auto"/>
            <w:bottom w:val="none" w:sz="0" w:space="0" w:color="auto"/>
            <w:right w:val="none" w:sz="0" w:space="0" w:color="auto"/>
          </w:divBdr>
        </w:div>
        <w:div w:id="1505900643">
          <w:marLeft w:val="1339"/>
          <w:marRight w:val="0"/>
          <w:marTop w:val="0"/>
          <w:marBottom w:val="0"/>
          <w:divBdr>
            <w:top w:val="none" w:sz="0" w:space="0" w:color="auto"/>
            <w:left w:val="none" w:sz="0" w:space="0" w:color="auto"/>
            <w:bottom w:val="none" w:sz="0" w:space="0" w:color="auto"/>
            <w:right w:val="none" w:sz="0" w:space="0" w:color="auto"/>
          </w:divBdr>
        </w:div>
        <w:div w:id="1576281421">
          <w:marLeft w:val="1339"/>
          <w:marRight w:val="0"/>
          <w:marTop w:val="0"/>
          <w:marBottom w:val="0"/>
          <w:divBdr>
            <w:top w:val="none" w:sz="0" w:space="0" w:color="auto"/>
            <w:left w:val="none" w:sz="0" w:space="0" w:color="auto"/>
            <w:bottom w:val="none" w:sz="0" w:space="0" w:color="auto"/>
            <w:right w:val="none" w:sz="0" w:space="0" w:color="auto"/>
          </w:divBdr>
        </w:div>
        <w:div w:id="1997877328">
          <w:marLeft w:val="533"/>
          <w:marRight w:val="0"/>
          <w:marTop w:val="0"/>
          <w:marBottom w:val="0"/>
          <w:divBdr>
            <w:top w:val="none" w:sz="0" w:space="0" w:color="auto"/>
            <w:left w:val="none" w:sz="0" w:space="0" w:color="auto"/>
            <w:bottom w:val="none" w:sz="0" w:space="0" w:color="auto"/>
            <w:right w:val="none" w:sz="0" w:space="0" w:color="auto"/>
          </w:divBdr>
        </w:div>
      </w:divsChild>
    </w:div>
    <w:div w:id="1991057382">
      <w:bodyDiv w:val="1"/>
      <w:marLeft w:val="0"/>
      <w:marRight w:val="0"/>
      <w:marTop w:val="0"/>
      <w:marBottom w:val="0"/>
      <w:divBdr>
        <w:top w:val="none" w:sz="0" w:space="0" w:color="auto"/>
        <w:left w:val="none" w:sz="0" w:space="0" w:color="auto"/>
        <w:bottom w:val="none" w:sz="0" w:space="0" w:color="auto"/>
        <w:right w:val="none" w:sz="0" w:space="0" w:color="auto"/>
      </w:divBdr>
    </w:div>
    <w:div w:id="2046980408">
      <w:bodyDiv w:val="1"/>
      <w:marLeft w:val="0"/>
      <w:marRight w:val="0"/>
      <w:marTop w:val="0"/>
      <w:marBottom w:val="0"/>
      <w:divBdr>
        <w:top w:val="none" w:sz="0" w:space="0" w:color="auto"/>
        <w:left w:val="none" w:sz="0" w:space="0" w:color="auto"/>
        <w:bottom w:val="none" w:sz="0" w:space="0" w:color="auto"/>
        <w:right w:val="none" w:sz="0" w:space="0" w:color="auto"/>
      </w:divBdr>
      <w:divsChild>
        <w:div w:id="16738244">
          <w:marLeft w:val="2909"/>
          <w:marRight w:val="0"/>
          <w:marTop w:val="0"/>
          <w:marBottom w:val="0"/>
          <w:divBdr>
            <w:top w:val="none" w:sz="0" w:space="0" w:color="auto"/>
            <w:left w:val="none" w:sz="0" w:space="0" w:color="auto"/>
            <w:bottom w:val="none" w:sz="0" w:space="0" w:color="auto"/>
            <w:right w:val="none" w:sz="0" w:space="0" w:color="auto"/>
          </w:divBdr>
        </w:div>
        <w:div w:id="529876363">
          <w:marLeft w:val="2909"/>
          <w:marRight w:val="0"/>
          <w:marTop w:val="0"/>
          <w:marBottom w:val="0"/>
          <w:divBdr>
            <w:top w:val="none" w:sz="0" w:space="0" w:color="auto"/>
            <w:left w:val="none" w:sz="0" w:space="0" w:color="auto"/>
            <w:bottom w:val="none" w:sz="0" w:space="0" w:color="auto"/>
            <w:right w:val="none" w:sz="0" w:space="0" w:color="auto"/>
          </w:divBdr>
        </w:div>
        <w:div w:id="1033726434">
          <w:marLeft w:val="1526"/>
          <w:marRight w:val="0"/>
          <w:marTop w:val="0"/>
          <w:marBottom w:val="0"/>
          <w:divBdr>
            <w:top w:val="none" w:sz="0" w:space="0" w:color="auto"/>
            <w:left w:val="none" w:sz="0" w:space="0" w:color="auto"/>
            <w:bottom w:val="none" w:sz="0" w:space="0" w:color="auto"/>
            <w:right w:val="none" w:sz="0" w:space="0" w:color="auto"/>
          </w:divBdr>
        </w:div>
        <w:div w:id="1048263789">
          <w:marLeft w:val="2909"/>
          <w:marRight w:val="0"/>
          <w:marTop w:val="0"/>
          <w:marBottom w:val="0"/>
          <w:divBdr>
            <w:top w:val="none" w:sz="0" w:space="0" w:color="auto"/>
            <w:left w:val="none" w:sz="0" w:space="0" w:color="auto"/>
            <w:bottom w:val="none" w:sz="0" w:space="0" w:color="auto"/>
            <w:right w:val="none" w:sz="0" w:space="0" w:color="auto"/>
          </w:divBdr>
        </w:div>
        <w:div w:id="1162352548">
          <w:marLeft w:val="2909"/>
          <w:marRight w:val="0"/>
          <w:marTop w:val="0"/>
          <w:marBottom w:val="0"/>
          <w:divBdr>
            <w:top w:val="none" w:sz="0" w:space="0" w:color="auto"/>
            <w:left w:val="none" w:sz="0" w:space="0" w:color="auto"/>
            <w:bottom w:val="none" w:sz="0" w:space="0" w:color="auto"/>
            <w:right w:val="none" w:sz="0" w:space="0" w:color="auto"/>
          </w:divBdr>
        </w:div>
        <w:div w:id="1277367281">
          <w:marLeft w:val="1526"/>
          <w:marRight w:val="0"/>
          <w:marTop w:val="0"/>
          <w:marBottom w:val="0"/>
          <w:divBdr>
            <w:top w:val="none" w:sz="0" w:space="0" w:color="auto"/>
            <w:left w:val="none" w:sz="0" w:space="0" w:color="auto"/>
            <w:bottom w:val="none" w:sz="0" w:space="0" w:color="auto"/>
            <w:right w:val="none" w:sz="0" w:space="0" w:color="auto"/>
          </w:divBdr>
        </w:div>
        <w:div w:id="1441024478">
          <w:marLeft w:val="2909"/>
          <w:marRight w:val="0"/>
          <w:marTop w:val="0"/>
          <w:marBottom w:val="0"/>
          <w:divBdr>
            <w:top w:val="none" w:sz="0" w:space="0" w:color="auto"/>
            <w:left w:val="none" w:sz="0" w:space="0" w:color="auto"/>
            <w:bottom w:val="none" w:sz="0" w:space="0" w:color="auto"/>
            <w:right w:val="none" w:sz="0" w:space="0" w:color="auto"/>
          </w:divBdr>
        </w:div>
        <w:div w:id="1751542757">
          <w:marLeft w:val="2909"/>
          <w:marRight w:val="0"/>
          <w:marTop w:val="0"/>
          <w:marBottom w:val="0"/>
          <w:divBdr>
            <w:top w:val="none" w:sz="0" w:space="0" w:color="auto"/>
            <w:left w:val="none" w:sz="0" w:space="0" w:color="auto"/>
            <w:bottom w:val="none" w:sz="0" w:space="0" w:color="auto"/>
            <w:right w:val="none" w:sz="0" w:space="0" w:color="auto"/>
          </w:divBdr>
        </w:div>
        <w:div w:id="1927495290">
          <w:marLeft w:val="1526"/>
          <w:marRight w:val="0"/>
          <w:marTop w:val="0"/>
          <w:marBottom w:val="0"/>
          <w:divBdr>
            <w:top w:val="none" w:sz="0" w:space="0" w:color="auto"/>
            <w:left w:val="none" w:sz="0" w:space="0" w:color="auto"/>
            <w:bottom w:val="none" w:sz="0" w:space="0" w:color="auto"/>
            <w:right w:val="none" w:sz="0" w:space="0" w:color="auto"/>
          </w:divBdr>
        </w:div>
        <w:div w:id="2046636143">
          <w:marLeft w:val="1526"/>
          <w:marRight w:val="0"/>
          <w:marTop w:val="0"/>
          <w:marBottom w:val="0"/>
          <w:divBdr>
            <w:top w:val="none" w:sz="0" w:space="0" w:color="auto"/>
            <w:left w:val="none" w:sz="0" w:space="0" w:color="auto"/>
            <w:bottom w:val="none" w:sz="0" w:space="0" w:color="auto"/>
            <w:right w:val="none" w:sz="0" w:space="0" w:color="auto"/>
          </w:divBdr>
        </w:div>
      </w:divsChild>
    </w:div>
    <w:div w:id="2124112574">
      <w:bodyDiv w:val="1"/>
      <w:marLeft w:val="0"/>
      <w:marRight w:val="0"/>
      <w:marTop w:val="0"/>
      <w:marBottom w:val="0"/>
      <w:divBdr>
        <w:top w:val="none" w:sz="0" w:space="0" w:color="auto"/>
        <w:left w:val="none" w:sz="0" w:space="0" w:color="auto"/>
        <w:bottom w:val="none" w:sz="0" w:space="0" w:color="auto"/>
        <w:right w:val="none" w:sz="0" w:space="0" w:color="auto"/>
      </w:divBdr>
      <w:divsChild>
        <w:div w:id="357779558">
          <w:marLeft w:val="504"/>
          <w:marRight w:val="0"/>
          <w:marTop w:val="0"/>
          <w:marBottom w:val="0"/>
          <w:divBdr>
            <w:top w:val="none" w:sz="0" w:space="0" w:color="auto"/>
            <w:left w:val="none" w:sz="0" w:space="0" w:color="auto"/>
            <w:bottom w:val="none" w:sz="0" w:space="0" w:color="auto"/>
            <w:right w:val="none" w:sz="0" w:space="0" w:color="auto"/>
          </w:divBdr>
        </w:div>
      </w:divsChild>
    </w:div>
    <w:div w:id="213505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legislation.gov.au/F2025L00599/latest/text" TargetMode="External"/><Relationship Id="rId26" Type="http://schemas.openxmlformats.org/officeDocument/2006/relationships/hyperlink" Target="https://www.pbs.gov.au/pbs/industry/pricing/price-disclosure-spd/price-disclosure-guidelines" TargetMode="External"/><Relationship Id="rId39" Type="http://schemas.openxmlformats.org/officeDocument/2006/relationships/image" Target="media/image14.png"/><Relationship Id="rId21" Type="http://schemas.openxmlformats.org/officeDocument/2006/relationships/footer" Target="footer1.xml"/><Relationship Id="rId34" Type="http://schemas.openxmlformats.org/officeDocument/2006/relationships/image" Target="media/image10.png"/><Relationship Id="rId42" Type="http://schemas.openxmlformats.org/officeDocument/2006/relationships/hyperlink" Target="https://www.pbs.gov.au/info/industry/pricing/price-disclosure-spd/current-price-disclosure-cycle" TargetMode="External"/><Relationship Id="rId47" Type="http://schemas.openxmlformats.org/officeDocument/2006/relationships/hyperlink" Target="mailto:pbsstockholding@health.gov.au" TargetMode="External"/><Relationship Id="rId50" Type="http://schemas.openxmlformats.org/officeDocument/2006/relationships/hyperlink" Target="https://www.tga.gov.au/ws-s14-index" TargetMode="External"/><Relationship Id="rId55" Type="http://schemas.openxmlformats.org/officeDocument/2006/relationships/hyperlink" Target="https://www.pbs.gov.au/info/industry/pricing/minimum-stockholding-requirements"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legislation.gov.au/F2017L00313/latest/text" TargetMode="External"/><Relationship Id="rId25" Type="http://schemas.openxmlformats.org/officeDocument/2006/relationships/image" Target="media/image4.png"/><Relationship Id="rId33" Type="http://schemas.openxmlformats.org/officeDocument/2006/relationships/image" Target="media/image9.png"/><Relationship Id="rId38" Type="http://schemas.openxmlformats.org/officeDocument/2006/relationships/image" Target="media/image13.png"/><Relationship Id="rId46" Type="http://schemas.openxmlformats.org/officeDocument/2006/relationships/image" Target="media/image18.png"/><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pbs.gov.au/info/general/medicines-industry-strategic-agreement" TargetMode="External"/><Relationship Id="rId20" Type="http://schemas.openxmlformats.org/officeDocument/2006/relationships/header" Target="header3.xml"/><Relationship Id="rId29" Type="http://schemas.openxmlformats.org/officeDocument/2006/relationships/image" Target="media/image5.png"/><Relationship Id="rId41" Type="http://schemas.openxmlformats.org/officeDocument/2006/relationships/hyperlink" Target="https://www.legislation.gov.au/F2024L00426/latest/text" TargetMode="External"/><Relationship Id="rId54" Type="http://schemas.openxmlformats.org/officeDocument/2006/relationships/hyperlink" Target="https://app.pdsnp.com.au/resourc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pbsstockholding@health.gov.au" TargetMode="External"/><Relationship Id="rId32" Type="http://schemas.openxmlformats.org/officeDocument/2006/relationships/image" Target="media/image8.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image" Target="media/image17.png"/><Relationship Id="rId53" Type="http://schemas.openxmlformats.org/officeDocument/2006/relationships/hyperlink" Target="https://app.pdsnp.com.au/home" TargetMode="External"/><Relationship Id="rId58" Type="http://schemas.openxmlformats.org/officeDocument/2006/relationships/hyperlink" Target="mailto:pbsstockholding@health.gov.au" TargetMode="External"/><Relationship Id="rId5" Type="http://schemas.openxmlformats.org/officeDocument/2006/relationships/customXml" Target="../customXml/item5.xml"/><Relationship Id="rId15" Type="http://schemas.openxmlformats.org/officeDocument/2006/relationships/hyperlink" Target="https://www.legislation.gov.au/Details/C2021A00139" TargetMode="External"/><Relationship Id="rId23" Type="http://schemas.openxmlformats.org/officeDocument/2006/relationships/footer" Target="footer3.xml"/><Relationship Id="rId28" Type="http://schemas.openxmlformats.org/officeDocument/2006/relationships/hyperlink" Target="file://central.health/dfsuserenv/Users/User_27/WISESA/Documents/Stockholding/BCG%20Consultation%20%26amp;%20other%20formal%20consultation/220829%20-%20Draft%20PBS%20Stockholding%20Guidelines%20-%20Medicines%20Australia%20further%20comments%20-%20SMW%20+%20ES%20+%20Legal%20edits.docx" TargetMode="External"/><Relationship Id="rId36" Type="http://schemas.openxmlformats.org/officeDocument/2006/relationships/hyperlink" Target="https://www.pbs.gov.au/info/general/faq" TargetMode="External"/><Relationship Id="rId49" Type="http://schemas.openxmlformats.org/officeDocument/2006/relationships/hyperlink" Target="https://www.legislation.gov.au/Details/F2022L00118" TargetMode="External"/><Relationship Id="rId57" Type="http://schemas.openxmlformats.org/officeDocument/2006/relationships/image" Target="media/image19.png"/><Relationship Id="rId10" Type="http://schemas.openxmlformats.org/officeDocument/2006/relationships/footnotes" Target="footnotes.xml"/><Relationship Id="rId19" Type="http://schemas.openxmlformats.org/officeDocument/2006/relationships/hyperlink" Target="https://www.pbs.gov.au/info/browse/section-19A" TargetMode="External"/><Relationship Id="rId31" Type="http://schemas.openxmlformats.org/officeDocument/2006/relationships/image" Target="media/image7.png"/><Relationship Id="rId44" Type="http://schemas.openxmlformats.org/officeDocument/2006/relationships/image" Target="media/image16.png"/><Relationship Id="rId52" Type="http://schemas.openxmlformats.org/officeDocument/2006/relationships/hyperlink" Target="https://www.pbs.gov.au/industry/pricing/minimum-stockholding-requirements/Factsheet-MSR-Notifications.pdf"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au/Details/C2021C00460" TargetMode="External"/><Relationship Id="rId22" Type="http://schemas.openxmlformats.org/officeDocument/2006/relationships/footer" Target="footer2.xml"/><Relationship Id="rId27" Type="http://schemas.openxmlformats.org/officeDocument/2006/relationships/hyperlink" Target="https://www.pbs.gov.au/info/browse/section-19A" TargetMode="External"/><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hyperlink" Target="https://www.pbs.gov.au/pbs/industry/pricing/pbs-items/fact-sheet-requesting-a-change-to-an-existing-price" TargetMode="External"/><Relationship Id="rId48" Type="http://schemas.openxmlformats.org/officeDocument/2006/relationships/hyperlink" Target="https://www.pbs.gov.au/industry/pricing/medicines-supply-security-guarantee/Minimum-Stockholding-Determination-Request-form-14-October-2022.docx" TargetMode="External"/><Relationship Id="rId56" Type="http://schemas.openxmlformats.org/officeDocument/2006/relationships/hyperlink" Target="mailto:pbsstockholding@health.gov.au" TargetMode="External"/><Relationship Id="rId8" Type="http://schemas.openxmlformats.org/officeDocument/2006/relationships/settings" Target="settings.xml"/><Relationship Id="rId51" Type="http://schemas.openxmlformats.org/officeDocument/2006/relationships/hyperlink" Target="https://www.legislation.gov.au/Series/C2004A03952" TargetMode="Externa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ww.pbs.gov.au/info/industry/pricing/designated-brands" TargetMode="External"/><Relationship Id="rId2" Type="http://schemas.openxmlformats.org/officeDocument/2006/relationships/hyperlink" Target="https://www.pbs.gov.au/industry/pricing/price-disclosure-spd/guidelines-files/Price-disclosure-guidelines-V2.pdf" TargetMode="External"/><Relationship Id="rId1" Type="http://schemas.openxmlformats.org/officeDocument/2006/relationships/hyperlink" Target="https://www.legislation.gov.au/Details/F2021L01797" TargetMode="External"/><Relationship Id="rId4" Type="http://schemas.openxmlformats.org/officeDocument/2006/relationships/hyperlink" Target="https://www.pbs.gov.au/info/industry/pricing/price-disclosure-spd/price-disclosure-dispute-resolu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eme1">
  <a:themeElements>
    <a:clrScheme name="1_ADOH">
      <a:dk1>
        <a:srgbClr val="313131"/>
      </a:dk1>
      <a:lt1>
        <a:sysClr val="window" lastClr="FFFFFF"/>
      </a:lt1>
      <a:dk2>
        <a:srgbClr val="005EB8"/>
      </a:dk2>
      <a:lt2>
        <a:srgbClr val="F2F2F2"/>
      </a:lt2>
      <a:accent1>
        <a:srgbClr val="002142"/>
      </a:accent1>
      <a:accent2>
        <a:srgbClr val="004181"/>
      </a:accent2>
      <a:accent3>
        <a:srgbClr val="FFCB4D"/>
      </a:accent3>
      <a:accent4>
        <a:srgbClr val="2DAAFF"/>
      </a:accent4>
      <a:accent5>
        <a:srgbClr val="313131"/>
      </a:accent5>
      <a:accent6>
        <a:srgbClr val="008A96"/>
      </a:accent6>
      <a:hlink>
        <a:srgbClr val="292669"/>
      </a:hlink>
      <a:folHlink>
        <a:srgbClr val="910048"/>
      </a:folHlink>
    </a:clrScheme>
    <a:fontScheme name="Custom 1">
      <a:majorFont>
        <a:latin typeface="Arial"/>
        <a:ea typeface=""/>
        <a:cs typeface=""/>
      </a:majorFont>
      <a:minorFont>
        <a:latin typeface="Arial"/>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005EB8"/>
        </a:solidFill>
        <a:ln w="9525" cap="rnd" cmpd="sng" algn="ctr">
          <a:solidFill>
            <a:srgbClr val="005EB8"/>
          </a:solidFill>
          <a:prstDash val="solid"/>
          <a:round/>
          <a:headEnd type="none" w="med" len="med"/>
          <a:tailEnd type="none" w="med" len="med"/>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defPPr algn="ctr">
          <a:defRPr sz="12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9525" cap="rnd">
          <a:solidFill>
            <a:srgbClr val="9A9A9A"/>
          </a:solidFill>
          <a:prstDash val="solid"/>
          <a:round/>
        </a:ln>
      </a:spPr>
      <a:bodyPr/>
      <a:lstStyle/>
      <a:style>
        <a:lnRef idx="1">
          <a:schemeClr val="accent1"/>
        </a:lnRef>
        <a:fillRef idx="0">
          <a:schemeClr val="accent1"/>
        </a:fillRef>
        <a:effectRef idx="0">
          <a:schemeClr val="accent1"/>
        </a:effectRef>
        <a:fontRef idx="minor">
          <a:schemeClr val="tx1"/>
        </a:fontRef>
      </a:style>
    </a:lnDef>
    <a:txDef>
      <a:spPr>
        <a:noFill/>
        <a:ln w="9525" cap="rnd">
          <a:noFill/>
          <a:prstDash val="solid"/>
          <a:round/>
        </a:ln>
        <a:extLst>
          <a:ext uri="{909E8E84-426E-40DD-AFC4-6F175D3DCCD1}">
            <a14:hiddenFill xmlns:a14="http://schemas.microsoft.com/office/drawing/2010/main">
              <a:solidFill>
                <a:srgbClr val="29BA74"/>
              </a:solidFill>
            </a14:hiddenFill>
          </a:ext>
        </a:ex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defPPr algn="ctr">
          <a:defRPr dirty="0"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txDef>
  </a:objectDefaults>
  <a:extraClrSchemeLst/>
  <a:custClrLst>
    <a:custClr name="Custom Color">
      <a:srgbClr val="37373A"/>
    </a:custClr>
    <a:custClr name="Custom Color">
      <a:srgbClr val="2E3558"/>
    </a:custClr>
    <a:custClr name="Custom Color">
      <a:srgbClr val="30C1D7"/>
    </a:custClr>
    <a:custClr name="Custom Color">
      <a:srgbClr val="670F31"/>
    </a:custClr>
    <a:custClr name="Custom Color">
      <a:srgbClr val="E71C57"/>
    </a:custClr>
  </a:custClrLst>
  <a:extLst>
    <a:ext uri="{05A4C25C-085E-4340-85A3-A5531E510DB2}">
      <thm15:themeFamily xmlns:thm15="http://schemas.microsoft.com/office/thememl/2012/main" name="Theme1" id="{5AF10113-C033-4C82-86C8-DE0EA2F78DF4}" vid="{33978E18-6604-4772-A75F-6870D3331B8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roperties xmlns="http://www.imanage.com/work/xmlschema">
  <documentid>MATTERS!48903641.2</documentid>
  <senderid>DVAU</senderid>
  <senderemail>DANIEL.VAUGHAN@MADDOCKS.COM.AU</senderemail>
  <lastmodified>2025-06-26T17:25:00.0000000+10:00</lastmodified>
  <database>MATTERS</database>
</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4F76FEC8E3454B8FE8DAC763F1737E" ma:contentTypeVersion="14" ma:contentTypeDescription="Create a new document." ma:contentTypeScope="" ma:versionID="dd88582205d504f6291f9905598c3feb">
  <xsd:schema xmlns:xsd="http://www.w3.org/2001/XMLSchema" xmlns:xs="http://www.w3.org/2001/XMLSchema" xmlns:p="http://schemas.microsoft.com/office/2006/metadata/properties" xmlns:ns2="9e5c1668-581f-4ee2-a7dd-1be719054f32" xmlns:ns3="9d27081d-fada-4d52-881b-68f42bb97241" targetNamespace="http://schemas.microsoft.com/office/2006/metadata/properties" ma:root="true" ma:fieldsID="7f60dd3d4f7332c59bdb7b666707fc47" ns2:_="" ns3:_="">
    <xsd:import namespace="9e5c1668-581f-4ee2-a7dd-1be719054f32"/>
    <xsd:import namespace="9d27081d-fada-4d52-881b-68f42bb9724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5c1668-581f-4ee2-a7dd-1be719054f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27081d-fada-4d52-881b-68f42bb9724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e36e335-c527-4046-a2b2-84686c9a74b9}" ma:internalName="TaxCatchAll" ma:showField="CatchAllData" ma:web="9d27081d-fada-4d52-881b-68f42bb972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5c1668-581f-4ee2-a7dd-1be719054f32">
      <Terms xmlns="http://schemas.microsoft.com/office/infopath/2007/PartnerControls"/>
    </lcf76f155ced4ddcb4097134ff3c332f>
    <TaxCatchAll xmlns="9d27081d-fada-4d52-881b-68f42bb97241"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AD16A-9F8C-4634-9742-CE801E00F763}">
  <ds:schemaRefs>
    <ds:schemaRef ds:uri="http://schemas.microsoft.com/sharepoint/v3/contenttype/forms"/>
  </ds:schemaRefs>
</ds:datastoreItem>
</file>

<file path=customXml/itemProps2.xml><?xml version="1.0" encoding="utf-8"?>
<ds:datastoreItem xmlns:ds="http://schemas.openxmlformats.org/officeDocument/2006/customXml" ds:itemID="{01060256-3F1C-4AB8-9527-BF983A846344}">
  <ds:schemaRefs>
    <ds:schemaRef ds:uri="http://www.imanage.com/work/xmlschema"/>
  </ds:schemaRefs>
</ds:datastoreItem>
</file>

<file path=customXml/itemProps3.xml><?xml version="1.0" encoding="utf-8"?>
<ds:datastoreItem xmlns:ds="http://schemas.openxmlformats.org/officeDocument/2006/customXml" ds:itemID="{FCCA0263-8851-4160-B04E-45F3F1B413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5c1668-581f-4ee2-a7dd-1be719054f32"/>
    <ds:schemaRef ds:uri="9d27081d-fada-4d52-881b-68f42bb972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526698-E973-49FE-9D94-E7DCA736F661}">
  <ds:schemaRefs>
    <ds:schemaRef ds:uri="http://schemas.microsoft.com/office/2006/metadata/properties"/>
    <ds:schemaRef ds:uri="http://schemas.microsoft.com/office/infopath/2007/PartnerControls"/>
    <ds:schemaRef ds:uri="9e5c1668-581f-4ee2-a7dd-1be719054f32"/>
    <ds:schemaRef ds:uri="9d27081d-fada-4d52-881b-68f42bb97241"/>
  </ds:schemaRefs>
</ds:datastoreItem>
</file>

<file path=customXml/itemProps5.xml><?xml version="1.0" encoding="utf-8"?>
<ds:datastoreItem xmlns:ds="http://schemas.openxmlformats.org/officeDocument/2006/customXml" ds:itemID="{641170C3-3D2C-4E37-8128-05CFFF971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17984</Words>
  <Characters>102509</Characters>
  <Application>Microsoft Office Word</Application>
  <DocSecurity>0</DocSecurity>
  <Lines>854</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2025-08-12T05:35:00Z</dcterms:created>
  <dcterms:modified xsi:type="dcterms:W3CDTF">2025-08-12T05:36:00Z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[9588342:48903641_2]</vt:lpwstr>
  </property>
  <property fmtid="{D5CDD505-2E9C-101B-9397-08002B2CF9AE}" pid="3" name="MediaServiceImageTags">
    <vt:lpwstr/>
  </property>
  <property fmtid="{D5CDD505-2E9C-101B-9397-08002B2CF9AE}" pid="4" name="ContentTypeId">
    <vt:lpwstr>0x010100984F76FEC8E3454B8FE8DAC763F1737E</vt:lpwstr>
  </property>
</Properties>
</file>