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2D" w14:textId="5823F0D1" w:rsidR="00B60939" w:rsidRPr="004A6040" w:rsidRDefault="00E50FDF" w:rsidP="004A6040">
      <w:pPr>
        <w:pStyle w:val="1-MainHeading"/>
      </w:pPr>
      <w:bookmarkStart w:id="0" w:name="_Toc124940293"/>
      <w:r>
        <w:t>7.01</w:t>
      </w:r>
      <w:r w:rsidR="00163F66">
        <w:tab/>
      </w:r>
      <w:r>
        <w:t>ABEMACICLIB</w:t>
      </w:r>
      <w:r w:rsidR="00163F66">
        <w:t>,</w:t>
      </w:r>
      <w:r w:rsidR="00163F66">
        <w:br/>
      </w:r>
      <w:r w:rsidR="002A5FCB">
        <w:t xml:space="preserve">Tablet </w:t>
      </w:r>
      <w:r>
        <w:t>50</w:t>
      </w:r>
      <w:r w:rsidR="003B3D6F">
        <w:t> </w:t>
      </w:r>
      <w:r>
        <w:t>mg</w:t>
      </w:r>
      <w:r w:rsidR="00163F66">
        <w:t>,</w:t>
      </w:r>
      <w:r>
        <w:t xml:space="preserve"> </w:t>
      </w:r>
      <w:r w:rsidR="002A5FCB">
        <w:t xml:space="preserve">Tablet </w:t>
      </w:r>
      <w:r>
        <w:t>100</w:t>
      </w:r>
      <w:r w:rsidR="003B3D6F">
        <w:t> </w:t>
      </w:r>
      <w:r>
        <w:t xml:space="preserve">mg, </w:t>
      </w:r>
      <w:r w:rsidR="002A5FCB">
        <w:t xml:space="preserve">Tablet </w:t>
      </w:r>
      <w:r>
        <w:t>150</w:t>
      </w:r>
      <w:r w:rsidR="003B3D6F">
        <w:t> </w:t>
      </w:r>
      <w:r>
        <w:t>mg</w:t>
      </w:r>
      <w:r w:rsidR="00163F66">
        <w:br/>
      </w:r>
      <w:r>
        <w:t>Verzeni</w:t>
      </w:r>
      <w:r w:rsidR="003D6CC8">
        <w:t>o®</w:t>
      </w:r>
      <w:r w:rsidR="004A6040" w:rsidRPr="004A6040">
        <w:t>,</w:t>
      </w:r>
      <w:r w:rsidR="004A6040" w:rsidRPr="004A6040">
        <w:br/>
      </w:r>
      <w:r>
        <w:t xml:space="preserve">Eli Lilly </w:t>
      </w:r>
      <w:r w:rsidR="00D967B8">
        <w:t xml:space="preserve">Australia </w:t>
      </w:r>
      <w:r>
        <w:t>Pty Ltd</w:t>
      </w:r>
      <w:r w:rsidR="00B60939" w:rsidRPr="004A6040">
        <w:t>.</w:t>
      </w:r>
      <w:bookmarkEnd w:id="0"/>
      <w:r w:rsidR="00F73E08">
        <w:t xml:space="preserve"> </w:t>
      </w:r>
    </w:p>
    <w:p w14:paraId="3947F2C0" w14:textId="77777777" w:rsidR="00B50DB8" w:rsidRPr="00B8349D" w:rsidRDefault="00B50DB8" w:rsidP="004A6040">
      <w:pPr>
        <w:pStyle w:val="2-SectionHeading"/>
      </w:pPr>
      <w:bookmarkStart w:id="1" w:name="_Toc124940295"/>
      <w:r w:rsidRPr="00B8349D">
        <w:t xml:space="preserve">Purpose of </w:t>
      </w:r>
      <w:r w:rsidR="00CD7193" w:rsidRPr="00B8349D">
        <w:t>s</w:t>
      </w:r>
      <w:r w:rsidR="00BB3A45" w:rsidRPr="00B8349D">
        <w:t>ubmission</w:t>
      </w:r>
      <w:bookmarkEnd w:id="1"/>
    </w:p>
    <w:p w14:paraId="18388D6A" w14:textId="59BBDBD9" w:rsidR="002C2775" w:rsidRPr="008B1757" w:rsidRDefault="007170DA" w:rsidP="004E18E9">
      <w:pPr>
        <w:pStyle w:val="3-BodyText"/>
      </w:pPr>
      <w:r>
        <w:t xml:space="preserve">The </w:t>
      </w:r>
      <w:r w:rsidR="000508C2">
        <w:t>Standard Re-entry</w:t>
      </w:r>
      <w:r w:rsidR="00F73E08">
        <w:t xml:space="preserve"> </w:t>
      </w:r>
      <w:r w:rsidR="009E017A">
        <w:t>re</w:t>
      </w:r>
      <w:r>
        <w:t xml:space="preserve">submission </w:t>
      </w:r>
      <w:r w:rsidRPr="004E18E9">
        <w:t xml:space="preserve">requested </w:t>
      </w:r>
      <w:r w:rsidR="00F560F1">
        <w:t>a General Schedule Authority Required (telephone/online)</w:t>
      </w:r>
      <w:r w:rsidR="008B1757" w:rsidRPr="004E18E9">
        <w:t xml:space="preserve"> listing for </w:t>
      </w:r>
      <w:r w:rsidR="00F560F1">
        <w:t>abemaciclib</w:t>
      </w:r>
      <w:r w:rsidR="00324EBE">
        <w:t xml:space="preserve">, </w:t>
      </w:r>
      <w:r w:rsidR="00324EBE" w:rsidRPr="00FA0201">
        <w:rPr>
          <w:iCs/>
        </w:rPr>
        <w:t>in combination with standard adjuvant endocrine therapy (ET)</w:t>
      </w:r>
      <w:r w:rsidR="00324EBE">
        <w:t>,</w:t>
      </w:r>
      <w:r w:rsidR="00F560F1">
        <w:t xml:space="preserve"> </w:t>
      </w:r>
      <w:r w:rsidR="008B1757" w:rsidRPr="004E18E9">
        <w:t xml:space="preserve">for </w:t>
      </w:r>
      <w:r w:rsidR="0050174E" w:rsidRPr="004E18E9">
        <w:t xml:space="preserve">the </w:t>
      </w:r>
      <w:r w:rsidR="008B1757" w:rsidRPr="004E18E9">
        <w:t xml:space="preserve">treatment of </w:t>
      </w:r>
      <w:r w:rsidR="00F560F1">
        <w:t>hormone receptor positive (HR+), human epidermal growth factor receptor 2 negative</w:t>
      </w:r>
      <w:r w:rsidR="007029FE">
        <w:t xml:space="preserve"> (HER2-)</w:t>
      </w:r>
      <w:r w:rsidR="00F560F1">
        <w:t>, lymph node</w:t>
      </w:r>
      <w:r w:rsidR="00086921">
        <w:t xml:space="preserve"> </w:t>
      </w:r>
      <w:r w:rsidR="00F560F1">
        <w:t>positive, invasive, resected early breast cancer</w:t>
      </w:r>
      <w:r w:rsidR="007029FE">
        <w:t xml:space="preserve"> (EBC)</w:t>
      </w:r>
      <w:r w:rsidR="00F560F1">
        <w:t xml:space="preserve"> at high risk of disease recurrence.</w:t>
      </w:r>
    </w:p>
    <w:p w14:paraId="4C95D0EE" w14:textId="0EC0AAA3" w:rsidR="00C2778B" w:rsidRDefault="005750C5" w:rsidP="004E18E9">
      <w:pPr>
        <w:pStyle w:val="3-BodyText"/>
      </w:pPr>
      <w:r w:rsidRPr="005750C5">
        <w:t xml:space="preserve">Listing was requested on the basis of a </w:t>
      </w:r>
      <w:r>
        <w:t>cost-effectiveness</w:t>
      </w:r>
      <w:r w:rsidRPr="005750C5">
        <w:t xml:space="preserve"> analysis versus</w:t>
      </w:r>
      <w:r>
        <w:t xml:space="preserve"> </w:t>
      </w:r>
      <w:r w:rsidR="00F21C0B">
        <w:t>ET</w:t>
      </w:r>
      <w:r w:rsidR="00F560F1">
        <w:t xml:space="preserve"> alone</w:t>
      </w:r>
      <w:r>
        <w:t>.</w:t>
      </w:r>
      <w:r w:rsidRPr="005750C5">
        <w:t xml:space="preserve"> </w:t>
      </w:r>
    </w:p>
    <w:p w14:paraId="2A7D27DC" w14:textId="0AB7EED1" w:rsidR="008B1757" w:rsidRPr="004A6040" w:rsidRDefault="00696EF9" w:rsidP="004A6040">
      <w:pPr>
        <w:pStyle w:val="TableFigureHeading"/>
        <w:rPr>
          <w:rStyle w:val="CommentReference"/>
          <w:b/>
          <w:szCs w:val="24"/>
        </w:rPr>
      </w:pPr>
      <w:r>
        <w:t xml:space="preserve">Table </w:t>
      </w:r>
      <w:fldSimple w:instr=" SEQ Table \* ARABIC ">
        <w:r w:rsidR="0001201E">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395B17" w:rsidRPr="00A518F3" w14:paraId="0B9C55B3" w14:textId="77777777" w:rsidTr="007C461A">
        <w:tc>
          <w:tcPr>
            <w:tcW w:w="1668" w:type="dxa"/>
            <w:vAlign w:val="center"/>
          </w:tcPr>
          <w:p w14:paraId="5AAA82CE" w14:textId="77777777" w:rsidR="00395B17" w:rsidRPr="00A518F3" w:rsidRDefault="00395B17" w:rsidP="007C461A">
            <w:pPr>
              <w:pStyle w:val="In-tableHeading"/>
            </w:pPr>
            <w:r w:rsidRPr="00A518F3">
              <w:t>Component</w:t>
            </w:r>
          </w:p>
        </w:tc>
        <w:tc>
          <w:tcPr>
            <w:tcW w:w="7488" w:type="dxa"/>
            <w:vAlign w:val="center"/>
          </w:tcPr>
          <w:p w14:paraId="5A69101F" w14:textId="77777777" w:rsidR="00395B17" w:rsidRPr="00A518F3" w:rsidRDefault="00395B17" w:rsidP="007C461A">
            <w:pPr>
              <w:pStyle w:val="In-tableHeading"/>
            </w:pPr>
            <w:r w:rsidRPr="00A518F3">
              <w:t>Description</w:t>
            </w:r>
          </w:p>
        </w:tc>
      </w:tr>
      <w:tr w:rsidR="00395B17" w14:paraId="3AB0A8F4" w14:textId="77777777" w:rsidTr="000B72D3">
        <w:tc>
          <w:tcPr>
            <w:tcW w:w="1668" w:type="dxa"/>
            <w:vAlign w:val="center"/>
          </w:tcPr>
          <w:p w14:paraId="07905EBE" w14:textId="77777777" w:rsidR="00395B17" w:rsidRDefault="00395B17" w:rsidP="007C461A">
            <w:pPr>
              <w:pStyle w:val="TableText0"/>
            </w:pPr>
            <w:r>
              <w:t>Population</w:t>
            </w:r>
          </w:p>
        </w:tc>
        <w:tc>
          <w:tcPr>
            <w:tcW w:w="7488" w:type="dxa"/>
            <w:shd w:val="clear" w:color="auto" w:fill="95B3D7" w:themeFill="accent1" w:themeFillTint="99"/>
          </w:tcPr>
          <w:p w14:paraId="488F40AB" w14:textId="77777777" w:rsidR="00395B17" w:rsidRPr="00F9290D" w:rsidRDefault="00395B17" w:rsidP="007C461A">
            <w:pPr>
              <w:pStyle w:val="TableText0"/>
            </w:pPr>
            <w:r w:rsidRPr="00F9290D">
              <w:t>Adult patients with HR+, HER2- lymph node positive, invasive, resected, early-stage breast cancer and high risk of recurrence</w:t>
            </w:r>
          </w:p>
        </w:tc>
      </w:tr>
      <w:tr w:rsidR="00395B17" w14:paraId="6DFFEF60" w14:textId="77777777" w:rsidTr="000B72D3">
        <w:tc>
          <w:tcPr>
            <w:tcW w:w="1668" w:type="dxa"/>
            <w:vAlign w:val="center"/>
          </w:tcPr>
          <w:p w14:paraId="264E6166" w14:textId="77777777" w:rsidR="00395B17" w:rsidRDefault="00395B17" w:rsidP="007C461A">
            <w:pPr>
              <w:pStyle w:val="TableText0"/>
            </w:pPr>
            <w:r>
              <w:t>Intervention</w:t>
            </w:r>
          </w:p>
        </w:tc>
        <w:tc>
          <w:tcPr>
            <w:tcW w:w="7488" w:type="dxa"/>
            <w:shd w:val="clear" w:color="auto" w:fill="95B3D7" w:themeFill="accent1" w:themeFillTint="99"/>
            <w:vAlign w:val="center"/>
          </w:tcPr>
          <w:p w14:paraId="27FB47D8" w14:textId="77777777" w:rsidR="00395B17" w:rsidRPr="00F9290D" w:rsidRDefault="00395B17" w:rsidP="007C461A">
            <w:pPr>
              <w:pStyle w:val="TableText0"/>
            </w:pPr>
            <w:r w:rsidRPr="00F9290D">
              <w:t>Abemaciclib (ABE), 150mg twice daily (recommended dose) in combination with standard adjuvant endocrine therapy (ET)</w:t>
            </w:r>
          </w:p>
        </w:tc>
      </w:tr>
      <w:tr w:rsidR="00395B17" w14:paraId="7F94AE34" w14:textId="77777777" w:rsidTr="000B72D3">
        <w:tc>
          <w:tcPr>
            <w:tcW w:w="1668" w:type="dxa"/>
            <w:vAlign w:val="center"/>
          </w:tcPr>
          <w:p w14:paraId="0E8F21C6" w14:textId="77777777" w:rsidR="00395B17" w:rsidRDefault="00395B17" w:rsidP="007C461A">
            <w:pPr>
              <w:pStyle w:val="TableText0"/>
            </w:pPr>
            <w:r>
              <w:t>Comparator</w:t>
            </w:r>
          </w:p>
        </w:tc>
        <w:tc>
          <w:tcPr>
            <w:tcW w:w="7488" w:type="dxa"/>
            <w:shd w:val="clear" w:color="auto" w:fill="95B3D7" w:themeFill="accent1" w:themeFillTint="99"/>
            <w:vAlign w:val="center"/>
          </w:tcPr>
          <w:p w14:paraId="240F71FD" w14:textId="25A1D2F1" w:rsidR="00395B17" w:rsidRPr="00F9290D" w:rsidRDefault="00395B17" w:rsidP="007C461A">
            <w:pPr>
              <w:pStyle w:val="TableText0"/>
            </w:pPr>
            <w:r w:rsidRPr="00F9290D">
              <w:t xml:space="preserve">Adjuvant </w:t>
            </w:r>
            <w:r w:rsidR="00105B81">
              <w:t>e</w:t>
            </w:r>
            <w:r w:rsidRPr="00F9290D">
              <w:t>ndocrine therapy alone, presenting Standard of Care (SoC)</w:t>
            </w:r>
          </w:p>
        </w:tc>
      </w:tr>
      <w:tr w:rsidR="00A519E4" w14:paraId="476E54B8" w14:textId="77777777" w:rsidTr="00A519E4">
        <w:tc>
          <w:tcPr>
            <w:tcW w:w="1668" w:type="dxa"/>
            <w:vAlign w:val="center"/>
          </w:tcPr>
          <w:p w14:paraId="7021BC62" w14:textId="24B416F4" w:rsidR="00A519E4" w:rsidRDefault="00A519E4" w:rsidP="007C461A">
            <w:pPr>
              <w:pStyle w:val="TableText0"/>
            </w:pPr>
            <w:r>
              <w:t>Outcomes</w:t>
            </w:r>
          </w:p>
        </w:tc>
        <w:tc>
          <w:tcPr>
            <w:tcW w:w="7488" w:type="dxa"/>
            <w:shd w:val="clear" w:color="auto" w:fill="auto"/>
            <w:vAlign w:val="center"/>
          </w:tcPr>
          <w:p w14:paraId="698BD8F9" w14:textId="77777777" w:rsidR="00A519E4" w:rsidRDefault="00A519E4" w:rsidP="007C461A">
            <w:pPr>
              <w:pStyle w:val="TableText0"/>
            </w:pPr>
            <w:r w:rsidRPr="00A519E4">
              <w:rPr>
                <w:shd w:val="clear" w:color="auto" w:fill="95B3D7" w:themeFill="accent1" w:themeFillTint="99"/>
              </w:rPr>
              <w:t>Primary endpoint: IDFS</w:t>
            </w:r>
          </w:p>
          <w:p w14:paraId="350FBD59" w14:textId="77777777" w:rsidR="00A519E4" w:rsidRPr="00F9290D" w:rsidRDefault="00A519E4" w:rsidP="00A519E4">
            <w:pPr>
              <w:pStyle w:val="Table"/>
              <w:keepNext/>
              <w:jc w:val="both"/>
              <w:rPr>
                <w:rFonts w:ascii="Arial Narrow" w:hAnsi="Arial Narrow"/>
              </w:rPr>
            </w:pPr>
            <w:r w:rsidRPr="000B72D3">
              <w:rPr>
                <w:rFonts w:ascii="Arial Narrow" w:hAnsi="Arial Narrow"/>
                <w:shd w:val="clear" w:color="auto" w:fill="95B3D7" w:themeFill="accent1" w:themeFillTint="99"/>
              </w:rPr>
              <w:t>Secondary endpoints: DRFS</w:t>
            </w:r>
            <w:r w:rsidRPr="00F9290D">
              <w:rPr>
                <w:rFonts w:ascii="Arial Narrow" w:hAnsi="Arial Narrow"/>
              </w:rPr>
              <w:t xml:space="preserve">, </w:t>
            </w:r>
            <w:r w:rsidRPr="00EC3596">
              <w:rPr>
                <w:rFonts w:ascii="Arial Narrow" w:hAnsi="Arial Narrow"/>
              </w:rPr>
              <w:t>OS</w:t>
            </w:r>
          </w:p>
          <w:p w14:paraId="59450219" w14:textId="37DFC098" w:rsidR="00A519E4" w:rsidRPr="00F9290D" w:rsidRDefault="00A519E4" w:rsidP="00A519E4">
            <w:pPr>
              <w:pStyle w:val="TableText0"/>
            </w:pPr>
            <w:r w:rsidRPr="000B72D3">
              <w:rPr>
                <w:shd w:val="clear" w:color="auto" w:fill="95B3D7" w:themeFill="accent1" w:themeFillTint="99"/>
              </w:rPr>
              <w:t>Health-related Quality of Life (HRQoL)</w:t>
            </w:r>
          </w:p>
        </w:tc>
      </w:tr>
      <w:tr w:rsidR="00395B17" w14:paraId="563AB842" w14:textId="77777777" w:rsidTr="000B72D3">
        <w:tc>
          <w:tcPr>
            <w:tcW w:w="1668" w:type="dxa"/>
            <w:vAlign w:val="center"/>
          </w:tcPr>
          <w:p w14:paraId="60FA3B28" w14:textId="77777777" w:rsidR="00395B17" w:rsidRDefault="00395B17" w:rsidP="007C461A">
            <w:pPr>
              <w:pStyle w:val="TableText0"/>
            </w:pPr>
            <w:r>
              <w:t>Clinical claim</w:t>
            </w:r>
          </w:p>
        </w:tc>
        <w:tc>
          <w:tcPr>
            <w:tcW w:w="7488" w:type="dxa"/>
            <w:shd w:val="clear" w:color="auto" w:fill="95B3D7" w:themeFill="accent1" w:themeFillTint="99"/>
            <w:vAlign w:val="center"/>
          </w:tcPr>
          <w:p w14:paraId="7ABC6A82" w14:textId="77777777" w:rsidR="00395B17" w:rsidRPr="00F9290D" w:rsidRDefault="00395B17" w:rsidP="007C461A">
            <w:pPr>
              <w:pStyle w:val="Table"/>
              <w:keepNext/>
              <w:jc w:val="both"/>
              <w:rPr>
                <w:rFonts w:ascii="Arial Narrow" w:hAnsi="Arial Narrow"/>
              </w:rPr>
            </w:pPr>
            <w:r w:rsidRPr="00F9290D">
              <w:rPr>
                <w:rFonts w:ascii="Arial Narrow" w:hAnsi="Arial Narrow"/>
              </w:rPr>
              <w:t xml:space="preserve">In the target population described above: </w:t>
            </w:r>
          </w:p>
          <w:p w14:paraId="294EFC88" w14:textId="77777777" w:rsidR="00395B17" w:rsidRPr="00F9290D" w:rsidRDefault="00395B17" w:rsidP="007C461A">
            <w:pPr>
              <w:pStyle w:val="Table"/>
              <w:keepNext/>
              <w:jc w:val="both"/>
              <w:rPr>
                <w:rFonts w:ascii="Arial Narrow" w:hAnsi="Arial Narrow"/>
              </w:rPr>
            </w:pPr>
            <w:r w:rsidRPr="00F9290D">
              <w:rPr>
                <w:rFonts w:ascii="Arial Narrow" w:hAnsi="Arial Narrow"/>
              </w:rPr>
              <w:t>ABE + ET provides superior effectiveness to ET alone and ABE + ET provides manageable safety to ET alone</w:t>
            </w:r>
          </w:p>
        </w:tc>
      </w:tr>
    </w:tbl>
    <w:p w14:paraId="6F73B1BD" w14:textId="0D8EE495" w:rsidR="00395B17" w:rsidRDefault="00395B17" w:rsidP="00395B17">
      <w:pPr>
        <w:pStyle w:val="FooterTableFigure"/>
      </w:pPr>
      <w:r>
        <w:t>Source: Table 1</w:t>
      </w:r>
      <w:r w:rsidR="002A5FCB">
        <w:t>-</w:t>
      </w:r>
      <w:r>
        <w:t xml:space="preserve">1, p34 </w:t>
      </w:r>
      <w:r w:rsidRPr="00D13A3E">
        <w:t xml:space="preserve">of the </w:t>
      </w:r>
      <w:r w:rsidR="006079C4">
        <w:t>re</w:t>
      </w:r>
      <w:r>
        <w:t>submission.</w:t>
      </w:r>
    </w:p>
    <w:p w14:paraId="4476A02A" w14:textId="0A1C2D0E" w:rsidR="00395B17" w:rsidRDefault="00395B17" w:rsidP="00395B17">
      <w:pPr>
        <w:pStyle w:val="FooterTableFigure"/>
      </w:pPr>
      <w:r w:rsidRPr="000F0654">
        <w:t>ABE</w:t>
      </w:r>
      <w:r>
        <w:t xml:space="preserve"> =</w:t>
      </w:r>
      <w:r w:rsidRPr="000F0654">
        <w:t xml:space="preserve"> Abemaciclib</w:t>
      </w:r>
      <w:r>
        <w:t>,</w:t>
      </w:r>
      <w:r w:rsidRPr="000F0654">
        <w:t xml:space="preserve"> DRFS</w:t>
      </w:r>
      <w:r>
        <w:t xml:space="preserve"> =</w:t>
      </w:r>
      <w:r w:rsidRPr="000F0654">
        <w:t xml:space="preserve"> Distant Relapse Free Survival</w:t>
      </w:r>
      <w:r>
        <w:t>,</w:t>
      </w:r>
      <w:r w:rsidRPr="000F0654">
        <w:t xml:space="preserve"> ET</w:t>
      </w:r>
      <w:r>
        <w:t xml:space="preserve"> =</w:t>
      </w:r>
      <w:r w:rsidRPr="000F0654">
        <w:t xml:space="preserve"> Endocrine therapy</w:t>
      </w:r>
      <w:r>
        <w:t xml:space="preserve">, </w:t>
      </w:r>
      <w:r w:rsidRPr="008D5824">
        <w:t>HER2- = human epidermal growth factor 2 negative HR+ = hormone receptor positive;</w:t>
      </w:r>
      <w:r>
        <w:t xml:space="preserve"> </w:t>
      </w:r>
      <w:r w:rsidRPr="000F0654">
        <w:t>HRQoL</w:t>
      </w:r>
      <w:r>
        <w:t xml:space="preserve"> = </w:t>
      </w:r>
      <w:r w:rsidRPr="000F0654">
        <w:t>Health Related Quality of Life</w:t>
      </w:r>
      <w:r>
        <w:t>,</w:t>
      </w:r>
      <w:r w:rsidRPr="000F0654">
        <w:t xml:space="preserve"> EBC</w:t>
      </w:r>
      <w:r>
        <w:t xml:space="preserve"> =</w:t>
      </w:r>
      <w:r w:rsidRPr="000F0654">
        <w:t xml:space="preserve"> early breast cancer</w:t>
      </w:r>
      <w:r>
        <w:t>,</w:t>
      </w:r>
      <w:r w:rsidRPr="000F0654">
        <w:t xml:space="preserve"> IDFS</w:t>
      </w:r>
      <w:r>
        <w:t xml:space="preserve"> =</w:t>
      </w:r>
      <w:r w:rsidRPr="000F0654">
        <w:t xml:space="preserve"> invasive disease-free survival</w:t>
      </w:r>
      <w:r>
        <w:t xml:space="preserve">; </w:t>
      </w:r>
      <w:r w:rsidR="00105B81">
        <w:t xml:space="preserve">OS = overall survival; </w:t>
      </w:r>
      <w:r>
        <w:t xml:space="preserve">SoC = </w:t>
      </w:r>
      <w:r w:rsidRPr="00F9290D">
        <w:t>Standard of Care</w:t>
      </w:r>
    </w:p>
    <w:p w14:paraId="15EB3284" w14:textId="41370EEE" w:rsidR="00395B17" w:rsidRDefault="00395B17" w:rsidP="00395B17">
      <w:pPr>
        <w:pStyle w:val="FooterTableFigure"/>
      </w:pPr>
      <w:r w:rsidRPr="00787A0B">
        <w:rPr>
          <w:shd w:val="clear" w:color="auto" w:fill="8DB3E2" w:themeFill="text2" w:themeFillTint="66"/>
        </w:rPr>
        <w:t>Blue shading</w:t>
      </w:r>
      <w:r w:rsidRPr="00787A0B">
        <w:t xml:space="preserve"> indicates data previously seen by the PBAC. OS has been added as a relevant outcome</w:t>
      </w:r>
      <w:r w:rsidR="007E1496" w:rsidRPr="00787A0B">
        <w:t xml:space="preserve"> in the key components. </w:t>
      </w:r>
    </w:p>
    <w:p w14:paraId="176DB660" w14:textId="1BC8B04C" w:rsidR="005C25FF" w:rsidRPr="00407F2D" w:rsidRDefault="005C25FF" w:rsidP="004A6040">
      <w:pPr>
        <w:pStyle w:val="2-SectionHeading"/>
      </w:pPr>
      <w:bookmarkStart w:id="2" w:name="_Toc124940296"/>
      <w:r w:rsidRPr="00407F2D">
        <w:t>Background</w:t>
      </w:r>
      <w:bookmarkEnd w:id="2"/>
    </w:p>
    <w:p w14:paraId="66FA47CB" w14:textId="77777777" w:rsidR="005C25FF" w:rsidRPr="004151CF" w:rsidRDefault="005C25FF" w:rsidP="004A6040">
      <w:pPr>
        <w:pStyle w:val="4-SubsectionHeading"/>
      </w:pPr>
      <w:bookmarkStart w:id="3" w:name="_Toc22897638"/>
      <w:bookmarkStart w:id="4" w:name="_Toc124940297"/>
      <w:r w:rsidRPr="004151CF">
        <w:t>Registration status</w:t>
      </w:r>
      <w:bookmarkEnd w:id="3"/>
      <w:bookmarkEnd w:id="4"/>
    </w:p>
    <w:p w14:paraId="2AA120CF" w14:textId="26A3AA03" w:rsidR="00395B17" w:rsidRDefault="00395B17" w:rsidP="00395B17">
      <w:pPr>
        <w:pStyle w:val="3-BodyText"/>
      </w:pPr>
      <w:r>
        <w:t>Abemaciclib</w:t>
      </w:r>
      <w:r w:rsidR="005C25FF" w:rsidRPr="004E18E9">
        <w:t xml:space="preserve"> </w:t>
      </w:r>
      <w:r>
        <w:t xml:space="preserve">in combination with </w:t>
      </w:r>
      <w:r w:rsidR="00F21C0B">
        <w:t>ET</w:t>
      </w:r>
      <w:r>
        <w:t xml:space="preserve"> </w:t>
      </w:r>
      <w:r w:rsidR="005C25FF" w:rsidRPr="004E18E9">
        <w:t xml:space="preserve">was </w:t>
      </w:r>
      <w:r w:rsidR="00116F2F">
        <w:t xml:space="preserve">registered with the </w:t>
      </w:r>
      <w:r w:rsidR="00EC3596">
        <w:t>Therapeutic Goods Administration (</w:t>
      </w:r>
      <w:r w:rsidR="005C25FF" w:rsidRPr="004E18E9">
        <w:t>TGA</w:t>
      </w:r>
      <w:r w:rsidR="00EC3596">
        <w:t>)</w:t>
      </w:r>
      <w:r w:rsidR="005C25FF" w:rsidRPr="004E18E9">
        <w:t xml:space="preserve"> on </w:t>
      </w:r>
      <w:r>
        <w:t>the 9 June 2022</w:t>
      </w:r>
      <w:r w:rsidR="005C25FF" w:rsidRPr="004E18E9">
        <w:t xml:space="preserve"> for </w:t>
      </w:r>
      <w:r>
        <w:t>the adjuvant treatment of patients with HR</w:t>
      </w:r>
      <w:r w:rsidR="007029FE">
        <w:t>+</w:t>
      </w:r>
      <w:r>
        <w:t>, HER2</w:t>
      </w:r>
      <w:r w:rsidR="007029FE">
        <w:t>-</w:t>
      </w:r>
      <w:r>
        <w:t xml:space="preserve">, </w:t>
      </w:r>
      <w:r w:rsidR="007029FE">
        <w:t>node positive</w:t>
      </w:r>
      <w:r w:rsidR="00F21C0B">
        <w:t xml:space="preserve"> EBC</w:t>
      </w:r>
      <w:r>
        <w:t xml:space="preserve"> at high risk of recurrence</w:t>
      </w:r>
      <w:r w:rsidR="00CF3A1B">
        <w:t>.</w:t>
      </w:r>
      <w:r w:rsidR="000508C2">
        <w:t xml:space="preserve"> </w:t>
      </w:r>
    </w:p>
    <w:p w14:paraId="0FBCC26A" w14:textId="5A844BF4" w:rsidR="00395B17" w:rsidRPr="00015174" w:rsidRDefault="00395B17" w:rsidP="00395B17">
      <w:pPr>
        <w:pStyle w:val="3-BodyText"/>
      </w:pPr>
      <w:r>
        <w:t xml:space="preserve">Abemaciclib also has TGA registration for </w:t>
      </w:r>
      <w:r w:rsidRPr="0089278F">
        <w:rPr>
          <w:rFonts w:ascii="Calibri" w:hAnsi="Calibri" w:cs="Calibri"/>
          <w:iCs/>
        </w:rPr>
        <w:t>the treatment of HR</w:t>
      </w:r>
      <w:r w:rsidR="00B6441A">
        <w:rPr>
          <w:rFonts w:ascii="Calibri" w:hAnsi="Calibri" w:cs="Calibri"/>
          <w:iCs/>
        </w:rPr>
        <w:t>+</w:t>
      </w:r>
      <w:r w:rsidRPr="0089278F">
        <w:rPr>
          <w:rFonts w:ascii="Calibri" w:hAnsi="Calibri" w:cs="Calibri"/>
          <w:iCs/>
        </w:rPr>
        <w:t>, HER2</w:t>
      </w:r>
      <w:r w:rsidR="007029FE">
        <w:rPr>
          <w:rFonts w:ascii="Calibri" w:hAnsi="Calibri" w:cs="Calibri"/>
          <w:iCs/>
        </w:rPr>
        <w:t>-</w:t>
      </w:r>
      <w:r w:rsidRPr="0089278F">
        <w:rPr>
          <w:rFonts w:ascii="Calibri" w:hAnsi="Calibri" w:cs="Calibri"/>
          <w:iCs/>
        </w:rPr>
        <w:t xml:space="preserve"> locally advanced or metastatic breast cancer in combination with an aromatase inhibitor </w:t>
      </w:r>
      <w:r w:rsidR="007029FE">
        <w:rPr>
          <w:rFonts w:ascii="Calibri" w:hAnsi="Calibri" w:cs="Calibri"/>
          <w:iCs/>
        </w:rPr>
        <w:t xml:space="preserve">(AI) </w:t>
      </w:r>
      <w:r w:rsidRPr="0089278F">
        <w:rPr>
          <w:rFonts w:ascii="Calibri" w:hAnsi="Calibri" w:cs="Calibri"/>
          <w:iCs/>
        </w:rPr>
        <w:t xml:space="preserve">or fulvestrant as initial endocrine-based therapy or following prior </w:t>
      </w:r>
      <w:r w:rsidR="007029FE">
        <w:rPr>
          <w:rFonts w:ascii="Calibri" w:hAnsi="Calibri" w:cs="Calibri"/>
          <w:iCs/>
        </w:rPr>
        <w:t>ET</w:t>
      </w:r>
      <w:r w:rsidRPr="0089278F">
        <w:rPr>
          <w:rFonts w:ascii="Calibri" w:hAnsi="Calibri" w:cs="Calibri"/>
          <w:iCs/>
        </w:rPr>
        <w:t>.</w:t>
      </w:r>
    </w:p>
    <w:p w14:paraId="06D05D7D" w14:textId="621E3603" w:rsidR="005C25FF" w:rsidRPr="00621ADA" w:rsidRDefault="005C25FF" w:rsidP="004E18E9">
      <w:pPr>
        <w:pStyle w:val="4-SubsectionHeading"/>
      </w:pPr>
      <w:bookmarkStart w:id="5" w:name="_Toc22897639"/>
      <w:bookmarkStart w:id="6" w:name="_Toc124940298"/>
      <w:r w:rsidRPr="00621ADA">
        <w:lastRenderedPageBreak/>
        <w:t>Previous PBAC consideration</w:t>
      </w:r>
      <w:bookmarkEnd w:id="5"/>
      <w:bookmarkEnd w:id="6"/>
    </w:p>
    <w:p w14:paraId="0A3FE352" w14:textId="36345BA9" w:rsidR="005C25FF" w:rsidRPr="00B6441A" w:rsidRDefault="00105B81" w:rsidP="001B0E9F">
      <w:pPr>
        <w:pStyle w:val="3-BodyText"/>
      </w:pPr>
      <w:r>
        <w:rPr>
          <w:rFonts w:ascii="Calibri" w:hAnsi="Calibri" w:cs="Calibri"/>
        </w:rPr>
        <w:t>A</w:t>
      </w:r>
      <w:r w:rsidR="00FA2631">
        <w:rPr>
          <w:rFonts w:ascii="Calibri" w:hAnsi="Calibri" w:cs="Calibri"/>
        </w:rPr>
        <w:t>bemaciclib</w:t>
      </w:r>
      <w:r w:rsidR="001B0E9F" w:rsidRPr="001B0E9F">
        <w:rPr>
          <w:rFonts w:ascii="Calibri" w:hAnsi="Calibri" w:cs="Calibri"/>
        </w:rPr>
        <w:t xml:space="preserve"> was considered </w:t>
      </w:r>
      <w:r w:rsidR="00B6441A">
        <w:rPr>
          <w:rFonts w:ascii="Calibri" w:hAnsi="Calibri" w:cs="Calibri"/>
        </w:rPr>
        <w:t>but</w:t>
      </w:r>
      <w:r w:rsidR="00B6441A" w:rsidRPr="001B0E9F">
        <w:rPr>
          <w:rFonts w:ascii="Calibri" w:hAnsi="Calibri" w:cs="Calibri"/>
        </w:rPr>
        <w:t xml:space="preserve"> </w:t>
      </w:r>
      <w:r w:rsidR="001B0E9F" w:rsidRPr="001B0E9F">
        <w:rPr>
          <w:rFonts w:ascii="Calibri" w:hAnsi="Calibri" w:cs="Calibri"/>
        </w:rPr>
        <w:t>not recommended by the PBAC in March 2022 for the use in combination with ET, for the adjuvant treatment of patients with HR</w:t>
      </w:r>
      <w:r w:rsidR="007029FE">
        <w:rPr>
          <w:rFonts w:ascii="Calibri" w:hAnsi="Calibri" w:cs="Calibri"/>
        </w:rPr>
        <w:t>+</w:t>
      </w:r>
      <w:r w:rsidR="001B0E9F" w:rsidRPr="001B0E9F">
        <w:rPr>
          <w:rFonts w:ascii="Calibri" w:hAnsi="Calibri" w:cs="Calibri"/>
        </w:rPr>
        <w:t>, HER2</w:t>
      </w:r>
      <w:r w:rsidR="007029FE">
        <w:rPr>
          <w:rFonts w:ascii="Calibri" w:hAnsi="Calibri" w:cs="Calibri"/>
        </w:rPr>
        <w:t>-</w:t>
      </w:r>
      <w:r w:rsidR="001B0E9F" w:rsidRPr="001B0E9F">
        <w:rPr>
          <w:rFonts w:ascii="Calibri" w:hAnsi="Calibri" w:cs="Calibri"/>
        </w:rPr>
        <w:t>, node</w:t>
      </w:r>
      <w:r w:rsidR="007029FE">
        <w:rPr>
          <w:rFonts w:ascii="Calibri" w:hAnsi="Calibri" w:cs="Calibri"/>
        </w:rPr>
        <w:t xml:space="preserve"> </w:t>
      </w:r>
      <w:r w:rsidR="001B0E9F" w:rsidRPr="001B0E9F">
        <w:rPr>
          <w:rFonts w:ascii="Calibri" w:hAnsi="Calibri" w:cs="Calibri"/>
        </w:rPr>
        <w:t xml:space="preserve">positive, invasive, resected, </w:t>
      </w:r>
      <w:r w:rsidR="007029FE">
        <w:rPr>
          <w:rFonts w:ascii="Calibri" w:hAnsi="Calibri" w:cs="Calibri"/>
        </w:rPr>
        <w:t>EBC</w:t>
      </w:r>
      <w:r w:rsidR="001B0E9F" w:rsidRPr="001B0E9F">
        <w:rPr>
          <w:rFonts w:ascii="Calibri" w:hAnsi="Calibri" w:cs="Calibri"/>
        </w:rPr>
        <w:t xml:space="preserve"> a</w:t>
      </w:r>
      <w:r w:rsidR="007029FE">
        <w:rPr>
          <w:rFonts w:ascii="Calibri" w:hAnsi="Calibri" w:cs="Calibri"/>
        </w:rPr>
        <w:t>t</w:t>
      </w:r>
      <w:r w:rsidR="001B0E9F" w:rsidRPr="001B0E9F">
        <w:rPr>
          <w:rFonts w:ascii="Calibri" w:hAnsi="Calibri" w:cs="Calibri"/>
        </w:rPr>
        <w:t xml:space="preserve"> high risk of recurrence</w:t>
      </w:r>
      <w:r w:rsidR="007129E9" w:rsidRPr="00B6441A">
        <w:rPr>
          <w:snapToGrid/>
          <w:lang w:val="en-US"/>
        </w:rPr>
        <w:t>.</w:t>
      </w:r>
      <w:r w:rsidR="00B6441A">
        <w:rPr>
          <w:snapToGrid/>
          <w:lang w:val="en-US"/>
        </w:rPr>
        <w:t xml:space="preserve"> The main PBAC concerns and how they were addressed in the resubmission are </w:t>
      </w:r>
      <w:r w:rsidR="00B6441A" w:rsidRPr="00B6441A">
        <w:rPr>
          <w:snapToGrid/>
        </w:rPr>
        <w:t xml:space="preserve">summarised </w:t>
      </w:r>
      <w:r w:rsidR="00B6441A">
        <w:rPr>
          <w:snapToGrid/>
          <w:lang w:val="en-US"/>
        </w:rPr>
        <w:t xml:space="preserve">in </w:t>
      </w:r>
      <w:r w:rsidR="00B6441A">
        <w:rPr>
          <w:snapToGrid/>
          <w:lang w:val="en-US"/>
        </w:rPr>
        <w:fldChar w:fldCharType="begin"/>
      </w:r>
      <w:r w:rsidR="00B6441A">
        <w:rPr>
          <w:snapToGrid/>
          <w:lang w:val="en-US"/>
        </w:rPr>
        <w:instrText xml:space="preserve"> REF _Ref124172041 \h </w:instrText>
      </w:r>
      <w:r w:rsidR="00B6441A">
        <w:rPr>
          <w:snapToGrid/>
          <w:lang w:val="en-US"/>
        </w:rPr>
      </w:r>
      <w:r w:rsidR="00B6441A">
        <w:rPr>
          <w:snapToGrid/>
          <w:lang w:val="en-US"/>
        </w:rPr>
        <w:fldChar w:fldCharType="separate"/>
      </w:r>
      <w:r w:rsidR="0001201E">
        <w:t xml:space="preserve">Table </w:t>
      </w:r>
      <w:r w:rsidR="0001201E">
        <w:rPr>
          <w:noProof/>
        </w:rPr>
        <w:t>2</w:t>
      </w:r>
      <w:r w:rsidR="00B6441A">
        <w:rPr>
          <w:snapToGrid/>
          <w:lang w:val="en-US"/>
        </w:rPr>
        <w:fldChar w:fldCharType="end"/>
      </w:r>
      <w:r w:rsidR="00B6441A">
        <w:rPr>
          <w:snapToGrid/>
          <w:lang w:val="en-US"/>
        </w:rPr>
        <w:t xml:space="preserve">. </w:t>
      </w:r>
    </w:p>
    <w:p w14:paraId="500076BD" w14:textId="41178FAC" w:rsidR="005C25FF" w:rsidRPr="007129E9" w:rsidRDefault="00696EF9" w:rsidP="002E4F02">
      <w:pPr>
        <w:pStyle w:val="TableFigureHeading"/>
        <w:rPr>
          <w:rStyle w:val="CommentReference"/>
          <w:b/>
          <w:szCs w:val="24"/>
        </w:rPr>
      </w:pPr>
      <w:bookmarkStart w:id="7" w:name="_Ref124172041"/>
      <w:r>
        <w:t xml:space="preserve">Table </w:t>
      </w:r>
      <w:fldSimple w:instr=" SEQ Table \* ARABIC ">
        <w:r w:rsidR="0001201E">
          <w:rPr>
            <w:noProof/>
          </w:rPr>
          <w:t>2</w:t>
        </w:r>
      </w:fldSimple>
      <w:bookmarkEnd w:id="7"/>
      <w:r w:rsidRPr="007129E9">
        <w:t>:</w:t>
      </w:r>
      <w:r w:rsidR="005C25FF" w:rsidRPr="007129E9">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3827"/>
        <w:gridCol w:w="3353"/>
      </w:tblGrid>
      <w:tr w:rsidR="007129E9" w:rsidRPr="007129E9" w14:paraId="04B65965" w14:textId="77777777" w:rsidTr="0074025F">
        <w:trPr>
          <w:cantSplit/>
          <w:tblHeader/>
        </w:trPr>
        <w:tc>
          <w:tcPr>
            <w:tcW w:w="1019" w:type="pct"/>
            <w:vAlign w:val="center"/>
          </w:tcPr>
          <w:p w14:paraId="3CD8021C" w14:textId="77777777" w:rsidR="005C25FF" w:rsidRPr="007129E9" w:rsidRDefault="005C25FF" w:rsidP="00E0492B">
            <w:pPr>
              <w:pStyle w:val="In-tableHeading"/>
              <w:keepNext w:val="0"/>
            </w:pPr>
            <w:r w:rsidRPr="007129E9">
              <w:t>Component</w:t>
            </w:r>
          </w:p>
        </w:tc>
        <w:tc>
          <w:tcPr>
            <w:tcW w:w="2122" w:type="pct"/>
            <w:vAlign w:val="center"/>
          </w:tcPr>
          <w:p w14:paraId="45D5B0A8" w14:textId="12CD9EE9" w:rsidR="005C25FF" w:rsidRPr="007129E9" w:rsidRDefault="005C25FF" w:rsidP="00E0492B">
            <w:pPr>
              <w:pStyle w:val="In-tableHeading"/>
              <w:keepNext w:val="0"/>
            </w:pPr>
            <w:r w:rsidRPr="007129E9">
              <w:t>Matter of concern</w:t>
            </w:r>
            <w:r w:rsidR="00344F90">
              <w:t xml:space="preserve"> (March 2022)</w:t>
            </w:r>
          </w:p>
        </w:tc>
        <w:tc>
          <w:tcPr>
            <w:tcW w:w="1859" w:type="pct"/>
            <w:vAlign w:val="center"/>
          </w:tcPr>
          <w:p w14:paraId="31E6F79F" w14:textId="77777777" w:rsidR="005C25FF" w:rsidRPr="00BD3048" w:rsidRDefault="005C25FF" w:rsidP="00E0492B">
            <w:pPr>
              <w:pStyle w:val="In-tableHeading"/>
              <w:keepNext w:val="0"/>
            </w:pPr>
            <w:r w:rsidRPr="00BD3048">
              <w:t>How the resubmission addresses it</w:t>
            </w:r>
          </w:p>
        </w:tc>
      </w:tr>
      <w:tr w:rsidR="007129E9" w:rsidRPr="00787A0B" w14:paraId="1669B325" w14:textId="77777777" w:rsidTr="0074025F">
        <w:trPr>
          <w:cantSplit/>
        </w:trPr>
        <w:tc>
          <w:tcPr>
            <w:tcW w:w="1019" w:type="pct"/>
            <w:vAlign w:val="center"/>
          </w:tcPr>
          <w:p w14:paraId="78C30897" w14:textId="77777777" w:rsidR="005C25FF" w:rsidRPr="00787A0B" w:rsidRDefault="005C25FF" w:rsidP="00E0492B">
            <w:pPr>
              <w:pStyle w:val="TableText0"/>
              <w:keepNext w:val="0"/>
            </w:pPr>
            <w:r w:rsidRPr="00787A0B">
              <w:t>Clinical place in therapy</w:t>
            </w:r>
          </w:p>
        </w:tc>
        <w:tc>
          <w:tcPr>
            <w:tcW w:w="2122" w:type="pct"/>
          </w:tcPr>
          <w:p w14:paraId="6D2D8E13" w14:textId="1474E4B7" w:rsidR="007231C5" w:rsidRPr="00787A0B" w:rsidRDefault="007129E9" w:rsidP="007231C5">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rPr>
                <w:rFonts w:eastAsia="Times New Roman" w:cs="Arial"/>
                <w:bCs w:val="0"/>
                <w:snapToGrid w:val="0"/>
                <w:szCs w:val="20"/>
              </w:rPr>
              <w:t>considered that abemaciclib treatment in early breast cancer may lead to partial replacement of treatment with CDK4/6 inhibitors in combination with fulvestrant in later stages of disease, potentially leading to a reduction in future treatment options</w:t>
            </w:r>
            <w:r w:rsidR="00C57CCF" w:rsidRPr="00787A0B">
              <w:rPr>
                <w:rFonts w:eastAsia="Times New Roman" w:cs="Arial"/>
                <w:bCs w:val="0"/>
                <w:snapToGrid w:val="0"/>
                <w:szCs w:val="20"/>
              </w:rPr>
              <w:t xml:space="preserve"> (Para 7.5,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C57CCF" w:rsidRPr="00787A0B">
              <w:rPr>
                <w:rFonts w:eastAsia="Times New Roman" w:cs="Arial"/>
                <w:bCs w:val="0"/>
                <w:snapToGrid w:val="0"/>
                <w:szCs w:val="20"/>
              </w:rPr>
              <w:t>March 2022)</w:t>
            </w:r>
            <w:r w:rsidR="002B2B34" w:rsidRPr="00787A0B">
              <w:rPr>
                <w:rFonts w:eastAsia="Times New Roman" w:cs="Arial"/>
                <w:bCs w:val="0"/>
                <w:snapToGrid w:val="0"/>
                <w:szCs w:val="20"/>
              </w:rPr>
              <w:t>.</w:t>
            </w:r>
          </w:p>
        </w:tc>
        <w:tc>
          <w:tcPr>
            <w:tcW w:w="1859" w:type="pct"/>
          </w:tcPr>
          <w:p w14:paraId="07B06D9C" w14:textId="5D3E0131" w:rsidR="005C25FF" w:rsidRPr="00BD3048" w:rsidRDefault="007129E9"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Not addressed</w:t>
            </w:r>
            <w:r w:rsidR="004B113A" w:rsidRPr="00BD3048">
              <w:rPr>
                <w:rFonts w:eastAsia="Times New Roman" w:cs="Arial"/>
                <w:bCs w:val="0"/>
                <w:iCs/>
                <w:snapToGrid w:val="0"/>
                <w:szCs w:val="20"/>
              </w:rPr>
              <w:t>.</w:t>
            </w:r>
          </w:p>
        </w:tc>
      </w:tr>
      <w:tr w:rsidR="00086921" w:rsidRPr="007129E9" w14:paraId="4B4B221C" w14:textId="77777777" w:rsidTr="0074025F">
        <w:trPr>
          <w:cantSplit/>
        </w:trPr>
        <w:tc>
          <w:tcPr>
            <w:tcW w:w="1019" w:type="pct"/>
            <w:vMerge w:val="restart"/>
            <w:vAlign w:val="center"/>
          </w:tcPr>
          <w:p w14:paraId="700A5221" w14:textId="77777777" w:rsidR="00086921" w:rsidRPr="007129E9" w:rsidRDefault="00086921" w:rsidP="00E0492B">
            <w:pPr>
              <w:pStyle w:val="TableText0"/>
              <w:keepNext w:val="0"/>
            </w:pPr>
            <w:r w:rsidRPr="007129E9">
              <w:t>Clinical effectiveness</w:t>
            </w:r>
          </w:p>
        </w:tc>
        <w:tc>
          <w:tcPr>
            <w:tcW w:w="2122" w:type="pct"/>
          </w:tcPr>
          <w:p w14:paraId="56FDA4F6" w14:textId="1C51A157" w:rsidR="007231C5" w:rsidRPr="007231C5" w:rsidRDefault="00086921" w:rsidP="007231C5">
            <w:pPr>
              <w:pStyle w:val="TableText0"/>
              <w:keepNext w:val="0"/>
              <w:rPr>
                <w:rFonts w:eastAsia="Times New Roman" w:cs="Arial"/>
                <w:bCs w:val="0"/>
                <w:snapToGrid w:val="0"/>
                <w:szCs w:val="20"/>
              </w:rPr>
            </w:pPr>
            <w:r>
              <w:rPr>
                <w:rFonts w:eastAsia="Times New Roman" w:cs="Arial"/>
                <w:bCs w:val="0"/>
                <w:snapToGrid w:val="0"/>
                <w:szCs w:val="20"/>
              </w:rPr>
              <w:t>The OS data were immature and no benefit in OS was observed in the previous submission</w:t>
            </w:r>
            <w:r w:rsidR="00C57CCF">
              <w:rPr>
                <w:rFonts w:eastAsia="Times New Roman" w:cs="Arial"/>
                <w:bCs w:val="0"/>
                <w:snapToGrid w:val="0"/>
                <w:szCs w:val="20"/>
              </w:rPr>
              <w:t xml:space="preserve"> </w:t>
            </w:r>
            <w:r w:rsidR="00C57CCF" w:rsidRPr="00C57CCF">
              <w:rPr>
                <w:rFonts w:eastAsia="Times New Roman" w:cs="Arial"/>
                <w:bCs w:val="0"/>
                <w:snapToGrid w:val="0"/>
                <w:szCs w:val="20"/>
              </w:rPr>
              <w:t xml:space="preserve">(Para 7.8, </w:t>
            </w:r>
            <w:r w:rsidR="002B2B34">
              <w:rPr>
                <w:rFonts w:eastAsia="Times New Roman" w:cs="Arial"/>
                <w:bCs w:val="0"/>
                <w:snapToGrid w:val="0"/>
                <w:szCs w:val="20"/>
              </w:rPr>
              <w:t>Abemaciclib</w:t>
            </w:r>
            <w:r w:rsidR="004A17AD">
              <w:rPr>
                <w:rFonts w:eastAsia="Times New Roman" w:cs="Arial"/>
                <w:bCs w:val="0"/>
                <w:snapToGrid w:val="0"/>
                <w:szCs w:val="20"/>
              </w:rPr>
              <w:t xml:space="preserve"> PSD,</w:t>
            </w:r>
            <w:r w:rsidR="002B2B34">
              <w:rPr>
                <w:rFonts w:eastAsia="Times New Roman" w:cs="Arial"/>
                <w:bCs w:val="0"/>
                <w:snapToGrid w:val="0"/>
                <w:szCs w:val="20"/>
              </w:rPr>
              <w:t xml:space="preserve"> </w:t>
            </w:r>
            <w:r w:rsidR="00C57CCF" w:rsidRPr="00C57CCF">
              <w:rPr>
                <w:rFonts w:eastAsia="Times New Roman" w:cs="Arial"/>
                <w:bCs w:val="0"/>
                <w:snapToGrid w:val="0"/>
                <w:szCs w:val="20"/>
              </w:rPr>
              <w:t>March 2022)</w:t>
            </w:r>
            <w:r w:rsidR="002B2B34">
              <w:rPr>
                <w:rFonts w:eastAsia="Times New Roman" w:cs="Arial"/>
                <w:bCs w:val="0"/>
                <w:snapToGrid w:val="0"/>
                <w:szCs w:val="20"/>
              </w:rPr>
              <w:t>.</w:t>
            </w:r>
          </w:p>
        </w:tc>
        <w:tc>
          <w:tcPr>
            <w:tcW w:w="1859" w:type="pct"/>
          </w:tcPr>
          <w:p w14:paraId="5BAE5DA3" w14:textId="565CC85E" w:rsidR="00086921" w:rsidRPr="00BD3048" w:rsidRDefault="00086921" w:rsidP="00E0492B">
            <w:pPr>
              <w:pStyle w:val="TableText0"/>
              <w:keepNext w:val="0"/>
              <w:rPr>
                <w:rFonts w:eastAsia="Times New Roman" w:cs="Arial"/>
                <w:bCs w:val="0"/>
                <w:i/>
                <w:iCs/>
                <w:snapToGrid w:val="0"/>
                <w:szCs w:val="20"/>
              </w:rPr>
            </w:pPr>
            <w:r w:rsidRPr="00BD3048">
              <w:rPr>
                <w:rFonts w:eastAsia="Times New Roman" w:cs="Arial"/>
                <w:bCs w:val="0"/>
                <w:snapToGrid w:val="0"/>
                <w:szCs w:val="20"/>
              </w:rPr>
              <w:t xml:space="preserve">The resubmission presents a longer follow up with </w:t>
            </w:r>
            <w:r w:rsidR="007231C5" w:rsidRPr="00BD3048">
              <w:rPr>
                <w:rFonts w:eastAsia="Times New Roman" w:cs="Arial"/>
                <w:bCs w:val="0"/>
                <w:snapToGrid w:val="0"/>
                <w:szCs w:val="20"/>
              </w:rPr>
              <w:t xml:space="preserve">additional </w:t>
            </w:r>
            <w:r w:rsidRPr="00BD3048">
              <w:rPr>
                <w:rFonts w:eastAsia="Times New Roman" w:cs="Arial"/>
                <w:bCs w:val="0"/>
                <w:snapToGrid w:val="0"/>
                <w:szCs w:val="20"/>
              </w:rPr>
              <w:t>OS data.</w:t>
            </w:r>
            <w:r w:rsidRPr="00BD3048">
              <w:rPr>
                <w:rFonts w:eastAsia="Times New Roman" w:cs="Arial"/>
                <w:bCs w:val="0"/>
                <w:iCs/>
                <w:snapToGrid w:val="0"/>
                <w:szCs w:val="20"/>
              </w:rPr>
              <w:t xml:space="preserve"> However, the OS data remain immature, and no OS benefit </w:t>
            </w:r>
            <w:r w:rsidR="00792D03" w:rsidRPr="00BD3048">
              <w:rPr>
                <w:rFonts w:eastAsia="Times New Roman" w:cs="Arial"/>
                <w:bCs w:val="0"/>
                <w:iCs/>
                <w:snapToGrid w:val="0"/>
                <w:szCs w:val="20"/>
              </w:rPr>
              <w:t>wa</w:t>
            </w:r>
            <w:r w:rsidRPr="00BD3048">
              <w:rPr>
                <w:rFonts w:eastAsia="Times New Roman" w:cs="Arial"/>
                <w:bCs w:val="0"/>
                <w:iCs/>
                <w:snapToGrid w:val="0"/>
                <w:szCs w:val="20"/>
              </w:rPr>
              <w:t>s observed.</w:t>
            </w:r>
          </w:p>
        </w:tc>
      </w:tr>
      <w:tr w:rsidR="00D44313" w:rsidRPr="007129E9" w14:paraId="1D1967F6" w14:textId="77777777" w:rsidTr="0074025F">
        <w:trPr>
          <w:cantSplit/>
          <w:trHeight w:val="1377"/>
        </w:trPr>
        <w:tc>
          <w:tcPr>
            <w:tcW w:w="1019" w:type="pct"/>
            <w:vMerge/>
            <w:vAlign w:val="center"/>
          </w:tcPr>
          <w:p w14:paraId="6244501C" w14:textId="77777777" w:rsidR="00D44313" w:rsidRPr="007129E9" w:rsidRDefault="00D44313" w:rsidP="00E0492B">
            <w:pPr>
              <w:pStyle w:val="TableText0"/>
              <w:keepNext w:val="0"/>
            </w:pPr>
          </w:p>
        </w:tc>
        <w:tc>
          <w:tcPr>
            <w:tcW w:w="2122" w:type="pct"/>
          </w:tcPr>
          <w:p w14:paraId="71C23AA8" w14:textId="43B82B34" w:rsidR="00D44313" w:rsidRPr="007231C5" w:rsidRDefault="00D44313" w:rsidP="007231C5">
            <w:pPr>
              <w:pStyle w:val="TableText0"/>
              <w:keepNext w:val="0"/>
              <w:rPr>
                <w:rFonts w:eastAsia="Times New Roman" w:cs="Arial"/>
                <w:bCs w:val="0"/>
                <w:snapToGrid w:val="0"/>
                <w:szCs w:val="20"/>
              </w:rPr>
            </w:pPr>
            <w:r>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Pr>
                <w:rFonts w:eastAsia="Times New Roman" w:cs="Arial"/>
                <w:bCs w:val="0"/>
                <w:snapToGrid w:val="0"/>
                <w:szCs w:val="20"/>
              </w:rPr>
              <w:t xml:space="preserve">considered that the observed </w:t>
            </w:r>
            <w:r w:rsidRPr="007129E9">
              <w:rPr>
                <w:rFonts w:eastAsia="Times New Roman" w:cs="Arial"/>
                <w:bCs w:val="0"/>
                <w:snapToGrid w:val="0"/>
                <w:szCs w:val="20"/>
              </w:rPr>
              <w:t>IDFS benefit</w:t>
            </w:r>
            <w:r>
              <w:rPr>
                <w:rFonts w:eastAsia="Times New Roman" w:cs="Arial"/>
                <w:bCs w:val="0"/>
                <w:snapToGrid w:val="0"/>
                <w:szCs w:val="20"/>
              </w:rPr>
              <w:t xml:space="preserve"> appeared</w:t>
            </w:r>
            <w:r w:rsidR="0027362D">
              <w:rPr>
                <w:rFonts w:eastAsia="Times New Roman" w:cs="Arial"/>
                <w:bCs w:val="0"/>
                <w:snapToGrid w:val="0"/>
                <w:szCs w:val="20"/>
              </w:rPr>
              <w:t xml:space="preserve"> modest</w:t>
            </w:r>
            <w:r w:rsidR="00D06373">
              <w:rPr>
                <w:rFonts w:eastAsia="Times New Roman" w:cs="Arial"/>
                <w:bCs w:val="0"/>
                <w:snapToGrid w:val="0"/>
                <w:szCs w:val="20"/>
              </w:rPr>
              <w:t xml:space="preserve">. </w:t>
            </w:r>
            <w:r w:rsidR="00D06373" w:rsidRPr="00FA0201">
              <w:rPr>
                <w:iCs/>
              </w:rPr>
              <w:t>The absolute difference in IDFS rates was 2.7% at 2 years (92.7% vs 90.0%), and 5.4% at 3 years (88.8% vs 83.4%).</w:t>
            </w:r>
            <w:r w:rsidRPr="00FA0201">
              <w:rPr>
                <w:rFonts w:eastAsia="Times New Roman" w:cs="Arial"/>
                <w:bCs w:val="0"/>
                <w:iCs/>
                <w:snapToGrid w:val="0"/>
                <w:szCs w:val="20"/>
              </w:rPr>
              <w:t xml:space="preserve"> </w:t>
            </w:r>
            <w:r>
              <w:rPr>
                <w:rFonts w:eastAsia="Times New Roman" w:cs="Arial"/>
                <w:bCs w:val="0"/>
                <w:snapToGrid w:val="0"/>
                <w:szCs w:val="20"/>
              </w:rPr>
              <w:t xml:space="preserve">However, </w:t>
            </w:r>
            <w:r w:rsidR="00D449C4">
              <w:rPr>
                <w:rFonts w:eastAsia="Times New Roman" w:cs="Arial"/>
                <w:bCs w:val="0"/>
                <w:snapToGrid w:val="0"/>
                <w:szCs w:val="20"/>
              </w:rPr>
              <w:t xml:space="preserve">it </w:t>
            </w:r>
            <w:r>
              <w:rPr>
                <w:rFonts w:eastAsia="Times New Roman" w:cs="Arial"/>
                <w:bCs w:val="0"/>
                <w:snapToGrid w:val="0"/>
                <w:szCs w:val="20"/>
              </w:rPr>
              <w:t xml:space="preserve">also considered the </w:t>
            </w:r>
            <w:r w:rsidRPr="00842260">
              <w:t>difference may be clinically meaningful in the adjuvant setting where the goal is cure</w:t>
            </w:r>
            <w:r>
              <w:t xml:space="preserve"> </w:t>
            </w:r>
            <w:r w:rsidRPr="00C57CCF">
              <w:t xml:space="preserve">(Para 7.8, </w:t>
            </w:r>
            <w:r w:rsidR="002B2B34">
              <w:rPr>
                <w:bCs w:val="0"/>
              </w:rPr>
              <w:t>A</w:t>
            </w:r>
            <w:r w:rsidR="002B2B34">
              <w:rPr>
                <w:rFonts w:eastAsia="Times New Roman" w:cs="Arial"/>
                <w:bCs w:val="0"/>
                <w:snapToGrid w:val="0"/>
                <w:szCs w:val="20"/>
              </w:rPr>
              <w:t xml:space="preserve">bemaciclib </w:t>
            </w:r>
            <w:r w:rsidR="004A17AD">
              <w:rPr>
                <w:rFonts w:eastAsia="Times New Roman" w:cs="Arial"/>
                <w:bCs w:val="0"/>
                <w:snapToGrid w:val="0"/>
                <w:szCs w:val="20"/>
              </w:rPr>
              <w:t xml:space="preserve">PSD, </w:t>
            </w:r>
            <w:r w:rsidRPr="00C57CCF">
              <w:t>March 2022)</w:t>
            </w:r>
            <w:r w:rsidR="002B2B34">
              <w:t>.</w:t>
            </w:r>
          </w:p>
        </w:tc>
        <w:tc>
          <w:tcPr>
            <w:tcW w:w="1859" w:type="pct"/>
          </w:tcPr>
          <w:p w14:paraId="435132DF" w14:textId="53E4A9D9" w:rsidR="00D44313" w:rsidRPr="00BD3048" w:rsidRDefault="00D44313" w:rsidP="00E0492B">
            <w:pPr>
              <w:pStyle w:val="TableText0"/>
              <w:keepNext w:val="0"/>
              <w:rPr>
                <w:rFonts w:eastAsia="Times New Roman" w:cs="Arial"/>
                <w:bCs w:val="0"/>
                <w:snapToGrid w:val="0"/>
                <w:szCs w:val="20"/>
              </w:rPr>
            </w:pPr>
            <w:r w:rsidRPr="00BD3048">
              <w:rPr>
                <w:rFonts w:eastAsia="Times New Roman" w:cs="Arial"/>
                <w:bCs w:val="0"/>
                <w:snapToGrid w:val="0"/>
                <w:szCs w:val="20"/>
              </w:rPr>
              <w:t>With additional 15</w:t>
            </w:r>
            <w:r w:rsidRPr="00BD3048">
              <w:rPr>
                <w:rStyle w:val="CommentReference"/>
                <w:rFonts w:cs="Times New Roman"/>
              </w:rPr>
              <w:t>-</w:t>
            </w:r>
            <w:r w:rsidRPr="00BD3048">
              <w:rPr>
                <w:rStyle w:val="CommentReference"/>
                <w:rFonts w:cs="Times New Roman"/>
                <w:b w:val="0"/>
              </w:rPr>
              <w:t>m</w:t>
            </w:r>
            <w:r w:rsidRPr="00BD3048">
              <w:rPr>
                <w:rFonts w:eastAsia="Times New Roman" w:cs="Arial"/>
                <w:bCs w:val="0"/>
                <w:snapToGrid w:val="0"/>
                <w:szCs w:val="20"/>
              </w:rPr>
              <w:t xml:space="preserve">onths follow-up in the trial (median: 42 months vs. 27 months), </w:t>
            </w:r>
            <w:r w:rsidRPr="00FA0201">
              <w:rPr>
                <w:rFonts w:eastAsia="Times New Roman" w:cs="Arial"/>
                <w:bCs w:val="0"/>
                <w:iCs/>
                <w:snapToGrid w:val="0"/>
                <w:szCs w:val="20"/>
              </w:rPr>
              <w:t xml:space="preserve">the </w:t>
            </w:r>
            <w:r w:rsidR="00D06373" w:rsidRPr="00FA0201">
              <w:rPr>
                <w:rFonts w:eastAsia="Times New Roman" w:cs="Arial"/>
                <w:bCs w:val="0"/>
                <w:iCs/>
                <w:snapToGrid w:val="0"/>
                <w:szCs w:val="20"/>
              </w:rPr>
              <w:t>absolute difference in IDFS rates at 4 years were 6.4% in the ITT population (85.8% vs 79.4%) and 6.8% (85.5% vs 78.6%) in Cohort 1.</w:t>
            </w:r>
          </w:p>
        </w:tc>
      </w:tr>
      <w:tr w:rsidR="00085F31" w:rsidRPr="007129E9" w14:paraId="07517174" w14:textId="77777777" w:rsidTr="0074025F">
        <w:trPr>
          <w:cantSplit/>
        </w:trPr>
        <w:tc>
          <w:tcPr>
            <w:tcW w:w="1019" w:type="pct"/>
            <w:vMerge w:val="restart"/>
            <w:vAlign w:val="center"/>
          </w:tcPr>
          <w:p w14:paraId="3050D4DB" w14:textId="612E7619" w:rsidR="00085F31" w:rsidRPr="007129E9" w:rsidRDefault="00085F31" w:rsidP="00E0492B">
            <w:pPr>
              <w:pStyle w:val="TableText0"/>
              <w:keepNext w:val="0"/>
            </w:pPr>
            <w:r>
              <w:t xml:space="preserve">Economic evaluation </w:t>
            </w:r>
          </w:p>
        </w:tc>
        <w:tc>
          <w:tcPr>
            <w:tcW w:w="2122" w:type="pct"/>
            <w:tcBorders>
              <w:bottom w:val="single" w:sz="4" w:space="0" w:color="auto"/>
            </w:tcBorders>
          </w:tcPr>
          <w:p w14:paraId="280299D2" w14:textId="132337EB" w:rsidR="007231C5" w:rsidRPr="007231C5" w:rsidRDefault="00085F31" w:rsidP="007231C5">
            <w:pPr>
              <w:pStyle w:val="TableText0"/>
              <w:keepNext w:val="0"/>
              <w:rPr>
                <w:rFonts w:eastAsia="Times New Roman" w:cs="Arial"/>
                <w:bCs w:val="0"/>
                <w:snapToGrid w:val="0"/>
                <w:szCs w:val="20"/>
              </w:rPr>
            </w:pPr>
            <w:r>
              <w:rPr>
                <w:rFonts w:eastAsia="Times New Roman" w:cs="Arial"/>
                <w:bCs w:val="0"/>
                <w:snapToGrid w:val="0"/>
                <w:szCs w:val="20"/>
              </w:rPr>
              <w:t>The PBAC agreed with the corrections made by the previous evaluation</w:t>
            </w:r>
            <w:r w:rsidR="00367A35">
              <w:rPr>
                <w:rFonts w:eastAsia="Times New Roman" w:cs="Arial"/>
                <w:bCs w:val="0"/>
                <w:snapToGrid w:val="0"/>
                <w:szCs w:val="20"/>
              </w:rPr>
              <w:t xml:space="preserve"> </w:t>
            </w:r>
            <w:r w:rsidR="00367A35" w:rsidRPr="007129E9">
              <w:rPr>
                <w:rFonts w:eastAsia="Times New Roman" w:cs="Arial"/>
                <w:bCs w:val="0"/>
                <w:snapToGrid w:val="0"/>
                <w:szCs w:val="20"/>
              </w:rPr>
              <w:t xml:space="preserve">(Para </w:t>
            </w:r>
            <w:r w:rsidR="00367A35">
              <w:rPr>
                <w:rFonts w:eastAsia="Times New Roman" w:cs="Arial"/>
                <w:bCs w:val="0"/>
                <w:snapToGrid w:val="0"/>
                <w:szCs w:val="20"/>
              </w:rPr>
              <w:t>7.10</w:t>
            </w:r>
            <w:r w:rsidR="00367A35" w:rsidRPr="007129E9">
              <w:rPr>
                <w:rFonts w:eastAsia="Times New Roman" w:cs="Arial"/>
                <w:bCs w:val="0"/>
                <w:snapToGrid w:val="0"/>
                <w:szCs w:val="20"/>
              </w:rPr>
              <w:t xml:space="preserve">, </w:t>
            </w:r>
            <w:r w:rsidR="002B2B34">
              <w:rPr>
                <w:rFonts w:eastAsia="Times New Roman" w:cs="Arial"/>
                <w:bCs w:val="0"/>
                <w:snapToGrid w:val="0"/>
                <w:szCs w:val="20"/>
              </w:rPr>
              <w:t>Abemaciclib</w:t>
            </w:r>
            <w:r w:rsidR="004A17AD">
              <w:rPr>
                <w:rFonts w:eastAsia="Times New Roman" w:cs="Arial"/>
                <w:bCs w:val="0"/>
                <w:snapToGrid w:val="0"/>
                <w:szCs w:val="20"/>
              </w:rPr>
              <w:t xml:space="preserve"> PSD,</w:t>
            </w:r>
            <w:r w:rsidR="002B2B34">
              <w:rPr>
                <w:rFonts w:eastAsia="Times New Roman" w:cs="Arial"/>
                <w:bCs w:val="0"/>
                <w:snapToGrid w:val="0"/>
                <w:szCs w:val="20"/>
              </w:rPr>
              <w:t xml:space="preserve"> </w:t>
            </w:r>
            <w:r w:rsidR="00367A35" w:rsidRPr="007129E9">
              <w:rPr>
                <w:rFonts w:eastAsia="Times New Roman" w:cs="Arial"/>
                <w:bCs w:val="0"/>
                <w:snapToGrid w:val="0"/>
                <w:szCs w:val="20"/>
              </w:rPr>
              <w:t>March 2022)</w:t>
            </w:r>
            <w:r w:rsidR="00367A35">
              <w:rPr>
                <w:rFonts w:eastAsia="Times New Roman" w:cs="Arial"/>
                <w:bCs w:val="0"/>
                <w:snapToGrid w:val="0"/>
                <w:szCs w:val="20"/>
              </w:rPr>
              <w:t>.</w:t>
            </w:r>
          </w:p>
        </w:tc>
        <w:tc>
          <w:tcPr>
            <w:tcW w:w="1859" w:type="pct"/>
            <w:tcBorders>
              <w:bottom w:val="single" w:sz="4" w:space="0" w:color="auto"/>
            </w:tcBorders>
          </w:tcPr>
          <w:p w14:paraId="06D3D2FA" w14:textId="6B26F568" w:rsidR="00085F31" w:rsidRPr="00BD3048" w:rsidRDefault="00085F31" w:rsidP="00E0492B">
            <w:pPr>
              <w:pStyle w:val="TableText0"/>
              <w:keepNext w:val="0"/>
              <w:rPr>
                <w:rFonts w:eastAsia="Times New Roman" w:cs="Arial"/>
                <w:bCs w:val="0"/>
                <w:snapToGrid w:val="0"/>
                <w:szCs w:val="20"/>
              </w:rPr>
            </w:pPr>
            <w:r w:rsidRPr="00BD3048">
              <w:rPr>
                <w:rFonts w:eastAsia="Times New Roman" w:cs="Arial"/>
                <w:bCs w:val="0"/>
                <w:iCs/>
                <w:snapToGrid w:val="0"/>
                <w:szCs w:val="20"/>
              </w:rPr>
              <w:t xml:space="preserve">The resubmission has adopted the corrections made by the previous evaluation. </w:t>
            </w:r>
          </w:p>
        </w:tc>
      </w:tr>
      <w:tr w:rsidR="00085F31" w:rsidRPr="00787A0B" w14:paraId="4D02E72A" w14:textId="77777777" w:rsidTr="0074025F">
        <w:trPr>
          <w:cantSplit/>
        </w:trPr>
        <w:tc>
          <w:tcPr>
            <w:tcW w:w="1019" w:type="pct"/>
            <w:vMerge/>
            <w:vAlign w:val="center"/>
          </w:tcPr>
          <w:p w14:paraId="598BE6F8" w14:textId="77777777" w:rsidR="00085F31" w:rsidRPr="00787A0B" w:rsidRDefault="00085F31" w:rsidP="00E0492B">
            <w:pPr>
              <w:pStyle w:val="TableText0"/>
              <w:keepNext w:val="0"/>
            </w:pPr>
          </w:p>
        </w:tc>
        <w:tc>
          <w:tcPr>
            <w:tcW w:w="2122" w:type="pct"/>
            <w:tcBorders>
              <w:bottom w:val="single" w:sz="4" w:space="0" w:color="auto"/>
            </w:tcBorders>
          </w:tcPr>
          <w:p w14:paraId="67288C03" w14:textId="25DAB3CD"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The PBAC</w:t>
            </w:r>
            <w:r w:rsidR="00BF0FCC">
              <w:rPr>
                <w:rFonts w:eastAsia="Times New Roman" w:cs="Arial"/>
                <w:bCs w:val="0"/>
                <w:snapToGrid w:val="0"/>
                <w:szCs w:val="20"/>
              </w:rPr>
              <w:t xml:space="preserve"> previously</w:t>
            </w:r>
            <w:r w:rsidRPr="00787A0B">
              <w:rPr>
                <w:rFonts w:eastAsia="Times New Roman" w:cs="Arial"/>
                <w:bCs w:val="0"/>
                <w:snapToGrid w:val="0"/>
                <w:szCs w:val="20"/>
              </w:rPr>
              <w:t xml:space="preserve"> considered the assumption of treatment effect</w:t>
            </w:r>
            <w:r w:rsidR="00C12982" w:rsidRPr="00787A0B">
              <w:rPr>
                <w:rFonts w:eastAsia="Times New Roman" w:cs="Arial"/>
                <w:bCs w:val="0"/>
                <w:snapToGrid w:val="0"/>
                <w:szCs w:val="20"/>
              </w:rPr>
              <w:t xml:space="preserve"> duration</w:t>
            </w:r>
            <w:r w:rsidRPr="00787A0B">
              <w:rPr>
                <w:rFonts w:eastAsia="Times New Roman" w:cs="Arial"/>
                <w:bCs w:val="0"/>
                <w:snapToGrid w:val="0"/>
                <w:szCs w:val="20"/>
              </w:rPr>
              <w:t xml:space="preserve"> of abemaciclib (waning from Year 8-38) was highly optimistic and not well justified. The PBAC advised a more conservative estimate should be implemented</w:t>
            </w:r>
            <w:r w:rsidR="00367A35" w:rsidRPr="00787A0B">
              <w:rPr>
                <w:rFonts w:eastAsia="Times New Roman" w:cs="Arial"/>
                <w:bCs w:val="0"/>
                <w:snapToGrid w:val="0"/>
                <w:szCs w:val="20"/>
              </w:rPr>
              <w:t xml:space="preserve"> (Para 7.11,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367A35" w:rsidRPr="00787A0B">
              <w:rPr>
                <w:rFonts w:eastAsia="Times New Roman" w:cs="Arial"/>
                <w:bCs w:val="0"/>
                <w:snapToGrid w:val="0"/>
                <w:szCs w:val="20"/>
              </w:rPr>
              <w:t>March 2022).</w:t>
            </w:r>
          </w:p>
        </w:tc>
        <w:tc>
          <w:tcPr>
            <w:tcW w:w="1859" w:type="pct"/>
            <w:tcBorders>
              <w:bottom w:val="single" w:sz="4" w:space="0" w:color="auto"/>
            </w:tcBorders>
          </w:tcPr>
          <w:p w14:paraId="199039B7" w14:textId="4C425BD1"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The resubmission has reduced the treatment</w:t>
            </w:r>
            <w:r w:rsidR="00C12982" w:rsidRPr="00BD3048">
              <w:rPr>
                <w:rFonts w:eastAsia="Times New Roman" w:cs="Arial"/>
                <w:bCs w:val="0"/>
                <w:iCs/>
                <w:snapToGrid w:val="0"/>
                <w:szCs w:val="20"/>
              </w:rPr>
              <w:t xml:space="preserve"> effect</w:t>
            </w:r>
            <w:r w:rsidRPr="00BD3048">
              <w:rPr>
                <w:rFonts w:eastAsia="Times New Roman" w:cs="Arial"/>
                <w:bCs w:val="0"/>
                <w:iCs/>
                <w:snapToGrid w:val="0"/>
                <w:szCs w:val="20"/>
              </w:rPr>
              <w:t xml:space="preserve"> waning period (Year 7</w:t>
            </w:r>
            <w:r w:rsidR="00C12982" w:rsidRPr="00BD3048">
              <w:rPr>
                <w:rFonts w:eastAsia="Times New Roman" w:cs="Arial"/>
                <w:bCs w:val="0"/>
                <w:iCs/>
                <w:snapToGrid w:val="0"/>
                <w:szCs w:val="20"/>
              </w:rPr>
              <w:t>-</w:t>
            </w:r>
            <w:r w:rsidRPr="00BD3048">
              <w:rPr>
                <w:rFonts w:eastAsia="Times New Roman" w:cs="Arial"/>
                <w:bCs w:val="0"/>
                <w:iCs/>
                <w:snapToGrid w:val="0"/>
                <w:szCs w:val="20"/>
              </w:rPr>
              <w:t xml:space="preserve">28.9), however this remains longer than previous ESC </w:t>
            </w:r>
            <w:r w:rsidR="0054054F" w:rsidRPr="00BD3048">
              <w:rPr>
                <w:rFonts w:eastAsia="Times New Roman" w:cs="Arial"/>
                <w:bCs w:val="0"/>
                <w:iCs/>
                <w:snapToGrid w:val="0"/>
                <w:szCs w:val="20"/>
              </w:rPr>
              <w:t>advi</w:t>
            </w:r>
            <w:r w:rsidR="0054054F">
              <w:rPr>
                <w:rFonts w:eastAsia="Times New Roman" w:cs="Arial"/>
                <w:bCs w:val="0"/>
                <w:iCs/>
                <w:snapToGrid w:val="0"/>
                <w:szCs w:val="20"/>
              </w:rPr>
              <w:t>c</w:t>
            </w:r>
            <w:r w:rsidR="0054054F" w:rsidRPr="00BD3048">
              <w:rPr>
                <w:rFonts w:eastAsia="Times New Roman" w:cs="Arial"/>
                <w:bCs w:val="0"/>
                <w:iCs/>
                <w:snapToGrid w:val="0"/>
                <w:szCs w:val="20"/>
              </w:rPr>
              <w:t xml:space="preserve">e </w:t>
            </w:r>
            <w:r w:rsidRPr="00BD3048">
              <w:rPr>
                <w:rFonts w:eastAsia="Times New Roman" w:cs="Arial"/>
                <w:bCs w:val="0"/>
                <w:iCs/>
                <w:snapToGrid w:val="0"/>
                <w:szCs w:val="20"/>
              </w:rPr>
              <w:t>(Year 2</w:t>
            </w:r>
            <w:r w:rsidR="00C12982" w:rsidRPr="00BD3048">
              <w:rPr>
                <w:rFonts w:eastAsia="Times New Roman" w:cs="Arial"/>
                <w:bCs w:val="0"/>
                <w:iCs/>
                <w:snapToGrid w:val="0"/>
                <w:szCs w:val="20"/>
              </w:rPr>
              <w:t>-</w:t>
            </w:r>
            <w:r w:rsidRPr="00BD3048">
              <w:rPr>
                <w:rFonts w:eastAsia="Times New Roman" w:cs="Arial"/>
                <w:bCs w:val="0"/>
                <w:iCs/>
                <w:snapToGrid w:val="0"/>
                <w:szCs w:val="20"/>
              </w:rPr>
              <w:t xml:space="preserve">7). No evidence was presented to </w:t>
            </w:r>
            <w:r w:rsidR="008765EC">
              <w:rPr>
                <w:rFonts w:eastAsia="Times New Roman" w:cs="Arial"/>
                <w:bCs w:val="0"/>
                <w:iCs/>
                <w:snapToGrid w:val="0"/>
                <w:szCs w:val="20"/>
              </w:rPr>
              <w:t>support</w:t>
            </w:r>
            <w:r w:rsidR="008765EC" w:rsidRPr="00BD3048">
              <w:rPr>
                <w:rFonts w:eastAsia="Times New Roman" w:cs="Arial"/>
                <w:bCs w:val="0"/>
                <w:iCs/>
                <w:snapToGrid w:val="0"/>
                <w:szCs w:val="20"/>
              </w:rPr>
              <w:t xml:space="preserve"> </w:t>
            </w:r>
            <w:r w:rsidRPr="00BD3048">
              <w:rPr>
                <w:rFonts w:eastAsia="Times New Roman" w:cs="Arial"/>
                <w:bCs w:val="0"/>
                <w:iCs/>
                <w:snapToGrid w:val="0"/>
                <w:szCs w:val="20"/>
              </w:rPr>
              <w:t xml:space="preserve">a treatment effect of abemaciclib beyond the observed period of monarchE (48 months). </w:t>
            </w:r>
          </w:p>
        </w:tc>
      </w:tr>
      <w:tr w:rsidR="00085F31" w:rsidRPr="00787A0B" w14:paraId="024744B1" w14:textId="77777777" w:rsidTr="0074025F">
        <w:trPr>
          <w:cantSplit/>
        </w:trPr>
        <w:tc>
          <w:tcPr>
            <w:tcW w:w="1019" w:type="pct"/>
            <w:vMerge/>
            <w:vAlign w:val="center"/>
          </w:tcPr>
          <w:p w14:paraId="7F1F2C61" w14:textId="77777777" w:rsidR="00085F31" w:rsidRPr="00787A0B" w:rsidRDefault="00085F31" w:rsidP="00E0492B">
            <w:pPr>
              <w:pStyle w:val="TableText0"/>
              <w:keepNext w:val="0"/>
            </w:pPr>
          </w:p>
        </w:tc>
        <w:tc>
          <w:tcPr>
            <w:tcW w:w="2122" w:type="pct"/>
            <w:tcBorders>
              <w:bottom w:val="single" w:sz="4" w:space="0" w:color="auto"/>
            </w:tcBorders>
          </w:tcPr>
          <w:p w14:paraId="69F68A15" w14:textId="49EB21CD"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rPr>
                <w:rFonts w:eastAsia="Times New Roman" w:cs="Arial"/>
                <w:bCs w:val="0"/>
                <w:snapToGrid w:val="0"/>
                <w:szCs w:val="20"/>
              </w:rPr>
              <w:t>considered reducing the time horizon from 40 to 20 years would be more reasonable given the average age of diagnosis</w:t>
            </w:r>
            <w:r w:rsidR="00367A35" w:rsidRPr="00787A0B">
              <w:rPr>
                <w:rFonts w:eastAsia="Times New Roman" w:cs="Arial"/>
                <w:bCs w:val="0"/>
                <w:snapToGrid w:val="0"/>
                <w:szCs w:val="20"/>
              </w:rPr>
              <w:t xml:space="preserve"> (Para 7.11,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367A35" w:rsidRPr="00787A0B">
              <w:rPr>
                <w:rFonts w:eastAsia="Times New Roman" w:cs="Arial"/>
                <w:bCs w:val="0"/>
                <w:snapToGrid w:val="0"/>
                <w:szCs w:val="20"/>
              </w:rPr>
              <w:t xml:space="preserve">March 2022). </w:t>
            </w:r>
            <w:r w:rsidRPr="00787A0B">
              <w:rPr>
                <w:rFonts w:eastAsia="Times New Roman" w:cs="Arial"/>
                <w:bCs w:val="0"/>
                <w:snapToGrid w:val="0"/>
                <w:szCs w:val="20"/>
              </w:rPr>
              <w:t xml:space="preserve">  </w:t>
            </w:r>
          </w:p>
        </w:tc>
        <w:tc>
          <w:tcPr>
            <w:tcW w:w="1859" w:type="pct"/>
            <w:tcBorders>
              <w:bottom w:val="single" w:sz="4" w:space="0" w:color="auto"/>
            </w:tcBorders>
          </w:tcPr>
          <w:p w14:paraId="321C49C8" w14:textId="3B2C3A09"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 xml:space="preserve">The resubmission has reduced the time horizon to 30 years, based on the argument that the average age cited by the PBAC (61.4 years) was older than the population expected to be treated with abemaciclib. However, data presented in the resubmission suggest that the age of patients treated may be closer </w:t>
            </w:r>
            <w:r w:rsidRPr="00B016D2">
              <w:rPr>
                <w:rFonts w:eastAsia="Times New Roman" w:cs="Arial"/>
                <w:bCs w:val="0"/>
                <w:iCs/>
                <w:snapToGrid w:val="0"/>
                <w:szCs w:val="20"/>
              </w:rPr>
              <w:t>to 59 years,</w:t>
            </w:r>
            <w:r w:rsidRPr="00BD3048">
              <w:rPr>
                <w:rFonts w:eastAsia="Times New Roman" w:cs="Arial"/>
                <w:bCs w:val="0"/>
                <w:iCs/>
                <w:snapToGrid w:val="0"/>
                <w:szCs w:val="20"/>
              </w:rPr>
              <w:t xml:space="preserve"> and so this does not adequately support the nominated time horizon. </w:t>
            </w:r>
          </w:p>
        </w:tc>
      </w:tr>
      <w:tr w:rsidR="00085F31" w:rsidRPr="00787A0B" w14:paraId="0AA4F435" w14:textId="77777777" w:rsidTr="0074025F">
        <w:trPr>
          <w:cantSplit/>
        </w:trPr>
        <w:tc>
          <w:tcPr>
            <w:tcW w:w="1019" w:type="pct"/>
            <w:vMerge/>
            <w:vAlign w:val="center"/>
          </w:tcPr>
          <w:p w14:paraId="4BE5F734" w14:textId="77777777" w:rsidR="00085F31" w:rsidRPr="00787A0B" w:rsidRDefault="00085F31" w:rsidP="00E0492B">
            <w:pPr>
              <w:pStyle w:val="TableText0"/>
              <w:keepNext w:val="0"/>
            </w:pPr>
          </w:p>
        </w:tc>
        <w:tc>
          <w:tcPr>
            <w:tcW w:w="2122" w:type="pct"/>
            <w:tcBorders>
              <w:bottom w:val="single" w:sz="4" w:space="0" w:color="auto"/>
            </w:tcBorders>
          </w:tcPr>
          <w:p w14:paraId="50496BB8" w14:textId="2EE403BF"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t>considered that due to the low number of observed events, the extrapolation (a jointly-fitted Weibull parametric model) was highly uncertain</w:t>
            </w:r>
            <w:r w:rsidR="00367A35" w:rsidRPr="00787A0B">
              <w:rPr>
                <w:bCs w:val="0"/>
              </w:rPr>
              <w:t xml:space="preserve"> </w:t>
            </w:r>
            <w:r w:rsidR="00367A35" w:rsidRPr="00787A0B">
              <w:rPr>
                <w:rFonts w:eastAsia="Times New Roman" w:cs="Arial"/>
                <w:bCs w:val="0"/>
                <w:snapToGrid w:val="0"/>
                <w:szCs w:val="20"/>
              </w:rPr>
              <w:t xml:space="preserve">(Para 7.11,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367A35" w:rsidRPr="00787A0B">
              <w:rPr>
                <w:rFonts w:eastAsia="Times New Roman" w:cs="Arial"/>
                <w:bCs w:val="0"/>
                <w:snapToGrid w:val="0"/>
                <w:szCs w:val="20"/>
              </w:rPr>
              <w:t>March 2022).</w:t>
            </w:r>
          </w:p>
        </w:tc>
        <w:tc>
          <w:tcPr>
            <w:tcW w:w="1859" w:type="pct"/>
            <w:tcBorders>
              <w:bottom w:val="single" w:sz="4" w:space="0" w:color="auto"/>
            </w:tcBorders>
          </w:tcPr>
          <w:p w14:paraId="2BB645EA" w14:textId="46383D74"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The resubmission uses a log-logistic model to extrapolate IDFS which was more consistent with external data, though due to the small number of events the data was based on, long-term projections remain highly uncertain.</w:t>
            </w:r>
          </w:p>
        </w:tc>
      </w:tr>
      <w:tr w:rsidR="00085F31" w:rsidRPr="00787A0B" w14:paraId="6F12BE6B" w14:textId="77777777" w:rsidTr="0074025F">
        <w:trPr>
          <w:cantSplit/>
        </w:trPr>
        <w:tc>
          <w:tcPr>
            <w:tcW w:w="1019" w:type="pct"/>
            <w:vMerge/>
            <w:vAlign w:val="center"/>
          </w:tcPr>
          <w:p w14:paraId="4DE74A17" w14:textId="77777777" w:rsidR="00085F31" w:rsidRPr="00787A0B" w:rsidRDefault="00085F31" w:rsidP="00E0492B">
            <w:pPr>
              <w:pStyle w:val="TableText0"/>
              <w:keepNext w:val="0"/>
            </w:pPr>
          </w:p>
        </w:tc>
        <w:tc>
          <w:tcPr>
            <w:tcW w:w="2122" w:type="pct"/>
            <w:tcBorders>
              <w:bottom w:val="single" w:sz="4" w:space="0" w:color="auto"/>
            </w:tcBorders>
          </w:tcPr>
          <w:p w14:paraId="3D123A55" w14:textId="28E81457"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t>considered that the ICER was sensitive to calibration of outcomes in endocrine-sensitive metastatic breast cancer</w:t>
            </w:r>
            <w:r w:rsidR="00367A35" w:rsidRPr="00787A0B">
              <w:t xml:space="preserve"> </w:t>
            </w:r>
            <w:r w:rsidR="00367A35" w:rsidRPr="00787A0B">
              <w:rPr>
                <w:rFonts w:eastAsia="Times New Roman" w:cs="Arial"/>
                <w:bCs w:val="0"/>
                <w:snapToGrid w:val="0"/>
                <w:szCs w:val="20"/>
              </w:rPr>
              <w:t xml:space="preserve">(Para 7.10,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367A35" w:rsidRPr="00787A0B">
              <w:rPr>
                <w:rFonts w:eastAsia="Times New Roman" w:cs="Arial"/>
                <w:bCs w:val="0"/>
                <w:snapToGrid w:val="0"/>
                <w:szCs w:val="20"/>
              </w:rPr>
              <w:t>March 2022).</w:t>
            </w:r>
          </w:p>
        </w:tc>
        <w:tc>
          <w:tcPr>
            <w:tcW w:w="1859" w:type="pct"/>
            <w:tcBorders>
              <w:bottom w:val="single" w:sz="4" w:space="0" w:color="auto"/>
            </w:tcBorders>
          </w:tcPr>
          <w:p w14:paraId="7F54B0E2" w14:textId="1DE9CE4C"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The resubmission used uncalibrated outcomes in the base case analysis which was reasonable.</w:t>
            </w:r>
          </w:p>
        </w:tc>
      </w:tr>
      <w:tr w:rsidR="00085F31" w:rsidRPr="00787A0B" w14:paraId="03A4FB2C" w14:textId="77777777" w:rsidTr="0074025F">
        <w:trPr>
          <w:cantSplit/>
        </w:trPr>
        <w:tc>
          <w:tcPr>
            <w:tcW w:w="1019" w:type="pct"/>
            <w:vMerge/>
            <w:vAlign w:val="center"/>
          </w:tcPr>
          <w:p w14:paraId="14D07E3F" w14:textId="77777777" w:rsidR="00085F31" w:rsidRPr="00787A0B" w:rsidRDefault="00085F31" w:rsidP="00E0492B">
            <w:pPr>
              <w:pStyle w:val="TableText0"/>
              <w:keepNext w:val="0"/>
            </w:pPr>
          </w:p>
        </w:tc>
        <w:tc>
          <w:tcPr>
            <w:tcW w:w="2122" w:type="pct"/>
            <w:tcBorders>
              <w:bottom w:val="single" w:sz="4" w:space="0" w:color="auto"/>
            </w:tcBorders>
          </w:tcPr>
          <w:p w14:paraId="1D87FAA0" w14:textId="4D3EC4C7"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t>considered that the ICER was sensitive to the proportion of recurrences that are non-metastatic</w:t>
            </w:r>
            <w:r w:rsidR="00367A35" w:rsidRPr="00787A0B">
              <w:t xml:space="preserve"> </w:t>
            </w:r>
            <w:r w:rsidR="00367A35" w:rsidRPr="00787A0B">
              <w:rPr>
                <w:rFonts w:eastAsia="Times New Roman" w:cs="Arial"/>
                <w:bCs w:val="0"/>
                <w:snapToGrid w:val="0"/>
                <w:szCs w:val="20"/>
              </w:rPr>
              <w:t xml:space="preserve">(Para 7.10, </w:t>
            </w:r>
            <w:r w:rsidR="002B2B34" w:rsidRPr="00787A0B">
              <w:rPr>
                <w:rFonts w:eastAsia="Times New Roman" w:cs="Arial"/>
                <w:bCs w:val="0"/>
                <w:snapToGrid w:val="0"/>
                <w:szCs w:val="20"/>
              </w:rPr>
              <w:t>Abemaciclib</w:t>
            </w:r>
            <w:r w:rsidR="004A17AD" w:rsidRPr="00787A0B">
              <w:rPr>
                <w:rFonts w:eastAsia="Times New Roman" w:cs="Arial"/>
                <w:bCs w:val="0"/>
                <w:snapToGrid w:val="0"/>
                <w:szCs w:val="20"/>
              </w:rPr>
              <w:t xml:space="preserve"> PSD,</w:t>
            </w:r>
            <w:r w:rsidR="002B2B34" w:rsidRPr="00787A0B">
              <w:rPr>
                <w:rFonts w:eastAsia="Times New Roman" w:cs="Arial"/>
                <w:bCs w:val="0"/>
                <w:snapToGrid w:val="0"/>
                <w:szCs w:val="20"/>
              </w:rPr>
              <w:t xml:space="preserve"> </w:t>
            </w:r>
            <w:r w:rsidR="00367A35" w:rsidRPr="00787A0B">
              <w:rPr>
                <w:rFonts w:eastAsia="Times New Roman" w:cs="Arial"/>
                <w:bCs w:val="0"/>
                <w:snapToGrid w:val="0"/>
                <w:szCs w:val="20"/>
              </w:rPr>
              <w:t>March 2022)</w:t>
            </w:r>
            <w:r w:rsidRPr="00787A0B">
              <w:t>.</w:t>
            </w:r>
          </w:p>
        </w:tc>
        <w:tc>
          <w:tcPr>
            <w:tcW w:w="1859" w:type="pct"/>
            <w:tcBorders>
              <w:bottom w:val="single" w:sz="4" w:space="0" w:color="auto"/>
            </w:tcBorders>
          </w:tcPr>
          <w:p w14:paraId="04A68766" w14:textId="515EFC9D"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The resubmission maintained differences across model arms for the proportion of recurrence events that were metastatic. These are unlikely to be statistically significant and so modelling a difference is not likely to be reasonable, favouring abemaciclib.</w:t>
            </w:r>
          </w:p>
        </w:tc>
      </w:tr>
      <w:tr w:rsidR="00085F31" w:rsidRPr="007129E9" w14:paraId="3EB24F40" w14:textId="77777777" w:rsidTr="0074025F">
        <w:trPr>
          <w:cantSplit/>
        </w:trPr>
        <w:tc>
          <w:tcPr>
            <w:tcW w:w="1019" w:type="pct"/>
            <w:vMerge/>
            <w:vAlign w:val="center"/>
          </w:tcPr>
          <w:p w14:paraId="2F6C5CD9" w14:textId="77777777" w:rsidR="00085F31" w:rsidRDefault="00085F31" w:rsidP="00E0492B">
            <w:pPr>
              <w:pStyle w:val="TableText0"/>
              <w:keepNext w:val="0"/>
            </w:pPr>
          </w:p>
        </w:tc>
        <w:tc>
          <w:tcPr>
            <w:tcW w:w="2122" w:type="pct"/>
            <w:tcBorders>
              <w:bottom w:val="single" w:sz="4" w:space="0" w:color="auto"/>
            </w:tcBorders>
          </w:tcPr>
          <w:p w14:paraId="6B32AE59" w14:textId="6B47905A" w:rsidR="00085F31" w:rsidRPr="007129E9" w:rsidRDefault="00085F31" w:rsidP="00E0492B">
            <w:pPr>
              <w:pStyle w:val="TableText0"/>
              <w:keepNext w:val="0"/>
              <w:rPr>
                <w:rFonts w:eastAsia="Times New Roman" w:cs="Arial"/>
                <w:bCs w:val="0"/>
                <w:snapToGrid w:val="0"/>
                <w:szCs w:val="20"/>
              </w:rPr>
            </w:pPr>
            <w:r>
              <w:rPr>
                <w:rFonts w:eastAsia="Times New Roman" w:cs="Arial"/>
                <w:bCs w:val="0"/>
                <w:snapToGrid w:val="0"/>
                <w:szCs w:val="20"/>
              </w:rPr>
              <w:t>The PBAC</w:t>
            </w:r>
            <w:r w:rsidR="00BF0FCC">
              <w:rPr>
                <w:rFonts w:eastAsia="Times New Roman" w:cs="Arial"/>
                <w:bCs w:val="0"/>
                <w:snapToGrid w:val="0"/>
                <w:szCs w:val="20"/>
              </w:rPr>
              <w:t xml:space="preserve"> previously</w:t>
            </w:r>
            <w:r>
              <w:rPr>
                <w:rFonts w:eastAsia="Times New Roman" w:cs="Arial"/>
                <w:bCs w:val="0"/>
                <w:snapToGrid w:val="0"/>
                <w:szCs w:val="20"/>
              </w:rPr>
              <w:t xml:space="preserve"> </w:t>
            </w:r>
            <w:r w:rsidR="00606CF5">
              <w:rPr>
                <w:rFonts w:eastAsia="Times New Roman" w:cs="Arial"/>
                <w:bCs w:val="0"/>
                <w:snapToGrid w:val="0"/>
                <w:szCs w:val="20"/>
              </w:rPr>
              <w:t xml:space="preserve">considered that </w:t>
            </w:r>
            <w:r>
              <w:rPr>
                <w:rFonts w:eastAsia="Times New Roman" w:cs="Arial"/>
                <w:bCs w:val="0"/>
                <w:snapToGrid w:val="0"/>
                <w:szCs w:val="20"/>
              </w:rPr>
              <w:t>transitivity issues</w:t>
            </w:r>
            <w:r w:rsidR="00606CF5">
              <w:rPr>
                <w:rFonts w:eastAsia="Times New Roman" w:cs="Arial"/>
                <w:bCs w:val="0"/>
                <w:snapToGrid w:val="0"/>
                <w:szCs w:val="20"/>
              </w:rPr>
              <w:t xml:space="preserve"> were likely to exist</w:t>
            </w:r>
            <w:r>
              <w:rPr>
                <w:rFonts w:eastAsia="Times New Roman" w:cs="Arial"/>
                <w:bCs w:val="0"/>
                <w:snapToGrid w:val="0"/>
                <w:szCs w:val="20"/>
              </w:rPr>
              <w:t xml:space="preserve"> between the monarchE trial and the metastatic MONARCH-2 and MONARCH-3 trials</w:t>
            </w:r>
            <w:r w:rsidR="0087394C">
              <w:rPr>
                <w:rFonts w:eastAsia="Times New Roman" w:cs="Arial"/>
                <w:bCs w:val="0"/>
                <w:snapToGrid w:val="0"/>
                <w:szCs w:val="20"/>
              </w:rPr>
              <w:t xml:space="preserve"> and </w:t>
            </w:r>
            <w:r w:rsidR="00BF3BF2">
              <w:rPr>
                <w:rFonts w:eastAsia="Times New Roman" w:cs="Arial"/>
                <w:bCs w:val="0"/>
                <w:snapToGrid w:val="0"/>
                <w:szCs w:val="20"/>
              </w:rPr>
              <w:t>thus</w:t>
            </w:r>
            <w:r w:rsidR="0087394C">
              <w:rPr>
                <w:rFonts w:eastAsia="Times New Roman" w:cs="Arial"/>
                <w:bCs w:val="0"/>
                <w:snapToGrid w:val="0"/>
                <w:szCs w:val="20"/>
              </w:rPr>
              <w:t xml:space="preserve"> the one-off costs and QALYs applied on transition to metastatic disease introduced further uncertainty</w:t>
            </w:r>
            <w:r w:rsidR="006D42DC">
              <w:rPr>
                <w:rFonts w:eastAsia="Times New Roman" w:cs="Arial"/>
                <w:bCs w:val="0"/>
                <w:snapToGrid w:val="0"/>
                <w:szCs w:val="20"/>
              </w:rPr>
              <w:t xml:space="preserve"> (Para 7.12, </w:t>
            </w:r>
            <w:r w:rsidR="002B2B34">
              <w:rPr>
                <w:rFonts w:eastAsia="Times New Roman" w:cs="Arial"/>
                <w:bCs w:val="0"/>
                <w:snapToGrid w:val="0"/>
                <w:szCs w:val="20"/>
              </w:rPr>
              <w:t xml:space="preserve">Abemaciclib </w:t>
            </w:r>
            <w:r w:rsidR="004A17AD">
              <w:rPr>
                <w:rFonts w:eastAsia="Times New Roman" w:cs="Arial"/>
                <w:bCs w:val="0"/>
                <w:snapToGrid w:val="0"/>
                <w:szCs w:val="20"/>
              </w:rPr>
              <w:t xml:space="preserve">PSD, </w:t>
            </w:r>
            <w:r w:rsidR="006D42DC">
              <w:rPr>
                <w:rFonts w:eastAsia="Times New Roman" w:cs="Arial"/>
                <w:bCs w:val="0"/>
                <w:snapToGrid w:val="0"/>
                <w:szCs w:val="20"/>
              </w:rPr>
              <w:t>March 2022)</w:t>
            </w:r>
            <w:r>
              <w:rPr>
                <w:rFonts w:eastAsia="Times New Roman" w:cs="Arial"/>
                <w:bCs w:val="0"/>
                <w:snapToGrid w:val="0"/>
                <w:szCs w:val="20"/>
              </w:rPr>
              <w:t xml:space="preserve">. </w:t>
            </w:r>
          </w:p>
        </w:tc>
        <w:tc>
          <w:tcPr>
            <w:tcW w:w="1859" w:type="pct"/>
            <w:tcBorders>
              <w:bottom w:val="single" w:sz="4" w:space="0" w:color="auto"/>
            </w:tcBorders>
          </w:tcPr>
          <w:p w14:paraId="64DDA3B3" w14:textId="1CC6F144"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 xml:space="preserve">The resubmission acknowledged the transitivity issues but maintained that the MONACH-2 and MONARCH-3 trials are the most robust estimates of outcomes in metastatic disease. </w:t>
            </w:r>
          </w:p>
          <w:p w14:paraId="17228902" w14:textId="77777777" w:rsidR="001753A4" w:rsidRPr="00BD3048" w:rsidRDefault="001753A4" w:rsidP="00E0492B">
            <w:pPr>
              <w:pStyle w:val="TableText0"/>
              <w:keepNext w:val="0"/>
              <w:rPr>
                <w:rFonts w:eastAsia="Times New Roman" w:cs="Arial"/>
                <w:bCs w:val="0"/>
                <w:iCs/>
                <w:snapToGrid w:val="0"/>
                <w:szCs w:val="20"/>
              </w:rPr>
            </w:pPr>
          </w:p>
          <w:p w14:paraId="12576B0B" w14:textId="1EE7349D" w:rsidR="00085F31" w:rsidRPr="00BD3048" w:rsidRDefault="00085F31" w:rsidP="00E0492B">
            <w:pPr>
              <w:pStyle w:val="TableText0"/>
              <w:keepNext w:val="0"/>
              <w:rPr>
                <w:rFonts w:eastAsia="Times New Roman" w:cs="Arial"/>
                <w:bCs w:val="0"/>
                <w:i/>
                <w:iCs/>
                <w:snapToGrid w:val="0"/>
                <w:szCs w:val="20"/>
              </w:rPr>
            </w:pPr>
          </w:p>
        </w:tc>
      </w:tr>
      <w:tr w:rsidR="00BF3BF2" w:rsidRPr="00787A0B" w14:paraId="5D2AB419" w14:textId="77777777" w:rsidTr="0074025F">
        <w:trPr>
          <w:cantSplit/>
        </w:trPr>
        <w:tc>
          <w:tcPr>
            <w:tcW w:w="1019" w:type="pct"/>
            <w:vMerge/>
            <w:vAlign w:val="center"/>
          </w:tcPr>
          <w:p w14:paraId="6D3DE29C" w14:textId="77777777" w:rsidR="00BF3BF2" w:rsidRPr="00787A0B" w:rsidRDefault="00BF3BF2" w:rsidP="00E0492B">
            <w:pPr>
              <w:pStyle w:val="TableText0"/>
              <w:keepNext w:val="0"/>
            </w:pPr>
          </w:p>
        </w:tc>
        <w:tc>
          <w:tcPr>
            <w:tcW w:w="2122" w:type="pct"/>
            <w:tcBorders>
              <w:bottom w:val="single" w:sz="4" w:space="0" w:color="auto"/>
            </w:tcBorders>
          </w:tcPr>
          <w:p w14:paraId="7A2B746D" w14:textId="60C55364" w:rsidR="00BF3BF2" w:rsidRPr="00787A0B" w:rsidRDefault="00BF3BF2" w:rsidP="00E0492B">
            <w:pPr>
              <w:pStyle w:val="TableText0"/>
              <w:keepNext w:val="0"/>
              <w:rPr>
                <w:rFonts w:eastAsia="Times New Roman" w:cs="Arial"/>
                <w:bCs w:val="0"/>
                <w:snapToGrid w:val="0"/>
                <w:szCs w:val="20"/>
              </w:rPr>
            </w:pPr>
            <w:r w:rsidRPr="00787A0B">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87A0B">
              <w:rPr>
                <w:rFonts w:eastAsia="Times New Roman" w:cs="Arial"/>
                <w:bCs w:val="0"/>
                <w:snapToGrid w:val="0"/>
                <w:szCs w:val="20"/>
              </w:rPr>
              <w:t xml:space="preserve">considered the costs and outcomes of the CDK4/6i treatments applied after metastatic recurrence did not reflect previously accepted ICERs and </w:t>
            </w:r>
            <w:r w:rsidRPr="00787A0B">
              <w:t>that the assumption that CDK4/6</w:t>
            </w:r>
            <w:r w:rsidR="009558DD">
              <w:t>i</w:t>
            </w:r>
            <w:r w:rsidRPr="00787A0B">
              <w:t xml:space="preserve"> treatment in this setting would not be cost-effective was not appropriate and favoured the abemaciclib arm in the economic model</w:t>
            </w:r>
            <w:r w:rsidR="006D42DC" w:rsidRPr="00787A0B">
              <w:t xml:space="preserve"> </w:t>
            </w:r>
            <w:r w:rsidR="006D42DC" w:rsidRPr="00787A0B">
              <w:rPr>
                <w:rFonts w:eastAsia="Times New Roman" w:cs="Arial"/>
                <w:bCs w:val="0"/>
                <w:snapToGrid w:val="0"/>
                <w:szCs w:val="20"/>
              </w:rPr>
              <w:t xml:space="preserve">(Para 7.12,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6D42DC" w:rsidRPr="00787A0B">
              <w:rPr>
                <w:rFonts w:eastAsia="Times New Roman" w:cs="Arial"/>
                <w:bCs w:val="0"/>
                <w:snapToGrid w:val="0"/>
                <w:szCs w:val="20"/>
              </w:rPr>
              <w:t>March 2022).</w:t>
            </w:r>
          </w:p>
        </w:tc>
        <w:tc>
          <w:tcPr>
            <w:tcW w:w="1859" w:type="pct"/>
            <w:tcBorders>
              <w:bottom w:val="single" w:sz="4" w:space="0" w:color="auto"/>
            </w:tcBorders>
          </w:tcPr>
          <w:p w14:paraId="701E803E" w14:textId="042E872B" w:rsidR="00BF3BF2" w:rsidRPr="00BD3048" w:rsidRDefault="0070615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T</w:t>
            </w:r>
            <w:r w:rsidR="00BF3BF2" w:rsidRPr="00BD3048">
              <w:rPr>
                <w:rFonts w:eastAsia="Times New Roman" w:cs="Arial"/>
                <w:bCs w:val="0"/>
                <w:iCs/>
                <w:snapToGrid w:val="0"/>
                <w:szCs w:val="20"/>
              </w:rPr>
              <w:t>he ICERs</w:t>
            </w:r>
            <w:r w:rsidRPr="00BD3048">
              <w:rPr>
                <w:rFonts w:eastAsia="Times New Roman" w:cs="Arial"/>
                <w:bCs w:val="0"/>
                <w:iCs/>
                <w:snapToGrid w:val="0"/>
                <w:szCs w:val="20"/>
              </w:rPr>
              <w:t xml:space="preserve"> </w:t>
            </w:r>
            <w:r w:rsidR="00BF3BF2" w:rsidRPr="00BD3048">
              <w:rPr>
                <w:rFonts w:eastAsia="Times New Roman" w:cs="Arial"/>
                <w:bCs w:val="0"/>
                <w:iCs/>
                <w:snapToGrid w:val="0"/>
                <w:szCs w:val="20"/>
              </w:rPr>
              <w:t xml:space="preserve">for the mix of therapies modelled in the metastatic setting have reduced </w:t>
            </w:r>
            <w:r w:rsidR="00BF3BF2" w:rsidRPr="00BD3048">
              <w:t>though remain higher than previously accepted</w:t>
            </w:r>
            <w:r w:rsidRPr="00BD3048">
              <w:t xml:space="preserve">, </w:t>
            </w:r>
            <w:r w:rsidR="00BF3BF2" w:rsidRPr="00BD3048">
              <w:t>$15,000-$45,000</w:t>
            </w:r>
            <w:r w:rsidR="006D42DC" w:rsidRPr="00BD3048">
              <w:rPr>
                <w:bCs w:val="0"/>
              </w:rPr>
              <w:t>.</w:t>
            </w:r>
          </w:p>
        </w:tc>
      </w:tr>
      <w:tr w:rsidR="00085F31" w:rsidRPr="00787A0B" w14:paraId="2C5FE8D9" w14:textId="77777777" w:rsidTr="0074025F">
        <w:trPr>
          <w:cantSplit/>
        </w:trPr>
        <w:tc>
          <w:tcPr>
            <w:tcW w:w="1019" w:type="pct"/>
            <w:vMerge/>
            <w:vAlign w:val="center"/>
          </w:tcPr>
          <w:p w14:paraId="072CD8A9" w14:textId="77777777" w:rsidR="00085F31" w:rsidRPr="00787A0B" w:rsidRDefault="00085F31" w:rsidP="00E0492B">
            <w:pPr>
              <w:pStyle w:val="TableText0"/>
              <w:keepNext w:val="0"/>
            </w:pPr>
          </w:p>
        </w:tc>
        <w:tc>
          <w:tcPr>
            <w:tcW w:w="2122" w:type="pct"/>
            <w:tcBorders>
              <w:bottom w:val="single" w:sz="4" w:space="0" w:color="auto"/>
            </w:tcBorders>
          </w:tcPr>
          <w:p w14:paraId="5E808CA8" w14:textId="06341B6B"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The PBAC</w:t>
            </w:r>
            <w:r w:rsidR="00BF0FCC">
              <w:rPr>
                <w:rFonts w:eastAsia="Times New Roman" w:cs="Arial"/>
                <w:bCs w:val="0"/>
                <w:snapToGrid w:val="0"/>
                <w:szCs w:val="20"/>
              </w:rPr>
              <w:t xml:space="preserve"> previously</w:t>
            </w:r>
            <w:r w:rsidRPr="00787A0B">
              <w:rPr>
                <w:rFonts w:eastAsia="Times New Roman" w:cs="Arial"/>
                <w:bCs w:val="0"/>
                <w:snapToGrid w:val="0"/>
                <w:szCs w:val="20"/>
              </w:rPr>
              <w:t xml:space="preserve"> </w:t>
            </w:r>
            <w:r w:rsidRPr="00787A0B">
              <w:t>considered that some CDK4/6</w:t>
            </w:r>
            <w:r w:rsidR="009558DD">
              <w:t>i</w:t>
            </w:r>
            <w:r w:rsidRPr="00787A0B">
              <w:t xml:space="preserve"> use would be likely post adjuvant abemaciclib treatment</w:t>
            </w:r>
            <w:r w:rsidR="006D42DC" w:rsidRPr="00787A0B">
              <w:t xml:space="preserve"> </w:t>
            </w:r>
            <w:r w:rsidR="006D42DC" w:rsidRPr="00787A0B">
              <w:rPr>
                <w:rFonts w:eastAsia="Times New Roman" w:cs="Arial"/>
                <w:bCs w:val="0"/>
                <w:snapToGrid w:val="0"/>
                <w:szCs w:val="20"/>
              </w:rPr>
              <w:t xml:space="preserve">(Para 7.12,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6D42DC" w:rsidRPr="00787A0B">
              <w:rPr>
                <w:rFonts w:eastAsia="Times New Roman" w:cs="Arial"/>
                <w:bCs w:val="0"/>
                <w:snapToGrid w:val="0"/>
                <w:szCs w:val="20"/>
              </w:rPr>
              <w:t>March 2022)</w:t>
            </w:r>
            <w:r w:rsidRPr="00787A0B">
              <w:t>.</w:t>
            </w:r>
          </w:p>
        </w:tc>
        <w:tc>
          <w:tcPr>
            <w:tcW w:w="1859" w:type="pct"/>
            <w:tcBorders>
              <w:bottom w:val="single" w:sz="4" w:space="0" w:color="auto"/>
            </w:tcBorders>
          </w:tcPr>
          <w:p w14:paraId="04A0EAE4" w14:textId="6E028827"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No CDK4/6</w:t>
            </w:r>
            <w:r w:rsidR="009558DD" w:rsidRPr="00BD3048">
              <w:rPr>
                <w:rFonts w:eastAsia="Times New Roman" w:cs="Arial"/>
                <w:bCs w:val="0"/>
                <w:iCs/>
                <w:snapToGrid w:val="0"/>
                <w:szCs w:val="20"/>
              </w:rPr>
              <w:t>i</w:t>
            </w:r>
            <w:r w:rsidRPr="00BD3048">
              <w:rPr>
                <w:rFonts w:eastAsia="Times New Roman" w:cs="Arial"/>
                <w:bCs w:val="0"/>
                <w:iCs/>
                <w:snapToGrid w:val="0"/>
                <w:szCs w:val="20"/>
              </w:rPr>
              <w:t xml:space="preserve"> use was assumed in the resubmission base case. A sensitivity analysis was presented</w:t>
            </w:r>
            <w:r w:rsidR="00C36864" w:rsidRPr="00BD3048">
              <w:rPr>
                <w:rFonts w:eastAsia="Times New Roman" w:cs="Arial"/>
                <w:bCs w:val="0"/>
                <w:iCs/>
                <w:snapToGrid w:val="0"/>
                <w:szCs w:val="20"/>
              </w:rPr>
              <w:t>,</w:t>
            </w:r>
            <w:r w:rsidRPr="00BD3048">
              <w:rPr>
                <w:rFonts w:eastAsia="Times New Roman" w:cs="Arial"/>
                <w:bCs w:val="0"/>
                <w:iCs/>
                <w:snapToGrid w:val="0"/>
                <w:szCs w:val="20"/>
              </w:rPr>
              <w:t xml:space="preserve"> though this assumed the same treatment effect of CDK4/6</w:t>
            </w:r>
            <w:r w:rsidR="009558DD" w:rsidRPr="00BD3048">
              <w:rPr>
                <w:rFonts w:eastAsia="Times New Roman" w:cs="Arial"/>
                <w:bCs w:val="0"/>
                <w:iCs/>
                <w:snapToGrid w:val="0"/>
                <w:szCs w:val="20"/>
              </w:rPr>
              <w:t>i</w:t>
            </w:r>
            <w:r w:rsidRPr="00BD3048">
              <w:rPr>
                <w:rFonts w:eastAsia="Times New Roman" w:cs="Arial"/>
                <w:bCs w:val="0"/>
                <w:iCs/>
                <w:snapToGrid w:val="0"/>
                <w:szCs w:val="20"/>
              </w:rPr>
              <w:t xml:space="preserve"> in patients irrespective of exposure to abemaciclib in the adjuvant setting.</w:t>
            </w:r>
          </w:p>
        </w:tc>
      </w:tr>
      <w:tr w:rsidR="00085F31" w:rsidRPr="00787A0B" w14:paraId="2FEDCE9C" w14:textId="77777777" w:rsidTr="004F7EE3">
        <w:trPr>
          <w:cantSplit/>
        </w:trPr>
        <w:tc>
          <w:tcPr>
            <w:tcW w:w="1019" w:type="pct"/>
            <w:vMerge/>
            <w:vAlign w:val="center"/>
          </w:tcPr>
          <w:p w14:paraId="623C9863" w14:textId="77777777" w:rsidR="00085F31" w:rsidRPr="00787A0B" w:rsidRDefault="00085F31" w:rsidP="00E0492B">
            <w:pPr>
              <w:pStyle w:val="TableText0"/>
              <w:keepNext w:val="0"/>
            </w:pPr>
          </w:p>
        </w:tc>
        <w:tc>
          <w:tcPr>
            <w:tcW w:w="2122" w:type="pct"/>
            <w:tcBorders>
              <w:bottom w:val="single" w:sz="4" w:space="0" w:color="auto"/>
            </w:tcBorders>
          </w:tcPr>
          <w:p w14:paraId="49AEFA50" w14:textId="5ECC3C57" w:rsidR="00085F31" w:rsidRPr="00787A0B" w:rsidRDefault="00085F31" w:rsidP="00E0492B">
            <w:pPr>
              <w:pStyle w:val="TableText0"/>
              <w:keepNext w:val="0"/>
              <w:rPr>
                <w:rFonts w:eastAsia="Times New Roman" w:cs="Arial"/>
                <w:bCs w:val="0"/>
                <w:snapToGrid w:val="0"/>
                <w:szCs w:val="20"/>
              </w:rPr>
            </w:pPr>
            <w:r w:rsidRPr="00787A0B">
              <w:rPr>
                <w:rFonts w:eastAsia="Times New Roman" w:cs="Arial"/>
                <w:bCs w:val="0"/>
                <w:snapToGrid w:val="0"/>
                <w:szCs w:val="20"/>
              </w:rPr>
              <w:t>T</w:t>
            </w:r>
            <w:r w:rsidRPr="00787A0B">
              <w:t>he PBAC</w:t>
            </w:r>
            <w:r w:rsidR="00BF0FCC">
              <w:t xml:space="preserve"> previously</w:t>
            </w:r>
            <w:r w:rsidRPr="00787A0B">
              <w:t xml:space="preserve"> considered the model was not a reliable basis for decision making and noted that estimates of life years gained per metastatic recurrence or recurrence avoided were implausibly high</w:t>
            </w:r>
            <w:r w:rsidR="006D42DC" w:rsidRPr="00787A0B">
              <w:t xml:space="preserve"> </w:t>
            </w:r>
            <w:r w:rsidR="006D42DC" w:rsidRPr="00787A0B">
              <w:rPr>
                <w:rFonts w:eastAsia="Times New Roman" w:cs="Arial"/>
                <w:bCs w:val="0"/>
                <w:snapToGrid w:val="0"/>
                <w:szCs w:val="20"/>
              </w:rPr>
              <w:t xml:space="preserve">(Para 7.13, </w:t>
            </w:r>
            <w:r w:rsidR="002B2B34" w:rsidRPr="00787A0B">
              <w:rPr>
                <w:rFonts w:eastAsia="Times New Roman" w:cs="Arial"/>
                <w:bCs w:val="0"/>
                <w:snapToGrid w:val="0"/>
                <w:szCs w:val="20"/>
              </w:rPr>
              <w:t xml:space="preserve">Abemaciclib </w:t>
            </w:r>
            <w:r w:rsidR="004A17AD" w:rsidRPr="00787A0B">
              <w:rPr>
                <w:rFonts w:eastAsia="Times New Roman" w:cs="Arial"/>
                <w:bCs w:val="0"/>
                <w:snapToGrid w:val="0"/>
                <w:szCs w:val="20"/>
              </w:rPr>
              <w:t xml:space="preserve">PSD, </w:t>
            </w:r>
            <w:r w:rsidR="006D42DC" w:rsidRPr="00787A0B">
              <w:rPr>
                <w:rFonts w:eastAsia="Times New Roman" w:cs="Arial"/>
                <w:bCs w:val="0"/>
                <w:snapToGrid w:val="0"/>
                <w:szCs w:val="20"/>
              </w:rPr>
              <w:t>March 2022)</w:t>
            </w:r>
            <w:r w:rsidRPr="00787A0B">
              <w:t>.</w:t>
            </w:r>
          </w:p>
        </w:tc>
        <w:tc>
          <w:tcPr>
            <w:tcW w:w="1859" w:type="pct"/>
            <w:tcBorders>
              <w:bottom w:val="single" w:sz="4" w:space="0" w:color="auto"/>
            </w:tcBorders>
          </w:tcPr>
          <w:p w14:paraId="58C59B90" w14:textId="60A3206D" w:rsidR="00085F31" w:rsidRPr="00BD3048" w:rsidRDefault="00085F31" w:rsidP="00E0492B">
            <w:pPr>
              <w:pStyle w:val="TableText0"/>
              <w:keepNext w:val="0"/>
              <w:rPr>
                <w:rFonts w:eastAsia="Times New Roman" w:cs="Arial"/>
                <w:bCs w:val="0"/>
                <w:iCs/>
                <w:snapToGrid w:val="0"/>
                <w:szCs w:val="20"/>
              </w:rPr>
            </w:pPr>
            <w:r w:rsidRPr="00BD3048">
              <w:rPr>
                <w:rFonts w:eastAsia="Times New Roman" w:cs="Arial"/>
                <w:bCs w:val="0"/>
                <w:iCs/>
                <w:snapToGrid w:val="0"/>
                <w:szCs w:val="20"/>
              </w:rPr>
              <w:t xml:space="preserve">The resubmission’s base case predicts lower </w:t>
            </w:r>
            <w:r w:rsidRPr="00BD3048">
              <w:t xml:space="preserve">life years gained per metastatic recurrence or recurrence avoided, however these remain higher than what was previously accepted in similar adjuvant breast cancer submissions to the PBAC.  </w:t>
            </w:r>
          </w:p>
        </w:tc>
      </w:tr>
      <w:tr w:rsidR="00085F31" w:rsidRPr="007129E9" w14:paraId="263E2E1D" w14:textId="77777777" w:rsidTr="004F7EE3">
        <w:trPr>
          <w:cantSplit/>
        </w:trPr>
        <w:tc>
          <w:tcPr>
            <w:tcW w:w="1019" w:type="pct"/>
            <w:vMerge w:val="restart"/>
            <w:vAlign w:val="center"/>
          </w:tcPr>
          <w:p w14:paraId="1CBB7AB7" w14:textId="366809EB" w:rsidR="00085F31" w:rsidRPr="007129E9" w:rsidRDefault="00085F31" w:rsidP="00E0492B">
            <w:pPr>
              <w:pStyle w:val="TableText0"/>
              <w:keepNext w:val="0"/>
            </w:pPr>
            <w:r w:rsidRPr="007129E9">
              <w:t>Financial estimates</w:t>
            </w:r>
          </w:p>
        </w:tc>
        <w:tc>
          <w:tcPr>
            <w:tcW w:w="2122" w:type="pct"/>
            <w:tcBorders>
              <w:bottom w:val="single" w:sz="4" w:space="0" w:color="auto"/>
            </w:tcBorders>
          </w:tcPr>
          <w:p w14:paraId="2B633E0F" w14:textId="39B1B2DF" w:rsidR="00085F31" w:rsidRPr="007129E9" w:rsidRDefault="00085F31" w:rsidP="00E0492B">
            <w:pPr>
              <w:pStyle w:val="TableText0"/>
              <w:keepNext w:val="0"/>
              <w:rPr>
                <w:rFonts w:eastAsia="Times New Roman" w:cs="Arial"/>
                <w:bCs w:val="0"/>
                <w:snapToGrid w:val="0"/>
                <w:szCs w:val="20"/>
              </w:rPr>
            </w:pPr>
            <w:r w:rsidRPr="007129E9">
              <w:rPr>
                <w:rFonts w:eastAsia="Times New Roman" w:cs="Arial"/>
                <w:bCs w:val="0"/>
                <w:snapToGrid w:val="0"/>
                <w:szCs w:val="20"/>
              </w:rPr>
              <w:t xml:space="preserve">The PBAC </w:t>
            </w:r>
            <w:r w:rsidR="00BF0FCC">
              <w:rPr>
                <w:rFonts w:eastAsia="Times New Roman" w:cs="Arial"/>
                <w:bCs w:val="0"/>
                <w:snapToGrid w:val="0"/>
                <w:szCs w:val="20"/>
              </w:rPr>
              <w:t xml:space="preserve">previously </w:t>
            </w:r>
            <w:r w:rsidRPr="007129E9">
              <w:rPr>
                <w:rFonts w:eastAsia="Times New Roman" w:cs="Arial"/>
                <w:bCs w:val="0"/>
                <w:snapToGrid w:val="0"/>
                <w:szCs w:val="20"/>
              </w:rPr>
              <w:t xml:space="preserve">considered the financial estimates presented in the submission were overestimated and a resubmission should present revised financial estimates consistent with the DUSC advice for: </w:t>
            </w:r>
          </w:p>
          <w:p w14:paraId="5F5F9240" w14:textId="2E88CB00" w:rsidR="00085F31" w:rsidRPr="007129E9" w:rsidRDefault="00085F31" w:rsidP="00E0492B">
            <w:pPr>
              <w:pStyle w:val="TableText0"/>
              <w:keepNext w:val="0"/>
              <w:rPr>
                <w:rFonts w:eastAsia="Times New Roman" w:cs="Arial"/>
                <w:bCs w:val="0"/>
                <w:snapToGrid w:val="0"/>
                <w:szCs w:val="20"/>
              </w:rPr>
            </w:pPr>
            <w:r w:rsidRPr="007129E9">
              <w:rPr>
                <w:rFonts w:eastAsia="Times New Roman" w:cs="Arial"/>
                <w:bCs w:val="0"/>
                <w:snapToGrid w:val="0"/>
                <w:szCs w:val="20"/>
              </w:rPr>
              <w:t>- reduction to the assumed uptake and compliance rates, and duration of therapy</w:t>
            </w:r>
          </w:p>
        </w:tc>
        <w:tc>
          <w:tcPr>
            <w:tcW w:w="1859" w:type="pct"/>
            <w:tcBorders>
              <w:bottom w:val="single" w:sz="4" w:space="0" w:color="auto"/>
            </w:tcBorders>
          </w:tcPr>
          <w:p w14:paraId="707A7DEF" w14:textId="6710664A" w:rsidR="00085F31" w:rsidRPr="00BD3048" w:rsidRDefault="00085F31" w:rsidP="00E0492B">
            <w:pPr>
              <w:pStyle w:val="TableText0"/>
              <w:keepNext w:val="0"/>
              <w:rPr>
                <w:rFonts w:eastAsia="Times New Roman" w:cs="Arial"/>
                <w:bCs w:val="0"/>
                <w:snapToGrid w:val="0"/>
                <w:szCs w:val="20"/>
              </w:rPr>
            </w:pPr>
            <w:r w:rsidRPr="00BD3048">
              <w:rPr>
                <w:rFonts w:eastAsia="Times New Roman" w:cs="Arial"/>
                <w:bCs w:val="0"/>
                <w:snapToGrid w:val="0"/>
                <w:szCs w:val="20"/>
              </w:rPr>
              <w:t xml:space="preserve">The resubmission stated that these inputs had been reviewed, and mostly retained as they continue to represent robust data. However, the resubmission did not provide sufficient clinical evidence to support these assumptions (other than expert opinion). </w:t>
            </w:r>
          </w:p>
        </w:tc>
      </w:tr>
      <w:tr w:rsidR="00C31C6D" w:rsidRPr="007129E9" w14:paraId="7340159E" w14:textId="77777777" w:rsidTr="004F7EE3">
        <w:trPr>
          <w:cantSplit/>
          <w:trHeight w:val="1063"/>
        </w:trPr>
        <w:tc>
          <w:tcPr>
            <w:tcW w:w="1019" w:type="pct"/>
            <w:vMerge/>
            <w:vAlign w:val="center"/>
          </w:tcPr>
          <w:p w14:paraId="2400F999" w14:textId="77777777" w:rsidR="00C31C6D" w:rsidRPr="007129E9" w:rsidRDefault="00C31C6D" w:rsidP="00E0492B">
            <w:pPr>
              <w:pStyle w:val="TableText0"/>
              <w:keepNext w:val="0"/>
            </w:pPr>
          </w:p>
        </w:tc>
        <w:tc>
          <w:tcPr>
            <w:tcW w:w="2122" w:type="pct"/>
            <w:tcBorders>
              <w:top w:val="single" w:sz="4" w:space="0" w:color="auto"/>
            </w:tcBorders>
          </w:tcPr>
          <w:p w14:paraId="2D4A2C8E" w14:textId="2C3DF317" w:rsidR="00C31C6D" w:rsidRPr="007129E9" w:rsidRDefault="00C31C6D" w:rsidP="006D42DC">
            <w:pPr>
              <w:pStyle w:val="TableText0"/>
              <w:keepNext w:val="0"/>
              <w:rPr>
                <w:rFonts w:eastAsia="Times New Roman" w:cs="Arial"/>
                <w:bCs w:val="0"/>
                <w:snapToGrid w:val="0"/>
                <w:szCs w:val="20"/>
              </w:rPr>
            </w:pPr>
            <w:r w:rsidRPr="007129E9">
              <w:rPr>
                <w:rFonts w:eastAsia="Times New Roman" w:cs="Arial"/>
                <w:bCs w:val="0"/>
                <w:snapToGrid w:val="0"/>
                <w:szCs w:val="20"/>
              </w:rPr>
              <w:t>- review the costs used for metastatic recurrence and AEs</w:t>
            </w:r>
            <w:r>
              <w:rPr>
                <w:rFonts w:eastAsia="Times New Roman" w:cs="Arial"/>
                <w:bCs w:val="0"/>
                <w:snapToGrid w:val="0"/>
                <w:szCs w:val="20"/>
              </w:rPr>
              <w:t xml:space="preserve"> </w:t>
            </w:r>
            <w:r w:rsidRPr="007129E9">
              <w:rPr>
                <w:rFonts w:eastAsia="Times New Roman" w:cs="Arial"/>
                <w:bCs w:val="0"/>
                <w:snapToGrid w:val="0"/>
                <w:szCs w:val="20"/>
              </w:rPr>
              <w:t xml:space="preserve">(Para 7.14-7.15, </w:t>
            </w:r>
            <w:r>
              <w:rPr>
                <w:rFonts w:eastAsia="Times New Roman" w:cs="Arial"/>
                <w:bCs w:val="0"/>
                <w:snapToGrid w:val="0"/>
                <w:szCs w:val="20"/>
              </w:rPr>
              <w:t xml:space="preserve">Abemaciclib PSD, </w:t>
            </w:r>
            <w:r w:rsidRPr="007129E9">
              <w:rPr>
                <w:rFonts w:eastAsia="Times New Roman" w:cs="Arial"/>
                <w:bCs w:val="0"/>
                <w:snapToGrid w:val="0"/>
                <w:szCs w:val="20"/>
              </w:rPr>
              <w:t>March 2022)</w:t>
            </w:r>
            <w:r>
              <w:rPr>
                <w:rFonts w:eastAsia="Times New Roman" w:cs="Arial"/>
                <w:bCs w:val="0"/>
                <w:snapToGrid w:val="0"/>
                <w:szCs w:val="20"/>
              </w:rPr>
              <w:t>.</w:t>
            </w:r>
          </w:p>
          <w:p w14:paraId="5474359A" w14:textId="573203E8" w:rsidR="00C31C6D" w:rsidRPr="007129E9" w:rsidRDefault="00C31C6D" w:rsidP="00E0492B">
            <w:pPr>
              <w:pStyle w:val="TableText0"/>
              <w:keepNext w:val="0"/>
              <w:rPr>
                <w:rFonts w:eastAsia="Times New Roman" w:cs="Arial"/>
                <w:bCs w:val="0"/>
                <w:snapToGrid w:val="0"/>
                <w:szCs w:val="20"/>
              </w:rPr>
            </w:pPr>
          </w:p>
        </w:tc>
        <w:tc>
          <w:tcPr>
            <w:tcW w:w="1859" w:type="pct"/>
            <w:tcBorders>
              <w:top w:val="single" w:sz="4" w:space="0" w:color="auto"/>
            </w:tcBorders>
          </w:tcPr>
          <w:p w14:paraId="093938AE" w14:textId="1B4AD36E" w:rsidR="00C31C6D" w:rsidRPr="00BD3048" w:rsidRDefault="00C31C6D" w:rsidP="00E0492B">
            <w:pPr>
              <w:pStyle w:val="TableText0"/>
              <w:keepNext w:val="0"/>
              <w:rPr>
                <w:rFonts w:eastAsia="Times New Roman" w:cs="Arial"/>
                <w:bCs w:val="0"/>
                <w:snapToGrid w:val="0"/>
                <w:szCs w:val="20"/>
              </w:rPr>
            </w:pPr>
            <w:r w:rsidRPr="00BD3048">
              <w:rPr>
                <w:rFonts w:eastAsia="Times New Roman" w:cs="Arial"/>
                <w:bCs w:val="0"/>
                <w:snapToGrid w:val="0"/>
                <w:szCs w:val="20"/>
              </w:rPr>
              <w:t>-The costs for metastatic recurrence was not addressed. Costs related to AEs (other than the cost associated with antidiarrhoeals (e.g. loperamide), remain outstanding.</w:t>
            </w:r>
          </w:p>
        </w:tc>
      </w:tr>
    </w:tbl>
    <w:p w14:paraId="1C687B98" w14:textId="7403F3BC" w:rsidR="005C25FF" w:rsidRDefault="005C25FF" w:rsidP="004E18E9">
      <w:pPr>
        <w:pStyle w:val="FooterTableFigure"/>
      </w:pPr>
      <w:r w:rsidRPr="007129E9">
        <w:t xml:space="preserve">Source: </w:t>
      </w:r>
      <w:r w:rsidR="008D6CA5">
        <w:t xml:space="preserve">Abemaciclib </w:t>
      </w:r>
      <w:r w:rsidR="00FA2631">
        <w:t>Public Summary Document</w:t>
      </w:r>
      <w:r w:rsidR="008D6CA5">
        <w:t xml:space="preserve">, March 2022 </w:t>
      </w:r>
    </w:p>
    <w:p w14:paraId="364F2A60" w14:textId="75395B50" w:rsidR="0077611C" w:rsidRDefault="00792D03" w:rsidP="001066DB">
      <w:pPr>
        <w:pStyle w:val="FooterTableFigure"/>
      </w:pPr>
      <w:r>
        <w:t xml:space="preserve">AEs = adverse events; CDK = cyclin-dependent kinase; </w:t>
      </w:r>
      <w:r w:rsidR="009558DD" w:rsidRPr="00FA0201">
        <w:rPr>
          <w:iCs/>
          <w:szCs w:val="20"/>
        </w:rPr>
        <w:t>CDK4/6i</w:t>
      </w:r>
      <w:r w:rsidR="009558DD" w:rsidRPr="00FA0201">
        <w:rPr>
          <w:iCs/>
        </w:rPr>
        <w:t xml:space="preserve"> = CDK4/6 inhibitor;</w:t>
      </w:r>
      <w:r w:rsidR="009558DD">
        <w:t xml:space="preserve"> </w:t>
      </w:r>
      <w:r w:rsidR="00330C76">
        <w:t xml:space="preserve">DUSC = Drug Utilisation Sub-Committee; </w:t>
      </w:r>
      <w:r w:rsidR="0064784D">
        <w:t xml:space="preserve">ICER, incremental cost-effectiveness ratio; </w:t>
      </w:r>
      <w:r w:rsidR="00FA2631">
        <w:t xml:space="preserve">IDFS = invasive </w:t>
      </w:r>
      <w:r w:rsidR="007029FE">
        <w:t>disease-free</w:t>
      </w:r>
      <w:r w:rsidR="00FA2631">
        <w:t xml:space="preserve"> survival; OS = overall survival; PBAC = Pharmaceutical Benefits Advisory Committee</w:t>
      </w:r>
      <w:r w:rsidR="00330C76">
        <w:t>; PSD = public summary document</w:t>
      </w:r>
    </w:p>
    <w:p w14:paraId="73C0C207" w14:textId="77777777" w:rsidR="0077611C" w:rsidRPr="00C33D30" w:rsidRDefault="0077611C" w:rsidP="0077611C">
      <w:pPr>
        <w:rPr>
          <w:rFonts w:asciiTheme="minorHAnsi" w:hAnsiTheme="minorHAnsi"/>
          <w:i/>
        </w:rPr>
      </w:pPr>
      <w:bookmarkStart w:id="8" w:name="_Hlk76375324"/>
      <w:r w:rsidRPr="00C33D30">
        <w:rPr>
          <w:rFonts w:asciiTheme="minorHAnsi" w:hAnsiTheme="minorHAnsi"/>
          <w:i/>
        </w:rPr>
        <w:t>For more detail on PBAC’s view, see section 7 PBAC outcome.</w:t>
      </w:r>
    </w:p>
    <w:p w14:paraId="6F5A2D83" w14:textId="77777777" w:rsidR="00B60939" w:rsidRPr="00882085" w:rsidRDefault="00B50DB8" w:rsidP="00927EF8">
      <w:pPr>
        <w:pStyle w:val="2-SectionHeading"/>
        <w:spacing w:before="120"/>
      </w:pPr>
      <w:bookmarkStart w:id="9" w:name="_Toc107902078"/>
      <w:bookmarkStart w:id="10" w:name="_Toc124940299"/>
      <w:bookmarkEnd w:id="8"/>
      <w:bookmarkEnd w:id="9"/>
      <w:r w:rsidRPr="00407F2D">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4"/>
        <w:gridCol w:w="2189"/>
        <w:gridCol w:w="828"/>
        <w:gridCol w:w="826"/>
        <w:gridCol w:w="828"/>
        <w:gridCol w:w="1322"/>
      </w:tblGrid>
      <w:tr w:rsidR="00986964" w:rsidRPr="001428E9" w14:paraId="7AD66D99" w14:textId="77777777" w:rsidTr="00202EF4">
        <w:trPr>
          <w:trHeight w:val="20"/>
        </w:trPr>
        <w:tc>
          <w:tcPr>
            <w:tcW w:w="1677" w:type="pct"/>
            <w:vAlign w:val="center"/>
          </w:tcPr>
          <w:p w14:paraId="1E5184C9" w14:textId="77777777" w:rsidR="00986964" w:rsidRPr="001428E9" w:rsidRDefault="00986964" w:rsidP="0013119A">
            <w:pPr>
              <w:keepLines/>
              <w:rPr>
                <w:rFonts w:ascii="Arial Narrow" w:hAnsi="Arial Narrow"/>
                <w:b/>
                <w:bCs/>
                <w:sz w:val="20"/>
                <w:szCs w:val="20"/>
              </w:rPr>
            </w:pPr>
            <w:r w:rsidRPr="001428E9">
              <w:rPr>
                <w:rFonts w:ascii="Arial Narrow" w:hAnsi="Arial Narrow"/>
                <w:b/>
                <w:bCs/>
                <w:sz w:val="20"/>
                <w:szCs w:val="20"/>
              </w:rPr>
              <w:t>MEDICINAL PRODUCT</w:t>
            </w:r>
          </w:p>
          <w:p w14:paraId="385FDE19" w14:textId="77777777" w:rsidR="00986964" w:rsidRPr="001428E9" w:rsidRDefault="00986964" w:rsidP="0013119A">
            <w:pPr>
              <w:keepLines/>
              <w:rPr>
                <w:rFonts w:ascii="Arial Narrow" w:hAnsi="Arial Narrow"/>
                <w:b/>
                <w:sz w:val="20"/>
                <w:szCs w:val="20"/>
              </w:rPr>
            </w:pPr>
            <w:r w:rsidRPr="001428E9">
              <w:rPr>
                <w:rFonts w:ascii="Arial Narrow" w:hAnsi="Arial Narrow"/>
                <w:b/>
                <w:bCs/>
                <w:sz w:val="20"/>
                <w:szCs w:val="20"/>
              </w:rPr>
              <w:t>medicinal product pack</w:t>
            </w:r>
          </w:p>
        </w:tc>
        <w:tc>
          <w:tcPr>
            <w:tcW w:w="1214" w:type="pct"/>
            <w:vAlign w:val="center"/>
          </w:tcPr>
          <w:p w14:paraId="50D83F12" w14:textId="77777777" w:rsidR="00986964" w:rsidRPr="00C61A59" w:rsidRDefault="00986964" w:rsidP="0013119A">
            <w:pPr>
              <w:pStyle w:val="TableText0"/>
              <w:keepNext w:val="0"/>
              <w:keepLines/>
              <w:rPr>
                <w:b/>
                <w:bCs w:val="0"/>
                <w:szCs w:val="20"/>
              </w:rPr>
            </w:pPr>
            <w:r w:rsidRPr="00C61A59">
              <w:rPr>
                <w:b/>
                <w:bCs w:val="0"/>
                <w:snapToGrid w:val="0"/>
              </w:rPr>
              <w:t xml:space="preserve">Dispensed Price for Max. Qty </w:t>
            </w:r>
          </w:p>
        </w:tc>
        <w:tc>
          <w:tcPr>
            <w:tcW w:w="459" w:type="pct"/>
            <w:vAlign w:val="center"/>
          </w:tcPr>
          <w:p w14:paraId="12F87527" w14:textId="77777777" w:rsidR="00986964" w:rsidRPr="001428E9" w:rsidRDefault="00986964" w:rsidP="0013119A">
            <w:pPr>
              <w:keepLines/>
              <w:jc w:val="center"/>
              <w:rPr>
                <w:rFonts w:ascii="Arial Narrow" w:hAnsi="Arial Narrow"/>
                <w:b/>
                <w:sz w:val="20"/>
                <w:szCs w:val="20"/>
              </w:rPr>
            </w:pPr>
            <w:r w:rsidRPr="001428E9">
              <w:rPr>
                <w:rFonts w:ascii="Arial Narrow" w:hAnsi="Arial Narrow"/>
                <w:b/>
                <w:sz w:val="20"/>
                <w:szCs w:val="20"/>
              </w:rPr>
              <w:t>Max. qty packs</w:t>
            </w:r>
          </w:p>
        </w:tc>
        <w:tc>
          <w:tcPr>
            <w:tcW w:w="458" w:type="pct"/>
            <w:vAlign w:val="center"/>
          </w:tcPr>
          <w:p w14:paraId="60B303F3" w14:textId="77777777" w:rsidR="00986964" w:rsidRPr="001428E9" w:rsidRDefault="00986964" w:rsidP="0013119A">
            <w:pPr>
              <w:keepLines/>
              <w:jc w:val="center"/>
              <w:rPr>
                <w:rFonts w:ascii="Arial Narrow" w:hAnsi="Arial Narrow"/>
                <w:b/>
                <w:sz w:val="20"/>
                <w:szCs w:val="20"/>
              </w:rPr>
            </w:pPr>
            <w:r w:rsidRPr="001428E9">
              <w:rPr>
                <w:rFonts w:ascii="Arial Narrow" w:hAnsi="Arial Narrow"/>
                <w:b/>
                <w:sz w:val="20"/>
                <w:szCs w:val="20"/>
              </w:rPr>
              <w:t>Max. qty units</w:t>
            </w:r>
          </w:p>
        </w:tc>
        <w:tc>
          <w:tcPr>
            <w:tcW w:w="459" w:type="pct"/>
            <w:vAlign w:val="center"/>
          </w:tcPr>
          <w:p w14:paraId="4EAB769D" w14:textId="77777777" w:rsidR="00986964" w:rsidRPr="001428E9" w:rsidRDefault="00986964" w:rsidP="0013119A">
            <w:pPr>
              <w:keepLines/>
              <w:jc w:val="center"/>
              <w:rPr>
                <w:rFonts w:ascii="Arial Narrow" w:hAnsi="Arial Narrow"/>
                <w:b/>
                <w:sz w:val="20"/>
                <w:szCs w:val="20"/>
              </w:rPr>
            </w:pPr>
            <w:r w:rsidRPr="001428E9">
              <w:rPr>
                <w:rFonts w:ascii="Arial Narrow" w:hAnsi="Arial Narrow"/>
                <w:b/>
                <w:sz w:val="20"/>
                <w:szCs w:val="20"/>
              </w:rPr>
              <w:t>№.of</w:t>
            </w:r>
          </w:p>
          <w:p w14:paraId="22F2501C" w14:textId="77777777" w:rsidR="00986964" w:rsidRPr="001428E9" w:rsidRDefault="00986964" w:rsidP="0013119A">
            <w:pPr>
              <w:keepLines/>
              <w:jc w:val="center"/>
              <w:rPr>
                <w:rFonts w:ascii="Arial Narrow" w:hAnsi="Arial Narrow"/>
                <w:b/>
                <w:sz w:val="20"/>
                <w:szCs w:val="20"/>
              </w:rPr>
            </w:pPr>
            <w:r w:rsidRPr="001428E9">
              <w:rPr>
                <w:rFonts w:ascii="Arial Narrow" w:hAnsi="Arial Narrow"/>
                <w:b/>
                <w:sz w:val="20"/>
                <w:szCs w:val="20"/>
              </w:rPr>
              <w:t>Rpts</w:t>
            </w:r>
          </w:p>
        </w:tc>
        <w:tc>
          <w:tcPr>
            <w:tcW w:w="733" w:type="pct"/>
            <w:vAlign w:val="center"/>
          </w:tcPr>
          <w:p w14:paraId="44F80B4D" w14:textId="77777777" w:rsidR="00986964" w:rsidRPr="001428E9" w:rsidRDefault="00986964" w:rsidP="0013119A">
            <w:pPr>
              <w:keepLines/>
              <w:rPr>
                <w:rFonts w:ascii="Arial Narrow" w:hAnsi="Arial Narrow"/>
                <w:b/>
                <w:sz w:val="20"/>
                <w:szCs w:val="20"/>
                <w:lang w:val="fr-FR"/>
              </w:rPr>
            </w:pPr>
            <w:r w:rsidRPr="001428E9">
              <w:rPr>
                <w:rFonts w:ascii="Arial Narrow" w:hAnsi="Arial Narrow"/>
                <w:b/>
                <w:sz w:val="20"/>
                <w:szCs w:val="20"/>
              </w:rPr>
              <w:t>Available brands</w:t>
            </w:r>
          </w:p>
        </w:tc>
      </w:tr>
      <w:tr w:rsidR="00986964" w:rsidRPr="001428E9" w14:paraId="5FE74297" w14:textId="77777777" w:rsidTr="00202EF4">
        <w:trPr>
          <w:trHeight w:val="20"/>
        </w:trPr>
        <w:tc>
          <w:tcPr>
            <w:tcW w:w="5000" w:type="pct"/>
            <w:gridSpan w:val="6"/>
            <w:vAlign w:val="center"/>
          </w:tcPr>
          <w:p w14:paraId="0F37849D" w14:textId="77777777" w:rsidR="00986964" w:rsidRPr="001428E9" w:rsidRDefault="00986964" w:rsidP="0013119A">
            <w:pPr>
              <w:pStyle w:val="TableText0"/>
              <w:keepNext w:val="0"/>
              <w:keepLines/>
              <w:rPr>
                <w:rFonts w:cs="Arial"/>
                <w:szCs w:val="20"/>
              </w:rPr>
            </w:pPr>
            <w:r>
              <w:t>Abemaciclib</w:t>
            </w:r>
            <w:r w:rsidRPr="003A4C14">
              <w:rPr>
                <w:rFonts w:cs="Arial"/>
                <w:color w:val="0066FF"/>
                <w:szCs w:val="20"/>
              </w:rPr>
              <w:t xml:space="preserve"> </w:t>
            </w:r>
          </w:p>
        </w:tc>
      </w:tr>
      <w:tr w:rsidR="00986964" w:rsidRPr="003A4C14" w14:paraId="5C98E20D" w14:textId="77777777" w:rsidTr="00202EF4">
        <w:trPr>
          <w:trHeight w:val="20"/>
        </w:trPr>
        <w:tc>
          <w:tcPr>
            <w:tcW w:w="1677" w:type="pct"/>
            <w:shd w:val="clear" w:color="auto" w:fill="95B3D7" w:themeFill="accent1" w:themeFillTint="99"/>
            <w:vAlign w:val="center"/>
          </w:tcPr>
          <w:p w14:paraId="45F2869A" w14:textId="77777777" w:rsidR="00986964" w:rsidRPr="003A4C14" w:rsidRDefault="00986964" w:rsidP="0013119A">
            <w:pPr>
              <w:pStyle w:val="TableText0"/>
              <w:keepNext w:val="0"/>
              <w:keepLines/>
              <w:rPr>
                <w:color w:val="0066FF"/>
                <w:szCs w:val="20"/>
              </w:rPr>
            </w:pPr>
            <w:r>
              <w:t>Abemaciclib, 150mg tablet, 56</w:t>
            </w:r>
          </w:p>
          <w:p w14:paraId="0422A36E" w14:textId="77777777" w:rsidR="00986964" w:rsidRPr="003A4C14" w:rsidRDefault="00986964" w:rsidP="0013119A">
            <w:pPr>
              <w:keepLines/>
              <w:rPr>
                <w:rFonts w:ascii="Arial Narrow" w:hAnsi="Arial Narrow"/>
                <w:color w:val="0066FF"/>
                <w:sz w:val="20"/>
                <w:szCs w:val="20"/>
              </w:rPr>
            </w:pPr>
            <w:r w:rsidRPr="003A4C14">
              <w:rPr>
                <w:rFonts w:ascii="Arial Narrow" w:hAnsi="Arial Narrow"/>
                <w:color w:val="0066FF"/>
                <w:sz w:val="20"/>
                <w:szCs w:val="20"/>
              </w:rPr>
              <w:t xml:space="preserve"> </w:t>
            </w:r>
          </w:p>
        </w:tc>
        <w:tc>
          <w:tcPr>
            <w:tcW w:w="1214" w:type="pct"/>
          </w:tcPr>
          <w:p w14:paraId="3FE47280" w14:textId="77777777" w:rsidR="00986964" w:rsidRPr="00565C79" w:rsidRDefault="00986964" w:rsidP="0013119A">
            <w:pPr>
              <w:pStyle w:val="TableText0"/>
              <w:keepNext w:val="0"/>
              <w:keepLines/>
              <w:jc w:val="center"/>
            </w:pPr>
            <w:r w:rsidRPr="00565C79">
              <w:t>$</w:t>
            </w:r>
            <w:r>
              <w:t>4,249.13</w:t>
            </w:r>
            <w:r w:rsidRPr="00565C79">
              <w:t xml:space="preserve"> published price</w:t>
            </w:r>
          </w:p>
          <w:p w14:paraId="3A09738A" w14:textId="1869A027" w:rsidR="00986964" w:rsidRPr="001428E9" w:rsidRDefault="00986964" w:rsidP="0013119A">
            <w:pPr>
              <w:pStyle w:val="TableText0"/>
              <w:keepNext w:val="0"/>
              <w:keepLines/>
              <w:jc w:val="center"/>
              <w:rPr>
                <w:szCs w:val="20"/>
              </w:rPr>
            </w:pPr>
            <w:r w:rsidRPr="00565C79">
              <w:t>$</w:t>
            </w:r>
            <w:r w:rsidR="0013119A" w:rsidRPr="0013119A">
              <w:rPr>
                <w:color w:val="000000"/>
                <w:spacing w:val="51"/>
                <w:shd w:val="solid" w:color="000000" w:fill="000000"/>
                <w:fitText w:val="325" w:id="-1233471488"/>
                <w14:textFill>
                  <w14:solidFill>
                    <w14:srgbClr w14:val="000000">
                      <w14:alpha w14:val="100000"/>
                    </w14:srgbClr>
                  </w14:solidFill>
                </w14:textFill>
              </w:rPr>
              <w:t>|||</w:t>
            </w:r>
            <w:r w:rsidR="0013119A" w:rsidRPr="0013119A">
              <w:rPr>
                <w:color w:val="000000"/>
                <w:spacing w:val="2"/>
                <w:shd w:val="solid" w:color="000000" w:fill="000000"/>
                <w:fitText w:val="325" w:id="-1233471488"/>
                <w14:textFill>
                  <w14:solidFill>
                    <w14:srgbClr w14:val="000000">
                      <w14:alpha w14:val="100000"/>
                    </w14:srgbClr>
                  </w14:solidFill>
                </w14:textFill>
              </w:rPr>
              <w:t>|</w:t>
            </w:r>
            <w:r w:rsidR="008759DD" w:rsidRPr="008759DD">
              <w:t xml:space="preserve"> </w:t>
            </w:r>
            <w:r w:rsidRPr="00565C79">
              <w:t xml:space="preserve"> effective price</w:t>
            </w:r>
          </w:p>
        </w:tc>
        <w:tc>
          <w:tcPr>
            <w:tcW w:w="459" w:type="pct"/>
            <w:shd w:val="clear" w:color="auto" w:fill="95B3D7" w:themeFill="accent1" w:themeFillTint="99"/>
            <w:vAlign w:val="center"/>
          </w:tcPr>
          <w:p w14:paraId="17A24336" w14:textId="77777777" w:rsidR="00986964" w:rsidRPr="001428E9" w:rsidRDefault="00986964" w:rsidP="0013119A">
            <w:pPr>
              <w:keepLines/>
              <w:jc w:val="center"/>
              <w:rPr>
                <w:rFonts w:ascii="Arial Narrow" w:hAnsi="Arial Narrow"/>
                <w:sz w:val="20"/>
                <w:szCs w:val="20"/>
              </w:rPr>
            </w:pPr>
            <w:r>
              <w:rPr>
                <w:rFonts w:ascii="Arial Narrow" w:hAnsi="Arial Narrow"/>
                <w:sz w:val="20"/>
              </w:rPr>
              <w:t>56</w:t>
            </w:r>
          </w:p>
        </w:tc>
        <w:tc>
          <w:tcPr>
            <w:tcW w:w="458" w:type="pct"/>
            <w:shd w:val="clear" w:color="auto" w:fill="95B3D7" w:themeFill="accent1" w:themeFillTint="99"/>
            <w:vAlign w:val="center"/>
          </w:tcPr>
          <w:p w14:paraId="46F92C6F" w14:textId="77777777" w:rsidR="00986964" w:rsidRPr="001428E9" w:rsidRDefault="00986964" w:rsidP="0013119A">
            <w:pPr>
              <w:keepLines/>
              <w:jc w:val="center"/>
              <w:rPr>
                <w:rFonts w:ascii="Arial Narrow" w:hAnsi="Arial Narrow"/>
                <w:sz w:val="20"/>
                <w:szCs w:val="20"/>
              </w:rPr>
            </w:pPr>
            <w:r>
              <w:rPr>
                <w:rFonts w:ascii="Arial Narrow" w:hAnsi="Arial Narrow"/>
                <w:sz w:val="20"/>
              </w:rPr>
              <w:t>1</w:t>
            </w:r>
          </w:p>
        </w:tc>
        <w:tc>
          <w:tcPr>
            <w:tcW w:w="459" w:type="pct"/>
            <w:shd w:val="clear" w:color="auto" w:fill="95B3D7" w:themeFill="accent1" w:themeFillTint="99"/>
            <w:vAlign w:val="center"/>
          </w:tcPr>
          <w:p w14:paraId="602A728B" w14:textId="77777777" w:rsidR="00986964" w:rsidRPr="001428E9" w:rsidRDefault="00986964" w:rsidP="0013119A">
            <w:pPr>
              <w:keepLines/>
              <w:jc w:val="center"/>
              <w:rPr>
                <w:rFonts w:ascii="Arial Narrow" w:hAnsi="Arial Narrow"/>
                <w:sz w:val="20"/>
                <w:szCs w:val="20"/>
              </w:rPr>
            </w:pPr>
            <w:r>
              <w:rPr>
                <w:rFonts w:ascii="Arial Narrow" w:hAnsi="Arial Narrow"/>
                <w:sz w:val="20"/>
              </w:rPr>
              <w:t>5</w:t>
            </w:r>
          </w:p>
        </w:tc>
        <w:tc>
          <w:tcPr>
            <w:tcW w:w="733" w:type="pct"/>
            <w:shd w:val="clear" w:color="auto" w:fill="95B3D7" w:themeFill="accent1" w:themeFillTint="99"/>
            <w:vAlign w:val="center"/>
          </w:tcPr>
          <w:p w14:paraId="57791EA1" w14:textId="5FF4A230" w:rsidR="00986964" w:rsidRPr="00B016D2" w:rsidRDefault="007341E9" w:rsidP="0013119A">
            <w:pPr>
              <w:keepLines/>
              <w:rPr>
                <w:rFonts w:ascii="Arial Narrow" w:hAnsi="Arial Narrow"/>
                <w:color w:val="0066FF"/>
                <w:sz w:val="20"/>
                <w:szCs w:val="20"/>
              </w:rPr>
            </w:pPr>
            <w:r w:rsidRPr="00B016D2">
              <w:rPr>
                <w:rFonts w:ascii="Arial Narrow" w:hAnsi="Arial Narrow"/>
                <w:sz w:val="20"/>
                <w:szCs w:val="20"/>
              </w:rPr>
              <w:t>V</w:t>
            </w:r>
            <w:r w:rsidR="00986964" w:rsidRPr="00B016D2">
              <w:rPr>
                <w:rFonts w:ascii="Arial Narrow" w:hAnsi="Arial Narrow"/>
                <w:sz w:val="20"/>
                <w:szCs w:val="20"/>
              </w:rPr>
              <w:t>erzenio</w:t>
            </w:r>
          </w:p>
        </w:tc>
      </w:tr>
      <w:tr w:rsidR="00986964" w:rsidRPr="003A4C14" w14:paraId="7953FC91" w14:textId="77777777" w:rsidTr="00202EF4">
        <w:trPr>
          <w:trHeight w:val="20"/>
        </w:trPr>
        <w:tc>
          <w:tcPr>
            <w:tcW w:w="1677" w:type="pct"/>
            <w:shd w:val="clear" w:color="auto" w:fill="95B3D7" w:themeFill="accent1" w:themeFillTint="99"/>
            <w:vAlign w:val="center"/>
          </w:tcPr>
          <w:p w14:paraId="7024E536" w14:textId="77777777" w:rsidR="00986964" w:rsidRPr="003A4C14" w:rsidRDefault="00986964" w:rsidP="0013119A">
            <w:pPr>
              <w:pStyle w:val="TableText0"/>
              <w:keepNext w:val="0"/>
              <w:keepLines/>
              <w:rPr>
                <w:color w:val="0066FF"/>
                <w:szCs w:val="20"/>
              </w:rPr>
            </w:pPr>
            <w:r>
              <w:t>Abemaciclib, 100mg tablet, 56</w:t>
            </w:r>
          </w:p>
          <w:p w14:paraId="527A3650" w14:textId="77777777" w:rsidR="00986964" w:rsidRPr="003A4C14" w:rsidRDefault="00986964" w:rsidP="0013119A">
            <w:pPr>
              <w:keepLines/>
              <w:rPr>
                <w:rFonts w:ascii="Arial Narrow" w:hAnsi="Arial Narrow"/>
                <w:color w:val="0066FF"/>
                <w:sz w:val="20"/>
                <w:szCs w:val="20"/>
              </w:rPr>
            </w:pPr>
          </w:p>
        </w:tc>
        <w:tc>
          <w:tcPr>
            <w:tcW w:w="1214" w:type="pct"/>
          </w:tcPr>
          <w:p w14:paraId="358271E8" w14:textId="77777777" w:rsidR="00986964" w:rsidRPr="00565C79" w:rsidRDefault="00986964" w:rsidP="0013119A">
            <w:pPr>
              <w:pStyle w:val="TableText0"/>
              <w:keepNext w:val="0"/>
              <w:keepLines/>
              <w:jc w:val="center"/>
            </w:pPr>
            <w:r w:rsidRPr="00565C79">
              <w:t>$</w:t>
            </w:r>
            <w:r>
              <w:t>4,249.13</w:t>
            </w:r>
            <w:r w:rsidRPr="00565C79">
              <w:t xml:space="preserve"> published price</w:t>
            </w:r>
          </w:p>
          <w:p w14:paraId="685898C3" w14:textId="70EC9EF5" w:rsidR="00986964" w:rsidRPr="001428E9" w:rsidRDefault="00986964" w:rsidP="0013119A">
            <w:pPr>
              <w:pStyle w:val="TableText0"/>
              <w:keepNext w:val="0"/>
              <w:keepLines/>
              <w:jc w:val="center"/>
              <w:rPr>
                <w:szCs w:val="20"/>
              </w:rPr>
            </w:pPr>
            <w:r w:rsidRPr="00565C79">
              <w:t>$</w:t>
            </w:r>
            <w:r w:rsidR="0013119A" w:rsidRPr="0013119A">
              <w:rPr>
                <w:color w:val="000000"/>
                <w:spacing w:val="51"/>
                <w:shd w:val="solid" w:color="000000" w:fill="000000"/>
                <w:fitText w:val="325" w:id="-1233471487"/>
                <w14:textFill>
                  <w14:solidFill>
                    <w14:srgbClr w14:val="000000">
                      <w14:alpha w14:val="100000"/>
                    </w14:srgbClr>
                  </w14:solidFill>
                </w14:textFill>
              </w:rPr>
              <w:t>|||</w:t>
            </w:r>
            <w:r w:rsidR="0013119A" w:rsidRPr="0013119A">
              <w:rPr>
                <w:color w:val="000000"/>
                <w:spacing w:val="2"/>
                <w:shd w:val="solid" w:color="000000" w:fill="000000"/>
                <w:fitText w:val="325" w:id="-1233471487"/>
                <w14:textFill>
                  <w14:solidFill>
                    <w14:srgbClr w14:val="000000">
                      <w14:alpha w14:val="100000"/>
                    </w14:srgbClr>
                  </w14:solidFill>
                </w14:textFill>
              </w:rPr>
              <w:t>|</w:t>
            </w:r>
            <w:r w:rsidR="008759DD" w:rsidRPr="008759DD">
              <w:t xml:space="preserve"> </w:t>
            </w:r>
            <w:r w:rsidRPr="00565C79">
              <w:t xml:space="preserve"> effective price</w:t>
            </w:r>
          </w:p>
        </w:tc>
        <w:tc>
          <w:tcPr>
            <w:tcW w:w="459" w:type="pct"/>
            <w:shd w:val="clear" w:color="auto" w:fill="95B3D7" w:themeFill="accent1" w:themeFillTint="99"/>
            <w:vAlign w:val="center"/>
          </w:tcPr>
          <w:p w14:paraId="29E9559F" w14:textId="77777777" w:rsidR="00986964" w:rsidRPr="001428E9" w:rsidRDefault="00986964" w:rsidP="0013119A">
            <w:pPr>
              <w:keepLines/>
              <w:jc w:val="center"/>
              <w:rPr>
                <w:rFonts w:ascii="Arial Narrow" w:hAnsi="Arial Narrow"/>
                <w:sz w:val="20"/>
                <w:szCs w:val="20"/>
              </w:rPr>
            </w:pPr>
            <w:r>
              <w:rPr>
                <w:rFonts w:ascii="Arial Narrow" w:hAnsi="Arial Narrow"/>
                <w:sz w:val="20"/>
              </w:rPr>
              <w:t>56</w:t>
            </w:r>
          </w:p>
        </w:tc>
        <w:tc>
          <w:tcPr>
            <w:tcW w:w="458" w:type="pct"/>
            <w:shd w:val="clear" w:color="auto" w:fill="95B3D7" w:themeFill="accent1" w:themeFillTint="99"/>
            <w:vAlign w:val="center"/>
          </w:tcPr>
          <w:p w14:paraId="77867400" w14:textId="77777777" w:rsidR="00986964" w:rsidRPr="001428E9" w:rsidRDefault="00986964" w:rsidP="0013119A">
            <w:pPr>
              <w:keepLines/>
              <w:jc w:val="center"/>
              <w:rPr>
                <w:rFonts w:ascii="Arial Narrow" w:hAnsi="Arial Narrow"/>
                <w:sz w:val="20"/>
                <w:szCs w:val="20"/>
              </w:rPr>
            </w:pPr>
            <w:r>
              <w:rPr>
                <w:rFonts w:ascii="Arial Narrow" w:hAnsi="Arial Narrow"/>
                <w:sz w:val="20"/>
              </w:rPr>
              <w:t>1</w:t>
            </w:r>
          </w:p>
        </w:tc>
        <w:tc>
          <w:tcPr>
            <w:tcW w:w="459" w:type="pct"/>
            <w:shd w:val="clear" w:color="auto" w:fill="95B3D7" w:themeFill="accent1" w:themeFillTint="99"/>
            <w:vAlign w:val="center"/>
          </w:tcPr>
          <w:p w14:paraId="7C1D0986" w14:textId="77777777" w:rsidR="00986964" w:rsidRPr="001428E9" w:rsidRDefault="00986964" w:rsidP="0013119A">
            <w:pPr>
              <w:keepLines/>
              <w:jc w:val="center"/>
              <w:rPr>
                <w:rFonts w:ascii="Arial Narrow" w:hAnsi="Arial Narrow"/>
                <w:sz w:val="20"/>
                <w:szCs w:val="20"/>
              </w:rPr>
            </w:pPr>
            <w:r>
              <w:rPr>
                <w:rFonts w:ascii="Arial Narrow" w:hAnsi="Arial Narrow"/>
                <w:sz w:val="20"/>
              </w:rPr>
              <w:t>5</w:t>
            </w:r>
          </w:p>
        </w:tc>
        <w:tc>
          <w:tcPr>
            <w:tcW w:w="733" w:type="pct"/>
            <w:shd w:val="clear" w:color="auto" w:fill="95B3D7" w:themeFill="accent1" w:themeFillTint="99"/>
            <w:vAlign w:val="center"/>
          </w:tcPr>
          <w:p w14:paraId="01035EAE" w14:textId="61655EF7" w:rsidR="00986964" w:rsidRPr="00B016D2" w:rsidRDefault="007341E9" w:rsidP="0013119A">
            <w:pPr>
              <w:keepLines/>
              <w:rPr>
                <w:rFonts w:ascii="Arial Narrow" w:hAnsi="Arial Narrow"/>
                <w:color w:val="0066FF"/>
                <w:sz w:val="20"/>
                <w:szCs w:val="20"/>
              </w:rPr>
            </w:pPr>
            <w:r w:rsidRPr="00B016D2">
              <w:rPr>
                <w:rFonts w:ascii="Arial Narrow" w:hAnsi="Arial Narrow"/>
                <w:sz w:val="20"/>
                <w:szCs w:val="20"/>
              </w:rPr>
              <w:t>V</w:t>
            </w:r>
            <w:r w:rsidR="00986964" w:rsidRPr="00B016D2">
              <w:rPr>
                <w:rFonts w:ascii="Arial Narrow" w:hAnsi="Arial Narrow"/>
                <w:sz w:val="20"/>
                <w:szCs w:val="20"/>
              </w:rPr>
              <w:t>erzenio</w:t>
            </w:r>
          </w:p>
        </w:tc>
      </w:tr>
      <w:tr w:rsidR="00986964" w:rsidRPr="001428E9" w14:paraId="79A4C1A1" w14:textId="77777777" w:rsidTr="00202EF4">
        <w:trPr>
          <w:trHeight w:val="20"/>
        </w:trPr>
        <w:tc>
          <w:tcPr>
            <w:tcW w:w="1677" w:type="pct"/>
            <w:shd w:val="clear" w:color="auto" w:fill="95B3D7" w:themeFill="accent1" w:themeFillTint="99"/>
            <w:vAlign w:val="center"/>
          </w:tcPr>
          <w:p w14:paraId="260D5232" w14:textId="77777777" w:rsidR="00986964" w:rsidRPr="003A4C14" w:rsidRDefault="00986964" w:rsidP="0013119A">
            <w:pPr>
              <w:pStyle w:val="TableText0"/>
              <w:keepNext w:val="0"/>
              <w:keepLines/>
              <w:rPr>
                <w:color w:val="0066FF"/>
                <w:szCs w:val="20"/>
              </w:rPr>
            </w:pPr>
            <w:r>
              <w:t>Abemaciclib, 50mg tablet, 56</w:t>
            </w:r>
          </w:p>
          <w:p w14:paraId="68170F6B" w14:textId="77777777" w:rsidR="00986964" w:rsidRPr="003A4C14" w:rsidRDefault="00986964" w:rsidP="0013119A">
            <w:pPr>
              <w:keepLines/>
              <w:tabs>
                <w:tab w:val="left" w:pos="1077"/>
              </w:tabs>
              <w:rPr>
                <w:rFonts w:ascii="Arial Narrow" w:hAnsi="Arial Narrow"/>
                <w:color w:val="0066FF"/>
                <w:sz w:val="20"/>
                <w:szCs w:val="20"/>
              </w:rPr>
            </w:pPr>
          </w:p>
        </w:tc>
        <w:tc>
          <w:tcPr>
            <w:tcW w:w="1214" w:type="pct"/>
            <w:vAlign w:val="center"/>
          </w:tcPr>
          <w:p w14:paraId="57B7721B" w14:textId="77777777" w:rsidR="00986964" w:rsidRPr="00781A87" w:rsidRDefault="00986964" w:rsidP="0013119A">
            <w:pPr>
              <w:keepLines/>
              <w:jc w:val="center"/>
              <w:rPr>
                <w:rFonts w:ascii="Arial Narrow" w:hAnsi="Arial Narrow"/>
                <w:sz w:val="20"/>
                <w:szCs w:val="20"/>
              </w:rPr>
            </w:pPr>
            <w:r w:rsidRPr="00781A87">
              <w:rPr>
                <w:rFonts w:ascii="Arial Narrow" w:hAnsi="Arial Narrow"/>
                <w:sz w:val="20"/>
                <w:szCs w:val="20"/>
              </w:rPr>
              <w:t>$4</w:t>
            </w:r>
            <w:r>
              <w:rPr>
                <w:rFonts w:ascii="Arial Narrow" w:hAnsi="Arial Narrow"/>
                <w:sz w:val="20"/>
                <w:szCs w:val="20"/>
              </w:rPr>
              <w:t>,</w:t>
            </w:r>
            <w:r w:rsidRPr="00781A87">
              <w:rPr>
                <w:rFonts w:ascii="Arial Narrow" w:hAnsi="Arial Narrow"/>
                <w:sz w:val="20"/>
                <w:szCs w:val="20"/>
              </w:rPr>
              <w:t>249.13 published price</w:t>
            </w:r>
          </w:p>
          <w:p w14:paraId="33A167C7" w14:textId="69AFBCBE" w:rsidR="00986964" w:rsidRPr="001428E9" w:rsidRDefault="00986964" w:rsidP="0013119A">
            <w:pPr>
              <w:keepLines/>
              <w:jc w:val="center"/>
              <w:rPr>
                <w:rFonts w:ascii="Arial Narrow" w:hAnsi="Arial Narrow"/>
                <w:sz w:val="20"/>
                <w:szCs w:val="20"/>
              </w:rPr>
            </w:pPr>
            <w:r w:rsidRPr="00781A87">
              <w:rPr>
                <w:rFonts w:ascii="Arial Narrow" w:hAnsi="Arial Narrow"/>
                <w:sz w:val="20"/>
                <w:szCs w:val="20"/>
              </w:rPr>
              <w:t>$</w:t>
            </w:r>
            <w:r w:rsidR="0013119A" w:rsidRPr="0013119A">
              <w:rPr>
                <w:rFonts w:ascii="Arial Narrow" w:hAnsi="Arial Narrow"/>
                <w:color w:val="000000"/>
                <w:spacing w:val="51"/>
                <w:sz w:val="20"/>
                <w:szCs w:val="20"/>
                <w:shd w:val="solid" w:color="000000" w:fill="000000"/>
                <w:fitText w:val="325" w:id="-1233471486"/>
                <w14:textFill>
                  <w14:solidFill>
                    <w14:srgbClr w14:val="000000">
                      <w14:alpha w14:val="100000"/>
                    </w14:srgbClr>
                  </w14:solidFill>
                </w14:textFill>
              </w:rPr>
              <w:t>|||</w:t>
            </w:r>
            <w:r w:rsidR="0013119A" w:rsidRPr="0013119A">
              <w:rPr>
                <w:rFonts w:ascii="Arial Narrow" w:hAnsi="Arial Narrow"/>
                <w:color w:val="000000"/>
                <w:spacing w:val="2"/>
                <w:sz w:val="20"/>
                <w:szCs w:val="20"/>
                <w:shd w:val="solid" w:color="000000" w:fill="000000"/>
                <w:fitText w:val="325" w:id="-1233471486"/>
                <w14:textFill>
                  <w14:solidFill>
                    <w14:srgbClr w14:val="000000">
                      <w14:alpha w14:val="100000"/>
                    </w14:srgbClr>
                  </w14:solidFill>
                </w14:textFill>
              </w:rPr>
              <w:t>|</w:t>
            </w:r>
            <w:r w:rsidR="008759DD" w:rsidRPr="008759DD">
              <w:rPr>
                <w:rFonts w:ascii="Arial Narrow" w:hAnsi="Arial Narrow"/>
                <w:sz w:val="20"/>
                <w:szCs w:val="20"/>
              </w:rPr>
              <w:t xml:space="preserve"> </w:t>
            </w:r>
            <w:r w:rsidRPr="00781A87">
              <w:rPr>
                <w:rFonts w:ascii="Arial Narrow" w:hAnsi="Arial Narrow"/>
                <w:sz w:val="20"/>
                <w:szCs w:val="20"/>
              </w:rPr>
              <w:t xml:space="preserve"> effective price</w:t>
            </w:r>
          </w:p>
        </w:tc>
        <w:tc>
          <w:tcPr>
            <w:tcW w:w="459" w:type="pct"/>
            <w:shd w:val="clear" w:color="auto" w:fill="95B3D7" w:themeFill="accent1" w:themeFillTint="99"/>
            <w:vAlign w:val="center"/>
          </w:tcPr>
          <w:p w14:paraId="5216FB55" w14:textId="77777777" w:rsidR="00986964" w:rsidRPr="001428E9" w:rsidRDefault="00986964" w:rsidP="0013119A">
            <w:pPr>
              <w:keepLines/>
              <w:jc w:val="center"/>
              <w:rPr>
                <w:rFonts w:ascii="Arial Narrow" w:hAnsi="Arial Narrow"/>
                <w:sz w:val="20"/>
                <w:szCs w:val="20"/>
              </w:rPr>
            </w:pPr>
            <w:r>
              <w:rPr>
                <w:rFonts w:ascii="Arial Narrow" w:hAnsi="Arial Narrow"/>
                <w:sz w:val="20"/>
                <w:szCs w:val="20"/>
              </w:rPr>
              <w:t>56</w:t>
            </w:r>
          </w:p>
        </w:tc>
        <w:tc>
          <w:tcPr>
            <w:tcW w:w="458" w:type="pct"/>
            <w:shd w:val="clear" w:color="auto" w:fill="95B3D7" w:themeFill="accent1" w:themeFillTint="99"/>
            <w:vAlign w:val="center"/>
          </w:tcPr>
          <w:p w14:paraId="56B4D501" w14:textId="77777777" w:rsidR="00986964" w:rsidRPr="001428E9" w:rsidRDefault="00986964" w:rsidP="0013119A">
            <w:pPr>
              <w:keepLines/>
              <w:jc w:val="center"/>
              <w:rPr>
                <w:rFonts w:ascii="Arial Narrow" w:hAnsi="Arial Narrow"/>
                <w:sz w:val="20"/>
                <w:szCs w:val="20"/>
              </w:rPr>
            </w:pPr>
            <w:r>
              <w:rPr>
                <w:rFonts w:ascii="Arial Narrow" w:hAnsi="Arial Narrow"/>
                <w:sz w:val="20"/>
                <w:szCs w:val="20"/>
              </w:rPr>
              <w:t>1</w:t>
            </w:r>
          </w:p>
        </w:tc>
        <w:tc>
          <w:tcPr>
            <w:tcW w:w="459" w:type="pct"/>
            <w:shd w:val="clear" w:color="auto" w:fill="95B3D7" w:themeFill="accent1" w:themeFillTint="99"/>
            <w:vAlign w:val="center"/>
          </w:tcPr>
          <w:p w14:paraId="725C5B21" w14:textId="77777777" w:rsidR="00986964" w:rsidRPr="001428E9" w:rsidRDefault="00986964" w:rsidP="0013119A">
            <w:pPr>
              <w:keepLines/>
              <w:jc w:val="center"/>
              <w:rPr>
                <w:rFonts w:ascii="Arial Narrow" w:hAnsi="Arial Narrow"/>
                <w:sz w:val="20"/>
                <w:szCs w:val="20"/>
              </w:rPr>
            </w:pPr>
            <w:r>
              <w:rPr>
                <w:rFonts w:ascii="Arial Narrow" w:hAnsi="Arial Narrow"/>
                <w:sz w:val="20"/>
                <w:szCs w:val="20"/>
              </w:rPr>
              <w:t>5</w:t>
            </w:r>
          </w:p>
        </w:tc>
        <w:tc>
          <w:tcPr>
            <w:tcW w:w="733" w:type="pct"/>
            <w:shd w:val="clear" w:color="auto" w:fill="95B3D7" w:themeFill="accent1" w:themeFillTint="99"/>
            <w:vAlign w:val="center"/>
          </w:tcPr>
          <w:p w14:paraId="5C210409" w14:textId="44CDC037" w:rsidR="00986964" w:rsidRPr="00B016D2" w:rsidRDefault="007341E9" w:rsidP="0013119A">
            <w:pPr>
              <w:keepLines/>
              <w:rPr>
                <w:rFonts w:ascii="Arial Narrow" w:hAnsi="Arial Narrow"/>
                <w:sz w:val="20"/>
                <w:szCs w:val="20"/>
              </w:rPr>
            </w:pPr>
            <w:r w:rsidRPr="00B016D2">
              <w:rPr>
                <w:rFonts w:ascii="Arial Narrow" w:hAnsi="Arial Narrow"/>
                <w:sz w:val="20"/>
                <w:szCs w:val="20"/>
              </w:rPr>
              <w:t>V</w:t>
            </w:r>
            <w:r w:rsidR="00986964" w:rsidRPr="00B016D2">
              <w:rPr>
                <w:rFonts w:ascii="Arial Narrow" w:hAnsi="Arial Narrow"/>
                <w:sz w:val="20"/>
                <w:szCs w:val="20"/>
              </w:rPr>
              <w:t>erzenio</w:t>
            </w:r>
          </w:p>
        </w:tc>
      </w:tr>
      <w:tr w:rsidR="00986964" w:rsidRPr="00046D64" w14:paraId="748D46EC"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tcPr>
          <w:p w14:paraId="1EBDDB28" w14:textId="77777777" w:rsidR="00986964" w:rsidRPr="00046D64" w:rsidRDefault="00986964" w:rsidP="0013119A">
            <w:pPr>
              <w:pStyle w:val="TableText0"/>
              <w:keepNext w:val="0"/>
              <w:keepLines/>
            </w:pPr>
            <w:r w:rsidRPr="00046D64">
              <w:rPr>
                <w:b/>
              </w:rPr>
              <w:t xml:space="preserve">Category / Program: </w:t>
            </w:r>
            <w:r w:rsidRPr="00C454FB">
              <w:t>General Schedule</w:t>
            </w:r>
          </w:p>
        </w:tc>
      </w:tr>
      <w:tr w:rsidR="00986964" w:rsidRPr="00046D64" w14:paraId="33F3BEE2"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tcPr>
          <w:p w14:paraId="6AE6D12E" w14:textId="77777777" w:rsidR="00986964" w:rsidRPr="00046D64" w:rsidRDefault="00986964" w:rsidP="0013119A">
            <w:pPr>
              <w:pStyle w:val="TableText0"/>
              <w:keepNext w:val="0"/>
              <w:keepLines/>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01201E">
              <w:fldChar w:fldCharType="separate"/>
            </w:r>
            <w:r>
              <w:fldChar w:fldCharType="end"/>
            </w:r>
            <w:r w:rsidRPr="00046D64">
              <w:t>Medical Practitioners</w:t>
            </w:r>
          </w:p>
        </w:tc>
      </w:tr>
      <w:tr w:rsidR="00986964" w:rsidRPr="00046D64" w14:paraId="67F9EF3E"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tcPr>
          <w:p w14:paraId="28EEB09B" w14:textId="77777777" w:rsidR="00986964" w:rsidRPr="00046D64" w:rsidRDefault="00986964" w:rsidP="0013119A">
            <w:pPr>
              <w:pStyle w:val="TableText0"/>
              <w:keepNext w:val="0"/>
              <w:keepLines/>
              <w:rPr>
                <w:rFonts w:eastAsia="Times New Roman"/>
              </w:rPr>
            </w:pPr>
            <w:r w:rsidRPr="00046D64">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sidR="0001201E">
              <w:rPr>
                <w:rFonts w:eastAsia="Times New Roman"/>
              </w:rPr>
            </w:r>
            <w:r w:rsidR="0001201E">
              <w:rPr>
                <w:rFonts w:eastAsia="Times New Roman"/>
              </w:rPr>
              <w:fldChar w:fldCharType="separate"/>
            </w:r>
            <w:r>
              <w:rPr>
                <w:rFonts w:eastAsia="Times New Roman"/>
              </w:rPr>
              <w:fldChar w:fldCharType="end"/>
            </w:r>
            <w:r w:rsidRPr="00046D64">
              <w:rPr>
                <w:rFonts w:eastAsia="Times New Roman"/>
              </w:rPr>
              <w:t xml:space="preserve">Authority Required (telephone/online PBS Authorities system) </w:t>
            </w:r>
          </w:p>
        </w:tc>
      </w:tr>
      <w:tr w:rsidR="00986964" w:rsidRPr="00046D64" w14:paraId="35CE7537"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7A5BFB8E" w14:textId="77777777" w:rsidR="00986964" w:rsidRPr="00046D64" w:rsidRDefault="00986964" w:rsidP="0013119A">
            <w:pPr>
              <w:pStyle w:val="TableText0"/>
              <w:keepNext w:val="0"/>
              <w:keepLines/>
              <w:rPr>
                <w:b/>
              </w:rPr>
            </w:pPr>
            <w:r w:rsidRPr="00046D64">
              <w:rPr>
                <w:b/>
              </w:rPr>
              <w:t>Administrative Advice:</w:t>
            </w:r>
            <w:r>
              <w:rPr>
                <w:b/>
              </w:rPr>
              <w:t xml:space="preserve"> </w:t>
            </w:r>
            <w:r w:rsidRPr="008F1E03">
              <w:rPr>
                <w:rFonts w:eastAsia="Times New Roman" w:cs="Arial"/>
                <w:szCs w:val="20"/>
              </w:rPr>
              <w:t>Applications for authorisation under this restriction may be made in real time using the Online PBS Authorities system (see www.servicesaustralia.gov.au/HPOS) or by telephone by contacting Services Australia on 1800 888 333.</w:t>
            </w:r>
          </w:p>
        </w:tc>
      </w:tr>
      <w:tr w:rsidR="00986964" w:rsidRPr="00046D64" w14:paraId="09980384"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4C7397EB" w14:textId="77777777" w:rsidR="00986964" w:rsidRPr="00046D64" w:rsidRDefault="00986964" w:rsidP="0013119A">
            <w:pPr>
              <w:pStyle w:val="TableText0"/>
              <w:keepNext w:val="0"/>
              <w:keepLines/>
            </w:pPr>
            <w:r w:rsidRPr="00046D64">
              <w:rPr>
                <w:b/>
              </w:rPr>
              <w:t xml:space="preserve">Episodicity: </w:t>
            </w:r>
            <w:r w:rsidRPr="008F1E03">
              <w:rPr>
                <w:rFonts w:eastAsia="Times New Roman" w:cs="Arial"/>
                <w:szCs w:val="20"/>
              </w:rPr>
              <w:t>Adjuvant treatment of</w:t>
            </w:r>
          </w:p>
        </w:tc>
      </w:tr>
      <w:tr w:rsidR="00986964" w:rsidRPr="00046D64" w14:paraId="49558545"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27CB9D12" w14:textId="77777777" w:rsidR="00986964" w:rsidRPr="00046D64" w:rsidRDefault="00986964" w:rsidP="0013119A">
            <w:pPr>
              <w:pStyle w:val="TableText0"/>
              <w:keepNext w:val="0"/>
              <w:keepLines/>
              <w:rPr>
                <w:b/>
              </w:rPr>
            </w:pPr>
            <w:r w:rsidRPr="00046D64">
              <w:rPr>
                <w:b/>
              </w:rPr>
              <w:t xml:space="preserve">Severity: </w:t>
            </w:r>
            <w:r w:rsidRPr="00C479D3">
              <w:rPr>
                <w:bCs w:val="0"/>
              </w:rPr>
              <w:t>Early stage</w:t>
            </w:r>
          </w:p>
        </w:tc>
      </w:tr>
      <w:tr w:rsidR="00986964" w:rsidRPr="00046D64" w14:paraId="548B848A"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70E677B6" w14:textId="77777777" w:rsidR="00986964" w:rsidRPr="00046D64" w:rsidRDefault="00986964" w:rsidP="0013119A">
            <w:pPr>
              <w:pStyle w:val="TableText0"/>
              <w:keepNext w:val="0"/>
              <w:keepLines/>
              <w:rPr>
                <w:b/>
              </w:rPr>
            </w:pPr>
            <w:r w:rsidRPr="00046D64">
              <w:rPr>
                <w:b/>
              </w:rPr>
              <w:t xml:space="preserve">Condition: </w:t>
            </w:r>
            <w:r w:rsidRPr="00C479D3">
              <w:rPr>
                <w:bCs w:val="0"/>
              </w:rPr>
              <w:t>Breast cancer</w:t>
            </w:r>
          </w:p>
        </w:tc>
      </w:tr>
      <w:tr w:rsidR="00986964" w:rsidRPr="00046D64" w14:paraId="51DE294C"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0768930E" w14:textId="77777777" w:rsidR="00986964" w:rsidRPr="00046D64" w:rsidRDefault="00986964" w:rsidP="0013119A">
            <w:pPr>
              <w:pStyle w:val="TableText0"/>
              <w:keepNext w:val="0"/>
              <w:keepLines/>
            </w:pPr>
            <w:r w:rsidRPr="00046D64">
              <w:rPr>
                <w:b/>
              </w:rPr>
              <w:t>Indication:</w:t>
            </w:r>
            <w:r w:rsidRPr="00046D64">
              <w:t xml:space="preserve"> </w:t>
            </w:r>
            <w:r w:rsidRPr="008F1E03">
              <w:rPr>
                <w:rFonts w:eastAsia="Times New Roman" w:cs="Arial"/>
                <w:szCs w:val="20"/>
              </w:rPr>
              <w:t>Adjuvant treatment of early-stage breast cancer</w:t>
            </w:r>
          </w:p>
        </w:tc>
      </w:tr>
      <w:tr w:rsidR="00986964" w:rsidRPr="00C479D3" w14:paraId="6E1DADEA"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52E31EB3" w14:textId="77777777" w:rsidR="00986964" w:rsidRPr="00C479D3" w:rsidRDefault="00986964" w:rsidP="0013119A">
            <w:pPr>
              <w:pStyle w:val="TableText0"/>
              <w:keepNext w:val="0"/>
              <w:keepLines/>
              <w:rPr>
                <w:b/>
                <w:bCs w:val="0"/>
              </w:rPr>
            </w:pPr>
            <w:r w:rsidRPr="00046D64">
              <w:rPr>
                <w:b/>
              </w:rPr>
              <w:t>Treatment Phase:</w:t>
            </w:r>
            <w:r w:rsidRPr="00046D64">
              <w:t xml:space="preserve"> </w:t>
            </w:r>
            <w:r>
              <w:t>Adjuvant</w:t>
            </w:r>
          </w:p>
        </w:tc>
      </w:tr>
      <w:tr w:rsidR="00986964" w:rsidRPr="00046D64" w14:paraId="0B6815C9"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03A5D1A3" w14:textId="77777777" w:rsidR="00986964" w:rsidRPr="00046D64" w:rsidRDefault="00986964" w:rsidP="0013119A">
            <w:pPr>
              <w:pStyle w:val="TableText0"/>
              <w:keepNext w:val="0"/>
              <w:keepLines/>
            </w:pPr>
            <w:r w:rsidRPr="00046D64">
              <w:rPr>
                <w:b/>
              </w:rPr>
              <w:t>Clinical criteria:</w:t>
            </w:r>
          </w:p>
        </w:tc>
      </w:tr>
      <w:tr w:rsidR="00986964" w:rsidRPr="00046D64" w14:paraId="4E66A60A"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33188302" w14:textId="77777777" w:rsidR="00986964" w:rsidRPr="00046D64" w:rsidRDefault="00986964" w:rsidP="0013119A">
            <w:pPr>
              <w:pStyle w:val="TableText0"/>
              <w:keepNext w:val="0"/>
              <w:keepLines/>
            </w:pPr>
            <w:r w:rsidRPr="008F1E03">
              <w:rPr>
                <w:rFonts w:eastAsia="Times New Roman" w:cs="Arial Narrow"/>
                <w:iCs/>
                <w:szCs w:val="20"/>
              </w:rPr>
              <w:t>The treatment must be adjuvant to surgical resection</w:t>
            </w:r>
          </w:p>
        </w:tc>
      </w:tr>
      <w:tr w:rsidR="00986964" w:rsidRPr="00046D64" w14:paraId="40448F0E"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52FC9DF5" w14:textId="77777777" w:rsidR="00986964" w:rsidRPr="00046D64" w:rsidRDefault="00986964" w:rsidP="0013119A">
            <w:pPr>
              <w:pStyle w:val="TableText0"/>
              <w:keepNext w:val="0"/>
              <w:keepLines/>
            </w:pPr>
            <w:r w:rsidRPr="00046D64">
              <w:rPr>
                <w:b/>
              </w:rPr>
              <w:t>AND</w:t>
            </w:r>
          </w:p>
        </w:tc>
      </w:tr>
      <w:tr w:rsidR="00986964" w:rsidRPr="00046D64" w14:paraId="69D23F36"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2130D7C4" w14:textId="77777777" w:rsidR="00986964" w:rsidRPr="00046D64" w:rsidRDefault="00986964" w:rsidP="0013119A">
            <w:pPr>
              <w:pStyle w:val="TableText0"/>
              <w:keepNext w:val="0"/>
              <w:keepLines/>
            </w:pPr>
            <w:r w:rsidRPr="00046D64">
              <w:rPr>
                <w:b/>
              </w:rPr>
              <w:t>Clinical criteria:</w:t>
            </w:r>
          </w:p>
        </w:tc>
      </w:tr>
      <w:tr w:rsidR="00986964" w:rsidRPr="00C61A59" w14:paraId="5EC2AAE8"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41CFDF9F" w14:textId="77777777" w:rsidR="00986964" w:rsidRPr="00C63014" w:rsidRDefault="00986964" w:rsidP="0013119A">
            <w:pPr>
              <w:pStyle w:val="TableText0"/>
              <w:keepNext w:val="0"/>
              <w:keepLines/>
              <w:rPr>
                <w:color w:val="0066FF"/>
              </w:rPr>
            </w:pPr>
            <w:r w:rsidRPr="00C63014">
              <w:rPr>
                <w:rFonts w:eastAsia="Times New Roman" w:cs="Arial Narrow"/>
                <w:iCs/>
                <w:szCs w:val="20"/>
              </w:rPr>
              <w:t>The condition must be each of: (i) negative for</w:t>
            </w:r>
            <w:r w:rsidRPr="00C63014">
              <w:rPr>
                <w:rFonts w:eastAsia="Times New Roman" w:cs="Arial"/>
                <w:szCs w:val="20"/>
              </w:rPr>
              <w:t xml:space="preserve"> </w:t>
            </w:r>
            <w:r w:rsidRPr="00C63014">
              <w:rPr>
                <w:rFonts w:eastAsia="Times New Roman" w:cs="Arial Narrow"/>
                <w:iCs/>
                <w:szCs w:val="20"/>
              </w:rPr>
              <w:t>human epidermal growth factor receptor 2 (HER2) overexpression, (ii) hormone receptor positive, (iii) early-stage disease (i.e. the most recent medical imaging indicates an absence of disease metastasis)</w:t>
            </w:r>
          </w:p>
        </w:tc>
      </w:tr>
      <w:tr w:rsidR="00986964" w:rsidRPr="00C479D3" w14:paraId="0111781A"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6D235F72" w14:textId="77777777" w:rsidR="00986964" w:rsidRPr="00C63014" w:rsidRDefault="00986964" w:rsidP="0013119A">
            <w:pPr>
              <w:pStyle w:val="TableText0"/>
              <w:keepNext w:val="0"/>
              <w:keepLines/>
              <w:rPr>
                <w:rFonts w:eastAsia="Times New Roman" w:cs="Arial Narrow"/>
                <w:b/>
                <w:bCs w:val="0"/>
                <w:iCs/>
                <w:szCs w:val="20"/>
              </w:rPr>
            </w:pPr>
            <w:r w:rsidRPr="00C63014">
              <w:rPr>
                <w:rFonts w:eastAsia="Times New Roman" w:cs="Arial Narrow"/>
                <w:b/>
                <w:bCs w:val="0"/>
                <w:iCs/>
                <w:szCs w:val="20"/>
              </w:rPr>
              <w:t>AND</w:t>
            </w:r>
          </w:p>
        </w:tc>
      </w:tr>
      <w:tr w:rsidR="00986964" w:rsidRPr="008F1E03" w14:paraId="2AD76241"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FFFFFF" w:themeFill="background1"/>
            <w:vAlign w:val="center"/>
          </w:tcPr>
          <w:p w14:paraId="16392F47" w14:textId="77777777" w:rsidR="00986964" w:rsidRPr="00C63014" w:rsidRDefault="00986964" w:rsidP="0013119A">
            <w:pPr>
              <w:pStyle w:val="TableText0"/>
              <w:keepNext w:val="0"/>
              <w:keepLines/>
              <w:rPr>
                <w:rFonts w:eastAsia="Times New Roman" w:cs="Arial Narrow"/>
                <w:iCs/>
                <w:szCs w:val="20"/>
              </w:rPr>
            </w:pPr>
            <w:r w:rsidRPr="000B72D3">
              <w:rPr>
                <w:rFonts w:eastAsia="Times New Roman" w:cs="Arial"/>
                <w:szCs w:val="20"/>
                <w:shd w:val="clear" w:color="auto" w:fill="95B3D7" w:themeFill="accent1" w:themeFillTint="99"/>
              </w:rPr>
              <w:t xml:space="preserve">The condition must be considered to be of high risk of recurrence at treatment initiation with this drug, with high risk being any of: (a) cancer cells in at least 4 positive axillary lymph nodes, (b) cancer cells in 1 to 3 positive axillary lymph nodes plus at least one of: (i) tumour size of ≥5 cm, </w:t>
            </w:r>
            <w:r w:rsidRPr="00C63014">
              <w:rPr>
                <w:rFonts w:eastAsia="Times New Roman" w:cs="Arial"/>
                <w:szCs w:val="20"/>
                <w:shd w:val="clear" w:color="auto" w:fill="FFFFFF" w:themeFill="background1"/>
              </w:rPr>
              <w:t>(</w:t>
            </w:r>
            <w:r w:rsidRPr="00C63014">
              <w:rPr>
                <w:rFonts w:eastAsia="Times New Roman" w:cs="Arial"/>
                <w:szCs w:val="20"/>
              </w:rPr>
              <w:t xml:space="preserve">ii) </w:t>
            </w:r>
            <w:r w:rsidRPr="00C63014">
              <w:rPr>
                <w:rFonts w:eastAsia="Times New Roman" w:cs="Arial"/>
                <w:szCs w:val="20"/>
                <w:shd w:val="clear" w:color="auto" w:fill="FFFFFF" w:themeFill="background1"/>
              </w:rPr>
              <w:t>tumour histological grading = 3</w:t>
            </w:r>
          </w:p>
        </w:tc>
      </w:tr>
      <w:tr w:rsidR="00986964" w:rsidRPr="00C479D3" w14:paraId="0F31E7E7"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23E12414" w14:textId="77777777" w:rsidR="00986964" w:rsidRPr="00C479D3" w:rsidRDefault="00986964" w:rsidP="0013119A">
            <w:pPr>
              <w:pStyle w:val="TableText0"/>
              <w:keepNext w:val="0"/>
              <w:keepLines/>
              <w:rPr>
                <w:rFonts w:eastAsia="Times New Roman" w:cs="Arial Narrow"/>
                <w:b/>
                <w:bCs w:val="0"/>
                <w:iCs/>
                <w:szCs w:val="20"/>
              </w:rPr>
            </w:pPr>
            <w:r w:rsidRPr="00C479D3">
              <w:rPr>
                <w:rFonts w:eastAsia="Times New Roman" w:cs="Arial Narrow"/>
                <w:b/>
                <w:bCs w:val="0"/>
                <w:iCs/>
                <w:szCs w:val="20"/>
              </w:rPr>
              <w:t>AND</w:t>
            </w:r>
          </w:p>
        </w:tc>
      </w:tr>
      <w:tr w:rsidR="00986964" w:rsidRPr="008F1E03" w14:paraId="1E1BE6AD"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089A2F79" w14:textId="77777777" w:rsidR="00986964" w:rsidRPr="008F1E03" w:rsidRDefault="00986964" w:rsidP="0013119A">
            <w:pPr>
              <w:pStyle w:val="TableText0"/>
              <w:keepNext w:val="0"/>
              <w:keepLines/>
              <w:rPr>
                <w:rFonts w:eastAsia="Times New Roman" w:cs="Arial Narrow"/>
                <w:iCs/>
                <w:szCs w:val="20"/>
              </w:rPr>
            </w:pPr>
            <w:r w:rsidRPr="008F1E03">
              <w:rPr>
                <w:rFonts w:eastAsia="Times New Roman" w:cs="Arial"/>
                <w:szCs w:val="20"/>
              </w:rPr>
              <w:t>The treatment must not be a PBS-subsidised benefit beyond whichever comes first: (i) week 104 of treatment in accordance with the Product Information, (ii) disease recurrence/progression</w:t>
            </w:r>
          </w:p>
        </w:tc>
      </w:tr>
      <w:tr w:rsidR="00986964" w:rsidRPr="00046D64" w14:paraId="0AB24699"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2F6D2F09" w14:textId="77777777" w:rsidR="00986964" w:rsidRPr="00046D64" w:rsidRDefault="00986964" w:rsidP="0013119A">
            <w:pPr>
              <w:pStyle w:val="TableText0"/>
              <w:keepNext w:val="0"/>
              <w:keepLines/>
            </w:pPr>
            <w:r w:rsidRPr="00046D64">
              <w:rPr>
                <w:b/>
              </w:rPr>
              <w:t>Treatment criteria:</w:t>
            </w:r>
          </w:p>
        </w:tc>
      </w:tr>
      <w:tr w:rsidR="00986964" w:rsidRPr="00046D64" w14:paraId="013DF527"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744B2100" w14:textId="77777777" w:rsidR="00986964" w:rsidRPr="00046D64" w:rsidRDefault="00986964" w:rsidP="0013119A">
            <w:pPr>
              <w:pStyle w:val="TableText0"/>
              <w:keepNext w:val="0"/>
              <w:keepLines/>
            </w:pPr>
            <w:r w:rsidRPr="008F1E03">
              <w:rPr>
                <w:rFonts w:eastAsia="Times New Roman" w:cs="Arial"/>
                <w:szCs w:val="20"/>
              </w:rPr>
              <w:t>Patient must be undergoing concurrent treatment with endocrine therapy</w:t>
            </w:r>
          </w:p>
        </w:tc>
      </w:tr>
      <w:tr w:rsidR="00986964" w:rsidRPr="00046D64" w14:paraId="32ABB765"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40F28381" w14:textId="77777777" w:rsidR="00986964" w:rsidRPr="00046D64" w:rsidRDefault="00986964" w:rsidP="0013119A">
            <w:pPr>
              <w:pStyle w:val="TableText0"/>
              <w:keepNext w:val="0"/>
              <w:keepLines/>
            </w:pPr>
            <w:r w:rsidRPr="00046D64">
              <w:rPr>
                <w:b/>
              </w:rPr>
              <w:lastRenderedPageBreak/>
              <w:t xml:space="preserve">Prescribing Instructions: </w:t>
            </w:r>
            <w:r w:rsidRPr="008F1E03">
              <w:rPr>
                <w:rFonts w:eastAsia="Times New Roman" w:cs="Arial"/>
                <w:szCs w:val="20"/>
              </w:rPr>
              <w:t>Retain all pathology imaging and investigative test results in the patient’s medical records. Do not submit copies of these as part of the authority application.</w:t>
            </w:r>
          </w:p>
        </w:tc>
      </w:tr>
      <w:tr w:rsidR="00986964" w:rsidRPr="00046D64" w14:paraId="3023764D"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hideMark/>
          </w:tcPr>
          <w:p w14:paraId="00A7603B" w14:textId="77777777" w:rsidR="00986964" w:rsidRPr="00046D64" w:rsidRDefault="00986964" w:rsidP="0013119A">
            <w:pPr>
              <w:pStyle w:val="TableText0"/>
              <w:keepNext w:val="0"/>
              <w:keepLines/>
            </w:pPr>
            <w:r w:rsidRPr="00046D64">
              <w:rPr>
                <w:b/>
              </w:rPr>
              <w:t xml:space="preserve">Administrative Advice: </w:t>
            </w:r>
            <w:r w:rsidRPr="008F1E03">
              <w:rPr>
                <w:rFonts w:eastAsia="Times New Roman" w:cs="Arial"/>
                <w:szCs w:val="20"/>
              </w:rPr>
              <w:t>No increase in the maximum quantity or number of units may be authorised.</w:t>
            </w:r>
          </w:p>
        </w:tc>
      </w:tr>
      <w:tr w:rsidR="00986964" w:rsidRPr="00046D64" w14:paraId="12376DB3"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5B7E2AA9" w14:textId="77777777" w:rsidR="00986964" w:rsidRPr="00046D64" w:rsidRDefault="00986964" w:rsidP="0013119A">
            <w:pPr>
              <w:pStyle w:val="TableText0"/>
              <w:keepNext w:val="0"/>
              <w:keepLines/>
              <w:rPr>
                <w:b/>
              </w:rPr>
            </w:pPr>
            <w:r w:rsidRPr="00046D64">
              <w:rPr>
                <w:b/>
              </w:rPr>
              <w:t>Administrative Advice:</w:t>
            </w:r>
            <w:r>
              <w:rPr>
                <w:b/>
              </w:rPr>
              <w:t xml:space="preserve"> </w:t>
            </w:r>
            <w:r w:rsidRPr="008F1E03">
              <w:rPr>
                <w:rFonts w:eastAsia="Times New Roman" w:cs="Arial"/>
                <w:szCs w:val="20"/>
              </w:rPr>
              <w:t>No increase in the maximum number of repeats may be authorised.</w:t>
            </w:r>
          </w:p>
        </w:tc>
      </w:tr>
      <w:tr w:rsidR="00986964" w:rsidRPr="00046D64" w14:paraId="659C2428" w14:textId="77777777" w:rsidTr="00202EF4">
        <w:tblPrEx>
          <w:tblCellMar>
            <w:top w:w="15" w:type="dxa"/>
            <w:bottom w:w="15" w:type="dxa"/>
          </w:tblCellMar>
          <w:tblLook w:val="04A0" w:firstRow="1" w:lastRow="0" w:firstColumn="1" w:lastColumn="0" w:noHBand="0" w:noVBand="1"/>
        </w:tblPrEx>
        <w:trPr>
          <w:trHeight w:val="20"/>
        </w:trPr>
        <w:tc>
          <w:tcPr>
            <w:tcW w:w="5000" w:type="pct"/>
            <w:gridSpan w:val="6"/>
            <w:shd w:val="clear" w:color="auto" w:fill="95B3D7" w:themeFill="accent1" w:themeFillTint="99"/>
            <w:vAlign w:val="center"/>
          </w:tcPr>
          <w:p w14:paraId="73783528" w14:textId="77777777" w:rsidR="00986964" w:rsidRPr="00046D64" w:rsidRDefault="00986964" w:rsidP="0013119A">
            <w:pPr>
              <w:pStyle w:val="TableText0"/>
              <w:keepNext w:val="0"/>
              <w:keepLines/>
              <w:rPr>
                <w:b/>
              </w:rPr>
            </w:pPr>
            <w:r w:rsidRPr="00046D64">
              <w:rPr>
                <w:b/>
              </w:rPr>
              <w:t>Administrative Advice:</w:t>
            </w:r>
            <w:r>
              <w:rPr>
                <w:b/>
              </w:rPr>
              <w:t xml:space="preserve"> </w:t>
            </w:r>
            <w:r w:rsidRPr="008F1E03">
              <w:rPr>
                <w:rFonts w:eastAsia="Times New Roman" w:cs="Arial"/>
                <w:szCs w:val="20"/>
              </w:rPr>
              <w:t>Special Pricing Arrangements apply.</w:t>
            </w:r>
          </w:p>
        </w:tc>
      </w:tr>
    </w:tbl>
    <w:p w14:paraId="5ABAF742" w14:textId="6985925F" w:rsidR="00046D64" w:rsidRDefault="00986964" w:rsidP="0013119A">
      <w:pPr>
        <w:pStyle w:val="FooterTableFigure"/>
      </w:pPr>
      <w:r w:rsidRPr="00986964">
        <w:rPr>
          <w:shd w:val="clear" w:color="auto" w:fill="95B3D7" w:themeFill="accent1" w:themeFillTint="99"/>
        </w:rPr>
        <w:t>Blue shading</w:t>
      </w:r>
      <w:r w:rsidRPr="00787A0B">
        <w:t xml:space="preserve"> indicates data previously seen by the PBAC.</w:t>
      </w:r>
    </w:p>
    <w:p w14:paraId="62EE2137" w14:textId="0ED275E1" w:rsidR="0064434C" w:rsidRPr="00116F2F" w:rsidRDefault="00B64342" w:rsidP="00B64342">
      <w:pPr>
        <w:pStyle w:val="3-BodyText"/>
      </w:pPr>
      <w:r>
        <w:t>As in the original submission, the</w:t>
      </w:r>
      <w:r w:rsidRPr="00191822">
        <w:t xml:space="preserve"> resubmission proposed a special pricing arrangement</w:t>
      </w:r>
      <w:r>
        <w:t xml:space="preserve">. </w:t>
      </w:r>
      <w:r w:rsidR="00592C6E" w:rsidRPr="00116F2F">
        <w:t xml:space="preserve">The requested effective price in the resubmission </w:t>
      </w:r>
      <w:r w:rsidR="008765EC">
        <w:t>wa</w:t>
      </w:r>
      <w:r w:rsidR="00592C6E" w:rsidRPr="00116F2F">
        <w:t xml:space="preserve">s 4.6% lower </w:t>
      </w:r>
      <w:r w:rsidR="00FA2631" w:rsidRPr="00116F2F">
        <w:t>than</w:t>
      </w:r>
      <w:r w:rsidR="00592C6E" w:rsidRPr="00116F2F">
        <w:t xml:space="preserve"> the previous submission ($</w:t>
      </w:r>
      <w:r w:rsidR="0013119A" w:rsidRPr="0001201E">
        <w:rPr>
          <w:color w:val="000000"/>
          <w:w w:val="15"/>
          <w:shd w:val="solid" w:color="000000" w:fill="000000"/>
          <w:fitText w:val="-20" w:id="-1233471485"/>
          <w14:textFill>
            <w14:solidFill>
              <w14:srgbClr w14:val="000000">
                <w14:alpha w14:val="100000"/>
              </w14:srgbClr>
            </w14:solidFill>
          </w14:textFill>
        </w:rPr>
        <w:t xml:space="preserve">|  </w:t>
      </w:r>
      <w:r w:rsidR="0013119A" w:rsidRPr="0001201E">
        <w:rPr>
          <w:color w:val="000000"/>
          <w:spacing w:val="-69"/>
          <w:w w:val="15"/>
          <w:shd w:val="solid" w:color="000000" w:fill="000000"/>
          <w:fitText w:val="-20" w:id="-1233471485"/>
          <w14:textFill>
            <w14:solidFill>
              <w14:srgbClr w14:val="000000">
                <w14:alpha w14:val="100000"/>
              </w14:srgbClr>
            </w14:solidFill>
          </w14:textFill>
        </w:rPr>
        <w:t>|</w:t>
      </w:r>
      <w:r w:rsidR="008759DD" w:rsidRPr="008759DD">
        <w:t xml:space="preserve"> </w:t>
      </w:r>
      <w:r w:rsidR="00592C6E" w:rsidRPr="00116F2F">
        <w:t>vs. $</w:t>
      </w:r>
      <w:r w:rsidR="0013119A" w:rsidRPr="0001201E">
        <w:rPr>
          <w:color w:val="000000"/>
          <w:w w:val="15"/>
          <w:shd w:val="solid" w:color="000000" w:fill="000000"/>
          <w:fitText w:val="-20" w:id="-1233471484"/>
          <w14:textFill>
            <w14:solidFill>
              <w14:srgbClr w14:val="000000">
                <w14:alpha w14:val="100000"/>
              </w14:srgbClr>
            </w14:solidFill>
          </w14:textFill>
        </w:rPr>
        <w:t xml:space="preserve">|  </w:t>
      </w:r>
      <w:r w:rsidR="0013119A" w:rsidRPr="0001201E">
        <w:rPr>
          <w:color w:val="000000"/>
          <w:spacing w:val="-69"/>
          <w:w w:val="15"/>
          <w:shd w:val="solid" w:color="000000" w:fill="000000"/>
          <w:fitText w:val="-20" w:id="-1233471484"/>
          <w14:textFill>
            <w14:solidFill>
              <w14:srgbClr w14:val="000000">
                <w14:alpha w14:val="100000"/>
              </w14:srgbClr>
            </w14:solidFill>
          </w14:textFill>
        </w:rPr>
        <w:t>|</w:t>
      </w:r>
      <w:r w:rsidR="008759DD" w:rsidRPr="008759DD">
        <w:t xml:space="preserve"> </w:t>
      </w:r>
      <w:r w:rsidR="00724713">
        <w:t>per 56 tablets [DPM</w:t>
      </w:r>
      <w:r w:rsidR="003970F6">
        <w:t>Q</w:t>
      </w:r>
      <w:r w:rsidR="00724713">
        <w:t>]</w:t>
      </w:r>
      <w:r w:rsidR="00186A45">
        <w:t xml:space="preserve"> </w:t>
      </w:r>
      <w:r w:rsidR="00186A45" w:rsidRPr="00FA0201">
        <w:t>for 10 mg, 100 mg, 150</w:t>
      </w:r>
      <w:r w:rsidR="00927EF8">
        <w:t> </w:t>
      </w:r>
      <w:r w:rsidR="00186A45" w:rsidRPr="00FA0201">
        <w:t>mg strengths</w:t>
      </w:r>
      <w:r w:rsidR="00592C6E" w:rsidRPr="00116F2F">
        <w:t>)</w:t>
      </w:r>
      <w:r w:rsidR="00792D03" w:rsidRPr="00116F2F">
        <w:t>.</w:t>
      </w:r>
    </w:p>
    <w:p w14:paraId="647D17AA" w14:textId="6B78E411" w:rsidR="00F67A69" w:rsidRPr="00787A0B" w:rsidRDefault="00C63014" w:rsidP="00F9393E">
      <w:pPr>
        <w:pStyle w:val="3-BodyText"/>
        <w:rPr>
          <w:iCs/>
        </w:rPr>
      </w:pPr>
      <w:r w:rsidRPr="00787A0B">
        <w:rPr>
          <w:iCs/>
        </w:rPr>
        <w:t xml:space="preserve">The effective price </w:t>
      </w:r>
      <w:r w:rsidR="00724713" w:rsidRPr="00787A0B">
        <w:rPr>
          <w:iCs/>
        </w:rPr>
        <w:t xml:space="preserve">proposed </w:t>
      </w:r>
      <w:r w:rsidRPr="00787A0B">
        <w:rPr>
          <w:iCs/>
        </w:rPr>
        <w:t xml:space="preserve">in the </w:t>
      </w:r>
      <w:r w:rsidR="00724713" w:rsidRPr="00787A0B">
        <w:rPr>
          <w:iCs/>
        </w:rPr>
        <w:t>re</w:t>
      </w:r>
      <w:r w:rsidRPr="00787A0B">
        <w:rPr>
          <w:iCs/>
        </w:rPr>
        <w:t xml:space="preserve">submission for EBC was higher than the effective price for abemaciclib for locally advanced or metastatic breast cancer in combination with an aromatase inhibitor or fulvestrant (effective price </w:t>
      </w:r>
      <w:r w:rsidR="00AA32B2" w:rsidRPr="00787A0B">
        <w:rPr>
          <w:iCs/>
        </w:rPr>
        <w:t xml:space="preserve">of </w:t>
      </w:r>
      <w:r w:rsidR="00C36629">
        <w:rPr>
          <w:iCs/>
        </w:rPr>
        <w:t>$</w:t>
      </w:r>
      <w:r w:rsidR="0013119A" w:rsidRPr="0001201E">
        <w:rPr>
          <w:iCs/>
          <w:color w:val="000000"/>
          <w:w w:val="15"/>
          <w:shd w:val="solid" w:color="000000" w:fill="000000"/>
          <w:fitText w:val="-20" w:id="-1233471483"/>
          <w14:textFill>
            <w14:solidFill>
              <w14:srgbClr w14:val="000000">
                <w14:alpha w14:val="100000"/>
              </w14:srgbClr>
            </w14:solidFill>
          </w14:textFill>
        </w:rPr>
        <w:t xml:space="preserve">|  </w:t>
      </w:r>
      <w:r w:rsidR="0013119A" w:rsidRPr="0001201E">
        <w:rPr>
          <w:iCs/>
          <w:color w:val="000000"/>
          <w:spacing w:val="-69"/>
          <w:w w:val="15"/>
          <w:shd w:val="solid" w:color="000000" w:fill="000000"/>
          <w:fitText w:val="-20" w:id="-1233471483"/>
          <w14:textFill>
            <w14:solidFill>
              <w14:srgbClr w14:val="000000">
                <w14:alpha w14:val="100000"/>
              </w14:srgbClr>
            </w14:solidFill>
          </w14:textFill>
        </w:rPr>
        <w:t>|</w:t>
      </w:r>
      <w:r w:rsidR="008759DD" w:rsidRPr="008759DD">
        <w:rPr>
          <w:iCs/>
        </w:rPr>
        <w:t xml:space="preserve"> </w:t>
      </w:r>
      <w:r w:rsidRPr="00787A0B">
        <w:rPr>
          <w:iCs/>
        </w:rPr>
        <w:t>per 56 tablets</w:t>
      </w:r>
      <w:r w:rsidR="00724713" w:rsidRPr="00787A0B">
        <w:rPr>
          <w:iCs/>
        </w:rPr>
        <w:t xml:space="preserve"> [DPM</w:t>
      </w:r>
      <w:r w:rsidR="00C36629">
        <w:rPr>
          <w:iCs/>
        </w:rPr>
        <w:t>Q</w:t>
      </w:r>
      <w:r w:rsidR="00724713" w:rsidRPr="00787A0B">
        <w:rPr>
          <w:iCs/>
        </w:rPr>
        <w:t>]</w:t>
      </w:r>
      <w:r w:rsidR="00707546">
        <w:rPr>
          <w:iCs/>
        </w:rPr>
        <w:t xml:space="preserve"> </w:t>
      </w:r>
      <w:r w:rsidR="00707546" w:rsidRPr="00FA0201">
        <w:t>for 10 mg, 100 mg, 150 mg strengths</w:t>
      </w:r>
      <w:r w:rsidRPr="00787A0B">
        <w:rPr>
          <w:iCs/>
        </w:rPr>
        <w:t>).</w:t>
      </w:r>
    </w:p>
    <w:p w14:paraId="14A65D16" w14:textId="7D1064BB" w:rsidR="004F3C25" w:rsidRDefault="006B2F5D" w:rsidP="006B2F5D">
      <w:pPr>
        <w:pStyle w:val="3-BodyText"/>
        <w:rPr>
          <w:iCs/>
        </w:rPr>
      </w:pPr>
      <w:r w:rsidRPr="00787A0B">
        <w:rPr>
          <w:iCs/>
        </w:rPr>
        <w:t>The PBAC has previously considered the proposed target population appropriate if it is restricted to high-risk patients to maintain a risk benefit balance (</w:t>
      </w:r>
      <w:r w:rsidR="00EF64AD">
        <w:rPr>
          <w:iCs/>
        </w:rPr>
        <w:t>p</w:t>
      </w:r>
      <w:r w:rsidRPr="00787A0B">
        <w:rPr>
          <w:iCs/>
        </w:rPr>
        <w:t>ara</w:t>
      </w:r>
      <w:r w:rsidR="00EF64AD">
        <w:rPr>
          <w:iCs/>
        </w:rPr>
        <w:t>graph</w:t>
      </w:r>
      <w:r w:rsidRPr="00787A0B">
        <w:rPr>
          <w:iCs/>
        </w:rPr>
        <w:t xml:space="preserve"> 7.6, </w:t>
      </w:r>
      <w:r w:rsidR="00987EF8">
        <w:rPr>
          <w:iCs/>
        </w:rPr>
        <w:t>A</w:t>
      </w:r>
      <w:r w:rsidRPr="00787A0B">
        <w:rPr>
          <w:iCs/>
        </w:rPr>
        <w:t xml:space="preserve">bemaciclib </w:t>
      </w:r>
      <w:r w:rsidR="00243CD6">
        <w:rPr>
          <w:iCs/>
        </w:rPr>
        <w:t>P</w:t>
      </w:r>
      <w:r w:rsidRPr="00787A0B">
        <w:rPr>
          <w:iCs/>
        </w:rPr>
        <w:t xml:space="preserve">ublic </w:t>
      </w:r>
      <w:r w:rsidR="00243CD6">
        <w:rPr>
          <w:iCs/>
        </w:rPr>
        <w:t>S</w:t>
      </w:r>
      <w:r w:rsidRPr="00787A0B">
        <w:rPr>
          <w:iCs/>
        </w:rPr>
        <w:t xml:space="preserve">ummary </w:t>
      </w:r>
      <w:r w:rsidR="00243CD6">
        <w:rPr>
          <w:iCs/>
        </w:rPr>
        <w:t>D</w:t>
      </w:r>
      <w:r w:rsidRPr="00787A0B">
        <w:rPr>
          <w:iCs/>
        </w:rPr>
        <w:t xml:space="preserve">ocument </w:t>
      </w:r>
      <w:r w:rsidR="00B5511A" w:rsidRPr="00787A0B">
        <w:rPr>
          <w:iCs/>
        </w:rPr>
        <w:t>[</w:t>
      </w:r>
      <w:r w:rsidRPr="00787A0B">
        <w:rPr>
          <w:iCs/>
        </w:rPr>
        <w:t>PSD</w:t>
      </w:r>
      <w:r w:rsidR="00B5511A" w:rsidRPr="00787A0B">
        <w:rPr>
          <w:iCs/>
        </w:rPr>
        <w:t>]</w:t>
      </w:r>
      <w:r w:rsidRPr="00787A0B">
        <w:rPr>
          <w:iCs/>
        </w:rPr>
        <w:t xml:space="preserve">, March 2022). The proposed population has not changed from the previous submission. </w:t>
      </w:r>
    </w:p>
    <w:p w14:paraId="7B39A496" w14:textId="1BD6A0DB" w:rsidR="006B2F5D" w:rsidRPr="00FA0201" w:rsidRDefault="004F3C25" w:rsidP="006B2F5D">
      <w:pPr>
        <w:pStyle w:val="3-BodyText"/>
      </w:pPr>
      <w:r w:rsidRPr="00FA0201">
        <w:t>The key clinical trial for abemaciclib in EBC is the monarchE trial. Patients</w:t>
      </w:r>
      <w:r w:rsidR="00F43E28" w:rsidRPr="00FA0201">
        <w:t xml:space="preserve"> were eligible to participate if they were</w:t>
      </w:r>
      <w:r w:rsidRPr="00FA0201">
        <w:t xml:space="preserve"> </w:t>
      </w:r>
      <w:r w:rsidR="00F43E28" w:rsidRPr="00FA0201">
        <w:t>at high risk of recurrence based on having 4 or more positive lymph nodes or having 1 to 3 positive lymph nodes in addition to a tumour ≥</w:t>
      </w:r>
      <w:r w:rsidR="0077249C" w:rsidRPr="00FA0201">
        <w:t xml:space="preserve"> </w:t>
      </w:r>
      <w:r w:rsidR="00F43E28" w:rsidRPr="00FA0201">
        <w:t xml:space="preserve">5 cm or a histological grade </w:t>
      </w:r>
      <w:r w:rsidR="00F23DDB" w:rsidRPr="00FA0201">
        <w:t xml:space="preserve">= </w:t>
      </w:r>
      <w:r w:rsidR="00F43E28" w:rsidRPr="00FA0201">
        <w:t xml:space="preserve">3) (Cohort 1), or if they had </w:t>
      </w:r>
      <w:r w:rsidR="00F43E28" w:rsidRPr="00FA0201">
        <w:rPr>
          <w:rFonts w:eastAsia="Calibri" w:cstheme="minorHAnsi"/>
        </w:rPr>
        <w:t xml:space="preserve">1 to 3 positive lymph nodes and a </w:t>
      </w:r>
      <w:r w:rsidR="00F43E28" w:rsidRPr="00FA0201">
        <w:t>cell proliferation rate (Ki</w:t>
      </w:r>
      <w:r w:rsidR="00F43E28" w:rsidRPr="00FA0201">
        <w:noBreakHyphen/>
        <w:t>67 index)</w:t>
      </w:r>
      <w:r w:rsidR="00F43E28" w:rsidRPr="00FA0201">
        <w:rPr>
          <w:rFonts w:eastAsia="Calibri" w:cstheme="minorHAnsi"/>
        </w:rPr>
        <w:t xml:space="preserve"> ≥</w:t>
      </w:r>
      <w:r w:rsidR="0077249C" w:rsidRPr="00FA0201">
        <w:rPr>
          <w:rFonts w:eastAsia="Calibri" w:cstheme="minorHAnsi"/>
        </w:rPr>
        <w:t xml:space="preserve"> </w:t>
      </w:r>
      <w:r w:rsidR="00F43E28" w:rsidRPr="00FA0201">
        <w:rPr>
          <w:rFonts w:eastAsia="Calibri" w:cstheme="minorHAnsi"/>
        </w:rPr>
        <w:t xml:space="preserve">20% but did not qualify for abemaciclib according to tumour size or histological grade (Cohort 2) (see </w:t>
      </w:r>
      <w:r w:rsidR="00F43E28" w:rsidRPr="00FA0201">
        <w:rPr>
          <w:rFonts w:eastAsia="Calibri" w:cstheme="minorHAnsi"/>
          <w:bCs/>
        </w:rPr>
        <w:fldChar w:fldCharType="begin"/>
      </w:r>
      <w:r w:rsidR="00F43E28" w:rsidRPr="00FA0201">
        <w:rPr>
          <w:rFonts w:eastAsia="Calibri" w:cstheme="minorHAnsi"/>
          <w:bCs/>
        </w:rPr>
        <w:instrText xml:space="preserve"> REF _Ref104804098 \h  \* MERGEFORMAT </w:instrText>
      </w:r>
      <w:r w:rsidR="00F43E28" w:rsidRPr="00FA0201">
        <w:rPr>
          <w:rFonts w:eastAsia="Calibri" w:cstheme="minorHAnsi"/>
          <w:bCs/>
        </w:rPr>
      </w:r>
      <w:r w:rsidR="00F43E28" w:rsidRPr="00FA0201">
        <w:rPr>
          <w:rFonts w:eastAsia="Calibri" w:cstheme="minorHAnsi"/>
          <w:bCs/>
        </w:rPr>
        <w:fldChar w:fldCharType="separate"/>
      </w:r>
      <w:r w:rsidR="0001201E" w:rsidRPr="0001201E">
        <w:rPr>
          <w:rStyle w:val="CommentReference"/>
          <w:rFonts w:asciiTheme="minorHAnsi" w:eastAsiaTheme="majorEastAsia" w:hAnsiTheme="minorHAnsi" w:cstheme="minorHAnsi"/>
          <w:b w:val="0"/>
          <w:bCs/>
          <w:sz w:val="24"/>
          <w:szCs w:val="24"/>
        </w:rPr>
        <w:t xml:space="preserve">Table </w:t>
      </w:r>
      <w:r w:rsidR="0001201E" w:rsidRPr="0001201E">
        <w:rPr>
          <w:rStyle w:val="CommentReference"/>
          <w:rFonts w:asciiTheme="minorHAnsi" w:eastAsiaTheme="majorEastAsia" w:hAnsiTheme="minorHAnsi" w:cstheme="minorHAnsi"/>
          <w:b w:val="0"/>
          <w:bCs/>
          <w:noProof/>
          <w:sz w:val="24"/>
          <w:szCs w:val="24"/>
        </w:rPr>
        <w:t>4</w:t>
      </w:r>
      <w:r w:rsidR="00F43E28" w:rsidRPr="00FA0201">
        <w:rPr>
          <w:rFonts w:eastAsia="Calibri" w:cstheme="minorHAnsi"/>
          <w:bCs/>
        </w:rPr>
        <w:fldChar w:fldCharType="end"/>
      </w:r>
      <w:r w:rsidR="00F43E28" w:rsidRPr="00FA0201">
        <w:rPr>
          <w:rFonts w:eastAsia="Calibri" w:cstheme="minorHAnsi"/>
        </w:rPr>
        <w:t xml:space="preserve"> below).</w:t>
      </w:r>
      <w:r w:rsidR="00F43E28" w:rsidRPr="00FA0201">
        <w:t xml:space="preserve"> </w:t>
      </w:r>
      <w:r w:rsidRPr="00FA0201">
        <w:t>The PBAC considered at the March 2022 meeting that a Ki</w:t>
      </w:r>
      <w:r w:rsidRPr="00FA0201">
        <w:noBreakHyphen/>
        <w:t xml:space="preserve">67 threshold did not require inclusion in the restriction, </w:t>
      </w:r>
      <w:r w:rsidRPr="00FA0201">
        <w:rPr>
          <w:rFonts w:eastAsia="Calibri" w:cstheme="minorHAnsi"/>
        </w:rPr>
        <w:t>either (1) as a required eligibility criterion, or (2) to expand eligibility to patients with 1 to 3 positive lymph nodes who do not qualify for abemaciclib according to tumour size or histological grade (</w:t>
      </w:r>
      <w:r w:rsidR="0077249C" w:rsidRPr="00FA0201">
        <w:rPr>
          <w:rFonts w:eastAsia="Calibri" w:cstheme="minorHAnsi"/>
        </w:rPr>
        <w:t>paragraph</w:t>
      </w:r>
      <w:r w:rsidRPr="00FA0201">
        <w:rPr>
          <w:rFonts w:eastAsia="Calibri" w:cstheme="minorHAnsi"/>
        </w:rPr>
        <w:t xml:space="preserve"> </w:t>
      </w:r>
      <w:r w:rsidR="007505BA" w:rsidRPr="00FA0201">
        <w:rPr>
          <w:rFonts w:eastAsia="Calibri" w:cstheme="minorHAnsi"/>
        </w:rPr>
        <w:t>3.5</w:t>
      </w:r>
      <w:r w:rsidRPr="00FA0201">
        <w:rPr>
          <w:rFonts w:eastAsia="Calibri" w:cstheme="minorHAnsi"/>
        </w:rPr>
        <w:t xml:space="preserve">, Abemaciclib PSD, March 2022 PBAC meeting). </w:t>
      </w:r>
    </w:p>
    <w:p w14:paraId="6D6C130A" w14:textId="6B541174" w:rsidR="006B2F5D" w:rsidRPr="00787A0B" w:rsidRDefault="006B2F5D" w:rsidP="006B2F5D">
      <w:pPr>
        <w:pStyle w:val="3-BodyText"/>
        <w:rPr>
          <w:iCs/>
        </w:rPr>
      </w:pPr>
      <w:r w:rsidRPr="00787A0B">
        <w:rPr>
          <w:iCs/>
        </w:rPr>
        <w:t>The restriction has been changed for clarity</w:t>
      </w:r>
      <w:r w:rsidR="00763AA6">
        <w:rPr>
          <w:iCs/>
        </w:rPr>
        <w:t>,</w:t>
      </w:r>
      <w:r w:rsidRPr="00787A0B">
        <w:rPr>
          <w:iCs/>
        </w:rPr>
        <w:t xml:space="preserve"> but has not changed the target population: </w:t>
      </w:r>
    </w:p>
    <w:p w14:paraId="66234CE8" w14:textId="68A1D191" w:rsidR="006B2F5D" w:rsidRPr="00787A0B" w:rsidRDefault="006B2F5D" w:rsidP="00927EF8">
      <w:pPr>
        <w:pStyle w:val="3-BodyText"/>
        <w:numPr>
          <w:ilvl w:val="1"/>
          <w:numId w:val="12"/>
        </w:numPr>
        <w:ind w:left="1134" w:hanging="425"/>
        <w:rPr>
          <w:iCs/>
        </w:rPr>
      </w:pPr>
      <w:r w:rsidRPr="00787A0B">
        <w:rPr>
          <w:iCs/>
        </w:rPr>
        <w:t>The previous restriction stated “evidence of invasive early-stage breast cancer and ≥</w:t>
      </w:r>
      <w:r w:rsidR="00B5511A" w:rsidRPr="00787A0B">
        <w:rPr>
          <w:iCs/>
        </w:rPr>
        <w:t xml:space="preserve"> </w:t>
      </w:r>
      <w:r w:rsidRPr="00787A0B">
        <w:rPr>
          <w:iCs/>
        </w:rPr>
        <w:t xml:space="preserve">1 positive axillary lymph node(s) following completion of surgery, as demonstrated by a pathology report” was required prior to commencing treatment. This has been removed as lymph node involvement is covered in the definition of high risk. </w:t>
      </w:r>
    </w:p>
    <w:p w14:paraId="1901F5A6" w14:textId="365CAF2C" w:rsidR="006B2F5D" w:rsidRPr="00787A0B" w:rsidRDefault="006B2F5D" w:rsidP="00927EF8">
      <w:pPr>
        <w:pStyle w:val="3-BodyText"/>
        <w:numPr>
          <w:ilvl w:val="1"/>
          <w:numId w:val="12"/>
        </w:numPr>
        <w:ind w:left="1134" w:hanging="425"/>
        <w:rPr>
          <w:iCs/>
        </w:rPr>
      </w:pPr>
      <w:r w:rsidRPr="00787A0B">
        <w:rPr>
          <w:iCs/>
        </w:rPr>
        <w:t>The previous submission had a tumour histological grade ≥ 3 as a marker of high risk of recurrence. The resubmission has this listed as grade = 3. As grade 3 is the highest grade for this tumour type</w:t>
      </w:r>
      <w:r w:rsidR="00186A45">
        <w:rPr>
          <w:iCs/>
        </w:rPr>
        <w:t>,</w:t>
      </w:r>
      <w:r w:rsidRPr="00787A0B">
        <w:rPr>
          <w:iCs/>
        </w:rPr>
        <w:t xml:space="preserve"> this does not change the target population. </w:t>
      </w:r>
    </w:p>
    <w:p w14:paraId="2E01C90C" w14:textId="132E6DA1" w:rsidR="00CC35EA" w:rsidRPr="00592C6E" w:rsidRDefault="00186A45" w:rsidP="00F9393E">
      <w:pPr>
        <w:pStyle w:val="3-BodyText"/>
        <w:rPr>
          <w:color w:val="0066FF"/>
        </w:rPr>
      </w:pPr>
      <w:r>
        <w:rPr>
          <w:rFonts w:ascii="Calibri" w:hAnsi="Calibri"/>
          <w:snapToGrid/>
        </w:rPr>
        <w:lastRenderedPageBreak/>
        <w:t>Ninety-eight percent</w:t>
      </w:r>
      <w:r w:rsidR="00C57CCF" w:rsidRPr="001C3C88">
        <w:rPr>
          <w:rFonts w:ascii="Calibri" w:hAnsi="Calibri"/>
          <w:snapToGrid/>
        </w:rPr>
        <w:t xml:space="preserve"> of patients in the monarchE trial received prior chemotherapy (98.3% in the </w:t>
      </w:r>
      <w:r w:rsidR="00C57CCF" w:rsidRPr="000D686F">
        <w:rPr>
          <w:rFonts w:ascii="Calibri" w:hAnsi="Calibri"/>
          <w:snapToGrid/>
        </w:rPr>
        <w:t>abemaciclib + ET arm vs 97.6% in the ET arm).</w:t>
      </w:r>
      <w:r w:rsidR="00C57CCF" w:rsidRPr="00787A0B">
        <w:rPr>
          <w:rFonts w:ascii="Calibri" w:hAnsi="Calibri"/>
          <w:iCs/>
          <w:snapToGrid/>
        </w:rPr>
        <w:t xml:space="preserve"> </w:t>
      </w:r>
      <w:r w:rsidR="00AA32B2" w:rsidRPr="00787A0B">
        <w:rPr>
          <w:iCs/>
        </w:rPr>
        <w:t>A criterion regarding p</w:t>
      </w:r>
      <w:r w:rsidR="00592C6E" w:rsidRPr="00787A0B">
        <w:rPr>
          <w:iCs/>
        </w:rPr>
        <w:t xml:space="preserve">rior chemotherapy </w:t>
      </w:r>
      <w:r w:rsidR="00AA32B2" w:rsidRPr="00787A0B">
        <w:rPr>
          <w:iCs/>
        </w:rPr>
        <w:t xml:space="preserve">use </w:t>
      </w:r>
      <w:r w:rsidR="00763AA6">
        <w:rPr>
          <w:iCs/>
        </w:rPr>
        <w:t>wa</w:t>
      </w:r>
      <w:r w:rsidR="00592C6E" w:rsidRPr="00787A0B">
        <w:rPr>
          <w:iCs/>
        </w:rPr>
        <w:t>s not included in the proposed restriction.</w:t>
      </w:r>
    </w:p>
    <w:p w14:paraId="32F65358" w14:textId="498AF829" w:rsidR="009842DB" w:rsidRPr="0077611C" w:rsidRDefault="00592C6E" w:rsidP="006B2F5D">
      <w:pPr>
        <w:pStyle w:val="3-BodyText"/>
        <w:rPr>
          <w:color w:val="0066FF"/>
        </w:rPr>
      </w:pPr>
      <w:r w:rsidRPr="00787A0B">
        <w:rPr>
          <w:iCs/>
        </w:rPr>
        <w:t xml:space="preserve">The use of abemaciclib in </w:t>
      </w:r>
      <w:r w:rsidR="00FA2631" w:rsidRPr="00787A0B">
        <w:rPr>
          <w:iCs/>
        </w:rPr>
        <w:t>E</w:t>
      </w:r>
      <w:r w:rsidRPr="00787A0B">
        <w:rPr>
          <w:iCs/>
        </w:rPr>
        <w:t xml:space="preserve">BC could limit the later use of </w:t>
      </w:r>
      <w:r w:rsidR="00792D03" w:rsidRPr="00787A0B">
        <w:rPr>
          <w:iCs/>
        </w:rPr>
        <w:t>cyclin-dependent kinase (</w:t>
      </w:r>
      <w:r w:rsidRPr="00787A0B">
        <w:rPr>
          <w:iCs/>
        </w:rPr>
        <w:t>CDK</w:t>
      </w:r>
      <w:r w:rsidR="00792D03" w:rsidRPr="00787A0B">
        <w:rPr>
          <w:iCs/>
        </w:rPr>
        <w:t>)</w:t>
      </w:r>
      <w:r w:rsidRPr="00787A0B">
        <w:rPr>
          <w:iCs/>
        </w:rPr>
        <w:t>4/6 inhibitors</w:t>
      </w:r>
      <w:r w:rsidR="000D686F" w:rsidRPr="00787A0B">
        <w:rPr>
          <w:iCs/>
        </w:rPr>
        <w:t>, potentially leading to a reduction in future treatment options (</w:t>
      </w:r>
      <w:r w:rsidR="00EF64AD">
        <w:rPr>
          <w:iCs/>
        </w:rPr>
        <w:t>p</w:t>
      </w:r>
      <w:r w:rsidR="000D686F" w:rsidRPr="00787A0B">
        <w:rPr>
          <w:iCs/>
        </w:rPr>
        <w:t>ara</w:t>
      </w:r>
      <w:r w:rsidR="00EF64AD">
        <w:rPr>
          <w:iCs/>
        </w:rPr>
        <w:t>graph</w:t>
      </w:r>
      <w:r w:rsidR="000D686F" w:rsidRPr="00787A0B">
        <w:rPr>
          <w:iCs/>
        </w:rPr>
        <w:t xml:space="preserve"> 7.5, </w:t>
      </w:r>
      <w:r w:rsidR="00987EF8">
        <w:rPr>
          <w:iCs/>
        </w:rPr>
        <w:t>A</w:t>
      </w:r>
      <w:r w:rsidR="000D686F" w:rsidRPr="00787A0B">
        <w:rPr>
          <w:iCs/>
        </w:rPr>
        <w:t>bemaciclib PSD, March 2022).</w:t>
      </w:r>
      <w:r w:rsidRPr="00787A0B">
        <w:rPr>
          <w:iCs/>
        </w:rPr>
        <w:t xml:space="preserve"> </w:t>
      </w:r>
      <w:r w:rsidR="000D686F" w:rsidRPr="00787A0B">
        <w:rPr>
          <w:iCs/>
        </w:rPr>
        <w:t>Abemaciclib</w:t>
      </w:r>
      <w:r w:rsidRPr="00787A0B">
        <w:rPr>
          <w:iCs/>
        </w:rPr>
        <w:t xml:space="preserve"> is currently listed for metastatic cancer</w:t>
      </w:r>
      <w:r w:rsidR="00763AA6">
        <w:rPr>
          <w:iCs/>
        </w:rPr>
        <w:t>,</w:t>
      </w:r>
      <w:r w:rsidRPr="00787A0B">
        <w:rPr>
          <w:iCs/>
        </w:rPr>
        <w:t xml:space="preserve"> but there </w:t>
      </w:r>
      <w:r w:rsidR="00792D03" w:rsidRPr="00787A0B">
        <w:rPr>
          <w:iCs/>
        </w:rPr>
        <w:t>are</w:t>
      </w:r>
      <w:r w:rsidRPr="00787A0B">
        <w:rPr>
          <w:iCs/>
        </w:rPr>
        <w:t xml:space="preserve"> no safety or efficacy data for repeated use of CDK4/6 inhibitors</w:t>
      </w:r>
      <w:r w:rsidR="000D686F" w:rsidRPr="00787A0B">
        <w:rPr>
          <w:iCs/>
        </w:rPr>
        <w:t>. T</w:t>
      </w:r>
      <w:r w:rsidR="007029FE" w:rsidRPr="00787A0B">
        <w:rPr>
          <w:iCs/>
        </w:rPr>
        <w:t xml:space="preserve">he metastatic cancer listing </w:t>
      </w:r>
      <w:r w:rsidR="00FD7C8A" w:rsidRPr="00787A0B">
        <w:rPr>
          <w:iCs/>
        </w:rPr>
        <w:t xml:space="preserve">currently </w:t>
      </w:r>
      <w:r w:rsidR="007029FE" w:rsidRPr="00787A0B">
        <w:rPr>
          <w:iCs/>
        </w:rPr>
        <w:t xml:space="preserve">states that patients </w:t>
      </w:r>
      <w:r w:rsidR="00FD7C8A" w:rsidRPr="00787A0B">
        <w:rPr>
          <w:iCs/>
        </w:rPr>
        <w:t>must not have</w:t>
      </w:r>
      <w:r w:rsidR="007029FE" w:rsidRPr="00787A0B">
        <w:rPr>
          <w:iCs/>
        </w:rPr>
        <w:t xml:space="preserve"> </w:t>
      </w:r>
      <w:r w:rsidR="00FD7C8A" w:rsidRPr="00787A0B">
        <w:rPr>
          <w:iCs/>
        </w:rPr>
        <w:t>previously received a</w:t>
      </w:r>
      <w:r w:rsidR="007029FE" w:rsidRPr="00787A0B">
        <w:rPr>
          <w:iCs/>
        </w:rPr>
        <w:t xml:space="preserve"> CDK4/6 inhibitor</w:t>
      </w:r>
      <w:r w:rsidR="000D686F" w:rsidRPr="00787A0B">
        <w:rPr>
          <w:iCs/>
        </w:rPr>
        <w:t>.</w:t>
      </w:r>
    </w:p>
    <w:p w14:paraId="266C6CA3" w14:textId="54165ADA" w:rsidR="0077611C" w:rsidRPr="0077611C" w:rsidRDefault="0077611C" w:rsidP="0077611C">
      <w:pPr>
        <w:rPr>
          <w:i/>
          <w:iCs/>
        </w:rPr>
      </w:pPr>
      <w:r>
        <w:tab/>
      </w:r>
      <w:r w:rsidRPr="0077611C">
        <w:rPr>
          <w:i/>
          <w:iCs/>
        </w:rPr>
        <w:t>For more detail on PBAC’s view, see section 7 PBAC outcome.</w:t>
      </w:r>
    </w:p>
    <w:p w14:paraId="158AA79B" w14:textId="77777777" w:rsidR="00B50DB8" w:rsidRPr="00407F2D" w:rsidDel="00195452" w:rsidRDefault="00203181" w:rsidP="004E18E9">
      <w:pPr>
        <w:pStyle w:val="2-SectionHeading"/>
      </w:pPr>
      <w:bookmarkStart w:id="11" w:name="_Toc124940300"/>
      <w:r w:rsidDel="00195452">
        <w:t xml:space="preserve">Population and </w:t>
      </w:r>
      <w:r w:rsidR="008E0D3C" w:rsidDel="00195452">
        <w:t>d</w:t>
      </w:r>
      <w:r w:rsidDel="00195452">
        <w:t>isease</w:t>
      </w:r>
      <w:bookmarkEnd w:id="11"/>
    </w:p>
    <w:p w14:paraId="46F2D74D" w14:textId="6DB81356" w:rsidR="009842DB" w:rsidRDefault="00592C6E" w:rsidP="00592C6E">
      <w:pPr>
        <w:pStyle w:val="3-BodyText"/>
      </w:pPr>
      <w:r w:rsidRPr="00592C6E">
        <w:t>The population proposed to be eligible for abemaciclib are those with HR</w:t>
      </w:r>
      <w:r w:rsidR="007029FE">
        <w:t>+</w:t>
      </w:r>
      <w:r w:rsidRPr="00592C6E">
        <w:t>, HER2-, lymph node positive, invasive, EBC, at high risk of recurrence.</w:t>
      </w:r>
      <w:r w:rsidR="00B83ACF">
        <w:t xml:space="preserve"> </w:t>
      </w:r>
      <w:r w:rsidR="00B83ACF" w:rsidRPr="00787A0B">
        <w:rPr>
          <w:iCs/>
        </w:rPr>
        <w:t>This has not changed from the previous submission.</w:t>
      </w:r>
      <w:r w:rsidRPr="00592C6E">
        <w:t xml:space="preserve"> </w:t>
      </w:r>
      <w:r w:rsidR="009842DB" w:rsidRPr="009842DB">
        <w:t>‘Early’ breast cancer is defined</w:t>
      </w:r>
      <w:r w:rsidR="00C57CCF">
        <w:t>, in the resubmission,</w:t>
      </w:r>
      <w:r w:rsidR="009842DB" w:rsidRPr="009842DB">
        <w:t xml:space="preserve"> as stages 1-3 breast cancer (early or locally advanced), which has not spread beyond the breast tissue or near</w:t>
      </w:r>
      <w:r w:rsidR="00D449C4">
        <w:t>b</w:t>
      </w:r>
      <w:r w:rsidR="009842DB" w:rsidRPr="009842DB">
        <w:t>y lymph nodes.</w:t>
      </w:r>
      <w:r w:rsidR="00C57CCF">
        <w:t xml:space="preserve"> </w:t>
      </w:r>
      <w:r w:rsidR="00C57CCF" w:rsidRPr="00C57CCF">
        <w:t xml:space="preserve">The resubmission uses the term </w:t>
      </w:r>
      <w:r w:rsidR="00851F4C">
        <w:t>‘</w:t>
      </w:r>
      <w:r w:rsidR="00C57CCF" w:rsidRPr="00C57CCF">
        <w:t>early breast cance</w:t>
      </w:r>
      <w:r w:rsidR="00851F4C">
        <w:t>r’</w:t>
      </w:r>
      <w:r w:rsidR="00C57CCF" w:rsidRPr="00C57CCF">
        <w:t xml:space="preserve"> to encompass non-metastatic breast cancers (stages I-III), which aligns with the inclusion criteria from the key trial (monarchE). However, this conflicts with the Cancer Australia definition where stage I to IIB (early) is classified as early breast cancer while stages IIB (advanced) to IIIC are regarded as advanced breast cancer</w:t>
      </w:r>
      <w:r w:rsidR="00C57CCF">
        <w:rPr>
          <w:rStyle w:val="FootnoteReference"/>
        </w:rPr>
        <w:footnoteReference w:id="2"/>
      </w:r>
      <w:r w:rsidR="00C57CCF" w:rsidRPr="00C57CCF">
        <w:t>.</w:t>
      </w:r>
    </w:p>
    <w:p w14:paraId="0E90AFAD" w14:textId="77777777" w:rsidR="006B2F5D" w:rsidRDefault="006B2F5D" w:rsidP="006B2F5D">
      <w:pPr>
        <w:pStyle w:val="3-BodyText"/>
      </w:pPr>
      <w:r>
        <w:t>In Australia, b</w:t>
      </w:r>
      <w:r w:rsidRPr="005668CA">
        <w:t xml:space="preserve">reast cancer is the most common </w:t>
      </w:r>
      <w:r>
        <w:t>type of cancer in</w:t>
      </w:r>
      <w:r w:rsidRPr="005668CA">
        <w:t xml:space="preserve"> women and the second </w:t>
      </w:r>
      <w:r>
        <w:t>most common cause of cancer-related death in women</w:t>
      </w:r>
      <w:r>
        <w:rPr>
          <w:rStyle w:val="FootnoteReference"/>
        </w:rPr>
        <w:footnoteReference w:id="3"/>
      </w:r>
      <w:r w:rsidRPr="005668CA">
        <w:t xml:space="preserve">. </w:t>
      </w:r>
      <w:r>
        <w:t>The majority of breast cancer cases are diagnosed at an early stage (95%)</w:t>
      </w:r>
      <w:r>
        <w:rPr>
          <w:vertAlign w:val="superscript"/>
        </w:rPr>
        <w:t xml:space="preserve">1 </w:t>
      </w:r>
      <w:r>
        <w:t>and HR+, HER2- breast cancer remains the most common subtype, accounting for 70% of cases</w:t>
      </w:r>
      <w:r>
        <w:rPr>
          <w:rStyle w:val="FootnoteReference"/>
        </w:rPr>
        <w:footnoteReference w:id="4"/>
      </w:r>
      <w:r>
        <w:t>.</w:t>
      </w:r>
      <w:r w:rsidRPr="00592C6E">
        <w:t xml:space="preserve"> </w:t>
      </w:r>
    </w:p>
    <w:p w14:paraId="185353C1" w14:textId="40EE0F8C" w:rsidR="00B83ACF" w:rsidRPr="00B83ACF" w:rsidRDefault="006B2F5D" w:rsidP="00B83ACF">
      <w:pPr>
        <w:pStyle w:val="3-BodyText"/>
        <w:rPr>
          <w:rFonts w:eastAsia="Calibri" w:cs="Calibri"/>
        </w:rPr>
      </w:pPr>
      <w:r>
        <w:t>Approximately 30% of patients with early breast cancer experience recurrence at some time point</w:t>
      </w:r>
      <w:r>
        <w:rPr>
          <w:rStyle w:val="FootnoteReference"/>
        </w:rPr>
        <w:footnoteReference w:id="5"/>
      </w:r>
      <w:r>
        <w:t xml:space="preserve">. </w:t>
      </w:r>
      <w:r w:rsidR="00B83ACF" w:rsidRPr="00B83ACF">
        <w:rPr>
          <w:rFonts w:eastAsia="Calibri" w:cs="Calibri"/>
        </w:rPr>
        <w:t xml:space="preserve">The submission proposed listing of abemaciclib in those classified as being at high risk of recurrence based on having 4 or more positive lymph nodes, or having 1 to 3 positive lymph nodes in addition to a tumour </w:t>
      </w:r>
      <w:r w:rsidR="00B83ACF" w:rsidRPr="00B83ACF">
        <w:rPr>
          <w:rFonts w:eastAsia="Calibri" w:cstheme="minorHAnsi"/>
        </w:rPr>
        <w:t>&gt;</w:t>
      </w:r>
      <w:r w:rsidR="00B83ACF">
        <w:rPr>
          <w:rFonts w:eastAsia="Calibri" w:cstheme="minorHAnsi"/>
        </w:rPr>
        <w:t xml:space="preserve"> </w:t>
      </w:r>
      <w:r w:rsidR="00B83ACF" w:rsidRPr="00B83ACF">
        <w:rPr>
          <w:rFonts w:eastAsia="Calibri" w:cs="Calibri"/>
        </w:rPr>
        <w:t xml:space="preserve">5 cm or a histological grade </w:t>
      </w:r>
      <w:r w:rsidR="00B83ACF">
        <w:rPr>
          <w:rFonts w:eastAsia="Calibri" w:cstheme="minorHAnsi"/>
        </w:rPr>
        <w:t xml:space="preserve">= </w:t>
      </w:r>
      <w:r w:rsidR="00B83ACF" w:rsidRPr="00B83ACF">
        <w:rPr>
          <w:rFonts w:eastAsia="Calibri" w:cstheme="minorHAnsi"/>
        </w:rPr>
        <w:t>3.</w:t>
      </w:r>
    </w:p>
    <w:p w14:paraId="785C61DD" w14:textId="670F548E" w:rsidR="007627BE" w:rsidRDefault="00F71415" w:rsidP="004E18E9">
      <w:pPr>
        <w:pStyle w:val="3-BodyText"/>
      </w:pPr>
      <w:r w:rsidRPr="00F71415">
        <w:t>Abemaciclib is a cyclin D-dependent kinases (CDK) 4 and 6 inhibitor. It blocks cancer cell proliferation by inhibiting CDK4/6 phosphorylation of the growth suppressor retinoblastoma protein (Rb).</w:t>
      </w:r>
      <w:r>
        <w:t xml:space="preserve"> </w:t>
      </w:r>
    </w:p>
    <w:p w14:paraId="522BAA5F" w14:textId="58C84C2F" w:rsidR="0077611C" w:rsidRPr="00F71415" w:rsidDel="00195452" w:rsidRDefault="0077611C" w:rsidP="0077611C">
      <w:pPr>
        <w:pStyle w:val="3-BodyText"/>
        <w:numPr>
          <w:ilvl w:val="0"/>
          <w:numId w:val="0"/>
        </w:numPr>
        <w:ind w:left="720"/>
      </w:pPr>
      <w:r w:rsidRPr="0077611C">
        <w:rPr>
          <w:i/>
          <w:iCs/>
        </w:rPr>
        <w:lastRenderedPageBreak/>
        <w:t>For more detail on PBAC’s view, see section 7 PBAC outcome.</w:t>
      </w:r>
    </w:p>
    <w:p w14:paraId="0B234DA1" w14:textId="77777777" w:rsidR="00B50DB8" w:rsidRPr="00407F2D" w:rsidRDefault="00B50DB8" w:rsidP="004E18E9">
      <w:pPr>
        <w:pStyle w:val="2-SectionHeading"/>
      </w:pPr>
      <w:bookmarkStart w:id="12" w:name="_Toc124940301"/>
      <w:r w:rsidRPr="00407F2D">
        <w:t>Comparator</w:t>
      </w:r>
      <w:bookmarkEnd w:id="12"/>
    </w:p>
    <w:p w14:paraId="147E47E5" w14:textId="171F9DEA" w:rsidR="00B50DB8" w:rsidRDefault="00F71415" w:rsidP="00F71415">
      <w:pPr>
        <w:pStyle w:val="3-BodyText"/>
        <w:rPr>
          <w:snapToGrid/>
          <w:lang w:val="en-US"/>
        </w:rPr>
      </w:pPr>
      <w:bookmarkStart w:id="13" w:name="_Ref107305381"/>
      <w:r w:rsidRPr="00F71415">
        <w:rPr>
          <w:snapToGrid/>
          <w:lang w:val="en-US"/>
        </w:rPr>
        <w:t>The submission nominated ET alone as the main comparator. ET may include either an AI (</w:t>
      </w:r>
      <w:r w:rsidR="00A66A2F">
        <w:rPr>
          <w:iCs/>
          <w:snapToGrid/>
          <w:lang w:val="en-US"/>
        </w:rPr>
        <w:t>e.g.</w:t>
      </w:r>
      <w:r w:rsidR="00C57CCF">
        <w:rPr>
          <w:iCs/>
          <w:snapToGrid/>
          <w:lang w:val="en-US"/>
        </w:rPr>
        <w:t xml:space="preserve"> </w:t>
      </w:r>
      <w:r w:rsidRPr="00F71415">
        <w:rPr>
          <w:snapToGrid/>
          <w:lang w:val="en-US"/>
        </w:rPr>
        <w:t xml:space="preserve">letrozole, anastrozole or exemestane), or </w:t>
      </w:r>
      <w:r w:rsidR="00A66A2F" w:rsidRPr="00F71415">
        <w:rPr>
          <w:snapToGrid/>
          <w:lang w:val="en-US"/>
        </w:rPr>
        <w:t>an</w:t>
      </w:r>
      <w:r w:rsidRPr="00F71415">
        <w:rPr>
          <w:snapToGrid/>
          <w:lang w:val="en-US"/>
        </w:rPr>
        <w:t xml:space="preserve"> established selective estrogen receptor modulator (SERM) (</w:t>
      </w:r>
      <w:r w:rsidR="00A66A2F">
        <w:rPr>
          <w:snapToGrid/>
          <w:lang w:val="en-US"/>
        </w:rPr>
        <w:t>e.g.</w:t>
      </w:r>
      <w:r w:rsidRPr="00F71415">
        <w:rPr>
          <w:snapToGrid/>
          <w:lang w:val="en-US"/>
        </w:rPr>
        <w:t xml:space="preserve"> tamoxifen </w:t>
      </w:r>
      <w:r w:rsidR="00A66A2F">
        <w:rPr>
          <w:snapToGrid/>
          <w:lang w:val="en-US"/>
        </w:rPr>
        <w:t>[</w:t>
      </w:r>
      <w:r w:rsidRPr="00F71415">
        <w:rPr>
          <w:snapToGrid/>
          <w:lang w:val="en-US"/>
        </w:rPr>
        <w:t>TAM</w:t>
      </w:r>
      <w:r w:rsidR="00A66A2F">
        <w:rPr>
          <w:snapToGrid/>
          <w:lang w:val="en-US"/>
        </w:rPr>
        <w:t>]</w:t>
      </w:r>
      <w:r w:rsidRPr="00F71415">
        <w:rPr>
          <w:snapToGrid/>
          <w:lang w:val="en-US"/>
        </w:rPr>
        <w:t xml:space="preserve">). </w:t>
      </w:r>
      <w:r w:rsidRPr="00787A0B">
        <w:rPr>
          <w:snapToGrid/>
          <w:lang w:val="en-US"/>
        </w:rPr>
        <w:t>The PBAC has previously considered single agent ET alone as the appropriate comparator (</w:t>
      </w:r>
      <w:r w:rsidR="00987EF8">
        <w:rPr>
          <w:snapToGrid/>
          <w:lang w:val="en-US"/>
        </w:rPr>
        <w:t>p</w:t>
      </w:r>
      <w:r w:rsidRPr="00787A0B">
        <w:rPr>
          <w:snapToGrid/>
          <w:lang w:val="en-US"/>
        </w:rPr>
        <w:t>ara</w:t>
      </w:r>
      <w:r w:rsidR="00987EF8">
        <w:rPr>
          <w:snapToGrid/>
          <w:lang w:val="en-US"/>
        </w:rPr>
        <w:t>graph</w:t>
      </w:r>
      <w:r w:rsidRPr="00787A0B">
        <w:rPr>
          <w:snapToGrid/>
          <w:lang w:val="en-US"/>
        </w:rPr>
        <w:t xml:space="preserve"> 7.7, Abemaciclib PSD, March 2022)</w:t>
      </w:r>
      <w:r w:rsidR="00792D03" w:rsidRPr="00787A0B">
        <w:rPr>
          <w:snapToGrid/>
          <w:lang w:val="en-US"/>
        </w:rPr>
        <w:t>.</w:t>
      </w:r>
      <w:r w:rsidR="00024EB5" w:rsidRPr="00F71415">
        <w:rPr>
          <w:snapToGrid/>
          <w:lang w:val="en-US"/>
        </w:rPr>
        <w:t xml:space="preserve"> </w:t>
      </w:r>
      <w:bookmarkEnd w:id="13"/>
    </w:p>
    <w:p w14:paraId="32F9D0A2" w14:textId="08953AE0" w:rsidR="0077611C" w:rsidRPr="00F71415" w:rsidRDefault="0077611C" w:rsidP="0077611C">
      <w:pPr>
        <w:pStyle w:val="3-BodyText"/>
        <w:numPr>
          <w:ilvl w:val="0"/>
          <w:numId w:val="0"/>
        </w:numPr>
        <w:ind w:left="720"/>
        <w:rPr>
          <w:snapToGrid/>
          <w:lang w:val="en-US"/>
        </w:rPr>
      </w:pPr>
      <w:r w:rsidRPr="0077611C">
        <w:rPr>
          <w:i/>
          <w:iCs/>
        </w:rPr>
        <w:t>For more detail on PBAC’s view, see section 7 PBAC outcome.</w:t>
      </w:r>
    </w:p>
    <w:p w14:paraId="4B98C8C6" w14:textId="77777777" w:rsidR="00223D5A" w:rsidRPr="00407F2D" w:rsidRDefault="00223D5A" w:rsidP="00223D5A">
      <w:pPr>
        <w:pStyle w:val="2-SectionHeading"/>
        <w:numPr>
          <w:ilvl w:val="0"/>
          <w:numId w:val="1"/>
        </w:numPr>
      </w:pPr>
      <w:bookmarkStart w:id="14" w:name="_Toc124940302"/>
      <w:bookmarkStart w:id="15" w:name="_Toc22897640"/>
      <w:r>
        <w:t>C</w:t>
      </w:r>
      <w:r w:rsidRPr="00407F2D">
        <w:t>onsideration of the evidence</w:t>
      </w:r>
      <w:bookmarkEnd w:id="14"/>
    </w:p>
    <w:p w14:paraId="382AD2FF" w14:textId="77777777" w:rsidR="0077611C" w:rsidRPr="006E1229" w:rsidRDefault="0077611C" w:rsidP="0077611C">
      <w:pPr>
        <w:pStyle w:val="3-SubsectionHeading"/>
        <w:rPr>
          <w:lang w:eastAsia="en-AU"/>
        </w:rPr>
      </w:pPr>
      <w:bookmarkStart w:id="16" w:name="_Hlk76375935"/>
      <w:bookmarkStart w:id="17" w:name="_Toc124940303"/>
      <w:r w:rsidRPr="006E1229">
        <w:rPr>
          <w:lang w:eastAsia="en-AU"/>
        </w:rPr>
        <w:t>Sponsor hearing</w:t>
      </w:r>
    </w:p>
    <w:p w14:paraId="721CF560" w14:textId="5D61F656" w:rsidR="0077611C" w:rsidRPr="00F91542" w:rsidRDefault="0077611C" w:rsidP="0077611C">
      <w:pPr>
        <w:widowControl w:val="0"/>
        <w:numPr>
          <w:ilvl w:val="1"/>
          <w:numId w:val="1"/>
        </w:numPr>
        <w:spacing w:after="120"/>
        <w:rPr>
          <w:rFonts w:cs="Calibri"/>
          <w:bCs/>
          <w:snapToGrid w:val="0"/>
        </w:rPr>
      </w:pPr>
      <w:r w:rsidRPr="00F91542">
        <w:rPr>
          <w:rFonts w:cs="Calibri"/>
          <w:bCs/>
          <w:snapToGrid w:val="0"/>
        </w:rPr>
        <w:t>There was no hearing for this item.</w:t>
      </w:r>
    </w:p>
    <w:p w14:paraId="45A90F2C" w14:textId="77777777" w:rsidR="0077611C" w:rsidRPr="006E1229" w:rsidRDefault="0077611C" w:rsidP="0077611C">
      <w:pPr>
        <w:pStyle w:val="3-SubsectionHeading"/>
        <w:rPr>
          <w:lang w:eastAsia="en-AU"/>
        </w:rPr>
      </w:pPr>
      <w:r w:rsidRPr="006E1229">
        <w:rPr>
          <w:lang w:eastAsia="en-AU"/>
        </w:rPr>
        <w:t>Consumer comments</w:t>
      </w:r>
    </w:p>
    <w:p w14:paraId="722FEBA1" w14:textId="3B3B8701" w:rsidR="00134B94" w:rsidRDefault="0077611C" w:rsidP="0077611C">
      <w:pPr>
        <w:widowControl w:val="0"/>
        <w:numPr>
          <w:ilvl w:val="1"/>
          <w:numId w:val="1"/>
        </w:numPr>
        <w:spacing w:after="120"/>
        <w:rPr>
          <w:rFonts w:asciiTheme="minorHAnsi" w:hAnsiTheme="minorHAnsi"/>
          <w:bCs/>
          <w:snapToGrid w:val="0"/>
        </w:rPr>
      </w:pPr>
      <w:bookmarkStart w:id="18" w:name="_Hlk76382618"/>
      <w:r w:rsidRPr="00836F75">
        <w:rPr>
          <w:rFonts w:asciiTheme="minorHAnsi" w:hAnsiTheme="minorHAnsi"/>
          <w:bCs/>
          <w:snapToGrid w:val="0"/>
        </w:rPr>
        <w:t>The PBAC noted and welcomed the input from individuals (</w:t>
      </w:r>
      <w:r w:rsidR="008A256B">
        <w:rPr>
          <w:rFonts w:asciiTheme="minorHAnsi" w:hAnsiTheme="minorHAnsi"/>
          <w:bCs/>
          <w:snapToGrid w:val="0"/>
        </w:rPr>
        <w:t>2</w:t>
      </w:r>
      <w:r w:rsidRPr="00836F75">
        <w:rPr>
          <w:rFonts w:asciiTheme="minorHAnsi" w:hAnsiTheme="minorHAnsi"/>
          <w:bCs/>
          <w:snapToGrid w:val="0"/>
        </w:rPr>
        <w:t>), health care professionals (</w:t>
      </w:r>
      <w:r w:rsidR="008A256B">
        <w:rPr>
          <w:rFonts w:asciiTheme="minorHAnsi" w:hAnsiTheme="minorHAnsi"/>
          <w:bCs/>
          <w:snapToGrid w:val="0"/>
        </w:rPr>
        <w:t>2</w:t>
      </w:r>
      <w:r w:rsidRPr="00836F75">
        <w:rPr>
          <w:rFonts w:asciiTheme="minorHAnsi" w:hAnsiTheme="minorHAnsi"/>
          <w:bCs/>
          <w:snapToGrid w:val="0"/>
        </w:rPr>
        <w:t>) and organisations (</w:t>
      </w:r>
      <w:r w:rsidR="00F26E56">
        <w:rPr>
          <w:rFonts w:asciiTheme="minorHAnsi" w:hAnsiTheme="minorHAnsi"/>
          <w:bCs/>
          <w:snapToGrid w:val="0"/>
        </w:rPr>
        <w:t>5</w:t>
      </w:r>
      <w:r w:rsidRPr="00836F75">
        <w:rPr>
          <w:rFonts w:asciiTheme="minorHAnsi" w:hAnsiTheme="minorHAnsi"/>
          <w:bCs/>
          <w:snapToGrid w:val="0"/>
        </w:rPr>
        <w:t xml:space="preserve">) via the Consumer Comments facility on the PBS website.  </w:t>
      </w:r>
    </w:p>
    <w:p w14:paraId="7E95CBDA" w14:textId="5B70E25C" w:rsidR="00134B94" w:rsidRDefault="0024402C" w:rsidP="0077611C">
      <w:pPr>
        <w:widowControl w:val="0"/>
        <w:numPr>
          <w:ilvl w:val="1"/>
          <w:numId w:val="1"/>
        </w:numPr>
        <w:spacing w:after="120"/>
        <w:rPr>
          <w:rFonts w:asciiTheme="minorHAnsi" w:hAnsiTheme="minorHAnsi"/>
          <w:bCs/>
          <w:snapToGrid w:val="0"/>
        </w:rPr>
      </w:pPr>
      <w:r>
        <w:rPr>
          <w:rFonts w:asciiTheme="minorHAnsi" w:hAnsiTheme="minorHAnsi"/>
          <w:bCs/>
          <w:snapToGrid w:val="0"/>
        </w:rPr>
        <w:t>Comments from h</w:t>
      </w:r>
      <w:r w:rsidR="00134B94">
        <w:rPr>
          <w:rFonts w:asciiTheme="minorHAnsi" w:hAnsiTheme="minorHAnsi"/>
          <w:bCs/>
          <w:snapToGrid w:val="0"/>
        </w:rPr>
        <w:t xml:space="preserve">ealth care professionals </w:t>
      </w:r>
      <w:r w:rsidR="00385EFA">
        <w:rPr>
          <w:rFonts w:asciiTheme="minorHAnsi" w:hAnsiTheme="minorHAnsi"/>
          <w:bCs/>
          <w:snapToGrid w:val="0"/>
        </w:rPr>
        <w:t>noted the</w:t>
      </w:r>
      <w:r w:rsidR="00134B94" w:rsidRPr="00134B94">
        <w:rPr>
          <w:rFonts w:asciiTheme="minorHAnsi" w:hAnsiTheme="minorHAnsi"/>
          <w:bCs/>
          <w:snapToGrid w:val="0"/>
        </w:rPr>
        <w:t xml:space="preserve"> likelihood of </w:t>
      </w:r>
      <w:r>
        <w:rPr>
          <w:rFonts w:asciiTheme="minorHAnsi" w:hAnsiTheme="minorHAnsi"/>
          <w:bCs/>
          <w:snapToGrid w:val="0"/>
        </w:rPr>
        <w:t xml:space="preserve">disease </w:t>
      </w:r>
      <w:r w:rsidR="00134B94" w:rsidRPr="00134B94">
        <w:rPr>
          <w:rFonts w:asciiTheme="minorHAnsi" w:hAnsiTheme="minorHAnsi"/>
          <w:bCs/>
          <w:snapToGrid w:val="0"/>
        </w:rPr>
        <w:t>recurrence</w:t>
      </w:r>
      <w:r>
        <w:rPr>
          <w:rFonts w:asciiTheme="minorHAnsi" w:hAnsiTheme="minorHAnsi"/>
          <w:bCs/>
          <w:snapToGrid w:val="0"/>
        </w:rPr>
        <w:t xml:space="preserve"> </w:t>
      </w:r>
      <w:r w:rsidR="004F034E">
        <w:rPr>
          <w:rFonts w:asciiTheme="minorHAnsi" w:hAnsiTheme="minorHAnsi"/>
          <w:bCs/>
          <w:snapToGrid w:val="0"/>
        </w:rPr>
        <w:t>among patients with</w:t>
      </w:r>
      <w:r>
        <w:rPr>
          <w:rFonts w:asciiTheme="minorHAnsi" w:hAnsiTheme="minorHAnsi"/>
          <w:bCs/>
          <w:snapToGrid w:val="0"/>
        </w:rPr>
        <w:t xml:space="preserve"> high risk early stage breast cancer</w:t>
      </w:r>
      <w:r w:rsidR="00134B94" w:rsidRPr="00134B94">
        <w:rPr>
          <w:rFonts w:asciiTheme="minorHAnsi" w:hAnsiTheme="minorHAnsi"/>
          <w:bCs/>
          <w:snapToGrid w:val="0"/>
        </w:rPr>
        <w:t xml:space="preserve"> </w:t>
      </w:r>
      <w:r w:rsidR="00385EFA">
        <w:rPr>
          <w:rFonts w:asciiTheme="minorHAnsi" w:hAnsiTheme="minorHAnsi"/>
          <w:bCs/>
          <w:snapToGrid w:val="0"/>
        </w:rPr>
        <w:t>despite current</w:t>
      </w:r>
      <w:r w:rsidR="004F034E">
        <w:rPr>
          <w:rFonts w:asciiTheme="minorHAnsi" w:hAnsiTheme="minorHAnsi"/>
          <w:bCs/>
          <w:snapToGrid w:val="0"/>
        </w:rPr>
        <w:t>ly available</w:t>
      </w:r>
      <w:r w:rsidR="00385EFA">
        <w:rPr>
          <w:rFonts w:asciiTheme="minorHAnsi" w:hAnsiTheme="minorHAnsi"/>
          <w:bCs/>
          <w:snapToGrid w:val="0"/>
        </w:rPr>
        <w:t xml:space="preserve"> treatment options and </w:t>
      </w:r>
      <w:r>
        <w:rPr>
          <w:rFonts w:asciiTheme="minorHAnsi" w:hAnsiTheme="minorHAnsi"/>
          <w:bCs/>
          <w:snapToGrid w:val="0"/>
        </w:rPr>
        <w:t xml:space="preserve">highlighted that </w:t>
      </w:r>
      <w:r w:rsidR="00385EFA">
        <w:rPr>
          <w:rFonts w:asciiTheme="minorHAnsi" w:hAnsiTheme="minorHAnsi"/>
          <w:bCs/>
          <w:snapToGrid w:val="0"/>
        </w:rPr>
        <w:t xml:space="preserve">disease recurrence for these patient is </w:t>
      </w:r>
      <w:r w:rsidR="00C8696A">
        <w:rPr>
          <w:rFonts w:asciiTheme="minorHAnsi" w:hAnsiTheme="minorHAnsi"/>
          <w:bCs/>
          <w:snapToGrid w:val="0"/>
        </w:rPr>
        <w:t>often</w:t>
      </w:r>
      <w:r w:rsidR="00385EFA">
        <w:rPr>
          <w:rFonts w:asciiTheme="minorHAnsi" w:hAnsiTheme="minorHAnsi"/>
          <w:bCs/>
          <w:snapToGrid w:val="0"/>
        </w:rPr>
        <w:t xml:space="preserve"> incurable and life-limiting. The health care professionals </w:t>
      </w:r>
      <w:r w:rsidR="004F034E">
        <w:rPr>
          <w:rFonts w:asciiTheme="minorHAnsi" w:hAnsiTheme="minorHAnsi"/>
          <w:bCs/>
          <w:snapToGrid w:val="0"/>
        </w:rPr>
        <w:t xml:space="preserve">noted that abemaciclib was associated with improved disease free survival that </w:t>
      </w:r>
      <w:r w:rsidR="004F034E" w:rsidRPr="00787A0B">
        <w:rPr>
          <w:rFonts w:eastAsia="Calibri"/>
        </w:rPr>
        <w:t xml:space="preserve">would </w:t>
      </w:r>
      <w:r w:rsidR="004F034E">
        <w:rPr>
          <w:rFonts w:eastAsia="Calibri"/>
        </w:rPr>
        <w:t xml:space="preserve">likely </w:t>
      </w:r>
      <w:r w:rsidR="004F034E" w:rsidRPr="00787A0B">
        <w:rPr>
          <w:rFonts w:eastAsia="Calibri"/>
        </w:rPr>
        <w:t xml:space="preserve">translate into clinically </w:t>
      </w:r>
      <w:r w:rsidR="004F034E" w:rsidRPr="004F034E">
        <w:rPr>
          <w:rFonts w:asciiTheme="minorHAnsi" w:hAnsiTheme="minorHAnsi"/>
          <w:bCs/>
          <w:snapToGrid w:val="0"/>
        </w:rPr>
        <w:t>meaningful OS benefits</w:t>
      </w:r>
      <w:r w:rsidR="004F034E">
        <w:rPr>
          <w:rFonts w:asciiTheme="minorHAnsi" w:hAnsiTheme="minorHAnsi"/>
          <w:bCs/>
          <w:snapToGrid w:val="0"/>
        </w:rPr>
        <w:t xml:space="preserve">. The health care professionals outlined common </w:t>
      </w:r>
      <w:r w:rsidR="004F034E" w:rsidRPr="004F034E">
        <w:rPr>
          <w:rFonts w:asciiTheme="minorHAnsi" w:hAnsiTheme="minorHAnsi"/>
          <w:bCs/>
          <w:snapToGrid w:val="0"/>
        </w:rPr>
        <w:t xml:space="preserve">side effects </w:t>
      </w:r>
      <w:r w:rsidR="004F034E">
        <w:rPr>
          <w:rFonts w:asciiTheme="minorHAnsi" w:hAnsiTheme="minorHAnsi"/>
          <w:bCs/>
          <w:snapToGrid w:val="0"/>
        </w:rPr>
        <w:t xml:space="preserve">associated with </w:t>
      </w:r>
      <w:r w:rsidR="004F034E" w:rsidRPr="004F034E">
        <w:rPr>
          <w:rFonts w:asciiTheme="minorHAnsi" w:hAnsiTheme="minorHAnsi"/>
          <w:bCs/>
          <w:snapToGrid w:val="0"/>
        </w:rPr>
        <w:t>abemaciclib treatment, including diarrhoea, abdominal pain, alopecia, fatigue, and neutropenia, however state</w:t>
      </w:r>
      <w:r w:rsidR="004F034E">
        <w:rPr>
          <w:rFonts w:asciiTheme="minorHAnsi" w:hAnsiTheme="minorHAnsi"/>
          <w:bCs/>
          <w:snapToGrid w:val="0"/>
        </w:rPr>
        <w:t>d</w:t>
      </w:r>
      <w:r w:rsidR="004F034E" w:rsidRPr="004F034E">
        <w:rPr>
          <w:rFonts w:asciiTheme="minorHAnsi" w:hAnsiTheme="minorHAnsi"/>
          <w:bCs/>
          <w:snapToGrid w:val="0"/>
        </w:rPr>
        <w:t xml:space="preserve"> that these </w:t>
      </w:r>
      <w:r w:rsidR="004F034E">
        <w:rPr>
          <w:rFonts w:asciiTheme="minorHAnsi" w:hAnsiTheme="minorHAnsi"/>
          <w:bCs/>
          <w:snapToGrid w:val="0"/>
        </w:rPr>
        <w:t>could be managed with appropriate monitoring and treatment</w:t>
      </w:r>
      <w:r w:rsidR="004F034E" w:rsidRPr="004F034E">
        <w:rPr>
          <w:rFonts w:asciiTheme="minorHAnsi" w:hAnsiTheme="minorHAnsi"/>
          <w:bCs/>
          <w:snapToGrid w:val="0"/>
        </w:rPr>
        <w:t>.</w:t>
      </w:r>
    </w:p>
    <w:p w14:paraId="60B64333" w14:textId="6D0E1305" w:rsidR="00CD06A2" w:rsidRDefault="00CD06A2" w:rsidP="0077611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One individual who had used abemaciclib provided insight into their experience with early breast cancer and treatment with </w:t>
      </w:r>
      <w:r w:rsidR="00E50B5A">
        <w:rPr>
          <w:rFonts w:asciiTheme="minorHAnsi" w:hAnsiTheme="minorHAnsi"/>
          <w:bCs/>
          <w:snapToGrid w:val="0"/>
        </w:rPr>
        <w:t>abemaciclib</w:t>
      </w:r>
      <w:r>
        <w:rPr>
          <w:rFonts w:asciiTheme="minorHAnsi" w:hAnsiTheme="minorHAnsi"/>
          <w:bCs/>
          <w:snapToGrid w:val="0"/>
        </w:rPr>
        <w:t xml:space="preserve">. This individual noted that they experienced diarrhoea and low energy levels, however considered these manageable with dosing adjustments. The individual also noted </w:t>
      </w:r>
      <w:r w:rsidRPr="00842260">
        <w:rPr>
          <w:rFonts w:asciiTheme="minorHAnsi" w:hAnsiTheme="minorHAnsi"/>
          <w:snapToGrid w:val="0"/>
        </w:rPr>
        <w:t>the quality of life benefits gained by reducing the burden associated with the fear of cancer recurrence</w:t>
      </w:r>
      <w:r>
        <w:rPr>
          <w:rFonts w:asciiTheme="minorHAnsi" w:hAnsiTheme="minorHAnsi"/>
          <w:snapToGrid w:val="0"/>
        </w:rPr>
        <w:t>.</w:t>
      </w:r>
      <w:r w:rsidR="00225AB0">
        <w:rPr>
          <w:rFonts w:asciiTheme="minorHAnsi" w:hAnsiTheme="minorHAnsi"/>
          <w:snapToGrid w:val="0"/>
        </w:rPr>
        <w:t xml:space="preserve"> One individual stated they would like access</w:t>
      </w:r>
      <w:r w:rsidR="00E50B5A">
        <w:rPr>
          <w:rFonts w:asciiTheme="minorHAnsi" w:hAnsiTheme="minorHAnsi"/>
          <w:snapToGrid w:val="0"/>
        </w:rPr>
        <w:t xml:space="preserve"> to</w:t>
      </w:r>
      <w:r w:rsidR="00225AB0">
        <w:rPr>
          <w:rFonts w:asciiTheme="minorHAnsi" w:hAnsiTheme="minorHAnsi"/>
          <w:snapToGrid w:val="0"/>
        </w:rPr>
        <w:t xml:space="preserve"> abemaciclib and considered </w:t>
      </w:r>
      <w:r w:rsidR="00C8696A">
        <w:rPr>
          <w:rFonts w:asciiTheme="minorHAnsi" w:hAnsiTheme="minorHAnsi"/>
          <w:snapToGrid w:val="0"/>
        </w:rPr>
        <w:t>it</w:t>
      </w:r>
      <w:r w:rsidR="00225AB0">
        <w:rPr>
          <w:rFonts w:asciiTheme="minorHAnsi" w:hAnsiTheme="minorHAnsi"/>
          <w:snapToGrid w:val="0"/>
        </w:rPr>
        <w:t xml:space="preserve"> would likely lead to an improvement in</w:t>
      </w:r>
      <w:r w:rsidR="00E50B5A">
        <w:rPr>
          <w:rFonts w:asciiTheme="minorHAnsi" w:hAnsiTheme="minorHAnsi"/>
          <w:snapToGrid w:val="0"/>
        </w:rPr>
        <w:t xml:space="preserve"> their</w:t>
      </w:r>
      <w:r w:rsidR="00225AB0">
        <w:rPr>
          <w:rFonts w:asciiTheme="minorHAnsi" w:hAnsiTheme="minorHAnsi"/>
          <w:snapToGrid w:val="0"/>
        </w:rPr>
        <w:t xml:space="preserve"> survival.</w:t>
      </w:r>
    </w:p>
    <w:p w14:paraId="6E9B6849" w14:textId="357E9D14" w:rsidR="009548C3" w:rsidRDefault="0077611C" w:rsidP="009548C3">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1E45BC">
        <w:rPr>
          <w:rFonts w:asciiTheme="minorHAnsi" w:hAnsiTheme="minorHAnsi"/>
          <w:bCs/>
          <w:snapToGrid w:val="0"/>
        </w:rPr>
        <w:t>5</w:t>
      </w:r>
      <w:r w:rsidR="00F26E56">
        <w:rPr>
          <w:rFonts w:asciiTheme="minorHAnsi" w:hAnsiTheme="minorHAnsi"/>
          <w:bCs/>
          <w:snapToGrid w:val="0"/>
        </w:rPr>
        <w:t xml:space="preserve"> </w:t>
      </w:r>
      <w:r w:rsidRPr="00836F75">
        <w:rPr>
          <w:rFonts w:asciiTheme="minorHAnsi" w:hAnsiTheme="minorHAnsi"/>
          <w:bCs/>
          <w:snapToGrid w:val="0"/>
        </w:rPr>
        <w:t>organisation</w:t>
      </w:r>
      <w:r w:rsidR="00F26E56">
        <w:rPr>
          <w:rFonts w:asciiTheme="minorHAnsi" w:hAnsiTheme="minorHAnsi"/>
          <w:bCs/>
          <w:snapToGrid w:val="0"/>
        </w:rPr>
        <w:t>s</w:t>
      </w:r>
      <w:r w:rsidR="0004238D">
        <w:rPr>
          <w:rFonts w:asciiTheme="minorHAnsi" w:hAnsiTheme="minorHAnsi"/>
          <w:bCs/>
          <w:snapToGrid w:val="0"/>
        </w:rPr>
        <w:t xml:space="preserve"> </w:t>
      </w:r>
      <w:r w:rsidR="009C030B">
        <w:rPr>
          <w:rFonts w:asciiTheme="minorHAnsi" w:hAnsiTheme="minorHAnsi"/>
          <w:bCs/>
          <w:snapToGrid w:val="0"/>
        </w:rPr>
        <w:t>(</w:t>
      </w:r>
      <w:r w:rsidR="009C030B" w:rsidRPr="009548C3">
        <w:rPr>
          <w:rFonts w:asciiTheme="minorHAnsi" w:hAnsiTheme="minorHAnsi"/>
          <w:bCs/>
          <w:snapToGrid w:val="0"/>
        </w:rPr>
        <w:t xml:space="preserve">Medical Oncology Group of Australia </w:t>
      </w:r>
      <w:r w:rsidR="009C030B">
        <w:rPr>
          <w:rFonts w:asciiTheme="minorHAnsi" w:hAnsiTheme="minorHAnsi"/>
          <w:bCs/>
          <w:snapToGrid w:val="0"/>
        </w:rPr>
        <w:t>[</w:t>
      </w:r>
      <w:r w:rsidR="009C030B" w:rsidRPr="009548C3">
        <w:rPr>
          <w:rFonts w:asciiTheme="minorHAnsi" w:hAnsiTheme="minorHAnsi"/>
          <w:bCs/>
          <w:snapToGrid w:val="0"/>
        </w:rPr>
        <w:t>MOGA</w:t>
      </w:r>
      <w:r w:rsidR="009C030B">
        <w:rPr>
          <w:rFonts w:asciiTheme="minorHAnsi" w:hAnsiTheme="minorHAnsi"/>
          <w:bCs/>
          <w:snapToGrid w:val="0"/>
        </w:rPr>
        <w:t>]</w:t>
      </w:r>
      <w:r w:rsidR="001E45BC">
        <w:rPr>
          <w:rFonts w:asciiTheme="minorHAnsi" w:hAnsiTheme="minorHAnsi"/>
          <w:bCs/>
          <w:snapToGrid w:val="0"/>
        </w:rPr>
        <w:t xml:space="preserve">, MOGA </w:t>
      </w:r>
      <w:r w:rsidR="005B425A">
        <w:rPr>
          <w:rFonts w:asciiTheme="minorHAnsi" w:hAnsiTheme="minorHAnsi"/>
          <w:bCs/>
          <w:snapToGrid w:val="0"/>
        </w:rPr>
        <w:t>Breast Cancer Expert Advisory Group</w:t>
      </w:r>
      <w:r w:rsidR="009C030B">
        <w:rPr>
          <w:rFonts w:asciiTheme="minorHAnsi" w:hAnsiTheme="minorHAnsi"/>
          <w:bCs/>
          <w:snapToGrid w:val="0"/>
        </w:rPr>
        <w:t>, Pink Hope</w:t>
      </w:r>
      <w:r w:rsidR="005B425A">
        <w:rPr>
          <w:rFonts w:asciiTheme="minorHAnsi" w:hAnsiTheme="minorHAnsi"/>
          <w:bCs/>
          <w:snapToGrid w:val="0"/>
        </w:rPr>
        <w:t>, Breast Cancer Network Australia</w:t>
      </w:r>
      <w:r w:rsidR="001E45BC">
        <w:rPr>
          <w:rFonts w:asciiTheme="minorHAnsi" w:hAnsiTheme="minorHAnsi"/>
          <w:bCs/>
          <w:snapToGrid w:val="0"/>
        </w:rPr>
        <w:t xml:space="preserve"> [BCNA]</w:t>
      </w:r>
      <w:r w:rsidR="005B425A">
        <w:rPr>
          <w:rFonts w:asciiTheme="minorHAnsi" w:hAnsiTheme="minorHAnsi"/>
          <w:bCs/>
          <w:snapToGrid w:val="0"/>
        </w:rPr>
        <w:t>,</w:t>
      </w:r>
      <w:r w:rsidR="009C030B" w:rsidRPr="009548C3">
        <w:rPr>
          <w:rFonts w:asciiTheme="minorHAnsi" w:hAnsiTheme="minorHAnsi"/>
          <w:bCs/>
          <w:snapToGrid w:val="0"/>
        </w:rPr>
        <w:t xml:space="preserve"> </w:t>
      </w:r>
      <w:r w:rsidR="001E45BC">
        <w:rPr>
          <w:rFonts w:asciiTheme="minorHAnsi" w:hAnsiTheme="minorHAnsi"/>
          <w:bCs/>
          <w:snapToGrid w:val="0"/>
        </w:rPr>
        <w:t xml:space="preserve">Prince of Wales Nelune Cancer Centre) </w:t>
      </w:r>
      <w:r w:rsidR="0004238D">
        <w:rPr>
          <w:rFonts w:asciiTheme="minorHAnsi" w:hAnsiTheme="minorHAnsi"/>
          <w:bCs/>
          <w:snapToGrid w:val="0"/>
        </w:rPr>
        <w:t>supporting the PBS listing of abemaciclib for the treatment of HR+, HER2- lymph node positive, invasive resected early breast cancer</w:t>
      </w:r>
      <w:r w:rsidRPr="00836F75">
        <w:rPr>
          <w:rFonts w:asciiTheme="minorHAnsi" w:hAnsiTheme="minorHAnsi"/>
          <w:bCs/>
          <w:snapToGrid w:val="0"/>
        </w:rPr>
        <w:t>.</w:t>
      </w:r>
      <w:r w:rsidR="0004238D">
        <w:rPr>
          <w:rFonts w:asciiTheme="minorHAnsi" w:hAnsiTheme="minorHAnsi"/>
          <w:bCs/>
          <w:snapToGrid w:val="0"/>
        </w:rPr>
        <w:t xml:space="preserve"> The PBAC noted </w:t>
      </w:r>
      <w:r w:rsidR="00005266">
        <w:rPr>
          <w:rFonts w:asciiTheme="minorHAnsi" w:hAnsiTheme="minorHAnsi"/>
          <w:bCs/>
          <w:snapToGrid w:val="0"/>
        </w:rPr>
        <w:t>advice</w:t>
      </w:r>
      <w:r w:rsidR="008D4391">
        <w:rPr>
          <w:rFonts w:asciiTheme="minorHAnsi" w:hAnsiTheme="minorHAnsi"/>
          <w:bCs/>
          <w:snapToGrid w:val="0"/>
        </w:rPr>
        <w:t xml:space="preserve"> from the organisations</w:t>
      </w:r>
      <w:r w:rsidR="00005266">
        <w:rPr>
          <w:rFonts w:asciiTheme="minorHAnsi" w:hAnsiTheme="minorHAnsi"/>
          <w:bCs/>
          <w:snapToGrid w:val="0"/>
        </w:rPr>
        <w:t xml:space="preserve"> </w:t>
      </w:r>
      <w:r w:rsidR="00B87DA3">
        <w:rPr>
          <w:rFonts w:asciiTheme="minorHAnsi" w:hAnsiTheme="minorHAnsi"/>
          <w:bCs/>
          <w:snapToGrid w:val="0"/>
        </w:rPr>
        <w:t>stating</w:t>
      </w:r>
      <w:r w:rsidR="0004238D">
        <w:rPr>
          <w:rFonts w:asciiTheme="minorHAnsi" w:hAnsiTheme="minorHAnsi"/>
          <w:bCs/>
          <w:snapToGrid w:val="0"/>
        </w:rPr>
        <w:t xml:space="preserve"> that the private cost of abemaciclib is </w:t>
      </w:r>
      <w:r w:rsidR="00005266">
        <w:rPr>
          <w:rFonts w:asciiTheme="minorHAnsi" w:hAnsiTheme="minorHAnsi"/>
          <w:bCs/>
          <w:snapToGrid w:val="0"/>
        </w:rPr>
        <w:t xml:space="preserve">currently a barrier to accessing </w:t>
      </w:r>
      <w:r w:rsidR="008D4391">
        <w:rPr>
          <w:rFonts w:asciiTheme="minorHAnsi" w:hAnsiTheme="minorHAnsi"/>
          <w:bCs/>
          <w:snapToGrid w:val="0"/>
        </w:rPr>
        <w:lastRenderedPageBreak/>
        <w:t>treatment</w:t>
      </w:r>
      <w:r w:rsidR="00005266">
        <w:rPr>
          <w:rFonts w:asciiTheme="minorHAnsi" w:hAnsiTheme="minorHAnsi"/>
          <w:bCs/>
          <w:snapToGrid w:val="0"/>
        </w:rPr>
        <w:t xml:space="preserve"> </w:t>
      </w:r>
      <w:r w:rsidR="008D4391">
        <w:rPr>
          <w:rFonts w:asciiTheme="minorHAnsi" w:hAnsiTheme="minorHAnsi"/>
          <w:bCs/>
          <w:snapToGrid w:val="0"/>
        </w:rPr>
        <w:t>for</w:t>
      </w:r>
      <w:r w:rsidR="00005266">
        <w:rPr>
          <w:rFonts w:asciiTheme="minorHAnsi" w:hAnsiTheme="minorHAnsi"/>
          <w:bCs/>
          <w:snapToGrid w:val="0"/>
        </w:rPr>
        <w:t xml:space="preserve"> this patient population and that a PBS listing would ensure equity of access.</w:t>
      </w:r>
      <w:r w:rsidRPr="00836F75">
        <w:rPr>
          <w:rFonts w:asciiTheme="minorHAnsi" w:hAnsiTheme="minorHAnsi"/>
          <w:bCs/>
          <w:snapToGrid w:val="0"/>
        </w:rPr>
        <w:t xml:space="preserve"> </w:t>
      </w:r>
      <w:bookmarkEnd w:id="16"/>
      <w:bookmarkEnd w:id="18"/>
      <w:r w:rsidR="009548C3">
        <w:rPr>
          <w:rFonts w:asciiTheme="minorHAnsi" w:hAnsiTheme="minorHAnsi"/>
          <w:bCs/>
          <w:snapToGrid w:val="0"/>
        </w:rPr>
        <w:t xml:space="preserve">The organisations </w:t>
      </w:r>
      <w:r w:rsidR="00B87DA3">
        <w:rPr>
          <w:rFonts w:asciiTheme="minorHAnsi" w:hAnsiTheme="minorHAnsi"/>
          <w:bCs/>
          <w:snapToGrid w:val="0"/>
        </w:rPr>
        <w:t>outlined</w:t>
      </w:r>
      <w:r w:rsidR="009548C3">
        <w:rPr>
          <w:rFonts w:asciiTheme="minorHAnsi" w:hAnsiTheme="minorHAnsi"/>
          <w:bCs/>
          <w:snapToGrid w:val="0"/>
        </w:rPr>
        <w:t xml:space="preserve"> the clinical </w:t>
      </w:r>
      <w:r w:rsidR="009548C3" w:rsidRPr="009548C3">
        <w:rPr>
          <w:rFonts w:asciiTheme="minorHAnsi" w:hAnsiTheme="minorHAnsi"/>
          <w:bCs/>
          <w:snapToGrid w:val="0"/>
        </w:rPr>
        <w:t xml:space="preserve">benefits associated with </w:t>
      </w:r>
      <w:r w:rsidR="00B87DA3">
        <w:rPr>
          <w:rFonts w:asciiTheme="minorHAnsi" w:hAnsiTheme="minorHAnsi"/>
          <w:bCs/>
          <w:snapToGrid w:val="0"/>
        </w:rPr>
        <w:t xml:space="preserve">abemaciclib </w:t>
      </w:r>
      <w:r w:rsidR="008D4391">
        <w:rPr>
          <w:rFonts w:asciiTheme="minorHAnsi" w:hAnsiTheme="minorHAnsi"/>
          <w:bCs/>
          <w:snapToGrid w:val="0"/>
        </w:rPr>
        <w:t xml:space="preserve">treatment </w:t>
      </w:r>
      <w:r w:rsidR="00B87DA3">
        <w:rPr>
          <w:rFonts w:asciiTheme="minorHAnsi" w:hAnsiTheme="minorHAnsi"/>
          <w:bCs/>
          <w:snapToGrid w:val="0"/>
        </w:rPr>
        <w:t xml:space="preserve">and emphasised the </w:t>
      </w:r>
      <w:r w:rsidR="00B87DA3" w:rsidRPr="009548C3">
        <w:rPr>
          <w:rFonts w:asciiTheme="minorHAnsi" w:hAnsiTheme="minorHAnsi"/>
          <w:bCs/>
          <w:snapToGrid w:val="0"/>
        </w:rPr>
        <w:t xml:space="preserve">psycho-social </w:t>
      </w:r>
      <w:r w:rsidR="00B87DA3">
        <w:rPr>
          <w:rFonts w:asciiTheme="minorHAnsi" w:hAnsiTheme="minorHAnsi"/>
          <w:bCs/>
          <w:snapToGrid w:val="0"/>
        </w:rPr>
        <w:t xml:space="preserve">benefits associated with reducing the fear of recurrence. </w:t>
      </w:r>
    </w:p>
    <w:p w14:paraId="395B739D" w14:textId="3232892B" w:rsidR="00B602BB" w:rsidRPr="00DA1297" w:rsidRDefault="0077611C" w:rsidP="009548C3">
      <w:pPr>
        <w:widowControl w:val="0"/>
        <w:numPr>
          <w:ilvl w:val="1"/>
          <w:numId w:val="1"/>
        </w:numPr>
        <w:spacing w:after="120"/>
        <w:rPr>
          <w:rFonts w:asciiTheme="minorHAnsi" w:hAnsiTheme="minorHAnsi"/>
          <w:bCs/>
          <w:snapToGrid w:val="0"/>
        </w:rPr>
      </w:pPr>
      <w:r w:rsidRPr="009548C3">
        <w:rPr>
          <w:rFonts w:asciiTheme="minorHAnsi" w:hAnsiTheme="minorHAnsi"/>
          <w:bCs/>
          <w:snapToGrid w:val="0"/>
        </w:rPr>
        <w:t xml:space="preserve">The Medical Oncology Group of Australia (MOGA) also expressed its strong support for the </w:t>
      </w:r>
      <w:r w:rsidR="00C50E84" w:rsidRPr="00842260">
        <w:t>use of abemaciclib in early breast cancer at high risk of recurrence</w:t>
      </w:r>
      <w:r w:rsidRPr="009548C3">
        <w:rPr>
          <w:rFonts w:asciiTheme="minorHAnsi" w:hAnsiTheme="minorHAnsi"/>
          <w:bCs/>
          <w:snapToGrid w:val="0"/>
        </w:rPr>
        <w:t xml:space="preserve">, categorising it as one of the therapies of “highest priority for PBS listing” on the basis of the </w:t>
      </w:r>
      <w:r w:rsidR="00C50E84" w:rsidRPr="009548C3">
        <w:rPr>
          <w:rFonts w:asciiTheme="minorHAnsi" w:hAnsiTheme="minorHAnsi"/>
          <w:bCs/>
          <w:snapToGrid w:val="0"/>
        </w:rPr>
        <w:t xml:space="preserve">monarchE </w:t>
      </w:r>
      <w:r w:rsidRPr="009548C3">
        <w:rPr>
          <w:rFonts w:asciiTheme="minorHAnsi" w:hAnsiTheme="minorHAnsi"/>
          <w:bCs/>
          <w:snapToGrid w:val="0"/>
        </w:rPr>
        <w:t xml:space="preserve">trial. The PBAC noted that the MOGA presented a European Society for Medical Oncology Magnitude of Clinical Benefit Scale (ESMO-MCBS) for </w:t>
      </w:r>
      <w:r w:rsidR="00C50E84" w:rsidRPr="009548C3">
        <w:rPr>
          <w:rFonts w:asciiTheme="minorHAnsi" w:hAnsiTheme="minorHAnsi"/>
          <w:bCs/>
          <w:snapToGrid w:val="0"/>
        </w:rPr>
        <w:t>abemaciclib</w:t>
      </w:r>
      <w:r w:rsidR="00C50E84" w:rsidRPr="00C50E84">
        <w:t xml:space="preserve"> </w:t>
      </w:r>
      <w:r w:rsidR="00C50E84" w:rsidRPr="00B36DD0">
        <w:t>the highest grade ‘A’, categorising it as a treatment with substantial benefit in the curative setting.</w:t>
      </w:r>
      <w:r w:rsidR="00C50E84" w:rsidRPr="00B36DD0">
        <w:rPr>
          <w:rStyle w:val="FootnoteReference"/>
        </w:rPr>
        <w:footnoteReference w:id="6"/>
      </w:r>
      <w:r w:rsidR="00DB5F30">
        <w:t xml:space="preserve"> </w:t>
      </w:r>
    </w:p>
    <w:p w14:paraId="57C513D5" w14:textId="2E766BB3" w:rsidR="00DA1297" w:rsidRPr="00DA1297" w:rsidRDefault="00DA1297" w:rsidP="00DA1297">
      <w:pPr>
        <w:widowControl w:val="0"/>
        <w:numPr>
          <w:ilvl w:val="1"/>
          <w:numId w:val="1"/>
        </w:numPr>
        <w:spacing w:after="120"/>
      </w:pPr>
      <w:r w:rsidRPr="00DC250E">
        <w:t xml:space="preserve">The MOGA Breast Cancer Expert Advisory Group noted that CDK 4/6 inhibitor therapy is associated with improved progression free survival (PFS) and OS in the metastatic breast cancer setting. The Advisory Group emphasised the clinical need for reducing the risk of recurrence for patients diagnosed with early breast cancer and expressed support for access to CDK 4/6 inhibitor therapy for these patients with the aim to reduce the risk of recurrence and improve the likelihood of survival. The Advisory Group noted that the OS data for abemaciclib remains immature and given the trial size of monarchE and the treatments provided in metastatic disease, it may not be possible for long-term data to show benefit in OS. </w:t>
      </w:r>
      <w:r w:rsidR="00E6184B">
        <w:t>However, it</w:t>
      </w:r>
      <w:r w:rsidRPr="00DC250E">
        <w:t xml:space="preserve"> considered that </w:t>
      </w:r>
      <w:r>
        <w:t>disease free survival</w:t>
      </w:r>
      <w:r w:rsidRPr="00DC250E">
        <w:t xml:space="preserve"> </w:t>
      </w:r>
      <w:r>
        <w:t>was a</w:t>
      </w:r>
      <w:r w:rsidRPr="00DC250E">
        <w:t xml:space="preserve"> clinically relevant endpoint for the purpose</w:t>
      </w:r>
      <w:r>
        <w:t>s</w:t>
      </w:r>
      <w:r w:rsidRPr="00DC250E">
        <w:t xml:space="preserve"> of regulatory approval.</w:t>
      </w:r>
    </w:p>
    <w:p w14:paraId="3F5B30B1" w14:textId="52A07085" w:rsidR="00B60939" w:rsidRPr="00C9624D" w:rsidRDefault="00B60939" w:rsidP="002E4F02">
      <w:pPr>
        <w:pStyle w:val="4-SubsectionHeading"/>
      </w:pPr>
      <w:r w:rsidRPr="00C9624D">
        <w:t>Clinical trials</w:t>
      </w:r>
      <w:bookmarkEnd w:id="15"/>
      <w:bookmarkEnd w:id="17"/>
    </w:p>
    <w:p w14:paraId="2867CB32" w14:textId="6CF47BBD" w:rsidR="007F1017" w:rsidRPr="002E4F02" w:rsidRDefault="00A73134" w:rsidP="002E4F02">
      <w:pPr>
        <w:pStyle w:val="3-BodyText"/>
        <w:rPr>
          <w:color w:val="0066FF"/>
        </w:rPr>
      </w:pPr>
      <w:r>
        <w:rPr>
          <w:snapToGrid/>
          <w:lang w:val="en-US"/>
        </w:rPr>
        <w:t xml:space="preserve">The submission </w:t>
      </w:r>
      <w:r w:rsidR="00D5243B">
        <w:rPr>
          <w:snapToGrid/>
          <w:lang w:val="en-US"/>
        </w:rPr>
        <w:t>wa</w:t>
      </w:r>
      <w:r>
        <w:rPr>
          <w:snapToGrid/>
          <w:lang w:val="en-US"/>
        </w:rPr>
        <w:t xml:space="preserve">s based on one head-to-head trial comparing </w:t>
      </w:r>
      <w:r w:rsidR="006038DA">
        <w:rPr>
          <w:snapToGrid/>
          <w:lang w:val="en-US"/>
        </w:rPr>
        <w:t>abemaciclib</w:t>
      </w:r>
      <w:r w:rsidR="007F2690">
        <w:rPr>
          <w:snapToGrid/>
          <w:lang w:val="en-US"/>
        </w:rPr>
        <w:t xml:space="preserve"> + ET</w:t>
      </w:r>
      <w:r>
        <w:rPr>
          <w:snapToGrid/>
          <w:lang w:val="en-US"/>
        </w:rPr>
        <w:t xml:space="preserve"> to </w:t>
      </w:r>
      <w:r w:rsidR="007F2690">
        <w:rPr>
          <w:snapToGrid/>
          <w:lang w:val="en-US"/>
        </w:rPr>
        <w:t>ET</w:t>
      </w:r>
      <w:r w:rsidR="006038DA">
        <w:rPr>
          <w:snapToGrid/>
          <w:lang w:val="en-US"/>
        </w:rPr>
        <w:t xml:space="preserve"> alone</w:t>
      </w:r>
      <w:r>
        <w:rPr>
          <w:snapToGrid/>
          <w:lang w:val="en-US"/>
        </w:rPr>
        <w:t xml:space="preserve"> (n=</w:t>
      </w:r>
      <w:r w:rsidR="006038DA">
        <w:rPr>
          <w:snapToGrid/>
          <w:lang w:val="en-US"/>
        </w:rPr>
        <w:t>5</w:t>
      </w:r>
      <w:r w:rsidR="00AA32B2">
        <w:rPr>
          <w:snapToGrid/>
          <w:lang w:val="en-US"/>
        </w:rPr>
        <w:t>,</w:t>
      </w:r>
      <w:r w:rsidR="006038DA">
        <w:rPr>
          <w:snapToGrid/>
          <w:lang w:val="en-US"/>
        </w:rPr>
        <w:t>637</w:t>
      </w:r>
      <w:r>
        <w:rPr>
          <w:snapToGrid/>
          <w:lang w:val="en-US"/>
        </w:rPr>
        <w:t>)</w:t>
      </w:r>
      <w:r w:rsidR="007F2690">
        <w:rPr>
          <w:snapToGrid/>
          <w:lang w:val="en-US"/>
        </w:rPr>
        <w:t>,</w:t>
      </w:r>
      <w:r>
        <w:rPr>
          <w:snapToGrid/>
          <w:lang w:val="en-US"/>
        </w:rPr>
        <w:t xml:space="preserve"> </w:t>
      </w:r>
      <w:r w:rsidR="006038DA">
        <w:rPr>
          <w:snapToGrid/>
          <w:lang w:val="en-US"/>
        </w:rPr>
        <w:t>the monarchE trial</w:t>
      </w:r>
      <w:r>
        <w:rPr>
          <w:snapToGrid/>
          <w:lang w:val="en-US"/>
        </w:rPr>
        <w:t xml:space="preserve">. </w:t>
      </w:r>
      <w:r w:rsidR="006038DA" w:rsidRPr="00787A0B">
        <w:rPr>
          <w:iCs/>
          <w:snapToGrid/>
          <w:lang w:val="en-US"/>
        </w:rPr>
        <w:t>This has not changed from the previous submission, the duration of follow up is now a median of 42 months compared to a median follow up of 27 months in the previous submission.</w:t>
      </w:r>
      <w:r w:rsidR="00BC591F" w:rsidRPr="00FA2631">
        <w:t xml:space="preserve"> </w:t>
      </w:r>
    </w:p>
    <w:p w14:paraId="30EB0F49" w14:textId="1F2429A7" w:rsidR="00862502" w:rsidRPr="007F2690" w:rsidRDefault="00A73134" w:rsidP="002E4F02">
      <w:pPr>
        <w:pStyle w:val="3-BodyText"/>
      </w:pPr>
      <w:r>
        <w:rPr>
          <w:snapToGrid/>
          <w:lang w:val="en-US"/>
        </w:rPr>
        <w:t xml:space="preserve">Details of the trial presented in the submission 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01201E">
        <w:t xml:space="preserve">Table </w:t>
      </w:r>
      <w:r w:rsidR="0001201E">
        <w:rPr>
          <w:noProof/>
        </w:rPr>
        <w:t>3</w:t>
      </w:r>
      <w:r w:rsidR="00696EF9">
        <w:rPr>
          <w:snapToGrid/>
          <w:lang w:val="en-US"/>
        </w:rPr>
        <w:fldChar w:fldCharType="end"/>
      </w:r>
      <w:r>
        <w:rPr>
          <w:snapToGrid/>
          <w:lang w:val="en-US"/>
        </w:rPr>
        <w:t>.</w:t>
      </w:r>
      <w:r w:rsidR="00BC591F">
        <w:rPr>
          <w:snapToGrid/>
          <w:lang w:val="en-US"/>
        </w:rPr>
        <w:t xml:space="preserve"> </w:t>
      </w:r>
      <w:r w:rsidR="005472C1" w:rsidRPr="00787A0B">
        <w:rPr>
          <w:iCs/>
          <w:snapToGrid/>
          <w:lang w:val="en-US"/>
        </w:rPr>
        <w:t xml:space="preserve">The key trial has not changed but an updated search identified 13 </w:t>
      </w:r>
      <w:r w:rsidR="00086921" w:rsidRPr="00787A0B">
        <w:rPr>
          <w:iCs/>
          <w:snapToGrid/>
          <w:lang w:val="en-US"/>
        </w:rPr>
        <w:t xml:space="preserve">additional </w:t>
      </w:r>
      <w:r w:rsidR="008D6CA5" w:rsidRPr="00787A0B">
        <w:rPr>
          <w:iCs/>
          <w:snapToGrid/>
          <w:lang w:val="en-US"/>
        </w:rPr>
        <w:t xml:space="preserve">published </w:t>
      </w:r>
      <w:r w:rsidR="00086921" w:rsidRPr="00787A0B">
        <w:rPr>
          <w:iCs/>
          <w:snapToGrid/>
          <w:lang w:val="en-US"/>
        </w:rPr>
        <w:t>papers</w:t>
      </w:r>
      <w:r w:rsidR="005472C1" w:rsidRPr="00787A0B">
        <w:rPr>
          <w:iCs/>
          <w:snapToGrid/>
          <w:lang w:val="en-US"/>
        </w:rPr>
        <w:t xml:space="preserve"> using the same search strategy from the previous submission.</w:t>
      </w:r>
    </w:p>
    <w:p w14:paraId="44B6405B" w14:textId="444516D8" w:rsidR="008E0D3C" w:rsidRPr="002E4F02" w:rsidRDefault="00696EF9" w:rsidP="007F2690">
      <w:pPr>
        <w:pStyle w:val="TableFigureHeading"/>
        <w:widowControl w:val="0"/>
        <w:rPr>
          <w:rStyle w:val="CommentReference"/>
          <w:b/>
          <w:szCs w:val="24"/>
        </w:rPr>
      </w:pPr>
      <w:bookmarkStart w:id="19" w:name="_Ref104803956"/>
      <w:r>
        <w:t xml:space="preserve">Table </w:t>
      </w:r>
      <w:fldSimple w:instr=" SEQ Table \* ARABIC ">
        <w:r w:rsidR="0001201E">
          <w:rPr>
            <w:noProof/>
          </w:rPr>
          <w:t>3</w:t>
        </w:r>
      </w:fldSimple>
      <w:bookmarkEnd w:id="19"/>
      <w:r>
        <w:t>:</w:t>
      </w:r>
      <w:r w:rsidR="00BC591F" w:rsidRPr="002E4F02">
        <w:rPr>
          <w:rStyle w:val="CommentReference"/>
          <w:b/>
          <w:szCs w:val="24"/>
        </w:rPr>
        <w:t xml:space="preserve"> </w:t>
      </w:r>
      <w:r w:rsidR="008E0D3C" w:rsidRPr="002E4F02">
        <w:rPr>
          <w:rStyle w:val="CommentReference"/>
          <w:b/>
          <w:szCs w:val="24"/>
        </w:rPr>
        <w:t>Trial</w:t>
      </w:r>
      <w:r w:rsidR="006038DA">
        <w:rPr>
          <w:rStyle w:val="CommentReference"/>
          <w:b/>
          <w:szCs w:val="24"/>
        </w:rPr>
        <w:t>s</w:t>
      </w:r>
      <w:r w:rsidR="008E0D3C" w:rsidRPr="002E4F02">
        <w:rPr>
          <w:rStyle w:val="CommentReference"/>
          <w:b/>
          <w:szCs w:val="24"/>
        </w:rPr>
        <w:t xml:space="preserve"> and associated reports presented in the </w:t>
      </w:r>
      <w:r w:rsidR="005E7072">
        <w:rPr>
          <w:rStyle w:val="CommentReference"/>
          <w:b/>
          <w:szCs w:val="24"/>
        </w:rPr>
        <w:t>re</w:t>
      </w:r>
      <w:r w:rsidR="008E0D3C" w:rsidRPr="002E4F02">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6"/>
        <w:gridCol w:w="4909"/>
        <w:gridCol w:w="2382"/>
      </w:tblGrid>
      <w:tr w:rsidR="006038DA" w:rsidRPr="005472C1" w14:paraId="2CE2B6B4" w14:textId="77777777" w:rsidTr="007F2690">
        <w:trPr>
          <w:cantSplit/>
          <w:tblHeader/>
        </w:trPr>
        <w:tc>
          <w:tcPr>
            <w:tcW w:w="957" w:type="pct"/>
            <w:vAlign w:val="center"/>
          </w:tcPr>
          <w:p w14:paraId="276683B1" w14:textId="77777777" w:rsidR="006038DA" w:rsidRPr="005472C1" w:rsidRDefault="006038DA" w:rsidP="007F2690">
            <w:pPr>
              <w:pStyle w:val="In-tableHeading"/>
              <w:keepNext w:val="0"/>
              <w:widowControl w:val="0"/>
              <w:jc w:val="center"/>
              <w:rPr>
                <w:szCs w:val="20"/>
              </w:rPr>
            </w:pPr>
            <w:r w:rsidRPr="005472C1">
              <w:rPr>
                <w:szCs w:val="20"/>
              </w:rPr>
              <w:t>Trial ID</w:t>
            </w:r>
          </w:p>
        </w:tc>
        <w:tc>
          <w:tcPr>
            <w:tcW w:w="2722" w:type="pct"/>
            <w:tcBorders>
              <w:bottom w:val="single" w:sz="4" w:space="0" w:color="auto"/>
            </w:tcBorders>
            <w:vAlign w:val="center"/>
          </w:tcPr>
          <w:p w14:paraId="22D6DB58" w14:textId="77777777" w:rsidR="006038DA" w:rsidRPr="005472C1" w:rsidRDefault="006038DA" w:rsidP="007F2690">
            <w:pPr>
              <w:pStyle w:val="In-tableHeading"/>
              <w:keepNext w:val="0"/>
              <w:widowControl w:val="0"/>
              <w:rPr>
                <w:szCs w:val="20"/>
              </w:rPr>
            </w:pPr>
            <w:r w:rsidRPr="005472C1">
              <w:rPr>
                <w:szCs w:val="20"/>
              </w:rPr>
              <w:t>Protocol title/ Publication title</w:t>
            </w:r>
          </w:p>
        </w:tc>
        <w:tc>
          <w:tcPr>
            <w:tcW w:w="1321" w:type="pct"/>
            <w:tcBorders>
              <w:bottom w:val="single" w:sz="4" w:space="0" w:color="auto"/>
            </w:tcBorders>
            <w:vAlign w:val="center"/>
          </w:tcPr>
          <w:p w14:paraId="27A981BB" w14:textId="77777777" w:rsidR="006038DA" w:rsidRPr="005472C1" w:rsidRDefault="006038DA" w:rsidP="007F2690">
            <w:pPr>
              <w:pStyle w:val="In-tableHeading"/>
              <w:keepNext w:val="0"/>
              <w:widowControl w:val="0"/>
              <w:rPr>
                <w:szCs w:val="20"/>
              </w:rPr>
            </w:pPr>
            <w:r w:rsidRPr="005472C1">
              <w:rPr>
                <w:szCs w:val="20"/>
              </w:rPr>
              <w:t>Publication citation</w:t>
            </w:r>
          </w:p>
        </w:tc>
      </w:tr>
      <w:tr w:rsidR="006038DA" w:rsidRPr="005472C1" w14:paraId="306DB62D" w14:textId="77777777" w:rsidTr="000B72D3">
        <w:trPr>
          <w:cantSplit/>
        </w:trPr>
        <w:tc>
          <w:tcPr>
            <w:tcW w:w="957" w:type="pct"/>
            <w:vMerge w:val="restart"/>
            <w:vAlign w:val="center"/>
          </w:tcPr>
          <w:p w14:paraId="1087F415" w14:textId="77777777" w:rsidR="006038DA" w:rsidRPr="005472C1" w:rsidRDefault="006038DA" w:rsidP="007F2690">
            <w:pPr>
              <w:pStyle w:val="TableText0"/>
              <w:keepNext w:val="0"/>
              <w:widowControl w:val="0"/>
              <w:rPr>
                <w:szCs w:val="20"/>
              </w:rPr>
            </w:pPr>
            <w:r w:rsidRPr="005472C1">
              <w:rPr>
                <w:szCs w:val="20"/>
              </w:rPr>
              <w:t xml:space="preserve">monarchE / </w:t>
            </w:r>
          </w:p>
          <w:p w14:paraId="4AAB7131" w14:textId="77777777" w:rsidR="006038DA" w:rsidRPr="005472C1" w:rsidRDefault="006038DA" w:rsidP="007F2690">
            <w:pPr>
              <w:pStyle w:val="TableText0"/>
              <w:keepNext w:val="0"/>
              <w:widowControl w:val="0"/>
              <w:rPr>
                <w:szCs w:val="20"/>
              </w:rPr>
            </w:pPr>
            <w:r w:rsidRPr="005472C1">
              <w:rPr>
                <w:szCs w:val="20"/>
              </w:rPr>
              <w:t>I3Y-MC-JPBL</w:t>
            </w:r>
          </w:p>
          <w:p w14:paraId="2E223B0B" w14:textId="77777777" w:rsidR="006038DA" w:rsidRPr="005472C1" w:rsidRDefault="006038DA" w:rsidP="007F2690">
            <w:pPr>
              <w:pStyle w:val="TableText0"/>
              <w:keepNext w:val="0"/>
              <w:widowControl w:val="0"/>
              <w:rPr>
                <w:szCs w:val="20"/>
              </w:rPr>
            </w:pPr>
            <w:r w:rsidRPr="005472C1">
              <w:rPr>
                <w:szCs w:val="20"/>
              </w:rPr>
              <w:t>(NCT03155997)</w:t>
            </w:r>
          </w:p>
          <w:p w14:paraId="723FF174" w14:textId="77777777" w:rsidR="006038DA" w:rsidRPr="005472C1" w:rsidRDefault="006038DA" w:rsidP="007F2690">
            <w:pPr>
              <w:pStyle w:val="TableText0"/>
              <w:keepNext w:val="0"/>
              <w:widowControl w:val="0"/>
              <w:rPr>
                <w:szCs w:val="20"/>
              </w:rPr>
            </w:pPr>
            <w:r w:rsidRPr="005472C1">
              <w:rPr>
                <w:szCs w:val="20"/>
              </w:rPr>
              <w:t>(JPRN0JapicCTI-173668)</w:t>
            </w:r>
          </w:p>
          <w:p w14:paraId="1A1EF4E4" w14:textId="77777777" w:rsidR="006038DA" w:rsidRPr="005472C1" w:rsidRDefault="006038DA" w:rsidP="007F2690">
            <w:pPr>
              <w:pStyle w:val="TableText0"/>
              <w:keepNext w:val="0"/>
              <w:widowControl w:val="0"/>
              <w:rPr>
                <w:szCs w:val="20"/>
              </w:rPr>
            </w:pPr>
            <w:r w:rsidRPr="005472C1">
              <w:rPr>
                <w:szCs w:val="20"/>
              </w:rPr>
              <w:t>EUCTR2016-004362-26-DE)</w:t>
            </w:r>
          </w:p>
          <w:p w14:paraId="30A58B26" w14:textId="77777777" w:rsidR="006038DA" w:rsidRPr="005472C1" w:rsidRDefault="006038DA" w:rsidP="007F2690">
            <w:pPr>
              <w:pStyle w:val="TableText0"/>
              <w:keepNext w:val="0"/>
              <w:widowControl w:val="0"/>
              <w:jc w:val="center"/>
              <w:rPr>
                <w:szCs w:val="20"/>
              </w:rPr>
            </w:pPr>
            <w:r w:rsidRPr="005472C1">
              <w:rPr>
                <w:szCs w:val="20"/>
              </w:rPr>
              <w:t>CTRI/2017/10/010017)</w:t>
            </w:r>
          </w:p>
        </w:tc>
        <w:tc>
          <w:tcPr>
            <w:tcW w:w="2722" w:type="pct"/>
            <w:tcBorders>
              <w:bottom w:val="single" w:sz="4" w:space="0" w:color="auto"/>
            </w:tcBorders>
            <w:shd w:val="clear" w:color="auto" w:fill="95B3D7" w:themeFill="accent1" w:themeFillTint="99"/>
            <w:vAlign w:val="center"/>
          </w:tcPr>
          <w:p w14:paraId="59D7ECBF" w14:textId="77777777" w:rsidR="006038DA" w:rsidRPr="005472C1" w:rsidRDefault="006038DA" w:rsidP="007F2690">
            <w:pPr>
              <w:pStyle w:val="TableText0"/>
              <w:keepNext w:val="0"/>
              <w:widowControl w:val="0"/>
              <w:rPr>
                <w:b/>
                <w:szCs w:val="20"/>
              </w:rPr>
            </w:pPr>
            <w:r w:rsidRPr="005472C1">
              <w:rPr>
                <w:b/>
                <w:szCs w:val="20"/>
              </w:rPr>
              <w:t>Clinical Study Report</w:t>
            </w:r>
          </w:p>
          <w:p w14:paraId="4BA24137" w14:textId="77777777" w:rsidR="006038DA" w:rsidRPr="005472C1" w:rsidRDefault="006038DA" w:rsidP="007F2690">
            <w:pPr>
              <w:pStyle w:val="TableText0"/>
              <w:keepNext w:val="0"/>
              <w:widowControl w:val="0"/>
              <w:rPr>
                <w:szCs w:val="20"/>
              </w:rPr>
            </w:pPr>
            <w:r w:rsidRPr="005472C1">
              <w:rPr>
                <w:szCs w:val="20"/>
              </w:rPr>
              <w:t>A Randomized, Open-Label, Phase 3 Study of Abemaciclib combined with standard adjuvant endocrine therapy versus standard adjuvant endocrine therapy alone in patients with high risk, node positive, early stage, hormone receptor positive, human epidermal receptor 2 negative, breast cancer.</w:t>
            </w:r>
          </w:p>
        </w:tc>
        <w:tc>
          <w:tcPr>
            <w:tcW w:w="1321" w:type="pct"/>
            <w:tcBorders>
              <w:bottom w:val="single" w:sz="4" w:space="0" w:color="auto"/>
            </w:tcBorders>
            <w:shd w:val="clear" w:color="auto" w:fill="95B3D7" w:themeFill="accent1" w:themeFillTint="99"/>
            <w:vAlign w:val="center"/>
          </w:tcPr>
          <w:p w14:paraId="2AACAF0D" w14:textId="77777777" w:rsidR="006038DA" w:rsidRPr="005472C1" w:rsidRDefault="006038DA" w:rsidP="007F2690">
            <w:pPr>
              <w:pStyle w:val="TableText0"/>
              <w:keepNext w:val="0"/>
              <w:widowControl w:val="0"/>
              <w:rPr>
                <w:szCs w:val="20"/>
              </w:rPr>
            </w:pPr>
            <w:r w:rsidRPr="005472C1">
              <w:rPr>
                <w:szCs w:val="20"/>
              </w:rPr>
              <w:t>CSR approval date: 30-Nov-2020;</w:t>
            </w:r>
          </w:p>
          <w:p w14:paraId="3DC457EB" w14:textId="77777777" w:rsidR="006038DA" w:rsidRPr="005472C1" w:rsidRDefault="006038DA" w:rsidP="007F2690">
            <w:pPr>
              <w:pStyle w:val="TableText0"/>
              <w:keepNext w:val="0"/>
              <w:widowControl w:val="0"/>
              <w:rPr>
                <w:szCs w:val="20"/>
              </w:rPr>
            </w:pPr>
            <w:r w:rsidRPr="005472C1">
              <w:rPr>
                <w:szCs w:val="20"/>
              </w:rPr>
              <w:t>CSR approval date: 28-Jun-2021</w:t>
            </w:r>
          </w:p>
        </w:tc>
      </w:tr>
      <w:tr w:rsidR="006038DA" w:rsidRPr="005472C1" w14:paraId="6D7D4499" w14:textId="77777777" w:rsidTr="000B72D3">
        <w:trPr>
          <w:cantSplit/>
        </w:trPr>
        <w:tc>
          <w:tcPr>
            <w:tcW w:w="957" w:type="pct"/>
            <w:vMerge/>
            <w:vAlign w:val="center"/>
          </w:tcPr>
          <w:p w14:paraId="7BF2B416"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28F3A4BB" w14:textId="77777777" w:rsidR="006038DA" w:rsidRPr="005472C1" w:rsidRDefault="006038DA" w:rsidP="007F2690">
            <w:pPr>
              <w:pStyle w:val="TableText0"/>
              <w:keepNext w:val="0"/>
              <w:widowControl w:val="0"/>
              <w:rPr>
                <w:szCs w:val="20"/>
              </w:rPr>
            </w:pPr>
            <w:r w:rsidRPr="005472C1">
              <w:rPr>
                <w:szCs w:val="20"/>
              </w:rPr>
              <w:t>Protocol I3Y-MC-JPCF. Amendment (e)</w:t>
            </w:r>
          </w:p>
        </w:tc>
        <w:tc>
          <w:tcPr>
            <w:tcW w:w="1321" w:type="pct"/>
            <w:tcBorders>
              <w:top w:val="single" w:sz="4" w:space="0" w:color="auto"/>
              <w:bottom w:val="single" w:sz="4" w:space="0" w:color="auto"/>
            </w:tcBorders>
            <w:shd w:val="clear" w:color="auto" w:fill="95B3D7" w:themeFill="accent1" w:themeFillTint="99"/>
            <w:vAlign w:val="center"/>
          </w:tcPr>
          <w:p w14:paraId="260373C6" w14:textId="77777777" w:rsidR="006038DA" w:rsidRPr="005472C1" w:rsidRDefault="006038DA" w:rsidP="007F2690">
            <w:pPr>
              <w:pStyle w:val="TableText0"/>
              <w:keepNext w:val="0"/>
              <w:widowControl w:val="0"/>
              <w:rPr>
                <w:szCs w:val="20"/>
              </w:rPr>
            </w:pPr>
            <w:r w:rsidRPr="005472C1">
              <w:rPr>
                <w:szCs w:val="20"/>
              </w:rPr>
              <w:t>Approval date: 18-Sept-2020</w:t>
            </w:r>
          </w:p>
        </w:tc>
      </w:tr>
      <w:tr w:rsidR="006038DA" w:rsidRPr="005472C1" w14:paraId="7C70D524" w14:textId="77777777" w:rsidTr="000B72D3">
        <w:trPr>
          <w:cantSplit/>
        </w:trPr>
        <w:tc>
          <w:tcPr>
            <w:tcW w:w="957" w:type="pct"/>
            <w:vMerge/>
            <w:vAlign w:val="center"/>
          </w:tcPr>
          <w:p w14:paraId="79BDA155"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7AE32E8A" w14:textId="77777777" w:rsidR="006038DA" w:rsidRPr="005472C1" w:rsidRDefault="006038DA" w:rsidP="007F2690">
            <w:pPr>
              <w:pStyle w:val="TableText0"/>
              <w:keepNext w:val="0"/>
              <w:widowControl w:val="0"/>
              <w:rPr>
                <w:szCs w:val="20"/>
                <w:lang w:val="en-US"/>
              </w:rPr>
            </w:pPr>
            <w:r w:rsidRPr="005472C1">
              <w:rPr>
                <w:szCs w:val="20"/>
              </w:rPr>
              <w:t>Statistical Analysis Plan I3Y-MC-JPC, version 5.</w:t>
            </w:r>
          </w:p>
        </w:tc>
        <w:tc>
          <w:tcPr>
            <w:tcW w:w="1321" w:type="pct"/>
            <w:tcBorders>
              <w:top w:val="single" w:sz="4" w:space="0" w:color="auto"/>
              <w:bottom w:val="single" w:sz="4" w:space="0" w:color="auto"/>
            </w:tcBorders>
            <w:shd w:val="clear" w:color="auto" w:fill="95B3D7" w:themeFill="accent1" w:themeFillTint="99"/>
            <w:vAlign w:val="center"/>
          </w:tcPr>
          <w:p w14:paraId="787D5D4A" w14:textId="77777777" w:rsidR="006038DA" w:rsidRPr="005472C1" w:rsidRDefault="006038DA" w:rsidP="007F2690">
            <w:pPr>
              <w:pStyle w:val="TableText0"/>
              <w:keepNext w:val="0"/>
              <w:widowControl w:val="0"/>
              <w:rPr>
                <w:i/>
                <w:szCs w:val="20"/>
                <w:lang w:val="en-US"/>
              </w:rPr>
            </w:pPr>
            <w:r w:rsidRPr="005472C1">
              <w:rPr>
                <w:szCs w:val="20"/>
              </w:rPr>
              <w:t>Approval date: 05-Jun-2020</w:t>
            </w:r>
          </w:p>
        </w:tc>
      </w:tr>
      <w:tr w:rsidR="006038DA" w:rsidRPr="005472C1" w14:paraId="6A3C00E0" w14:textId="77777777" w:rsidTr="000B72D3">
        <w:trPr>
          <w:cantSplit/>
        </w:trPr>
        <w:tc>
          <w:tcPr>
            <w:tcW w:w="957" w:type="pct"/>
            <w:vMerge/>
            <w:vAlign w:val="center"/>
          </w:tcPr>
          <w:p w14:paraId="0FADD0A0"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1A29380F" w14:textId="77777777" w:rsidR="006038DA" w:rsidRPr="005472C1" w:rsidRDefault="006038DA" w:rsidP="007F2690">
            <w:pPr>
              <w:pStyle w:val="TableText0"/>
              <w:keepNext w:val="0"/>
              <w:widowControl w:val="0"/>
              <w:rPr>
                <w:szCs w:val="20"/>
              </w:rPr>
            </w:pPr>
            <w:r w:rsidRPr="005472C1">
              <w:rPr>
                <w:szCs w:val="20"/>
              </w:rPr>
              <w:t>Statistical Analysis Plan I3Y-MC-JPC, PRO version 2</w:t>
            </w:r>
          </w:p>
        </w:tc>
        <w:tc>
          <w:tcPr>
            <w:tcW w:w="1321" w:type="pct"/>
            <w:tcBorders>
              <w:top w:val="single" w:sz="4" w:space="0" w:color="auto"/>
              <w:bottom w:val="single" w:sz="4" w:space="0" w:color="auto"/>
            </w:tcBorders>
            <w:shd w:val="clear" w:color="auto" w:fill="95B3D7" w:themeFill="accent1" w:themeFillTint="99"/>
            <w:vAlign w:val="center"/>
          </w:tcPr>
          <w:p w14:paraId="3A585830" w14:textId="77777777" w:rsidR="006038DA" w:rsidRPr="005472C1" w:rsidRDefault="006038DA" w:rsidP="007F2690">
            <w:pPr>
              <w:pStyle w:val="TableText0"/>
              <w:keepNext w:val="0"/>
              <w:widowControl w:val="0"/>
              <w:rPr>
                <w:szCs w:val="20"/>
              </w:rPr>
            </w:pPr>
            <w:r w:rsidRPr="005472C1">
              <w:rPr>
                <w:szCs w:val="20"/>
              </w:rPr>
              <w:t>Approval date: 06-May-2020</w:t>
            </w:r>
          </w:p>
        </w:tc>
      </w:tr>
      <w:tr w:rsidR="006038DA" w:rsidRPr="005472C1" w14:paraId="60E9A0DA" w14:textId="77777777" w:rsidTr="000B72D3">
        <w:trPr>
          <w:cantSplit/>
        </w:trPr>
        <w:tc>
          <w:tcPr>
            <w:tcW w:w="957" w:type="pct"/>
            <w:vMerge/>
            <w:vAlign w:val="center"/>
          </w:tcPr>
          <w:p w14:paraId="1AFA909B"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198A4E1F" w14:textId="77777777" w:rsidR="006038DA" w:rsidRPr="005472C1" w:rsidRDefault="006038DA" w:rsidP="007F2690">
            <w:pPr>
              <w:pStyle w:val="TableText0"/>
              <w:keepNext w:val="0"/>
              <w:widowControl w:val="0"/>
              <w:rPr>
                <w:szCs w:val="20"/>
              </w:rPr>
            </w:pPr>
            <w:r w:rsidRPr="005472C1">
              <w:rPr>
                <w:szCs w:val="20"/>
              </w:rPr>
              <w:t>Statistical Analysis Plan I3Y-MC-JPC, Addendum for OS Analyses</w:t>
            </w:r>
          </w:p>
        </w:tc>
        <w:tc>
          <w:tcPr>
            <w:tcW w:w="1321" w:type="pct"/>
            <w:tcBorders>
              <w:top w:val="single" w:sz="4" w:space="0" w:color="auto"/>
              <w:bottom w:val="single" w:sz="4" w:space="0" w:color="auto"/>
            </w:tcBorders>
            <w:shd w:val="clear" w:color="auto" w:fill="95B3D7" w:themeFill="accent1" w:themeFillTint="99"/>
            <w:vAlign w:val="center"/>
          </w:tcPr>
          <w:p w14:paraId="69E3BD7F" w14:textId="77777777" w:rsidR="006038DA" w:rsidRPr="005472C1" w:rsidRDefault="006038DA" w:rsidP="007F2690">
            <w:pPr>
              <w:pStyle w:val="TableText0"/>
              <w:keepNext w:val="0"/>
              <w:widowControl w:val="0"/>
              <w:rPr>
                <w:i/>
                <w:szCs w:val="20"/>
              </w:rPr>
            </w:pPr>
            <w:r w:rsidRPr="005472C1">
              <w:rPr>
                <w:szCs w:val="20"/>
              </w:rPr>
              <w:t>Approval date: 15-Dec-2020</w:t>
            </w:r>
          </w:p>
        </w:tc>
      </w:tr>
      <w:tr w:rsidR="006038DA" w:rsidRPr="005472C1" w14:paraId="6629CB97" w14:textId="77777777" w:rsidTr="007F2690">
        <w:trPr>
          <w:cantSplit/>
        </w:trPr>
        <w:tc>
          <w:tcPr>
            <w:tcW w:w="957" w:type="pct"/>
            <w:vMerge/>
            <w:vAlign w:val="center"/>
          </w:tcPr>
          <w:p w14:paraId="5E0E1F7C"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vAlign w:val="center"/>
          </w:tcPr>
          <w:p w14:paraId="5EDAB867" w14:textId="1E865A2C" w:rsidR="006038DA" w:rsidRPr="005472C1" w:rsidRDefault="005472C1" w:rsidP="007F2690">
            <w:pPr>
              <w:pStyle w:val="Table"/>
              <w:widowControl w:val="0"/>
              <w:spacing w:line="216" w:lineRule="auto"/>
              <w:jc w:val="both"/>
              <w:rPr>
                <w:rFonts w:ascii="Arial Narrow" w:hAnsi="Arial Narrow"/>
                <w:szCs w:val="20"/>
              </w:rPr>
            </w:pPr>
            <w:r w:rsidRPr="005472C1">
              <w:rPr>
                <w:rFonts w:ascii="Arial Narrow" w:hAnsi="Arial Narrow"/>
                <w:szCs w:val="20"/>
              </w:rPr>
              <w:t>Cohort 1 additional tables. Additional analyses of Cohort 1.</w:t>
            </w:r>
          </w:p>
        </w:tc>
        <w:tc>
          <w:tcPr>
            <w:tcW w:w="1321" w:type="pct"/>
            <w:tcBorders>
              <w:top w:val="single" w:sz="4" w:space="0" w:color="auto"/>
              <w:bottom w:val="single" w:sz="4" w:space="0" w:color="auto"/>
            </w:tcBorders>
            <w:vAlign w:val="center"/>
          </w:tcPr>
          <w:p w14:paraId="07E137E4" w14:textId="0BC8B881" w:rsidR="006038DA" w:rsidRPr="005472C1" w:rsidRDefault="005472C1" w:rsidP="007F2690">
            <w:pPr>
              <w:pStyle w:val="TableText0"/>
              <w:keepNext w:val="0"/>
              <w:widowControl w:val="0"/>
              <w:rPr>
                <w:szCs w:val="20"/>
              </w:rPr>
            </w:pPr>
            <w:r w:rsidRPr="005472C1">
              <w:rPr>
                <w:szCs w:val="20"/>
              </w:rPr>
              <w:t>Approval date: April 2021</w:t>
            </w:r>
          </w:p>
        </w:tc>
      </w:tr>
      <w:tr w:rsidR="006038DA" w:rsidRPr="005472C1" w14:paraId="0C07F866" w14:textId="77777777" w:rsidTr="007F2690">
        <w:trPr>
          <w:cantSplit/>
        </w:trPr>
        <w:tc>
          <w:tcPr>
            <w:tcW w:w="957" w:type="pct"/>
            <w:vMerge/>
            <w:vAlign w:val="center"/>
          </w:tcPr>
          <w:p w14:paraId="42B8E498"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vAlign w:val="center"/>
          </w:tcPr>
          <w:p w14:paraId="4A266A45" w14:textId="542D778A" w:rsidR="006038DA" w:rsidRPr="005472C1" w:rsidRDefault="005472C1" w:rsidP="007F2690">
            <w:pPr>
              <w:pStyle w:val="Table"/>
              <w:widowControl w:val="0"/>
              <w:spacing w:line="216" w:lineRule="auto"/>
              <w:jc w:val="both"/>
              <w:rPr>
                <w:rFonts w:ascii="Arial Narrow" w:hAnsi="Arial Narrow"/>
                <w:szCs w:val="20"/>
              </w:rPr>
            </w:pPr>
            <w:r w:rsidRPr="005472C1">
              <w:rPr>
                <w:rFonts w:ascii="Arial Narrow" w:hAnsi="Arial Narrow"/>
                <w:szCs w:val="20"/>
              </w:rPr>
              <w:t xml:space="preserve">Statistical tables </w:t>
            </w:r>
            <w:r w:rsidRPr="005472C1">
              <w:rPr>
                <w:rFonts w:ascii="Arial Narrow" w:hAnsi="Arial Narrow" w:cstheme="minorHAnsi"/>
                <w:color w:val="000000" w:themeColor="text1"/>
                <w:szCs w:val="20"/>
              </w:rPr>
              <w:t xml:space="preserve">– confidential </w:t>
            </w:r>
            <w:r w:rsidRPr="005472C1">
              <w:rPr>
                <w:rFonts w:ascii="Arial Narrow" w:hAnsi="Arial Narrow"/>
                <w:szCs w:val="20"/>
              </w:rPr>
              <w:t>Statistical tables and figures for key outcomes for ITT and Cohort 1 (CSR not yet available)</w:t>
            </w:r>
          </w:p>
        </w:tc>
        <w:tc>
          <w:tcPr>
            <w:tcW w:w="1321" w:type="pct"/>
            <w:tcBorders>
              <w:top w:val="single" w:sz="4" w:space="0" w:color="auto"/>
              <w:bottom w:val="single" w:sz="4" w:space="0" w:color="auto"/>
            </w:tcBorders>
            <w:vAlign w:val="center"/>
          </w:tcPr>
          <w:p w14:paraId="3EC7A4BF" w14:textId="3E730213" w:rsidR="006038DA" w:rsidRPr="005472C1" w:rsidRDefault="005472C1" w:rsidP="007F2690">
            <w:pPr>
              <w:pStyle w:val="TableText0"/>
              <w:keepNext w:val="0"/>
              <w:widowControl w:val="0"/>
              <w:rPr>
                <w:szCs w:val="20"/>
              </w:rPr>
            </w:pPr>
            <w:r w:rsidRPr="005472C1">
              <w:rPr>
                <w:szCs w:val="20"/>
              </w:rPr>
              <w:t>Approval date: July 2022</w:t>
            </w:r>
          </w:p>
        </w:tc>
      </w:tr>
      <w:tr w:rsidR="006038DA" w:rsidRPr="005472C1" w14:paraId="0A77F106" w14:textId="77777777" w:rsidTr="000B72D3">
        <w:trPr>
          <w:cantSplit/>
        </w:trPr>
        <w:tc>
          <w:tcPr>
            <w:tcW w:w="957" w:type="pct"/>
            <w:vMerge/>
            <w:vAlign w:val="center"/>
          </w:tcPr>
          <w:p w14:paraId="7DCCC4BA"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33A4053D" w14:textId="77777777" w:rsidR="006038DA" w:rsidRPr="005472C1" w:rsidRDefault="006038DA" w:rsidP="007F2690">
            <w:pPr>
              <w:pStyle w:val="TableText0"/>
              <w:keepNext w:val="0"/>
              <w:widowControl w:val="0"/>
              <w:rPr>
                <w:b/>
                <w:szCs w:val="20"/>
              </w:rPr>
            </w:pPr>
            <w:r w:rsidRPr="005472C1">
              <w:rPr>
                <w:b/>
                <w:szCs w:val="20"/>
              </w:rPr>
              <w:t>Publications</w:t>
            </w:r>
          </w:p>
          <w:p w14:paraId="3669BDC4" w14:textId="77777777" w:rsidR="006038DA" w:rsidRPr="005472C1" w:rsidRDefault="006038DA" w:rsidP="007F2690">
            <w:pPr>
              <w:pStyle w:val="TableText0"/>
              <w:keepNext w:val="0"/>
              <w:widowControl w:val="0"/>
              <w:rPr>
                <w:szCs w:val="20"/>
              </w:rPr>
            </w:pPr>
            <w:r w:rsidRPr="005472C1">
              <w:rPr>
                <w:szCs w:val="20"/>
                <w:lang w:val="fr-FR"/>
              </w:rPr>
              <w:t xml:space="preserve">Rastogi, P., Toi, M. et al. </w:t>
            </w:r>
            <w:r w:rsidRPr="005472C1">
              <w:rPr>
                <w:szCs w:val="20"/>
              </w:rPr>
              <w:t xml:space="preserve">MonarchE: a randomized, open-label, phase 3 study of ABE combined with standard adjuvant endocrine therapy versus standard adjuvant endocrine therapy alone in patients with high risk, node positive, early stage, HR+, HER2-breast cancer. </w:t>
            </w:r>
          </w:p>
        </w:tc>
        <w:tc>
          <w:tcPr>
            <w:tcW w:w="1321" w:type="pct"/>
            <w:tcBorders>
              <w:top w:val="single" w:sz="4" w:space="0" w:color="auto"/>
              <w:bottom w:val="single" w:sz="4" w:space="0" w:color="auto"/>
            </w:tcBorders>
            <w:shd w:val="clear" w:color="auto" w:fill="95B3D7" w:themeFill="accent1" w:themeFillTint="99"/>
            <w:vAlign w:val="center"/>
          </w:tcPr>
          <w:p w14:paraId="11A1E26C" w14:textId="77777777" w:rsidR="006038DA" w:rsidRPr="005472C1" w:rsidRDefault="006038DA" w:rsidP="007F2690">
            <w:pPr>
              <w:pStyle w:val="TableText0"/>
              <w:keepNext w:val="0"/>
              <w:widowControl w:val="0"/>
              <w:rPr>
                <w:szCs w:val="20"/>
              </w:rPr>
            </w:pPr>
            <w:r w:rsidRPr="005472C1">
              <w:rPr>
                <w:i/>
                <w:szCs w:val="20"/>
              </w:rPr>
              <w:t>Cancer Research</w:t>
            </w:r>
            <w:r w:rsidRPr="005472C1">
              <w:rPr>
                <w:szCs w:val="20"/>
              </w:rPr>
              <w:t xml:space="preserve"> 2018; 78 (4).</w:t>
            </w:r>
          </w:p>
        </w:tc>
      </w:tr>
      <w:tr w:rsidR="006038DA" w:rsidRPr="005472C1" w14:paraId="6AB39BB8" w14:textId="77777777" w:rsidTr="000B72D3">
        <w:trPr>
          <w:cantSplit/>
        </w:trPr>
        <w:tc>
          <w:tcPr>
            <w:tcW w:w="957" w:type="pct"/>
            <w:vMerge/>
            <w:vAlign w:val="center"/>
          </w:tcPr>
          <w:p w14:paraId="366637F7" w14:textId="77777777" w:rsidR="006038DA" w:rsidRPr="005472C1" w:rsidRDefault="006038DA" w:rsidP="007F2690">
            <w:pPr>
              <w:pStyle w:val="TableText0"/>
              <w:keepNext w:val="0"/>
              <w:widowControl w:val="0"/>
              <w:jc w:val="center"/>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0A7DCED5" w14:textId="77777777" w:rsidR="006038DA" w:rsidRPr="005472C1" w:rsidRDefault="006038DA" w:rsidP="007F2690">
            <w:pPr>
              <w:pStyle w:val="TableText0"/>
              <w:keepNext w:val="0"/>
              <w:widowControl w:val="0"/>
              <w:rPr>
                <w:szCs w:val="20"/>
              </w:rPr>
            </w:pPr>
            <w:r w:rsidRPr="005472C1">
              <w:rPr>
                <w:szCs w:val="20"/>
              </w:rPr>
              <w:t>Johnston, S., Harbeck, N. et al. 2MO ABE in high-risk early breast cancer.</w:t>
            </w:r>
          </w:p>
        </w:tc>
        <w:tc>
          <w:tcPr>
            <w:tcW w:w="1321" w:type="pct"/>
            <w:tcBorders>
              <w:top w:val="single" w:sz="4" w:space="0" w:color="auto"/>
              <w:bottom w:val="single" w:sz="4" w:space="0" w:color="auto"/>
            </w:tcBorders>
            <w:shd w:val="clear" w:color="auto" w:fill="95B3D7" w:themeFill="accent1" w:themeFillTint="99"/>
            <w:vAlign w:val="center"/>
          </w:tcPr>
          <w:p w14:paraId="17747B87" w14:textId="77777777" w:rsidR="006038DA" w:rsidRPr="005472C1" w:rsidRDefault="006038DA" w:rsidP="007F2690">
            <w:pPr>
              <w:pStyle w:val="TableText0"/>
              <w:keepNext w:val="0"/>
              <w:widowControl w:val="0"/>
              <w:rPr>
                <w:szCs w:val="20"/>
              </w:rPr>
            </w:pPr>
            <w:r w:rsidRPr="005472C1">
              <w:rPr>
                <w:i/>
                <w:szCs w:val="20"/>
              </w:rPr>
              <w:t>Annals of Oncology</w:t>
            </w:r>
            <w:r w:rsidRPr="005472C1">
              <w:rPr>
                <w:szCs w:val="20"/>
              </w:rPr>
              <w:t xml:space="preserve"> 2020; 31:S1242</w:t>
            </w:r>
            <w:r w:rsidRPr="005472C1">
              <w:rPr>
                <w:rFonts w:ascii="Cambria Math" w:hAnsi="Cambria Math" w:cs="Cambria Math"/>
                <w:szCs w:val="20"/>
              </w:rPr>
              <w:t>‐</w:t>
            </w:r>
            <w:r w:rsidRPr="005472C1">
              <w:rPr>
                <w:szCs w:val="20"/>
              </w:rPr>
              <w:t>S1243.</w:t>
            </w:r>
          </w:p>
        </w:tc>
      </w:tr>
      <w:tr w:rsidR="006038DA" w:rsidRPr="005472C1" w14:paraId="4D643A6D" w14:textId="77777777" w:rsidTr="000B72D3">
        <w:trPr>
          <w:cantSplit/>
        </w:trPr>
        <w:tc>
          <w:tcPr>
            <w:tcW w:w="957" w:type="pct"/>
            <w:vMerge/>
            <w:vAlign w:val="center"/>
          </w:tcPr>
          <w:p w14:paraId="0769CC19"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00C77DEE" w14:textId="77777777" w:rsidR="006038DA" w:rsidRPr="005472C1" w:rsidRDefault="006038DA" w:rsidP="007F2690">
            <w:pPr>
              <w:pStyle w:val="TableText0"/>
              <w:keepNext w:val="0"/>
              <w:widowControl w:val="0"/>
              <w:rPr>
                <w:szCs w:val="20"/>
              </w:rPr>
            </w:pPr>
            <w:r w:rsidRPr="005472C1">
              <w:rPr>
                <w:szCs w:val="20"/>
              </w:rPr>
              <w:t xml:space="preserve">Johnston, S. R. D., Harbeck, N. et al. ABE Combined with Endocrine Therapy for the Adjuvant Treatment of HR+, HER2-, Node-Positive, High-Risk, Early Breast Cancer (monarchE).  </w:t>
            </w:r>
          </w:p>
        </w:tc>
        <w:tc>
          <w:tcPr>
            <w:tcW w:w="1321" w:type="pct"/>
            <w:tcBorders>
              <w:top w:val="single" w:sz="4" w:space="0" w:color="auto"/>
              <w:bottom w:val="single" w:sz="4" w:space="0" w:color="auto"/>
            </w:tcBorders>
            <w:shd w:val="clear" w:color="auto" w:fill="95B3D7" w:themeFill="accent1" w:themeFillTint="99"/>
            <w:vAlign w:val="center"/>
          </w:tcPr>
          <w:p w14:paraId="0036B256" w14:textId="77777777" w:rsidR="006038DA" w:rsidRPr="005472C1" w:rsidRDefault="006038DA" w:rsidP="007F2690">
            <w:pPr>
              <w:pStyle w:val="TableText0"/>
              <w:keepNext w:val="0"/>
              <w:widowControl w:val="0"/>
              <w:rPr>
                <w:szCs w:val="20"/>
              </w:rPr>
            </w:pPr>
            <w:r w:rsidRPr="005472C1">
              <w:rPr>
                <w:i/>
                <w:szCs w:val="20"/>
              </w:rPr>
              <w:t xml:space="preserve">Journal of clinical oncology </w:t>
            </w:r>
            <w:r w:rsidRPr="005472C1">
              <w:rPr>
                <w:szCs w:val="20"/>
              </w:rPr>
              <w:t>2020</w:t>
            </w:r>
          </w:p>
        </w:tc>
      </w:tr>
      <w:tr w:rsidR="006038DA" w:rsidRPr="005472C1" w14:paraId="3CD88967" w14:textId="77777777" w:rsidTr="000B72D3">
        <w:trPr>
          <w:cantSplit/>
        </w:trPr>
        <w:tc>
          <w:tcPr>
            <w:tcW w:w="957" w:type="pct"/>
            <w:vMerge/>
            <w:vAlign w:val="center"/>
          </w:tcPr>
          <w:p w14:paraId="19223AE2"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51399E8E" w14:textId="77777777" w:rsidR="006038DA" w:rsidRPr="005472C1" w:rsidRDefault="006038DA" w:rsidP="007F2690">
            <w:pPr>
              <w:pStyle w:val="TableText0"/>
              <w:keepNext w:val="0"/>
              <w:widowControl w:val="0"/>
              <w:rPr>
                <w:szCs w:val="20"/>
              </w:rPr>
            </w:pPr>
            <w:r w:rsidRPr="005472C1">
              <w:rPr>
                <w:szCs w:val="20"/>
              </w:rPr>
              <w:t>Johnston, S. R. D., Harbeck, N. et al. ABE in high-risk early breast cancer.</w:t>
            </w:r>
          </w:p>
        </w:tc>
        <w:tc>
          <w:tcPr>
            <w:tcW w:w="1321" w:type="pct"/>
            <w:tcBorders>
              <w:top w:val="single" w:sz="4" w:space="0" w:color="auto"/>
              <w:bottom w:val="single" w:sz="4" w:space="0" w:color="auto"/>
            </w:tcBorders>
            <w:shd w:val="clear" w:color="auto" w:fill="95B3D7" w:themeFill="accent1" w:themeFillTint="99"/>
            <w:vAlign w:val="center"/>
          </w:tcPr>
          <w:p w14:paraId="2A849F1B" w14:textId="77777777" w:rsidR="006038DA" w:rsidRPr="005472C1" w:rsidRDefault="006038DA" w:rsidP="007F2690">
            <w:pPr>
              <w:pStyle w:val="TableText0"/>
              <w:keepNext w:val="0"/>
              <w:widowControl w:val="0"/>
              <w:rPr>
                <w:i/>
                <w:szCs w:val="20"/>
              </w:rPr>
            </w:pPr>
            <w:r w:rsidRPr="005472C1">
              <w:rPr>
                <w:i/>
                <w:szCs w:val="20"/>
              </w:rPr>
              <w:t>Annals of Oncology</w:t>
            </w:r>
            <w:r w:rsidRPr="005472C1">
              <w:rPr>
                <w:szCs w:val="20"/>
              </w:rPr>
              <w:t xml:space="preserve"> 2020; 31:S1143</w:t>
            </w:r>
            <w:r w:rsidRPr="005472C1">
              <w:rPr>
                <w:rFonts w:ascii="Cambria Math" w:hAnsi="Cambria Math" w:cs="Cambria Math"/>
                <w:szCs w:val="20"/>
              </w:rPr>
              <w:t>‐</w:t>
            </w:r>
            <w:r w:rsidRPr="005472C1">
              <w:rPr>
                <w:szCs w:val="20"/>
              </w:rPr>
              <w:t>S1144</w:t>
            </w:r>
          </w:p>
        </w:tc>
      </w:tr>
      <w:tr w:rsidR="006038DA" w:rsidRPr="005472C1" w14:paraId="24D1F75A" w14:textId="77777777" w:rsidTr="000B72D3">
        <w:trPr>
          <w:cantSplit/>
        </w:trPr>
        <w:tc>
          <w:tcPr>
            <w:tcW w:w="957" w:type="pct"/>
            <w:vMerge/>
            <w:vAlign w:val="center"/>
          </w:tcPr>
          <w:p w14:paraId="5A1C0FE7"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vAlign w:val="center"/>
          </w:tcPr>
          <w:p w14:paraId="019B08CF" w14:textId="77777777" w:rsidR="006038DA" w:rsidRPr="005472C1" w:rsidRDefault="006038DA" w:rsidP="007F2690">
            <w:pPr>
              <w:pStyle w:val="TableText0"/>
              <w:keepNext w:val="0"/>
              <w:widowControl w:val="0"/>
              <w:rPr>
                <w:szCs w:val="20"/>
              </w:rPr>
            </w:pPr>
            <w:r w:rsidRPr="005472C1">
              <w:rPr>
                <w:szCs w:val="20"/>
                <w:lang w:val="fr-FR"/>
              </w:rPr>
              <w:t xml:space="preserve">Jiang, Z., Nakayama, T. et al. </w:t>
            </w:r>
            <w:r w:rsidRPr="005472C1">
              <w:rPr>
                <w:szCs w:val="20"/>
              </w:rPr>
              <w:t>LBA 1 Baseline characteristics of patients from Asia enrolled in monarchE, evaluating ABE in high-risk early breast cancer.</w:t>
            </w:r>
          </w:p>
        </w:tc>
        <w:tc>
          <w:tcPr>
            <w:tcW w:w="1321" w:type="pct"/>
            <w:tcBorders>
              <w:top w:val="single" w:sz="4" w:space="0" w:color="auto"/>
              <w:bottom w:val="single" w:sz="4" w:space="0" w:color="auto"/>
            </w:tcBorders>
            <w:shd w:val="clear" w:color="auto" w:fill="95B3D7" w:themeFill="accent1" w:themeFillTint="99"/>
            <w:vAlign w:val="center"/>
          </w:tcPr>
          <w:p w14:paraId="33AD924A" w14:textId="77777777" w:rsidR="006038DA" w:rsidRPr="005472C1" w:rsidRDefault="006038DA" w:rsidP="007F2690">
            <w:pPr>
              <w:pStyle w:val="TableText0"/>
              <w:keepNext w:val="0"/>
              <w:widowControl w:val="0"/>
              <w:rPr>
                <w:i/>
                <w:szCs w:val="20"/>
              </w:rPr>
            </w:pPr>
            <w:r w:rsidRPr="005472C1">
              <w:rPr>
                <w:i/>
                <w:szCs w:val="20"/>
              </w:rPr>
              <w:t>Annals of oncology</w:t>
            </w:r>
            <w:r w:rsidRPr="005472C1">
              <w:rPr>
                <w:szCs w:val="20"/>
              </w:rPr>
              <w:t xml:space="preserve"> 2020; 31:S1241.</w:t>
            </w:r>
          </w:p>
        </w:tc>
      </w:tr>
      <w:tr w:rsidR="006038DA" w:rsidRPr="005472C1" w14:paraId="473EAA41" w14:textId="77777777" w:rsidTr="000B72D3">
        <w:trPr>
          <w:cantSplit/>
        </w:trPr>
        <w:tc>
          <w:tcPr>
            <w:tcW w:w="957" w:type="pct"/>
            <w:vMerge/>
            <w:vAlign w:val="center"/>
          </w:tcPr>
          <w:p w14:paraId="260B0E34"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tcPr>
          <w:p w14:paraId="112C9C33" w14:textId="77777777" w:rsidR="006038DA" w:rsidRPr="005472C1" w:rsidRDefault="006038DA" w:rsidP="007F2690">
            <w:pPr>
              <w:pStyle w:val="TableText0"/>
              <w:keepNext w:val="0"/>
              <w:widowControl w:val="0"/>
              <w:rPr>
                <w:szCs w:val="20"/>
                <w:lang w:val="fr-FR"/>
              </w:rPr>
            </w:pPr>
            <w:r w:rsidRPr="005472C1">
              <w:rPr>
                <w:szCs w:val="20"/>
              </w:rPr>
              <w:t>Harbeck N., Rastogi P., et al. Adjuvant abemaciclib combined with endocrine therapy for high-risk early breast cancer: updated efficacy and Ki-67 analysis from the monarchE study</w:t>
            </w:r>
          </w:p>
        </w:tc>
        <w:tc>
          <w:tcPr>
            <w:tcW w:w="1321" w:type="pct"/>
            <w:tcBorders>
              <w:top w:val="single" w:sz="4" w:space="0" w:color="auto"/>
              <w:bottom w:val="single" w:sz="4" w:space="0" w:color="auto"/>
            </w:tcBorders>
            <w:shd w:val="clear" w:color="auto" w:fill="95B3D7" w:themeFill="accent1" w:themeFillTint="99"/>
            <w:vAlign w:val="center"/>
          </w:tcPr>
          <w:p w14:paraId="77710E4D" w14:textId="77777777" w:rsidR="006038DA" w:rsidRPr="005472C1" w:rsidRDefault="006038DA" w:rsidP="007F2690">
            <w:pPr>
              <w:pStyle w:val="TableText0"/>
              <w:keepNext w:val="0"/>
              <w:widowControl w:val="0"/>
              <w:rPr>
                <w:i/>
                <w:szCs w:val="20"/>
              </w:rPr>
            </w:pPr>
            <w:r w:rsidRPr="005472C1">
              <w:rPr>
                <w:iCs/>
                <w:szCs w:val="20"/>
              </w:rPr>
              <w:t xml:space="preserve">2021 </w:t>
            </w:r>
            <w:r w:rsidRPr="00787A0B">
              <w:rPr>
                <w:iCs/>
                <w:szCs w:val="20"/>
              </w:rPr>
              <w:t>(in press)</w:t>
            </w:r>
          </w:p>
        </w:tc>
      </w:tr>
      <w:tr w:rsidR="006038DA" w:rsidRPr="005472C1" w14:paraId="0E2E7DAC" w14:textId="77777777" w:rsidTr="000B72D3">
        <w:trPr>
          <w:cantSplit/>
        </w:trPr>
        <w:tc>
          <w:tcPr>
            <w:tcW w:w="957" w:type="pct"/>
            <w:vMerge/>
            <w:vAlign w:val="center"/>
          </w:tcPr>
          <w:p w14:paraId="4A164EAA"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tcPr>
          <w:p w14:paraId="54D49B6F" w14:textId="77777777" w:rsidR="006038DA" w:rsidRPr="005472C1" w:rsidRDefault="006038DA" w:rsidP="007F2690">
            <w:pPr>
              <w:pStyle w:val="TableText0"/>
              <w:keepNext w:val="0"/>
              <w:widowControl w:val="0"/>
              <w:rPr>
                <w:szCs w:val="20"/>
              </w:rPr>
            </w:pPr>
            <w:r w:rsidRPr="005472C1">
              <w:rPr>
                <w:szCs w:val="20"/>
              </w:rPr>
              <w:t xml:space="preserve">Harbeck N., Rastogi P., et al. Adjuvant abemaciclib combined with endocrine therapy for high-risk early breast cancer: updated efficacy and Ki-67 analysis from the monarchE study </w:t>
            </w:r>
          </w:p>
        </w:tc>
        <w:tc>
          <w:tcPr>
            <w:tcW w:w="1321" w:type="pct"/>
            <w:tcBorders>
              <w:top w:val="single" w:sz="4" w:space="0" w:color="auto"/>
              <w:bottom w:val="single" w:sz="4" w:space="0" w:color="auto"/>
            </w:tcBorders>
            <w:shd w:val="clear" w:color="auto" w:fill="95B3D7" w:themeFill="accent1" w:themeFillTint="99"/>
            <w:vAlign w:val="center"/>
          </w:tcPr>
          <w:p w14:paraId="7B5BDCB1" w14:textId="77777777" w:rsidR="006038DA" w:rsidRPr="005472C1" w:rsidRDefault="006038DA" w:rsidP="007F2690">
            <w:pPr>
              <w:pStyle w:val="TableText0"/>
              <w:keepNext w:val="0"/>
              <w:widowControl w:val="0"/>
              <w:rPr>
                <w:iCs/>
                <w:szCs w:val="20"/>
              </w:rPr>
            </w:pPr>
            <w:r w:rsidRPr="005472C1">
              <w:rPr>
                <w:iCs/>
                <w:szCs w:val="20"/>
              </w:rPr>
              <w:t>2021</w:t>
            </w:r>
            <w:r w:rsidRPr="00787A0B">
              <w:rPr>
                <w:iCs/>
                <w:szCs w:val="20"/>
              </w:rPr>
              <w:t xml:space="preserve"> (in press – supplementary data)</w:t>
            </w:r>
          </w:p>
        </w:tc>
      </w:tr>
      <w:tr w:rsidR="006038DA" w:rsidRPr="005472C1" w14:paraId="688F0AFE" w14:textId="77777777" w:rsidTr="000B72D3">
        <w:trPr>
          <w:cantSplit/>
        </w:trPr>
        <w:tc>
          <w:tcPr>
            <w:tcW w:w="957" w:type="pct"/>
            <w:vMerge/>
            <w:vAlign w:val="center"/>
          </w:tcPr>
          <w:p w14:paraId="2897DD44"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shd w:val="clear" w:color="auto" w:fill="95B3D7" w:themeFill="accent1" w:themeFillTint="99"/>
          </w:tcPr>
          <w:p w14:paraId="651052DE" w14:textId="77777777" w:rsidR="006038DA" w:rsidRPr="005472C1" w:rsidRDefault="006038DA" w:rsidP="007F2690">
            <w:pPr>
              <w:pStyle w:val="TableText0"/>
              <w:keepNext w:val="0"/>
              <w:widowControl w:val="0"/>
              <w:rPr>
                <w:szCs w:val="20"/>
              </w:rPr>
            </w:pPr>
            <w:r w:rsidRPr="005472C1">
              <w:rPr>
                <w:szCs w:val="20"/>
              </w:rPr>
              <w:t xml:space="preserve">Harbeck N., Rastogi P., et al. Letter to the Editor for "Adjuvant Abemaciclib Combined With Endocrine Therapy for High-Risk Early Breast Cancer: Updated Efficacy and Ki-67 Analysis From the monarchE Study" </w:t>
            </w:r>
          </w:p>
        </w:tc>
        <w:tc>
          <w:tcPr>
            <w:tcW w:w="1321" w:type="pct"/>
            <w:tcBorders>
              <w:top w:val="single" w:sz="4" w:space="0" w:color="auto"/>
              <w:bottom w:val="single" w:sz="4" w:space="0" w:color="auto"/>
            </w:tcBorders>
            <w:shd w:val="clear" w:color="auto" w:fill="95B3D7" w:themeFill="accent1" w:themeFillTint="99"/>
            <w:vAlign w:val="center"/>
          </w:tcPr>
          <w:p w14:paraId="3E47EE55" w14:textId="77777777" w:rsidR="006038DA" w:rsidRPr="005472C1" w:rsidRDefault="006038DA" w:rsidP="007F2690">
            <w:pPr>
              <w:pStyle w:val="TableText0"/>
              <w:keepNext w:val="0"/>
              <w:widowControl w:val="0"/>
              <w:rPr>
                <w:iCs/>
                <w:szCs w:val="20"/>
              </w:rPr>
            </w:pPr>
            <w:r w:rsidRPr="005472C1">
              <w:rPr>
                <w:iCs/>
                <w:szCs w:val="20"/>
              </w:rPr>
              <w:t>2021</w:t>
            </w:r>
            <w:r w:rsidRPr="00787A0B">
              <w:rPr>
                <w:iCs/>
                <w:szCs w:val="20"/>
              </w:rPr>
              <w:t xml:space="preserve"> (in press)</w:t>
            </w:r>
          </w:p>
        </w:tc>
      </w:tr>
      <w:tr w:rsidR="002A5FCB" w:rsidRPr="005472C1" w14:paraId="760E11C9" w14:textId="77777777" w:rsidTr="007F2690">
        <w:trPr>
          <w:cantSplit/>
        </w:trPr>
        <w:tc>
          <w:tcPr>
            <w:tcW w:w="957" w:type="pct"/>
            <w:vMerge/>
            <w:vAlign w:val="center"/>
          </w:tcPr>
          <w:p w14:paraId="51C9B3F1" w14:textId="77777777" w:rsidR="002A5FCB" w:rsidRPr="005472C1" w:rsidRDefault="002A5FCB" w:rsidP="007F2690">
            <w:pPr>
              <w:pStyle w:val="Tabletext"/>
              <w:widowControl w:val="0"/>
              <w:rPr>
                <w:szCs w:val="20"/>
              </w:rPr>
            </w:pPr>
          </w:p>
        </w:tc>
        <w:tc>
          <w:tcPr>
            <w:tcW w:w="2722" w:type="pct"/>
            <w:tcBorders>
              <w:top w:val="single" w:sz="4" w:space="0" w:color="auto"/>
              <w:bottom w:val="single" w:sz="4" w:space="0" w:color="auto"/>
            </w:tcBorders>
          </w:tcPr>
          <w:p w14:paraId="4208F327" w14:textId="357D070E" w:rsidR="002A5FCB" w:rsidRPr="002A5FCB" w:rsidRDefault="002A5FCB" w:rsidP="007F2690">
            <w:pPr>
              <w:pStyle w:val="TableText0"/>
              <w:keepNext w:val="0"/>
              <w:widowControl w:val="0"/>
              <w:rPr>
                <w:szCs w:val="20"/>
              </w:rPr>
            </w:pPr>
            <w:r w:rsidRPr="002A5FCB">
              <w:rPr>
                <w:rFonts w:cstheme="minorHAnsi"/>
                <w:szCs w:val="20"/>
              </w:rPr>
              <w:t xml:space="preserve">M. Martin, R. Hegg, S. B. Kim, M. Schenker, D. Grecea, J. A. Garcia-Saenz, et al. Abemaciclib combined with adjuvant endocrine therapy in patients with high-risk early breast cancer who received neoadjuvant chemotherapy (NAC). </w:t>
            </w:r>
          </w:p>
        </w:tc>
        <w:tc>
          <w:tcPr>
            <w:tcW w:w="1321" w:type="pct"/>
            <w:tcBorders>
              <w:top w:val="single" w:sz="4" w:space="0" w:color="auto"/>
              <w:bottom w:val="single" w:sz="4" w:space="0" w:color="auto"/>
            </w:tcBorders>
            <w:vAlign w:val="center"/>
          </w:tcPr>
          <w:p w14:paraId="6C64E765" w14:textId="188482A6" w:rsidR="002A5FCB" w:rsidRPr="005472C1" w:rsidRDefault="002A5FCB" w:rsidP="007F2690">
            <w:pPr>
              <w:pStyle w:val="TableText0"/>
              <w:keepNext w:val="0"/>
              <w:widowControl w:val="0"/>
              <w:rPr>
                <w:rFonts w:cstheme="minorHAnsi"/>
                <w:color w:val="000000" w:themeColor="text1"/>
                <w:szCs w:val="20"/>
              </w:rPr>
            </w:pPr>
            <w:r w:rsidRPr="002A5FCB">
              <w:rPr>
                <w:rFonts w:cstheme="minorHAnsi"/>
                <w:szCs w:val="20"/>
              </w:rPr>
              <w:t>Journal of clinical oncology 2021 Vol. 39 Issue 15 SUPPL</w:t>
            </w:r>
          </w:p>
        </w:tc>
      </w:tr>
      <w:tr w:rsidR="006038DA" w:rsidRPr="005472C1" w14:paraId="3D4100F3" w14:textId="77777777" w:rsidTr="007F2690">
        <w:trPr>
          <w:cantSplit/>
        </w:trPr>
        <w:tc>
          <w:tcPr>
            <w:tcW w:w="957" w:type="pct"/>
            <w:vMerge/>
            <w:vAlign w:val="center"/>
          </w:tcPr>
          <w:p w14:paraId="31CF909F"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02EBE374" w14:textId="5A7964B6" w:rsidR="006038DA" w:rsidRPr="005472C1" w:rsidRDefault="006038DA" w:rsidP="007F2690">
            <w:pPr>
              <w:pStyle w:val="TableText0"/>
              <w:keepNext w:val="0"/>
              <w:widowControl w:val="0"/>
              <w:rPr>
                <w:szCs w:val="20"/>
              </w:rPr>
            </w:pPr>
            <w:r w:rsidRPr="005472C1">
              <w:rPr>
                <w:szCs w:val="20"/>
              </w:rPr>
              <w:t>S. Zhimin, Q. Zhang, C. G. Song, Q. Ouyang, Z. Liu, Q. Liu, et al. Efficacy and safety analysis of Chinese patients in monarchE: abemaciclib combined with adjuvant endocrine therapy for high risk HR+, HER2-early breast cancer.</w:t>
            </w:r>
          </w:p>
        </w:tc>
        <w:tc>
          <w:tcPr>
            <w:tcW w:w="1321" w:type="pct"/>
            <w:tcBorders>
              <w:top w:val="single" w:sz="4" w:space="0" w:color="auto"/>
              <w:bottom w:val="single" w:sz="4" w:space="0" w:color="auto"/>
            </w:tcBorders>
            <w:vAlign w:val="center"/>
          </w:tcPr>
          <w:p w14:paraId="2E819BC1" w14:textId="335D21F0" w:rsidR="006038DA" w:rsidRPr="005472C1" w:rsidRDefault="006038DA" w:rsidP="007F2690">
            <w:pPr>
              <w:pStyle w:val="TableText0"/>
              <w:keepNext w:val="0"/>
              <w:widowControl w:val="0"/>
              <w:rPr>
                <w:iCs/>
                <w:szCs w:val="20"/>
              </w:rPr>
            </w:pPr>
            <w:r w:rsidRPr="005472C1">
              <w:rPr>
                <w:rFonts w:cstheme="minorHAnsi"/>
                <w:color w:val="000000" w:themeColor="text1"/>
                <w:szCs w:val="20"/>
              </w:rPr>
              <w:t>Journal of clinical oncology 2021 Vol. 39 Issue 15 SUPPL.</w:t>
            </w:r>
          </w:p>
        </w:tc>
      </w:tr>
      <w:tr w:rsidR="006038DA" w:rsidRPr="005472C1" w14:paraId="34C13EE7" w14:textId="77777777" w:rsidTr="007F2690">
        <w:trPr>
          <w:cantSplit/>
        </w:trPr>
        <w:tc>
          <w:tcPr>
            <w:tcW w:w="957" w:type="pct"/>
            <w:vMerge/>
            <w:vAlign w:val="center"/>
          </w:tcPr>
          <w:p w14:paraId="7ADBE26B"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608A0C4B" w14:textId="07E092E7" w:rsidR="006038DA" w:rsidRPr="005472C1" w:rsidRDefault="006038DA" w:rsidP="007F2690">
            <w:pPr>
              <w:pStyle w:val="TableText0"/>
              <w:keepNext w:val="0"/>
              <w:widowControl w:val="0"/>
              <w:rPr>
                <w:szCs w:val="20"/>
              </w:rPr>
            </w:pPr>
            <w:r w:rsidRPr="005472C1">
              <w:rPr>
                <w:szCs w:val="20"/>
              </w:rPr>
              <w:t xml:space="preserve">Y. S. Yap, S. B. Kim, J. W. Y. Chiu, E. Lim, R. Broom, Z. Liu, et al. 48P Abemaciclib combined with adjuvant endocrine therapy in patients from Asia with high-risk early breast cancer: monarchE. </w:t>
            </w:r>
          </w:p>
        </w:tc>
        <w:tc>
          <w:tcPr>
            <w:tcW w:w="1321" w:type="pct"/>
            <w:tcBorders>
              <w:top w:val="single" w:sz="4" w:space="0" w:color="auto"/>
              <w:bottom w:val="single" w:sz="4" w:space="0" w:color="auto"/>
            </w:tcBorders>
            <w:vAlign w:val="center"/>
          </w:tcPr>
          <w:p w14:paraId="2B0688F7" w14:textId="4D7053FA" w:rsidR="006038DA" w:rsidRPr="005472C1" w:rsidRDefault="006038DA" w:rsidP="007F2690">
            <w:pPr>
              <w:pStyle w:val="TableText0"/>
              <w:keepNext w:val="0"/>
              <w:widowControl w:val="0"/>
              <w:rPr>
                <w:iCs/>
                <w:szCs w:val="20"/>
              </w:rPr>
            </w:pPr>
            <w:r w:rsidRPr="005472C1">
              <w:rPr>
                <w:szCs w:val="20"/>
              </w:rPr>
              <w:t>Annals of oncology 2021 Vol. 32 Pages S41</w:t>
            </w:r>
            <w:r w:rsidRPr="005472C1">
              <w:rPr>
                <w:rFonts w:ascii="Cambria Math" w:hAnsi="Cambria Math" w:cs="Cambria Math"/>
                <w:szCs w:val="20"/>
              </w:rPr>
              <w:t>‐</w:t>
            </w:r>
            <w:r w:rsidRPr="005472C1">
              <w:rPr>
                <w:szCs w:val="20"/>
              </w:rPr>
              <w:t>S42.</w:t>
            </w:r>
          </w:p>
        </w:tc>
      </w:tr>
      <w:tr w:rsidR="006038DA" w:rsidRPr="005472C1" w14:paraId="3E1F8A0A" w14:textId="77777777" w:rsidTr="007F2690">
        <w:trPr>
          <w:cantSplit/>
        </w:trPr>
        <w:tc>
          <w:tcPr>
            <w:tcW w:w="957" w:type="pct"/>
            <w:vMerge/>
            <w:vAlign w:val="center"/>
          </w:tcPr>
          <w:p w14:paraId="520807F6"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19264B6D" w14:textId="6A19286D"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S. Tolaney, I. Blancas, Y. Im, P. Rastogi, J. Brown, A. Shahir, et al. Patients’ quality of life and side effect perceptions in monarchE, a study of abemaciclib plus endocrine therapy in adjuvant treatment of HR+, HER2-, node-positive, high-risk, early breast cancer. </w:t>
            </w:r>
          </w:p>
        </w:tc>
        <w:tc>
          <w:tcPr>
            <w:tcW w:w="1321" w:type="pct"/>
            <w:tcBorders>
              <w:top w:val="single" w:sz="4" w:space="0" w:color="auto"/>
              <w:bottom w:val="single" w:sz="4" w:space="0" w:color="auto"/>
            </w:tcBorders>
            <w:vAlign w:val="center"/>
          </w:tcPr>
          <w:p w14:paraId="6D284D04" w14:textId="6230BB7B" w:rsidR="006038DA" w:rsidRPr="005472C1" w:rsidRDefault="005472C1" w:rsidP="007F2690">
            <w:pPr>
              <w:pStyle w:val="TableText0"/>
              <w:keepNext w:val="0"/>
              <w:widowControl w:val="0"/>
              <w:rPr>
                <w:iCs/>
                <w:szCs w:val="20"/>
              </w:rPr>
            </w:pPr>
            <w:r w:rsidRPr="005472C1">
              <w:rPr>
                <w:rFonts w:cstheme="minorHAnsi"/>
                <w:color w:val="000000" w:themeColor="text1"/>
                <w:szCs w:val="20"/>
              </w:rPr>
              <w:t>Breast (Edinburgh, Scotland) 2021 Vol. 56 Pages S20</w:t>
            </w:r>
            <w:r w:rsidRPr="005472C1">
              <w:rPr>
                <w:rFonts w:ascii="Cambria Math" w:hAnsi="Cambria Math" w:cs="Cambria Math"/>
                <w:color w:val="000000" w:themeColor="text1"/>
                <w:szCs w:val="20"/>
              </w:rPr>
              <w:t>‐</w:t>
            </w:r>
            <w:r w:rsidRPr="005472C1">
              <w:rPr>
                <w:rFonts w:cstheme="minorHAnsi"/>
                <w:color w:val="000000" w:themeColor="text1"/>
                <w:szCs w:val="20"/>
              </w:rPr>
              <w:t>S21.</w:t>
            </w:r>
          </w:p>
        </w:tc>
      </w:tr>
      <w:tr w:rsidR="006038DA" w:rsidRPr="005472C1" w14:paraId="5658A8D6" w14:textId="77777777" w:rsidTr="007F2690">
        <w:trPr>
          <w:cantSplit/>
        </w:trPr>
        <w:tc>
          <w:tcPr>
            <w:tcW w:w="957" w:type="pct"/>
            <w:vMerge/>
            <w:vAlign w:val="center"/>
          </w:tcPr>
          <w:p w14:paraId="61D4C8B4"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3B247A1B" w14:textId="73D93BBD"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M. Toi, F. Boyle, Y. H. Im, M. Reinisch, D. Molthrop, Z. Jiang, et al. 59MO Adjuvant abemaciclib combined with endocrine therapy (ET): efficacy results in monarchE cohort 1. </w:t>
            </w:r>
          </w:p>
        </w:tc>
        <w:tc>
          <w:tcPr>
            <w:tcW w:w="1321" w:type="pct"/>
            <w:tcBorders>
              <w:top w:val="single" w:sz="4" w:space="0" w:color="auto"/>
              <w:bottom w:val="single" w:sz="4" w:space="0" w:color="auto"/>
            </w:tcBorders>
            <w:vAlign w:val="center"/>
          </w:tcPr>
          <w:p w14:paraId="016D3A0D" w14:textId="6FD5A610" w:rsidR="006038DA" w:rsidRPr="005472C1" w:rsidRDefault="005472C1" w:rsidP="007F2690">
            <w:pPr>
              <w:pStyle w:val="TableText0"/>
              <w:keepNext w:val="0"/>
              <w:widowControl w:val="0"/>
              <w:rPr>
                <w:iCs/>
                <w:szCs w:val="20"/>
              </w:rPr>
            </w:pPr>
            <w:r w:rsidRPr="005472C1">
              <w:rPr>
                <w:rFonts w:cstheme="minorHAnsi"/>
                <w:color w:val="000000" w:themeColor="text1"/>
                <w:szCs w:val="20"/>
              </w:rPr>
              <w:t>Annals of oncology 2022 Vol. 33 Page S149.</w:t>
            </w:r>
          </w:p>
        </w:tc>
      </w:tr>
      <w:tr w:rsidR="006038DA" w:rsidRPr="005472C1" w14:paraId="2C8AC526" w14:textId="77777777" w:rsidTr="007F2690">
        <w:trPr>
          <w:cantSplit/>
        </w:trPr>
        <w:tc>
          <w:tcPr>
            <w:tcW w:w="957" w:type="pct"/>
            <w:vMerge/>
            <w:vAlign w:val="center"/>
          </w:tcPr>
          <w:p w14:paraId="2938A78F"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7D80DD21" w14:textId="626051A2" w:rsidR="006038DA" w:rsidRPr="005472C1" w:rsidRDefault="006038DA" w:rsidP="007F2690">
            <w:pPr>
              <w:pStyle w:val="TableText0"/>
              <w:keepNext w:val="0"/>
              <w:widowControl w:val="0"/>
              <w:rPr>
                <w:szCs w:val="20"/>
              </w:rPr>
            </w:pPr>
            <w:r w:rsidRPr="005472C1">
              <w:rPr>
                <w:szCs w:val="20"/>
              </w:rPr>
              <w:t xml:space="preserve">S. Paluch-Shimon, P. Neven, J. Huober, I. Cicin, Z. Jiang, M. P. Goetz, et al. 63P Efficacy and safety results by menopausal status in monarchE: adjuvant abemaciclib combined with endocrine therapy in patients with HR+, HER2- high-risk early breast cancer. </w:t>
            </w:r>
          </w:p>
        </w:tc>
        <w:tc>
          <w:tcPr>
            <w:tcW w:w="1321" w:type="pct"/>
            <w:tcBorders>
              <w:top w:val="single" w:sz="4" w:space="0" w:color="auto"/>
              <w:bottom w:val="single" w:sz="4" w:space="0" w:color="auto"/>
            </w:tcBorders>
            <w:vAlign w:val="center"/>
          </w:tcPr>
          <w:p w14:paraId="53B0466E" w14:textId="2428AAFD" w:rsidR="006038DA" w:rsidRPr="005472C1" w:rsidRDefault="005472C1" w:rsidP="007F2690">
            <w:pPr>
              <w:pStyle w:val="TableText0"/>
              <w:keepNext w:val="0"/>
              <w:widowControl w:val="0"/>
              <w:rPr>
                <w:iCs/>
                <w:szCs w:val="20"/>
              </w:rPr>
            </w:pPr>
            <w:r w:rsidRPr="005472C1">
              <w:rPr>
                <w:szCs w:val="20"/>
              </w:rPr>
              <w:t>Annals of oncology 2022 Vol. 33 Page S151.</w:t>
            </w:r>
          </w:p>
        </w:tc>
      </w:tr>
      <w:tr w:rsidR="006038DA" w:rsidRPr="005472C1" w14:paraId="4631F19E" w14:textId="77777777" w:rsidTr="007F2690">
        <w:trPr>
          <w:cantSplit/>
        </w:trPr>
        <w:tc>
          <w:tcPr>
            <w:tcW w:w="957" w:type="pct"/>
            <w:vMerge/>
            <w:vAlign w:val="center"/>
          </w:tcPr>
          <w:p w14:paraId="20F40C4C"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4D887422" w14:textId="581BC756" w:rsidR="006038DA" w:rsidRPr="005472C1" w:rsidRDefault="006038DA" w:rsidP="007F2690">
            <w:pPr>
              <w:pStyle w:val="TableText0"/>
              <w:keepNext w:val="0"/>
              <w:widowControl w:val="0"/>
              <w:rPr>
                <w:szCs w:val="20"/>
              </w:rPr>
            </w:pPr>
            <w:r w:rsidRPr="005472C1">
              <w:rPr>
                <w:szCs w:val="20"/>
              </w:rPr>
              <w:t xml:space="preserve">S. Paluch-Shimon, H. Lueck, J. Beith, E. Tokunaga, J. R. Contreras, R. O. de Sant'Ana, et al. Adjuvant endocrine therapy combined with abemaciclib in monarchE patients with high-risk early breast cancer: disease characteristics and endocrine therapy choice by menopausal status. </w:t>
            </w:r>
          </w:p>
        </w:tc>
        <w:tc>
          <w:tcPr>
            <w:tcW w:w="1321" w:type="pct"/>
            <w:tcBorders>
              <w:top w:val="single" w:sz="4" w:space="0" w:color="auto"/>
              <w:bottom w:val="single" w:sz="4" w:space="0" w:color="auto"/>
            </w:tcBorders>
            <w:vAlign w:val="center"/>
          </w:tcPr>
          <w:p w14:paraId="06DC22DB" w14:textId="3CBB247B" w:rsidR="006038DA" w:rsidRPr="005472C1" w:rsidRDefault="005472C1" w:rsidP="007F2690">
            <w:pPr>
              <w:pStyle w:val="TableText0"/>
              <w:keepNext w:val="0"/>
              <w:widowControl w:val="0"/>
              <w:rPr>
                <w:iCs/>
                <w:szCs w:val="20"/>
              </w:rPr>
            </w:pPr>
            <w:r w:rsidRPr="005472C1">
              <w:rPr>
                <w:szCs w:val="20"/>
              </w:rPr>
              <w:t>Annals of oncology 2021 Vol. 32 Pages S427</w:t>
            </w:r>
            <w:r w:rsidRPr="005472C1">
              <w:rPr>
                <w:rFonts w:ascii="Cambria Math" w:hAnsi="Cambria Math" w:cs="Cambria Math"/>
                <w:szCs w:val="20"/>
              </w:rPr>
              <w:t>‐</w:t>
            </w:r>
            <w:r w:rsidRPr="005472C1">
              <w:rPr>
                <w:szCs w:val="20"/>
              </w:rPr>
              <w:t>S428.</w:t>
            </w:r>
          </w:p>
        </w:tc>
      </w:tr>
      <w:tr w:rsidR="006038DA" w:rsidRPr="005472C1" w14:paraId="523D2C26" w14:textId="77777777" w:rsidTr="007F2690">
        <w:trPr>
          <w:cantSplit/>
        </w:trPr>
        <w:tc>
          <w:tcPr>
            <w:tcW w:w="957" w:type="pct"/>
            <w:vMerge/>
            <w:vAlign w:val="center"/>
          </w:tcPr>
          <w:p w14:paraId="0B7CCCB8"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4DC66730" w14:textId="731CE9FC" w:rsidR="006038DA" w:rsidRPr="005472C1" w:rsidRDefault="006038DA" w:rsidP="007F2690">
            <w:pPr>
              <w:pStyle w:val="TableText0"/>
              <w:keepNext w:val="0"/>
              <w:widowControl w:val="0"/>
              <w:rPr>
                <w:szCs w:val="20"/>
              </w:rPr>
            </w:pPr>
            <w:r w:rsidRPr="005472C1">
              <w:rPr>
                <w:rFonts w:cstheme="minorHAnsi"/>
                <w:color w:val="000000" w:themeColor="text1"/>
                <w:szCs w:val="20"/>
              </w:rPr>
              <w:t>J. O'Shaughnessy, S. Johnston, N. Harbeck, M. Toi, Y. Im, M. Reinisch, et al. Primary outcome analysis of invasive disease-free survival for monarchE: abemaciclib plus adjuvant endocrine therapy for high-risk early breast cancer.</w:t>
            </w:r>
          </w:p>
        </w:tc>
        <w:tc>
          <w:tcPr>
            <w:tcW w:w="1321" w:type="pct"/>
            <w:tcBorders>
              <w:top w:val="single" w:sz="4" w:space="0" w:color="auto"/>
              <w:bottom w:val="single" w:sz="4" w:space="0" w:color="auto"/>
            </w:tcBorders>
            <w:vAlign w:val="center"/>
          </w:tcPr>
          <w:p w14:paraId="4F718D0E" w14:textId="37495CD6" w:rsidR="006038DA" w:rsidRPr="005472C1" w:rsidRDefault="005472C1" w:rsidP="007F2690">
            <w:pPr>
              <w:pStyle w:val="TableText0"/>
              <w:keepNext w:val="0"/>
              <w:widowControl w:val="0"/>
              <w:rPr>
                <w:iCs/>
                <w:szCs w:val="20"/>
              </w:rPr>
            </w:pPr>
            <w:r w:rsidRPr="005472C1">
              <w:rPr>
                <w:rFonts w:cstheme="minorHAnsi"/>
                <w:color w:val="000000" w:themeColor="text1"/>
                <w:szCs w:val="20"/>
              </w:rPr>
              <w:t>Tumori 2021 Vol. 107 Issue 2 SUPPL Pages 11</w:t>
            </w:r>
            <w:r w:rsidRPr="005472C1">
              <w:rPr>
                <w:rFonts w:ascii="Cambria Math" w:hAnsi="Cambria Math" w:cs="Cambria Math"/>
                <w:color w:val="000000" w:themeColor="text1"/>
                <w:szCs w:val="20"/>
              </w:rPr>
              <w:t>‐</w:t>
            </w:r>
            <w:r w:rsidRPr="005472C1">
              <w:rPr>
                <w:rFonts w:cstheme="minorHAnsi"/>
                <w:color w:val="000000" w:themeColor="text1"/>
                <w:szCs w:val="20"/>
              </w:rPr>
              <w:t>12.</w:t>
            </w:r>
          </w:p>
        </w:tc>
      </w:tr>
      <w:tr w:rsidR="006038DA" w:rsidRPr="005472C1" w14:paraId="7FD61F8A" w14:textId="77777777" w:rsidTr="007F2690">
        <w:trPr>
          <w:cantSplit/>
        </w:trPr>
        <w:tc>
          <w:tcPr>
            <w:tcW w:w="957" w:type="pct"/>
            <w:vMerge/>
            <w:vAlign w:val="center"/>
          </w:tcPr>
          <w:p w14:paraId="248E23B5"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7BFC8AAD" w14:textId="0E4C771D"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J. A. O'Shaughnessy, S. Johnston, N. Harbeck, M. Toi, Y. H. Im, M. Reinisch, et al. Primary outcome analysis of invasive disease-free survival for monarchE: abemaciclib combined with adjuvant endocrine therapy for high risk early breast cancer. </w:t>
            </w:r>
          </w:p>
        </w:tc>
        <w:tc>
          <w:tcPr>
            <w:tcW w:w="1321" w:type="pct"/>
            <w:tcBorders>
              <w:top w:val="single" w:sz="4" w:space="0" w:color="auto"/>
              <w:bottom w:val="single" w:sz="4" w:space="0" w:color="auto"/>
            </w:tcBorders>
            <w:vAlign w:val="center"/>
          </w:tcPr>
          <w:p w14:paraId="22610A55" w14:textId="26824FC8" w:rsidR="006038DA" w:rsidRPr="005472C1" w:rsidRDefault="005472C1" w:rsidP="007F2690">
            <w:pPr>
              <w:pStyle w:val="TableText0"/>
              <w:keepNext w:val="0"/>
              <w:widowControl w:val="0"/>
              <w:rPr>
                <w:iCs/>
                <w:szCs w:val="20"/>
              </w:rPr>
            </w:pPr>
            <w:r w:rsidRPr="005472C1">
              <w:rPr>
                <w:rFonts w:cstheme="minorHAnsi"/>
                <w:color w:val="000000" w:themeColor="text1"/>
                <w:szCs w:val="20"/>
              </w:rPr>
              <w:t>Cancer Research 2021 Vol. 81 Issue 4 SUPPL</w:t>
            </w:r>
          </w:p>
        </w:tc>
      </w:tr>
      <w:tr w:rsidR="006038DA" w:rsidRPr="005472C1" w14:paraId="22DA5153" w14:textId="77777777" w:rsidTr="007F2690">
        <w:trPr>
          <w:cantSplit/>
        </w:trPr>
        <w:tc>
          <w:tcPr>
            <w:tcW w:w="957" w:type="pct"/>
            <w:vMerge/>
            <w:vAlign w:val="center"/>
          </w:tcPr>
          <w:p w14:paraId="28DF7D58"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20D84E8B" w14:textId="0B8C9E89"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M. Martin, R. Hegg, S. B. Kim, M. Schenker, D. Grecea, J. A. Garcia-Saenz, et al. Treatment With Adjuvant Abemaciclib Plus Endocrine Therapy in Patients With High-risk Early Breast Cancer Who Received Neoadjuvant Chemotherapy: a Prespecified Analysis of the monarchE Randomized Clinical Trial. </w:t>
            </w:r>
          </w:p>
        </w:tc>
        <w:tc>
          <w:tcPr>
            <w:tcW w:w="1321" w:type="pct"/>
            <w:tcBorders>
              <w:top w:val="single" w:sz="4" w:space="0" w:color="auto"/>
              <w:bottom w:val="single" w:sz="4" w:space="0" w:color="auto"/>
            </w:tcBorders>
            <w:vAlign w:val="center"/>
          </w:tcPr>
          <w:p w14:paraId="2549FF77" w14:textId="2CAAAB10" w:rsidR="006038DA" w:rsidRPr="005472C1" w:rsidRDefault="005472C1" w:rsidP="007F2690">
            <w:pPr>
              <w:pStyle w:val="TableText0"/>
              <w:keepNext w:val="0"/>
              <w:widowControl w:val="0"/>
              <w:rPr>
                <w:iCs/>
                <w:szCs w:val="20"/>
              </w:rPr>
            </w:pPr>
            <w:r w:rsidRPr="005472C1">
              <w:rPr>
                <w:rFonts w:cstheme="minorHAnsi"/>
                <w:color w:val="000000" w:themeColor="text1"/>
                <w:szCs w:val="20"/>
              </w:rPr>
              <w:t>JAMA oncology 2022.</w:t>
            </w:r>
          </w:p>
        </w:tc>
      </w:tr>
      <w:tr w:rsidR="006038DA" w:rsidRPr="005472C1" w14:paraId="38CF1020" w14:textId="77777777" w:rsidTr="007F2690">
        <w:trPr>
          <w:cantSplit/>
        </w:trPr>
        <w:tc>
          <w:tcPr>
            <w:tcW w:w="957" w:type="pct"/>
            <w:vMerge/>
            <w:vAlign w:val="center"/>
          </w:tcPr>
          <w:p w14:paraId="52CA9AC2"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419FF52B" w14:textId="0E75A465"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N. Harbeck, P. Rastogi, M. Martin, S. M. Tolaney, Z. M. Shao, P. A. Fasching, et al. Adjuvant abemaciclib combined with endocrine therapy for high-risk early breast cancer: updated efficacy and Ki-67 analysis from the monarchE study. </w:t>
            </w:r>
          </w:p>
        </w:tc>
        <w:tc>
          <w:tcPr>
            <w:tcW w:w="1321" w:type="pct"/>
            <w:tcBorders>
              <w:top w:val="single" w:sz="4" w:space="0" w:color="auto"/>
              <w:bottom w:val="single" w:sz="4" w:space="0" w:color="auto"/>
            </w:tcBorders>
            <w:vAlign w:val="center"/>
          </w:tcPr>
          <w:p w14:paraId="308D53A8" w14:textId="52308178" w:rsidR="006038DA" w:rsidRPr="005472C1" w:rsidRDefault="005472C1" w:rsidP="007F2690">
            <w:pPr>
              <w:pStyle w:val="TableText0"/>
              <w:keepNext w:val="0"/>
              <w:widowControl w:val="0"/>
              <w:rPr>
                <w:iCs/>
                <w:szCs w:val="20"/>
              </w:rPr>
            </w:pPr>
            <w:r w:rsidRPr="005472C1">
              <w:rPr>
                <w:rFonts w:cstheme="minorHAnsi"/>
                <w:color w:val="000000" w:themeColor="text1"/>
                <w:szCs w:val="20"/>
              </w:rPr>
              <w:t>Annals of oncology 2021 Vol. 32 Issue 12 Pages 1571</w:t>
            </w:r>
            <w:r w:rsidRPr="005472C1">
              <w:rPr>
                <w:rFonts w:ascii="Cambria Math" w:hAnsi="Cambria Math" w:cs="Cambria Math"/>
                <w:color w:val="000000" w:themeColor="text1"/>
                <w:szCs w:val="20"/>
              </w:rPr>
              <w:t>‐</w:t>
            </w:r>
            <w:r w:rsidRPr="005472C1">
              <w:rPr>
                <w:rFonts w:cstheme="minorHAnsi"/>
                <w:color w:val="000000" w:themeColor="text1"/>
                <w:szCs w:val="20"/>
              </w:rPr>
              <w:t>1581.</w:t>
            </w:r>
          </w:p>
        </w:tc>
      </w:tr>
      <w:tr w:rsidR="006038DA" w:rsidRPr="005472C1" w14:paraId="37DA7A93" w14:textId="77777777" w:rsidTr="007F2690">
        <w:trPr>
          <w:cantSplit/>
        </w:trPr>
        <w:tc>
          <w:tcPr>
            <w:tcW w:w="957" w:type="pct"/>
            <w:vMerge/>
            <w:vAlign w:val="center"/>
          </w:tcPr>
          <w:p w14:paraId="216C4781"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51FFF1E9" w14:textId="24D7EC90" w:rsidR="006038DA" w:rsidRPr="005472C1" w:rsidRDefault="006038DA" w:rsidP="007F2690">
            <w:pPr>
              <w:pStyle w:val="TableText0"/>
              <w:keepNext w:val="0"/>
              <w:widowControl w:val="0"/>
              <w:rPr>
                <w:szCs w:val="20"/>
              </w:rPr>
            </w:pPr>
            <w:r w:rsidRPr="005472C1">
              <w:rPr>
                <w:rFonts w:cstheme="minorHAnsi"/>
                <w:color w:val="000000" w:themeColor="text1"/>
                <w:szCs w:val="20"/>
              </w:rPr>
              <w:t>N. Harbeck, S. Johnston, P. Fasching, M. Martin, M. Toi, P. Rastogi, et al. High Ki-67 as a biomarker for identifying patients with high risk early breast cancer treated in</w:t>
            </w:r>
            <w:r w:rsidR="005472C1" w:rsidRPr="005472C1">
              <w:rPr>
                <w:rFonts w:cstheme="minorHAnsi"/>
                <w:color w:val="000000" w:themeColor="text1"/>
                <w:szCs w:val="20"/>
              </w:rPr>
              <w:t xml:space="preserve"> </w:t>
            </w:r>
            <w:r w:rsidRPr="005472C1">
              <w:rPr>
                <w:rFonts w:cstheme="minorHAnsi"/>
                <w:color w:val="000000" w:themeColor="text1"/>
                <w:szCs w:val="20"/>
              </w:rPr>
              <w:t xml:space="preserve">monarchE. </w:t>
            </w:r>
          </w:p>
        </w:tc>
        <w:tc>
          <w:tcPr>
            <w:tcW w:w="1321" w:type="pct"/>
            <w:tcBorders>
              <w:top w:val="single" w:sz="4" w:space="0" w:color="auto"/>
              <w:bottom w:val="single" w:sz="4" w:space="0" w:color="auto"/>
            </w:tcBorders>
            <w:vAlign w:val="center"/>
          </w:tcPr>
          <w:p w14:paraId="62F04D83" w14:textId="0A9B1AB8" w:rsidR="006038DA" w:rsidRPr="005472C1" w:rsidRDefault="005472C1" w:rsidP="007F2690">
            <w:pPr>
              <w:pStyle w:val="TableText0"/>
              <w:keepNext w:val="0"/>
              <w:widowControl w:val="0"/>
              <w:rPr>
                <w:iCs/>
                <w:szCs w:val="20"/>
              </w:rPr>
            </w:pPr>
            <w:r w:rsidRPr="005472C1">
              <w:rPr>
                <w:rFonts w:cstheme="minorHAnsi"/>
                <w:color w:val="000000" w:themeColor="text1"/>
                <w:szCs w:val="20"/>
              </w:rPr>
              <w:t>Cancer Research 2021 Vol. 81 Issue 4 SUPPL.</w:t>
            </w:r>
          </w:p>
        </w:tc>
      </w:tr>
      <w:tr w:rsidR="006038DA" w:rsidRPr="005472C1" w14:paraId="5862D3C6" w14:textId="77777777" w:rsidTr="007F2690">
        <w:trPr>
          <w:cantSplit/>
        </w:trPr>
        <w:tc>
          <w:tcPr>
            <w:tcW w:w="957" w:type="pct"/>
            <w:vMerge/>
            <w:vAlign w:val="center"/>
          </w:tcPr>
          <w:p w14:paraId="12134330" w14:textId="77777777" w:rsidR="006038DA" w:rsidRPr="005472C1" w:rsidRDefault="006038DA" w:rsidP="007F2690">
            <w:pPr>
              <w:pStyle w:val="Tabletext"/>
              <w:widowControl w:val="0"/>
              <w:rPr>
                <w:szCs w:val="20"/>
              </w:rPr>
            </w:pPr>
          </w:p>
        </w:tc>
        <w:tc>
          <w:tcPr>
            <w:tcW w:w="2722" w:type="pct"/>
            <w:tcBorders>
              <w:top w:val="single" w:sz="4" w:space="0" w:color="auto"/>
              <w:bottom w:val="single" w:sz="4" w:space="0" w:color="auto"/>
            </w:tcBorders>
          </w:tcPr>
          <w:p w14:paraId="08053E8A" w14:textId="2EDFFCAB" w:rsidR="006038DA" w:rsidRPr="005472C1" w:rsidRDefault="006038DA" w:rsidP="007F2690">
            <w:pPr>
              <w:pStyle w:val="TableText0"/>
              <w:keepNext w:val="0"/>
              <w:widowControl w:val="0"/>
              <w:rPr>
                <w:szCs w:val="20"/>
              </w:rPr>
            </w:pPr>
            <w:r w:rsidRPr="005472C1">
              <w:rPr>
                <w:rFonts w:cstheme="minorHAnsi"/>
                <w:color w:val="000000" w:themeColor="text1"/>
                <w:szCs w:val="20"/>
              </w:rPr>
              <w:t xml:space="preserve">P. Fasching, N. Harbeck, S. Johnston, M. Martin, M. Toi, P. Rastogi, et al. High Ki-67 as a biomarker for identifying patients with high-risk early breast cancer treated in monarchE. </w:t>
            </w:r>
          </w:p>
        </w:tc>
        <w:tc>
          <w:tcPr>
            <w:tcW w:w="1321" w:type="pct"/>
            <w:tcBorders>
              <w:top w:val="single" w:sz="4" w:space="0" w:color="auto"/>
              <w:bottom w:val="single" w:sz="4" w:space="0" w:color="auto"/>
            </w:tcBorders>
            <w:vAlign w:val="center"/>
          </w:tcPr>
          <w:p w14:paraId="4C3CED27" w14:textId="61ECFB65" w:rsidR="006038DA" w:rsidRPr="005472C1" w:rsidRDefault="005472C1" w:rsidP="007F2690">
            <w:pPr>
              <w:pStyle w:val="TableText0"/>
              <w:keepNext w:val="0"/>
              <w:widowControl w:val="0"/>
              <w:rPr>
                <w:iCs/>
                <w:szCs w:val="20"/>
              </w:rPr>
            </w:pPr>
            <w:r w:rsidRPr="005472C1">
              <w:rPr>
                <w:rFonts w:cstheme="minorHAnsi"/>
                <w:color w:val="000000" w:themeColor="text1"/>
                <w:szCs w:val="20"/>
              </w:rPr>
              <w:t>Oncology research and treatment 2021 Vol. 44 Issue SUPPL 2 Page 244.</w:t>
            </w:r>
          </w:p>
        </w:tc>
      </w:tr>
    </w:tbl>
    <w:p w14:paraId="1DE6A64A" w14:textId="32F8229B" w:rsidR="008E0D3C" w:rsidRDefault="008E0D3C" w:rsidP="007F2690">
      <w:pPr>
        <w:pStyle w:val="FooterTableFigure"/>
        <w:keepNext/>
      </w:pPr>
      <w:r>
        <w:t>Source: Table</w:t>
      </w:r>
      <w:r w:rsidR="002A5FCB">
        <w:t xml:space="preserve"> 2-5</w:t>
      </w:r>
      <w:r>
        <w:t>, pp</w:t>
      </w:r>
      <w:r w:rsidR="002A5FCB">
        <w:t>60-61</w:t>
      </w:r>
      <w:r>
        <w:t xml:space="preserve"> </w:t>
      </w:r>
      <w:r w:rsidRPr="00D13A3E">
        <w:t xml:space="preserve">of the </w:t>
      </w:r>
      <w:r w:rsidR="002A5FCB">
        <w:t>re</w:t>
      </w:r>
      <w:r>
        <w:t>submission.</w:t>
      </w:r>
    </w:p>
    <w:p w14:paraId="74546959" w14:textId="655A81C0" w:rsidR="00A669BD" w:rsidRPr="00A669BD" w:rsidRDefault="00A669BD" w:rsidP="00F91639">
      <w:pPr>
        <w:pStyle w:val="FooterTableFigure"/>
        <w:keepNext/>
        <w:rPr>
          <w:iCs/>
          <w:sz w:val="20"/>
        </w:rPr>
      </w:pPr>
      <w:r w:rsidRPr="00A669BD">
        <w:rPr>
          <w:iCs/>
          <w:shd w:val="clear" w:color="auto" w:fill="8DB3E2" w:themeFill="text2" w:themeFillTint="66"/>
        </w:rPr>
        <w:t>Blue shading</w:t>
      </w:r>
      <w:r w:rsidRPr="00A669BD">
        <w:rPr>
          <w:iCs/>
        </w:rPr>
        <w:t xml:space="preserve"> indicates data previously seen by the PBAC.</w:t>
      </w:r>
    </w:p>
    <w:p w14:paraId="3FA5B9F7" w14:textId="2AF91353" w:rsidR="005472C1" w:rsidRPr="005472C1" w:rsidRDefault="005472C1" w:rsidP="00F91639">
      <w:pPr>
        <w:pStyle w:val="3-BodyText"/>
        <w:rPr>
          <w:rFonts w:cstheme="minorHAnsi"/>
          <w:color w:val="0066FF"/>
        </w:rPr>
      </w:pPr>
      <w:r w:rsidRPr="005472C1">
        <w:rPr>
          <w:rFonts w:cstheme="minorHAnsi"/>
        </w:rPr>
        <w:t xml:space="preserve">The key features of the monarchE direct randomised trial are summarised in </w:t>
      </w:r>
      <w:r w:rsidRPr="005472C1">
        <w:rPr>
          <w:rFonts w:cstheme="minorHAnsi"/>
          <w:b/>
          <w:bCs/>
        </w:rPr>
        <w:fldChar w:fldCharType="begin"/>
      </w:r>
      <w:r w:rsidRPr="005472C1">
        <w:rPr>
          <w:rFonts w:cstheme="minorHAnsi"/>
          <w:b/>
          <w:bCs/>
        </w:rPr>
        <w:instrText xml:space="preserve"> REF _Ref104804098 \h  \* MERGEFORMAT </w:instrText>
      </w:r>
      <w:r w:rsidRPr="005472C1">
        <w:rPr>
          <w:rFonts w:cstheme="minorHAnsi"/>
          <w:b/>
          <w:bCs/>
        </w:rPr>
      </w:r>
      <w:r w:rsidRPr="005472C1">
        <w:rPr>
          <w:rFonts w:cstheme="minorHAnsi"/>
          <w:b/>
          <w:bCs/>
        </w:rPr>
        <w:fldChar w:fldCharType="separate"/>
      </w:r>
      <w:r w:rsidR="0001201E" w:rsidRPr="0001201E">
        <w:rPr>
          <w:rStyle w:val="CommentReference"/>
          <w:rFonts w:asciiTheme="minorHAnsi" w:eastAsiaTheme="majorEastAsia" w:hAnsiTheme="minorHAnsi" w:cstheme="minorHAnsi"/>
          <w:b w:val="0"/>
          <w:bCs/>
          <w:sz w:val="24"/>
          <w:szCs w:val="24"/>
        </w:rPr>
        <w:t xml:space="preserve">Table </w:t>
      </w:r>
      <w:r w:rsidR="0001201E" w:rsidRPr="0001201E">
        <w:rPr>
          <w:rStyle w:val="CommentReference"/>
          <w:rFonts w:asciiTheme="minorHAnsi" w:eastAsiaTheme="majorEastAsia" w:hAnsiTheme="minorHAnsi" w:cstheme="minorHAnsi"/>
          <w:b w:val="0"/>
          <w:bCs/>
          <w:noProof/>
          <w:sz w:val="24"/>
          <w:szCs w:val="24"/>
        </w:rPr>
        <w:t>4</w:t>
      </w:r>
      <w:r w:rsidRPr="005472C1">
        <w:rPr>
          <w:rFonts w:cstheme="minorHAnsi"/>
          <w:b/>
          <w:bCs/>
        </w:rPr>
        <w:fldChar w:fldCharType="end"/>
      </w:r>
      <w:r w:rsidRPr="005472C1">
        <w:rPr>
          <w:rFonts w:cstheme="minorHAnsi"/>
        </w:rPr>
        <w:t xml:space="preserve">. </w:t>
      </w:r>
      <w:r w:rsidRPr="00787A0B">
        <w:rPr>
          <w:rFonts w:cstheme="minorHAnsi"/>
        </w:rPr>
        <w:t>The trial had an overall low risk of bias, although there was no attempt made to blind participants to treatment allocation. This has not changed from the previous submission.</w:t>
      </w:r>
    </w:p>
    <w:p w14:paraId="1A60D091" w14:textId="05175407" w:rsidR="007F1017" w:rsidRPr="00D6076E" w:rsidRDefault="00696EF9" w:rsidP="00927EF8">
      <w:pPr>
        <w:pStyle w:val="Caption"/>
        <w:rPr>
          <w:rStyle w:val="CommentReference"/>
          <w:rFonts w:eastAsiaTheme="majorEastAsia" w:cstheme="majorBidi"/>
          <w:b/>
          <w:szCs w:val="24"/>
        </w:rPr>
      </w:pPr>
      <w:bookmarkStart w:id="20"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01201E">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20"/>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707"/>
        <w:gridCol w:w="1134"/>
        <w:gridCol w:w="1134"/>
        <w:gridCol w:w="2554"/>
        <w:gridCol w:w="1134"/>
        <w:gridCol w:w="1365"/>
      </w:tblGrid>
      <w:tr w:rsidR="005472C1" w:rsidRPr="00B41614" w14:paraId="0026FBB6" w14:textId="77777777" w:rsidTr="007C461A">
        <w:trPr>
          <w:cantSplit/>
          <w:tblHeader/>
        </w:trPr>
        <w:tc>
          <w:tcPr>
            <w:tcW w:w="548" w:type="pct"/>
            <w:shd w:val="clear" w:color="auto" w:fill="auto"/>
            <w:vAlign w:val="center"/>
          </w:tcPr>
          <w:p w14:paraId="7C581F69" w14:textId="77777777" w:rsidR="005472C1" w:rsidRPr="00B41614" w:rsidRDefault="005472C1" w:rsidP="00927EF8">
            <w:pPr>
              <w:pStyle w:val="In-tableHeading"/>
            </w:pPr>
            <w:r w:rsidRPr="00B41614">
              <w:t>Trial</w:t>
            </w:r>
          </w:p>
        </w:tc>
        <w:tc>
          <w:tcPr>
            <w:tcW w:w="392" w:type="pct"/>
            <w:shd w:val="clear" w:color="auto" w:fill="auto"/>
            <w:vAlign w:val="center"/>
          </w:tcPr>
          <w:p w14:paraId="5BB9F801" w14:textId="77777777" w:rsidR="005472C1" w:rsidRPr="00B41614" w:rsidRDefault="005472C1" w:rsidP="00927EF8">
            <w:pPr>
              <w:pStyle w:val="In-tableHeading"/>
              <w:jc w:val="center"/>
            </w:pPr>
            <w:r w:rsidRPr="00B41614">
              <w:t>N</w:t>
            </w:r>
          </w:p>
        </w:tc>
        <w:tc>
          <w:tcPr>
            <w:tcW w:w="629" w:type="pct"/>
            <w:shd w:val="clear" w:color="auto" w:fill="auto"/>
            <w:vAlign w:val="center"/>
          </w:tcPr>
          <w:p w14:paraId="086C17C2" w14:textId="77777777" w:rsidR="005472C1" w:rsidRPr="00B41614" w:rsidRDefault="005472C1" w:rsidP="00927EF8">
            <w:pPr>
              <w:pStyle w:val="In-tableHeading"/>
              <w:jc w:val="center"/>
            </w:pPr>
            <w:r w:rsidRPr="00B41614">
              <w:t>Design/ duration</w:t>
            </w:r>
          </w:p>
        </w:tc>
        <w:tc>
          <w:tcPr>
            <w:tcW w:w="629" w:type="pct"/>
            <w:shd w:val="clear" w:color="auto" w:fill="auto"/>
            <w:vAlign w:val="center"/>
          </w:tcPr>
          <w:p w14:paraId="35D81557" w14:textId="77777777" w:rsidR="005472C1" w:rsidRPr="00B41614" w:rsidRDefault="005472C1" w:rsidP="00927EF8">
            <w:pPr>
              <w:pStyle w:val="In-tableHeading"/>
              <w:jc w:val="center"/>
            </w:pPr>
            <w:r w:rsidRPr="00B41614">
              <w:t>Risk of bias</w:t>
            </w:r>
          </w:p>
        </w:tc>
        <w:tc>
          <w:tcPr>
            <w:tcW w:w="1416" w:type="pct"/>
            <w:shd w:val="clear" w:color="auto" w:fill="auto"/>
            <w:vAlign w:val="center"/>
          </w:tcPr>
          <w:p w14:paraId="3DB7765C" w14:textId="77777777" w:rsidR="005472C1" w:rsidRPr="00B41614" w:rsidRDefault="005472C1" w:rsidP="00927EF8">
            <w:pPr>
              <w:pStyle w:val="In-tableHeading"/>
              <w:jc w:val="center"/>
            </w:pPr>
            <w:r w:rsidRPr="00B41614">
              <w:t>Patient population</w:t>
            </w:r>
          </w:p>
        </w:tc>
        <w:tc>
          <w:tcPr>
            <w:tcW w:w="629" w:type="pct"/>
            <w:shd w:val="clear" w:color="auto" w:fill="auto"/>
            <w:vAlign w:val="center"/>
          </w:tcPr>
          <w:p w14:paraId="42447366" w14:textId="77777777" w:rsidR="005472C1" w:rsidRPr="00B41614" w:rsidRDefault="005472C1" w:rsidP="00927EF8">
            <w:pPr>
              <w:pStyle w:val="In-tableHeading"/>
              <w:jc w:val="center"/>
            </w:pPr>
            <w:r>
              <w:t>Outcomes</w:t>
            </w:r>
          </w:p>
        </w:tc>
        <w:tc>
          <w:tcPr>
            <w:tcW w:w="757" w:type="pct"/>
            <w:shd w:val="clear" w:color="auto" w:fill="auto"/>
            <w:vAlign w:val="center"/>
          </w:tcPr>
          <w:p w14:paraId="570BF0F0" w14:textId="77777777" w:rsidR="005472C1" w:rsidRPr="00B41614" w:rsidRDefault="005472C1" w:rsidP="00927EF8">
            <w:pPr>
              <w:pStyle w:val="In-tableHeading"/>
              <w:jc w:val="center"/>
            </w:pPr>
            <w:r w:rsidRPr="00B41614">
              <w:t>Use in modelled evaluation</w:t>
            </w:r>
          </w:p>
        </w:tc>
      </w:tr>
      <w:tr w:rsidR="005472C1" w:rsidRPr="00E2771E" w14:paraId="11E82823" w14:textId="77777777" w:rsidTr="007C461A">
        <w:trPr>
          <w:cantSplit/>
        </w:trPr>
        <w:tc>
          <w:tcPr>
            <w:tcW w:w="5000" w:type="pct"/>
            <w:gridSpan w:val="7"/>
            <w:shd w:val="clear" w:color="auto" w:fill="auto"/>
            <w:vAlign w:val="center"/>
          </w:tcPr>
          <w:p w14:paraId="72932465" w14:textId="77777777" w:rsidR="005472C1" w:rsidRPr="00EC5836" w:rsidRDefault="005472C1" w:rsidP="00927EF8">
            <w:pPr>
              <w:pStyle w:val="In-tableHeading"/>
            </w:pPr>
            <w:r>
              <w:t>Abemaciclib in combination with endocrine therapy versus endocrine therapy</w:t>
            </w:r>
          </w:p>
        </w:tc>
      </w:tr>
      <w:tr w:rsidR="003D3C55" w:rsidRPr="00787A0B" w14:paraId="264B0AE8" w14:textId="77777777" w:rsidTr="003D3C55">
        <w:trPr>
          <w:cantSplit/>
        </w:trPr>
        <w:tc>
          <w:tcPr>
            <w:tcW w:w="548" w:type="pct"/>
            <w:vMerge w:val="restart"/>
            <w:shd w:val="clear" w:color="auto" w:fill="95B3D7" w:themeFill="accent1" w:themeFillTint="99"/>
            <w:vAlign w:val="center"/>
          </w:tcPr>
          <w:p w14:paraId="125888BB" w14:textId="77777777" w:rsidR="003D3C55" w:rsidRPr="00787A0B" w:rsidRDefault="003D3C55" w:rsidP="00927EF8">
            <w:pPr>
              <w:pStyle w:val="TableText0"/>
              <w:rPr>
                <w:lang w:val="en-US"/>
              </w:rPr>
            </w:pPr>
            <w:r w:rsidRPr="00787A0B">
              <w:rPr>
                <w:lang w:val="en-US"/>
              </w:rPr>
              <w:t>monarchE</w:t>
            </w:r>
          </w:p>
        </w:tc>
        <w:tc>
          <w:tcPr>
            <w:tcW w:w="392" w:type="pct"/>
            <w:shd w:val="clear" w:color="auto" w:fill="95B3D7" w:themeFill="accent1" w:themeFillTint="99"/>
            <w:vAlign w:val="center"/>
          </w:tcPr>
          <w:p w14:paraId="69822262" w14:textId="26B6A5D1" w:rsidR="003D3C55" w:rsidRPr="00787A0B" w:rsidRDefault="003D3C55" w:rsidP="00927EF8">
            <w:pPr>
              <w:pStyle w:val="TableText0"/>
              <w:jc w:val="center"/>
              <w:rPr>
                <w:lang w:val="en-US"/>
              </w:rPr>
            </w:pPr>
            <w:r w:rsidRPr="00787A0B">
              <w:rPr>
                <w:lang w:val="en-US"/>
              </w:rPr>
              <w:t>ITT: 5637</w:t>
            </w:r>
          </w:p>
        </w:tc>
        <w:tc>
          <w:tcPr>
            <w:tcW w:w="629" w:type="pct"/>
            <w:vMerge w:val="restart"/>
            <w:shd w:val="clear" w:color="auto" w:fill="auto"/>
            <w:vAlign w:val="center"/>
          </w:tcPr>
          <w:p w14:paraId="406DE923" w14:textId="77777777" w:rsidR="003D3C55" w:rsidRPr="00787A0B" w:rsidRDefault="003D3C55" w:rsidP="00927EF8">
            <w:pPr>
              <w:pStyle w:val="TableText0"/>
              <w:shd w:val="clear" w:color="auto" w:fill="95B3D7" w:themeFill="accent1" w:themeFillTint="99"/>
              <w:jc w:val="center"/>
              <w:rPr>
                <w:lang w:val="en-US"/>
              </w:rPr>
            </w:pPr>
            <w:r w:rsidRPr="00787A0B">
              <w:rPr>
                <w:lang w:val="en-US"/>
              </w:rPr>
              <w:t>R, OL</w:t>
            </w:r>
          </w:p>
          <w:p w14:paraId="5395ADE5" w14:textId="6DD15F5D" w:rsidR="003D3C55" w:rsidRPr="00787A0B" w:rsidRDefault="003D3C55" w:rsidP="00927EF8">
            <w:pPr>
              <w:pStyle w:val="TableText0"/>
              <w:jc w:val="center"/>
              <w:rPr>
                <w:lang w:val="en-US"/>
              </w:rPr>
            </w:pPr>
            <w:r w:rsidRPr="00787A0B">
              <w:rPr>
                <w:lang w:val="en-US"/>
              </w:rPr>
              <w:t>42 mths</w:t>
            </w:r>
          </w:p>
        </w:tc>
        <w:tc>
          <w:tcPr>
            <w:tcW w:w="629" w:type="pct"/>
            <w:vMerge w:val="restart"/>
            <w:shd w:val="clear" w:color="auto" w:fill="95B3D7" w:themeFill="accent1" w:themeFillTint="99"/>
            <w:vAlign w:val="center"/>
          </w:tcPr>
          <w:p w14:paraId="303CFD4A" w14:textId="77777777" w:rsidR="003D3C55" w:rsidRPr="00787A0B" w:rsidRDefault="003D3C55" w:rsidP="00927EF8">
            <w:pPr>
              <w:pStyle w:val="TableText0"/>
              <w:jc w:val="center"/>
              <w:rPr>
                <w:lang w:val="en-US"/>
              </w:rPr>
            </w:pPr>
            <w:r w:rsidRPr="00787A0B">
              <w:rPr>
                <w:lang w:val="en-US"/>
              </w:rPr>
              <w:t>Low</w:t>
            </w:r>
          </w:p>
        </w:tc>
        <w:tc>
          <w:tcPr>
            <w:tcW w:w="1416" w:type="pct"/>
            <w:shd w:val="clear" w:color="auto" w:fill="95B3D7" w:themeFill="accent1" w:themeFillTint="99"/>
            <w:vAlign w:val="center"/>
          </w:tcPr>
          <w:p w14:paraId="2ECDC438" w14:textId="77777777" w:rsidR="003D3C55" w:rsidRPr="00787A0B" w:rsidRDefault="003D3C55" w:rsidP="00927EF8">
            <w:pPr>
              <w:pStyle w:val="TableText0"/>
              <w:jc w:val="center"/>
              <w:rPr>
                <w:lang w:val="en-US"/>
              </w:rPr>
            </w:pPr>
            <w:r w:rsidRPr="00787A0B">
              <w:rPr>
                <w:lang w:val="en-US"/>
              </w:rPr>
              <w:t>HR+, HER2- resected EBC, ALN+ with high risk of recurrence</w:t>
            </w:r>
          </w:p>
          <w:p w14:paraId="26ED64FF" w14:textId="34E4AA46" w:rsidR="003D3C55" w:rsidRPr="00787A0B" w:rsidRDefault="003D3C55" w:rsidP="00927EF8">
            <w:pPr>
              <w:pStyle w:val="TableText0"/>
              <w:jc w:val="center"/>
              <w:rPr>
                <w:lang w:val="en-US"/>
              </w:rPr>
            </w:pPr>
            <w:r w:rsidRPr="00787A0B">
              <w:rPr>
                <w:b/>
                <w:lang w:val="en-US"/>
              </w:rPr>
              <w:t>ITT</w:t>
            </w:r>
            <w:r w:rsidRPr="00787A0B">
              <w:rPr>
                <w:lang w:val="en-US"/>
              </w:rPr>
              <w:t>: both cohort 1 and cohort 2</w:t>
            </w:r>
          </w:p>
        </w:tc>
        <w:tc>
          <w:tcPr>
            <w:tcW w:w="629" w:type="pct"/>
            <w:shd w:val="clear" w:color="auto" w:fill="95B3D7" w:themeFill="accent1" w:themeFillTint="99"/>
            <w:vAlign w:val="center"/>
          </w:tcPr>
          <w:p w14:paraId="7C485D81" w14:textId="2D7B44D3" w:rsidR="003D3C55" w:rsidRPr="00787A0B" w:rsidRDefault="003D3C55" w:rsidP="00927EF8">
            <w:pPr>
              <w:pStyle w:val="TableText0"/>
              <w:jc w:val="center"/>
              <w:rPr>
                <w:lang w:val="en-US"/>
              </w:rPr>
            </w:pPr>
            <w:r w:rsidRPr="00787A0B">
              <w:rPr>
                <w:lang w:val="en-US"/>
              </w:rPr>
              <w:t>IDFS, DRFS, OS, HR-QoL and safety</w:t>
            </w:r>
          </w:p>
        </w:tc>
        <w:tc>
          <w:tcPr>
            <w:tcW w:w="757" w:type="pct"/>
            <w:shd w:val="clear" w:color="auto" w:fill="95B3D7" w:themeFill="accent1" w:themeFillTint="99"/>
            <w:vAlign w:val="center"/>
          </w:tcPr>
          <w:p w14:paraId="7F381A04" w14:textId="0A2C5909" w:rsidR="003D3C55" w:rsidRPr="00787A0B" w:rsidRDefault="003D3C55" w:rsidP="00927EF8">
            <w:pPr>
              <w:pStyle w:val="TableText0"/>
              <w:jc w:val="center"/>
              <w:rPr>
                <w:lang w:val="en-US"/>
              </w:rPr>
            </w:pPr>
            <w:r w:rsidRPr="00787A0B">
              <w:rPr>
                <w:lang w:val="en-US"/>
              </w:rPr>
              <w:t>Not used</w:t>
            </w:r>
          </w:p>
        </w:tc>
      </w:tr>
      <w:tr w:rsidR="003D3C55" w:rsidRPr="00787A0B" w14:paraId="1BD6B39A" w14:textId="77777777" w:rsidTr="003D3C55">
        <w:trPr>
          <w:cantSplit/>
        </w:trPr>
        <w:tc>
          <w:tcPr>
            <w:tcW w:w="548" w:type="pct"/>
            <w:vMerge/>
            <w:shd w:val="clear" w:color="auto" w:fill="95B3D7" w:themeFill="accent1" w:themeFillTint="99"/>
            <w:vAlign w:val="center"/>
          </w:tcPr>
          <w:p w14:paraId="27EE3F13" w14:textId="77777777" w:rsidR="003D3C55" w:rsidRPr="00787A0B" w:rsidRDefault="003D3C55" w:rsidP="00927EF8">
            <w:pPr>
              <w:pStyle w:val="TableText0"/>
              <w:rPr>
                <w:lang w:val="en-US"/>
              </w:rPr>
            </w:pPr>
          </w:p>
        </w:tc>
        <w:tc>
          <w:tcPr>
            <w:tcW w:w="392" w:type="pct"/>
            <w:shd w:val="clear" w:color="auto" w:fill="95B3D7" w:themeFill="accent1" w:themeFillTint="99"/>
            <w:vAlign w:val="center"/>
          </w:tcPr>
          <w:p w14:paraId="79F678BE" w14:textId="685C3F23" w:rsidR="003D3C55" w:rsidRPr="00787A0B" w:rsidRDefault="003D3C55" w:rsidP="00927EF8">
            <w:pPr>
              <w:pStyle w:val="TableText0"/>
              <w:jc w:val="center"/>
              <w:rPr>
                <w:lang w:val="en-US"/>
              </w:rPr>
            </w:pPr>
            <w:r w:rsidRPr="00787A0B">
              <w:rPr>
                <w:lang w:val="en-US"/>
              </w:rPr>
              <w:t>Cohort 1:5120</w:t>
            </w:r>
          </w:p>
        </w:tc>
        <w:tc>
          <w:tcPr>
            <w:tcW w:w="629" w:type="pct"/>
            <w:vMerge/>
            <w:shd w:val="clear" w:color="auto" w:fill="auto"/>
            <w:vAlign w:val="center"/>
          </w:tcPr>
          <w:p w14:paraId="7F82FDBE" w14:textId="77777777" w:rsidR="003D3C55" w:rsidRPr="00787A0B" w:rsidRDefault="003D3C55" w:rsidP="00927EF8">
            <w:pPr>
              <w:pStyle w:val="TableText0"/>
              <w:jc w:val="center"/>
              <w:rPr>
                <w:lang w:val="en-US"/>
              </w:rPr>
            </w:pPr>
          </w:p>
        </w:tc>
        <w:tc>
          <w:tcPr>
            <w:tcW w:w="629" w:type="pct"/>
            <w:vMerge/>
            <w:shd w:val="clear" w:color="auto" w:fill="95B3D7" w:themeFill="accent1" w:themeFillTint="99"/>
            <w:vAlign w:val="center"/>
          </w:tcPr>
          <w:p w14:paraId="5F4D5171" w14:textId="77777777" w:rsidR="003D3C55" w:rsidRPr="00787A0B" w:rsidRDefault="003D3C55" w:rsidP="00927EF8">
            <w:pPr>
              <w:pStyle w:val="TableText0"/>
              <w:jc w:val="center"/>
              <w:rPr>
                <w:lang w:val="en-US"/>
              </w:rPr>
            </w:pPr>
          </w:p>
        </w:tc>
        <w:tc>
          <w:tcPr>
            <w:tcW w:w="1416" w:type="pct"/>
            <w:shd w:val="clear" w:color="auto" w:fill="95B3D7" w:themeFill="accent1" w:themeFillTint="99"/>
            <w:vAlign w:val="center"/>
          </w:tcPr>
          <w:p w14:paraId="343A39CA" w14:textId="762077A4" w:rsidR="003D3C55" w:rsidRPr="00787A0B" w:rsidRDefault="003D3C55" w:rsidP="00927EF8">
            <w:pPr>
              <w:pStyle w:val="TableText0"/>
              <w:jc w:val="center"/>
              <w:rPr>
                <w:lang w:val="en-US"/>
              </w:rPr>
            </w:pPr>
            <w:r w:rsidRPr="00787A0B">
              <w:rPr>
                <w:b/>
                <w:lang w:val="en-US"/>
              </w:rPr>
              <w:t>Cohort 1</w:t>
            </w:r>
            <w:r w:rsidRPr="00787A0B">
              <w:rPr>
                <w:lang w:val="en-US"/>
              </w:rPr>
              <w:t>: high risk of recurrence: ≥</w:t>
            </w:r>
            <w:r>
              <w:rPr>
                <w:lang w:val="en-US"/>
              </w:rPr>
              <w:t xml:space="preserve"> </w:t>
            </w:r>
            <w:r w:rsidRPr="00787A0B">
              <w:rPr>
                <w:lang w:val="en-US"/>
              </w:rPr>
              <w:t>4 ALNs; or 1-3 ALNs and tumour ≥</w:t>
            </w:r>
            <w:r>
              <w:rPr>
                <w:lang w:val="en-US"/>
              </w:rPr>
              <w:t xml:space="preserve"> </w:t>
            </w:r>
            <w:r w:rsidRPr="00787A0B">
              <w:rPr>
                <w:lang w:val="en-US"/>
              </w:rPr>
              <w:t>5cm or grade 3 disease</w:t>
            </w:r>
          </w:p>
        </w:tc>
        <w:tc>
          <w:tcPr>
            <w:tcW w:w="629" w:type="pct"/>
            <w:shd w:val="clear" w:color="auto" w:fill="95B3D7" w:themeFill="accent1" w:themeFillTint="99"/>
            <w:vAlign w:val="center"/>
          </w:tcPr>
          <w:p w14:paraId="38C7B6C7" w14:textId="77777777" w:rsidR="003D3C55" w:rsidRPr="00787A0B" w:rsidRDefault="003D3C55" w:rsidP="00927EF8">
            <w:pPr>
              <w:pStyle w:val="TableText0"/>
              <w:jc w:val="center"/>
              <w:rPr>
                <w:lang w:val="en-US"/>
              </w:rPr>
            </w:pPr>
            <w:r w:rsidRPr="00787A0B">
              <w:rPr>
                <w:lang w:val="en-US"/>
              </w:rPr>
              <w:t>IDFS, DRFS, OS</w:t>
            </w:r>
          </w:p>
        </w:tc>
        <w:tc>
          <w:tcPr>
            <w:tcW w:w="757" w:type="pct"/>
            <w:shd w:val="clear" w:color="auto" w:fill="95B3D7" w:themeFill="accent1" w:themeFillTint="99"/>
            <w:vAlign w:val="center"/>
          </w:tcPr>
          <w:p w14:paraId="60BBB334" w14:textId="707D0DA5" w:rsidR="003D3C55" w:rsidRPr="00787A0B" w:rsidRDefault="003D3C55" w:rsidP="00927EF8">
            <w:pPr>
              <w:pStyle w:val="TableText0"/>
              <w:jc w:val="center"/>
              <w:rPr>
                <w:vertAlign w:val="superscript"/>
                <w:lang w:val="en-US"/>
              </w:rPr>
            </w:pPr>
            <w:r w:rsidRPr="00787A0B">
              <w:rPr>
                <w:lang w:val="en-US"/>
              </w:rPr>
              <w:t>IDFS</w:t>
            </w:r>
            <w:r w:rsidRPr="00787A0B">
              <w:rPr>
                <w:vertAlign w:val="superscript"/>
                <w:lang w:val="en-US"/>
              </w:rPr>
              <w:t>a</w:t>
            </w:r>
            <w:r w:rsidRPr="00787A0B">
              <w:rPr>
                <w:lang w:val="en-US"/>
              </w:rPr>
              <w:t>,DRFS</w:t>
            </w:r>
            <w:r w:rsidRPr="00787A0B">
              <w:rPr>
                <w:vertAlign w:val="superscript"/>
                <w:lang w:val="en-US"/>
              </w:rPr>
              <w:t>a</w:t>
            </w:r>
            <w:r w:rsidRPr="00787A0B">
              <w:rPr>
                <w:lang w:val="en-US"/>
              </w:rPr>
              <w:t xml:space="preserve">, and </w:t>
            </w:r>
            <w:r w:rsidRPr="00787A0B">
              <w:rPr>
                <w:shd w:val="clear" w:color="auto" w:fill="FFFFFF" w:themeFill="background1"/>
                <w:lang w:val="en-US"/>
              </w:rPr>
              <w:t>OS without distant recurrence used</w:t>
            </w:r>
            <w:r w:rsidRPr="00787A0B">
              <w:rPr>
                <w:shd w:val="clear" w:color="auto" w:fill="FFFFFF" w:themeFill="background1"/>
                <w:vertAlign w:val="superscript"/>
                <w:lang w:val="en-US"/>
              </w:rPr>
              <w:t>ab</w:t>
            </w:r>
          </w:p>
        </w:tc>
      </w:tr>
      <w:tr w:rsidR="003D3C55" w:rsidRPr="00787A0B" w14:paraId="680FCDCD" w14:textId="77777777" w:rsidTr="003D3C55">
        <w:trPr>
          <w:cantSplit/>
        </w:trPr>
        <w:tc>
          <w:tcPr>
            <w:tcW w:w="548" w:type="pct"/>
            <w:vMerge/>
            <w:shd w:val="clear" w:color="auto" w:fill="95B3D7" w:themeFill="accent1" w:themeFillTint="99"/>
            <w:vAlign w:val="center"/>
          </w:tcPr>
          <w:p w14:paraId="16B4C907" w14:textId="77777777" w:rsidR="003D3C55" w:rsidRPr="00787A0B" w:rsidRDefault="003D3C55" w:rsidP="00927EF8">
            <w:pPr>
              <w:pStyle w:val="TableText0"/>
              <w:rPr>
                <w:lang w:val="en-US"/>
              </w:rPr>
            </w:pPr>
          </w:p>
        </w:tc>
        <w:tc>
          <w:tcPr>
            <w:tcW w:w="392" w:type="pct"/>
            <w:shd w:val="clear" w:color="auto" w:fill="95B3D7" w:themeFill="accent1" w:themeFillTint="99"/>
            <w:vAlign w:val="center"/>
          </w:tcPr>
          <w:p w14:paraId="3090E038" w14:textId="56675475" w:rsidR="003D3C55" w:rsidRPr="00787A0B" w:rsidRDefault="003D3C55" w:rsidP="00927EF8">
            <w:pPr>
              <w:pStyle w:val="TableText0"/>
              <w:jc w:val="center"/>
              <w:rPr>
                <w:lang w:val="en-US"/>
              </w:rPr>
            </w:pPr>
            <w:r w:rsidRPr="00787A0B">
              <w:rPr>
                <w:lang w:val="en-US"/>
              </w:rPr>
              <w:t>Cohort 2: 517</w:t>
            </w:r>
          </w:p>
        </w:tc>
        <w:tc>
          <w:tcPr>
            <w:tcW w:w="629" w:type="pct"/>
            <w:vMerge/>
            <w:shd w:val="clear" w:color="auto" w:fill="auto"/>
            <w:vAlign w:val="center"/>
          </w:tcPr>
          <w:p w14:paraId="40F6938B" w14:textId="77777777" w:rsidR="003D3C55" w:rsidRPr="00787A0B" w:rsidRDefault="003D3C55" w:rsidP="00927EF8">
            <w:pPr>
              <w:pStyle w:val="TableText0"/>
              <w:jc w:val="center"/>
              <w:rPr>
                <w:lang w:val="en-US"/>
              </w:rPr>
            </w:pPr>
          </w:p>
        </w:tc>
        <w:tc>
          <w:tcPr>
            <w:tcW w:w="629" w:type="pct"/>
            <w:vMerge/>
            <w:shd w:val="clear" w:color="auto" w:fill="95B3D7" w:themeFill="accent1" w:themeFillTint="99"/>
            <w:vAlign w:val="center"/>
          </w:tcPr>
          <w:p w14:paraId="4E87151C" w14:textId="77777777" w:rsidR="003D3C55" w:rsidRPr="00787A0B" w:rsidRDefault="003D3C55" w:rsidP="00927EF8">
            <w:pPr>
              <w:pStyle w:val="TableText0"/>
              <w:jc w:val="center"/>
              <w:rPr>
                <w:lang w:val="en-US"/>
              </w:rPr>
            </w:pPr>
          </w:p>
        </w:tc>
        <w:tc>
          <w:tcPr>
            <w:tcW w:w="1416" w:type="pct"/>
            <w:shd w:val="clear" w:color="auto" w:fill="95B3D7" w:themeFill="accent1" w:themeFillTint="99"/>
            <w:vAlign w:val="center"/>
          </w:tcPr>
          <w:p w14:paraId="2F41B64E" w14:textId="08B98ECB" w:rsidR="003D3C55" w:rsidRPr="00787A0B" w:rsidRDefault="003D3C55" w:rsidP="00927EF8">
            <w:pPr>
              <w:pStyle w:val="TableText0"/>
              <w:jc w:val="center"/>
              <w:rPr>
                <w:lang w:val="en-US"/>
              </w:rPr>
            </w:pPr>
            <w:r w:rsidRPr="00787A0B">
              <w:rPr>
                <w:b/>
                <w:lang w:val="en-US"/>
              </w:rPr>
              <w:t>Cohort 2</w:t>
            </w:r>
            <w:r w:rsidRPr="00787A0B">
              <w:rPr>
                <w:lang w:val="en-US"/>
              </w:rPr>
              <w:t>: 1-3 ALNs and high Ki-67 index (≥</w:t>
            </w:r>
            <w:r>
              <w:rPr>
                <w:lang w:val="en-US"/>
              </w:rPr>
              <w:t xml:space="preserve"> </w:t>
            </w:r>
            <w:r w:rsidRPr="00787A0B">
              <w:rPr>
                <w:lang w:val="en-US"/>
              </w:rPr>
              <w:t>20%), not meeting eligibility for cohort 1 due to tumour &lt;</w:t>
            </w:r>
            <w:r>
              <w:rPr>
                <w:lang w:val="en-US"/>
              </w:rPr>
              <w:t xml:space="preserve"> </w:t>
            </w:r>
            <w:r w:rsidRPr="00787A0B">
              <w:rPr>
                <w:lang w:val="en-US"/>
              </w:rPr>
              <w:t>5cm and grade &lt;</w:t>
            </w:r>
            <w:r>
              <w:rPr>
                <w:lang w:val="en-US"/>
              </w:rPr>
              <w:t xml:space="preserve"> </w:t>
            </w:r>
            <w:r w:rsidRPr="00787A0B">
              <w:rPr>
                <w:lang w:val="en-US"/>
              </w:rPr>
              <w:t>3 disease</w:t>
            </w:r>
          </w:p>
        </w:tc>
        <w:tc>
          <w:tcPr>
            <w:tcW w:w="629" w:type="pct"/>
            <w:shd w:val="clear" w:color="auto" w:fill="95B3D7" w:themeFill="accent1" w:themeFillTint="99"/>
            <w:vAlign w:val="center"/>
          </w:tcPr>
          <w:p w14:paraId="06FB8DBB" w14:textId="77777777" w:rsidR="003D3C55" w:rsidRPr="00787A0B" w:rsidRDefault="003D3C55" w:rsidP="00927EF8">
            <w:pPr>
              <w:pStyle w:val="TableText0"/>
              <w:jc w:val="center"/>
              <w:rPr>
                <w:lang w:val="en-US"/>
              </w:rPr>
            </w:pPr>
            <w:r w:rsidRPr="00787A0B">
              <w:rPr>
                <w:lang w:val="en-US"/>
              </w:rPr>
              <w:t>IDFS, DRFS, OS</w:t>
            </w:r>
          </w:p>
        </w:tc>
        <w:tc>
          <w:tcPr>
            <w:tcW w:w="757" w:type="pct"/>
            <w:shd w:val="clear" w:color="auto" w:fill="95B3D7" w:themeFill="accent1" w:themeFillTint="99"/>
            <w:vAlign w:val="center"/>
          </w:tcPr>
          <w:p w14:paraId="7B78E5AB" w14:textId="77777777" w:rsidR="003D3C55" w:rsidRPr="00787A0B" w:rsidRDefault="003D3C55" w:rsidP="00927EF8">
            <w:pPr>
              <w:pStyle w:val="TableText0"/>
              <w:jc w:val="center"/>
              <w:rPr>
                <w:lang w:val="en-US"/>
              </w:rPr>
            </w:pPr>
            <w:r w:rsidRPr="00787A0B">
              <w:rPr>
                <w:lang w:val="en-US"/>
              </w:rPr>
              <w:t>Not used</w:t>
            </w:r>
          </w:p>
        </w:tc>
      </w:tr>
    </w:tbl>
    <w:p w14:paraId="1CC2F4A4" w14:textId="56436A05" w:rsidR="00045017" w:rsidRDefault="00045017" w:rsidP="00927EF8">
      <w:pPr>
        <w:pStyle w:val="FooterTableFigure"/>
        <w:keepNext/>
        <w:spacing w:after="0"/>
      </w:pPr>
      <w:r>
        <w:t>Source: Figure</w:t>
      </w:r>
      <w:r w:rsidR="002A5FCB">
        <w:t xml:space="preserve"> 2-3</w:t>
      </w:r>
      <w:r>
        <w:t>, p</w:t>
      </w:r>
      <w:r w:rsidR="002A5FCB">
        <w:t>64, table 2-6, p64,</w:t>
      </w:r>
      <w:r w:rsidR="0082159C">
        <w:t xml:space="preserve"> table 2-7, p65</w:t>
      </w:r>
      <w:r w:rsidR="002A5FCB">
        <w:t xml:space="preserve"> and </w:t>
      </w:r>
      <w:r w:rsidR="0082159C">
        <w:t>table 2-22, p83</w:t>
      </w:r>
      <w:r>
        <w:t xml:space="preserve"> </w:t>
      </w:r>
      <w:r w:rsidRPr="00D13A3E">
        <w:t xml:space="preserve">of the </w:t>
      </w:r>
      <w:r w:rsidR="006079C4">
        <w:t>re</w:t>
      </w:r>
      <w:r>
        <w:t>submission.</w:t>
      </w:r>
    </w:p>
    <w:p w14:paraId="4C132263" w14:textId="476936B9" w:rsidR="0082159C" w:rsidRDefault="0082159C" w:rsidP="00927EF8">
      <w:pPr>
        <w:pStyle w:val="TableFigureFooter"/>
        <w:keepNext/>
        <w:spacing w:after="0"/>
      </w:pPr>
      <w:bookmarkStart w:id="21" w:name="_Toc22897641"/>
      <w:r>
        <w:t>ALN = axillary lymph node; DRFS = distant relapse free survival; EBC = early breast cancer;</w:t>
      </w:r>
      <w:r w:rsidRPr="0072416F">
        <w:t xml:space="preserve"> </w:t>
      </w:r>
      <w:r>
        <w:t xml:space="preserve">HER2- = </w:t>
      </w:r>
      <w:r w:rsidRPr="005668CA">
        <w:t>human epidermal growth factor receptor 2 negative</w:t>
      </w:r>
      <w:r>
        <w:t>;</w:t>
      </w:r>
      <w:r w:rsidRPr="00A45257">
        <w:t xml:space="preserve"> </w:t>
      </w:r>
      <w:r w:rsidRPr="005668CA">
        <w:t>HR+</w:t>
      </w:r>
      <w:r>
        <w:t xml:space="preserve"> </w:t>
      </w:r>
      <w:r w:rsidRPr="005668CA">
        <w:t>=</w:t>
      </w:r>
      <w:r>
        <w:t xml:space="preserve"> </w:t>
      </w:r>
      <w:r w:rsidRPr="005668CA">
        <w:t>hormone receptor positive</w:t>
      </w:r>
      <w:r>
        <w:t>; HR-QoL = health-related quality of life; ID</w:t>
      </w:r>
      <w:r w:rsidRPr="0072416F">
        <w:t>FS</w:t>
      </w:r>
      <w:r>
        <w:t xml:space="preserve"> </w:t>
      </w:r>
      <w:r w:rsidRPr="0072416F">
        <w:t>=</w:t>
      </w:r>
      <w:r>
        <w:t xml:space="preserve"> invasive disease-free survival;</w:t>
      </w:r>
      <w:r w:rsidRPr="0072416F">
        <w:t xml:space="preserve"> </w:t>
      </w:r>
      <w:r w:rsidR="00BC4004">
        <w:t>mth</w:t>
      </w:r>
      <w:r w:rsidR="00221765">
        <w:t>s</w:t>
      </w:r>
      <w:r w:rsidR="00BC4004">
        <w:t xml:space="preserve">, months; </w:t>
      </w:r>
      <w:r w:rsidRPr="0072416F">
        <w:t>OL</w:t>
      </w:r>
      <w:r>
        <w:t xml:space="preserve"> </w:t>
      </w:r>
      <w:r w:rsidRPr="0072416F">
        <w:t>=</w:t>
      </w:r>
      <w:r>
        <w:t xml:space="preserve"> </w:t>
      </w:r>
      <w:r w:rsidRPr="0072416F">
        <w:t>open label; OS</w:t>
      </w:r>
      <w:r>
        <w:t xml:space="preserve"> </w:t>
      </w:r>
      <w:r w:rsidRPr="0072416F">
        <w:t>=</w:t>
      </w:r>
      <w:r>
        <w:t xml:space="preserve"> </w:t>
      </w:r>
      <w:r w:rsidRPr="0072416F">
        <w:t>overall survival; R</w:t>
      </w:r>
      <w:r>
        <w:t xml:space="preserve"> </w:t>
      </w:r>
      <w:r w:rsidRPr="0072416F">
        <w:t>=</w:t>
      </w:r>
      <w:r>
        <w:t xml:space="preserve"> </w:t>
      </w:r>
      <w:r w:rsidRPr="0072416F">
        <w:t>randomised.</w:t>
      </w:r>
    </w:p>
    <w:p w14:paraId="30EFB1CC" w14:textId="1166A357" w:rsidR="005E7072" w:rsidRDefault="005E7072" w:rsidP="00927EF8">
      <w:pPr>
        <w:pStyle w:val="TableFigureFooter"/>
        <w:keepNext/>
        <w:spacing w:after="0"/>
      </w:pPr>
      <w:r w:rsidRPr="003A735E">
        <w:rPr>
          <w:vertAlign w:val="superscript"/>
        </w:rPr>
        <w:t>a</w:t>
      </w:r>
      <w:r w:rsidRPr="00BC4004">
        <w:t xml:space="preserve"> The economic model used the trial data on IDFS</w:t>
      </w:r>
      <w:r w:rsidR="001C3D24">
        <w:t>,</w:t>
      </w:r>
      <w:r w:rsidRPr="00BC4004">
        <w:t xml:space="preserve"> DRFS</w:t>
      </w:r>
      <w:r w:rsidR="001C3D24">
        <w:t>, and OS without distant recurrence</w:t>
      </w:r>
      <w:r w:rsidRPr="00BC4004">
        <w:t xml:space="preserve"> at an earlier data cutoff (median follow-up: 27 months), </w:t>
      </w:r>
      <w:r w:rsidR="00A4313D" w:rsidRPr="00BC4004">
        <w:t>instead of</w:t>
      </w:r>
      <w:r w:rsidRPr="00BC4004">
        <w:t xml:space="preserve"> the most recent data cutoff (median follow-up: 42 month).</w:t>
      </w:r>
    </w:p>
    <w:p w14:paraId="1464742C" w14:textId="77777777" w:rsidR="00F91639" w:rsidRDefault="00C57CCF" w:rsidP="00927EF8">
      <w:pPr>
        <w:pStyle w:val="TableFigureFooter"/>
        <w:keepNext/>
        <w:spacing w:after="0"/>
      </w:pPr>
      <w:r w:rsidRPr="00221765">
        <w:rPr>
          <w:vertAlign w:val="superscript"/>
        </w:rPr>
        <w:t>b</w:t>
      </w:r>
      <w:r w:rsidRPr="00C57CCF">
        <w:t xml:space="preserve"> OS without distant recurrence was not a pre-specified outcome.</w:t>
      </w:r>
    </w:p>
    <w:p w14:paraId="6EBAF981" w14:textId="16DC16D4" w:rsidR="00D44313" w:rsidRPr="00F91639" w:rsidRDefault="00D44313" w:rsidP="00F91639">
      <w:pPr>
        <w:pStyle w:val="TableFigureFooter"/>
        <w:spacing w:after="0"/>
      </w:pPr>
      <w:r w:rsidRPr="00A669BD">
        <w:rPr>
          <w:iCs/>
          <w:shd w:val="clear" w:color="auto" w:fill="8DB3E2" w:themeFill="text2" w:themeFillTint="66"/>
        </w:rPr>
        <w:t>Blue shading</w:t>
      </w:r>
      <w:r w:rsidRPr="00A669BD">
        <w:rPr>
          <w:iCs/>
        </w:rPr>
        <w:t xml:space="preserve"> indicates data previously seen by the PBAC.</w:t>
      </w:r>
    </w:p>
    <w:p w14:paraId="44448202" w14:textId="77777777" w:rsidR="00B60939" w:rsidRPr="00C9624D" w:rsidRDefault="00B60939" w:rsidP="00EC5836">
      <w:pPr>
        <w:pStyle w:val="4-SubsectionHeading"/>
      </w:pPr>
      <w:bookmarkStart w:id="22" w:name="_Toc124940304"/>
      <w:r w:rsidRPr="00C9624D">
        <w:t>Comparative effectiveness</w:t>
      </w:r>
      <w:bookmarkEnd w:id="21"/>
      <w:bookmarkEnd w:id="22"/>
    </w:p>
    <w:p w14:paraId="3406B009" w14:textId="7A44B52A" w:rsidR="00AF0097" w:rsidRPr="00116F2F" w:rsidRDefault="00AF0097" w:rsidP="00AF0097">
      <w:pPr>
        <w:pStyle w:val="3-BodyText"/>
      </w:pPr>
      <w:r w:rsidRPr="00116F2F">
        <w:t>In the previous submission,</w:t>
      </w:r>
      <w:r w:rsidR="00105B81" w:rsidRPr="00116F2F">
        <w:t xml:space="preserve"> abemaciclib</w:t>
      </w:r>
      <w:r w:rsidRPr="00116F2F">
        <w:t xml:space="preserve"> + ET resulted in a 30% reduction in hazard of </w:t>
      </w:r>
      <w:r w:rsidR="00EC5986" w:rsidRPr="00116F2F">
        <w:t>invasive disease-free sur</w:t>
      </w:r>
      <w:r w:rsidR="00266C2E" w:rsidRPr="00116F2F">
        <w:t>vival (</w:t>
      </w:r>
      <w:r w:rsidRPr="00116F2F">
        <w:t>IDFS</w:t>
      </w:r>
      <w:r w:rsidR="00266C2E" w:rsidRPr="00116F2F">
        <w:t>)</w:t>
      </w:r>
      <w:r w:rsidRPr="00116F2F">
        <w:t xml:space="preserve"> compared to ET alone in the</w:t>
      </w:r>
      <w:r w:rsidR="00EC5986" w:rsidRPr="00116F2F">
        <w:t xml:space="preserve"> intention-to-treat</w:t>
      </w:r>
      <w:r w:rsidRPr="00116F2F">
        <w:t xml:space="preserve"> </w:t>
      </w:r>
      <w:r w:rsidR="00EC5986" w:rsidRPr="00116F2F">
        <w:t>(</w:t>
      </w:r>
      <w:r w:rsidRPr="00116F2F">
        <w:t>ITT</w:t>
      </w:r>
      <w:r w:rsidR="00EC5986" w:rsidRPr="00116F2F">
        <w:t>)</w:t>
      </w:r>
      <w:r w:rsidRPr="00116F2F">
        <w:t xml:space="preserve"> population at a median follow up of 27 months. The absolute difference in IDFS rates was 2.7% at 2 years (92.7% vs 90.0%), and 5.4% at 3 years (88.8% vs 83.4%). The </w:t>
      </w:r>
      <w:r w:rsidR="00266C2E" w:rsidRPr="00116F2F">
        <w:t>overall survival (</w:t>
      </w:r>
      <w:r w:rsidRPr="00116F2F">
        <w:t>OS</w:t>
      </w:r>
      <w:r w:rsidR="00266C2E" w:rsidRPr="00116F2F">
        <w:t>)</w:t>
      </w:r>
      <w:r w:rsidRPr="00116F2F">
        <w:t xml:space="preserve"> data </w:t>
      </w:r>
      <w:r w:rsidR="00FA2631" w:rsidRPr="00116F2F">
        <w:t>were</w:t>
      </w:r>
      <w:r w:rsidRPr="00116F2F">
        <w:t xml:space="preserve"> immature, and no difference was observed between the two arms.</w:t>
      </w:r>
    </w:p>
    <w:p w14:paraId="1DB647EB" w14:textId="07FCE9A5" w:rsidR="00AF0097" w:rsidRPr="00AF0097" w:rsidRDefault="00AF0097" w:rsidP="007C461A">
      <w:pPr>
        <w:pStyle w:val="3-BodyText"/>
        <w:rPr>
          <w:color w:val="0066FF"/>
        </w:rPr>
      </w:pPr>
      <w:r>
        <w:t>The resubmission presented updated data with a median follow up of 42 months</w:t>
      </w:r>
      <w:r w:rsidR="004B339A">
        <w:t xml:space="preserve"> (</w:t>
      </w:r>
      <w:r w:rsidR="004B339A">
        <w:fldChar w:fldCharType="begin"/>
      </w:r>
      <w:r w:rsidR="004B339A">
        <w:instrText xml:space="preserve"> REF _Ref126681879 \h </w:instrText>
      </w:r>
      <w:r w:rsidR="004B339A">
        <w:fldChar w:fldCharType="separate"/>
      </w:r>
      <w:r w:rsidR="0001201E">
        <w:t xml:space="preserve">Table </w:t>
      </w:r>
      <w:r w:rsidR="0001201E">
        <w:rPr>
          <w:noProof/>
        </w:rPr>
        <w:t>5</w:t>
      </w:r>
      <w:r w:rsidR="004B339A">
        <w:fldChar w:fldCharType="end"/>
      </w:r>
      <w:r w:rsidR="004B339A">
        <w:t>)</w:t>
      </w:r>
      <w:r>
        <w:t>.</w:t>
      </w:r>
    </w:p>
    <w:p w14:paraId="48C59678" w14:textId="448DEB92" w:rsidR="00AF0097" w:rsidRDefault="00AF0097" w:rsidP="007C461A">
      <w:pPr>
        <w:pStyle w:val="3-BodyText"/>
      </w:pPr>
      <w:bookmarkStart w:id="23" w:name="_Ref127703099"/>
      <w:r>
        <w:t>At the</w:t>
      </w:r>
      <w:r w:rsidR="00FA2631">
        <w:t xml:space="preserve"> additional follow-up 2 data cut-</w:t>
      </w:r>
      <w:r w:rsidR="00FA2631" w:rsidRPr="00B016D2">
        <w:t>off</w:t>
      </w:r>
      <w:r w:rsidRPr="00B016D2">
        <w:t xml:space="preserve"> </w:t>
      </w:r>
      <w:r w:rsidR="00FA2631" w:rsidRPr="00B016D2">
        <w:t>(</w:t>
      </w:r>
      <w:r w:rsidRPr="00B016D2">
        <w:t>AFU2 DCO</w:t>
      </w:r>
      <w:r w:rsidR="00FA2631" w:rsidRPr="00B016D2">
        <w:t>)</w:t>
      </w:r>
      <w:r w:rsidRPr="00B016D2">
        <w:t xml:space="preserve"> (July 2022</w:t>
      </w:r>
      <w:r w:rsidR="00105B81" w:rsidRPr="00B016D2">
        <w:t>)</w:t>
      </w:r>
      <w:r w:rsidR="00105B81">
        <w:t xml:space="preserve"> abemaciclib</w:t>
      </w:r>
      <w:r>
        <w:t xml:space="preserve"> + ET resulted in a 3</w:t>
      </w:r>
      <w:r w:rsidR="00416258">
        <w:t>4</w:t>
      </w:r>
      <w:r w:rsidRPr="00AF0097">
        <w:t xml:space="preserve">% </w:t>
      </w:r>
      <w:r>
        <w:t>reduction</w:t>
      </w:r>
      <w:r w:rsidRPr="00AF0097">
        <w:t xml:space="preserve"> in hazard of IDFS compared to ET alone in the ITT population</w:t>
      </w:r>
      <w:r w:rsidR="00416258">
        <w:t xml:space="preserve"> </w:t>
      </w:r>
      <w:r w:rsidR="00416258" w:rsidRPr="00FA0201">
        <w:rPr>
          <w:rFonts w:cstheme="minorHAnsi"/>
          <w:iCs/>
        </w:rPr>
        <w:t>(</w:t>
      </w:r>
      <w:r w:rsidR="00A5498F">
        <w:rPr>
          <w:rFonts w:cstheme="minorHAnsi"/>
          <w:iCs/>
        </w:rPr>
        <w:t>hazard ratio [</w:t>
      </w:r>
      <w:r w:rsidR="00416258" w:rsidRPr="00FA0201">
        <w:rPr>
          <w:rFonts w:cstheme="minorHAnsi"/>
          <w:iCs/>
        </w:rPr>
        <w:t>HR</w:t>
      </w:r>
      <w:r w:rsidR="00A5498F">
        <w:rPr>
          <w:rFonts w:cstheme="minorHAnsi"/>
          <w:iCs/>
        </w:rPr>
        <w:t>]</w:t>
      </w:r>
      <w:r w:rsidR="00416258" w:rsidRPr="00FA0201">
        <w:rPr>
          <w:rFonts w:cstheme="minorHAnsi"/>
          <w:iCs/>
        </w:rPr>
        <w:t xml:space="preserve"> = 0.66 (95% confidence interval [CI]: 0.58, 0.76) with a 35% reduction in hazard of IDFS in the proposed PBS population (Cohort 1) (HR = 0.65 (95% CI: 0.57, 0.75)</w:t>
      </w:r>
      <w:r w:rsidRPr="00AF0097">
        <w:t xml:space="preserve">. The absolute difference in IDFS rates </w:t>
      </w:r>
      <w:r w:rsidR="00864644">
        <w:t>at 4 years were</w:t>
      </w:r>
      <w:r w:rsidRPr="00AF0097">
        <w:t xml:space="preserve"> </w:t>
      </w:r>
      <w:r>
        <w:t>6.</w:t>
      </w:r>
      <w:r w:rsidR="00416258">
        <w:t>4</w:t>
      </w:r>
      <w:r w:rsidRPr="00AF0097">
        <w:t xml:space="preserve">% </w:t>
      </w:r>
      <w:r w:rsidR="00416258" w:rsidRPr="00FA0201">
        <w:rPr>
          <w:iCs/>
        </w:rPr>
        <w:t>in the ITT population</w:t>
      </w:r>
      <w:r w:rsidRPr="00AF0097">
        <w:t xml:space="preserve"> (</w:t>
      </w:r>
      <w:r>
        <w:t>85.8</w:t>
      </w:r>
      <w:r w:rsidRPr="00AF0097">
        <w:t xml:space="preserve">% vs </w:t>
      </w:r>
      <w:r>
        <w:t>79.4</w:t>
      </w:r>
      <w:r w:rsidRPr="00AF0097">
        <w:t>%)</w:t>
      </w:r>
      <w:r w:rsidR="00F51B69">
        <w:t xml:space="preserve"> (see </w:t>
      </w:r>
      <w:r w:rsidR="00F51B69">
        <w:fldChar w:fldCharType="begin"/>
      </w:r>
      <w:r w:rsidR="00F51B69">
        <w:instrText xml:space="preserve"> REF _Ref104805037 \h </w:instrText>
      </w:r>
      <w:r w:rsidR="00F51B69">
        <w:fldChar w:fldCharType="separate"/>
      </w:r>
      <w:r w:rsidR="0001201E">
        <w:t xml:space="preserve">Table </w:t>
      </w:r>
      <w:r w:rsidR="0001201E">
        <w:rPr>
          <w:noProof/>
        </w:rPr>
        <w:t>8</w:t>
      </w:r>
      <w:r w:rsidR="00F51B69">
        <w:fldChar w:fldCharType="end"/>
      </w:r>
      <w:r w:rsidR="00F51B69">
        <w:t>)</w:t>
      </w:r>
      <w:r w:rsidR="00416258">
        <w:t xml:space="preserve"> </w:t>
      </w:r>
      <w:r w:rsidR="00416258" w:rsidRPr="00FA0201">
        <w:rPr>
          <w:iCs/>
        </w:rPr>
        <w:t>and 6.8%</w:t>
      </w:r>
      <w:r w:rsidR="002A643B" w:rsidRPr="00FA0201">
        <w:rPr>
          <w:iCs/>
        </w:rPr>
        <w:t xml:space="preserve"> (85.5% vs 78.6%)</w:t>
      </w:r>
      <w:r w:rsidR="00416258" w:rsidRPr="00FA0201">
        <w:rPr>
          <w:iCs/>
        </w:rPr>
        <w:t xml:space="preserve"> in Cohort 1</w:t>
      </w:r>
      <w:r w:rsidRPr="00AF0097">
        <w:t>.</w:t>
      </w:r>
      <w:bookmarkEnd w:id="23"/>
      <w:r w:rsidRPr="00AF0097">
        <w:t xml:space="preserve"> </w:t>
      </w:r>
    </w:p>
    <w:p w14:paraId="64BD4EBB" w14:textId="0FE1380F" w:rsidR="00B34FE2" w:rsidRPr="00CE60F7" w:rsidRDefault="00EE4C51" w:rsidP="00917C7F">
      <w:pPr>
        <w:pStyle w:val="3-BodyText"/>
      </w:pPr>
      <w:r w:rsidRPr="00787A0B">
        <w:rPr>
          <w:iCs/>
          <w:snapToGrid/>
          <w:lang w:val="en-US"/>
        </w:rPr>
        <w:t>Cohort 1 included patients at high risk of recurrence (defined as ≥</w:t>
      </w:r>
      <w:r w:rsidR="00F51B69" w:rsidRPr="00787A0B">
        <w:rPr>
          <w:iCs/>
          <w:snapToGrid/>
          <w:lang w:val="en-US"/>
        </w:rPr>
        <w:t xml:space="preserve"> </w:t>
      </w:r>
      <w:r w:rsidRPr="00787A0B">
        <w:rPr>
          <w:iCs/>
          <w:snapToGrid/>
          <w:lang w:val="en-US"/>
        </w:rPr>
        <w:t xml:space="preserve">4 </w:t>
      </w:r>
      <w:r w:rsidR="00AA6262" w:rsidRPr="00787A0B">
        <w:rPr>
          <w:iCs/>
          <w:snapToGrid/>
          <w:lang w:val="en-US"/>
        </w:rPr>
        <w:t>axillary lymph nodes (ALN</w:t>
      </w:r>
      <w:r w:rsidRPr="00787A0B">
        <w:rPr>
          <w:iCs/>
          <w:snapToGrid/>
          <w:lang w:val="en-US"/>
        </w:rPr>
        <w:t>s</w:t>
      </w:r>
      <w:r w:rsidR="00AA6262" w:rsidRPr="00787A0B">
        <w:rPr>
          <w:iCs/>
          <w:snapToGrid/>
          <w:lang w:val="en-US"/>
        </w:rPr>
        <w:t>)</w:t>
      </w:r>
      <w:r w:rsidRPr="00787A0B">
        <w:rPr>
          <w:iCs/>
          <w:snapToGrid/>
          <w:lang w:val="en-US"/>
        </w:rPr>
        <w:t xml:space="preserve">; or 1-3 </w:t>
      </w:r>
      <w:r w:rsidR="00AA6262" w:rsidRPr="00787A0B">
        <w:rPr>
          <w:iCs/>
          <w:snapToGrid/>
          <w:lang w:val="en-US"/>
        </w:rPr>
        <w:t>ALNs</w:t>
      </w:r>
      <w:r w:rsidRPr="00787A0B">
        <w:rPr>
          <w:iCs/>
          <w:snapToGrid/>
          <w:lang w:val="en-US"/>
        </w:rPr>
        <w:t xml:space="preserve"> and </w:t>
      </w:r>
      <w:r w:rsidR="00AA6262" w:rsidRPr="00787A0B">
        <w:rPr>
          <w:iCs/>
          <w:snapToGrid/>
          <w:lang w:val="en-US"/>
        </w:rPr>
        <w:t>tumor</w:t>
      </w:r>
      <w:r w:rsidRPr="00787A0B">
        <w:rPr>
          <w:iCs/>
          <w:snapToGrid/>
          <w:lang w:val="en-US"/>
        </w:rPr>
        <w:t xml:space="preserve"> ≥</w:t>
      </w:r>
      <w:r w:rsidR="00864644">
        <w:rPr>
          <w:iCs/>
          <w:snapToGrid/>
          <w:lang w:val="en-US"/>
        </w:rPr>
        <w:t xml:space="preserve"> </w:t>
      </w:r>
      <w:r w:rsidRPr="00787A0B">
        <w:rPr>
          <w:iCs/>
          <w:snapToGrid/>
          <w:lang w:val="en-US"/>
        </w:rPr>
        <w:t>5</w:t>
      </w:r>
      <w:r w:rsidR="00F23DDB">
        <w:rPr>
          <w:iCs/>
          <w:snapToGrid/>
          <w:lang w:val="en-US"/>
        </w:rPr>
        <w:t xml:space="preserve"> </w:t>
      </w:r>
      <w:r w:rsidRPr="00787A0B">
        <w:rPr>
          <w:iCs/>
          <w:snapToGrid/>
          <w:lang w:val="en-US"/>
        </w:rPr>
        <w:t xml:space="preserve">cm or grade 3 disease) which reflects the proposed target population and accounts for 91% of the ITT population in </w:t>
      </w:r>
      <w:r w:rsidR="00221765" w:rsidRPr="00787A0B">
        <w:rPr>
          <w:iCs/>
          <w:snapToGrid/>
          <w:lang w:val="en-US"/>
        </w:rPr>
        <w:t>monarchE</w:t>
      </w:r>
      <w:r w:rsidR="00486913">
        <w:rPr>
          <w:iCs/>
          <w:snapToGrid/>
          <w:lang w:val="en-US"/>
        </w:rPr>
        <w:t>.</w:t>
      </w:r>
      <w:r w:rsidR="0001415C" w:rsidRPr="00787A0B">
        <w:rPr>
          <w:iCs/>
          <w:snapToGrid/>
          <w:lang w:val="en-US"/>
        </w:rPr>
        <w:t xml:space="preserve"> The IDFS results in Cohort 1 did not differ greatly to those in the ITT population (</w:t>
      </w:r>
      <w:r w:rsidR="00EF608F">
        <w:rPr>
          <w:iCs/>
          <w:snapToGrid/>
          <w:lang w:val="en-US"/>
        </w:rPr>
        <w:t xml:space="preserve">see paragraph </w:t>
      </w:r>
      <w:r w:rsidR="00EF608F">
        <w:rPr>
          <w:iCs/>
          <w:snapToGrid/>
          <w:lang w:val="en-US"/>
        </w:rPr>
        <w:fldChar w:fldCharType="begin"/>
      </w:r>
      <w:r w:rsidR="00EF608F">
        <w:rPr>
          <w:iCs/>
          <w:snapToGrid/>
          <w:lang w:val="en-US"/>
        </w:rPr>
        <w:instrText xml:space="preserve"> REF _Ref127703099 \r \h </w:instrText>
      </w:r>
      <w:r w:rsidR="00EF608F">
        <w:rPr>
          <w:iCs/>
          <w:snapToGrid/>
          <w:lang w:val="en-US"/>
        </w:rPr>
      </w:r>
      <w:r w:rsidR="00EF608F">
        <w:rPr>
          <w:iCs/>
          <w:snapToGrid/>
          <w:lang w:val="en-US"/>
        </w:rPr>
        <w:fldChar w:fldCharType="separate"/>
      </w:r>
      <w:r w:rsidR="0001201E">
        <w:rPr>
          <w:iCs/>
          <w:snapToGrid/>
          <w:lang w:val="en-US"/>
        </w:rPr>
        <w:t>6.13</w:t>
      </w:r>
      <w:r w:rsidR="00EF608F">
        <w:rPr>
          <w:iCs/>
          <w:snapToGrid/>
          <w:lang w:val="en-US"/>
        </w:rPr>
        <w:fldChar w:fldCharType="end"/>
      </w:r>
      <w:r w:rsidR="00DE2309">
        <w:rPr>
          <w:iCs/>
          <w:snapToGrid/>
          <w:lang w:val="en-US"/>
        </w:rPr>
        <w:t>)</w:t>
      </w:r>
      <w:r w:rsidR="0001415C" w:rsidRPr="00787A0B">
        <w:rPr>
          <w:iCs/>
          <w:snapToGrid/>
          <w:lang w:val="en-US"/>
        </w:rPr>
        <w:t xml:space="preserve">. </w:t>
      </w:r>
      <w:r w:rsidR="00486913" w:rsidRPr="00FA0201">
        <w:rPr>
          <w:snapToGrid/>
          <w:lang w:val="en-US"/>
        </w:rPr>
        <w:t>The ESC noted the IDFS result for Cohort 1 (HR = 0.65) reflected the potential benefit in the requested population, which encompassed 91% of the ITT trial population.</w:t>
      </w:r>
    </w:p>
    <w:p w14:paraId="5E859BC6" w14:textId="5031B62C" w:rsidR="0001415C" w:rsidRPr="00917C7F" w:rsidRDefault="0001415C" w:rsidP="0001415C">
      <w:pPr>
        <w:pStyle w:val="3-BodyText"/>
      </w:pPr>
      <w:r w:rsidRPr="00AF0097">
        <w:lastRenderedPageBreak/>
        <w:t>The</w:t>
      </w:r>
      <w:r w:rsidR="0059626E">
        <w:t xml:space="preserve"> </w:t>
      </w:r>
      <w:r w:rsidR="00465EAD" w:rsidRPr="00FA0201">
        <w:rPr>
          <w:iCs/>
        </w:rPr>
        <w:t>evaluation</w:t>
      </w:r>
      <w:r w:rsidR="00465EAD">
        <w:t xml:space="preserve"> </w:t>
      </w:r>
      <w:r w:rsidR="0059626E" w:rsidRPr="00FA0201">
        <w:rPr>
          <w:iCs/>
        </w:rPr>
        <w:t>noted that the</w:t>
      </w:r>
      <w:r w:rsidRPr="00AF0097">
        <w:t xml:space="preserve"> OS data </w:t>
      </w:r>
      <w:r>
        <w:t>remained</w:t>
      </w:r>
      <w:r w:rsidRPr="00AF0097">
        <w:t xml:space="preserve"> immature, and </w:t>
      </w:r>
      <w:r w:rsidR="0059626E" w:rsidRPr="00FA0201">
        <w:rPr>
          <w:iCs/>
        </w:rPr>
        <w:t xml:space="preserve">a </w:t>
      </w:r>
      <w:r w:rsidR="00221765">
        <w:t xml:space="preserve">statistically significant </w:t>
      </w:r>
      <w:r w:rsidRPr="00AF0097">
        <w:t>difference was</w:t>
      </w:r>
      <w:r w:rsidR="0059626E">
        <w:t xml:space="preserve"> </w:t>
      </w:r>
      <w:r w:rsidR="0059626E" w:rsidRPr="00FA0201">
        <w:rPr>
          <w:iCs/>
        </w:rPr>
        <w:t>not</w:t>
      </w:r>
      <w:r w:rsidRPr="00AF0097">
        <w:t xml:space="preserve"> observed between the two arms</w:t>
      </w:r>
      <w:r w:rsidR="0059626E">
        <w:t xml:space="preserve"> </w:t>
      </w:r>
      <w:r w:rsidR="0059626E" w:rsidRPr="00FA0201">
        <w:rPr>
          <w:iCs/>
        </w:rPr>
        <w:t>for either the ITT population or Cohort 1</w:t>
      </w:r>
      <w:r w:rsidR="00221765">
        <w:t xml:space="preserve"> (Table 5)</w:t>
      </w:r>
      <w:r>
        <w:t>.</w:t>
      </w:r>
    </w:p>
    <w:p w14:paraId="75F6C97C" w14:textId="77777777" w:rsidR="00CE60F7" w:rsidRPr="001B36BF" w:rsidRDefault="00CE60F7" w:rsidP="00221765">
      <w:pPr>
        <w:pStyle w:val="3-BodyText"/>
      </w:pPr>
      <w:r w:rsidRPr="00787A0B">
        <w:rPr>
          <w:lang w:val="en-US"/>
        </w:rPr>
        <w:t>No updated quality of life data were presented.</w:t>
      </w:r>
      <w:r w:rsidR="00221765" w:rsidRPr="00787A0B">
        <w:rPr>
          <w:lang w:val="en-US"/>
        </w:rPr>
        <w:t xml:space="preserve"> </w:t>
      </w:r>
      <w:r w:rsidR="00221765">
        <w:rPr>
          <w:lang w:val="en-US"/>
        </w:rPr>
        <w:t>T</w:t>
      </w:r>
      <w:r w:rsidR="00221765" w:rsidRPr="00E06620">
        <w:rPr>
          <w:snapToGrid/>
          <w:lang w:val="en-US"/>
        </w:rPr>
        <w:t xml:space="preserve">he impact of treatment on patients’ health status was assessed using the EuroQol 5D 5-level version (EQ-5D-5L) after 24 months of treatment. </w:t>
      </w:r>
      <w:r w:rsidR="00221765">
        <w:rPr>
          <w:snapToGrid/>
          <w:lang w:val="en-US"/>
        </w:rPr>
        <w:t>Data from the previous submission showed that c</w:t>
      </w:r>
      <w:r w:rsidR="00221765" w:rsidRPr="00E06620">
        <w:rPr>
          <w:snapToGrid/>
          <w:lang w:val="en-US"/>
        </w:rPr>
        <w:t>hanges from baseline in both the abemaciclib in combination with ET arm and the ET alone arm were smaller than the specified minimal clinically important difference (MCID) of 0.5 of the baseline standard deviation (i.e. 0.085).</w:t>
      </w:r>
    </w:p>
    <w:p w14:paraId="22627D7F" w14:textId="4167E37D" w:rsidR="004D5771" w:rsidRDefault="004D5771" w:rsidP="004D5771">
      <w:pPr>
        <w:pStyle w:val="Caption"/>
      </w:pPr>
      <w:bookmarkStart w:id="24" w:name="_Ref126681879"/>
      <w:r>
        <w:t xml:space="preserve">Table </w:t>
      </w:r>
      <w:fldSimple w:instr=" SEQ Table \* ARABIC ">
        <w:r w:rsidR="0001201E">
          <w:rPr>
            <w:noProof/>
          </w:rPr>
          <w:t>5</w:t>
        </w:r>
      </w:fldSimple>
      <w:bookmarkEnd w:id="24"/>
      <w:r>
        <w:t>: Key outcomes from the monarchE trial at the AFU2 DCO</w:t>
      </w:r>
      <w:r w:rsidR="0036683D" w:rsidRPr="0036683D" w:rsidDel="00C852B0">
        <w:t xml:space="preserve"> </w:t>
      </w:r>
      <w:r w:rsidR="002A0B42">
        <w:t>(July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1951"/>
        <w:gridCol w:w="1829"/>
        <w:gridCol w:w="2076"/>
      </w:tblGrid>
      <w:tr w:rsidR="0036683D" w:rsidRPr="008D4C3D" w14:paraId="1460D36B" w14:textId="77777777" w:rsidTr="003750AC">
        <w:tc>
          <w:tcPr>
            <w:tcW w:w="1753" w:type="pct"/>
            <w:vAlign w:val="center"/>
          </w:tcPr>
          <w:p w14:paraId="3510D798" w14:textId="77777777" w:rsidR="0036683D" w:rsidRPr="008D4C3D" w:rsidRDefault="0036683D" w:rsidP="007C461A">
            <w:pPr>
              <w:pStyle w:val="In-tableHeading"/>
            </w:pPr>
          </w:p>
        </w:tc>
        <w:tc>
          <w:tcPr>
            <w:tcW w:w="1082" w:type="pct"/>
            <w:vAlign w:val="center"/>
          </w:tcPr>
          <w:p w14:paraId="622B9FF5" w14:textId="77777777" w:rsidR="0036683D" w:rsidRDefault="0036683D" w:rsidP="007C461A">
            <w:pPr>
              <w:pStyle w:val="In-tableHeading"/>
              <w:jc w:val="center"/>
            </w:pPr>
            <w:r>
              <w:t>Arm A</w:t>
            </w:r>
          </w:p>
          <w:p w14:paraId="3EA46D9E" w14:textId="77777777" w:rsidR="0036683D" w:rsidRDefault="0036683D" w:rsidP="007C461A">
            <w:pPr>
              <w:pStyle w:val="In-tableHeading"/>
              <w:jc w:val="center"/>
            </w:pPr>
            <w:r>
              <w:t xml:space="preserve">ABE + ET </w:t>
            </w:r>
          </w:p>
          <w:p w14:paraId="450E2AA7" w14:textId="77777777" w:rsidR="0036683D" w:rsidRPr="008D4C3D" w:rsidRDefault="0036683D" w:rsidP="007C461A">
            <w:pPr>
              <w:pStyle w:val="In-tableHeading"/>
              <w:jc w:val="center"/>
            </w:pPr>
            <w:r>
              <w:t>n with event/N (%)</w:t>
            </w:r>
          </w:p>
        </w:tc>
        <w:tc>
          <w:tcPr>
            <w:tcW w:w="1014" w:type="pct"/>
            <w:vAlign w:val="center"/>
          </w:tcPr>
          <w:p w14:paraId="4B8723DB" w14:textId="77777777" w:rsidR="0036683D" w:rsidRDefault="0036683D" w:rsidP="007C461A">
            <w:pPr>
              <w:pStyle w:val="In-tableHeading"/>
              <w:jc w:val="center"/>
            </w:pPr>
            <w:r>
              <w:t>Arm B</w:t>
            </w:r>
          </w:p>
          <w:p w14:paraId="1A776493" w14:textId="77777777" w:rsidR="0036683D" w:rsidRDefault="0036683D" w:rsidP="007C461A">
            <w:pPr>
              <w:pStyle w:val="In-tableHeading"/>
              <w:jc w:val="center"/>
            </w:pPr>
            <w:r>
              <w:t xml:space="preserve">ET </w:t>
            </w:r>
          </w:p>
          <w:p w14:paraId="715A10F9" w14:textId="77777777" w:rsidR="0036683D" w:rsidRPr="008D4C3D" w:rsidRDefault="0036683D" w:rsidP="007C461A">
            <w:pPr>
              <w:pStyle w:val="In-tableHeading"/>
              <w:jc w:val="center"/>
            </w:pPr>
            <w:r>
              <w:t>n with event/N (%)</w:t>
            </w:r>
          </w:p>
        </w:tc>
        <w:tc>
          <w:tcPr>
            <w:tcW w:w="1151" w:type="pct"/>
            <w:vAlign w:val="center"/>
          </w:tcPr>
          <w:p w14:paraId="6118ED9F" w14:textId="77777777" w:rsidR="0036683D" w:rsidRPr="008D4C3D" w:rsidRDefault="0036683D" w:rsidP="007C461A">
            <w:pPr>
              <w:pStyle w:val="In-tableHeading"/>
              <w:jc w:val="center"/>
            </w:pPr>
            <w:r>
              <w:t>HR (95% CI)</w:t>
            </w:r>
          </w:p>
        </w:tc>
      </w:tr>
      <w:tr w:rsidR="0036683D" w:rsidRPr="00DE3138" w14:paraId="205EE918" w14:textId="39CFC318" w:rsidTr="0036683D">
        <w:tc>
          <w:tcPr>
            <w:tcW w:w="5000" w:type="pct"/>
            <w:gridSpan w:val="4"/>
            <w:vAlign w:val="center"/>
          </w:tcPr>
          <w:p w14:paraId="727C345A" w14:textId="71774DA4" w:rsidR="0036683D" w:rsidRPr="00DE3138" w:rsidRDefault="0036683D" w:rsidP="00C852B0">
            <w:pPr>
              <w:pStyle w:val="In-tableHeading"/>
            </w:pPr>
            <w:r>
              <w:t>Invasive disease</w:t>
            </w:r>
            <w:r w:rsidR="00675CC6">
              <w:t xml:space="preserve"> </w:t>
            </w:r>
            <w:r w:rsidR="00BD0413">
              <w:t>events</w:t>
            </w:r>
          </w:p>
        </w:tc>
      </w:tr>
      <w:tr w:rsidR="0036683D" w:rsidRPr="008E7F65" w14:paraId="64A9BB1C" w14:textId="77777777" w:rsidTr="003750AC">
        <w:tc>
          <w:tcPr>
            <w:tcW w:w="1753" w:type="pct"/>
            <w:vAlign w:val="center"/>
          </w:tcPr>
          <w:p w14:paraId="7420FF47" w14:textId="77777777" w:rsidR="0036683D" w:rsidRDefault="0036683D" w:rsidP="007C461A">
            <w:pPr>
              <w:pStyle w:val="TableText0"/>
            </w:pPr>
            <w:r>
              <w:t>ITT population</w:t>
            </w:r>
          </w:p>
        </w:tc>
        <w:tc>
          <w:tcPr>
            <w:tcW w:w="1082" w:type="pct"/>
            <w:vAlign w:val="center"/>
          </w:tcPr>
          <w:p w14:paraId="30EE4486" w14:textId="4765BD5A" w:rsidR="0036683D" w:rsidRDefault="0036683D" w:rsidP="007C461A">
            <w:pPr>
              <w:pStyle w:val="TableText0"/>
              <w:jc w:val="center"/>
            </w:pPr>
            <w:r>
              <w:t>336/2808 (12.0%)</w:t>
            </w:r>
          </w:p>
        </w:tc>
        <w:tc>
          <w:tcPr>
            <w:tcW w:w="1014" w:type="pct"/>
            <w:vAlign w:val="center"/>
          </w:tcPr>
          <w:p w14:paraId="3FC79ABA" w14:textId="2F59F24F" w:rsidR="0036683D" w:rsidRDefault="0036683D" w:rsidP="007C461A">
            <w:pPr>
              <w:pStyle w:val="TableText0"/>
              <w:jc w:val="center"/>
            </w:pPr>
            <w:r>
              <w:t>499/2829 (17.6%)</w:t>
            </w:r>
          </w:p>
        </w:tc>
        <w:tc>
          <w:tcPr>
            <w:tcW w:w="1151" w:type="pct"/>
            <w:vAlign w:val="center"/>
          </w:tcPr>
          <w:p w14:paraId="5A2F53AB" w14:textId="707AE1B2" w:rsidR="0036683D" w:rsidRPr="003750AC" w:rsidRDefault="0036683D" w:rsidP="003750AC">
            <w:pPr>
              <w:pStyle w:val="TableText0"/>
              <w:jc w:val="center"/>
              <w:rPr>
                <w:b/>
                <w:szCs w:val="20"/>
              </w:rPr>
            </w:pPr>
            <w:r w:rsidRPr="008E53D3">
              <w:rPr>
                <w:b/>
                <w:szCs w:val="20"/>
              </w:rPr>
              <w:t xml:space="preserve"> 0.66 (0.58, 0.76)</w:t>
            </w:r>
          </w:p>
        </w:tc>
      </w:tr>
      <w:tr w:rsidR="0036683D" w:rsidRPr="008E7F65" w14:paraId="4643962D" w14:textId="77777777" w:rsidTr="003750AC">
        <w:tc>
          <w:tcPr>
            <w:tcW w:w="1753" w:type="pct"/>
            <w:vAlign w:val="center"/>
          </w:tcPr>
          <w:p w14:paraId="5E7C01E7" w14:textId="77777777" w:rsidR="0036683D" w:rsidRDefault="0036683D" w:rsidP="007C461A">
            <w:pPr>
              <w:pStyle w:val="TableText0"/>
            </w:pPr>
            <w:r>
              <w:t>Cohort 1</w:t>
            </w:r>
          </w:p>
        </w:tc>
        <w:tc>
          <w:tcPr>
            <w:tcW w:w="1082" w:type="pct"/>
            <w:vAlign w:val="center"/>
          </w:tcPr>
          <w:p w14:paraId="5661E7DD" w14:textId="251DED8E" w:rsidR="0036683D" w:rsidRDefault="0036683D" w:rsidP="007C461A">
            <w:pPr>
              <w:pStyle w:val="TableText0"/>
              <w:jc w:val="center"/>
            </w:pPr>
            <w:r>
              <w:t>317/2555 (12.4%)</w:t>
            </w:r>
          </w:p>
        </w:tc>
        <w:tc>
          <w:tcPr>
            <w:tcW w:w="1014" w:type="pct"/>
            <w:vAlign w:val="center"/>
          </w:tcPr>
          <w:p w14:paraId="0508E72D" w14:textId="28B197D8" w:rsidR="0036683D" w:rsidRDefault="0036683D" w:rsidP="007C461A">
            <w:pPr>
              <w:pStyle w:val="TableText0"/>
              <w:jc w:val="center"/>
            </w:pPr>
            <w:r>
              <w:t>474/2565 (18.5%)</w:t>
            </w:r>
          </w:p>
        </w:tc>
        <w:tc>
          <w:tcPr>
            <w:tcW w:w="1151" w:type="pct"/>
            <w:vAlign w:val="center"/>
          </w:tcPr>
          <w:p w14:paraId="3137D719" w14:textId="77777777" w:rsidR="0036683D" w:rsidRPr="008E7F65" w:rsidRDefault="0036683D" w:rsidP="007C461A">
            <w:pPr>
              <w:pStyle w:val="TableText0"/>
              <w:jc w:val="center"/>
              <w:rPr>
                <w:b/>
              </w:rPr>
            </w:pPr>
            <w:r>
              <w:rPr>
                <w:b/>
              </w:rPr>
              <w:t>0.65 (0.57, 0.75)</w:t>
            </w:r>
          </w:p>
        </w:tc>
      </w:tr>
      <w:tr w:rsidR="0036683D" w:rsidRPr="008E7F65" w14:paraId="350D5CF9" w14:textId="77777777" w:rsidTr="003750AC">
        <w:tc>
          <w:tcPr>
            <w:tcW w:w="1753" w:type="pct"/>
            <w:vAlign w:val="center"/>
          </w:tcPr>
          <w:p w14:paraId="29E509C0" w14:textId="77777777" w:rsidR="0036683D" w:rsidRDefault="0036683D" w:rsidP="007C461A">
            <w:pPr>
              <w:pStyle w:val="TableText0"/>
            </w:pPr>
            <w:r>
              <w:t>Cohort 2</w:t>
            </w:r>
          </w:p>
        </w:tc>
        <w:tc>
          <w:tcPr>
            <w:tcW w:w="1082" w:type="pct"/>
            <w:vAlign w:val="center"/>
          </w:tcPr>
          <w:p w14:paraId="52B3D694" w14:textId="082F1B7C" w:rsidR="0036683D" w:rsidRDefault="0036683D" w:rsidP="007C461A">
            <w:pPr>
              <w:pStyle w:val="TableText0"/>
              <w:jc w:val="center"/>
            </w:pPr>
            <w:r>
              <w:t>19/253 (7.5%)</w:t>
            </w:r>
          </w:p>
        </w:tc>
        <w:tc>
          <w:tcPr>
            <w:tcW w:w="1014" w:type="pct"/>
            <w:vAlign w:val="center"/>
          </w:tcPr>
          <w:p w14:paraId="583BBEB6" w14:textId="401AF676" w:rsidR="0036683D" w:rsidRDefault="0036683D" w:rsidP="007C461A">
            <w:pPr>
              <w:pStyle w:val="TableText0"/>
              <w:jc w:val="center"/>
            </w:pPr>
            <w:r>
              <w:t>25/264 (9.5%)</w:t>
            </w:r>
          </w:p>
        </w:tc>
        <w:tc>
          <w:tcPr>
            <w:tcW w:w="1151" w:type="pct"/>
            <w:vAlign w:val="center"/>
          </w:tcPr>
          <w:p w14:paraId="11FD14A3" w14:textId="6FCAC0D4" w:rsidR="0036683D" w:rsidRPr="00C852B0" w:rsidRDefault="0036683D" w:rsidP="007C461A">
            <w:pPr>
              <w:pStyle w:val="TableText0"/>
              <w:jc w:val="center"/>
              <w:rPr>
                <w:bCs w:val="0"/>
              </w:rPr>
            </w:pPr>
            <w:r w:rsidRPr="00C852B0">
              <w:rPr>
                <w:bCs w:val="0"/>
              </w:rPr>
              <w:t>Not available</w:t>
            </w:r>
          </w:p>
        </w:tc>
      </w:tr>
      <w:tr w:rsidR="0036683D" w:rsidRPr="008E7F65" w14:paraId="3B94FA91" w14:textId="68E36C12" w:rsidTr="0036683D">
        <w:tc>
          <w:tcPr>
            <w:tcW w:w="5000" w:type="pct"/>
            <w:gridSpan w:val="4"/>
            <w:vAlign w:val="center"/>
          </w:tcPr>
          <w:p w14:paraId="77B5D2DD" w14:textId="0501792C" w:rsidR="0036683D" w:rsidRPr="008E7F65" w:rsidRDefault="0036683D" w:rsidP="00C852B0">
            <w:pPr>
              <w:pStyle w:val="TableText0"/>
              <w:rPr>
                <w:b/>
              </w:rPr>
            </w:pPr>
            <w:r>
              <w:rPr>
                <w:b/>
              </w:rPr>
              <w:t>Distant relapse</w:t>
            </w:r>
            <w:r w:rsidR="00675CC6">
              <w:rPr>
                <w:b/>
              </w:rPr>
              <w:t xml:space="preserve"> </w:t>
            </w:r>
            <w:r w:rsidR="00BD0413">
              <w:rPr>
                <w:b/>
              </w:rPr>
              <w:t>events</w:t>
            </w:r>
          </w:p>
        </w:tc>
      </w:tr>
      <w:tr w:rsidR="0036683D" w:rsidRPr="008E7F65" w14:paraId="292DB6A8" w14:textId="77777777" w:rsidTr="003750AC">
        <w:tc>
          <w:tcPr>
            <w:tcW w:w="1753" w:type="pct"/>
            <w:vAlign w:val="center"/>
          </w:tcPr>
          <w:p w14:paraId="5D5D5222" w14:textId="77777777" w:rsidR="0036683D" w:rsidRDefault="0036683D" w:rsidP="007C461A">
            <w:pPr>
              <w:pStyle w:val="TableText0"/>
            </w:pPr>
            <w:r>
              <w:t>ITT population</w:t>
            </w:r>
          </w:p>
        </w:tc>
        <w:tc>
          <w:tcPr>
            <w:tcW w:w="1082" w:type="pct"/>
            <w:vAlign w:val="center"/>
          </w:tcPr>
          <w:p w14:paraId="6024CACD" w14:textId="123E0EAF" w:rsidR="0036683D" w:rsidRDefault="0036683D" w:rsidP="007C461A">
            <w:pPr>
              <w:pStyle w:val="TableText0"/>
              <w:jc w:val="center"/>
            </w:pPr>
            <w:r>
              <w:t>281/2808 (10.0%)</w:t>
            </w:r>
          </w:p>
        </w:tc>
        <w:tc>
          <w:tcPr>
            <w:tcW w:w="1014" w:type="pct"/>
            <w:vAlign w:val="center"/>
          </w:tcPr>
          <w:p w14:paraId="7E84FC40" w14:textId="656DE129" w:rsidR="0036683D" w:rsidRDefault="0036683D" w:rsidP="007C461A">
            <w:pPr>
              <w:pStyle w:val="TableText0"/>
              <w:jc w:val="center"/>
            </w:pPr>
            <w:r>
              <w:t>421/2829 (14.9%)</w:t>
            </w:r>
          </w:p>
        </w:tc>
        <w:tc>
          <w:tcPr>
            <w:tcW w:w="1151" w:type="pct"/>
            <w:vAlign w:val="center"/>
          </w:tcPr>
          <w:p w14:paraId="556F4818" w14:textId="77777777" w:rsidR="0036683D" w:rsidRPr="008E7F65" w:rsidRDefault="0036683D" w:rsidP="007C461A">
            <w:pPr>
              <w:pStyle w:val="TableText0"/>
              <w:jc w:val="center"/>
              <w:rPr>
                <w:b/>
              </w:rPr>
            </w:pPr>
            <w:r w:rsidRPr="008E7F65">
              <w:rPr>
                <w:b/>
              </w:rPr>
              <w:t>0.6</w:t>
            </w:r>
            <w:r>
              <w:rPr>
                <w:b/>
              </w:rPr>
              <w:t>6</w:t>
            </w:r>
            <w:r w:rsidRPr="008E7F65">
              <w:rPr>
                <w:b/>
              </w:rPr>
              <w:t xml:space="preserve"> (0.57, 0.</w:t>
            </w:r>
            <w:r>
              <w:rPr>
                <w:b/>
              </w:rPr>
              <w:t>77</w:t>
            </w:r>
            <w:r w:rsidRPr="008E7F65">
              <w:rPr>
                <w:b/>
              </w:rPr>
              <w:t>)</w:t>
            </w:r>
          </w:p>
        </w:tc>
      </w:tr>
      <w:tr w:rsidR="0036683D" w:rsidRPr="008E7F65" w14:paraId="38D23406" w14:textId="77777777" w:rsidTr="003750AC">
        <w:tc>
          <w:tcPr>
            <w:tcW w:w="1753" w:type="pct"/>
            <w:vAlign w:val="center"/>
          </w:tcPr>
          <w:p w14:paraId="59C5211F" w14:textId="77777777" w:rsidR="0036683D" w:rsidRDefault="0036683D" w:rsidP="007C461A">
            <w:pPr>
              <w:pStyle w:val="TableText0"/>
            </w:pPr>
            <w:r>
              <w:t>Cohort 1</w:t>
            </w:r>
          </w:p>
        </w:tc>
        <w:tc>
          <w:tcPr>
            <w:tcW w:w="1082" w:type="pct"/>
            <w:vAlign w:val="center"/>
          </w:tcPr>
          <w:p w14:paraId="7A949726" w14:textId="71C6109C" w:rsidR="0036683D" w:rsidRDefault="0036683D" w:rsidP="007C461A">
            <w:pPr>
              <w:pStyle w:val="TableText0"/>
              <w:jc w:val="center"/>
            </w:pPr>
            <w:r>
              <w:t>267/2555 (10.5%)</w:t>
            </w:r>
          </w:p>
        </w:tc>
        <w:tc>
          <w:tcPr>
            <w:tcW w:w="1014" w:type="pct"/>
            <w:vAlign w:val="center"/>
          </w:tcPr>
          <w:p w14:paraId="3177746F" w14:textId="4363C8FF" w:rsidR="0036683D" w:rsidRDefault="0036683D" w:rsidP="007C461A">
            <w:pPr>
              <w:pStyle w:val="TableText0"/>
              <w:jc w:val="center"/>
            </w:pPr>
            <w:r>
              <w:t>402/2565 (15.7%)</w:t>
            </w:r>
          </w:p>
        </w:tc>
        <w:tc>
          <w:tcPr>
            <w:tcW w:w="1151" w:type="pct"/>
            <w:vAlign w:val="center"/>
          </w:tcPr>
          <w:p w14:paraId="6415F12D" w14:textId="77777777" w:rsidR="0036683D" w:rsidRPr="008E7F65" w:rsidRDefault="0036683D" w:rsidP="007C461A">
            <w:pPr>
              <w:pStyle w:val="TableText0"/>
              <w:jc w:val="center"/>
              <w:rPr>
                <w:b/>
              </w:rPr>
            </w:pPr>
            <w:r>
              <w:rPr>
                <w:b/>
              </w:rPr>
              <w:t>0.65 (0.56, 0.76)</w:t>
            </w:r>
          </w:p>
        </w:tc>
      </w:tr>
      <w:tr w:rsidR="0036683D" w:rsidRPr="008E7F65" w14:paraId="3DD898CB" w14:textId="77777777" w:rsidTr="003750AC">
        <w:tc>
          <w:tcPr>
            <w:tcW w:w="1753" w:type="pct"/>
            <w:vAlign w:val="center"/>
          </w:tcPr>
          <w:p w14:paraId="73229A80" w14:textId="77777777" w:rsidR="0036683D" w:rsidRDefault="0036683D" w:rsidP="007C461A">
            <w:pPr>
              <w:pStyle w:val="TableText0"/>
            </w:pPr>
            <w:r>
              <w:t>Cohort 2</w:t>
            </w:r>
          </w:p>
        </w:tc>
        <w:tc>
          <w:tcPr>
            <w:tcW w:w="1082" w:type="pct"/>
            <w:vAlign w:val="center"/>
          </w:tcPr>
          <w:p w14:paraId="118E15EA" w14:textId="567823FC" w:rsidR="0036683D" w:rsidRDefault="0036683D" w:rsidP="007C461A">
            <w:pPr>
              <w:pStyle w:val="TableText0"/>
              <w:jc w:val="center"/>
            </w:pPr>
            <w:r>
              <w:t>14/253 (5.5%)</w:t>
            </w:r>
          </w:p>
        </w:tc>
        <w:tc>
          <w:tcPr>
            <w:tcW w:w="1014" w:type="pct"/>
            <w:vAlign w:val="center"/>
          </w:tcPr>
          <w:p w14:paraId="12EB7DC3" w14:textId="6622B613" w:rsidR="0036683D" w:rsidRDefault="0036683D" w:rsidP="007C461A">
            <w:pPr>
              <w:pStyle w:val="TableText0"/>
              <w:jc w:val="center"/>
            </w:pPr>
            <w:r>
              <w:t>19/264 (7.2%)</w:t>
            </w:r>
          </w:p>
        </w:tc>
        <w:tc>
          <w:tcPr>
            <w:tcW w:w="1151" w:type="pct"/>
            <w:vAlign w:val="center"/>
          </w:tcPr>
          <w:p w14:paraId="2F35CBCF" w14:textId="50547A21" w:rsidR="0036683D" w:rsidRPr="00464862" w:rsidRDefault="0036683D" w:rsidP="007C461A">
            <w:pPr>
              <w:pStyle w:val="TableText0"/>
              <w:jc w:val="center"/>
            </w:pPr>
            <w:r>
              <w:t>Not available</w:t>
            </w:r>
          </w:p>
        </w:tc>
      </w:tr>
      <w:tr w:rsidR="0036683D" w:rsidRPr="00DE3138" w14:paraId="16B1C2DE" w14:textId="2140EA1D" w:rsidTr="0036683D">
        <w:tc>
          <w:tcPr>
            <w:tcW w:w="5000" w:type="pct"/>
            <w:gridSpan w:val="4"/>
            <w:vAlign w:val="center"/>
          </w:tcPr>
          <w:p w14:paraId="52622E14" w14:textId="6F40B9B6" w:rsidR="0036683D" w:rsidRPr="00DE3138" w:rsidRDefault="00675CC6" w:rsidP="00C852B0">
            <w:pPr>
              <w:pStyle w:val="In-tableHeading"/>
            </w:pPr>
            <w:r>
              <w:t>Death</w:t>
            </w:r>
          </w:p>
        </w:tc>
      </w:tr>
      <w:tr w:rsidR="0036683D" w:rsidRPr="008E7F65" w14:paraId="11554A56" w14:textId="77777777" w:rsidTr="003750AC">
        <w:tc>
          <w:tcPr>
            <w:tcW w:w="1753" w:type="pct"/>
            <w:vAlign w:val="center"/>
          </w:tcPr>
          <w:p w14:paraId="3C8D8648" w14:textId="77777777" w:rsidR="0036683D" w:rsidRDefault="0036683D" w:rsidP="007C461A">
            <w:pPr>
              <w:pStyle w:val="TableText0"/>
            </w:pPr>
            <w:r>
              <w:t>ITT population</w:t>
            </w:r>
          </w:p>
        </w:tc>
        <w:tc>
          <w:tcPr>
            <w:tcW w:w="1082" w:type="pct"/>
            <w:vAlign w:val="center"/>
          </w:tcPr>
          <w:p w14:paraId="1C654483" w14:textId="5A09695D" w:rsidR="0036683D" w:rsidRDefault="0036683D" w:rsidP="007C461A">
            <w:pPr>
              <w:pStyle w:val="TableText0"/>
              <w:jc w:val="center"/>
            </w:pPr>
            <w:r>
              <w:t>157/2808 (5.6%)</w:t>
            </w:r>
          </w:p>
        </w:tc>
        <w:tc>
          <w:tcPr>
            <w:tcW w:w="1014" w:type="pct"/>
            <w:vAlign w:val="center"/>
          </w:tcPr>
          <w:p w14:paraId="74020C96" w14:textId="5CAFF621" w:rsidR="0036683D" w:rsidRDefault="0036683D" w:rsidP="007C461A">
            <w:pPr>
              <w:pStyle w:val="TableText0"/>
              <w:jc w:val="center"/>
            </w:pPr>
            <w:r>
              <w:t>173/2829 (6.1%)</w:t>
            </w:r>
          </w:p>
        </w:tc>
        <w:tc>
          <w:tcPr>
            <w:tcW w:w="1151" w:type="pct"/>
            <w:vAlign w:val="center"/>
          </w:tcPr>
          <w:p w14:paraId="43BBA928" w14:textId="77777777" w:rsidR="0036683D" w:rsidRPr="008E7F65" w:rsidRDefault="0036683D" w:rsidP="007C461A">
            <w:pPr>
              <w:pStyle w:val="TableText0"/>
              <w:jc w:val="center"/>
              <w:rPr>
                <w:b/>
              </w:rPr>
            </w:pPr>
            <w:r>
              <w:t>0.93 (0.75, 1.15)</w:t>
            </w:r>
          </w:p>
        </w:tc>
      </w:tr>
      <w:tr w:rsidR="0036683D" w:rsidRPr="008E7F65" w14:paraId="6264113E" w14:textId="77777777" w:rsidTr="003750AC">
        <w:tc>
          <w:tcPr>
            <w:tcW w:w="1753" w:type="pct"/>
            <w:vAlign w:val="center"/>
          </w:tcPr>
          <w:p w14:paraId="101180D0" w14:textId="77777777" w:rsidR="0036683D" w:rsidRDefault="0036683D" w:rsidP="007C461A">
            <w:pPr>
              <w:pStyle w:val="TableText0"/>
            </w:pPr>
            <w:r>
              <w:t>Cohort 1</w:t>
            </w:r>
          </w:p>
        </w:tc>
        <w:tc>
          <w:tcPr>
            <w:tcW w:w="1082" w:type="pct"/>
            <w:vAlign w:val="center"/>
          </w:tcPr>
          <w:p w14:paraId="0A876E8D" w14:textId="361C076D" w:rsidR="0036683D" w:rsidRDefault="0036683D" w:rsidP="007C461A">
            <w:pPr>
              <w:pStyle w:val="TableText0"/>
              <w:jc w:val="center"/>
            </w:pPr>
            <w:r>
              <w:t>147/2555 (5.8%)</w:t>
            </w:r>
          </w:p>
        </w:tc>
        <w:tc>
          <w:tcPr>
            <w:tcW w:w="1014" w:type="pct"/>
            <w:vAlign w:val="center"/>
          </w:tcPr>
          <w:p w14:paraId="08A8D98A" w14:textId="65823A29" w:rsidR="0036683D" w:rsidRDefault="0036683D" w:rsidP="007C461A">
            <w:pPr>
              <w:pStyle w:val="TableText0"/>
              <w:jc w:val="center"/>
            </w:pPr>
            <w:r>
              <w:t>168/2565 (6.6%)</w:t>
            </w:r>
          </w:p>
        </w:tc>
        <w:tc>
          <w:tcPr>
            <w:tcW w:w="1151" w:type="pct"/>
            <w:vAlign w:val="center"/>
          </w:tcPr>
          <w:p w14:paraId="4504C0C5" w14:textId="77777777" w:rsidR="0036683D" w:rsidRPr="00464862" w:rsidRDefault="0036683D" w:rsidP="007C461A">
            <w:pPr>
              <w:pStyle w:val="TableText0"/>
              <w:jc w:val="center"/>
            </w:pPr>
            <w:r>
              <w:t>0.89</w:t>
            </w:r>
            <w:r w:rsidRPr="00464862">
              <w:t xml:space="preserve"> (0.</w:t>
            </w:r>
            <w:r>
              <w:t>71</w:t>
            </w:r>
            <w:r w:rsidRPr="00464862">
              <w:t>, 1.</w:t>
            </w:r>
            <w:r>
              <w:t>11</w:t>
            </w:r>
            <w:r w:rsidRPr="00464862">
              <w:t>)</w:t>
            </w:r>
          </w:p>
        </w:tc>
      </w:tr>
      <w:tr w:rsidR="0036683D" w:rsidRPr="008E7F65" w14:paraId="73D4BC35" w14:textId="77777777" w:rsidTr="003750AC">
        <w:tc>
          <w:tcPr>
            <w:tcW w:w="1753" w:type="pct"/>
            <w:vAlign w:val="center"/>
          </w:tcPr>
          <w:p w14:paraId="33F662E6" w14:textId="77777777" w:rsidR="0036683D" w:rsidRDefault="0036683D" w:rsidP="007C461A">
            <w:pPr>
              <w:pStyle w:val="TableText0"/>
            </w:pPr>
            <w:r>
              <w:t>Cohort 2</w:t>
            </w:r>
          </w:p>
        </w:tc>
        <w:tc>
          <w:tcPr>
            <w:tcW w:w="1082" w:type="pct"/>
            <w:vAlign w:val="center"/>
          </w:tcPr>
          <w:p w14:paraId="0E3CD033" w14:textId="6C55B6FD" w:rsidR="0036683D" w:rsidRDefault="0036683D" w:rsidP="007C461A">
            <w:pPr>
              <w:pStyle w:val="TableText0"/>
              <w:jc w:val="center"/>
            </w:pPr>
            <w:r>
              <w:t>10/253 (4.0%)</w:t>
            </w:r>
          </w:p>
        </w:tc>
        <w:tc>
          <w:tcPr>
            <w:tcW w:w="1014" w:type="pct"/>
            <w:vAlign w:val="center"/>
          </w:tcPr>
          <w:p w14:paraId="4E0BE24F" w14:textId="4FFE1F7E" w:rsidR="0036683D" w:rsidRDefault="0036683D" w:rsidP="007C461A">
            <w:pPr>
              <w:pStyle w:val="TableText0"/>
              <w:jc w:val="center"/>
            </w:pPr>
            <w:r>
              <w:t>5/264 (1.9%)</w:t>
            </w:r>
          </w:p>
        </w:tc>
        <w:tc>
          <w:tcPr>
            <w:tcW w:w="1151" w:type="pct"/>
            <w:vAlign w:val="center"/>
          </w:tcPr>
          <w:p w14:paraId="484E02F8" w14:textId="3D029311" w:rsidR="0036683D" w:rsidRPr="00A60ECC" w:rsidRDefault="0036683D" w:rsidP="007C461A">
            <w:pPr>
              <w:pStyle w:val="TableText0"/>
              <w:jc w:val="center"/>
            </w:pPr>
            <w:r w:rsidRPr="00C852B0">
              <w:rPr>
                <w:bCs w:val="0"/>
              </w:rPr>
              <w:t>Not available</w:t>
            </w:r>
          </w:p>
        </w:tc>
      </w:tr>
    </w:tbl>
    <w:p w14:paraId="1FB81813" w14:textId="33634EE7" w:rsidR="007F5050" w:rsidRPr="00266C2E" w:rsidRDefault="007F5050" w:rsidP="007F5050">
      <w:pPr>
        <w:pStyle w:val="Caption"/>
        <w:rPr>
          <w:b w:val="0"/>
          <w:bCs w:val="0"/>
          <w:sz w:val="18"/>
        </w:rPr>
      </w:pPr>
      <w:bookmarkStart w:id="25" w:name="_Toc22897642"/>
      <w:r w:rsidRPr="00266C2E">
        <w:rPr>
          <w:b w:val="0"/>
          <w:bCs w:val="0"/>
          <w:sz w:val="18"/>
        </w:rPr>
        <w:t>Source: Attachment A2.16_monarchE_AFU2 (July 2022) Statistical tables – confidential, pp</w:t>
      </w:r>
      <w:r w:rsidR="00BD0413">
        <w:rPr>
          <w:b w:val="0"/>
          <w:bCs w:val="0"/>
          <w:sz w:val="18"/>
        </w:rPr>
        <w:t xml:space="preserve"> </w:t>
      </w:r>
      <w:r w:rsidRPr="00266C2E">
        <w:rPr>
          <w:b w:val="0"/>
          <w:bCs w:val="0"/>
          <w:sz w:val="18"/>
        </w:rPr>
        <w:t>4,</w:t>
      </w:r>
      <w:r w:rsidR="00675CC6">
        <w:rPr>
          <w:b w:val="0"/>
          <w:bCs w:val="0"/>
          <w:sz w:val="18"/>
        </w:rPr>
        <w:t xml:space="preserve"> </w:t>
      </w:r>
      <w:r w:rsidRPr="00266C2E">
        <w:rPr>
          <w:b w:val="0"/>
          <w:bCs w:val="0"/>
          <w:sz w:val="18"/>
        </w:rPr>
        <w:t>6,</w:t>
      </w:r>
      <w:r w:rsidR="00675CC6">
        <w:rPr>
          <w:b w:val="0"/>
          <w:bCs w:val="0"/>
          <w:sz w:val="18"/>
        </w:rPr>
        <w:t xml:space="preserve"> </w:t>
      </w:r>
      <w:r w:rsidRPr="00266C2E">
        <w:rPr>
          <w:b w:val="0"/>
          <w:bCs w:val="0"/>
          <w:sz w:val="18"/>
        </w:rPr>
        <w:t>8,</w:t>
      </w:r>
      <w:r w:rsidR="00675CC6">
        <w:rPr>
          <w:b w:val="0"/>
          <w:bCs w:val="0"/>
          <w:sz w:val="18"/>
        </w:rPr>
        <w:t xml:space="preserve"> </w:t>
      </w:r>
      <w:r w:rsidRPr="00266C2E">
        <w:rPr>
          <w:b w:val="0"/>
          <w:bCs w:val="0"/>
          <w:sz w:val="18"/>
        </w:rPr>
        <w:t>20,</w:t>
      </w:r>
      <w:r w:rsidR="00675CC6">
        <w:rPr>
          <w:b w:val="0"/>
          <w:bCs w:val="0"/>
          <w:sz w:val="18"/>
        </w:rPr>
        <w:t xml:space="preserve"> </w:t>
      </w:r>
      <w:r w:rsidRPr="00266C2E">
        <w:rPr>
          <w:b w:val="0"/>
          <w:bCs w:val="0"/>
          <w:sz w:val="18"/>
        </w:rPr>
        <w:t>22, and 24.</w:t>
      </w:r>
    </w:p>
    <w:p w14:paraId="6D5AE574" w14:textId="6454D59C" w:rsidR="007F5050" w:rsidRPr="00266C2E" w:rsidRDefault="007F5050" w:rsidP="00B043EA">
      <w:pPr>
        <w:spacing w:after="120"/>
        <w:rPr>
          <w:rFonts w:ascii="Arial Narrow" w:hAnsi="Arial Narrow"/>
          <w:sz w:val="18"/>
          <w:szCs w:val="18"/>
        </w:rPr>
      </w:pPr>
      <w:r w:rsidRPr="00266C2E">
        <w:rPr>
          <w:rFonts w:ascii="Arial Narrow" w:hAnsi="Arial Narrow"/>
          <w:sz w:val="18"/>
          <w:szCs w:val="18"/>
        </w:rPr>
        <w:t xml:space="preserve">ABE = abemaciclib; AFU2 = additional follow-up 2; CI = confidence interval; DCO = data cut-off; </w:t>
      </w:r>
      <w:r w:rsidR="003B67EE">
        <w:rPr>
          <w:rFonts w:ascii="Arial Narrow" w:hAnsi="Arial Narrow"/>
          <w:sz w:val="18"/>
          <w:szCs w:val="18"/>
        </w:rPr>
        <w:t xml:space="preserve">DRFS = distant relapse-free survival; </w:t>
      </w:r>
      <w:r w:rsidRPr="00266C2E">
        <w:rPr>
          <w:rFonts w:ascii="Arial Narrow" w:hAnsi="Arial Narrow"/>
          <w:sz w:val="18"/>
          <w:szCs w:val="18"/>
        </w:rPr>
        <w:t>ET = endocrine therapy; HR = hazard ratio; ITT = intention-to-treat</w:t>
      </w:r>
      <w:r w:rsidR="00BB1A2C">
        <w:rPr>
          <w:rFonts w:ascii="Arial Narrow" w:hAnsi="Arial Narrow"/>
          <w:sz w:val="18"/>
          <w:szCs w:val="18"/>
        </w:rPr>
        <w:t xml:space="preserve">; </w:t>
      </w:r>
      <w:r w:rsidR="00BB1A2C" w:rsidRPr="00BB1A2C">
        <w:rPr>
          <w:rFonts w:ascii="Arial Narrow" w:hAnsi="Arial Narrow" w:cstheme="minorHAnsi"/>
          <w:sz w:val="18"/>
          <w:szCs w:val="18"/>
        </w:rPr>
        <w:t xml:space="preserve">n = number of participants reporting data; N = total participants in group; </w:t>
      </w:r>
      <w:r w:rsidR="00BB1A2C">
        <w:rPr>
          <w:rFonts w:ascii="Arial Narrow" w:hAnsi="Arial Narrow"/>
          <w:sz w:val="18"/>
          <w:szCs w:val="18"/>
        </w:rPr>
        <w:t>OS = overall survival</w:t>
      </w:r>
      <w:r w:rsidRPr="00266C2E">
        <w:rPr>
          <w:rFonts w:ascii="Arial Narrow" w:hAnsi="Arial Narrow"/>
          <w:sz w:val="18"/>
          <w:szCs w:val="18"/>
        </w:rPr>
        <w:t xml:space="preserve">. </w:t>
      </w:r>
      <w:r w:rsidRPr="00266C2E">
        <w:rPr>
          <w:rFonts w:ascii="Arial Narrow" w:hAnsi="Arial Narrow"/>
          <w:b/>
          <w:bCs/>
          <w:sz w:val="18"/>
          <w:szCs w:val="18"/>
        </w:rPr>
        <w:t xml:space="preserve">Bold </w:t>
      </w:r>
      <w:r w:rsidRPr="00266C2E">
        <w:rPr>
          <w:rFonts w:ascii="Arial Narrow" w:hAnsi="Arial Narrow"/>
          <w:sz w:val="18"/>
          <w:szCs w:val="18"/>
        </w:rPr>
        <w:t>i</w:t>
      </w:r>
      <w:r w:rsidR="00266C2E">
        <w:rPr>
          <w:rFonts w:ascii="Arial Narrow" w:hAnsi="Arial Narrow"/>
          <w:sz w:val="18"/>
          <w:szCs w:val="18"/>
        </w:rPr>
        <w:t>ndicates</w:t>
      </w:r>
      <w:r w:rsidRPr="00266C2E">
        <w:rPr>
          <w:rFonts w:ascii="Arial Narrow" w:hAnsi="Arial Narrow"/>
          <w:sz w:val="18"/>
          <w:szCs w:val="18"/>
        </w:rPr>
        <w:t xml:space="preserve"> statistically significant</w:t>
      </w:r>
      <w:r w:rsidR="00266C2E">
        <w:rPr>
          <w:rFonts w:ascii="Arial Narrow" w:hAnsi="Arial Narrow"/>
          <w:sz w:val="18"/>
          <w:szCs w:val="18"/>
        </w:rPr>
        <w:t xml:space="preserve"> results</w:t>
      </w:r>
      <w:r w:rsidRPr="00266C2E">
        <w:rPr>
          <w:rFonts w:ascii="Arial Narrow" w:hAnsi="Arial Narrow"/>
          <w:sz w:val="18"/>
          <w:szCs w:val="18"/>
        </w:rPr>
        <w:t>.</w:t>
      </w:r>
    </w:p>
    <w:p w14:paraId="34AABAB8" w14:textId="6109C059" w:rsidR="00221765" w:rsidRPr="00221765" w:rsidRDefault="00221765" w:rsidP="00221765">
      <w:pPr>
        <w:keepNext/>
        <w:keepLines/>
        <w:rPr>
          <w:rFonts w:ascii="Arial Narrow" w:hAnsi="Arial Narrow"/>
          <w:b/>
          <w:bCs/>
          <w:sz w:val="20"/>
          <w:szCs w:val="18"/>
        </w:rPr>
      </w:pPr>
      <w:r w:rsidRPr="00221765">
        <w:rPr>
          <w:rFonts w:ascii="Arial Narrow" w:hAnsi="Arial Narrow"/>
          <w:b/>
          <w:bCs/>
          <w:sz w:val="20"/>
          <w:szCs w:val="18"/>
        </w:rPr>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1</w:t>
      </w:r>
      <w:r w:rsidRPr="00221765">
        <w:rPr>
          <w:rFonts w:ascii="Arial Narrow" w:hAnsi="Arial Narrow"/>
          <w:b/>
          <w:bCs/>
          <w:sz w:val="20"/>
          <w:szCs w:val="18"/>
        </w:rPr>
        <w:fldChar w:fldCharType="end"/>
      </w:r>
      <w:r w:rsidRPr="00221765">
        <w:rPr>
          <w:rFonts w:ascii="Arial Narrow" w:hAnsi="Arial Narrow"/>
          <w:b/>
          <w:bCs/>
          <w:sz w:val="20"/>
          <w:szCs w:val="18"/>
        </w:rPr>
        <w:t>: K-M plot of IDFS, ITT population, AFU2 (July 2022)</w:t>
      </w:r>
    </w:p>
    <w:p w14:paraId="14C9F23F" w14:textId="77777777" w:rsidR="00221765" w:rsidRPr="00221765" w:rsidRDefault="00221765" w:rsidP="00221765">
      <w:pPr>
        <w:keepNext/>
        <w:rPr>
          <w:iCs/>
        </w:rPr>
      </w:pPr>
      <w:r w:rsidRPr="00221765">
        <w:rPr>
          <w:noProof/>
        </w:rPr>
        <w:drawing>
          <wp:inline distT="0" distB="0" distL="0" distR="0" wp14:anchorId="15BF5FD4" wp14:editId="5E74E87C">
            <wp:extent cx="5760000" cy="2453887"/>
            <wp:effectExtent l="0" t="0" r="0" b="3810"/>
            <wp:docPr id="2" name="Picture 2" descr="Figure 1: K-M plot of IDFS, ITT population, AFU2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M plot of IDFS, ITT population, AFU2 (July 2022)"/>
                    <pic:cNvPicPr/>
                  </pic:nvPicPr>
                  <pic:blipFill>
                    <a:blip r:embed="rId8"/>
                    <a:stretch>
                      <a:fillRect/>
                    </a:stretch>
                  </pic:blipFill>
                  <pic:spPr>
                    <a:xfrm>
                      <a:off x="0" y="0"/>
                      <a:ext cx="5760000" cy="2453887"/>
                    </a:xfrm>
                    <a:prstGeom prst="rect">
                      <a:avLst/>
                    </a:prstGeom>
                  </pic:spPr>
                </pic:pic>
              </a:graphicData>
            </a:graphic>
          </wp:inline>
        </w:drawing>
      </w:r>
    </w:p>
    <w:p w14:paraId="225F26B7" w14:textId="77777777" w:rsidR="00221765" w:rsidRPr="00221765" w:rsidRDefault="00221765" w:rsidP="00221765">
      <w:pPr>
        <w:keepNext/>
        <w:rPr>
          <w:rFonts w:ascii="Arial Narrow" w:eastAsiaTheme="majorEastAsia" w:hAnsi="Arial Narrow" w:cstheme="majorBidi"/>
          <w:bCs/>
          <w:sz w:val="18"/>
          <w:szCs w:val="18"/>
          <w:lang w:bidi="en-US"/>
        </w:rPr>
      </w:pPr>
      <w:r w:rsidRPr="00221765">
        <w:rPr>
          <w:rFonts w:ascii="Arial Narrow" w:eastAsiaTheme="majorEastAsia" w:hAnsi="Arial Narrow" w:cstheme="majorBidi"/>
          <w:bCs/>
          <w:sz w:val="18"/>
          <w:szCs w:val="18"/>
          <w:lang w:bidi="en-US"/>
        </w:rPr>
        <w:t>Source: Figure 2-8, p98 of the resubmission.</w:t>
      </w:r>
    </w:p>
    <w:p w14:paraId="07D8EB5D" w14:textId="25332DDE" w:rsidR="00221765" w:rsidRPr="00B043EA" w:rsidRDefault="00221765" w:rsidP="00B043EA">
      <w:pPr>
        <w:spacing w:after="120"/>
        <w:rPr>
          <w:rFonts w:ascii="Arial Narrow" w:hAnsi="Arial Narrow"/>
          <w:sz w:val="18"/>
          <w:szCs w:val="18"/>
        </w:rPr>
      </w:pPr>
      <w:r w:rsidRPr="00221765">
        <w:rPr>
          <w:rFonts w:ascii="Arial Narrow" w:hAnsi="Arial Narrow"/>
          <w:sz w:val="18"/>
          <w:szCs w:val="18"/>
        </w:rPr>
        <w:t># = number of; CI = confidence interval; ET = endocrine therapy; HR = hazard ratio; IDFS = invasive disease-free survival; ITT = intent-to-treat; K-M = Kaplan-Meier; OS = overall survival</w:t>
      </w:r>
      <w:r w:rsidR="008114F1">
        <w:rPr>
          <w:rFonts w:ascii="Arial Narrow" w:hAnsi="Arial Narrow"/>
          <w:sz w:val="18"/>
          <w:szCs w:val="18"/>
        </w:rPr>
        <w:t xml:space="preserve">; </w:t>
      </w:r>
      <w:r w:rsidR="008114F1" w:rsidRPr="008114F1">
        <w:rPr>
          <w:rFonts w:ascii="Arial Narrow" w:hAnsi="Arial Narrow"/>
          <w:sz w:val="18"/>
          <w:szCs w:val="18"/>
        </w:rPr>
        <w:t>OS IA1 = OS Interim Analysis 1 = Additional Follow up 1 (AFU1; April 2021)</w:t>
      </w:r>
    </w:p>
    <w:p w14:paraId="27C9FD51" w14:textId="36087377" w:rsidR="00221765" w:rsidRPr="00221765" w:rsidRDefault="00221765" w:rsidP="00221765">
      <w:pPr>
        <w:keepNext/>
        <w:keepLines/>
        <w:spacing w:after="80"/>
        <w:rPr>
          <w:rFonts w:ascii="Arial Narrow" w:hAnsi="Arial Narrow"/>
          <w:b/>
          <w:bCs/>
          <w:sz w:val="20"/>
          <w:szCs w:val="18"/>
        </w:rPr>
      </w:pPr>
      <w:r w:rsidRPr="00221765">
        <w:rPr>
          <w:rFonts w:ascii="Arial Narrow" w:hAnsi="Arial Narrow"/>
          <w:b/>
          <w:bCs/>
          <w:sz w:val="20"/>
          <w:szCs w:val="18"/>
        </w:rPr>
        <w:lastRenderedPageBreak/>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2</w:t>
      </w:r>
      <w:r w:rsidRPr="00221765">
        <w:rPr>
          <w:rFonts w:ascii="Arial Narrow" w:hAnsi="Arial Narrow"/>
          <w:b/>
          <w:bCs/>
          <w:noProof/>
          <w:sz w:val="20"/>
          <w:szCs w:val="18"/>
        </w:rPr>
        <w:fldChar w:fldCharType="end"/>
      </w:r>
      <w:r w:rsidRPr="00221765">
        <w:rPr>
          <w:rFonts w:ascii="Arial Narrow" w:hAnsi="Arial Narrow"/>
          <w:b/>
          <w:bCs/>
          <w:sz w:val="20"/>
          <w:szCs w:val="18"/>
        </w:rPr>
        <w:t>: K-M plot of IDFS, Cohort 1, AFU2 (July 2022)</w:t>
      </w:r>
    </w:p>
    <w:p w14:paraId="0B07DE8D" w14:textId="77777777" w:rsidR="00221765" w:rsidRPr="00221765" w:rsidRDefault="00221765" w:rsidP="00221765">
      <w:pPr>
        <w:keepNext/>
        <w:rPr>
          <w:iCs/>
        </w:rPr>
      </w:pPr>
      <w:r w:rsidRPr="00221765">
        <w:rPr>
          <w:noProof/>
        </w:rPr>
        <w:drawing>
          <wp:inline distT="0" distB="0" distL="0" distR="0" wp14:anchorId="5067EEDC" wp14:editId="20AD85E3">
            <wp:extent cx="5760000" cy="2967756"/>
            <wp:effectExtent l="0" t="0" r="0" b="4445"/>
            <wp:docPr id="37" name="Picture 37" descr="Figure 2: K-M plot of IDFS, Cohort 1, AFU2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2: K-M plot of IDFS, Cohort 1, AFU2 (July 2022)"/>
                    <pic:cNvPicPr/>
                  </pic:nvPicPr>
                  <pic:blipFill>
                    <a:blip r:embed="rId9"/>
                    <a:stretch>
                      <a:fillRect/>
                    </a:stretch>
                  </pic:blipFill>
                  <pic:spPr>
                    <a:xfrm>
                      <a:off x="0" y="0"/>
                      <a:ext cx="5760000" cy="2967756"/>
                    </a:xfrm>
                    <a:prstGeom prst="rect">
                      <a:avLst/>
                    </a:prstGeom>
                  </pic:spPr>
                </pic:pic>
              </a:graphicData>
            </a:graphic>
          </wp:inline>
        </w:drawing>
      </w:r>
    </w:p>
    <w:p w14:paraId="47F17DB2" w14:textId="77777777" w:rsidR="00221765" w:rsidRPr="00221765" w:rsidRDefault="00221765" w:rsidP="00221765">
      <w:pPr>
        <w:keepNext/>
        <w:rPr>
          <w:rFonts w:ascii="Arial Narrow" w:eastAsiaTheme="majorEastAsia" w:hAnsi="Arial Narrow" w:cstheme="majorBidi"/>
          <w:bCs/>
          <w:sz w:val="18"/>
          <w:szCs w:val="18"/>
          <w:lang w:bidi="en-US"/>
        </w:rPr>
      </w:pPr>
      <w:r w:rsidRPr="00221765">
        <w:rPr>
          <w:rFonts w:ascii="Arial Narrow" w:eastAsiaTheme="majorEastAsia" w:hAnsi="Arial Narrow" w:cstheme="majorBidi"/>
          <w:bCs/>
          <w:sz w:val="18"/>
          <w:szCs w:val="18"/>
          <w:lang w:bidi="en-US"/>
        </w:rPr>
        <w:t>Source: Figure 2-25, p156 of the resubmission.</w:t>
      </w:r>
    </w:p>
    <w:p w14:paraId="166FF187" w14:textId="0953EA3D" w:rsidR="00221765" w:rsidRPr="00221765" w:rsidRDefault="00221765" w:rsidP="00221765">
      <w:pPr>
        <w:keepNext/>
        <w:rPr>
          <w:rFonts w:ascii="Arial Narrow" w:hAnsi="Arial Narrow"/>
          <w:sz w:val="18"/>
          <w:szCs w:val="18"/>
        </w:rPr>
      </w:pPr>
      <w:r w:rsidRPr="00221765">
        <w:rPr>
          <w:rFonts w:ascii="Arial Narrow" w:hAnsi="Arial Narrow"/>
          <w:sz w:val="18"/>
          <w:szCs w:val="18"/>
        </w:rPr>
        <w:t># = number of; CI = confidence interval; ET = endocrine therapy; HR = hazard ratio; IDFS = invasive disease-free survival; K-M = Kaplan-Meier; OS = overall surviva</w:t>
      </w:r>
      <w:r w:rsidR="008114F1">
        <w:rPr>
          <w:rFonts w:ascii="Arial Narrow" w:hAnsi="Arial Narrow"/>
          <w:sz w:val="18"/>
          <w:szCs w:val="18"/>
        </w:rPr>
        <w:t xml:space="preserve">l; </w:t>
      </w:r>
      <w:r w:rsidR="008114F1" w:rsidRPr="008114F1">
        <w:rPr>
          <w:rFonts w:ascii="Arial Narrow" w:hAnsi="Arial Narrow"/>
          <w:sz w:val="18"/>
          <w:szCs w:val="18"/>
        </w:rPr>
        <w:t>OS IA1 = OS Interim Analysis 1 = Additional Follow up 1 (AFU1; April 2021</w:t>
      </w:r>
      <w:r w:rsidRPr="00221765">
        <w:rPr>
          <w:rFonts w:ascii="Arial Narrow" w:hAnsi="Arial Narrow"/>
          <w:sz w:val="18"/>
          <w:szCs w:val="18"/>
        </w:rPr>
        <w:t>.</w:t>
      </w:r>
    </w:p>
    <w:p w14:paraId="05D92699" w14:textId="77777777" w:rsidR="00221765" w:rsidRPr="00221765" w:rsidRDefault="00221765" w:rsidP="00221765"/>
    <w:p w14:paraId="76AA750D" w14:textId="1D7ADD91" w:rsidR="00221765" w:rsidRPr="00221765" w:rsidRDefault="00221765" w:rsidP="00221765">
      <w:pPr>
        <w:keepNext/>
        <w:keepLines/>
        <w:spacing w:after="80"/>
        <w:rPr>
          <w:rFonts w:ascii="Arial Narrow" w:hAnsi="Arial Narrow"/>
          <w:b/>
          <w:bCs/>
          <w:sz w:val="20"/>
          <w:szCs w:val="18"/>
        </w:rPr>
      </w:pPr>
      <w:r w:rsidRPr="00221765">
        <w:rPr>
          <w:rFonts w:ascii="Arial Narrow" w:hAnsi="Arial Narrow"/>
          <w:b/>
          <w:bCs/>
          <w:sz w:val="20"/>
          <w:szCs w:val="18"/>
        </w:rPr>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3</w:t>
      </w:r>
      <w:r w:rsidRPr="00221765">
        <w:rPr>
          <w:rFonts w:ascii="Arial Narrow" w:hAnsi="Arial Narrow"/>
          <w:b/>
          <w:bCs/>
          <w:sz w:val="20"/>
          <w:szCs w:val="18"/>
        </w:rPr>
        <w:fldChar w:fldCharType="end"/>
      </w:r>
      <w:bookmarkStart w:id="26" w:name="_Toc118269989"/>
      <w:r w:rsidRPr="00221765">
        <w:rPr>
          <w:rFonts w:ascii="Arial Narrow" w:hAnsi="Arial Narrow"/>
          <w:b/>
          <w:bCs/>
          <w:sz w:val="20"/>
          <w:szCs w:val="18"/>
        </w:rPr>
        <w:t>: K-M plot of DRFS, ITT population, AFU2 (July 2022)</w:t>
      </w:r>
      <w:bookmarkEnd w:id="26"/>
    </w:p>
    <w:p w14:paraId="045959C7" w14:textId="77777777" w:rsidR="00221765" w:rsidRPr="00221765" w:rsidRDefault="00221765" w:rsidP="00221765">
      <w:pPr>
        <w:keepNext/>
        <w:rPr>
          <w:sz w:val="16"/>
          <w:szCs w:val="16"/>
        </w:rPr>
      </w:pPr>
      <w:r w:rsidRPr="00221765">
        <w:rPr>
          <w:noProof/>
        </w:rPr>
        <w:drawing>
          <wp:inline distT="0" distB="0" distL="0" distR="0" wp14:anchorId="37DF8199" wp14:editId="792B2DA0">
            <wp:extent cx="5760000" cy="2387549"/>
            <wp:effectExtent l="0" t="0" r="0" b="0"/>
            <wp:docPr id="11" name="Picture 11" descr="Figure 3: K-M plot of DRFS, ITT population, AFU2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3: K-M plot of DRFS, ITT population, AFU2 (July 2022)"/>
                    <pic:cNvPicPr/>
                  </pic:nvPicPr>
                  <pic:blipFill>
                    <a:blip r:embed="rId10"/>
                    <a:stretch>
                      <a:fillRect/>
                    </a:stretch>
                  </pic:blipFill>
                  <pic:spPr>
                    <a:xfrm>
                      <a:off x="0" y="0"/>
                      <a:ext cx="5760000" cy="2387549"/>
                    </a:xfrm>
                    <a:prstGeom prst="rect">
                      <a:avLst/>
                    </a:prstGeom>
                  </pic:spPr>
                </pic:pic>
              </a:graphicData>
            </a:graphic>
          </wp:inline>
        </w:drawing>
      </w:r>
    </w:p>
    <w:p w14:paraId="72D5EA0D" w14:textId="77777777" w:rsidR="00221765" w:rsidRPr="00221765" w:rsidRDefault="00221765" w:rsidP="00221765">
      <w:pPr>
        <w:keepNext/>
        <w:rPr>
          <w:rFonts w:ascii="Arial Narrow" w:hAnsi="Arial Narrow"/>
          <w:sz w:val="18"/>
          <w:szCs w:val="18"/>
        </w:rPr>
      </w:pPr>
      <w:r w:rsidRPr="00221765">
        <w:rPr>
          <w:rFonts w:ascii="Arial Narrow" w:hAnsi="Arial Narrow"/>
          <w:sz w:val="18"/>
          <w:szCs w:val="18"/>
        </w:rPr>
        <w:t>Source: Figure 2-15, p109 of the resubmission.</w:t>
      </w:r>
    </w:p>
    <w:p w14:paraId="1380EEDC" w14:textId="5EAF1FF3" w:rsidR="00221765" w:rsidRPr="00221765" w:rsidRDefault="00221765" w:rsidP="00927EF8">
      <w:pPr>
        <w:rPr>
          <w:rFonts w:ascii="Arial Narrow" w:hAnsi="Arial Narrow"/>
          <w:sz w:val="18"/>
          <w:szCs w:val="18"/>
        </w:rPr>
      </w:pPr>
      <w:r w:rsidRPr="00221765">
        <w:rPr>
          <w:rFonts w:ascii="Arial Narrow" w:hAnsi="Arial Narrow"/>
          <w:sz w:val="18"/>
          <w:szCs w:val="18"/>
        </w:rPr>
        <w:t># = number of; CI = confidence interval; DRFS = distant relapse-free survival; ET = endocrine therapy; HR = hazard ratio; ITT = intent-to-treat; K-M = Kaplan-Meier; OS = overall survival</w:t>
      </w:r>
      <w:r w:rsidR="008114F1">
        <w:rPr>
          <w:rFonts w:ascii="Arial Narrow" w:hAnsi="Arial Narrow"/>
          <w:sz w:val="18"/>
          <w:szCs w:val="18"/>
        </w:rPr>
        <w:t xml:space="preserve">; </w:t>
      </w:r>
      <w:r w:rsidR="008114F1" w:rsidRPr="008114F1">
        <w:rPr>
          <w:rFonts w:ascii="Arial Narrow" w:hAnsi="Arial Narrow"/>
          <w:sz w:val="18"/>
          <w:szCs w:val="18"/>
        </w:rPr>
        <w:t>OS IA1 = OS Interim Analysis 1 = Additional Follow up 1 (AFU1; April 2021</w:t>
      </w:r>
      <w:r w:rsidR="008114F1">
        <w:rPr>
          <w:rFonts w:ascii="Arial Narrow" w:hAnsi="Arial Narrow"/>
          <w:sz w:val="18"/>
          <w:szCs w:val="18"/>
        </w:rPr>
        <w:t>.</w:t>
      </w:r>
    </w:p>
    <w:p w14:paraId="54582465" w14:textId="77777777" w:rsidR="00221765" w:rsidRPr="00221765" w:rsidRDefault="00221765" w:rsidP="00221765">
      <w:pPr>
        <w:keepNext/>
        <w:keepLines/>
        <w:spacing w:after="80"/>
        <w:rPr>
          <w:rFonts w:ascii="Arial Narrow" w:hAnsi="Arial Narrow"/>
          <w:b/>
          <w:bCs/>
          <w:sz w:val="20"/>
          <w:szCs w:val="18"/>
        </w:rPr>
      </w:pPr>
    </w:p>
    <w:p w14:paraId="5479128D" w14:textId="51175AE7" w:rsidR="00221765" w:rsidRPr="00221765" w:rsidRDefault="00221765" w:rsidP="00221765">
      <w:pPr>
        <w:keepNext/>
        <w:keepLines/>
        <w:spacing w:after="80"/>
        <w:rPr>
          <w:rFonts w:ascii="Arial Narrow" w:hAnsi="Arial Narrow"/>
          <w:b/>
          <w:bCs/>
          <w:sz w:val="20"/>
          <w:szCs w:val="18"/>
        </w:rPr>
      </w:pPr>
      <w:r w:rsidRPr="00221765">
        <w:rPr>
          <w:rFonts w:ascii="Arial Narrow" w:hAnsi="Arial Narrow"/>
          <w:b/>
          <w:bCs/>
          <w:sz w:val="20"/>
          <w:szCs w:val="18"/>
        </w:rPr>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4</w:t>
      </w:r>
      <w:r w:rsidRPr="00221765">
        <w:rPr>
          <w:rFonts w:ascii="Arial Narrow" w:hAnsi="Arial Narrow"/>
          <w:b/>
          <w:bCs/>
          <w:noProof/>
          <w:sz w:val="20"/>
          <w:szCs w:val="18"/>
        </w:rPr>
        <w:fldChar w:fldCharType="end"/>
      </w:r>
      <w:r w:rsidRPr="00221765">
        <w:rPr>
          <w:rFonts w:ascii="Arial Narrow" w:hAnsi="Arial Narrow"/>
          <w:b/>
          <w:bCs/>
          <w:sz w:val="20"/>
          <w:szCs w:val="18"/>
        </w:rPr>
        <w:t>: K-M plot of DRFS, Cohort 1, AFU2 (July 2022)</w:t>
      </w:r>
    </w:p>
    <w:p w14:paraId="43C99F96" w14:textId="77777777" w:rsidR="00221765" w:rsidRPr="00221765" w:rsidRDefault="00221765" w:rsidP="00221765">
      <w:pPr>
        <w:keepNext/>
        <w:rPr>
          <w:sz w:val="16"/>
          <w:szCs w:val="16"/>
        </w:rPr>
      </w:pPr>
      <w:r w:rsidRPr="00221765">
        <w:rPr>
          <w:noProof/>
        </w:rPr>
        <w:drawing>
          <wp:inline distT="0" distB="0" distL="0" distR="0" wp14:anchorId="632F39A2" wp14:editId="7780092E">
            <wp:extent cx="5760000" cy="2410260"/>
            <wp:effectExtent l="0" t="0" r="0" b="9525"/>
            <wp:docPr id="38" name="Picture 38" descr="Figure 4: K-M plot of DRFS, Cohort 1, AFU2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4: K-M plot of DRFS, Cohort 1, AFU2 (July 2022)"/>
                    <pic:cNvPicPr/>
                  </pic:nvPicPr>
                  <pic:blipFill>
                    <a:blip r:embed="rId11"/>
                    <a:stretch>
                      <a:fillRect/>
                    </a:stretch>
                  </pic:blipFill>
                  <pic:spPr>
                    <a:xfrm>
                      <a:off x="0" y="0"/>
                      <a:ext cx="5760000" cy="2410260"/>
                    </a:xfrm>
                    <a:prstGeom prst="rect">
                      <a:avLst/>
                    </a:prstGeom>
                  </pic:spPr>
                </pic:pic>
              </a:graphicData>
            </a:graphic>
          </wp:inline>
        </w:drawing>
      </w:r>
    </w:p>
    <w:p w14:paraId="28FC1AB4" w14:textId="77777777" w:rsidR="00221765" w:rsidRPr="00221765" w:rsidRDefault="00221765" w:rsidP="00221765">
      <w:pPr>
        <w:keepNext/>
        <w:rPr>
          <w:rFonts w:ascii="Arial Narrow" w:hAnsi="Arial Narrow"/>
          <w:sz w:val="18"/>
          <w:szCs w:val="18"/>
        </w:rPr>
      </w:pPr>
      <w:r w:rsidRPr="00221765">
        <w:rPr>
          <w:rFonts w:ascii="Arial Narrow" w:hAnsi="Arial Narrow"/>
          <w:sz w:val="18"/>
          <w:szCs w:val="18"/>
        </w:rPr>
        <w:t>Source: Figure 2-27, p158 of the resubmission.</w:t>
      </w:r>
    </w:p>
    <w:p w14:paraId="6A9943BB" w14:textId="5A6FB589" w:rsidR="00221765" w:rsidRPr="00221765" w:rsidRDefault="00221765" w:rsidP="00221765">
      <w:pPr>
        <w:keepNext/>
        <w:rPr>
          <w:rFonts w:ascii="Arial Narrow" w:hAnsi="Arial Narrow"/>
          <w:sz w:val="18"/>
          <w:szCs w:val="18"/>
        </w:rPr>
      </w:pPr>
      <w:r w:rsidRPr="00221765">
        <w:rPr>
          <w:rFonts w:ascii="Arial Narrow" w:hAnsi="Arial Narrow"/>
          <w:sz w:val="18"/>
          <w:szCs w:val="18"/>
        </w:rPr>
        <w:t># = number of; CI = confidence interval; DRFS = distant relapse-free survival; ET = endocrine therapy; HR = hazard ratio; K-M = Kaplan-Meier; OS = overall survival</w:t>
      </w:r>
      <w:r w:rsidR="008114F1">
        <w:rPr>
          <w:rFonts w:ascii="Arial Narrow" w:hAnsi="Arial Narrow"/>
          <w:sz w:val="18"/>
          <w:szCs w:val="18"/>
        </w:rPr>
        <w:t xml:space="preserve">; </w:t>
      </w:r>
      <w:r w:rsidR="008114F1" w:rsidRPr="008114F1">
        <w:rPr>
          <w:rFonts w:ascii="Arial Narrow" w:hAnsi="Arial Narrow"/>
          <w:sz w:val="18"/>
          <w:szCs w:val="18"/>
        </w:rPr>
        <w:t>OS IA1 = OS Interim Analysis 1 = Additional Follow up 1 (AFU1; April 2021</w:t>
      </w:r>
      <w:r w:rsidR="008114F1">
        <w:rPr>
          <w:rFonts w:ascii="Arial Narrow" w:hAnsi="Arial Narrow"/>
          <w:sz w:val="18"/>
          <w:szCs w:val="18"/>
        </w:rPr>
        <w:t>.</w:t>
      </w:r>
    </w:p>
    <w:p w14:paraId="60CD3162" w14:textId="77777777" w:rsidR="00221765" w:rsidRPr="00221765" w:rsidRDefault="00221765" w:rsidP="00221765"/>
    <w:p w14:paraId="3AEC69B3" w14:textId="5D3888EC" w:rsidR="00221765" w:rsidRPr="00221765" w:rsidRDefault="00221765" w:rsidP="00221765">
      <w:pPr>
        <w:keepNext/>
        <w:keepLines/>
        <w:spacing w:after="80"/>
        <w:rPr>
          <w:rFonts w:asciiTheme="minorHAnsi" w:hAnsiTheme="minorHAnsi" w:cstheme="minorHAnsi"/>
          <w:b/>
          <w:bCs/>
          <w:sz w:val="20"/>
          <w:szCs w:val="18"/>
        </w:rPr>
      </w:pPr>
      <w:r w:rsidRPr="00221765">
        <w:rPr>
          <w:rFonts w:ascii="Arial Narrow" w:hAnsi="Arial Narrow"/>
          <w:b/>
          <w:bCs/>
          <w:sz w:val="20"/>
          <w:szCs w:val="18"/>
        </w:rPr>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5</w:t>
      </w:r>
      <w:r w:rsidRPr="00221765">
        <w:rPr>
          <w:rFonts w:ascii="Arial Narrow" w:hAnsi="Arial Narrow"/>
          <w:b/>
          <w:bCs/>
          <w:sz w:val="20"/>
          <w:szCs w:val="18"/>
        </w:rPr>
        <w:fldChar w:fldCharType="end"/>
      </w:r>
      <w:bookmarkStart w:id="27" w:name="_Toc118269994"/>
      <w:r w:rsidRPr="00221765">
        <w:rPr>
          <w:rFonts w:ascii="Arial Narrow" w:hAnsi="Arial Narrow"/>
          <w:b/>
          <w:bCs/>
          <w:sz w:val="20"/>
          <w:szCs w:val="18"/>
        </w:rPr>
        <w:t>: K-M plot of overall survival, ITT population, AFU2 (July 2022)</w:t>
      </w:r>
      <w:bookmarkEnd w:id="27"/>
    </w:p>
    <w:p w14:paraId="1A9FBD7D" w14:textId="77777777" w:rsidR="00221765" w:rsidRPr="00221765" w:rsidRDefault="00221765" w:rsidP="00221765">
      <w:pPr>
        <w:tabs>
          <w:tab w:val="left" w:pos="839"/>
          <w:tab w:val="left" w:pos="840"/>
        </w:tabs>
        <w:spacing w:after="40"/>
        <w:rPr>
          <w:rFonts w:asciiTheme="minorHAnsi" w:hAnsiTheme="minorHAnsi" w:cstheme="minorHAnsi"/>
          <w:iCs/>
          <w:sz w:val="16"/>
          <w:szCs w:val="16"/>
        </w:rPr>
      </w:pPr>
      <w:r w:rsidRPr="00221765">
        <w:rPr>
          <w:rFonts w:asciiTheme="minorHAnsi" w:hAnsiTheme="minorHAnsi" w:cstheme="minorHAnsi"/>
          <w:iCs/>
          <w:noProof/>
          <w:sz w:val="16"/>
          <w:szCs w:val="16"/>
        </w:rPr>
        <w:drawing>
          <wp:inline distT="0" distB="0" distL="0" distR="0" wp14:anchorId="4166D820" wp14:editId="55842C7D">
            <wp:extent cx="5760000" cy="2618236"/>
            <wp:effectExtent l="0" t="0" r="0" b="0"/>
            <wp:docPr id="14" name="Picture 14" descr="Figure 5: K-M plot of overall survival, ITT population, AFU2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5: K-M plot of overall survival, ITT population, AFU2 (July 2022)"/>
                    <pic:cNvPicPr/>
                  </pic:nvPicPr>
                  <pic:blipFill>
                    <a:blip r:embed="rId12"/>
                    <a:stretch>
                      <a:fillRect/>
                    </a:stretch>
                  </pic:blipFill>
                  <pic:spPr>
                    <a:xfrm>
                      <a:off x="0" y="0"/>
                      <a:ext cx="5760000" cy="2618236"/>
                    </a:xfrm>
                    <a:prstGeom prst="rect">
                      <a:avLst/>
                    </a:prstGeom>
                  </pic:spPr>
                </pic:pic>
              </a:graphicData>
            </a:graphic>
          </wp:inline>
        </w:drawing>
      </w:r>
    </w:p>
    <w:p w14:paraId="7D35267E" w14:textId="77777777" w:rsidR="00221765" w:rsidRPr="00221765" w:rsidRDefault="00221765" w:rsidP="00221765">
      <w:pPr>
        <w:keepNext/>
        <w:tabs>
          <w:tab w:val="left" w:pos="839"/>
          <w:tab w:val="left" w:pos="840"/>
        </w:tabs>
        <w:rPr>
          <w:rFonts w:ascii="Arial Narrow" w:hAnsi="Arial Narrow" w:cstheme="minorHAnsi"/>
          <w:sz w:val="18"/>
          <w:szCs w:val="18"/>
        </w:rPr>
      </w:pPr>
      <w:r w:rsidRPr="00221765">
        <w:rPr>
          <w:rFonts w:ascii="Arial Narrow" w:hAnsi="Arial Narrow"/>
          <w:sz w:val="18"/>
          <w:szCs w:val="18"/>
        </w:rPr>
        <w:t>Source: Figure 2-20, p 115 of the resubmission.</w:t>
      </w:r>
    </w:p>
    <w:p w14:paraId="7B12B7EA" w14:textId="77777777" w:rsidR="00221765" w:rsidRPr="00221765" w:rsidRDefault="00221765" w:rsidP="00221765">
      <w:pPr>
        <w:tabs>
          <w:tab w:val="left" w:pos="839"/>
          <w:tab w:val="left" w:pos="840"/>
        </w:tabs>
        <w:rPr>
          <w:rFonts w:ascii="Arial Narrow" w:hAnsi="Arial Narrow" w:cstheme="minorHAnsi"/>
          <w:sz w:val="18"/>
          <w:szCs w:val="18"/>
        </w:rPr>
      </w:pPr>
      <w:r w:rsidRPr="00221765">
        <w:rPr>
          <w:rFonts w:ascii="Arial Narrow" w:hAnsi="Arial Narrow" w:cstheme="minorHAnsi"/>
          <w:sz w:val="18"/>
          <w:szCs w:val="18"/>
        </w:rPr>
        <w:t xml:space="preserve"># = number of; CI = confidence interval; ET = endocrine therapy; HR = hazard ratio; </w:t>
      </w:r>
      <w:r w:rsidRPr="00221765">
        <w:rPr>
          <w:rFonts w:ascii="Arial Narrow" w:hAnsi="Arial Narrow"/>
          <w:sz w:val="18"/>
          <w:szCs w:val="18"/>
        </w:rPr>
        <w:t xml:space="preserve">K-M = Kaplan-Meier; </w:t>
      </w:r>
      <w:r w:rsidRPr="00221765">
        <w:rPr>
          <w:rFonts w:ascii="Arial Narrow" w:hAnsi="Arial Narrow" w:cstheme="minorHAnsi"/>
          <w:sz w:val="18"/>
          <w:szCs w:val="18"/>
        </w:rPr>
        <w:t>n = number of participants with event; N = total participants in group; OS = overall survival.</w:t>
      </w:r>
    </w:p>
    <w:p w14:paraId="18268DDC" w14:textId="77777777" w:rsidR="00221765" w:rsidRPr="00221765" w:rsidRDefault="00221765" w:rsidP="00221765"/>
    <w:p w14:paraId="1A1D0285" w14:textId="05889FB5" w:rsidR="00221765" w:rsidRPr="00221765" w:rsidRDefault="00221765" w:rsidP="00221765">
      <w:pPr>
        <w:keepNext/>
        <w:keepLines/>
        <w:spacing w:after="80"/>
        <w:rPr>
          <w:rFonts w:asciiTheme="minorHAnsi" w:hAnsiTheme="minorHAnsi" w:cstheme="minorHAnsi"/>
          <w:b/>
          <w:bCs/>
          <w:sz w:val="20"/>
          <w:szCs w:val="18"/>
        </w:rPr>
      </w:pPr>
      <w:r w:rsidRPr="00221765">
        <w:rPr>
          <w:rFonts w:ascii="Arial Narrow" w:hAnsi="Arial Narrow"/>
          <w:b/>
          <w:bCs/>
          <w:sz w:val="20"/>
          <w:szCs w:val="18"/>
        </w:rPr>
        <w:lastRenderedPageBreak/>
        <w:t xml:space="preserve">Figure </w:t>
      </w:r>
      <w:r w:rsidRPr="00221765">
        <w:rPr>
          <w:rFonts w:ascii="Arial Narrow" w:hAnsi="Arial Narrow"/>
          <w:b/>
          <w:bCs/>
          <w:sz w:val="20"/>
          <w:szCs w:val="18"/>
        </w:rPr>
        <w:fldChar w:fldCharType="begin"/>
      </w:r>
      <w:r w:rsidRPr="00221765">
        <w:rPr>
          <w:rFonts w:ascii="Arial Narrow" w:hAnsi="Arial Narrow"/>
          <w:b/>
          <w:bCs/>
          <w:sz w:val="20"/>
          <w:szCs w:val="18"/>
        </w:rPr>
        <w:instrText xml:space="preserve"> SEQ Figure \* ARABIC </w:instrText>
      </w:r>
      <w:r w:rsidRPr="00221765">
        <w:rPr>
          <w:rFonts w:ascii="Arial Narrow" w:hAnsi="Arial Narrow"/>
          <w:b/>
          <w:bCs/>
          <w:sz w:val="20"/>
          <w:szCs w:val="18"/>
        </w:rPr>
        <w:fldChar w:fldCharType="separate"/>
      </w:r>
      <w:r w:rsidR="0001201E">
        <w:rPr>
          <w:rFonts w:ascii="Arial Narrow" w:hAnsi="Arial Narrow"/>
          <w:b/>
          <w:bCs/>
          <w:noProof/>
          <w:sz w:val="20"/>
          <w:szCs w:val="18"/>
        </w:rPr>
        <w:t>6</w:t>
      </w:r>
      <w:r w:rsidRPr="00221765">
        <w:rPr>
          <w:rFonts w:ascii="Arial Narrow" w:hAnsi="Arial Narrow"/>
          <w:b/>
          <w:bCs/>
          <w:noProof/>
          <w:sz w:val="20"/>
          <w:szCs w:val="18"/>
        </w:rPr>
        <w:fldChar w:fldCharType="end"/>
      </w:r>
      <w:r w:rsidRPr="00221765">
        <w:rPr>
          <w:rFonts w:ascii="Arial Narrow" w:hAnsi="Arial Narrow"/>
          <w:b/>
          <w:bCs/>
          <w:sz w:val="20"/>
          <w:szCs w:val="18"/>
        </w:rPr>
        <w:t>: K-M plot of overall survival, Cohort 1, AFU2 (July 2022)</w:t>
      </w:r>
    </w:p>
    <w:p w14:paraId="65F67ABC" w14:textId="77777777" w:rsidR="00221765" w:rsidRPr="00221765" w:rsidRDefault="00221765" w:rsidP="00221765">
      <w:pPr>
        <w:tabs>
          <w:tab w:val="left" w:pos="839"/>
          <w:tab w:val="left" w:pos="840"/>
        </w:tabs>
        <w:spacing w:after="40"/>
        <w:rPr>
          <w:rFonts w:asciiTheme="minorHAnsi" w:hAnsiTheme="minorHAnsi" w:cstheme="minorHAnsi"/>
          <w:iCs/>
          <w:sz w:val="16"/>
          <w:szCs w:val="16"/>
        </w:rPr>
      </w:pPr>
      <w:r w:rsidRPr="00221765">
        <w:rPr>
          <w:noProof/>
        </w:rPr>
        <w:drawing>
          <wp:inline distT="0" distB="0" distL="0" distR="0" wp14:anchorId="7C88438E" wp14:editId="09BD8444">
            <wp:extent cx="4301656" cy="3261360"/>
            <wp:effectExtent l="0" t="0" r="3810" b="0"/>
            <wp:docPr id="62" name="Picture 62" descr="Figure 6: K-M plot of overall survival, Cohort 1, AFU2 (July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Picture 62" descr="Figure 6: K-M plot of overall survival, Cohort 1, AFU2 (July 2022)"/>
                    <pic:cNvPicPr/>
                  </pic:nvPicPr>
                  <pic:blipFill>
                    <a:blip r:embed="rId13"/>
                    <a:stretch>
                      <a:fillRect/>
                    </a:stretch>
                  </pic:blipFill>
                  <pic:spPr>
                    <a:xfrm>
                      <a:off x="0" y="0"/>
                      <a:ext cx="4313456" cy="3270307"/>
                    </a:xfrm>
                    <a:prstGeom prst="rect">
                      <a:avLst/>
                    </a:prstGeom>
                  </pic:spPr>
                </pic:pic>
              </a:graphicData>
            </a:graphic>
          </wp:inline>
        </w:drawing>
      </w:r>
    </w:p>
    <w:p w14:paraId="3BCF7702" w14:textId="77777777" w:rsidR="00221765" w:rsidRPr="00221765" w:rsidRDefault="00221765" w:rsidP="00221765">
      <w:pPr>
        <w:keepNext/>
        <w:tabs>
          <w:tab w:val="left" w:pos="839"/>
          <w:tab w:val="left" w:pos="840"/>
        </w:tabs>
        <w:rPr>
          <w:rFonts w:ascii="Arial Narrow" w:hAnsi="Arial Narrow" w:cstheme="minorHAnsi"/>
          <w:sz w:val="18"/>
          <w:szCs w:val="18"/>
        </w:rPr>
      </w:pPr>
      <w:r w:rsidRPr="00221765">
        <w:rPr>
          <w:rFonts w:ascii="Arial Narrow" w:hAnsi="Arial Narrow"/>
          <w:sz w:val="18"/>
          <w:szCs w:val="18"/>
        </w:rPr>
        <w:t>Source: Figure 2-29, p161 of the resubmission.</w:t>
      </w:r>
    </w:p>
    <w:p w14:paraId="2115531B" w14:textId="77777777" w:rsidR="00221765" w:rsidRPr="00221765" w:rsidRDefault="00221765" w:rsidP="00927EF8">
      <w:pPr>
        <w:tabs>
          <w:tab w:val="left" w:pos="839"/>
          <w:tab w:val="left" w:pos="840"/>
        </w:tabs>
        <w:spacing w:after="120"/>
        <w:rPr>
          <w:rFonts w:ascii="Arial Narrow" w:hAnsi="Arial Narrow" w:cstheme="minorHAnsi"/>
          <w:sz w:val="18"/>
          <w:szCs w:val="18"/>
        </w:rPr>
      </w:pPr>
      <w:r w:rsidRPr="00221765">
        <w:rPr>
          <w:rFonts w:ascii="Arial Narrow" w:hAnsi="Arial Narrow" w:cstheme="minorHAnsi"/>
          <w:sz w:val="18"/>
          <w:szCs w:val="18"/>
        </w:rPr>
        <w:t xml:space="preserve"># = number of; CI = confidence interval; ET = endocrine therapy; HR = hazard ratio; </w:t>
      </w:r>
      <w:r w:rsidRPr="00221765">
        <w:rPr>
          <w:rFonts w:ascii="Arial Narrow" w:hAnsi="Arial Narrow"/>
          <w:sz w:val="18"/>
          <w:szCs w:val="18"/>
        </w:rPr>
        <w:t xml:space="preserve">K-M = Kaplan-Meier; </w:t>
      </w:r>
      <w:r w:rsidRPr="00221765">
        <w:rPr>
          <w:rFonts w:ascii="Arial Narrow" w:hAnsi="Arial Narrow" w:cstheme="minorHAnsi"/>
          <w:sz w:val="18"/>
          <w:szCs w:val="18"/>
        </w:rPr>
        <w:t>n = number of participants reporting data; N = total participants in group; OS = overall survival.</w:t>
      </w:r>
    </w:p>
    <w:p w14:paraId="4A22024F" w14:textId="3F1B3964" w:rsidR="00221765" w:rsidRDefault="00B95971" w:rsidP="00B95971">
      <w:pPr>
        <w:pStyle w:val="3-BodyText"/>
        <w:keepNext/>
      </w:pPr>
      <w:r>
        <w:t xml:space="preserve">A </w:t>
      </w:r>
      <w:r w:rsidRPr="00B95971">
        <w:rPr>
          <w:i/>
          <w:iCs/>
        </w:rPr>
        <w:t>post hoc</w:t>
      </w:r>
      <w:r>
        <w:t xml:space="preserve"> piecewise analysis of IDFS and DRFS at AFU2 (July 2022) </w:t>
      </w:r>
      <w:r w:rsidR="0098261C">
        <w:t>based on</w:t>
      </w:r>
      <w:r>
        <w:t xml:space="preserve"> the ITT population was provided in the P</w:t>
      </w:r>
      <w:r w:rsidR="00492D82">
        <w:t>re-Sub-Committee Response (P</w:t>
      </w:r>
      <w:r>
        <w:t>SCR</w:t>
      </w:r>
      <w:r w:rsidR="00492D82">
        <w:t xml:space="preserve">) </w:t>
      </w:r>
      <w:r w:rsidR="007B69F8">
        <w:t>(</w:t>
      </w:r>
      <w:r w:rsidR="007B69F8">
        <w:fldChar w:fldCharType="begin"/>
      </w:r>
      <w:r w:rsidR="007B69F8">
        <w:instrText xml:space="preserve"> REF _Ref130205373 \h  \* MERGEFORMAT </w:instrText>
      </w:r>
      <w:r w:rsidR="007B69F8">
        <w:fldChar w:fldCharType="separate"/>
      </w:r>
      <w:r w:rsidR="0001201E" w:rsidRPr="0001201E">
        <w:t>Table 6</w:t>
      </w:r>
      <w:r w:rsidR="007B69F8">
        <w:fldChar w:fldCharType="end"/>
      </w:r>
      <w:r w:rsidR="007B69F8">
        <w:t>)</w:t>
      </w:r>
      <w:r>
        <w:t>.</w:t>
      </w:r>
    </w:p>
    <w:p w14:paraId="0322ADD0" w14:textId="3FCEA3EF" w:rsidR="00272E3C" w:rsidRDefault="00B95971" w:rsidP="00272E3C">
      <w:pPr>
        <w:pStyle w:val="Caption"/>
      </w:pPr>
      <w:bookmarkStart w:id="28" w:name="_Ref130205373"/>
      <w:r w:rsidRPr="00272E3C">
        <w:rPr>
          <w:rStyle w:val="CommentReference"/>
          <w:b/>
          <w:bCs w:val="0"/>
          <w:szCs w:val="24"/>
        </w:rPr>
        <w:t xml:space="preserve">Table </w:t>
      </w:r>
      <w:r w:rsidRPr="00272E3C">
        <w:rPr>
          <w:rStyle w:val="CommentReference"/>
          <w:b/>
          <w:bCs w:val="0"/>
          <w:szCs w:val="24"/>
        </w:rPr>
        <w:fldChar w:fldCharType="begin"/>
      </w:r>
      <w:r w:rsidRPr="00272E3C">
        <w:rPr>
          <w:rStyle w:val="CommentReference"/>
          <w:b/>
          <w:bCs w:val="0"/>
          <w:szCs w:val="24"/>
        </w:rPr>
        <w:instrText xml:space="preserve"> SEQ Table \* ARABIC </w:instrText>
      </w:r>
      <w:r w:rsidRPr="00272E3C">
        <w:rPr>
          <w:rStyle w:val="CommentReference"/>
          <w:b/>
          <w:bCs w:val="0"/>
          <w:szCs w:val="24"/>
        </w:rPr>
        <w:fldChar w:fldCharType="separate"/>
      </w:r>
      <w:r w:rsidR="0001201E">
        <w:rPr>
          <w:rStyle w:val="CommentReference"/>
          <w:b/>
          <w:bCs w:val="0"/>
          <w:noProof/>
          <w:szCs w:val="24"/>
        </w:rPr>
        <w:t>6</w:t>
      </w:r>
      <w:r w:rsidRPr="00272E3C">
        <w:rPr>
          <w:rStyle w:val="CommentReference"/>
          <w:b/>
          <w:bCs w:val="0"/>
          <w:szCs w:val="24"/>
        </w:rPr>
        <w:fldChar w:fldCharType="end"/>
      </w:r>
      <w:bookmarkEnd w:id="28"/>
      <w:r w:rsidRPr="00272E3C">
        <w:rPr>
          <w:rStyle w:val="CommentReference"/>
          <w:b/>
          <w:bCs w:val="0"/>
          <w:szCs w:val="24"/>
        </w:rPr>
        <w:t>:</w:t>
      </w:r>
      <w:r w:rsidR="00272E3C" w:rsidRPr="00272E3C">
        <w:t xml:space="preserve"> </w:t>
      </w:r>
      <w:r w:rsidR="00272E3C" w:rsidRPr="00B472F3">
        <w:t xml:space="preserve">Piecewise </w:t>
      </w:r>
      <w:r w:rsidR="007B69F8">
        <w:t>a</w:t>
      </w:r>
      <w:r w:rsidR="00272E3C" w:rsidRPr="00B472F3">
        <w:t xml:space="preserve">nalysis for </w:t>
      </w:r>
      <w:r w:rsidR="00272E3C">
        <w:t>i</w:t>
      </w:r>
      <w:r w:rsidR="00272E3C" w:rsidRPr="00B472F3">
        <w:t xml:space="preserve">nvasive disease-free survival and </w:t>
      </w:r>
      <w:r w:rsidR="00272E3C">
        <w:t>d</w:t>
      </w:r>
      <w:r w:rsidR="00272E3C" w:rsidRPr="00B472F3">
        <w:t>istant relapse-free survival</w:t>
      </w:r>
      <w:r w:rsidR="00272E3C">
        <w:t>, AFU2 (July 2022), ITT</w:t>
      </w:r>
      <w:r w:rsidR="007B69F8">
        <w:t xml:space="preserv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83"/>
        <w:gridCol w:w="997"/>
        <w:gridCol w:w="992"/>
        <w:gridCol w:w="1986"/>
        <w:gridCol w:w="1134"/>
        <w:gridCol w:w="1134"/>
        <w:gridCol w:w="1791"/>
      </w:tblGrid>
      <w:tr w:rsidR="00272E3C" w:rsidRPr="008049CA" w14:paraId="1CB980E0" w14:textId="77777777" w:rsidTr="007B69F8">
        <w:trPr>
          <w:trHeight w:val="258"/>
        </w:trPr>
        <w:tc>
          <w:tcPr>
            <w:tcW w:w="545" w:type="pct"/>
            <w:vMerge w:val="restart"/>
          </w:tcPr>
          <w:p w14:paraId="44A3E6FC" w14:textId="1E3FD8CD" w:rsidR="00272E3C" w:rsidRPr="007B69F8" w:rsidRDefault="00272E3C" w:rsidP="007B69F8">
            <w:pPr>
              <w:keepNext/>
              <w:ind w:left="142"/>
              <w:jc w:val="left"/>
              <w:rPr>
                <w:rFonts w:ascii="Arial Narrow" w:eastAsiaTheme="majorEastAsia" w:hAnsi="Arial Narrow" w:cstheme="majorBidi"/>
                <w:bCs/>
                <w:sz w:val="20"/>
              </w:rPr>
            </w:pPr>
          </w:p>
        </w:tc>
        <w:tc>
          <w:tcPr>
            <w:tcW w:w="2204" w:type="pct"/>
            <w:gridSpan w:val="3"/>
          </w:tcPr>
          <w:p w14:paraId="5EE11AE7"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IDFS</w:t>
            </w:r>
          </w:p>
        </w:tc>
        <w:tc>
          <w:tcPr>
            <w:tcW w:w="2251" w:type="pct"/>
            <w:gridSpan w:val="3"/>
          </w:tcPr>
          <w:p w14:paraId="7CD1EE8D"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DRFS</w:t>
            </w:r>
          </w:p>
        </w:tc>
      </w:tr>
      <w:tr w:rsidR="007B69F8" w:rsidRPr="008049CA" w14:paraId="2602F937" w14:textId="77777777" w:rsidTr="007B69F8">
        <w:trPr>
          <w:trHeight w:val="258"/>
        </w:trPr>
        <w:tc>
          <w:tcPr>
            <w:tcW w:w="545" w:type="pct"/>
            <w:vMerge/>
          </w:tcPr>
          <w:p w14:paraId="1391C959" w14:textId="77777777" w:rsidR="00272E3C" w:rsidRPr="007B69F8" w:rsidRDefault="00272E3C" w:rsidP="007B69F8">
            <w:pPr>
              <w:keepNext/>
              <w:ind w:left="142"/>
              <w:jc w:val="left"/>
              <w:rPr>
                <w:rFonts w:ascii="Arial Narrow" w:eastAsiaTheme="majorEastAsia" w:hAnsi="Arial Narrow" w:cstheme="majorBidi"/>
                <w:bCs/>
                <w:sz w:val="20"/>
              </w:rPr>
            </w:pPr>
          </w:p>
        </w:tc>
        <w:tc>
          <w:tcPr>
            <w:tcW w:w="1103" w:type="pct"/>
            <w:gridSpan w:val="2"/>
          </w:tcPr>
          <w:p w14:paraId="5AE6291B"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Number of events</w:t>
            </w:r>
          </w:p>
        </w:tc>
        <w:tc>
          <w:tcPr>
            <w:tcW w:w="1101" w:type="pct"/>
            <w:vMerge w:val="restart"/>
          </w:tcPr>
          <w:p w14:paraId="03832B4F" w14:textId="77777777" w:rsid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Piecewise HR</w:t>
            </w:r>
            <w:r w:rsidRPr="007B69F8">
              <w:rPr>
                <w:rFonts w:ascii="Arial Narrow" w:eastAsiaTheme="majorEastAsia" w:hAnsi="Arial Narrow" w:cstheme="majorBidi"/>
                <w:b/>
                <w:sz w:val="20"/>
                <w:vertAlign w:val="superscript"/>
              </w:rPr>
              <w:t>a</w:t>
            </w:r>
            <w:r w:rsidRPr="007B69F8">
              <w:rPr>
                <w:rFonts w:ascii="Arial Narrow" w:eastAsiaTheme="majorEastAsia" w:hAnsi="Arial Narrow" w:cstheme="majorBidi"/>
                <w:b/>
                <w:sz w:val="20"/>
              </w:rPr>
              <w:t xml:space="preserve"> </w:t>
            </w:r>
          </w:p>
          <w:p w14:paraId="4AC3DF7A" w14:textId="42063745"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(95% CI</w:t>
            </w:r>
            <w:r w:rsidRPr="007B69F8">
              <w:rPr>
                <w:rFonts w:ascii="Arial Narrow" w:eastAsiaTheme="majorEastAsia" w:hAnsi="Arial Narrow" w:cstheme="majorBidi"/>
                <w:b/>
                <w:sz w:val="20"/>
                <w:vertAlign w:val="superscript"/>
              </w:rPr>
              <w:t>b</w:t>
            </w:r>
            <w:r w:rsidRPr="007B69F8">
              <w:rPr>
                <w:rFonts w:ascii="Arial Narrow" w:eastAsiaTheme="majorEastAsia" w:hAnsi="Arial Narrow" w:cstheme="majorBidi"/>
                <w:b/>
                <w:sz w:val="20"/>
              </w:rPr>
              <w:t>)</w:t>
            </w:r>
          </w:p>
        </w:tc>
        <w:tc>
          <w:tcPr>
            <w:tcW w:w="1258" w:type="pct"/>
            <w:gridSpan w:val="2"/>
          </w:tcPr>
          <w:p w14:paraId="57613006"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Number of events</w:t>
            </w:r>
          </w:p>
        </w:tc>
        <w:tc>
          <w:tcPr>
            <w:tcW w:w="993" w:type="pct"/>
            <w:vMerge w:val="restart"/>
          </w:tcPr>
          <w:p w14:paraId="44D092B8" w14:textId="77777777" w:rsidR="007B69F8"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Piecewise HR</w:t>
            </w:r>
            <w:r w:rsidRPr="007B69F8">
              <w:rPr>
                <w:rFonts w:ascii="Arial Narrow" w:eastAsiaTheme="majorEastAsia" w:hAnsi="Arial Narrow" w:cstheme="majorBidi"/>
                <w:b/>
                <w:sz w:val="20"/>
                <w:vertAlign w:val="superscript"/>
              </w:rPr>
              <w:t>a</w:t>
            </w:r>
            <w:r w:rsidRPr="007B69F8">
              <w:rPr>
                <w:rFonts w:ascii="Arial Narrow" w:eastAsiaTheme="majorEastAsia" w:hAnsi="Arial Narrow" w:cstheme="majorBidi"/>
                <w:b/>
                <w:sz w:val="20"/>
              </w:rPr>
              <w:t xml:space="preserve"> </w:t>
            </w:r>
          </w:p>
          <w:p w14:paraId="467C34D0" w14:textId="63D38635"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
                <w:sz w:val="20"/>
              </w:rPr>
              <w:t>(95% CI</w:t>
            </w:r>
            <w:r w:rsidRPr="007B69F8">
              <w:rPr>
                <w:rFonts w:ascii="Arial Narrow" w:eastAsiaTheme="majorEastAsia" w:hAnsi="Arial Narrow" w:cstheme="majorBidi"/>
                <w:b/>
                <w:sz w:val="20"/>
                <w:vertAlign w:val="superscript"/>
              </w:rPr>
              <w:t>b</w:t>
            </w:r>
            <w:r w:rsidRPr="007B69F8">
              <w:rPr>
                <w:rFonts w:ascii="Arial Narrow" w:eastAsiaTheme="majorEastAsia" w:hAnsi="Arial Narrow" w:cstheme="majorBidi"/>
                <w:b/>
                <w:sz w:val="20"/>
              </w:rPr>
              <w:t>)</w:t>
            </w:r>
          </w:p>
        </w:tc>
      </w:tr>
      <w:tr w:rsidR="007B69F8" w:rsidRPr="008049CA" w14:paraId="7D2EDD8A" w14:textId="77777777" w:rsidTr="007B69F8">
        <w:trPr>
          <w:trHeight w:val="258"/>
        </w:trPr>
        <w:tc>
          <w:tcPr>
            <w:tcW w:w="545" w:type="pct"/>
            <w:vMerge/>
          </w:tcPr>
          <w:p w14:paraId="5B1F6ACD" w14:textId="77777777" w:rsidR="00272E3C" w:rsidRPr="007B69F8" w:rsidRDefault="00272E3C" w:rsidP="007B69F8">
            <w:pPr>
              <w:keepNext/>
              <w:ind w:left="142"/>
              <w:jc w:val="left"/>
              <w:rPr>
                <w:rFonts w:ascii="Arial Narrow" w:eastAsiaTheme="majorEastAsia" w:hAnsi="Arial Narrow" w:cstheme="majorBidi"/>
                <w:bCs/>
                <w:sz w:val="20"/>
              </w:rPr>
            </w:pPr>
          </w:p>
        </w:tc>
        <w:tc>
          <w:tcPr>
            <w:tcW w:w="553" w:type="pct"/>
          </w:tcPr>
          <w:p w14:paraId="5F5120AC"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ABE + ET</w:t>
            </w:r>
          </w:p>
        </w:tc>
        <w:tc>
          <w:tcPr>
            <w:tcW w:w="550" w:type="pct"/>
          </w:tcPr>
          <w:p w14:paraId="465F5D65"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ET alone</w:t>
            </w:r>
          </w:p>
        </w:tc>
        <w:tc>
          <w:tcPr>
            <w:tcW w:w="1101" w:type="pct"/>
            <w:vMerge/>
          </w:tcPr>
          <w:p w14:paraId="538ECFA5" w14:textId="77777777" w:rsidR="00272E3C" w:rsidRPr="007B69F8" w:rsidRDefault="00272E3C" w:rsidP="007B69F8">
            <w:pPr>
              <w:keepNext/>
              <w:ind w:left="142" w:firstLine="1"/>
              <w:jc w:val="left"/>
              <w:rPr>
                <w:rFonts w:ascii="Arial Narrow" w:eastAsiaTheme="majorEastAsia" w:hAnsi="Arial Narrow" w:cstheme="majorBidi"/>
                <w:b/>
                <w:sz w:val="20"/>
              </w:rPr>
            </w:pPr>
          </w:p>
        </w:tc>
        <w:tc>
          <w:tcPr>
            <w:tcW w:w="629" w:type="pct"/>
          </w:tcPr>
          <w:p w14:paraId="28C0D29F"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ABE + ET</w:t>
            </w:r>
          </w:p>
        </w:tc>
        <w:tc>
          <w:tcPr>
            <w:tcW w:w="629" w:type="pct"/>
          </w:tcPr>
          <w:p w14:paraId="085CE3E6" w14:textId="77777777" w:rsidR="00272E3C" w:rsidRPr="007B69F8" w:rsidRDefault="00272E3C" w:rsidP="007B69F8">
            <w:pPr>
              <w:keepNext/>
              <w:ind w:left="142" w:firstLine="1"/>
              <w:jc w:val="left"/>
              <w:rPr>
                <w:rFonts w:ascii="Arial Narrow" w:eastAsiaTheme="majorEastAsia" w:hAnsi="Arial Narrow" w:cstheme="majorBidi"/>
                <w:b/>
                <w:sz w:val="20"/>
              </w:rPr>
            </w:pPr>
            <w:r w:rsidRPr="007B69F8">
              <w:rPr>
                <w:rFonts w:ascii="Arial Narrow" w:eastAsiaTheme="majorEastAsia" w:hAnsi="Arial Narrow" w:cstheme="majorBidi"/>
                <w:b/>
                <w:sz w:val="20"/>
              </w:rPr>
              <w:t>ET alone</w:t>
            </w:r>
          </w:p>
        </w:tc>
        <w:tc>
          <w:tcPr>
            <w:tcW w:w="993" w:type="pct"/>
            <w:vMerge/>
          </w:tcPr>
          <w:p w14:paraId="6E9FA2A1" w14:textId="77777777" w:rsidR="00272E3C" w:rsidRPr="007B69F8" w:rsidRDefault="00272E3C" w:rsidP="007B69F8">
            <w:pPr>
              <w:keepNext/>
              <w:ind w:left="142" w:firstLine="1"/>
              <w:jc w:val="left"/>
              <w:rPr>
                <w:rFonts w:ascii="Arial Narrow" w:eastAsiaTheme="majorEastAsia" w:hAnsi="Arial Narrow" w:cstheme="majorBidi"/>
                <w:bCs/>
                <w:sz w:val="20"/>
              </w:rPr>
            </w:pPr>
          </w:p>
        </w:tc>
      </w:tr>
      <w:tr w:rsidR="007B69F8" w:rsidRPr="008049CA" w14:paraId="6EAFB089" w14:textId="77777777" w:rsidTr="007B69F8">
        <w:trPr>
          <w:trHeight w:val="258"/>
        </w:trPr>
        <w:tc>
          <w:tcPr>
            <w:tcW w:w="545" w:type="pct"/>
          </w:tcPr>
          <w:p w14:paraId="09F5FC6F" w14:textId="77777777" w:rsidR="00272E3C" w:rsidRPr="007B69F8" w:rsidRDefault="00272E3C" w:rsidP="007B69F8">
            <w:pPr>
              <w:keepNext/>
              <w:ind w:left="142"/>
              <w:jc w:val="left"/>
              <w:rPr>
                <w:rFonts w:ascii="Arial Narrow" w:eastAsiaTheme="majorEastAsia" w:hAnsi="Arial Narrow" w:cstheme="majorBidi"/>
                <w:bCs/>
                <w:sz w:val="20"/>
              </w:rPr>
            </w:pPr>
            <w:r w:rsidRPr="007B69F8">
              <w:rPr>
                <w:rFonts w:ascii="Arial Narrow" w:eastAsiaTheme="majorEastAsia" w:hAnsi="Arial Narrow" w:cstheme="majorBidi"/>
                <w:bCs/>
                <w:sz w:val="20"/>
              </w:rPr>
              <w:t>Year 0-1</w:t>
            </w:r>
          </w:p>
        </w:tc>
        <w:tc>
          <w:tcPr>
            <w:tcW w:w="553" w:type="pct"/>
          </w:tcPr>
          <w:p w14:paraId="3CE1E732"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93</w:t>
            </w:r>
          </w:p>
        </w:tc>
        <w:tc>
          <w:tcPr>
            <w:tcW w:w="550" w:type="pct"/>
          </w:tcPr>
          <w:p w14:paraId="416F3DD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116</w:t>
            </w:r>
          </w:p>
        </w:tc>
        <w:tc>
          <w:tcPr>
            <w:tcW w:w="1101" w:type="pct"/>
          </w:tcPr>
          <w:p w14:paraId="63A3F7F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0.782 (0.583, 1.018)</w:t>
            </w:r>
          </w:p>
        </w:tc>
        <w:tc>
          <w:tcPr>
            <w:tcW w:w="629" w:type="pct"/>
          </w:tcPr>
          <w:p w14:paraId="246C5B3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69</w:t>
            </w:r>
          </w:p>
        </w:tc>
        <w:tc>
          <w:tcPr>
            <w:tcW w:w="629" w:type="pct"/>
          </w:tcPr>
          <w:p w14:paraId="6BF3B4A0"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93</w:t>
            </w:r>
          </w:p>
        </w:tc>
        <w:tc>
          <w:tcPr>
            <w:tcW w:w="993" w:type="pct"/>
          </w:tcPr>
          <w:p w14:paraId="7F655D0D"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0.725 (0.519, 0.983)</w:t>
            </w:r>
          </w:p>
        </w:tc>
      </w:tr>
      <w:tr w:rsidR="007B69F8" w:rsidRPr="008049CA" w14:paraId="2880E86F" w14:textId="77777777" w:rsidTr="007B69F8">
        <w:trPr>
          <w:trHeight w:val="263"/>
        </w:trPr>
        <w:tc>
          <w:tcPr>
            <w:tcW w:w="545" w:type="pct"/>
          </w:tcPr>
          <w:p w14:paraId="65145880" w14:textId="77777777" w:rsidR="00272E3C" w:rsidRPr="007B69F8" w:rsidRDefault="00272E3C" w:rsidP="007B69F8">
            <w:pPr>
              <w:keepNext/>
              <w:ind w:left="142"/>
              <w:jc w:val="left"/>
              <w:rPr>
                <w:rFonts w:ascii="Arial Narrow" w:eastAsiaTheme="majorEastAsia" w:hAnsi="Arial Narrow" w:cstheme="majorBidi"/>
                <w:bCs/>
                <w:sz w:val="20"/>
              </w:rPr>
            </w:pPr>
            <w:r w:rsidRPr="007B69F8">
              <w:rPr>
                <w:rFonts w:ascii="Arial Narrow" w:eastAsiaTheme="majorEastAsia" w:hAnsi="Arial Narrow" w:cstheme="majorBidi"/>
                <w:bCs/>
                <w:sz w:val="20"/>
              </w:rPr>
              <w:t>Year 1-2</w:t>
            </w:r>
          </w:p>
        </w:tc>
        <w:tc>
          <w:tcPr>
            <w:tcW w:w="553" w:type="pct"/>
          </w:tcPr>
          <w:p w14:paraId="5894138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100</w:t>
            </w:r>
          </w:p>
        </w:tc>
        <w:tc>
          <w:tcPr>
            <w:tcW w:w="550" w:type="pct"/>
          </w:tcPr>
          <w:p w14:paraId="43BDBA2C"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154</w:t>
            </w:r>
          </w:p>
        </w:tc>
        <w:tc>
          <w:tcPr>
            <w:tcW w:w="1101" w:type="pct"/>
          </w:tcPr>
          <w:p w14:paraId="609BF031"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0.674 (0.521, 0.858)</w:t>
            </w:r>
          </w:p>
        </w:tc>
        <w:tc>
          <w:tcPr>
            <w:tcW w:w="629" w:type="pct"/>
          </w:tcPr>
          <w:p w14:paraId="595A693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88</w:t>
            </w:r>
          </w:p>
        </w:tc>
        <w:tc>
          <w:tcPr>
            <w:tcW w:w="629" w:type="pct"/>
          </w:tcPr>
          <w:p w14:paraId="7C82F52F"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133</w:t>
            </w:r>
          </w:p>
        </w:tc>
        <w:tc>
          <w:tcPr>
            <w:tcW w:w="993" w:type="pct"/>
          </w:tcPr>
          <w:p w14:paraId="47051199"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0.691 (0.521, 0.887)</w:t>
            </w:r>
          </w:p>
        </w:tc>
      </w:tr>
      <w:tr w:rsidR="007B69F8" w:rsidRPr="008049CA" w14:paraId="51423F99" w14:textId="77777777" w:rsidTr="007B69F8">
        <w:trPr>
          <w:trHeight w:val="258"/>
        </w:trPr>
        <w:tc>
          <w:tcPr>
            <w:tcW w:w="545" w:type="pct"/>
          </w:tcPr>
          <w:p w14:paraId="7461B998" w14:textId="77777777" w:rsidR="00272E3C" w:rsidRPr="007B69F8" w:rsidRDefault="00272E3C" w:rsidP="007B69F8">
            <w:pPr>
              <w:keepNext/>
              <w:ind w:left="142"/>
              <w:jc w:val="left"/>
              <w:rPr>
                <w:rFonts w:ascii="Arial Narrow" w:eastAsiaTheme="majorEastAsia" w:hAnsi="Arial Narrow" w:cstheme="majorBidi"/>
                <w:bCs/>
                <w:sz w:val="20"/>
              </w:rPr>
            </w:pPr>
            <w:r w:rsidRPr="007B69F8">
              <w:rPr>
                <w:rFonts w:ascii="Arial Narrow" w:eastAsiaTheme="majorEastAsia" w:hAnsi="Arial Narrow" w:cstheme="majorBidi"/>
                <w:bCs/>
                <w:sz w:val="20"/>
              </w:rPr>
              <w:t>Year 2-3</w:t>
            </w:r>
          </w:p>
        </w:tc>
        <w:tc>
          <w:tcPr>
            <w:tcW w:w="553" w:type="pct"/>
          </w:tcPr>
          <w:p w14:paraId="641A032A"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90</w:t>
            </w:r>
          </w:p>
        </w:tc>
        <w:tc>
          <w:tcPr>
            <w:tcW w:w="550" w:type="pct"/>
          </w:tcPr>
          <w:p w14:paraId="54F84157"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143</w:t>
            </w:r>
          </w:p>
        </w:tc>
        <w:tc>
          <w:tcPr>
            <w:tcW w:w="1101" w:type="pct"/>
          </w:tcPr>
          <w:p w14:paraId="52EF93B3"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0.618 (0.477, 0.788)</w:t>
            </w:r>
          </w:p>
        </w:tc>
        <w:tc>
          <w:tcPr>
            <w:tcW w:w="629" w:type="pct"/>
          </w:tcPr>
          <w:p w14:paraId="4C0225D9"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82</w:t>
            </w:r>
          </w:p>
        </w:tc>
        <w:tc>
          <w:tcPr>
            <w:tcW w:w="629" w:type="pct"/>
          </w:tcPr>
          <w:p w14:paraId="0972DE49"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124</w:t>
            </w:r>
          </w:p>
        </w:tc>
        <w:tc>
          <w:tcPr>
            <w:tcW w:w="993" w:type="pct"/>
          </w:tcPr>
          <w:p w14:paraId="16C651F1"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0.651 (0.497, 0.851)</w:t>
            </w:r>
          </w:p>
        </w:tc>
      </w:tr>
      <w:tr w:rsidR="007B69F8" w:rsidRPr="008049CA" w14:paraId="5F82DD49" w14:textId="77777777" w:rsidTr="007B69F8">
        <w:trPr>
          <w:trHeight w:val="258"/>
        </w:trPr>
        <w:tc>
          <w:tcPr>
            <w:tcW w:w="545" w:type="pct"/>
          </w:tcPr>
          <w:p w14:paraId="758EC17F" w14:textId="77777777" w:rsidR="00272E3C" w:rsidRPr="007B69F8" w:rsidRDefault="00272E3C" w:rsidP="007B69F8">
            <w:pPr>
              <w:keepNext/>
              <w:ind w:left="142"/>
              <w:jc w:val="left"/>
              <w:rPr>
                <w:rFonts w:ascii="Arial Narrow" w:eastAsiaTheme="majorEastAsia" w:hAnsi="Arial Narrow" w:cstheme="majorBidi"/>
                <w:bCs/>
                <w:sz w:val="20"/>
              </w:rPr>
            </w:pPr>
            <w:r w:rsidRPr="007B69F8">
              <w:rPr>
                <w:rFonts w:ascii="Arial Narrow" w:eastAsiaTheme="majorEastAsia" w:hAnsi="Arial Narrow" w:cstheme="majorBidi"/>
                <w:bCs/>
                <w:sz w:val="20"/>
              </w:rPr>
              <w:t>Year 3+</w:t>
            </w:r>
          </w:p>
        </w:tc>
        <w:tc>
          <w:tcPr>
            <w:tcW w:w="553" w:type="pct"/>
          </w:tcPr>
          <w:p w14:paraId="00A21B14"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53</w:t>
            </w:r>
          </w:p>
        </w:tc>
        <w:tc>
          <w:tcPr>
            <w:tcW w:w="550" w:type="pct"/>
          </w:tcPr>
          <w:p w14:paraId="65F57E25"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86</w:t>
            </w:r>
          </w:p>
        </w:tc>
        <w:tc>
          <w:tcPr>
            <w:tcW w:w="1101" w:type="pct"/>
          </w:tcPr>
          <w:p w14:paraId="15F52DE8"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0.602 (0.428, 0.803)</w:t>
            </w:r>
          </w:p>
        </w:tc>
        <w:tc>
          <w:tcPr>
            <w:tcW w:w="629" w:type="pct"/>
          </w:tcPr>
          <w:p w14:paraId="79EEE1C3"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42</w:t>
            </w:r>
          </w:p>
        </w:tc>
        <w:tc>
          <w:tcPr>
            <w:tcW w:w="629" w:type="pct"/>
          </w:tcPr>
          <w:p w14:paraId="5C57F6CA"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71</w:t>
            </w:r>
          </w:p>
        </w:tc>
        <w:tc>
          <w:tcPr>
            <w:tcW w:w="993" w:type="pct"/>
          </w:tcPr>
          <w:p w14:paraId="35A39473" w14:textId="77777777" w:rsidR="00272E3C" w:rsidRPr="007B69F8" w:rsidRDefault="00272E3C" w:rsidP="007B69F8">
            <w:pPr>
              <w:keepNext/>
              <w:ind w:left="142" w:firstLine="1"/>
              <w:jc w:val="left"/>
              <w:rPr>
                <w:rFonts w:ascii="Arial Narrow" w:eastAsiaTheme="majorEastAsia" w:hAnsi="Arial Narrow" w:cstheme="majorBidi"/>
                <w:bCs/>
                <w:sz w:val="20"/>
              </w:rPr>
            </w:pPr>
            <w:r w:rsidRPr="007B69F8">
              <w:rPr>
                <w:rFonts w:ascii="Arial Narrow" w:eastAsiaTheme="majorEastAsia" w:hAnsi="Arial Narrow" w:cstheme="majorBidi"/>
                <w:bCs/>
                <w:sz w:val="20"/>
              </w:rPr>
              <w:t>0.581 (0.391, 0.818)</w:t>
            </w:r>
          </w:p>
        </w:tc>
      </w:tr>
    </w:tbl>
    <w:p w14:paraId="7DE10A68" w14:textId="3ABC89CC" w:rsidR="00B95971" w:rsidRPr="007B69F8" w:rsidRDefault="007B69F8" w:rsidP="007B69F8">
      <w:pPr>
        <w:pStyle w:val="FooterTableFigure"/>
        <w:rPr>
          <w:rFonts w:eastAsia="Calibri"/>
        </w:rPr>
      </w:pPr>
      <w:r w:rsidRPr="007B69F8">
        <w:rPr>
          <w:rFonts w:eastAsia="Calibri"/>
        </w:rPr>
        <w:t xml:space="preserve">Source: PSCR </w:t>
      </w:r>
    </w:p>
    <w:p w14:paraId="6A7809EB" w14:textId="37D8EA85" w:rsidR="007B69F8" w:rsidRPr="007B69F8" w:rsidRDefault="007B69F8" w:rsidP="007B69F8">
      <w:pPr>
        <w:pStyle w:val="FooterTableFigure"/>
        <w:rPr>
          <w:rFonts w:eastAsia="Calibri"/>
        </w:rPr>
      </w:pPr>
      <w:r w:rsidRPr="007B69F8">
        <w:rPr>
          <w:rFonts w:eastAsia="Calibri"/>
        </w:rPr>
        <w:t xml:space="preserve">CI = </w:t>
      </w:r>
      <w:r>
        <w:rPr>
          <w:rFonts w:eastAsia="Calibri"/>
        </w:rPr>
        <w:t>confidence</w:t>
      </w:r>
      <w:r w:rsidRPr="007B69F8">
        <w:rPr>
          <w:rFonts w:eastAsia="Calibri"/>
        </w:rPr>
        <w:t xml:space="preserve"> interval; ET = endocrine therapy; HR = hazard ratio; IDFS = invasive disease-free survival; ITT = intent-to-treat; OS = overall survival.</w:t>
      </w:r>
    </w:p>
    <w:p w14:paraId="1A2178E8" w14:textId="43F63AF0" w:rsidR="007B69F8" w:rsidRDefault="007B69F8" w:rsidP="007B69F8">
      <w:pPr>
        <w:pStyle w:val="FooterTableFigure"/>
        <w:rPr>
          <w:rFonts w:eastAsia="Calibri"/>
        </w:rPr>
      </w:pPr>
      <w:r w:rsidRPr="009F626B">
        <w:rPr>
          <w:rFonts w:eastAsia="Calibri"/>
          <w:vertAlign w:val="superscript"/>
        </w:rPr>
        <w:t>a</w:t>
      </w:r>
      <w:r w:rsidRPr="007B69F8">
        <w:rPr>
          <w:rFonts w:eastAsia="Calibri"/>
        </w:rPr>
        <w:t xml:space="preserve"> Piecewise HR was estimated using Bayesian piecewise exponential model for the yearly hazard rate within each treatment arm.</w:t>
      </w:r>
    </w:p>
    <w:p w14:paraId="2648B177" w14:textId="77777777" w:rsidR="007B69F8" w:rsidRPr="007B69F8" w:rsidRDefault="007B69F8" w:rsidP="007B69F8">
      <w:pPr>
        <w:pStyle w:val="FooterTableFigure"/>
        <w:rPr>
          <w:rFonts w:eastAsia="Calibri"/>
        </w:rPr>
      </w:pPr>
      <w:r w:rsidRPr="009F626B">
        <w:rPr>
          <w:rFonts w:eastAsia="Calibri"/>
          <w:vertAlign w:val="superscript"/>
        </w:rPr>
        <w:t>b</w:t>
      </w:r>
      <w:r w:rsidRPr="007B69F8">
        <w:rPr>
          <w:rFonts w:eastAsia="Calibri"/>
        </w:rPr>
        <w:t xml:space="preserve"> 95% credible intervals were calculated by equal tails in the posterior samples of Bayesian exponential models. </w:t>
      </w:r>
    </w:p>
    <w:p w14:paraId="5AA7E2BF" w14:textId="07546704" w:rsidR="00B60939" w:rsidRPr="00C9624D" w:rsidRDefault="00B60939" w:rsidP="00D86231">
      <w:pPr>
        <w:pStyle w:val="4-SubsectionHeading"/>
      </w:pPr>
      <w:bookmarkStart w:id="29" w:name="_Toc124940305"/>
      <w:r w:rsidRPr="00C9624D">
        <w:t>Comparative harms</w:t>
      </w:r>
      <w:bookmarkEnd w:id="25"/>
      <w:bookmarkEnd w:id="29"/>
    </w:p>
    <w:bookmarkStart w:id="30" w:name="_Hlk104801403"/>
    <w:p w14:paraId="75B2A19C" w14:textId="7A7BB446" w:rsidR="00B60939" w:rsidRPr="00266C2E" w:rsidRDefault="00266C2E" w:rsidP="00266C2E">
      <w:pPr>
        <w:pStyle w:val="3-BodyText"/>
      </w:pPr>
      <w:r>
        <w:rPr>
          <w:color w:val="0066FF"/>
        </w:rPr>
        <w:fldChar w:fldCharType="begin"/>
      </w:r>
      <w:r>
        <w:instrText xml:space="preserve"> REF _Ref122734842 \h </w:instrText>
      </w:r>
      <w:r>
        <w:rPr>
          <w:color w:val="0066FF"/>
        </w:rPr>
      </w:r>
      <w:r>
        <w:rPr>
          <w:color w:val="0066FF"/>
        </w:rPr>
        <w:fldChar w:fldCharType="separate"/>
      </w:r>
      <w:r w:rsidR="0001201E">
        <w:t xml:space="preserve">Table </w:t>
      </w:r>
      <w:r w:rsidR="0001201E">
        <w:rPr>
          <w:noProof/>
        </w:rPr>
        <w:t>7</w:t>
      </w:r>
      <w:r>
        <w:rPr>
          <w:color w:val="0066FF"/>
        </w:rPr>
        <w:fldChar w:fldCharType="end"/>
      </w:r>
      <w:r>
        <w:rPr>
          <w:color w:val="0066FF"/>
        </w:rPr>
        <w:t xml:space="preserve"> </w:t>
      </w:r>
      <w:r w:rsidR="00462C97">
        <w:t xml:space="preserve">presents </w:t>
      </w:r>
      <w:r w:rsidR="00CE60F7">
        <w:t>a summary of adverse events</w:t>
      </w:r>
      <w:r w:rsidR="00EF64AD">
        <w:t xml:space="preserve"> (AEs)</w:t>
      </w:r>
      <w:r w:rsidR="00CE60F7">
        <w:t xml:space="preserve"> based on the monarchE trial. </w:t>
      </w:r>
      <w:r w:rsidR="00CE60F7" w:rsidRPr="00787A0B">
        <w:rPr>
          <w:iCs/>
        </w:rPr>
        <w:t xml:space="preserve">The AEs have not changed greatly from the previous submission with </w:t>
      </w:r>
      <w:r w:rsidR="00CE60F7" w:rsidRPr="00787A0B">
        <w:t xml:space="preserve">Grade </w:t>
      </w:r>
      <w:r w:rsidR="00CE60F7" w:rsidRPr="00787A0B">
        <w:rPr>
          <w:rFonts w:cstheme="minorHAnsi"/>
        </w:rPr>
        <w:t>≥</w:t>
      </w:r>
      <w:r w:rsidR="006A645B" w:rsidRPr="00787A0B">
        <w:rPr>
          <w:rFonts w:cstheme="minorHAnsi"/>
        </w:rPr>
        <w:t xml:space="preserve"> </w:t>
      </w:r>
      <w:r w:rsidR="00CE60F7" w:rsidRPr="00787A0B">
        <w:t>3 treatment emergent adverse events</w:t>
      </w:r>
      <w:r w:rsidRPr="00787A0B">
        <w:t xml:space="preserve"> (TEAEs)</w:t>
      </w:r>
      <w:r w:rsidR="00CE60F7" w:rsidRPr="00787A0B">
        <w:t xml:space="preserve"> still being 33% higher in the patient group who received abemaciclib</w:t>
      </w:r>
      <w:r w:rsidRPr="00787A0B">
        <w:t xml:space="preserve"> + ET</w:t>
      </w:r>
      <w:r w:rsidR="00CE60F7" w:rsidRPr="00787A0B">
        <w:t xml:space="preserve">, compared to ET alone. </w:t>
      </w:r>
      <w:bookmarkEnd w:id="30"/>
    </w:p>
    <w:p w14:paraId="60EED0E9" w14:textId="4FAC1D35" w:rsidR="00B60939" w:rsidRPr="00D86231" w:rsidRDefault="00D6076E" w:rsidP="00D6076E">
      <w:pPr>
        <w:pStyle w:val="TableFigureHeading"/>
        <w:rPr>
          <w:rStyle w:val="CommentReference"/>
          <w:b/>
          <w:szCs w:val="24"/>
        </w:rPr>
      </w:pPr>
      <w:bookmarkStart w:id="31" w:name="_Ref122734842"/>
      <w:r>
        <w:lastRenderedPageBreak/>
        <w:t xml:space="preserve">Table </w:t>
      </w:r>
      <w:fldSimple w:instr=" SEQ Table \* ARABIC ">
        <w:r w:rsidR="0001201E">
          <w:rPr>
            <w:noProof/>
          </w:rPr>
          <w:t>7</w:t>
        </w:r>
      </w:fldSimple>
      <w:bookmarkEnd w:id="31"/>
      <w:r>
        <w:t xml:space="preserve">: </w:t>
      </w:r>
      <w:r w:rsidR="005D26B4" w:rsidRPr="00D86231">
        <w:rPr>
          <w:rStyle w:val="CommentReference"/>
          <w:b/>
          <w:szCs w:val="24"/>
        </w:rPr>
        <w:t>Summary of key adverse events in the trials</w:t>
      </w:r>
      <w:r w:rsidR="003A638F">
        <w:rPr>
          <w:rStyle w:val="CommentReference"/>
          <w:b/>
          <w:szCs w:val="24"/>
        </w:rPr>
        <w:t xml:space="preserve"> in the</w:t>
      </w:r>
      <w:r w:rsidR="00221765">
        <w:rPr>
          <w:rStyle w:val="CommentReference"/>
          <w:b/>
          <w:szCs w:val="24"/>
        </w:rPr>
        <w:t xml:space="preserve"> monarchE</w:t>
      </w:r>
      <w:r w:rsidR="003A638F">
        <w:rPr>
          <w:rStyle w:val="CommentReference"/>
          <w:b/>
          <w:szCs w:val="24"/>
        </w:rPr>
        <w:t xml:space="preserve"> trial at AFU2</w:t>
      </w:r>
      <w:r w:rsidR="00691ED7">
        <w:rPr>
          <w:rStyle w:val="CommentReference"/>
          <w:b/>
          <w:szCs w:val="24"/>
        </w:rPr>
        <w:t>, safety population</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700"/>
        <w:gridCol w:w="1820"/>
        <w:gridCol w:w="1702"/>
        <w:gridCol w:w="1700"/>
      </w:tblGrid>
      <w:tr w:rsidR="00221765" w:rsidRPr="00221765" w14:paraId="29CA8FEB" w14:textId="77777777" w:rsidTr="00B5602A">
        <w:trPr>
          <w:tblHeader/>
        </w:trPr>
        <w:tc>
          <w:tcPr>
            <w:tcW w:w="1173" w:type="pct"/>
            <w:vAlign w:val="center"/>
          </w:tcPr>
          <w:p w14:paraId="63643B26" w14:textId="77777777" w:rsidR="00221765" w:rsidRPr="00221765" w:rsidRDefault="00221765" w:rsidP="00221765">
            <w:pPr>
              <w:keepNext/>
              <w:jc w:val="left"/>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Trial ID</w:t>
            </w:r>
          </w:p>
        </w:tc>
        <w:tc>
          <w:tcPr>
            <w:tcW w:w="940" w:type="pct"/>
            <w:vAlign w:val="center"/>
          </w:tcPr>
          <w:p w14:paraId="173E1219"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Arm A</w:t>
            </w:r>
          </w:p>
          <w:p w14:paraId="43491522"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 xml:space="preserve">ABE + ET </w:t>
            </w:r>
          </w:p>
          <w:p w14:paraId="65BCA133"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n with event/N (%)</w:t>
            </w:r>
          </w:p>
        </w:tc>
        <w:tc>
          <w:tcPr>
            <w:tcW w:w="1006" w:type="pct"/>
            <w:vAlign w:val="center"/>
          </w:tcPr>
          <w:p w14:paraId="1081184B"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Arm B</w:t>
            </w:r>
          </w:p>
          <w:p w14:paraId="438DA4E7"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 xml:space="preserve">ET </w:t>
            </w:r>
          </w:p>
          <w:p w14:paraId="2BFBF97A"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n with event/N (%)</w:t>
            </w:r>
          </w:p>
        </w:tc>
        <w:tc>
          <w:tcPr>
            <w:tcW w:w="941" w:type="pct"/>
          </w:tcPr>
          <w:p w14:paraId="7C9E82B3" w14:textId="77777777" w:rsidR="00221765" w:rsidRPr="00221765" w:rsidRDefault="00221765" w:rsidP="00221765">
            <w:pPr>
              <w:keepNext/>
              <w:jc w:val="center"/>
              <w:rPr>
                <w:rFonts w:ascii="Arial Narrow" w:eastAsiaTheme="majorEastAsia" w:hAnsi="Arial Narrow" w:cs="Times New Roman"/>
                <w:b/>
                <w:sz w:val="20"/>
                <w:lang w:val="en-US"/>
              </w:rPr>
            </w:pPr>
          </w:p>
          <w:p w14:paraId="680914DF"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RD % (95%CI)</w:t>
            </w:r>
          </w:p>
        </w:tc>
        <w:tc>
          <w:tcPr>
            <w:tcW w:w="940" w:type="pct"/>
            <w:vAlign w:val="center"/>
          </w:tcPr>
          <w:p w14:paraId="3F7294FD" w14:textId="77777777" w:rsidR="00221765" w:rsidRPr="00221765" w:rsidRDefault="00221765" w:rsidP="00221765">
            <w:pPr>
              <w:keepNext/>
              <w:jc w:val="center"/>
              <w:rPr>
                <w:rFonts w:ascii="Arial Narrow" w:eastAsiaTheme="majorEastAsia" w:hAnsi="Arial Narrow" w:cs="Times New Roman"/>
                <w:b/>
                <w:sz w:val="20"/>
                <w:lang w:val="en-US"/>
              </w:rPr>
            </w:pPr>
            <w:r w:rsidRPr="00221765">
              <w:rPr>
                <w:rFonts w:ascii="Arial Narrow" w:eastAsiaTheme="majorEastAsia" w:hAnsi="Arial Narrow" w:cs="Times New Roman"/>
                <w:b/>
                <w:sz w:val="20"/>
                <w:lang w:val="en-US"/>
              </w:rPr>
              <w:t>RR (95% CI)</w:t>
            </w:r>
          </w:p>
        </w:tc>
      </w:tr>
      <w:tr w:rsidR="00221765" w:rsidRPr="00221765" w14:paraId="3D7C1AD5" w14:textId="77777777" w:rsidTr="00B5602A">
        <w:tc>
          <w:tcPr>
            <w:tcW w:w="1173" w:type="pct"/>
          </w:tcPr>
          <w:p w14:paraId="5AFFF453"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Patients with ≥ 1 TEAE</w:t>
            </w:r>
          </w:p>
        </w:tc>
        <w:tc>
          <w:tcPr>
            <w:tcW w:w="940" w:type="pct"/>
            <w:vAlign w:val="center"/>
          </w:tcPr>
          <w:p w14:paraId="284CF8B5"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2746/2791 (98.4)</w:t>
            </w:r>
          </w:p>
        </w:tc>
        <w:tc>
          <w:tcPr>
            <w:tcW w:w="1006" w:type="pct"/>
            <w:vAlign w:val="center"/>
          </w:tcPr>
          <w:p w14:paraId="2BEE0874"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2488/2800 (88.9)</w:t>
            </w:r>
          </w:p>
        </w:tc>
        <w:tc>
          <w:tcPr>
            <w:tcW w:w="941" w:type="pct"/>
          </w:tcPr>
          <w:p w14:paraId="65C715AB"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9.5 (8.28, 10.79)</w:t>
            </w:r>
          </w:p>
        </w:tc>
        <w:tc>
          <w:tcPr>
            <w:tcW w:w="940" w:type="pct"/>
            <w:vAlign w:val="center"/>
          </w:tcPr>
          <w:p w14:paraId="21971E8F"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1.11 (1.09, 1.12)</w:t>
            </w:r>
          </w:p>
        </w:tc>
      </w:tr>
      <w:tr w:rsidR="00221765" w:rsidRPr="00221765" w14:paraId="497B2BA5" w14:textId="77777777" w:rsidTr="00583144">
        <w:tc>
          <w:tcPr>
            <w:tcW w:w="1173" w:type="pct"/>
          </w:tcPr>
          <w:p w14:paraId="5D1E30C6"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Patients with ≥ 1 CTCAE Grade ≥ 3 TEAE</w:t>
            </w:r>
          </w:p>
        </w:tc>
        <w:tc>
          <w:tcPr>
            <w:tcW w:w="940" w:type="pct"/>
            <w:vAlign w:val="center"/>
          </w:tcPr>
          <w:p w14:paraId="6A41FC23"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1393/2791 (49.9)</w:t>
            </w:r>
          </w:p>
        </w:tc>
        <w:tc>
          <w:tcPr>
            <w:tcW w:w="1006" w:type="pct"/>
            <w:vAlign w:val="center"/>
          </w:tcPr>
          <w:p w14:paraId="0072AD40"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472/2800 (16.9)</w:t>
            </w:r>
          </w:p>
        </w:tc>
        <w:tc>
          <w:tcPr>
            <w:tcW w:w="941" w:type="pct"/>
            <w:vAlign w:val="center"/>
          </w:tcPr>
          <w:p w14:paraId="572E91AF"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33.1 (30.74, 35.37)</w:t>
            </w:r>
          </w:p>
        </w:tc>
        <w:tc>
          <w:tcPr>
            <w:tcW w:w="940" w:type="pct"/>
            <w:vAlign w:val="center"/>
          </w:tcPr>
          <w:p w14:paraId="3097C55C"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2.96 (2.71, 3.24)</w:t>
            </w:r>
          </w:p>
        </w:tc>
      </w:tr>
      <w:tr w:rsidR="00221765" w:rsidRPr="00221765" w14:paraId="33CE4107" w14:textId="77777777" w:rsidTr="00B5602A">
        <w:tc>
          <w:tcPr>
            <w:tcW w:w="1173" w:type="pct"/>
          </w:tcPr>
          <w:p w14:paraId="15462EE3"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Patients with ≥ 1 TE-SAE</w:t>
            </w:r>
          </w:p>
        </w:tc>
        <w:tc>
          <w:tcPr>
            <w:tcW w:w="940" w:type="pct"/>
            <w:vAlign w:val="center"/>
          </w:tcPr>
          <w:p w14:paraId="40817B0E"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433/2791 (15.5)</w:t>
            </w:r>
          </w:p>
        </w:tc>
        <w:tc>
          <w:tcPr>
            <w:tcW w:w="1006" w:type="pct"/>
            <w:vAlign w:val="center"/>
          </w:tcPr>
          <w:p w14:paraId="425A9197"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256/2800 (9.1)</w:t>
            </w:r>
          </w:p>
        </w:tc>
        <w:tc>
          <w:tcPr>
            <w:tcW w:w="941" w:type="pct"/>
          </w:tcPr>
          <w:p w14:paraId="27902EF7"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6.4 (4.66, 8.09)</w:t>
            </w:r>
          </w:p>
        </w:tc>
        <w:tc>
          <w:tcPr>
            <w:tcW w:w="940" w:type="pct"/>
            <w:vAlign w:val="center"/>
          </w:tcPr>
          <w:p w14:paraId="61667CCA"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1.70 (1.47, 1.96)</w:t>
            </w:r>
          </w:p>
        </w:tc>
      </w:tr>
      <w:tr w:rsidR="00221765" w:rsidRPr="00221765" w14:paraId="3B149ACC" w14:textId="77777777" w:rsidTr="00B5602A">
        <w:tc>
          <w:tcPr>
            <w:tcW w:w="1173" w:type="pct"/>
          </w:tcPr>
          <w:p w14:paraId="0AA175C0"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Patients who discontinued all study treatment due to AE</w:t>
            </w:r>
          </w:p>
        </w:tc>
        <w:tc>
          <w:tcPr>
            <w:tcW w:w="940" w:type="pct"/>
            <w:vAlign w:val="center"/>
          </w:tcPr>
          <w:p w14:paraId="6F2EEFCF"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180/2791 (6.4)</w:t>
            </w:r>
          </w:p>
        </w:tc>
        <w:tc>
          <w:tcPr>
            <w:tcW w:w="1006" w:type="pct"/>
            <w:vAlign w:val="center"/>
          </w:tcPr>
          <w:p w14:paraId="76B2C6B7"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30/2800 (1.1)</w:t>
            </w:r>
          </w:p>
        </w:tc>
        <w:tc>
          <w:tcPr>
            <w:tcW w:w="941" w:type="pct"/>
          </w:tcPr>
          <w:p w14:paraId="437E57B0" w14:textId="77777777" w:rsidR="00221765" w:rsidRPr="00221765" w:rsidRDefault="00221765" w:rsidP="00221765">
            <w:pPr>
              <w:keepNext/>
              <w:jc w:val="center"/>
              <w:rPr>
                <w:rFonts w:ascii="Arial Narrow" w:eastAsiaTheme="majorEastAsia" w:hAnsi="Arial Narrow" w:cstheme="majorBidi"/>
                <w:bCs/>
                <w:sz w:val="20"/>
              </w:rPr>
            </w:pPr>
          </w:p>
          <w:p w14:paraId="60F6C27E"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5.4 (4.39, 6.37)</w:t>
            </w:r>
          </w:p>
        </w:tc>
        <w:tc>
          <w:tcPr>
            <w:tcW w:w="940" w:type="pct"/>
            <w:vAlign w:val="center"/>
          </w:tcPr>
          <w:p w14:paraId="75904784"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6.02 (4.10, 8.82)</w:t>
            </w:r>
          </w:p>
        </w:tc>
      </w:tr>
      <w:tr w:rsidR="00221765" w:rsidRPr="00221765" w14:paraId="7D0D7473" w14:textId="77777777" w:rsidTr="00B5602A">
        <w:tc>
          <w:tcPr>
            <w:tcW w:w="1173" w:type="pct"/>
          </w:tcPr>
          <w:p w14:paraId="20836A17"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Patients who died due to AE on study therapy or ≤ 30 days of discontinuation from study treatment</w:t>
            </w:r>
          </w:p>
        </w:tc>
        <w:tc>
          <w:tcPr>
            <w:tcW w:w="940" w:type="pct"/>
            <w:vAlign w:val="center"/>
          </w:tcPr>
          <w:p w14:paraId="6C89AFFF"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15/2791 (0.5)</w:t>
            </w:r>
          </w:p>
        </w:tc>
        <w:tc>
          <w:tcPr>
            <w:tcW w:w="1006" w:type="pct"/>
            <w:vAlign w:val="center"/>
          </w:tcPr>
          <w:p w14:paraId="7931B9F3"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11/2800 (0.4)</w:t>
            </w:r>
          </w:p>
        </w:tc>
        <w:tc>
          <w:tcPr>
            <w:tcW w:w="941" w:type="pct"/>
          </w:tcPr>
          <w:p w14:paraId="03B7AA46" w14:textId="77777777" w:rsidR="00221765" w:rsidRPr="00221765" w:rsidRDefault="00221765" w:rsidP="00221765">
            <w:pPr>
              <w:keepNext/>
              <w:jc w:val="center"/>
              <w:rPr>
                <w:rFonts w:ascii="Arial Narrow" w:eastAsiaTheme="majorEastAsia" w:hAnsi="Arial Narrow" w:cstheme="majorBidi"/>
                <w:bCs/>
                <w:sz w:val="20"/>
              </w:rPr>
            </w:pPr>
          </w:p>
          <w:p w14:paraId="380BF0CF" w14:textId="77777777" w:rsidR="00221765" w:rsidRPr="00221765" w:rsidRDefault="00221765" w:rsidP="00221765">
            <w:pPr>
              <w:keepNext/>
              <w:jc w:val="center"/>
              <w:rPr>
                <w:rFonts w:ascii="Arial Narrow" w:eastAsiaTheme="majorEastAsia" w:hAnsi="Arial Narrow" w:cstheme="majorBidi"/>
                <w:bCs/>
                <w:sz w:val="20"/>
              </w:rPr>
            </w:pPr>
          </w:p>
          <w:p w14:paraId="3D220393"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0.1 (-0.21, 0.50)</w:t>
            </w:r>
          </w:p>
        </w:tc>
        <w:tc>
          <w:tcPr>
            <w:tcW w:w="940" w:type="pct"/>
            <w:vAlign w:val="center"/>
          </w:tcPr>
          <w:p w14:paraId="5CEFF817"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1.37 (0.63, 2.97)</w:t>
            </w:r>
          </w:p>
        </w:tc>
      </w:tr>
      <w:tr w:rsidR="00221765" w:rsidRPr="00221765" w14:paraId="04BF09F7" w14:textId="77777777" w:rsidTr="00B5602A">
        <w:tc>
          <w:tcPr>
            <w:tcW w:w="1173" w:type="pct"/>
            <w:shd w:val="clear" w:color="auto" w:fill="95B3D7" w:themeFill="accent1" w:themeFillTint="99"/>
          </w:tcPr>
          <w:p w14:paraId="083967C7" w14:textId="77777777" w:rsidR="00221765" w:rsidRPr="00221765" w:rsidRDefault="00221765" w:rsidP="00221765">
            <w:pPr>
              <w:keepNext/>
              <w:jc w:val="left"/>
              <w:rPr>
                <w:rFonts w:ascii="Arial Narrow" w:eastAsiaTheme="majorEastAsia" w:hAnsi="Arial Narrow" w:cstheme="majorBidi"/>
                <w:bCs/>
                <w:sz w:val="20"/>
                <w:vertAlign w:val="superscript"/>
              </w:rPr>
            </w:pPr>
            <w:r w:rsidRPr="00221765">
              <w:rPr>
                <w:rFonts w:ascii="Arial Narrow" w:eastAsiaTheme="majorEastAsia" w:hAnsi="Arial Narrow" w:cstheme="majorBidi"/>
                <w:bCs/>
                <w:sz w:val="20"/>
              </w:rPr>
              <w:t>Patients who discontinued abemaciclib due to AE</w:t>
            </w:r>
            <w:r w:rsidRPr="00221765">
              <w:rPr>
                <w:rFonts w:ascii="Arial Narrow" w:eastAsiaTheme="majorEastAsia" w:hAnsi="Arial Narrow" w:cstheme="majorBidi"/>
                <w:bCs/>
                <w:sz w:val="20"/>
                <w:vertAlign w:val="superscript"/>
              </w:rPr>
              <w:t>a</w:t>
            </w:r>
          </w:p>
        </w:tc>
        <w:tc>
          <w:tcPr>
            <w:tcW w:w="940" w:type="pct"/>
            <w:shd w:val="clear" w:color="auto" w:fill="95B3D7" w:themeFill="accent1" w:themeFillTint="99"/>
            <w:vAlign w:val="center"/>
          </w:tcPr>
          <w:p w14:paraId="1D4EE47C" w14:textId="77777777" w:rsidR="00221765" w:rsidRPr="00221765" w:rsidRDefault="00221765" w:rsidP="00221765">
            <w:pPr>
              <w:keepNext/>
              <w:jc w:val="center"/>
              <w:rPr>
                <w:rFonts w:ascii="Arial Narrow" w:eastAsiaTheme="majorEastAsia" w:hAnsi="Arial Narrow" w:cstheme="majorBidi"/>
                <w:bCs/>
                <w:sz w:val="20"/>
                <w:vertAlign w:val="superscript"/>
              </w:rPr>
            </w:pPr>
            <w:r w:rsidRPr="00221765">
              <w:rPr>
                <w:rFonts w:ascii="Arial Narrow" w:eastAsiaTheme="majorEastAsia" w:hAnsi="Arial Narrow" w:cstheme="majorBidi"/>
                <w:bCs/>
                <w:sz w:val="20"/>
              </w:rPr>
              <w:t>515 (18.5)</w:t>
            </w:r>
          </w:p>
        </w:tc>
        <w:tc>
          <w:tcPr>
            <w:tcW w:w="1006" w:type="pct"/>
            <w:shd w:val="clear" w:color="auto" w:fill="95B3D7" w:themeFill="accent1" w:themeFillTint="99"/>
            <w:vAlign w:val="center"/>
          </w:tcPr>
          <w:p w14:paraId="76A01C72"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NA</w:t>
            </w:r>
          </w:p>
        </w:tc>
        <w:tc>
          <w:tcPr>
            <w:tcW w:w="941" w:type="pct"/>
            <w:shd w:val="clear" w:color="auto" w:fill="95B3D7" w:themeFill="accent1" w:themeFillTint="99"/>
            <w:vAlign w:val="center"/>
          </w:tcPr>
          <w:p w14:paraId="7770327A"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NA</w:t>
            </w:r>
          </w:p>
        </w:tc>
        <w:tc>
          <w:tcPr>
            <w:tcW w:w="940" w:type="pct"/>
            <w:shd w:val="clear" w:color="auto" w:fill="95B3D7" w:themeFill="accent1" w:themeFillTint="99"/>
            <w:vAlign w:val="center"/>
          </w:tcPr>
          <w:p w14:paraId="264D7645"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NA</w:t>
            </w:r>
          </w:p>
        </w:tc>
      </w:tr>
      <w:tr w:rsidR="00221765" w:rsidRPr="00221765" w14:paraId="41C67E2C" w14:textId="77777777" w:rsidTr="00B5602A">
        <w:tc>
          <w:tcPr>
            <w:tcW w:w="1173" w:type="pct"/>
            <w:shd w:val="clear" w:color="auto" w:fill="95B3D7" w:themeFill="accent1" w:themeFillTint="99"/>
          </w:tcPr>
          <w:p w14:paraId="2FEDF47D" w14:textId="77777777" w:rsidR="00221765" w:rsidRPr="00221765" w:rsidRDefault="00221765" w:rsidP="00221765">
            <w:pPr>
              <w:keepNext/>
              <w:jc w:val="left"/>
              <w:rPr>
                <w:rFonts w:ascii="Arial Narrow" w:eastAsiaTheme="majorEastAsia" w:hAnsi="Arial Narrow" w:cstheme="majorBidi"/>
                <w:bCs/>
                <w:sz w:val="20"/>
                <w:vertAlign w:val="superscript"/>
              </w:rPr>
            </w:pPr>
            <w:r w:rsidRPr="00221765">
              <w:rPr>
                <w:rFonts w:ascii="Arial Narrow" w:eastAsiaTheme="majorEastAsia" w:hAnsi="Arial Narrow" w:cstheme="majorBidi"/>
                <w:bCs/>
                <w:sz w:val="20"/>
              </w:rPr>
              <w:t>Grade ≥ 3 diarrhoea</w:t>
            </w:r>
            <w:r w:rsidRPr="00221765">
              <w:rPr>
                <w:rFonts w:ascii="Arial Narrow" w:eastAsiaTheme="majorEastAsia" w:hAnsi="Arial Narrow" w:cstheme="majorBidi"/>
                <w:bCs/>
                <w:sz w:val="20"/>
                <w:vertAlign w:val="superscript"/>
              </w:rPr>
              <w:t>a</w:t>
            </w:r>
          </w:p>
        </w:tc>
        <w:tc>
          <w:tcPr>
            <w:tcW w:w="940" w:type="pct"/>
            <w:shd w:val="clear" w:color="auto" w:fill="95B3D7" w:themeFill="accent1" w:themeFillTint="99"/>
            <w:vAlign w:val="center"/>
          </w:tcPr>
          <w:p w14:paraId="56C93C3F"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219/2791 (7.8)</w:t>
            </w:r>
          </w:p>
        </w:tc>
        <w:tc>
          <w:tcPr>
            <w:tcW w:w="1006" w:type="pct"/>
            <w:shd w:val="clear" w:color="auto" w:fill="95B3D7" w:themeFill="accent1" w:themeFillTint="99"/>
            <w:vAlign w:val="center"/>
          </w:tcPr>
          <w:p w14:paraId="011918C1"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6/2800 (0.2)</w:t>
            </w:r>
          </w:p>
        </w:tc>
        <w:tc>
          <w:tcPr>
            <w:tcW w:w="941" w:type="pct"/>
            <w:shd w:val="clear" w:color="auto" w:fill="95B3D7" w:themeFill="accent1" w:themeFillTint="99"/>
          </w:tcPr>
          <w:p w14:paraId="3AD74BC0"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7.63 (6.62, 8.64)</w:t>
            </w:r>
          </w:p>
        </w:tc>
        <w:tc>
          <w:tcPr>
            <w:tcW w:w="940" w:type="pct"/>
            <w:shd w:val="clear" w:color="auto" w:fill="95B3D7" w:themeFill="accent1" w:themeFillTint="99"/>
            <w:vAlign w:val="center"/>
          </w:tcPr>
          <w:p w14:paraId="7081E1F6"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36.62 (16.30, 82.26)</w:t>
            </w:r>
          </w:p>
        </w:tc>
      </w:tr>
      <w:tr w:rsidR="00221765" w:rsidRPr="00221765" w14:paraId="6A88E65E" w14:textId="77777777" w:rsidTr="00B5602A">
        <w:tc>
          <w:tcPr>
            <w:tcW w:w="1173" w:type="pct"/>
            <w:shd w:val="clear" w:color="auto" w:fill="95B3D7" w:themeFill="accent1" w:themeFillTint="99"/>
          </w:tcPr>
          <w:p w14:paraId="76E335B9" w14:textId="77777777" w:rsidR="00221765" w:rsidRPr="00221765" w:rsidRDefault="00221765" w:rsidP="00221765">
            <w:pPr>
              <w:keepNext/>
              <w:jc w:val="left"/>
              <w:rPr>
                <w:rFonts w:ascii="Arial Narrow" w:eastAsiaTheme="majorEastAsia" w:hAnsi="Arial Narrow" w:cstheme="majorBidi"/>
                <w:bCs/>
                <w:sz w:val="20"/>
                <w:vertAlign w:val="superscript"/>
              </w:rPr>
            </w:pPr>
            <w:r w:rsidRPr="00221765">
              <w:rPr>
                <w:rFonts w:ascii="Arial Narrow" w:eastAsiaTheme="majorEastAsia" w:hAnsi="Arial Narrow" w:cstheme="majorBidi"/>
                <w:bCs/>
                <w:sz w:val="20"/>
              </w:rPr>
              <w:t>Grade ≥ 3 neutropenia</w:t>
            </w:r>
            <w:r w:rsidRPr="00221765">
              <w:rPr>
                <w:rFonts w:ascii="Arial Narrow" w:eastAsiaTheme="majorEastAsia" w:hAnsi="Arial Narrow" w:cstheme="majorBidi"/>
                <w:bCs/>
                <w:sz w:val="20"/>
                <w:vertAlign w:val="superscript"/>
              </w:rPr>
              <w:t>a</w:t>
            </w:r>
          </w:p>
        </w:tc>
        <w:tc>
          <w:tcPr>
            <w:tcW w:w="940" w:type="pct"/>
            <w:shd w:val="clear" w:color="auto" w:fill="95B3D7" w:themeFill="accent1" w:themeFillTint="99"/>
            <w:vAlign w:val="center"/>
          </w:tcPr>
          <w:p w14:paraId="0590EEF3"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546/2791 (19.6)</w:t>
            </w:r>
          </w:p>
        </w:tc>
        <w:tc>
          <w:tcPr>
            <w:tcW w:w="1006" w:type="pct"/>
            <w:shd w:val="clear" w:color="auto" w:fill="95B3D7" w:themeFill="accent1" w:themeFillTint="99"/>
            <w:vAlign w:val="center"/>
          </w:tcPr>
          <w:p w14:paraId="242B93C1"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23/2800 (0.8)</w:t>
            </w:r>
          </w:p>
        </w:tc>
        <w:tc>
          <w:tcPr>
            <w:tcW w:w="941" w:type="pct"/>
            <w:shd w:val="clear" w:color="auto" w:fill="95B3D7" w:themeFill="accent1" w:themeFillTint="99"/>
          </w:tcPr>
          <w:p w14:paraId="36D024C9"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18.74 (17.23, 20.24)</w:t>
            </w:r>
          </w:p>
        </w:tc>
        <w:tc>
          <w:tcPr>
            <w:tcW w:w="940" w:type="pct"/>
            <w:shd w:val="clear" w:color="auto" w:fill="95B3D7" w:themeFill="accent1" w:themeFillTint="99"/>
            <w:vAlign w:val="center"/>
          </w:tcPr>
          <w:p w14:paraId="6A200C68"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23.82 (15.74, 36.03)</w:t>
            </w:r>
          </w:p>
        </w:tc>
      </w:tr>
      <w:tr w:rsidR="00221765" w:rsidRPr="00221765" w14:paraId="5A2B11EA" w14:textId="77777777" w:rsidTr="00B5602A">
        <w:trPr>
          <w:trHeight w:val="149"/>
        </w:trPr>
        <w:tc>
          <w:tcPr>
            <w:tcW w:w="1173" w:type="pct"/>
            <w:shd w:val="clear" w:color="auto" w:fill="95B3D7" w:themeFill="accent1" w:themeFillTint="99"/>
          </w:tcPr>
          <w:p w14:paraId="20FA9644" w14:textId="77777777" w:rsidR="00221765" w:rsidRPr="00221765" w:rsidRDefault="00221765" w:rsidP="00221765">
            <w:pPr>
              <w:keepNext/>
              <w:jc w:val="left"/>
              <w:rPr>
                <w:rFonts w:ascii="Arial Narrow" w:eastAsiaTheme="majorEastAsia" w:hAnsi="Arial Narrow" w:cstheme="majorBidi"/>
                <w:bCs/>
                <w:sz w:val="20"/>
                <w:vertAlign w:val="superscript"/>
              </w:rPr>
            </w:pPr>
            <w:r w:rsidRPr="00221765">
              <w:rPr>
                <w:rFonts w:ascii="Arial Narrow" w:eastAsiaTheme="majorEastAsia" w:hAnsi="Arial Narrow" w:cstheme="majorBidi"/>
                <w:bCs/>
                <w:sz w:val="20"/>
              </w:rPr>
              <w:t>Grade ≥ 3 leukopenia</w:t>
            </w:r>
            <w:r w:rsidRPr="00221765">
              <w:rPr>
                <w:rFonts w:ascii="Arial Narrow" w:eastAsiaTheme="majorEastAsia" w:hAnsi="Arial Narrow" w:cstheme="majorBidi"/>
                <w:bCs/>
                <w:sz w:val="20"/>
                <w:vertAlign w:val="superscript"/>
              </w:rPr>
              <w:t>a</w:t>
            </w:r>
          </w:p>
        </w:tc>
        <w:tc>
          <w:tcPr>
            <w:tcW w:w="940" w:type="pct"/>
            <w:shd w:val="clear" w:color="auto" w:fill="95B3D7" w:themeFill="accent1" w:themeFillTint="99"/>
            <w:vAlign w:val="center"/>
          </w:tcPr>
          <w:p w14:paraId="48637AAE"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317/2791 (11.4)</w:t>
            </w:r>
          </w:p>
        </w:tc>
        <w:tc>
          <w:tcPr>
            <w:tcW w:w="1006" w:type="pct"/>
            <w:shd w:val="clear" w:color="auto" w:fill="95B3D7" w:themeFill="accent1" w:themeFillTint="99"/>
            <w:vAlign w:val="center"/>
          </w:tcPr>
          <w:p w14:paraId="2B664618"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11/2800 (0.4)</w:t>
            </w:r>
          </w:p>
        </w:tc>
        <w:tc>
          <w:tcPr>
            <w:tcW w:w="941" w:type="pct"/>
            <w:shd w:val="clear" w:color="auto" w:fill="95B3D7" w:themeFill="accent1" w:themeFillTint="99"/>
          </w:tcPr>
          <w:p w14:paraId="0D9BDB3E"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10.96 (9.77, 12.16)</w:t>
            </w:r>
          </w:p>
        </w:tc>
        <w:tc>
          <w:tcPr>
            <w:tcW w:w="940" w:type="pct"/>
            <w:shd w:val="clear" w:color="auto" w:fill="95B3D7" w:themeFill="accent1" w:themeFillTint="99"/>
            <w:vAlign w:val="center"/>
          </w:tcPr>
          <w:p w14:paraId="2F3688CE"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28.91 (15.89, 52.62)</w:t>
            </w:r>
          </w:p>
        </w:tc>
      </w:tr>
      <w:tr w:rsidR="00221765" w:rsidRPr="00221765" w14:paraId="237EEAB7" w14:textId="77777777" w:rsidTr="00B5602A">
        <w:tc>
          <w:tcPr>
            <w:tcW w:w="1173" w:type="pct"/>
            <w:shd w:val="clear" w:color="auto" w:fill="95B3D7" w:themeFill="accent1" w:themeFillTint="99"/>
          </w:tcPr>
          <w:p w14:paraId="415B17FF" w14:textId="77777777" w:rsidR="00221765" w:rsidRPr="00221765" w:rsidRDefault="00221765" w:rsidP="00221765">
            <w:pPr>
              <w:keepNext/>
              <w:jc w:val="left"/>
              <w:rPr>
                <w:rFonts w:ascii="Arial Narrow" w:eastAsiaTheme="majorEastAsia" w:hAnsi="Arial Narrow" w:cstheme="majorBidi"/>
                <w:bCs/>
                <w:sz w:val="20"/>
              </w:rPr>
            </w:pPr>
            <w:r w:rsidRPr="00221765">
              <w:rPr>
                <w:rFonts w:ascii="Arial Narrow" w:eastAsiaTheme="majorEastAsia" w:hAnsi="Arial Narrow" w:cstheme="majorBidi"/>
                <w:bCs/>
                <w:sz w:val="20"/>
              </w:rPr>
              <w:t>Grade ≥ 3 lymphopenia</w:t>
            </w:r>
            <w:r w:rsidRPr="00221765">
              <w:rPr>
                <w:rFonts w:ascii="Arial Narrow" w:eastAsiaTheme="majorEastAsia" w:hAnsi="Arial Narrow" w:cstheme="majorBidi"/>
                <w:bCs/>
                <w:sz w:val="20"/>
                <w:vertAlign w:val="superscript"/>
              </w:rPr>
              <w:t>a</w:t>
            </w:r>
          </w:p>
        </w:tc>
        <w:tc>
          <w:tcPr>
            <w:tcW w:w="940" w:type="pct"/>
            <w:shd w:val="clear" w:color="auto" w:fill="95B3D7" w:themeFill="accent1" w:themeFillTint="99"/>
            <w:vAlign w:val="center"/>
          </w:tcPr>
          <w:p w14:paraId="5EB4713E"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151/2791 (5.4)</w:t>
            </w:r>
          </w:p>
        </w:tc>
        <w:tc>
          <w:tcPr>
            <w:tcW w:w="1006" w:type="pct"/>
            <w:shd w:val="clear" w:color="auto" w:fill="95B3D7" w:themeFill="accent1" w:themeFillTint="99"/>
            <w:vAlign w:val="center"/>
          </w:tcPr>
          <w:p w14:paraId="4B694F09" w14:textId="77777777" w:rsidR="00221765" w:rsidRPr="00221765" w:rsidRDefault="00221765" w:rsidP="00221765">
            <w:pPr>
              <w:keepNext/>
              <w:jc w:val="center"/>
              <w:rPr>
                <w:rFonts w:ascii="Arial Narrow" w:eastAsiaTheme="majorEastAsia" w:hAnsi="Arial Narrow" w:cstheme="majorBidi"/>
                <w:bCs/>
                <w:sz w:val="20"/>
              </w:rPr>
            </w:pPr>
            <w:r w:rsidRPr="00221765">
              <w:rPr>
                <w:rFonts w:ascii="Arial Narrow" w:eastAsiaTheme="majorEastAsia" w:hAnsi="Arial Narrow" w:cstheme="majorBidi"/>
                <w:bCs/>
                <w:sz w:val="20"/>
              </w:rPr>
              <w:t>13/2800 (0.5)</w:t>
            </w:r>
          </w:p>
        </w:tc>
        <w:tc>
          <w:tcPr>
            <w:tcW w:w="941" w:type="pct"/>
            <w:shd w:val="clear" w:color="auto" w:fill="95B3D7" w:themeFill="accent1" w:themeFillTint="99"/>
          </w:tcPr>
          <w:p w14:paraId="2209DB3F" w14:textId="77777777" w:rsidR="00221765" w:rsidRPr="00221765" w:rsidRDefault="00221765" w:rsidP="00221765">
            <w:pPr>
              <w:keepNext/>
              <w:jc w:val="center"/>
              <w:rPr>
                <w:rFonts w:ascii="Arial Narrow" w:eastAsiaTheme="majorEastAsia" w:hAnsi="Arial Narrow" w:cstheme="majorBidi"/>
                <w:b/>
                <w:bCs/>
                <w:sz w:val="20"/>
              </w:rPr>
            </w:pPr>
            <w:r w:rsidRPr="00221765">
              <w:rPr>
                <w:rFonts w:ascii="Arial Narrow" w:eastAsiaTheme="majorEastAsia" w:hAnsi="Arial Narrow" w:cstheme="majorBidi"/>
                <w:b/>
                <w:bCs/>
                <w:sz w:val="20"/>
              </w:rPr>
              <w:t>4.95 (4.07, 5.82)</w:t>
            </w:r>
          </w:p>
        </w:tc>
        <w:tc>
          <w:tcPr>
            <w:tcW w:w="940" w:type="pct"/>
            <w:shd w:val="clear" w:color="auto" w:fill="95B3D7" w:themeFill="accent1" w:themeFillTint="99"/>
            <w:vAlign w:val="center"/>
          </w:tcPr>
          <w:p w14:paraId="6F2CC498" w14:textId="77777777" w:rsidR="00221765" w:rsidRPr="00221765" w:rsidRDefault="00221765" w:rsidP="00221765">
            <w:pPr>
              <w:keepNext/>
              <w:jc w:val="left"/>
              <w:rPr>
                <w:rFonts w:ascii="Arial Narrow" w:eastAsiaTheme="majorEastAsia" w:hAnsi="Arial Narrow" w:cstheme="majorBidi"/>
                <w:b/>
                <w:bCs/>
                <w:sz w:val="20"/>
              </w:rPr>
            </w:pPr>
            <w:r w:rsidRPr="00221765">
              <w:rPr>
                <w:rFonts w:ascii="Arial Narrow" w:eastAsiaTheme="majorEastAsia" w:hAnsi="Arial Narrow" w:cstheme="majorBidi"/>
                <w:b/>
                <w:bCs/>
                <w:sz w:val="20"/>
              </w:rPr>
              <w:t>11.65 (6.63, 20.48)</w:t>
            </w:r>
          </w:p>
        </w:tc>
      </w:tr>
    </w:tbl>
    <w:p w14:paraId="7E34AEEF" w14:textId="7569838D" w:rsidR="005D26B4" w:rsidRPr="00B1011F" w:rsidRDefault="005D26B4" w:rsidP="00D86231">
      <w:pPr>
        <w:pStyle w:val="FooterTableFigure"/>
        <w:rPr>
          <w:sz w:val="20"/>
        </w:rPr>
      </w:pPr>
      <w:r>
        <w:t>Source: Table</w:t>
      </w:r>
      <w:r w:rsidR="00266C2E">
        <w:t xml:space="preserve"> 2-51</w:t>
      </w:r>
      <w:r>
        <w:t>, p</w:t>
      </w:r>
      <w:r w:rsidR="00266C2E">
        <w:t>133 and</w:t>
      </w:r>
      <w:r w:rsidR="006079C4">
        <w:t xml:space="preserve"> table 2-53, p135</w:t>
      </w:r>
      <w:r>
        <w:t xml:space="preserve"> </w:t>
      </w:r>
      <w:r w:rsidRPr="00D13A3E">
        <w:t xml:space="preserve">of the </w:t>
      </w:r>
      <w:r w:rsidR="006079C4">
        <w:t>re</w:t>
      </w:r>
      <w:r>
        <w:t>submission.</w:t>
      </w:r>
    </w:p>
    <w:p w14:paraId="38E8D2E5" w14:textId="77777777" w:rsidR="00A4313D" w:rsidRDefault="006079C4" w:rsidP="00D86231">
      <w:pPr>
        <w:pStyle w:val="FooterTableFigure"/>
        <w:rPr>
          <w:rFonts w:eastAsia="Calibri"/>
        </w:rPr>
      </w:pPr>
      <w:r>
        <w:rPr>
          <w:rFonts w:eastAsia="Calibri"/>
        </w:rPr>
        <w:t xml:space="preserve">ABE = abemaciclib; AE = adverse event; CTCAE = common terminology criteria for adverse events; </w:t>
      </w:r>
      <w:r w:rsidR="005D26B4" w:rsidRPr="00B40358">
        <w:rPr>
          <w:rFonts w:eastAsia="Calibri"/>
        </w:rPr>
        <w:t>CI = confidence interval;</w:t>
      </w:r>
      <w:r>
        <w:rPr>
          <w:rFonts w:eastAsia="Calibri"/>
        </w:rPr>
        <w:t xml:space="preserve"> ET = endocrine therapy;</w:t>
      </w:r>
      <w:r w:rsidR="005D26B4" w:rsidRPr="00B40358">
        <w:rPr>
          <w:rFonts w:eastAsia="Calibri"/>
        </w:rPr>
        <w:t xml:space="preserve"> n = number of participants reporting data; N = total participants in group</w:t>
      </w:r>
      <w:r w:rsidR="005D26B4">
        <w:rPr>
          <w:rFonts w:eastAsia="Calibri"/>
        </w:rPr>
        <w:t>; RD = risk difference; RR = relative risk</w:t>
      </w:r>
      <w:r>
        <w:rPr>
          <w:rFonts w:eastAsia="Calibri"/>
        </w:rPr>
        <w:t xml:space="preserve">; TEAE = treatment emergent adverse events; TE-SAE = treatment emergent serious adverse events. </w:t>
      </w:r>
    </w:p>
    <w:p w14:paraId="39869B4E" w14:textId="26D7175E" w:rsidR="00A4313D" w:rsidRDefault="006B6188" w:rsidP="00D86231">
      <w:pPr>
        <w:pStyle w:val="FooterTableFigure"/>
        <w:rPr>
          <w:rFonts w:eastAsia="Calibri"/>
        </w:rPr>
      </w:pPr>
      <w:r w:rsidRPr="006B6188">
        <w:rPr>
          <w:rFonts w:eastAsia="Calibri"/>
          <w:bCs/>
        </w:rPr>
        <w:t>Notes:</w:t>
      </w:r>
      <w:r>
        <w:rPr>
          <w:rFonts w:eastAsia="Calibri"/>
          <w:b/>
          <w:bCs/>
        </w:rPr>
        <w:t xml:space="preserve"> </w:t>
      </w:r>
      <w:r w:rsidR="006079C4">
        <w:rPr>
          <w:rFonts w:eastAsia="Calibri"/>
          <w:b/>
          <w:bCs/>
        </w:rPr>
        <w:t>Bold</w:t>
      </w:r>
      <w:r w:rsidR="006079C4">
        <w:rPr>
          <w:rFonts w:eastAsia="Calibri"/>
        </w:rPr>
        <w:t xml:space="preserve"> indicates statistically significant results.</w:t>
      </w:r>
      <w:r w:rsidR="00A669BD">
        <w:rPr>
          <w:rFonts w:eastAsia="Calibri"/>
        </w:rPr>
        <w:t xml:space="preserve"> </w:t>
      </w:r>
    </w:p>
    <w:p w14:paraId="4628108B" w14:textId="268D95D6" w:rsidR="005D26B4" w:rsidRDefault="00A669BD" w:rsidP="00D86231">
      <w:pPr>
        <w:pStyle w:val="FooterTableFigure"/>
        <w:rPr>
          <w:iCs/>
        </w:rPr>
      </w:pPr>
      <w:r w:rsidRPr="00A669BD">
        <w:rPr>
          <w:iCs/>
          <w:shd w:val="clear" w:color="auto" w:fill="8DB3E2" w:themeFill="text2" w:themeFillTint="66"/>
        </w:rPr>
        <w:t>Blue shading</w:t>
      </w:r>
      <w:r w:rsidRPr="00A669BD">
        <w:rPr>
          <w:iCs/>
        </w:rPr>
        <w:t xml:space="preserve"> indicates data previously seen by the PBAC.</w:t>
      </w:r>
    </w:p>
    <w:p w14:paraId="20BA0218" w14:textId="269EA77F" w:rsidR="003A638F" w:rsidRPr="00A669BD" w:rsidRDefault="009A3A18" w:rsidP="003A638F">
      <w:pPr>
        <w:pStyle w:val="FooterTableFigure"/>
        <w:rPr>
          <w:iCs/>
        </w:rPr>
      </w:pPr>
      <w:r>
        <w:rPr>
          <w:iCs/>
          <w:vertAlign w:val="superscript"/>
        </w:rPr>
        <w:t>a</w:t>
      </w:r>
      <w:r w:rsidR="003A638F">
        <w:rPr>
          <w:iCs/>
        </w:rPr>
        <w:t xml:space="preserve">  No update data was provided</w:t>
      </w:r>
      <w:r w:rsidR="005B2AD0">
        <w:rPr>
          <w:iCs/>
        </w:rPr>
        <w:t xml:space="preserve"> at AFU2</w:t>
      </w:r>
    </w:p>
    <w:p w14:paraId="0E9F843B" w14:textId="68304D86" w:rsidR="002E1071" w:rsidRPr="002E1071" w:rsidRDefault="007F1017" w:rsidP="00CE60F7">
      <w:pPr>
        <w:pStyle w:val="4-SubsectionHeading"/>
      </w:pPr>
      <w:bookmarkStart w:id="32" w:name="_Toc22897643"/>
      <w:bookmarkStart w:id="33" w:name="_Toc124940306"/>
      <w:r w:rsidRPr="00C9624D">
        <w:t>Benefits/harms</w:t>
      </w:r>
      <w:bookmarkEnd w:id="32"/>
      <w:bookmarkEnd w:id="33"/>
    </w:p>
    <w:p w14:paraId="1FAE38F0" w14:textId="6110E5C3" w:rsidR="00E723BA" w:rsidRPr="00D2155B" w:rsidRDefault="00EC00C9" w:rsidP="00D2155B">
      <w:pPr>
        <w:pStyle w:val="3-BodyText"/>
        <w:rPr>
          <w:rStyle w:val="CommentReference"/>
          <w:color w:val="0066FF"/>
        </w:rPr>
      </w:pPr>
      <w:r w:rsidRPr="00ED5BD4">
        <w:rPr>
          <w:lang w:val="en-US"/>
        </w:rPr>
        <w:t xml:space="preserve">A summary of the comparative benefits and harms for </w:t>
      </w:r>
      <w:r w:rsidR="00CE60F7">
        <w:rPr>
          <w:lang w:val="en-US"/>
        </w:rPr>
        <w:t>abemaciclib in combination with ET</w:t>
      </w:r>
      <w:r w:rsidRPr="00ED5BD4">
        <w:rPr>
          <w:lang w:val="en-US"/>
        </w:rPr>
        <w:t xml:space="preserve"> versus </w:t>
      </w:r>
      <w:r w:rsidR="00CE60F7">
        <w:rPr>
          <w:lang w:val="en-US"/>
        </w:rPr>
        <w:t>ET alone</w:t>
      </w:r>
      <w:r w:rsidRPr="00ED5BD4">
        <w:rPr>
          <w:lang w:val="en-US"/>
        </w:rPr>
        <w:t xml:space="preserve"> is presented in</w:t>
      </w:r>
      <w:r w:rsidR="00E16AD8">
        <w:rPr>
          <w:lang w:val="en-US"/>
        </w:rPr>
        <w:t xml:space="preserve"> </w:t>
      </w:r>
      <w:r w:rsidR="00E16AD8">
        <w:rPr>
          <w:lang w:val="en-US"/>
        </w:rPr>
        <w:fldChar w:fldCharType="begin"/>
      </w:r>
      <w:r w:rsidR="00E16AD8">
        <w:rPr>
          <w:lang w:val="en-US"/>
        </w:rPr>
        <w:instrText xml:space="preserve"> REF _Ref104805037 \h </w:instrText>
      </w:r>
      <w:r w:rsidR="00E16AD8">
        <w:rPr>
          <w:lang w:val="en-US"/>
        </w:rPr>
      </w:r>
      <w:r w:rsidR="00E16AD8">
        <w:rPr>
          <w:lang w:val="en-US"/>
        </w:rPr>
        <w:fldChar w:fldCharType="separate"/>
      </w:r>
      <w:r w:rsidR="0001201E">
        <w:t xml:space="preserve">Table </w:t>
      </w:r>
      <w:r w:rsidR="0001201E">
        <w:rPr>
          <w:noProof/>
        </w:rPr>
        <w:t>8</w:t>
      </w:r>
      <w:r w:rsidR="00E16AD8">
        <w:rPr>
          <w:lang w:val="en-US"/>
        </w:rPr>
        <w:fldChar w:fldCharType="end"/>
      </w:r>
      <w:r w:rsidRPr="00D2155B">
        <w:t>.</w:t>
      </w:r>
    </w:p>
    <w:p w14:paraId="456015B1" w14:textId="023BFFA7" w:rsidR="00293434" w:rsidRPr="00D2155B" w:rsidRDefault="00D6076E" w:rsidP="00293434">
      <w:pPr>
        <w:pStyle w:val="Caption"/>
        <w:rPr>
          <w:rStyle w:val="CommentReference"/>
          <w:b/>
          <w:szCs w:val="24"/>
        </w:rPr>
      </w:pPr>
      <w:bookmarkStart w:id="34" w:name="_Ref104805037"/>
      <w:r>
        <w:lastRenderedPageBreak/>
        <w:t xml:space="preserve">Table </w:t>
      </w:r>
      <w:fldSimple w:instr=" SEQ Table \* ARABIC ">
        <w:r w:rsidR="0001201E">
          <w:rPr>
            <w:noProof/>
          </w:rPr>
          <w:t>8</w:t>
        </w:r>
      </w:fldSimple>
      <w:bookmarkEnd w:id="34"/>
      <w:r>
        <w:t xml:space="preserve">: </w:t>
      </w:r>
      <w:r w:rsidR="00293434" w:rsidRPr="00D2155B">
        <w:rPr>
          <w:rStyle w:val="CommentReference"/>
          <w:b/>
          <w:szCs w:val="24"/>
        </w:rPr>
        <w:t xml:space="preserve">Summary of comparative benefits and harms for </w:t>
      </w:r>
      <w:r w:rsidR="00293434">
        <w:rPr>
          <w:rStyle w:val="CommentReference"/>
          <w:b/>
          <w:szCs w:val="24"/>
        </w:rPr>
        <w:t xml:space="preserve">ABE + ET vs ET (intention-to-treat population, </w:t>
      </w:r>
      <w:r w:rsidR="00293434" w:rsidRPr="00330DAA">
        <w:t>median duration of follow</w:t>
      </w:r>
      <w:r w:rsidR="00B30BA5">
        <w:t>-</w:t>
      </w:r>
      <w:r w:rsidR="00293434" w:rsidRPr="00330DAA">
        <w:t xml:space="preserve">up </w:t>
      </w:r>
      <w:r w:rsidR="00293434">
        <w:t>42</w:t>
      </w:r>
      <w:r w:rsidR="00293434" w:rsidRPr="00330DAA">
        <w:t xml:space="preserve"> months</w:t>
      </w:r>
      <w:r w:rsidR="00293434">
        <w:rPr>
          <w:rStyle w:val="CommentReference"/>
          <w:b/>
          <w:szCs w:val="24"/>
        </w:rPr>
        <w:t>)</w:t>
      </w:r>
    </w:p>
    <w:tbl>
      <w:tblPr>
        <w:tblStyle w:val="TableGrid"/>
        <w:tblW w:w="5000" w:type="pct"/>
        <w:tblCellMar>
          <w:left w:w="28" w:type="dxa"/>
          <w:right w:w="28" w:type="dxa"/>
        </w:tblCellMar>
        <w:tblLook w:val="04A0" w:firstRow="1" w:lastRow="0" w:firstColumn="1" w:lastColumn="0" w:noHBand="0" w:noVBand="1"/>
      </w:tblPr>
      <w:tblGrid>
        <w:gridCol w:w="2479"/>
        <w:gridCol w:w="1634"/>
        <w:gridCol w:w="1636"/>
        <w:gridCol w:w="1634"/>
        <w:gridCol w:w="1634"/>
      </w:tblGrid>
      <w:tr w:rsidR="00293434" w:rsidRPr="00511320" w14:paraId="6B3EC842" w14:textId="77777777" w:rsidTr="00B5602A">
        <w:trPr>
          <w:trHeight w:val="20"/>
        </w:trPr>
        <w:tc>
          <w:tcPr>
            <w:tcW w:w="1375" w:type="pct"/>
            <w:tcBorders>
              <w:bottom w:val="single" w:sz="4" w:space="0" w:color="auto"/>
            </w:tcBorders>
            <w:shd w:val="clear" w:color="auto" w:fill="auto"/>
          </w:tcPr>
          <w:p w14:paraId="122CF12F" w14:textId="77777777" w:rsidR="00293434" w:rsidRPr="00330DAA" w:rsidRDefault="00293434" w:rsidP="00B5602A">
            <w:pPr>
              <w:pStyle w:val="In-tableHeading"/>
            </w:pPr>
            <w:r w:rsidRPr="00330DAA">
              <w:t>Event</w:t>
            </w:r>
          </w:p>
        </w:tc>
        <w:tc>
          <w:tcPr>
            <w:tcW w:w="906" w:type="pct"/>
            <w:tcBorders>
              <w:bottom w:val="single" w:sz="4" w:space="0" w:color="auto"/>
            </w:tcBorders>
            <w:shd w:val="clear" w:color="auto" w:fill="auto"/>
          </w:tcPr>
          <w:p w14:paraId="612D4F4B" w14:textId="77777777" w:rsidR="00293434" w:rsidRPr="00330DAA" w:rsidRDefault="00293434" w:rsidP="00B5602A">
            <w:pPr>
              <w:pStyle w:val="In-tableHeading"/>
              <w:jc w:val="center"/>
            </w:pPr>
            <w:r>
              <w:t>ABE + ET</w:t>
            </w:r>
          </w:p>
        </w:tc>
        <w:tc>
          <w:tcPr>
            <w:tcW w:w="907" w:type="pct"/>
            <w:tcBorders>
              <w:bottom w:val="single" w:sz="4" w:space="0" w:color="auto"/>
            </w:tcBorders>
            <w:shd w:val="clear" w:color="auto" w:fill="auto"/>
          </w:tcPr>
          <w:p w14:paraId="2247EB6E" w14:textId="77777777" w:rsidR="00293434" w:rsidRPr="00330DAA" w:rsidRDefault="00293434" w:rsidP="00B5602A">
            <w:pPr>
              <w:pStyle w:val="In-tableHeading"/>
              <w:jc w:val="center"/>
            </w:pPr>
            <w:r>
              <w:t>ET</w:t>
            </w:r>
          </w:p>
        </w:tc>
        <w:tc>
          <w:tcPr>
            <w:tcW w:w="906" w:type="pct"/>
            <w:tcBorders>
              <w:bottom w:val="single" w:sz="4" w:space="0" w:color="auto"/>
            </w:tcBorders>
          </w:tcPr>
          <w:p w14:paraId="3C1FA61D" w14:textId="77777777" w:rsidR="00293434" w:rsidRPr="00511320" w:rsidRDefault="00293434" w:rsidP="00B5602A">
            <w:pPr>
              <w:pStyle w:val="In-tableHeading"/>
              <w:jc w:val="center"/>
            </w:pPr>
            <w:r w:rsidRPr="00330DAA">
              <w:t>Absolute Difference</w:t>
            </w:r>
          </w:p>
        </w:tc>
        <w:tc>
          <w:tcPr>
            <w:tcW w:w="906" w:type="pct"/>
            <w:tcBorders>
              <w:bottom w:val="single" w:sz="4" w:space="0" w:color="auto"/>
            </w:tcBorders>
            <w:shd w:val="clear" w:color="auto" w:fill="auto"/>
          </w:tcPr>
          <w:p w14:paraId="2534877F" w14:textId="77777777" w:rsidR="00293434" w:rsidRPr="00330DAA" w:rsidRDefault="00293434" w:rsidP="00B5602A">
            <w:pPr>
              <w:pStyle w:val="In-tableHeading"/>
              <w:jc w:val="center"/>
              <w:rPr>
                <w:rFonts w:asciiTheme="minorHAnsi" w:hAnsiTheme="minorHAnsi"/>
              </w:rPr>
            </w:pPr>
            <w:r w:rsidRPr="00511320">
              <w:t>HR (95% CI)</w:t>
            </w:r>
          </w:p>
        </w:tc>
      </w:tr>
      <w:tr w:rsidR="00293434" w:rsidRPr="00511320" w14:paraId="1CF080BE" w14:textId="77777777" w:rsidTr="00B5602A">
        <w:trPr>
          <w:trHeight w:val="20"/>
        </w:trPr>
        <w:tc>
          <w:tcPr>
            <w:tcW w:w="5000" w:type="pct"/>
            <w:gridSpan w:val="5"/>
            <w:tcBorders>
              <w:bottom w:val="single" w:sz="4" w:space="0" w:color="auto"/>
            </w:tcBorders>
            <w:shd w:val="clear" w:color="auto" w:fill="auto"/>
          </w:tcPr>
          <w:p w14:paraId="629583DC" w14:textId="77777777" w:rsidR="00293434" w:rsidRPr="00511320" w:rsidRDefault="00293434" w:rsidP="00B5602A">
            <w:pPr>
              <w:pStyle w:val="In-tableHeading"/>
            </w:pPr>
            <w:r>
              <w:t xml:space="preserve">Invasive disease-free survival </w:t>
            </w:r>
            <w:r w:rsidRPr="00330DAA">
              <w:t>(</w:t>
            </w:r>
            <w:r>
              <w:t>IDFS</w:t>
            </w:r>
            <w:r w:rsidRPr="00330DAA">
              <w:t>)</w:t>
            </w:r>
          </w:p>
        </w:tc>
      </w:tr>
      <w:tr w:rsidR="00293434" w:rsidRPr="00C67006" w14:paraId="7FAAE4B6" w14:textId="77777777" w:rsidTr="00B5602A">
        <w:trPr>
          <w:trHeight w:val="20"/>
        </w:trPr>
        <w:tc>
          <w:tcPr>
            <w:tcW w:w="1375" w:type="pct"/>
            <w:tcBorders>
              <w:bottom w:val="single" w:sz="4" w:space="0" w:color="auto"/>
              <w:right w:val="single" w:sz="4" w:space="0" w:color="auto"/>
            </w:tcBorders>
            <w:shd w:val="clear" w:color="auto" w:fill="auto"/>
          </w:tcPr>
          <w:p w14:paraId="5187A920" w14:textId="77777777" w:rsidR="00293434" w:rsidRPr="00330DAA" w:rsidRDefault="00293434" w:rsidP="00B5602A">
            <w:pPr>
              <w:pStyle w:val="TableText0"/>
              <w:keepLines/>
              <w:widowControl w:val="0"/>
            </w:pPr>
            <w:r>
              <w:t>Invasive disease or death</w:t>
            </w:r>
            <w:r w:rsidRPr="00330DAA">
              <w:t>, n (%)</w:t>
            </w:r>
          </w:p>
        </w:tc>
        <w:tc>
          <w:tcPr>
            <w:tcW w:w="906" w:type="pct"/>
            <w:tcBorders>
              <w:left w:val="single" w:sz="4" w:space="0" w:color="auto"/>
              <w:bottom w:val="single" w:sz="4" w:space="0" w:color="auto"/>
              <w:right w:val="single" w:sz="4" w:space="0" w:color="auto"/>
            </w:tcBorders>
            <w:shd w:val="clear" w:color="auto" w:fill="auto"/>
            <w:vAlign w:val="center"/>
          </w:tcPr>
          <w:p w14:paraId="5C7021FD" w14:textId="77777777" w:rsidR="00293434" w:rsidRPr="00330DAA" w:rsidRDefault="00293434" w:rsidP="00B5602A">
            <w:pPr>
              <w:pStyle w:val="TableText0"/>
              <w:keepLines/>
              <w:widowControl w:val="0"/>
              <w:jc w:val="center"/>
            </w:pPr>
            <w:r>
              <w:t>336/2808 (12.0%)</w:t>
            </w:r>
          </w:p>
        </w:tc>
        <w:tc>
          <w:tcPr>
            <w:tcW w:w="907" w:type="pct"/>
            <w:tcBorders>
              <w:left w:val="single" w:sz="4" w:space="0" w:color="auto"/>
              <w:bottom w:val="single" w:sz="4" w:space="0" w:color="auto"/>
              <w:right w:val="single" w:sz="4" w:space="0" w:color="auto"/>
            </w:tcBorders>
            <w:shd w:val="clear" w:color="auto" w:fill="auto"/>
            <w:vAlign w:val="center"/>
          </w:tcPr>
          <w:p w14:paraId="54D4E04B" w14:textId="77777777" w:rsidR="00293434" w:rsidRPr="00330DAA" w:rsidRDefault="00293434" w:rsidP="00B5602A">
            <w:pPr>
              <w:pStyle w:val="TableText0"/>
              <w:keepLines/>
              <w:widowControl w:val="0"/>
              <w:jc w:val="center"/>
            </w:pPr>
            <w:r>
              <w:t>499/2829 (17.6%)</w:t>
            </w:r>
          </w:p>
        </w:tc>
        <w:tc>
          <w:tcPr>
            <w:tcW w:w="906" w:type="pct"/>
            <w:tcBorders>
              <w:left w:val="single" w:sz="4" w:space="0" w:color="auto"/>
              <w:bottom w:val="single" w:sz="4" w:space="0" w:color="auto"/>
              <w:right w:val="single" w:sz="4" w:space="0" w:color="auto"/>
            </w:tcBorders>
            <w:vAlign w:val="center"/>
          </w:tcPr>
          <w:p w14:paraId="05AD80FB" w14:textId="77777777" w:rsidR="00293434" w:rsidRPr="00937990" w:rsidRDefault="00293434" w:rsidP="00B5602A">
            <w:pPr>
              <w:pStyle w:val="TableText0"/>
              <w:keepLines/>
              <w:widowControl w:val="0"/>
              <w:jc w:val="center"/>
              <w:rPr>
                <w:bCs w:val="0"/>
                <w:szCs w:val="20"/>
              </w:rPr>
            </w:pPr>
            <w:r>
              <w:rPr>
                <w:bCs w:val="0"/>
              </w:rPr>
              <w:t>NA</w:t>
            </w:r>
          </w:p>
        </w:tc>
        <w:tc>
          <w:tcPr>
            <w:tcW w:w="906" w:type="pct"/>
            <w:tcBorders>
              <w:left w:val="single" w:sz="4" w:space="0" w:color="auto"/>
              <w:bottom w:val="single" w:sz="4" w:space="0" w:color="auto"/>
              <w:right w:val="single" w:sz="4" w:space="0" w:color="auto"/>
            </w:tcBorders>
            <w:shd w:val="clear" w:color="auto" w:fill="auto"/>
            <w:vAlign w:val="center"/>
          </w:tcPr>
          <w:p w14:paraId="6C39C797" w14:textId="77777777" w:rsidR="00293434" w:rsidRPr="00787A0B" w:rsidRDefault="00293434" w:rsidP="00B5602A">
            <w:pPr>
              <w:pStyle w:val="TableText0"/>
              <w:keepLines/>
              <w:widowControl w:val="0"/>
              <w:jc w:val="center"/>
              <w:rPr>
                <w:vertAlign w:val="superscript"/>
              </w:rPr>
            </w:pPr>
            <w:r w:rsidRPr="008E53D3">
              <w:rPr>
                <w:b/>
                <w:szCs w:val="20"/>
              </w:rPr>
              <w:t>0.66 (0.58, 0.76)</w:t>
            </w:r>
          </w:p>
        </w:tc>
      </w:tr>
      <w:tr w:rsidR="00293434" w:rsidRPr="00C67006" w14:paraId="4C30D100" w14:textId="77777777" w:rsidTr="00B5602A">
        <w:trPr>
          <w:trHeight w:val="20"/>
        </w:trPr>
        <w:tc>
          <w:tcPr>
            <w:tcW w:w="1375" w:type="pct"/>
            <w:tcBorders>
              <w:bottom w:val="single" w:sz="4" w:space="0" w:color="auto"/>
              <w:right w:val="single" w:sz="4" w:space="0" w:color="auto"/>
            </w:tcBorders>
            <w:shd w:val="clear" w:color="auto" w:fill="auto"/>
          </w:tcPr>
          <w:p w14:paraId="5A1519DE" w14:textId="77777777" w:rsidR="00293434" w:rsidRPr="00330DAA" w:rsidRDefault="00293434" w:rsidP="00B5602A">
            <w:pPr>
              <w:pStyle w:val="TableText0"/>
              <w:keepLines/>
              <w:widowControl w:val="0"/>
            </w:pPr>
            <w:r w:rsidRPr="00330DAA">
              <w:t xml:space="preserve">Median </w:t>
            </w:r>
            <w:r>
              <w:t xml:space="preserve">IDFS, </w:t>
            </w:r>
            <w:r w:rsidRPr="00330DAA">
              <w:t>months</w:t>
            </w:r>
            <w:r>
              <w:t xml:space="preserve"> (95% CI)</w:t>
            </w:r>
          </w:p>
        </w:tc>
        <w:tc>
          <w:tcPr>
            <w:tcW w:w="906" w:type="pct"/>
            <w:tcBorders>
              <w:left w:val="single" w:sz="4" w:space="0" w:color="auto"/>
              <w:bottom w:val="single" w:sz="4" w:space="0" w:color="auto"/>
              <w:right w:val="single" w:sz="4" w:space="0" w:color="auto"/>
            </w:tcBorders>
            <w:shd w:val="clear" w:color="auto" w:fill="auto"/>
            <w:vAlign w:val="center"/>
          </w:tcPr>
          <w:p w14:paraId="768E4E4F" w14:textId="77777777" w:rsidR="00293434" w:rsidRPr="00330DAA" w:rsidRDefault="00293434" w:rsidP="00B5602A">
            <w:pPr>
              <w:pStyle w:val="TableText0"/>
              <w:keepLines/>
              <w:widowControl w:val="0"/>
              <w:jc w:val="center"/>
              <w:rPr>
                <w:rFonts w:cs="Times New Roman"/>
                <w:szCs w:val="20"/>
              </w:rPr>
            </w:pPr>
            <w:r>
              <w:t>NR</w:t>
            </w:r>
          </w:p>
        </w:tc>
        <w:tc>
          <w:tcPr>
            <w:tcW w:w="907" w:type="pct"/>
            <w:tcBorders>
              <w:left w:val="single" w:sz="4" w:space="0" w:color="auto"/>
              <w:bottom w:val="single" w:sz="4" w:space="0" w:color="auto"/>
              <w:right w:val="single" w:sz="4" w:space="0" w:color="auto"/>
            </w:tcBorders>
            <w:shd w:val="clear" w:color="auto" w:fill="auto"/>
            <w:vAlign w:val="center"/>
          </w:tcPr>
          <w:p w14:paraId="4C5F25C8" w14:textId="77777777" w:rsidR="00293434" w:rsidRPr="00330DAA" w:rsidRDefault="00293434" w:rsidP="00B5602A">
            <w:pPr>
              <w:pStyle w:val="TableText0"/>
              <w:keepLines/>
              <w:widowControl w:val="0"/>
              <w:jc w:val="center"/>
              <w:rPr>
                <w:rFonts w:cs="Times New Roman"/>
                <w:szCs w:val="20"/>
              </w:rPr>
            </w:pPr>
            <w:r>
              <w:t>NR</w:t>
            </w:r>
          </w:p>
        </w:tc>
        <w:tc>
          <w:tcPr>
            <w:tcW w:w="906" w:type="pct"/>
            <w:tcBorders>
              <w:left w:val="single" w:sz="4" w:space="0" w:color="auto"/>
              <w:bottom w:val="single" w:sz="4" w:space="0" w:color="auto"/>
              <w:right w:val="single" w:sz="4" w:space="0" w:color="auto"/>
            </w:tcBorders>
            <w:vAlign w:val="center"/>
          </w:tcPr>
          <w:p w14:paraId="793957DF" w14:textId="77777777" w:rsidR="00293434" w:rsidRPr="00330DAA" w:rsidRDefault="00293434" w:rsidP="00B5602A">
            <w:pPr>
              <w:pStyle w:val="TableText0"/>
              <w:keepLines/>
              <w:widowControl w:val="0"/>
              <w:jc w:val="center"/>
            </w:pPr>
            <w:r>
              <w:t>NE</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27ED0DA2" w14:textId="77777777" w:rsidR="00293434" w:rsidRPr="00330DAA" w:rsidRDefault="00293434" w:rsidP="00B5602A">
            <w:pPr>
              <w:pStyle w:val="TableText0"/>
              <w:keepLines/>
              <w:widowControl w:val="0"/>
              <w:jc w:val="center"/>
            </w:pPr>
            <w:r w:rsidRPr="00937990">
              <w:rPr>
                <w:bCs w:val="0"/>
              </w:rPr>
              <w:t>–</w:t>
            </w:r>
          </w:p>
        </w:tc>
      </w:tr>
      <w:tr w:rsidR="00293434" w:rsidRPr="00C67006" w14:paraId="2BFC10F5"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07CEBBFA" w14:textId="77777777" w:rsidR="00293434" w:rsidRPr="00330DAA" w:rsidRDefault="00293434" w:rsidP="00B5602A">
            <w:pPr>
              <w:pStyle w:val="TableText0"/>
              <w:keepLines/>
              <w:widowControl w:val="0"/>
            </w:pPr>
            <w:r w:rsidRPr="00330DAA">
              <w:t xml:space="preserve">% </w:t>
            </w:r>
            <w:r>
              <w:t>alive without invasive disease</w:t>
            </w:r>
            <w:r w:rsidRPr="00330DAA">
              <w:t xml:space="preserve"> at </w:t>
            </w:r>
            <w:r>
              <w:t>36</w:t>
            </w:r>
            <w:r w:rsidRPr="00330DAA">
              <w:t xml:space="preserve"> months (95% CI)</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210E2A88" w14:textId="77777777" w:rsidR="00293434" w:rsidRDefault="00293434" w:rsidP="00B5602A">
            <w:pPr>
              <w:pStyle w:val="TableText0"/>
              <w:keepLines/>
              <w:widowControl w:val="0"/>
              <w:jc w:val="center"/>
              <w:rPr>
                <w:szCs w:val="20"/>
              </w:rPr>
            </w:pPr>
            <w:r>
              <w:rPr>
                <w:szCs w:val="20"/>
              </w:rPr>
              <w:t>89.2</w:t>
            </w:r>
            <w:r w:rsidRPr="00330DAA">
              <w:rPr>
                <w:szCs w:val="20"/>
              </w:rPr>
              <w:t xml:space="preserve">% </w:t>
            </w:r>
          </w:p>
          <w:p w14:paraId="37826C89" w14:textId="77777777" w:rsidR="00293434" w:rsidRPr="00330DAA" w:rsidRDefault="00293434" w:rsidP="00B5602A">
            <w:pPr>
              <w:pStyle w:val="TableText0"/>
              <w:keepLines/>
              <w:widowControl w:val="0"/>
              <w:jc w:val="center"/>
            </w:pPr>
            <w:r w:rsidRPr="00330DAA">
              <w:rPr>
                <w:szCs w:val="20"/>
              </w:rPr>
              <w:t>(</w:t>
            </w:r>
            <w:r>
              <w:rPr>
                <w:szCs w:val="20"/>
              </w:rPr>
              <w:t>87.9%, 90.3%)</w:t>
            </w:r>
          </w:p>
        </w:tc>
        <w:tc>
          <w:tcPr>
            <w:tcW w:w="907" w:type="pct"/>
            <w:tcBorders>
              <w:top w:val="single" w:sz="4" w:space="0" w:color="auto"/>
              <w:left w:val="single" w:sz="4" w:space="0" w:color="auto"/>
              <w:bottom w:val="single" w:sz="4" w:space="0" w:color="auto"/>
              <w:right w:val="single" w:sz="4" w:space="0" w:color="auto"/>
            </w:tcBorders>
            <w:shd w:val="clear" w:color="auto" w:fill="auto"/>
          </w:tcPr>
          <w:p w14:paraId="218AA867" w14:textId="77777777" w:rsidR="00293434" w:rsidRDefault="00293434" w:rsidP="00B5602A">
            <w:pPr>
              <w:pStyle w:val="TableText0"/>
              <w:keepLines/>
              <w:widowControl w:val="0"/>
              <w:jc w:val="center"/>
              <w:rPr>
                <w:szCs w:val="20"/>
              </w:rPr>
            </w:pPr>
            <w:r>
              <w:rPr>
                <w:szCs w:val="20"/>
              </w:rPr>
              <w:t>84.4</w:t>
            </w:r>
            <w:r w:rsidRPr="00330DAA">
              <w:rPr>
                <w:szCs w:val="20"/>
              </w:rPr>
              <w:t xml:space="preserve">% </w:t>
            </w:r>
          </w:p>
          <w:p w14:paraId="5F6B28B8" w14:textId="77777777" w:rsidR="00293434" w:rsidRPr="00330DAA" w:rsidRDefault="00293434" w:rsidP="00B5602A">
            <w:pPr>
              <w:pStyle w:val="TableText0"/>
              <w:keepLines/>
              <w:widowControl w:val="0"/>
              <w:jc w:val="center"/>
              <w:rPr>
                <w:szCs w:val="20"/>
              </w:rPr>
            </w:pPr>
            <w:r w:rsidRPr="00330DAA">
              <w:rPr>
                <w:szCs w:val="20"/>
              </w:rPr>
              <w:t>(</w:t>
            </w:r>
            <w:r>
              <w:rPr>
                <w:szCs w:val="20"/>
              </w:rPr>
              <w:t>83.0%, 85.8%)</w:t>
            </w:r>
          </w:p>
        </w:tc>
        <w:tc>
          <w:tcPr>
            <w:tcW w:w="906" w:type="pct"/>
            <w:tcBorders>
              <w:top w:val="single" w:sz="4" w:space="0" w:color="auto"/>
              <w:left w:val="single" w:sz="4" w:space="0" w:color="auto"/>
              <w:bottom w:val="single" w:sz="4" w:space="0" w:color="auto"/>
              <w:right w:val="single" w:sz="4" w:space="0" w:color="auto"/>
            </w:tcBorders>
          </w:tcPr>
          <w:p w14:paraId="2D06089D" w14:textId="77777777" w:rsidR="00293434" w:rsidRDefault="00293434" w:rsidP="00B5602A">
            <w:pPr>
              <w:pStyle w:val="TableText0"/>
              <w:keepLines/>
              <w:widowControl w:val="0"/>
              <w:jc w:val="center"/>
            </w:pPr>
            <w:r>
              <w:t>4.8</w:t>
            </w:r>
            <w:r w:rsidRPr="00330DAA">
              <w:t>%</w:t>
            </w:r>
            <w:r>
              <w:t xml:space="preserve"> </w:t>
            </w:r>
          </w:p>
          <w:p w14:paraId="5B854CD8" w14:textId="46AA569D" w:rsidR="00293434" w:rsidRPr="00330DAA" w:rsidRDefault="00293434" w:rsidP="00B5602A">
            <w:pPr>
              <w:pStyle w:val="TableText0"/>
              <w:keepLines/>
              <w:widowControl w:val="0"/>
              <w:jc w:val="center"/>
            </w:pPr>
            <w:r>
              <w:t xml:space="preserve">(2.9%, </w:t>
            </w:r>
            <w:r w:rsidR="001E7225">
              <w:t>6.6</w:t>
            </w:r>
            <w: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23E1E432" w14:textId="77777777" w:rsidR="00293434" w:rsidRPr="00330DAA" w:rsidRDefault="00293434" w:rsidP="00B5602A">
            <w:pPr>
              <w:pStyle w:val="TableText0"/>
              <w:keepLines/>
              <w:widowControl w:val="0"/>
              <w:jc w:val="center"/>
            </w:pPr>
            <w:r w:rsidRPr="00937990">
              <w:rPr>
                <w:bCs w:val="0"/>
              </w:rPr>
              <w:t>–</w:t>
            </w:r>
          </w:p>
        </w:tc>
      </w:tr>
      <w:tr w:rsidR="00293434" w:rsidRPr="00511320" w14:paraId="3BEA3F94"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002342BA" w14:textId="77777777" w:rsidR="00293434" w:rsidRPr="00330DAA" w:rsidRDefault="00293434" w:rsidP="00B5602A">
            <w:pPr>
              <w:pStyle w:val="TableText0"/>
              <w:keepLines/>
              <w:widowControl w:val="0"/>
            </w:pPr>
            <w:r w:rsidRPr="00330DAA">
              <w:t xml:space="preserve">% </w:t>
            </w:r>
            <w:r>
              <w:t xml:space="preserve">alive without invasive disease </w:t>
            </w:r>
            <w:r w:rsidRPr="00330DAA">
              <w:t xml:space="preserve">at </w:t>
            </w:r>
            <w:r>
              <w:t>48</w:t>
            </w:r>
            <w:r w:rsidRPr="00330DAA">
              <w:t xml:space="preserve"> months (95% CI)</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63C38421" w14:textId="77777777" w:rsidR="00293434" w:rsidRDefault="00293434" w:rsidP="00B5602A">
            <w:pPr>
              <w:pStyle w:val="TableText0"/>
              <w:keepLines/>
              <w:widowControl w:val="0"/>
              <w:jc w:val="center"/>
              <w:rPr>
                <w:szCs w:val="20"/>
              </w:rPr>
            </w:pPr>
            <w:r>
              <w:rPr>
                <w:szCs w:val="20"/>
              </w:rPr>
              <w:t>85.8</w:t>
            </w:r>
            <w:r w:rsidRPr="00330DAA">
              <w:rPr>
                <w:szCs w:val="20"/>
              </w:rPr>
              <w:t xml:space="preserve">% </w:t>
            </w:r>
          </w:p>
          <w:p w14:paraId="5EB0C66C" w14:textId="77777777" w:rsidR="00293434" w:rsidRPr="00330DAA" w:rsidRDefault="00293434" w:rsidP="00B5602A">
            <w:pPr>
              <w:pStyle w:val="TableText0"/>
              <w:keepLines/>
              <w:widowControl w:val="0"/>
              <w:jc w:val="center"/>
              <w:rPr>
                <w:szCs w:val="20"/>
              </w:rPr>
            </w:pPr>
            <w:r w:rsidRPr="00330DAA">
              <w:rPr>
                <w:szCs w:val="20"/>
              </w:rPr>
              <w:t>(</w:t>
            </w:r>
            <w:r>
              <w:rPr>
                <w:szCs w:val="20"/>
              </w:rPr>
              <w:t>84.2%, 87.3%)</w:t>
            </w:r>
          </w:p>
        </w:tc>
        <w:tc>
          <w:tcPr>
            <w:tcW w:w="907" w:type="pct"/>
            <w:tcBorders>
              <w:top w:val="single" w:sz="4" w:space="0" w:color="auto"/>
              <w:left w:val="single" w:sz="4" w:space="0" w:color="auto"/>
              <w:bottom w:val="single" w:sz="4" w:space="0" w:color="auto"/>
              <w:right w:val="single" w:sz="4" w:space="0" w:color="auto"/>
            </w:tcBorders>
            <w:shd w:val="clear" w:color="auto" w:fill="auto"/>
          </w:tcPr>
          <w:p w14:paraId="3EB8FCB2" w14:textId="77777777" w:rsidR="00293434" w:rsidRDefault="00293434" w:rsidP="00B5602A">
            <w:pPr>
              <w:pStyle w:val="TableText0"/>
              <w:keepLines/>
              <w:widowControl w:val="0"/>
              <w:jc w:val="center"/>
              <w:rPr>
                <w:szCs w:val="20"/>
              </w:rPr>
            </w:pPr>
            <w:r>
              <w:rPr>
                <w:szCs w:val="20"/>
              </w:rPr>
              <w:t>79.4</w:t>
            </w:r>
            <w:r w:rsidRPr="00330DAA">
              <w:rPr>
                <w:szCs w:val="20"/>
              </w:rPr>
              <w:t xml:space="preserve">% </w:t>
            </w:r>
          </w:p>
          <w:p w14:paraId="59C2FBE0" w14:textId="77777777" w:rsidR="00293434" w:rsidRPr="00330DAA" w:rsidRDefault="00293434" w:rsidP="00B5602A">
            <w:pPr>
              <w:pStyle w:val="TableText0"/>
              <w:keepLines/>
              <w:widowControl w:val="0"/>
              <w:jc w:val="center"/>
              <w:rPr>
                <w:szCs w:val="20"/>
              </w:rPr>
            </w:pPr>
            <w:r w:rsidRPr="00330DAA">
              <w:rPr>
                <w:szCs w:val="20"/>
              </w:rPr>
              <w:t>(</w:t>
            </w:r>
            <w:r>
              <w:rPr>
                <w:szCs w:val="20"/>
              </w:rPr>
              <w:t>77.5%, 81.1%)</w:t>
            </w:r>
          </w:p>
        </w:tc>
        <w:tc>
          <w:tcPr>
            <w:tcW w:w="906" w:type="pct"/>
            <w:tcBorders>
              <w:top w:val="single" w:sz="4" w:space="0" w:color="auto"/>
              <w:left w:val="single" w:sz="4" w:space="0" w:color="auto"/>
              <w:bottom w:val="single" w:sz="4" w:space="0" w:color="auto"/>
              <w:right w:val="single" w:sz="4" w:space="0" w:color="auto"/>
            </w:tcBorders>
          </w:tcPr>
          <w:p w14:paraId="28459798" w14:textId="47A9A8F9" w:rsidR="00293434" w:rsidRDefault="00293434" w:rsidP="00B5602A">
            <w:pPr>
              <w:pStyle w:val="TableText0"/>
              <w:keepLines/>
              <w:widowControl w:val="0"/>
              <w:jc w:val="center"/>
              <w:rPr>
                <w:rFonts w:cs="Times New Roman"/>
                <w:szCs w:val="20"/>
              </w:rPr>
            </w:pPr>
            <w:r>
              <w:rPr>
                <w:rFonts w:cs="Times New Roman"/>
                <w:szCs w:val="20"/>
              </w:rPr>
              <w:t>6.</w:t>
            </w:r>
            <w:r w:rsidR="001E7225">
              <w:rPr>
                <w:rFonts w:cs="Times New Roman"/>
                <w:szCs w:val="20"/>
              </w:rPr>
              <w:t>4</w:t>
            </w:r>
            <w:r w:rsidRPr="00330DAA">
              <w:rPr>
                <w:rFonts w:cs="Times New Roman"/>
                <w:szCs w:val="20"/>
              </w:rPr>
              <w:t>%</w:t>
            </w:r>
            <w:r>
              <w:rPr>
                <w:rFonts w:cs="Times New Roman"/>
                <w:szCs w:val="20"/>
              </w:rPr>
              <w:t xml:space="preserve"> </w:t>
            </w:r>
          </w:p>
          <w:p w14:paraId="10D5662F" w14:textId="77777777" w:rsidR="00293434" w:rsidRPr="00330DAA" w:rsidRDefault="00293434" w:rsidP="00B5602A">
            <w:pPr>
              <w:pStyle w:val="TableText0"/>
              <w:keepLines/>
              <w:widowControl w:val="0"/>
              <w:jc w:val="center"/>
              <w:rPr>
                <w:rFonts w:cs="Times New Roman"/>
                <w:szCs w:val="20"/>
              </w:rPr>
            </w:pPr>
            <w:r>
              <w:rPr>
                <w:rFonts w:cs="Times New Roman"/>
                <w:szCs w:val="20"/>
              </w:rPr>
              <w:t>(4.1%, 8.8%)</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65BDC2E2" w14:textId="77777777" w:rsidR="00293434" w:rsidRPr="00330DAA" w:rsidRDefault="00293434" w:rsidP="00B5602A">
            <w:pPr>
              <w:pStyle w:val="TableText0"/>
              <w:keepLines/>
              <w:widowControl w:val="0"/>
              <w:jc w:val="center"/>
              <w:rPr>
                <w:rFonts w:cs="Times New Roman"/>
                <w:szCs w:val="20"/>
              </w:rPr>
            </w:pPr>
            <w:r w:rsidRPr="00937990">
              <w:rPr>
                <w:bCs w:val="0"/>
              </w:rPr>
              <w:t>–</w:t>
            </w:r>
          </w:p>
        </w:tc>
      </w:tr>
      <w:tr w:rsidR="00293434" w:rsidRPr="00511320" w14:paraId="2572F833" w14:textId="77777777" w:rsidTr="00B5602A">
        <w:trPr>
          <w:trHeight w:val="20"/>
        </w:trPr>
        <w:tc>
          <w:tcPr>
            <w:tcW w:w="5000" w:type="pct"/>
            <w:gridSpan w:val="5"/>
            <w:tcBorders>
              <w:top w:val="single" w:sz="4" w:space="0" w:color="auto"/>
              <w:bottom w:val="single" w:sz="4" w:space="0" w:color="auto"/>
            </w:tcBorders>
          </w:tcPr>
          <w:p w14:paraId="2495E4B0" w14:textId="77777777" w:rsidR="00293434" w:rsidRPr="00AA28AA" w:rsidRDefault="00293434" w:rsidP="00B5602A">
            <w:pPr>
              <w:pStyle w:val="TableText0"/>
              <w:keepLines/>
              <w:widowControl w:val="0"/>
              <w:rPr>
                <w:b/>
              </w:rPr>
            </w:pPr>
            <w:r w:rsidRPr="00AA28AA">
              <w:rPr>
                <w:b/>
              </w:rPr>
              <w:t>Distant re</w:t>
            </w:r>
            <w:r>
              <w:rPr>
                <w:b/>
              </w:rPr>
              <w:t>lapse-</w:t>
            </w:r>
            <w:r w:rsidRPr="00AA28AA">
              <w:rPr>
                <w:b/>
              </w:rPr>
              <w:t>free survival (</w:t>
            </w:r>
            <w:r>
              <w:rPr>
                <w:b/>
              </w:rPr>
              <w:t>DR</w:t>
            </w:r>
            <w:r w:rsidRPr="00AA28AA">
              <w:rPr>
                <w:b/>
              </w:rPr>
              <w:t>FS)</w:t>
            </w:r>
          </w:p>
        </w:tc>
      </w:tr>
      <w:tr w:rsidR="00293434" w:rsidRPr="00511320" w14:paraId="144EC412"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46A88236" w14:textId="77777777" w:rsidR="00293434" w:rsidRPr="00330DAA" w:rsidRDefault="00293434" w:rsidP="00B5602A">
            <w:pPr>
              <w:pStyle w:val="TableText0"/>
              <w:keepLines/>
              <w:widowControl w:val="0"/>
            </w:pPr>
            <w:r>
              <w:t>Distant relapse or death, n (%)</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4998289C" w14:textId="77777777" w:rsidR="00293434" w:rsidRDefault="00293434" w:rsidP="00B5602A">
            <w:pPr>
              <w:pStyle w:val="TableText0"/>
              <w:keepLines/>
              <w:widowControl w:val="0"/>
              <w:jc w:val="center"/>
              <w:rPr>
                <w:szCs w:val="20"/>
              </w:rPr>
            </w:pPr>
            <w:r>
              <w:t>281/2808 (10.0%)</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6D5ABE16" w14:textId="77777777" w:rsidR="00293434" w:rsidRDefault="00293434" w:rsidP="00B5602A">
            <w:pPr>
              <w:pStyle w:val="TableText0"/>
              <w:keepLines/>
              <w:widowControl w:val="0"/>
              <w:jc w:val="center"/>
              <w:rPr>
                <w:szCs w:val="20"/>
              </w:rPr>
            </w:pPr>
            <w:r>
              <w:t>421/2829 (14.9%)</w:t>
            </w:r>
          </w:p>
        </w:tc>
        <w:tc>
          <w:tcPr>
            <w:tcW w:w="906" w:type="pct"/>
            <w:tcBorders>
              <w:top w:val="single" w:sz="4" w:space="0" w:color="auto"/>
              <w:left w:val="single" w:sz="4" w:space="0" w:color="auto"/>
              <w:bottom w:val="single" w:sz="4" w:space="0" w:color="auto"/>
              <w:right w:val="single" w:sz="4" w:space="0" w:color="auto"/>
            </w:tcBorders>
            <w:vAlign w:val="center"/>
          </w:tcPr>
          <w:p w14:paraId="4D3B54E4" w14:textId="77777777" w:rsidR="00293434" w:rsidRPr="008E7F65" w:rsidRDefault="00293434" w:rsidP="00B5602A">
            <w:pPr>
              <w:pStyle w:val="TableText0"/>
              <w:keepLines/>
              <w:widowControl w:val="0"/>
              <w:jc w:val="center"/>
              <w:rPr>
                <w:b/>
              </w:rPr>
            </w:pPr>
            <w:r>
              <w:rPr>
                <w:bCs w:val="0"/>
              </w:rPr>
              <w:t>NA</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78349541" w14:textId="77777777" w:rsidR="00293434" w:rsidRPr="00787A0B" w:rsidRDefault="00293434" w:rsidP="00B5602A">
            <w:pPr>
              <w:pStyle w:val="TableText0"/>
              <w:keepLines/>
              <w:widowControl w:val="0"/>
              <w:jc w:val="center"/>
              <w:rPr>
                <w:rFonts w:cs="Times New Roman"/>
                <w:szCs w:val="20"/>
                <w:vertAlign w:val="superscript"/>
              </w:rPr>
            </w:pPr>
            <w:r w:rsidRPr="008E7F65">
              <w:rPr>
                <w:b/>
              </w:rPr>
              <w:t>0.6</w:t>
            </w:r>
            <w:r>
              <w:rPr>
                <w:b/>
              </w:rPr>
              <w:t>6</w:t>
            </w:r>
            <w:r w:rsidRPr="008E7F65">
              <w:rPr>
                <w:b/>
              </w:rPr>
              <w:t xml:space="preserve"> (0.57, 0.</w:t>
            </w:r>
            <w:r>
              <w:rPr>
                <w:b/>
              </w:rPr>
              <w:t>77</w:t>
            </w:r>
            <w:r w:rsidRPr="008E7F65">
              <w:rPr>
                <w:b/>
              </w:rPr>
              <w:t>)</w:t>
            </w:r>
          </w:p>
        </w:tc>
      </w:tr>
      <w:tr w:rsidR="00293434" w:rsidRPr="00511320" w14:paraId="78022953"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2CC497EB" w14:textId="77777777" w:rsidR="00293434" w:rsidRPr="00330DAA" w:rsidRDefault="00293434" w:rsidP="00B5602A">
            <w:pPr>
              <w:pStyle w:val="TableText0"/>
              <w:keepLines/>
              <w:widowControl w:val="0"/>
            </w:pPr>
            <w:r w:rsidRPr="00330DAA">
              <w:t xml:space="preserve">Median </w:t>
            </w:r>
            <w:r>
              <w:t xml:space="preserve">DRFS, </w:t>
            </w:r>
            <w:r w:rsidRPr="00330DAA">
              <w:t>months</w:t>
            </w:r>
            <w:r>
              <w:t xml:space="preserve"> (95% CI)</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0D04E0C0" w14:textId="77777777" w:rsidR="00293434" w:rsidRDefault="00293434" w:rsidP="00B5602A">
            <w:pPr>
              <w:pStyle w:val="TableText0"/>
              <w:keepLines/>
              <w:widowControl w:val="0"/>
              <w:jc w:val="center"/>
              <w:rPr>
                <w:szCs w:val="20"/>
              </w:rPr>
            </w:pPr>
            <w:r>
              <w:t>NR</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0F2ED914" w14:textId="77777777" w:rsidR="00293434" w:rsidRDefault="00293434" w:rsidP="00B5602A">
            <w:pPr>
              <w:pStyle w:val="TableText0"/>
              <w:keepLines/>
              <w:widowControl w:val="0"/>
              <w:jc w:val="center"/>
              <w:rPr>
                <w:szCs w:val="20"/>
              </w:rPr>
            </w:pPr>
            <w:r>
              <w:t>NR</w:t>
            </w:r>
          </w:p>
        </w:tc>
        <w:tc>
          <w:tcPr>
            <w:tcW w:w="906" w:type="pct"/>
            <w:tcBorders>
              <w:top w:val="single" w:sz="4" w:space="0" w:color="auto"/>
              <w:left w:val="single" w:sz="4" w:space="0" w:color="auto"/>
              <w:bottom w:val="single" w:sz="4" w:space="0" w:color="auto"/>
              <w:right w:val="single" w:sz="4" w:space="0" w:color="auto"/>
            </w:tcBorders>
            <w:vAlign w:val="center"/>
          </w:tcPr>
          <w:p w14:paraId="134A9801" w14:textId="77777777" w:rsidR="00293434" w:rsidRDefault="00293434" w:rsidP="00B5602A">
            <w:pPr>
              <w:pStyle w:val="TableText0"/>
              <w:keepLines/>
              <w:widowControl w:val="0"/>
              <w:jc w:val="center"/>
              <w:rPr>
                <w:rFonts w:cs="Times New Roman"/>
                <w:szCs w:val="20"/>
              </w:rPr>
            </w:pPr>
            <w:r>
              <w:t>NE</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2FB619A2" w14:textId="77777777" w:rsidR="00293434" w:rsidRDefault="00293434" w:rsidP="00B5602A">
            <w:pPr>
              <w:pStyle w:val="TableText0"/>
              <w:keepLines/>
              <w:widowControl w:val="0"/>
              <w:jc w:val="center"/>
              <w:rPr>
                <w:rFonts w:cs="Times New Roman"/>
                <w:szCs w:val="20"/>
              </w:rPr>
            </w:pPr>
            <w:r w:rsidRPr="00937990">
              <w:rPr>
                <w:bCs w:val="0"/>
              </w:rPr>
              <w:t>–</w:t>
            </w:r>
          </w:p>
        </w:tc>
      </w:tr>
      <w:tr w:rsidR="00293434" w:rsidRPr="00511320" w14:paraId="41D386A8"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05F84E51" w14:textId="77777777" w:rsidR="00293434" w:rsidRPr="00330DAA" w:rsidRDefault="00293434" w:rsidP="00B5602A">
            <w:pPr>
              <w:pStyle w:val="TableText0"/>
              <w:keepLines/>
              <w:widowControl w:val="0"/>
            </w:pPr>
            <w:r>
              <w:t>% alive without distant relapse at 36 months (</w:t>
            </w:r>
            <w:r w:rsidRPr="00330DAA">
              <w:rPr>
                <w:szCs w:val="20"/>
              </w:rPr>
              <w:t>95% CI)</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21E121F7" w14:textId="77777777" w:rsidR="00293434" w:rsidRDefault="00293434" w:rsidP="00B5602A">
            <w:pPr>
              <w:pStyle w:val="TableText0"/>
              <w:keepLines/>
              <w:widowControl w:val="0"/>
              <w:jc w:val="center"/>
              <w:rPr>
                <w:szCs w:val="20"/>
              </w:rPr>
            </w:pPr>
            <w:r>
              <w:rPr>
                <w:szCs w:val="20"/>
              </w:rPr>
              <w:t xml:space="preserve">90.8% </w:t>
            </w:r>
          </w:p>
          <w:p w14:paraId="54E0BE78" w14:textId="77777777" w:rsidR="00293434" w:rsidRDefault="00293434" w:rsidP="00B5602A">
            <w:pPr>
              <w:pStyle w:val="TableText0"/>
              <w:keepLines/>
              <w:widowControl w:val="0"/>
              <w:jc w:val="center"/>
              <w:rPr>
                <w:szCs w:val="20"/>
              </w:rPr>
            </w:pPr>
            <w:r>
              <w:rPr>
                <w:szCs w:val="20"/>
              </w:rPr>
              <w:t>(89.7%, 91.9%)</w:t>
            </w:r>
          </w:p>
        </w:tc>
        <w:tc>
          <w:tcPr>
            <w:tcW w:w="907" w:type="pct"/>
            <w:tcBorders>
              <w:top w:val="single" w:sz="4" w:space="0" w:color="auto"/>
              <w:left w:val="single" w:sz="4" w:space="0" w:color="auto"/>
              <w:bottom w:val="single" w:sz="4" w:space="0" w:color="auto"/>
              <w:right w:val="single" w:sz="4" w:space="0" w:color="auto"/>
            </w:tcBorders>
            <w:shd w:val="clear" w:color="auto" w:fill="auto"/>
          </w:tcPr>
          <w:p w14:paraId="4CF7F535" w14:textId="77777777" w:rsidR="00293434" w:rsidRDefault="00293434" w:rsidP="00B5602A">
            <w:pPr>
              <w:pStyle w:val="TableText0"/>
              <w:keepLines/>
              <w:widowControl w:val="0"/>
              <w:jc w:val="center"/>
              <w:rPr>
                <w:szCs w:val="20"/>
              </w:rPr>
            </w:pPr>
            <w:r>
              <w:rPr>
                <w:szCs w:val="20"/>
              </w:rPr>
              <w:t>86.8%</w:t>
            </w:r>
          </w:p>
          <w:p w14:paraId="5F86D682" w14:textId="77777777" w:rsidR="00293434" w:rsidRDefault="00293434" w:rsidP="00B5602A">
            <w:pPr>
              <w:pStyle w:val="TableText0"/>
              <w:keepLines/>
              <w:widowControl w:val="0"/>
              <w:jc w:val="center"/>
              <w:rPr>
                <w:szCs w:val="20"/>
              </w:rPr>
            </w:pPr>
            <w:r>
              <w:rPr>
                <w:szCs w:val="20"/>
              </w:rPr>
              <w:t>(85.4%, 88.0%)</w:t>
            </w:r>
          </w:p>
        </w:tc>
        <w:tc>
          <w:tcPr>
            <w:tcW w:w="906" w:type="pct"/>
            <w:tcBorders>
              <w:top w:val="single" w:sz="4" w:space="0" w:color="auto"/>
              <w:left w:val="single" w:sz="4" w:space="0" w:color="auto"/>
              <w:bottom w:val="single" w:sz="4" w:space="0" w:color="auto"/>
              <w:right w:val="single" w:sz="4" w:space="0" w:color="auto"/>
            </w:tcBorders>
          </w:tcPr>
          <w:p w14:paraId="52E0146A" w14:textId="77777777" w:rsidR="00293434" w:rsidRDefault="00293434" w:rsidP="00B5602A">
            <w:pPr>
              <w:pStyle w:val="TableText0"/>
              <w:keepLines/>
              <w:widowControl w:val="0"/>
              <w:jc w:val="center"/>
              <w:rPr>
                <w:rFonts w:cs="Times New Roman"/>
                <w:szCs w:val="20"/>
              </w:rPr>
            </w:pPr>
            <w:r>
              <w:rPr>
                <w:rFonts w:cs="Times New Roman"/>
                <w:szCs w:val="20"/>
              </w:rPr>
              <w:t xml:space="preserve">4.1% </w:t>
            </w:r>
          </w:p>
          <w:p w14:paraId="797C0284" w14:textId="77777777" w:rsidR="00293434" w:rsidRDefault="00293434" w:rsidP="00B5602A">
            <w:pPr>
              <w:pStyle w:val="TableText0"/>
              <w:keepLines/>
              <w:widowControl w:val="0"/>
              <w:jc w:val="center"/>
              <w:rPr>
                <w:rFonts w:cs="Times New Roman"/>
                <w:szCs w:val="20"/>
              </w:rPr>
            </w:pPr>
            <w:r>
              <w:rPr>
                <w:rFonts w:cs="Times New Roman"/>
                <w:szCs w:val="20"/>
              </w:rPr>
              <w:t>(2.4%, 5.8%)</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25798441" w14:textId="77777777" w:rsidR="00293434" w:rsidRDefault="00293434" w:rsidP="00B5602A">
            <w:pPr>
              <w:pStyle w:val="TableText0"/>
              <w:keepLines/>
              <w:widowControl w:val="0"/>
              <w:jc w:val="center"/>
              <w:rPr>
                <w:rFonts w:cs="Times New Roman"/>
                <w:szCs w:val="20"/>
              </w:rPr>
            </w:pPr>
            <w:r w:rsidRPr="00937990">
              <w:rPr>
                <w:bCs w:val="0"/>
              </w:rPr>
              <w:t>–</w:t>
            </w:r>
          </w:p>
        </w:tc>
      </w:tr>
      <w:tr w:rsidR="00293434" w:rsidRPr="00511320" w14:paraId="295B0852" w14:textId="77777777" w:rsidTr="00B5602A">
        <w:trPr>
          <w:trHeight w:val="20"/>
        </w:trPr>
        <w:tc>
          <w:tcPr>
            <w:tcW w:w="1375" w:type="pct"/>
            <w:tcBorders>
              <w:top w:val="single" w:sz="4" w:space="0" w:color="auto"/>
              <w:bottom w:val="single" w:sz="4" w:space="0" w:color="auto"/>
              <w:right w:val="single" w:sz="4" w:space="0" w:color="auto"/>
            </w:tcBorders>
            <w:shd w:val="clear" w:color="auto" w:fill="auto"/>
          </w:tcPr>
          <w:p w14:paraId="6AE1BB16" w14:textId="77777777" w:rsidR="00293434" w:rsidRPr="00330DAA" w:rsidRDefault="00293434" w:rsidP="00B5602A">
            <w:pPr>
              <w:pStyle w:val="TableText0"/>
              <w:keepLines/>
              <w:widowControl w:val="0"/>
            </w:pPr>
            <w:r>
              <w:t>% alive without distant relapse at 48 months (95% CI)</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70D335F2" w14:textId="77777777" w:rsidR="00293434" w:rsidRDefault="00293434" w:rsidP="00B5602A">
            <w:pPr>
              <w:pStyle w:val="TableText0"/>
              <w:keepLines/>
              <w:widowControl w:val="0"/>
              <w:jc w:val="center"/>
              <w:rPr>
                <w:szCs w:val="20"/>
              </w:rPr>
            </w:pPr>
            <w:r>
              <w:rPr>
                <w:szCs w:val="20"/>
              </w:rPr>
              <w:t xml:space="preserve">88.4% </w:t>
            </w:r>
          </w:p>
          <w:p w14:paraId="71C987F6" w14:textId="77777777" w:rsidR="00293434" w:rsidRDefault="00293434" w:rsidP="00B5602A">
            <w:pPr>
              <w:pStyle w:val="TableText0"/>
              <w:keepLines/>
              <w:widowControl w:val="0"/>
              <w:jc w:val="center"/>
              <w:rPr>
                <w:szCs w:val="20"/>
              </w:rPr>
            </w:pPr>
            <w:r>
              <w:rPr>
                <w:szCs w:val="20"/>
              </w:rPr>
              <w:t>(86.9%, 89.7%)</w:t>
            </w:r>
          </w:p>
        </w:tc>
        <w:tc>
          <w:tcPr>
            <w:tcW w:w="907" w:type="pct"/>
            <w:tcBorders>
              <w:top w:val="single" w:sz="4" w:space="0" w:color="auto"/>
              <w:left w:val="single" w:sz="4" w:space="0" w:color="auto"/>
              <w:bottom w:val="single" w:sz="4" w:space="0" w:color="auto"/>
              <w:right w:val="single" w:sz="4" w:space="0" w:color="auto"/>
            </w:tcBorders>
            <w:shd w:val="clear" w:color="auto" w:fill="auto"/>
          </w:tcPr>
          <w:p w14:paraId="5B71DCBB" w14:textId="77777777" w:rsidR="00293434" w:rsidRDefault="00293434" w:rsidP="00B5602A">
            <w:pPr>
              <w:pStyle w:val="TableText0"/>
              <w:keepLines/>
              <w:widowControl w:val="0"/>
              <w:jc w:val="center"/>
              <w:rPr>
                <w:szCs w:val="20"/>
              </w:rPr>
            </w:pPr>
            <w:r>
              <w:rPr>
                <w:szCs w:val="20"/>
              </w:rPr>
              <w:t xml:space="preserve">82.5% </w:t>
            </w:r>
          </w:p>
          <w:p w14:paraId="3A2DCF38" w14:textId="77777777" w:rsidR="00293434" w:rsidRDefault="00293434" w:rsidP="00B5602A">
            <w:pPr>
              <w:pStyle w:val="TableText0"/>
              <w:keepLines/>
              <w:widowControl w:val="0"/>
              <w:jc w:val="center"/>
              <w:rPr>
                <w:szCs w:val="20"/>
              </w:rPr>
            </w:pPr>
            <w:r>
              <w:rPr>
                <w:szCs w:val="20"/>
              </w:rPr>
              <w:t>(80.7%, 84.1%)</w:t>
            </w:r>
          </w:p>
        </w:tc>
        <w:tc>
          <w:tcPr>
            <w:tcW w:w="906" w:type="pct"/>
            <w:tcBorders>
              <w:top w:val="single" w:sz="4" w:space="0" w:color="auto"/>
              <w:left w:val="single" w:sz="4" w:space="0" w:color="auto"/>
              <w:bottom w:val="single" w:sz="4" w:space="0" w:color="auto"/>
              <w:right w:val="single" w:sz="4" w:space="0" w:color="auto"/>
            </w:tcBorders>
          </w:tcPr>
          <w:p w14:paraId="0A7376A8" w14:textId="77777777" w:rsidR="00293434" w:rsidRDefault="00293434" w:rsidP="00B5602A">
            <w:pPr>
              <w:pStyle w:val="TableText0"/>
              <w:keepLines/>
              <w:widowControl w:val="0"/>
              <w:jc w:val="center"/>
              <w:rPr>
                <w:rFonts w:cs="Times New Roman"/>
                <w:szCs w:val="20"/>
              </w:rPr>
            </w:pPr>
            <w:r>
              <w:rPr>
                <w:rFonts w:cs="Times New Roman"/>
                <w:szCs w:val="20"/>
              </w:rPr>
              <w:t xml:space="preserve">5.9% </w:t>
            </w:r>
          </w:p>
          <w:p w14:paraId="0A9BC04F" w14:textId="77777777" w:rsidR="00293434" w:rsidRDefault="00293434" w:rsidP="00B5602A">
            <w:pPr>
              <w:pStyle w:val="TableText0"/>
              <w:keepLines/>
              <w:widowControl w:val="0"/>
              <w:jc w:val="center"/>
              <w:rPr>
                <w:rFonts w:cs="Times New Roman"/>
                <w:szCs w:val="20"/>
              </w:rPr>
            </w:pPr>
            <w:r>
              <w:rPr>
                <w:rFonts w:cs="Times New Roman"/>
                <w:szCs w:val="20"/>
              </w:rPr>
              <w:t>(3.7%, 8.1%)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142D4FCC" w14:textId="77777777" w:rsidR="00293434" w:rsidRDefault="00293434" w:rsidP="00B5602A">
            <w:pPr>
              <w:pStyle w:val="TableText0"/>
              <w:keepLines/>
              <w:widowControl w:val="0"/>
              <w:jc w:val="center"/>
              <w:rPr>
                <w:rFonts w:cs="Times New Roman"/>
                <w:szCs w:val="20"/>
              </w:rPr>
            </w:pPr>
            <w:r w:rsidRPr="00937990">
              <w:rPr>
                <w:bCs w:val="0"/>
              </w:rPr>
              <w:t>–</w:t>
            </w:r>
          </w:p>
        </w:tc>
      </w:tr>
      <w:tr w:rsidR="00293434" w:rsidRPr="00511320" w14:paraId="537555B0" w14:textId="77777777" w:rsidTr="00B5602A">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245B0902" w14:textId="77777777" w:rsidR="00293434" w:rsidRPr="00330DAA" w:rsidRDefault="00293434" w:rsidP="00B5602A">
            <w:pPr>
              <w:pStyle w:val="In-tableHeading"/>
            </w:pPr>
            <w:r w:rsidRPr="00330DAA">
              <w:t xml:space="preserve">Overall survival </w:t>
            </w:r>
            <w:r w:rsidRPr="00093F8E">
              <w:t>(OS)</w:t>
            </w:r>
          </w:p>
        </w:tc>
      </w:tr>
      <w:tr w:rsidR="00293434" w:rsidRPr="00511320" w14:paraId="445A2C4E" w14:textId="77777777" w:rsidTr="00B5602A">
        <w:trPr>
          <w:trHeight w:val="20"/>
        </w:trPr>
        <w:tc>
          <w:tcPr>
            <w:tcW w:w="1375" w:type="pct"/>
            <w:tcBorders>
              <w:top w:val="single" w:sz="4" w:space="0" w:color="auto"/>
              <w:left w:val="single" w:sz="4" w:space="0" w:color="auto"/>
              <w:bottom w:val="single" w:sz="4" w:space="0" w:color="auto"/>
              <w:right w:val="single" w:sz="4" w:space="0" w:color="auto"/>
            </w:tcBorders>
            <w:shd w:val="clear" w:color="auto" w:fill="auto"/>
          </w:tcPr>
          <w:p w14:paraId="5765111C" w14:textId="77777777" w:rsidR="00293434" w:rsidRPr="00330DAA" w:rsidRDefault="00293434" w:rsidP="00B5602A">
            <w:pPr>
              <w:pStyle w:val="TableText0"/>
              <w:keepLines/>
              <w:widowControl w:val="0"/>
            </w:pPr>
            <w:r w:rsidRPr="00330DAA">
              <w:t xml:space="preserve">Deaths, n/N (%) </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5B4E46A6" w14:textId="77777777" w:rsidR="00293434" w:rsidRPr="00330DAA" w:rsidRDefault="00293434" w:rsidP="00B5602A">
            <w:pPr>
              <w:pStyle w:val="TableText0"/>
              <w:keepLines/>
              <w:widowControl w:val="0"/>
              <w:jc w:val="center"/>
            </w:pPr>
            <w:r>
              <w:t>157/2808 (5.6%)</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64F92239" w14:textId="77777777" w:rsidR="00293434" w:rsidRPr="00330DAA" w:rsidRDefault="00293434" w:rsidP="00B5602A">
            <w:pPr>
              <w:pStyle w:val="TableText0"/>
              <w:keepLines/>
              <w:widowControl w:val="0"/>
              <w:jc w:val="center"/>
            </w:pPr>
            <w:r>
              <w:t>173/2829 (6.1%)</w:t>
            </w:r>
          </w:p>
        </w:tc>
        <w:tc>
          <w:tcPr>
            <w:tcW w:w="906" w:type="pct"/>
            <w:tcBorders>
              <w:top w:val="single" w:sz="4" w:space="0" w:color="auto"/>
              <w:left w:val="single" w:sz="4" w:space="0" w:color="auto"/>
              <w:bottom w:val="single" w:sz="4" w:space="0" w:color="auto"/>
              <w:right w:val="single" w:sz="4" w:space="0" w:color="auto"/>
            </w:tcBorders>
            <w:vAlign w:val="center"/>
          </w:tcPr>
          <w:p w14:paraId="44A2CF54" w14:textId="77777777" w:rsidR="00293434" w:rsidRDefault="00293434" w:rsidP="00B5602A">
            <w:pPr>
              <w:pStyle w:val="TableText0"/>
              <w:keepLines/>
              <w:widowControl w:val="0"/>
              <w:jc w:val="center"/>
            </w:pPr>
            <w:r>
              <w:rPr>
                <w:bCs w:val="0"/>
              </w:rPr>
              <w:t>NA</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34F8B590" w14:textId="77777777" w:rsidR="00293434" w:rsidRPr="00787A0B" w:rsidRDefault="00293434" w:rsidP="00B5602A">
            <w:pPr>
              <w:pStyle w:val="TableText0"/>
              <w:keepLines/>
              <w:widowControl w:val="0"/>
              <w:jc w:val="center"/>
              <w:rPr>
                <w:vertAlign w:val="superscript"/>
              </w:rPr>
            </w:pPr>
            <w:r>
              <w:t>0.93 (0.75, 1.15)</w:t>
            </w:r>
          </w:p>
        </w:tc>
      </w:tr>
      <w:tr w:rsidR="00293434" w:rsidRPr="00C67006" w14:paraId="6D1FCD2F" w14:textId="77777777" w:rsidTr="00B5602A">
        <w:trPr>
          <w:trHeight w:val="20"/>
        </w:trPr>
        <w:tc>
          <w:tcPr>
            <w:tcW w:w="1375" w:type="pct"/>
            <w:tcBorders>
              <w:top w:val="single" w:sz="4" w:space="0" w:color="auto"/>
              <w:left w:val="single" w:sz="4" w:space="0" w:color="auto"/>
              <w:bottom w:val="single" w:sz="4" w:space="0" w:color="auto"/>
              <w:right w:val="single" w:sz="4" w:space="0" w:color="auto"/>
            </w:tcBorders>
            <w:shd w:val="clear" w:color="auto" w:fill="auto"/>
          </w:tcPr>
          <w:p w14:paraId="526281C1" w14:textId="77777777" w:rsidR="00293434" w:rsidRPr="00330DAA" w:rsidRDefault="00293434" w:rsidP="00B5602A">
            <w:pPr>
              <w:pStyle w:val="TableText0"/>
              <w:keepLines/>
              <w:widowControl w:val="0"/>
            </w:pPr>
            <w:r>
              <w:t xml:space="preserve">Median OS, </w:t>
            </w:r>
            <w:r w:rsidRPr="00330DAA">
              <w:t>months</w:t>
            </w:r>
            <w:r>
              <w:t xml:space="preserve"> (95% CI)</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2818A5A7" w14:textId="77777777" w:rsidR="00293434" w:rsidRPr="00330DAA" w:rsidRDefault="00293434" w:rsidP="00B5602A">
            <w:pPr>
              <w:pStyle w:val="TableText0"/>
              <w:keepLines/>
              <w:widowControl w:val="0"/>
              <w:jc w:val="center"/>
              <w:rPr>
                <w:rFonts w:cs="Times New Roman"/>
                <w:szCs w:val="20"/>
              </w:rPr>
            </w:pPr>
            <w:r>
              <w:t>NR</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5497B7A8" w14:textId="77777777" w:rsidR="00293434" w:rsidRPr="00330DAA" w:rsidRDefault="00293434" w:rsidP="00B5602A">
            <w:pPr>
              <w:pStyle w:val="TableText0"/>
              <w:keepLines/>
              <w:widowControl w:val="0"/>
              <w:jc w:val="center"/>
              <w:rPr>
                <w:rFonts w:cs="Times New Roman"/>
                <w:szCs w:val="20"/>
              </w:rPr>
            </w:pPr>
            <w:r>
              <w:t>NR</w:t>
            </w:r>
          </w:p>
        </w:tc>
        <w:tc>
          <w:tcPr>
            <w:tcW w:w="906" w:type="pct"/>
            <w:tcBorders>
              <w:top w:val="single" w:sz="4" w:space="0" w:color="auto"/>
              <w:left w:val="single" w:sz="4" w:space="0" w:color="auto"/>
              <w:bottom w:val="single" w:sz="4" w:space="0" w:color="auto"/>
              <w:right w:val="single" w:sz="4" w:space="0" w:color="auto"/>
            </w:tcBorders>
            <w:vAlign w:val="center"/>
          </w:tcPr>
          <w:p w14:paraId="5B6D8684" w14:textId="77777777" w:rsidR="00293434" w:rsidRPr="00330DAA" w:rsidRDefault="00293434" w:rsidP="00B5602A">
            <w:pPr>
              <w:pStyle w:val="TableText0"/>
              <w:keepLines/>
              <w:widowControl w:val="0"/>
              <w:jc w:val="center"/>
            </w:pPr>
            <w:r>
              <w:t>NE</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13CE51AB" w14:textId="77777777" w:rsidR="00293434" w:rsidRPr="00330DAA" w:rsidRDefault="00293434" w:rsidP="00B5602A">
            <w:pPr>
              <w:pStyle w:val="TableText0"/>
              <w:keepLines/>
              <w:widowControl w:val="0"/>
              <w:jc w:val="center"/>
            </w:pPr>
            <w:r w:rsidRPr="00937990">
              <w:rPr>
                <w:bCs w:val="0"/>
              </w:rPr>
              <w:t>–</w:t>
            </w:r>
          </w:p>
        </w:tc>
      </w:tr>
      <w:tr w:rsidR="00293434" w:rsidRPr="00511320" w14:paraId="15EB1160" w14:textId="77777777" w:rsidTr="00B5602A">
        <w:trPr>
          <w:trHeight w:val="20"/>
        </w:trPr>
        <w:tc>
          <w:tcPr>
            <w:tcW w:w="1375" w:type="pct"/>
            <w:tcBorders>
              <w:top w:val="single" w:sz="4" w:space="0" w:color="auto"/>
              <w:left w:val="single" w:sz="4" w:space="0" w:color="auto"/>
              <w:bottom w:val="single" w:sz="4" w:space="0" w:color="auto"/>
              <w:right w:val="single" w:sz="4" w:space="0" w:color="auto"/>
            </w:tcBorders>
            <w:shd w:val="clear" w:color="auto" w:fill="auto"/>
          </w:tcPr>
          <w:p w14:paraId="780F6986" w14:textId="77777777" w:rsidR="00293434" w:rsidRPr="00330DAA" w:rsidRDefault="00293434" w:rsidP="00B5602A">
            <w:pPr>
              <w:pStyle w:val="TableText0"/>
              <w:keepLines/>
              <w:widowControl w:val="0"/>
            </w:pPr>
            <w:r w:rsidRPr="00330DAA">
              <w:t xml:space="preserve">% </w:t>
            </w:r>
            <w:r>
              <w:t>a</w:t>
            </w:r>
            <w:r w:rsidRPr="00330DAA">
              <w:t xml:space="preserve">live at </w:t>
            </w:r>
            <w:r>
              <w:t>36</w:t>
            </w:r>
            <w:r w:rsidRPr="00330DAA">
              <w:t xml:space="preserve"> months (95% CI) </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025037CA" w14:textId="77777777" w:rsidR="00293434" w:rsidRDefault="00293434" w:rsidP="00B5602A">
            <w:pPr>
              <w:pStyle w:val="TableText0"/>
              <w:keepLines/>
              <w:widowControl w:val="0"/>
              <w:jc w:val="center"/>
            </w:pPr>
            <w:r>
              <w:t xml:space="preserve">95.1% </w:t>
            </w:r>
          </w:p>
          <w:p w14:paraId="5A78E878" w14:textId="77777777" w:rsidR="00293434" w:rsidRPr="00330DAA" w:rsidRDefault="00293434" w:rsidP="00B5602A">
            <w:pPr>
              <w:pStyle w:val="TableText0"/>
              <w:keepLines/>
              <w:widowControl w:val="0"/>
              <w:jc w:val="center"/>
            </w:pPr>
            <w:r>
              <w:t>(94.2%, 95.9%)</w:t>
            </w:r>
          </w:p>
        </w:tc>
        <w:tc>
          <w:tcPr>
            <w:tcW w:w="907" w:type="pct"/>
            <w:tcBorders>
              <w:top w:val="single" w:sz="4" w:space="0" w:color="auto"/>
              <w:left w:val="single" w:sz="4" w:space="0" w:color="auto"/>
              <w:bottom w:val="single" w:sz="4" w:space="0" w:color="auto"/>
              <w:right w:val="single" w:sz="4" w:space="0" w:color="auto"/>
            </w:tcBorders>
            <w:shd w:val="clear" w:color="auto" w:fill="auto"/>
          </w:tcPr>
          <w:p w14:paraId="6B7B2440" w14:textId="77777777" w:rsidR="00293434" w:rsidRDefault="00293434" w:rsidP="00B5602A">
            <w:pPr>
              <w:pStyle w:val="TableText0"/>
              <w:keepLines/>
              <w:widowControl w:val="0"/>
              <w:jc w:val="center"/>
              <w:rPr>
                <w:szCs w:val="20"/>
              </w:rPr>
            </w:pPr>
            <w:r>
              <w:rPr>
                <w:szCs w:val="20"/>
              </w:rPr>
              <w:t xml:space="preserve">95.3% </w:t>
            </w:r>
          </w:p>
          <w:p w14:paraId="6E2AA83A" w14:textId="77777777" w:rsidR="00293434" w:rsidRPr="00330DAA" w:rsidRDefault="00293434" w:rsidP="00B5602A">
            <w:pPr>
              <w:pStyle w:val="TableText0"/>
              <w:keepLines/>
              <w:widowControl w:val="0"/>
              <w:jc w:val="center"/>
              <w:rPr>
                <w:szCs w:val="20"/>
              </w:rPr>
            </w:pPr>
            <w:r>
              <w:rPr>
                <w:szCs w:val="20"/>
              </w:rPr>
              <w:t>(94.4%, 96.0%)</w:t>
            </w:r>
          </w:p>
        </w:tc>
        <w:tc>
          <w:tcPr>
            <w:tcW w:w="906" w:type="pct"/>
            <w:tcBorders>
              <w:top w:val="single" w:sz="4" w:space="0" w:color="auto"/>
              <w:left w:val="single" w:sz="4" w:space="0" w:color="auto"/>
              <w:bottom w:val="single" w:sz="4" w:space="0" w:color="auto"/>
              <w:right w:val="single" w:sz="4" w:space="0" w:color="auto"/>
            </w:tcBorders>
          </w:tcPr>
          <w:p w14:paraId="7584B85F" w14:textId="77777777" w:rsidR="00293434" w:rsidRDefault="00293434" w:rsidP="00B5602A">
            <w:pPr>
              <w:pStyle w:val="TableText0"/>
              <w:keepLines/>
              <w:widowControl w:val="0"/>
              <w:jc w:val="center"/>
            </w:pPr>
            <w:r>
              <w:t xml:space="preserve">-0.2% </w:t>
            </w:r>
          </w:p>
          <w:p w14:paraId="7FA205BA" w14:textId="77777777" w:rsidR="00293434" w:rsidRPr="00330DAA" w:rsidRDefault="00293434" w:rsidP="00B5602A">
            <w:pPr>
              <w:pStyle w:val="TableText0"/>
              <w:keepLines/>
              <w:widowControl w:val="0"/>
              <w:jc w:val="center"/>
            </w:pPr>
            <w:r>
              <w:t>(-1.3%, 1.0)</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05C29C19" w14:textId="77777777" w:rsidR="00293434" w:rsidRPr="00330DAA" w:rsidRDefault="00293434" w:rsidP="00B5602A">
            <w:pPr>
              <w:pStyle w:val="TableText0"/>
              <w:keepLines/>
              <w:widowControl w:val="0"/>
              <w:jc w:val="center"/>
            </w:pPr>
            <w:r w:rsidRPr="00937990">
              <w:rPr>
                <w:bCs w:val="0"/>
              </w:rPr>
              <w:t>–</w:t>
            </w:r>
          </w:p>
        </w:tc>
      </w:tr>
      <w:tr w:rsidR="00293434" w:rsidRPr="00511320" w14:paraId="626E54FB" w14:textId="77777777" w:rsidTr="00B5602A">
        <w:trPr>
          <w:trHeight w:val="20"/>
        </w:trPr>
        <w:tc>
          <w:tcPr>
            <w:tcW w:w="1375" w:type="pct"/>
            <w:tcBorders>
              <w:top w:val="single" w:sz="4" w:space="0" w:color="auto"/>
              <w:left w:val="single" w:sz="4" w:space="0" w:color="auto"/>
              <w:bottom w:val="double" w:sz="4" w:space="0" w:color="auto"/>
              <w:right w:val="single" w:sz="4" w:space="0" w:color="auto"/>
            </w:tcBorders>
            <w:shd w:val="clear" w:color="auto" w:fill="auto"/>
          </w:tcPr>
          <w:p w14:paraId="76063C61" w14:textId="77777777" w:rsidR="00293434" w:rsidRPr="00330DAA" w:rsidRDefault="00293434" w:rsidP="00B5602A">
            <w:pPr>
              <w:pStyle w:val="TableText0"/>
              <w:keepLines/>
              <w:widowControl w:val="0"/>
            </w:pPr>
            <w:r w:rsidRPr="00330DAA">
              <w:t xml:space="preserve">% </w:t>
            </w:r>
            <w:r>
              <w:t>a</w:t>
            </w:r>
            <w:r w:rsidRPr="00330DAA">
              <w:t xml:space="preserve">live at </w:t>
            </w:r>
            <w:r>
              <w:t>48</w:t>
            </w:r>
            <w:r w:rsidRPr="00330DAA">
              <w:t xml:space="preserve"> months (95% CI)</w:t>
            </w:r>
          </w:p>
        </w:tc>
        <w:tc>
          <w:tcPr>
            <w:tcW w:w="906" w:type="pct"/>
            <w:tcBorders>
              <w:top w:val="single" w:sz="4" w:space="0" w:color="auto"/>
              <w:left w:val="single" w:sz="4" w:space="0" w:color="auto"/>
              <w:bottom w:val="double" w:sz="4" w:space="0" w:color="auto"/>
              <w:right w:val="single" w:sz="4" w:space="0" w:color="auto"/>
            </w:tcBorders>
            <w:shd w:val="clear" w:color="auto" w:fill="auto"/>
          </w:tcPr>
          <w:p w14:paraId="68475164" w14:textId="77777777" w:rsidR="00293434" w:rsidRDefault="00293434" w:rsidP="00B5602A">
            <w:pPr>
              <w:pStyle w:val="TableText0"/>
              <w:keepLines/>
              <w:widowControl w:val="0"/>
              <w:jc w:val="center"/>
              <w:rPr>
                <w:szCs w:val="20"/>
              </w:rPr>
            </w:pPr>
            <w:r>
              <w:rPr>
                <w:szCs w:val="20"/>
              </w:rPr>
              <w:t xml:space="preserve">93.1% </w:t>
            </w:r>
          </w:p>
          <w:p w14:paraId="130A68C9" w14:textId="77777777" w:rsidR="00293434" w:rsidRPr="00330DAA" w:rsidRDefault="00293434" w:rsidP="00B5602A">
            <w:pPr>
              <w:pStyle w:val="TableText0"/>
              <w:keepLines/>
              <w:widowControl w:val="0"/>
              <w:jc w:val="center"/>
              <w:rPr>
                <w:szCs w:val="20"/>
              </w:rPr>
            </w:pPr>
            <w:r>
              <w:rPr>
                <w:szCs w:val="20"/>
              </w:rPr>
              <w:t>(91.8%, 94.2%)</w:t>
            </w:r>
          </w:p>
        </w:tc>
        <w:tc>
          <w:tcPr>
            <w:tcW w:w="907" w:type="pct"/>
            <w:tcBorders>
              <w:top w:val="single" w:sz="4" w:space="0" w:color="auto"/>
              <w:left w:val="single" w:sz="4" w:space="0" w:color="auto"/>
              <w:bottom w:val="double" w:sz="4" w:space="0" w:color="auto"/>
              <w:right w:val="single" w:sz="4" w:space="0" w:color="auto"/>
            </w:tcBorders>
            <w:shd w:val="clear" w:color="auto" w:fill="auto"/>
          </w:tcPr>
          <w:p w14:paraId="11629960" w14:textId="77777777" w:rsidR="00293434" w:rsidRDefault="00293434" w:rsidP="00B5602A">
            <w:pPr>
              <w:pStyle w:val="TableText0"/>
              <w:keepLines/>
              <w:widowControl w:val="0"/>
              <w:jc w:val="center"/>
              <w:rPr>
                <w:szCs w:val="20"/>
              </w:rPr>
            </w:pPr>
            <w:r>
              <w:rPr>
                <w:szCs w:val="20"/>
              </w:rPr>
              <w:t xml:space="preserve">91.7% </w:t>
            </w:r>
          </w:p>
          <w:p w14:paraId="0EA2ADC0" w14:textId="77777777" w:rsidR="00293434" w:rsidRPr="00330DAA" w:rsidRDefault="00293434" w:rsidP="00B5602A">
            <w:pPr>
              <w:pStyle w:val="TableText0"/>
              <w:keepLines/>
              <w:widowControl w:val="0"/>
              <w:jc w:val="center"/>
              <w:rPr>
                <w:szCs w:val="20"/>
              </w:rPr>
            </w:pPr>
            <w:r>
              <w:rPr>
                <w:szCs w:val="20"/>
              </w:rPr>
              <w:t>(90.7%, 93.0%)</w:t>
            </w:r>
          </w:p>
        </w:tc>
        <w:tc>
          <w:tcPr>
            <w:tcW w:w="906" w:type="pct"/>
            <w:tcBorders>
              <w:top w:val="single" w:sz="4" w:space="0" w:color="auto"/>
              <w:left w:val="single" w:sz="4" w:space="0" w:color="auto"/>
              <w:bottom w:val="double" w:sz="4" w:space="0" w:color="auto"/>
              <w:right w:val="single" w:sz="4" w:space="0" w:color="auto"/>
            </w:tcBorders>
          </w:tcPr>
          <w:p w14:paraId="11F0693B" w14:textId="77777777" w:rsidR="00293434" w:rsidRDefault="00293434" w:rsidP="00B5602A">
            <w:pPr>
              <w:pStyle w:val="TableText0"/>
              <w:keepLines/>
              <w:widowControl w:val="0"/>
              <w:jc w:val="center"/>
            </w:pPr>
            <w:r>
              <w:t xml:space="preserve">1.4% </w:t>
            </w:r>
          </w:p>
          <w:p w14:paraId="4F01C50A" w14:textId="77777777" w:rsidR="00293434" w:rsidRPr="00330DAA" w:rsidRDefault="00293434" w:rsidP="00B5602A">
            <w:pPr>
              <w:pStyle w:val="TableText0"/>
              <w:keepLines/>
              <w:widowControl w:val="0"/>
              <w:jc w:val="center"/>
            </w:pPr>
            <w:r>
              <w:t>(-0.4%, 3.1%)</w:t>
            </w:r>
          </w:p>
        </w:tc>
        <w:tc>
          <w:tcPr>
            <w:tcW w:w="906" w:type="pct"/>
            <w:tcBorders>
              <w:top w:val="single" w:sz="4" w:space="0" w:color="auto"/>
              <w:left w:val="single" w:sz="4" w:space="0" w:color="auto"/>
              <w:bottom w:val="double" w:sz="4" w:space="0" w:color="auto"/>
              <w:right w:val="single" w:sz="4" w:space="0" w:color="auto"/>
            </w:tcBorders>
            <w:shd w:val="clear" w:color="auto" w:fill="auto"/>
          </w:tcPr>
          <w:p w14:paraId="11F0EADA" w14:textId="77777777" w:rsidR="00293434" w:rsidRPr="00330DAA" w:rsidRDefault="00293434" w:rsidP="00B5602A">
            <w:pPr>
              <w:pStyle w:val="TableText0"/>
              <w:keepLines/>
              <w:widowControl w:val="0"/>
              <w:jc w:val="center"/>
            </w:pPr>
            <w:r w:rsidRPr="00937990">
              <w:rPr>
                <w:bCs w:val="0"/>
              </w:rPr>
              <w:t>–</w:t>
            </w:r>
          </w:p>
        </w:tc>
      </w:tr>
    </w:tbl>
    <w:tbl>
      <w:tblPr>
        <w:tblW w:w="5000" w:type="pct"/>
        <w:tblLayout w:type="fixed"/>
        <w:tblCellMar>
          <w:left w:w="28" w:type="dxa"/>
          <w:right w:w="28" w:type="dxa"/>
        </w:tblCellMar>
        <w:tblLook w:val="04A0" w:firstRow="1" w:lastRow="0" w:firstColumn="1" w:lastColumn="0" w:noHBand="0" w:noVBand="1"/>
      </w:tblPr>
      <w:tblGrid>
        <w:gridCol w:w="1980"/>
        <w:gridCol w:w="992"/>
        <w:gridCol w:w="851"/>
        <w:gridCol w:w="1841"/>
        <w:gridCol w:w="851"/>
        <w:gridCol w:w="711"/>
        <w:gridCol w:w="1791"/>
      </w:tblGrid>
      <w:tr w:rsidR="00293434" w:rsidRPr="00E2771E" w14:paraId="6548E8FA" w14:textId="77777777" w:rsidTr="00B5602A">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3DBF0C55" w14:textId="77777777" w:rsidR="00293434" w:rsidRPr="00E2771E" w:rsidRDefault="00293434" w:rsidP="00B5602A">
            <w:pPr>
              <w:pStyle w:val="In-tableHeading"/>
            </w:pPr>
            <w:r w:rsidRPr="00E2771E">
              <w:t xml:space="preserve">Harms </w:t>
            </w:r>
          </w:p>
        </w:tc>
      </w:tr>
      <w:tr w:rsidR="00293434" w:rsidRPr="00E2771E" w14:paraId="694A44B3" w14:textId="77777777" w:rsidTr="00B5602A">
        <w:trPr>
          <w:trHeight w:val="7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1E9F54" w14:textId="77777777" w:rsidR="00293434" w:rsidRPr="00E2771E" w:rsidRDefault="00293434" w:rsidP="00B5602A">
            <w:pPr>
              <w:pStyle w:val="In-tableHeading"/>
            </w:pPr>
          </w:p>
        </w:tc>
        <w:tc>
          <w:tcPr>
            <w:tcW w:w="550" w:type="pct"/>
            <w:vMerge w:val="restart"/>
            <w:tcBorders>
              <w:top w:val="single" w:sz="4" w:space="0" w:color="auto"/>
              <w:left w:val="single" w:sz="4" w:space="0" w:color="auto"/>
              <w:bottom w:val="single" w:sz="4" w:space="0" w:color="auto"/>
              <w:right w:val="single" w:sz="4" w:space="0" w:color="auto"/>
            </w:tcBorders>
            <w:vAlign w:val="center"/>
          </w:tcPr>
          <w:p w14:paraId="66D3318E" w14:textId="77777777" w:rsidR="00293434" w:rsidRDefault="00293434" w:rsidP="00B5602A">
            <w:pPr>
              <w:pStyle w:val="In-tableHeading"/>
              <w:jc w:val="center"/>
            </w:pPr>
            <w:r>
              <w:t>ABE + ET</w:t>
            </w:r>
          </w:p>
          <w:p w14:paraId="4F20FED5" w14:textId="77777777" w:rsidR="00293434" w:rsidRPr="00E2771E" w:rsidRDefault="00293434" w:rsidP="00B5602A">
            <w:pPr>
              <w:pStyle w:val="In-tableHeading"/>
              <w:jc w:val="center"/>
            </w:pPr>
            <w:r>
              <w:t>n/N</w:t>
            </w:r>
          </w:p>
        </w:tc>
        <w:tc>
          <w:tcPr>
            <w:tcW w:w="472" w:type="pct"/>
            <w:vMerge w:val="restart"/>
            <w:tcBorders>
              <w:top w:val="single" w:sz="4" w:space="0" w:color="auto"/>
              <w:left w:val="single" w:sz="4" w:space="0" w:color="auto"/>
              <w:bottom w:val="single" w:sz="4" w:space="0" w:color="auto"/>
              <w:right w:val="single" w:sz="4" w:space="0" w:color="auto"/>
            </w:tcBorders>
            <w:vAlign w:val="center"/>
          </w:tcPr>
          <w:p w14:paraId="3FDD20F3" w14:textId="77777777" w:rsidR="00293434" w:rsidRDefault="00293434" w:rsidP="00B5602A">
            <w:pPr>
              <w:pStyle w:val="In-tableHeading"/>
              <w:jc w:val="center"/>
            </w:pPr>
            <w:r>
              <w:t>ET</w:t>
            </w:r>
          </w:p>
          <w:p w14:paraId="2145CF83" w14:textId="77777777" w:rsidR="00293434" w:rsidRPr="00E2771E" w:rsidRDefault="00293434" w:rsidP="00B5602A">
            <w:pPr>
              <w:pStyle w:val="In-tableHeading"/>
              <w:jc w:val="center"/>
            </w:pPr>
            <w:r>
              <w:t>n/N</w:t>
            </w:r>
          </w:p>
        </w:tc>
        <w:tc>
          <w:tcPr>
            <w:tcW w:w="1021" w:type="pct"/>
            <w:vMerge w:val="restart"/>
            <w:tcBorders>
              <w:top w:val="single" w:sz="4" w:space="0" w:color="auto"/>
              <w:left w:val="single" w:sz="4" w:space="0" w:color="auto"/>
              <w:bottom w:val="single" w:sz="4" w:space="0" w:color="auto"/>
              <w:right w:val="single" w:sz="4" w:space="0" w:color="auto"/>
            </w:tcBorders>
            <w:vAlign w:val="center"/>
          </w:tcPr>
          <w:p w14:paraId="0E36A823" w14:textId="77777777" w:rsidR="00293434" w:rsidRPr="00E2771E" w:rsidRDefault="00293434" w:rsidP="00B5602A">
            <w:pPr>
              <w:pStyle w:val="In-tableHeading"/>
              <w:jc w:val="center"/>
            </w:pPr>
            <w:r w:rsidRPr="00E2771E">
              <w:t>RR</w:t>
            </w:r>
          </w:p>
          <w:p w14:paraId="61DD0E7F" w14:textId="77777777" w:rsidR="00293434" w:rsidRPr="00E2771E" w:rsidRDefault="00293434" w:rsidP="00B5602A">
            <w:pPr>
              <w:pStyle w:val="In-tableHeading"/>
              <w:jc w:val="center"/>
            </w:pPr>
            <w:r w:rsidRPr="00E2771E">
              <w:t>(95% CI)</w:t>
            </w:r>
          </w:p>
        </w:tc>
        <w:tc>
          <w:tcPr>
            <w:tcW w:w="866" w:type="pct"/>
            <w:gridSpan w:val="2"/>
            <w:tcBorders>
              <w:top w:val="single" w:sz="4" w:space="0" w:color="auto"/>
              <w:left w:val="single" w:sz="4" w:space="0" w:color="auto"/>
              <w:bottom w:val="single" w:sz="4" w:space="0" w:color="auto"/>
              <w:right w:val="single" w:sz="4" w:space="0" w:color="auto"/>
            </w:tcBorders>
            <w:vAlign w:val="center"/>
          </w:tcPr>
          <w:p w14:paraId="7881F86C" w14:textId="77777777" w:rsidR="00293434" w:rsidRPr="001F0A7B" w:rsidRDefault="00293434" w:rsidP="00B5602A">
            <w:pPr>
              <w:pStyle w:val="In-tableHeading"/>
              <w:jc w:val="center"/>
              <w:rPr>
                <w:vertAlign w:val="superscript"/>
              </w:rPr>
            </w:pPr>
            <w:r w:rsidRPr="00E2771E">
              <w:t>Event rate/100 patients</w:t>
            </w:r>
          </w:p>
        </w:tc>
        <w:tc>
          <w:tcPr>
            <w:tcW w:w="993" w:type="pct"/>
            <w:vMerge w:val="restart"/>
            <w:tcBorders>
              <w:top w:val="single" w:sz="4" w:space="0" w:color="auto"/>
              <w:left w:val="single" w:sz="4" w:space="0" w:color="auto"/>
              <w:bottom w:val="single" w:sz="4" w:space="0" w:color="auto"/>
              <w:right w:val="single" w:sz="4" w:space="0" w:color="auto"/>
            </w:tcBorders>
            <w:vAlign w:val="center"/>
          </w:tcPr>
          <w:p w14:paraId="2D2442B8" w14:textId="77777777" w:rsidR="00293434" w:rsidRPr="00E2771E" w:rsidRDefault="00293434" w:rsidP="00B5602A">
            <w:pPr>
              <w:pStyle w:val="In-tableHeading"/>
              <w:jc w:val="center"/>
            </w:pPr>
            <w:r w:rsidRPr="00E2771E">
              <w:t>RD</w:t>
            </w:r>
          </w:p>
          <w:p w14:paraId="63204D81" w14:textId="77777777" w:rsidR="00293434" w:rsidRPr="00E2771E" w:rsidRDefault="00293434" w:rsidP="00B5602A">
            <w:pPr>
              <w:pStyle w:val="In-tableHeading"/>
              <w:jc w:val="center"/>
            </w:pPr>
            <w:r w:rsidRPr="00E2771E">
              <w:t>(95% CI)</w:t>
            </w:r>
          </w:p>
        </w:tc>
      </w:tr>
      <w:tr w:rsidR="00293434" w:rsidRPr="00E2771E" w14:paraId="2BCF6089" w14:textId="77777777" w:rsidTr="00B5602A">
        <w:trPr>
          <w:trHeight w:val="163"/>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13A6403" w14:textId="77777777" w:rsidR="00293434" w:rsidRPr="00E2771E" w:rsidRDefault="00293434" w:rsidP="00B5602A">
            <w:pPr>
              <w:pStyle w:val="In-tableHeading"/>
            </w:pPr>
          </w:p>
        </w:tc>
        <w:tc>
          <w:tcPr>
            <w:tcW w:w="550" w:type="pct"/>
            <w:vMerge/>
            <w:tcBorders>
              <w:top w:val="single" w:sz="4" w:space="0" w:color="auto"/>
              <w:left w:val="single" w:sz="4" w:space="0" w:color="auto"/>
              <w:bottom w:val="single" w:sz="4" w:space="0" w:color="auto"/>
              <w:right w:val="single" w:sz="4" w:space="0" w:color="auto"/>
            </w:tcBorders>
            <w:vAlign w:val="center"/>
          </w:tcPr>
          <w:p w14:paraId="181BB0E4" w14:textId="77777777" w:rsidR="00293434" w:rsidRPr="00E2771E" w:rsidRDefault="00293434" w:rsidP="00B5602A">
            <w:pPr>
              <w:pStyle w:val="In-tableHeading"/>
            </w:pPr>
          </w:p>
        </w:tc>
        <w:tc>
          <w:tcPr>
            <w:tcW w:w="472" w:type="pct"/>
            <w:vMerge/>
            <w:tcBorders>
              <w:top w:val="single" w:sz="4" w:space="0" w:color="auto"/>
              <w:left w:val="single" w:sz="4" w:space="0" w:color="auto"/>
              <w:bottom w:val="single" w:sz="4" w:space="0" w:color="auto"/>
              <w:right w:val="single" w:sz="4" w:space="0" w:color="auto"/>
            </w:tcBorders>
            <w:vAlign w:val="center"/>
          </w:tcPr>
          <w:p w14:paraId="795DE095" w14:textId="77777777" w:rsidR="00293434" w:rsidRPr="00E2771E" w:rsidRDefault="00293434" w:rsidP="00B5602A">
            <w:pPr>
              <w:pStyle w:val="In-tableHeading"/>
            </w:pPr>
          </w:p>
        </w:tc>
        <w:tc>
          <w:tcPr>
            <w:tcW w:w="1021" w:type="pct"/>
            <w:vMerge/>
            <w:tcBorders>
              <w:top w:val="single" w:sz="4" w:space="0" w:color="auto"/>
              <w:left w:val="single" w:sz="4" w:space="0" w:color="auto"/>
              <w:bottom w:val="single" w:sz="4" w:space="0" w:color="auto"/>
              <w:right w:val="single" w:sz="4" w:space="0" w:color="auto"/>
            </w:tcBorders>
            <w:vAlign w:val="center"/>
          </w:tcPr>
          <w:p w14:paraId="217DB874" w14:textId="77777777" w:rsidR="00293434" w:rsidRPr="00E2771E" w:rsidRDefault="00293434" w:rsidP="00B5602A">
            <w:pPr>
              <w:pStyle w:val="In-tableHeading"/>
            </w:pPr>
          </w:p>
        </w:tc>
        <w:tc>
          <w:tcPr>
            <w:tcW w:w="472" w:type="pct"/>
            <w:tcBorders>
              <w:top w:val="single" w:sz="4" w:space="0" w:color="auto"/>
              <w:left w:val="single" w:sz="4" w:space="0" w:color="auto"/>
              <w:bottom w:val="single" w:sz="4" w:space="0" w:color="auto"/>
              <w:right w:val="single" w:sz="4" w:space="0" w:color="auto"/>
            </w:tcBorders>
          </w:tcPr>
          <w:p w14:paraId="6F1A0B96" w14:textId="77777777" w:rsidR="00293434" w:rsidRPr="00E2771E" w:rsidRDefault="00293434" w:rsidP="00B5602A">
            <w:pPr>
              <w:pStyle w:val="In-tableHeading"/>
              <w:jc w:val="center"/>
            </w:pPr>
            <w:r>
              <w:t>ABE + ET</w:t>
            </w:r>
          </w:p>
        </w:tc>
        <w:tc>
          <w:tcPr>
            <w:tcW w:w="394" w:type="pct"/>
            <w:tcBorders>
              <w:top w:val="single" w:sz="4" w:space="0" w:color="auto"/>
              <w:left w:val="single" w:sz="4" w:space="0" w:color="auto"/>
              <w:bottom w:val="single" w:sz="4" w:space="0" w:color="auto"/>
              <w:right w:val="single" w:sz="4" w:space="0" w:color="auto"/>
            </w:tcBorders>
          </w:tcPr>
          <w:p w14:paraId="553B6457" w14:textId="77777777" w:rsidR="00293434" w:rsidRPr="00E2771E" w:rsidRDefault="00293434" w:rsidP="00B5602A">
            <w:pPr>
              <w:pStyle w:val="In-tableHeading"/>
              <w:jc w:val="center"/>
            </w:pPr>
            <w:r>
              <w:t>ET</w:t>
            </w:r>
          </w:p>
        </w:tc>
        <w:tc>
          <w:tcPr>
            <w:tcW w:w="993" w:type="pct"/>
            <w:vMerge/>
            <w:tcBorders>
              <w:top w:val="single" w:sz="4" w:space="0" w:color="auto"/>
              <w:left w:val="single" w:sz="4" w:space="0" w:color="auto"/>
              <w:bottom w:val="single" w:sz="4" w:space="0" w:color="auto"/>
              <w:right w:val="single" w:sz="4" w:space="0" w:color="auto"/>
            </w:tcBorders>
            <w:vAlign w:val="center"/>
          </w:tcPr>
          <w:p w14:paraId="62853858" w14:textId="77777777" w:rsidR="00293434" w:rsidRPr="00E2771E" w:rsidRDefault="00293434" w:rsidP="00B5602A">
            <w:pPr>
              <w:pStyle w:val="In-tableHeading"/>
            </w:pPr>
          </w:p>
        </w:tc>
      </w:tr>
      <w:tr w:rsidR="00293434" w:rsidRPr="00E2771E" w14:paraId="5812F6CE" w14:textId="77777777" w:rsidTr="00B5602A">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DB73612" w14:textId="77777777" w:rsidR="00293434" w:rsidRPr="00E2771E" w:rsidRDefault="00293434" w:rsidP="00B5602A">
            <w:pPr>
              <w:pStyle w:val="TableText0"/>
            </w:pPr>
            <w:r>
              <w:t xml:space="preserve">Grade ≥ </w:t>
            </w:r>
            <w:r w:rsidRPr="00175CA9">
              <w:t>3 TEAE</w:t>
            </w:r>
          </w:p>
        </w:tc>
        <w:tc>
          <w:tcPr>
            <w:tcW w:w="550" w:type="pct"/>
            <w:tcBorders>
              <w:top w:val="single" w:sz="4" w:space="0" w:color="auto"/>
              <w:left w:val="single" w:sz="4" w:space="0" w:color="auto"/>
              <w:bottom w:val="single" w:sz="4" w:space="0" w:color="auto"/>
              <w:right w:val="single" w:sz="4" w:space="0" w:color="auto"/>
            </w:tcBorders>
            <w:vAlign w:val="center"/>
          </w:tcPr>
          <w:p w14:paraId="08A22343" w14:textId="77777777" w:rsidR="00293434" w:rsidRPr="00E2771E" w:rsidRDefault="00293434" w:rsidP="00B5602A">
            <w:pPr>
              <w:pStyle w:val="TableText0"/>
              <w:jc w:val="center"/>
            </w:pPr>
            <w:r w:rsidRPr="00B05A35">
              <w:t>1393</w:t>
            </w:r>
            <w:r>
              <w:t>/2791</w:t>
            </w:r>
          </w:p>
        </w:tc>
        <w:tc>
          <w:tcPr>
            <w:tcW w:w="472" w:type="pct"/>
            <w:tcBorders>
              <w:top w:val="single" w:sz="4" w:space="0" w:color="auto"/>
              <w:left w:val="single" w:sz="4" w:space="0" w:color="auto"/>
              <w:bottom w:val="single" w:sz="4" w:space="0" w:color="auto"/>
              <w:right w:val="single" w:sz="4" w:space="0" w:color="auto"/>
            </w:tcBorders>
            <w:vAlign w:val="center"/>
          </w:tcPr>
          <w:p w14:paraId="4F2F8932" w14:textId="77777777" w:rsidR="00293434" w:rsidRPr="00E2771E" w:rsidRDefault="00293434" w:rsidP="00B5602A">
            <w:pPr>
              <w:pStyle w:val="TableText0"/>
              <w:jc w:val="center"/>
            </w:pPr>
            <w:r w:rsidRPr="00B05A35">
              <w:t>472</w:t>
            </w:r>
            <w:r>
              <w:t>/2800</w:t>
            </w:r>
          </w:p>
        </w:tc>
        <w:tc>
          <w:tcPr>
            <w:tcW w:w="1021" w:type="pct"/>
            <w:tcBorders>
              <w:top w:val="single" w:sz="4" w:space="0" w:color="auto"/>
              <w:left w:val="single" w:sz="4" w:space="0" w:color="auto"/>
              <w:bottom w:val="single" w:sz="4" w:space="0" w:color="auto"/>
              <w:right w:val="single" w:sz="4" w:space="0" w:color="auto"/>
            </w:tcBorders>
            <w:vAlign w:val="center"/>
          </w:tcPr>
          <w:p w14:paraId="6DAF246B" w14:textId="77777777" w:rsidR="00293434" w:rsidRPr="00160802" w:rsidRDefault="00293434" w:rsidP="00B5602A">
            <w:pPr>
              <w:pStyle w:val="TableText0"/>
              <w:jc w:val="center"/>
              <w:rPr>
                <w:iCs/>
              </w:rPr>
            </w:pPr>
            <w:r w:rsidRPr="00160802">
              <w:rPr>
                <w:b/>
                <w:iCs/>
              </w:rPr>
              <w:t>2.96 (2.71, 3.24)</w:t>
            </w:r>
          </w:p>
        </w:tc>
        <w:tc>
          <w:tcPr>
            <w:tcW w:w="472" w:type="pct"/>
            <w:tcBorders>
              <w:top w:val="single" w:sz="4" w:space="0" w:color="auto"/>
              <w:left w:val="single" w:sz="4" w:space="0" w:color="auto"/>
              <w:bottom w:val="single" w:sz="4" w:space="0" w:color="auto"/>
              <w:right w:val="single" w:sz="4" w:space="0" w:color="auto"/>
            </w:tcBorders>
            <w:vAlign w:val="center"/>
          </w:tcPr>
          <w:p w14:paraId="7315143B" w14:textId="77777777" w:rsidR="00293434" w:rsidRPr="00E2771E" w:rsidRDefault="00293434" w:rsidP="00B5602A">
            <w:pPr>
              <w:pStyle w:val="TableText0"/>
              <w:jc w:val="center"/>
            </w:pPr>
            <w:r>
              <w:t>49.9</w:t>
            </w:r>
          </w:p>
        </w:tc>
        <w:tc>
          <w:tcPr>
            <w:tcW w:w="394" w:type="pct"/>
            <w:tcBorders>
              <w:top w:val="single" w:sz="4" w:space="0" w:color="auto"/>
              <w:left w:val="single" w:sz="4" w:space="0" w:color="auto"/>
              <w:bottom w:val="single" w:sz="4" w:space="0" w:color="auto"/>
              <w:right w:val="single" w:sz="4" w:space="0" w:color="auto"/>
            </w:tcBorders>
            <w:vAlign w:val="center"/>
          </w:tcPr>
          <w:p w14:paraId="0AB602EA" w14:textId="77777777" w:rsidR="00293434" w:rsidRPr="00E2771E" w:rsidRDefault="00293434" w:rsidP="00B5602A">
            <w:pPr>
              <w:pStyle w:val="TableText0"/>
              <w:jc w:val="center"/>
            </w:pPr>
            <w:r>
              <w:t>16.9</w:t>
            </w:r>
          </w:p>
        </w:tc>
        <w:tc>
          <w:tcPr>
            <w:tcW w:w="993" w:type="pct"/>
            <w:tcBorders>
              <w:top w:val="single" w:sz="4" w:space="0" w:color="auto"/>
              <w:left w:val="single" w:sz="4" w:space="0" w:color="auto"/>
              <w:bottom w:val="single" w:sz="4" w:space="0" w:color="auto"/>
              <w:right w:val="single" w:sz="4" w:space="0" w:color="auto"/>
            </w:tcBorders>
            <w:vAlign w:val="center"/>
          </w:tcPr>
          <w:p w14:paraId="039A78A5" w14:textId="77777777" w:rsidR="00293434" w:rsidRPr="00160802" w:rsidRDefault="00293434" w:rsidP="00B5602A">
            <w:pPr>
              <w:pStyle w:val="TableText0"/>
              <w:jc w:val="center"/>
              <w:rPr>
                <w:iCs/>
              </w:rPr>
            </w:pPr>
            <w:r w:rsidRPr="00160802">
              <w:rPr>
                <w:b/>
                <w:iCs/>
              </w:rPr>
              <w:t>33.1 (30.74, 35.37)</w:t>
            </w:r>
          </w:p>
        </w:tc>
      </w:tr>
      <w:tr w:rsidR="00293434" w:rsidRPr="00E2771E" w14:paraId="27036A24" w14:textId="77777777" w:rsidTr="00B5602A">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6A9324C2" w14:textId="77777777" w:rsidR="00293434" w:rsidRPr="00E2771E" w:rsidRDefault="00293434" w:rsidP="00B5602A">
            <w:pPr>
              <w:pStyle w:val="TableText0"/>
            </w:pPr>
            <w:r>
              <w:t>TE-SAE</w:t>
            </w:r>
          </w:p>
        </w:tc>
        <w:tc>
          <w:tcPr>
            <w:tcW w:w="550" w:type="pct"/>
            <w:tcBorders>
              <w:top w:val="single" w:sz="4" w:space="0" w:color="auto"/>
              <w:left w:val="single" w:sz="4" w:space="0" w:color="auto"/>
              <w:bottom w:val="single" w:sz="4" w:space="0" w:color="auto"/>
              <w:right w:val="single" w:sz="4" w:space="0" w:color="auto"/>
            </w:tcBorders>
            <w:vAlign w:val="center"/>
          </w:tcPr>
          <w:p w14:paraId="29F62435" w14:textId="77777777" w:rsidR="00293434" w:rsidRPr="00E2771E" w:rsidRDefault="00293434" w:rsidP="00B5602A">
            <w:pPr>
              <w:pStyle w:val="TableText0"/>
              <w:jc w:val="center"/>
            </w:pPr>
            <w:r w:rsidRPr="00B05A35">
              <w:t>433</w:t>
            </w:r>
            <w:r>
              <w:t>/2791</w:t>
            </w:r>
          </w:p>
        </w:tc>
        <w:tc>
          <w:tcPr>
            <w:tcW w:w="472" w:type="pct"/>
            <w:tcBorders>
              <w:top w:val="single" w:sz="4" w:space="0" w:color="auto"/>
              <w:left w:val="single" w:sz="4" w:space="0" w:color="auto"/>
              <w:bottom w:val="single" w:sz="4" w:space="0" w:color="auto"/>
              <w:right w:val="single" w:sz="4" w:space="0" w:color="auto"/>
            </w:tcBorders>
            <w:vAlign w:val="center"/>
          </w:tcPr>
          <w:p w14:paraId="62D7D726" w14:textId="77777777" w:rsidR="00293434" w:rsidRPr="00E2771E" w:rsidRDefault="00293434" w:rsidP="00B5602A">
            <w:pPr>
              <w:pStyle w:val="TableText0"/>
              <w:jc w:val="center"/>
            </w:pPr>
            <w:r w:rsidRPr="00B05A35">
              <w:t>256</w:t>
            </w:r>
            <w:r>
              <w:t>/2800</w:t>
            </w:r>
          </w:p>
        </w:tc>
        <w:tc>
          <w:tcPr>
            <w:tcW w:w="1021" w:type="pct"/>
            <w:tcBorders>
              <w:top w:val="single" w:sz="4" w:space="0" w:color="auto"/>
              <w:left w:val="single" w:sz="4" w:space="0" w:color="auto"/>
              <w:bottom w:val="single" w:sz="4" w:space="0" w:color="auto"/>
              <w:right w:val="single" w:sz="4" w:space="0" w:color="auto"/>
            </w:tcBorders>
            <w:vAlign w:val="center"/>
          </w:tcPr>
          <w:p w14:paraId="0D65BB1A" w14:textId="77777777" w:rsidR="00293434" w:rsidRPr="00160802" w:rsidRDefault="00293434" w:rsidP="00B5602A">
            <w:pPr>
              <w:pStyle w:val="TableText0"/>
              <w:jc w:val="center"/>
              <w:rPr>
                <w:iCs/>
              </w:rPr>
            </w:pPr>
            <w:r w:rsidRPr="00160802">
              <w:rPr>
                <w:b/>
                <w:iCs/>
              </w:rPr>
              <w:t>1.70 (1.47, 1.96)</w:t>
            </w:r>
          </w:p>
        </w:tc>
        <w:tc>
          <w:tcPr>
            <w:tcW w:w="472" w:type="pct"/>
            <w:tcBorders>
              <w:top w:val="single" w:sz="4" w:space="0" w:color="auto"/>
              <w:left w:val="single" w:sz="4" w:space="0" w:color="auto"/>
              <w:bottom w:val="single" w:sz="4" w:space="0" w:color="auto"/>
              <w:right w:val="single" w:sz="4" w:space="0" w:color="auto"/>
            </w:tcBorders>
            <w:vAlign w:val="center"/>
          </w:tcPr>
          <w:p w14:paraId="12C7964F" w14:textId="77777777" w:rsidR="00293434" w:rsidRPr="00E2771E" w:rsidRDefault="00293434" w:rsidP="00B5602A">
            <w:pPr>
              <w:pStyle w:val="TableText0"/>
              <w:jc w:val="center"/>
            </w:pPr>
            <w:r>
              <w:t>15.5</w:t>
            </w:r>
          </w:p>
        </w:tc>
        <w:tc>
          <w:tcPr>
            <w:tcW w:w="394" w:type="pct"/>
            <w:tcBorders>
              <w:top w:val="single" w:sz="4" w:space="0" w:color="auto"/>
              <w:left w:val="single" w:sz="4" w:space="0" w:color="auto"/>
              <w:bottom w:val="single" w:sz="4" w:space="0" w:color="auto"/>
              <w:right w:val="single" w:sz="4" w:space="0" w:color="auto"/>
            </w:tcBorders>
            <w:vAlign w:val="center"/>
          </w:tcPr>
          <w:p w14:paraId="0DDE2194" w14:textId="77777777" w:rsidR="00293434" w:rsidRPr="00E2771E" w:rsidRDefault="00293434" w:rsidP="00B5602A">
            <w:pPr>
              <w:pStyle w:val="TableText0"/>
              <w:jc w:val="center"/>
            </w:pPr>
            <w:r>
              <w:t>9.1</w:t>
            </w:r>
          </w:p>
        </w:tc>
        <w:tc>
          <w:tcPr>
            <w:tcW w:w="993" w:type="pct"/>
            <w:tcBorders>
              <w:top w:val="single" w:sz="4" w:space="0" w:color="auto"/>
              <w:left w:val="single" w:sz="4" w:space="0" w:color="auto"/>
              <w:bottom w:val="single" w:sz="4" w:space="0" w:color="auto"/>
              <w:right w:val="single" w:sz="4" w:space="0" w:color="auto"/>
            </w:tcBorders>
            <w:vAlign w:val="center"/>
          </w:tcPr>
          <w:p w14:paraId="1DBAEC2E" w14:textId="77777777" w:rsidR="00293434" w:rsidRPr="00160802" w:rsidRDefault="00293434" w:rsidP="00B5602A">
            <w:pPr>
              <w:pStyle w:val="TableText0"/>
              <w:jc w:val="center"/>
              <w:rPr>
                <w:iCs/>
              </w:rPr>
            </w:pPr>
            <w:r w:rsidRPr="00160802">
              <w:rPr>
                <w:b/>
                <w:iCs/>
              </w:rPr>
              <w:t>6.4 (4.66, 8.09)</w:t>
            </w:r>
          </w:p>
        </w:tc>
      </w:tr>
      <w:tr w:rsidR="00293434" w:rsidRPr="00E2771E" w14:paraId="3D2E3960" w14:textId="77777777" w:rsidTr="00B5602A">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90BC137" w14:textId="77777777" w:rsidR="00293434" w:rsidRDefault="00293434" w:rsidP="00B5602A">
            <w:pPr>
              <w:pStyle w:val="TableText0"/>
            </w:pPr>
            <w:r>
              <w:t>Discontinuation due to AE</w:t>
            </w:r>
          </w:p>
        </w:tc>
        <w:tc>
          <w:tcPr>
            <w:tcW w:w="550" w:type="pct"/>
            <w:tcBorders>
              <w:top w:val="single" w:sz="4" w:space="0" w:color="auto"/>
              <w:left w:val="single" w:sz="4" w:space="0" w:color="auto"/>
              <w:bottom w:val="single" w:sz="4" w:space="0" w:color="auto"/>
              <w:right w:val="single" w:sz="4" w:space="0" w:color="auto"/>
            </w:tcBorders>
            <w:vAlign w:val="center"/>
          </w:tcPr>
          <w:p w14:paraId="63004886" w14:textId="77777777" w:rsidR="00293434" w:rsidRPr="00B05A35" w:rsidRDefault="00293434" w:rsidP="00B5602A">
            <w:pPr>
              <w:pStyle w:val="TableText0"/>
              <w:jc w:val="center"/>
            </w:pPr>
            <w:r w:rsidRPr="00221765">
              <w:t>180/2791</w:t>
            </w:r>
          </w:p>
        </w:tc>
        <w:tc>
          <w:tcPr>
            <w:tcW w:w="472" w:type="pct"/>
            <w:tcBorders>
              <w:top w:val="single" w:sz="4" w:space="0" w:color="auto"/>
              <w:left w:val="single" w:sz="4" w:space="0" w:color="auto"/>
              <w:bottom w:val="single" w:sz="4" w:space="0" w:color="auto"/>
              <w:right w:val="single" w:sz="4" w:space="0" w:color="auto"/>
            </w:tcBorders>
            <w:vAlign w:val="center"/>
          </w:tcPr>
          <w:p w14:paraId="1CEB2BF3" w14:textId="77777777" w:rsidR="00293434" w:rsidRPr="00B05A35" w:rsidRDefault="00293434" w:rsidP="00B5602A">
            <w:pPr>
              <w:pStyle w:val="TableText0"/>
              <w:jc w:val="center"/>
            </w:pPr>
            <w:r w:rsidRPr="00221765">
              <w:t>30/2800</w:t>
            </w:r>
          </w:p>
        </w:tc>
        <w:tc>
          <w:tcPr>
            <w:tcW w:w="1021" w:type="pct"/>
            <w:tcBorders>
              <w:top w:val="single" w:sz="4" w:space="0" w:color="auto"/>
              <w:left w:val="single" w:sz="4" w:space="0" w:color="auto"/>
              <w:bottom w:val="single" w:sz="4" w:space="0" w:color="auto"/>
              <w:right w:val="single" w:sz="4" w:space="0" w:color="auto"/>
            </w:tcBorders>
            <w:vAlign w:val="center"/>
          </w:tcPr>
          <w:p w14:paraId="0501D901" w14:textId="77777777" w:rsidR="00293434" w:rsidRPr="00160802" w:rsidRDefault="00293434" w:rsidP="00B5602A">
            <w:pPr>
              <w:pStyle w:val="TableText0"/>
              <w:jc w:val="center"/>
              <w:rPr>
                <w:b/>
                <w:iCs/>
              </w:rPr>
            </w:pPr>
            <w:r w:rsidRPr="00221765">
              <w:rPr>
                <w:b/>
              </w:rPr>
              <w:t>6.02 (4.10, 8.82)</w:t>
            </w:r>
          </w:p>
        </w:tc>
        <w:tc>
          <w:tcPr>
            <w:tcW w:w="472" w:type="pct"/>
            <w:tcBorders>
              <w:top w:val="single" w:sz="4" w:space="0" w:color="auto"/>
              <w:left w:val="single" w:sz="4" w:space="0" w:color="auto"/>
              <w:bottom w:val="single" w:sz="4" w:space="0" w:color="auto"/>
              <w:right w:val="single" w:sz="4" w:space="0" w:color="auto"/>
            </w:tcBorders>
            <w:vAlign w:val="center"/>
          </w:tcPr>
          <w:p w14:paraId="32EEB908" w14:textId="77777777" w:rsidR="00293434" w:rsidRDefault="00293434" w:rsidP="00B5602A">
            <w:pPr>
              <w:pStyle w:val="TableText0"/>
              <w:jc w:val="center"/>
            </w:pPr>
            <w:r w:rsidRPr="00221765">
              <w:t>6.4</w:t>
            </w:r>
          </w:p>
        </w:tc>
        <w:tc>
          <w:tcPr>
            <w:tcW w:w="394" w:type="pct"/>
            <w:tcBorders>
              <w:top w:val="single" w:sz="4" w:space="0" w:color="auto"/>
              <w:left w:val="single" w:sz="4" w:space="0" w:color="auto"/>
              <w:bottom w:val="single" w:sz="4" w:space="0" w:color="auto"/>
              <w:right w:val="single" w:sz="4" w:space="0" w:color="auto"/>
            </w:tcBorders>
            <w:vAlign w:val="center"/>
          </w:tcPr>
          <w:p w14:paraId="0B3D2E31" w14:textId="77777777" w:rsidR="00293434" w:rsidRDefault="00293434" w:rsidP="00B5602A">
            <w:pPr>
              <w:pStyle w:val="TableText0"/>
              <w:jc w:val="center"/>
            </w:pPr>
            <w:r w:rsidRPr="00221765">
              <w:t>1.1</w:t>
            </w:r>
          </w:p>
        </w:tc>
        <w:tc>
          <w:tcPr>
            <w:tcW w:w="993" w:type="pct"/>
            <w:tcBorders>
              <w:top w:val="single" w:sz="4" w:space="0" w:color="auto"/>
              <w:left w:val="single" w:sz="4" w:space="0" w:color="auto"/>
              <w:bottom w:val="single" w:sz="4" w:space="0" w:color="auto"/>
              <w:right w:val="single" w:sz="4" w:space="0" w:color="auto"/>
            </w:tcBorders>
            <w:vAlign w:val="center"/>
          </w:tcPr>
          <w:p w14:paraId="4521CFD0" w14:textId="77777777" w:rsidR="00293434" w:rsidRPr="00160802" w:rsidRDefault="00293434" w:rsidP="00B5602A">
            <w:pPr>
              <w:pStyle w:val="TableText0"/>
              <w:jc w:val="center"/>
              <w:rPr>
                <w:b/>
                <w:iCs/>
              </w:rPr>
            </w:pPr>
            <w:r w:rsidRPr="00221765">
              <w:rPr>
                <w:b/>
              </w:rPr>
              <w:t>5.4 (4.39, 6.37)</w:t>
            </w:r>
          </w:p>
        </w:tc>
      </w:tr>
      <w:tr w:rsidR="00293434" w:rsidRPr="00E2771E" w14:paraId="3939D093" w14:textId="77777777" w:rsidTr="00B5602A">
        <w:tc>
          <w:tcPr>
            <w:tcW w:w="1098"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5BF769" w14:textId="77777777" w:rsidR="00293434" w:rsidRPr="0001415C" w:rsidRDefault="00293434" w:rsidP="00B5602A">
            <w:pPr>
              <w:pStyle w:val="TableText0"/>
              <w:rPr>
                <w:vertAlign w:val="superscript"/>
              </w:rPr>
            </w:pPr>
            <w:r>
              <w:t xml:space="preserve">Grade </w:t>
            </w:r>
            <w:r w:rsidRPr="00175CA9">
              <w:t>≥</w:t>
            </w:r>
            <w:r>
              <w:t xml:space="preserve"> </w:t>
            </w:r>
            <w:r w:rsidRPr="00175CA9">
              <w:t>3</w:t>
            </w:r>
            <w:r>
              <w:t xml:space="preserve"> diarrhoea</w:t>
            </w:r>
            <w:r>
              <w:rPr>
                <w:vertAlign w:val="superscript"/>
              </w:rPr>
              <w:t>a</w:t>
            </w:r>
          </w:p>
        </w:tc>
        <w:tc>
          <w:tcPr>
            <w:tcW w:w="55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02F4153" w14:textId="77777777" w:rsidR="00293434" w:rsidRPr="00E2771E" w:rsidRDefault="00293434" w:rsidP="00B5602A">
            <w:pPr>
              <w:pStyle w:val="TableText0"/>
              <w:jc w:val="center"/>
            </w:pPr>
            <w:r>
              <w:t>219/2791</w:t>
            </w:r>
          </w:p>
        </w:tc>
        <w:tc>
          <w:tcPr>
            <w:tcW w:w="47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FE9E040" w14:textId="77777777" w:rsidR="00293434" w:rsidRPr="00E2771E" w:rsidRDefault="00293434" w:rsidP="00B5602A">
            <w:pPr>
              <w:pStyle w:val="TableText0"/>
              <w:jc w:val="center"/>
            </w:pPr>
            <w:r>
              <w:t>6/2800</w:t>
            </w:r>
          </w:p>
        </w:tc>
        <w:tc>
          <w:tcPr>
            <w:tcW w:w="102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A4CBB95" w14:textId="77777777" w:rsidR="00293434" w:rsidRPr="00787A0B" w:rsidRDefault="00293434" w:rsidP="00B5602A">
            <w:pPr>
              <w:pStyle w:val="TableText0"/>
              <w:jc w:val="center"/>
              <w:rPr>
                <w:b/>
                <w:bCs w:val="0"/>
                <w:iCs/>
              </w:rPr>
            </w:pPr>
            <w:r w:rsidRPr="00787A0B">
              <w:rPr>
                <w:b/>
                <w:bCs w:val="0"/>
                <w:iCs/>
              </w:rPr>
              <w:t>36.62 (16.30, 82.26)</w:t>
            </w:r>
          </w:p>
        </w:tc>
        <w:tc>
          <w:tcPr>
            <w:tcW w:w="47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CC53625" w14:textId="77777777" w:rsidR="00293434" w:rsidRPr="00787A0B" w:rsidRDefault="00293434" w:rsidP="00B5602A">
            <w:pPr>
              <w:pStyle w:val="TableText0"/>
              <w:jc w:val="center"/>
              <w:rPr>
                <w:iCs/>
              </w:rPr>
            </w:pPr>
            <w:r w:rsidRPr="00787A0B">
              <w:rPr>
                <w:iCs/>
              </w:rPr>
              <w:t>7.8</w:t>
            </w:r>
          </w:p>
        </w:tc>
        <w:tc>
          <w:tcPr>
            <w:tcW w:w="39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4BAFC50" w14:textId="77777777" w:rsidR="00293434" w:rsidRPr="00787A0B" w:rsidRDefault="00293434" w:rsidP="00B5602A">
            <w:pPr>
              <w:pStyle w:val="TableText0"/>
              <w:jc w:val="center"/>
              <w:rPr>
                <w:iCs/>
              </w:rPr>
            </w:pPr>
            <w:r w:rsidRPr="00787A0B">
              <w:rPr>
                <w:iCs/>
              </w:rPr>
              <w:t>0.2</w:t>
            </w:r>
          </w:p>
        </w:tc>
        <w:tc>
          <w:tcPr>
            <w:tcW w:w="993"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46E5EDB" w14:textId="77777777" w:rsidR="00293434" w:rsidRPr="00787A0B" w:rsidRDefault="00293434" w:rsidP="00B5602A">
            <w:pPr>
              <w:pStyle w:val="TableText0"/>
              <w:jc w:val="center"/>
              <w:rPr>
                <w:b/>
                <w:bCs w:val="0"/>
                <w:iCs/>
              </w:rPr>
            </w:pPr>
            <w:r w:rsidRPr="00787A0B">
              <w:rPr>
                <w:b/>
                <w:bCs w:val="0"/>
                <w:iCs/>
              </w:rPr>
              <w:t>7.63 (6.62, 8.64)</w:t>
            </w:r>
          </w:p>
        </w:tc>
      </w:tr>
      <w:tr w:rsidR="00293434" w:rsidRPr="00E2771E" w14:paraId="65FB02FA" w14:textId="77777777" w:rsidTr="00B5602A">
        <w:tc>
          <w:tcPr>
            <w:tcW w:w="1098"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036925" w14:textId="77777777" w:rsidR="00293434" w:rsidRPr="0001415C" w:rsidRDefault="00293434" w:rsidP="00B5602A">
            <w:pPr>
              <w:pStyle w:val="TableText0"/>
              <w:rPr>
                <w:vertAlign w:val="superscript"/>
              </w:rPr>
            </w:pPr>
            <w:r>
              <w:t xml:space="preserve">Grade </w:t>
            </w:r>
            <w:r w:rsidRPr="00175CA9">
              <w:t>≥</w:t>
            </w:r>
            <w:r>
              <w:t xml:space="preserve"> </w:t>
            </w:r>
            <w:r w:rsidRPr="00175CA9">
              <w:t>3</w:t>
            </w:r>
            <w:r>
              <w:t xml:space="preserve"> neutropenia</w:t>
            </w:r>
            <w:r>
              <w:rPr>
                <w:vertAlign w:val="superscript"/>
              </w:rPr>
              <w:t>a</w:t>
            </w:r>
          </w:p>
        </w:tc>
        <w:tc>
          <w:tcPr>
            <w:tcW w:w="55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FE5B729" w14:textId="77777777" w:rsidR="00293434" w:rsidRDefault="00293434" w:rsidP="00B5602A">
            <w:pPr>
              <w:pStyle w:val="TableText0"/>
              <w:jc w:val="center"/>
            </w:pPr>
            <w:r>
              <w:t>546/2791</w:t>
            </w:r>
          </w:p>
        </w:tc>
        <w:tc>
          <w:tcPr>
            <w:tcW w:w="47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AB09083" w14:textId="77777777" w:rsidR="00293434" w:rsidRDefault="00293434" w:rsidP="00B5602A">
            <w:pPr>
              <w:pStyle w:val="TableText0"/>
              <w:jc w:val="center"/>
            </w:pPr>
            <w:r>
              <w:t>23/2800</w:t>
            </w:r>
          </w:p>
        </w:tc>
        <w:tc>
          <w:tcPr>
            <w:tcW w:w="102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2A4CBBB" w14:textId="77777777" w:rsidR="00293434" w:rsidRPr="00787A0B" w:rsidRDefault="00293434" w:rsidP="00B5602A">
            <w:pPr>
              <w:pStyle w:val="TableText0"/>
              <w:jc w:val="center"/>
              <w:rPr>
                <w:b/>
                <w:bCs w:val="0"/>
                <w:iCs/>
              </w:rPr>
            </w:pPr>
            <w:r w:rsidRPr="00787A0B">
              <w:rPr>
                <w:b/>
                <w:bCs w:val="0"/>
                <w:iCs/>
              </w:rPr>
              <w:t>23.82 (15.74, 36.03)</w:t>
            </w:r>
          </w:p>
        </w:tc>
        <w:tc>
          <w:tcPr>
            <w:tcW w:w="47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7288C1E" w14:textId="77777777" w:rsidR="00293434" w:rsidRPr="00787A0B" w:rsidRDefault="00293434" w:rsidP="00B5602A">
            <w:pPr>
              <w:pStyle w:val="TableText0"/>
              <w:jc w:val="center"/>
              <w:rPr>
                <w:iCs/>
              </w:rPr>
            </w:pPr>
            <w:r w:rsidRPr="00787A0B">
              <w:rPr>
                <w:iCs/>
              </w:rPr>
              <w:t>19.6</w:t>
            </w:r>
          </w:p>
        </w:tc>
        <w:tc>
          <w:tcPr>
            <w:tcW w:w="39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99423CD" w14:textId="77777777" w:rsidR="00293434" w:rsidRPr="00787A0B" w:rsidRDefault="00293434" w:rsidP="00B5602A">
            <w:pPr>
              <w:pStyle w:val="TableText0"/>
              <w:jc w:val="center"/>
              <w:rPr>
                <w:iCs/>
              </w:rPr>
            </w:pPr>
            <w:r w:rsidRPr="00787A0B">
              <w:rPr>
                <w:iCs/>
              </w:rPr>
              <w:t>0.8</w:t>
            </w:r>
          </w:p>
        </w:tc>
        <w:tc>
          <w:tcPr>
            <w:tcW w:w="993"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32E658F" w14:textId="77777777" w:rsidR="00293434" w:rsidRPr="00787A0B" w:rsidRDefault="00293434" w:rsidP="00B5602A">
            <w:pPr>
              <w:pStyle w:val="TableText0"/>
              <w:jc w:val="center"/>
              <w:rPr>
                <w:b/>
                <w:bCs w:val="0"/>
                <w:iCs/>
              </w:rPr>
            </w:pPr>
            <w:r w:rsidRPr="00787A0B">
              <w:rPr>
                <w:b/>
                <w:bCs w:val="0"/>
                <w:iCs/>
              </w:rPr>
              <w:t>18.74 (17.23, 20.24)</w:t>
            </w:r>
          </w:p>
        </w:tc>
      </w:tr>
    </w:tbl>
    <w:p w14:paraId="69AE1D77" w14:textId="77777777" w:rsidR="00293434" w:rsidRDefault="00293434" w:rsidP="00293434">
      <w:pPr>
        <w:pStyle w:val="FooterTableFigure"/>
        <w:spacing w:after="0"/>
      </w:pPr>
      <w:r>
        <w:t xml:space="preserve">Source: </w:t>
      </w:r>
      <w:r w:rsidRPr="00A669BD">
        <w:t>Attachment A2.16_monarchE_AFU2 (July 2022) Statistical tables – confidential, pp4</w:t>
      </w:r>
      <w:r>
        <w:t xml:space="preserve">-9. Table 2-51, p133 and table 2-53, p135 </w:t>
      </w:r>
      <w:r w:rsidRPr="00D13A3E">
        <w:t xml:space="preserve">of the </w:t>
      </w:r>
      <w:r>
        <w:t>resubmission.</w:t>
      </w:r>
    </w:p>
    <w:p w14:paraId="57AD469B" w14:textId="77777777" w:rsidR="00293434" w:rsidRDefault="00293434" w:rsidP="00293434">
      <w:pPr>
        <w:pStyle w:val="TableFigureFooter"/>
        <w:spacing w:after="0"/>
      </w:pPr>
      <w:r>
        <w:t xml:space="preserve">ABE = abemaciclib; AE = adverse event; CI = confidence interval; DRFS = </w:t>
      </w:r>
      <w:r w:rsidRPr="001A33B0">
        <w:t>distant relapse-free surviva</w:t>
      </w:r>
      <w:r>
        <w:t xml:space="preserve">l; ET = endocrine therapy; HR = hazard ratio; IDFS = invasive disease-free survival; </w:t>
      </w:r>
      <w:r w:rsidRPr="00B40358">
        <w:rPr>
          <w:rFonts w:eastAsia="Calibri"/>
        </w:rPr>
        <w:t>n = number of participants reporting data; N = total participants in group</w:t>
      </w:r>
      <w:r>
        <w:rPr>
          <w:rFonts w:eastAsia="Calibri"/>
        </w:rPr>
        <w:t xml:space="preserve">; </w:t>
      </w:r>
      <w:r>
        <w:t xml:space="preserve">NA = not applicable; NE = not estimable; NR = not reported; OS = overall survival; </w:t>
      </w:r>
      <w:r w:rsidRPr="0072416F">
        <w:t>RD = risk difference; RR = risk ratio</w:t>
      </w:r>
      <w:r>
        <w:t xml:space="preserve">; TEAE = treatment emergent adverse event; TE-SAE = treatment emergent serious adverse event. </w:t>
      </w:r>
    </w:p>
    <w:p w14:paraId="2D7A8320" w14:textId="77777777" w:rsidR="00293434" w:rsidRDefault="00293434" w:rsidP="00293434">
      <w:pPr>
        <w:pStyle w:val="TableFigureFooter"/>
        <w:spacing w:after="0"/>
      </w:pPr>
      <w:r>
        <w:rPr>
          <w:bCs/>
        </w:rPr>
        <w:t xml:space="preserve">Notes: </w:t>
      </w:r>
      <w:r>
        <w:rPr>
          <w:b/>
          <w:bCs/>
        </w:rPr>
        <w:t>Bold</w:t>
      </w:r>
      <w:r>
        <w:t xml:space="preserve"> indicated statistically significant results. </w:t>
      </w:r>
    </w:p>
    <w:p w14:paraId="50051BCB" w14:textId="77777777" w:rsidR="00293434" w:rsidRDefault="00293434" w:rsidP="00293434">
      <w:pPr>
        <w:pStyle w:val="TableFigureFooter"/>
        <w:spacing w:after="0"/>
      </w:pPr>
      <w:r w:rsidRPr="00A669BD">
        <w:rPr>
          <w:iCs/>
          <w:shd w:val="clear" w:color="auto" w:fill="8DB3E2" w:themeFill="text2" w:themeFillTint="66"/>
        </w:rPr>
        <w:t>Blue shading</w:t>
      </w:r>
      <w:r w:rsidRPr="00A669BD">
        <w:rPr>
          <w:iCs/>
        </w:rPr>
        <w:t xml:space="preserve"> indicates data previously seen by the PBAC.</w:t>
      </w:r>
      <w:r>
        <w:rPr>
          <w:iCs/>
        </w:rPr>
        <w:t xml:space="preserve"> </w:t>
      </w:r>
    </w:p>
    <w:p w14:paraId="277188FB" w14:textId="0F5A6904" w:rsidR="00293434" w:rsidRPr="0001415C" w:rsidRDefault="00293434" w:rsidP="00DE2559">
      <w:pPr>
        <w:pStyle w:val="TableFigureFooter"/>
        <w:rPr>
          <w:iCs/>
        </w:rPr>
      </w:pPr>
      <w:r>
        <w:rPr>
          <w:iCs/>
          <w:vertAlign w:val="superscript"/>
        </w:rPr>
        <w:t>a</w:t>
      </w:r>
      <w:r>
        <w:rPr>
          <w:iCs/>
        </w:rPr>
        <w:t xml:space="preserve"> No updated data was provided at AFU2.</w:t>
      </w:r>
    </w:p>
    <w:p w14:paraId="49A0C998" w14:textId="77777777" w:rsidR="00293434" w:rsidRDefault="00293434" w:rsidP="00293434">
      <w:pPr>
        <w:pStyle w:val="3-BodyText"/>
      </w:pPr>
      <w:r>
        <w:t xml:space="preserve">Based on direct evidence presented by the submission, for every 100 patients with HR+, HER2-, EBC with a high risk of recurrence, treated with abemaciclib + ET instead of ET alone for a median follow-up duration of 42 months: </w:t>
      </w:r>
    </w:p>
    <w:p w14:paraId="1636ECF4" w14:textId="22FA1F41" w:rsidR="00160802" w:rsidRDefault="00293434" w:rsidP="00160802">
      <w:pPr>
        <w:pStyle w:val="ListBullet"/>
        <w:tabs>
          <w:tab w:val="clear" w:pos="360"/>
          <w:tab w:val="num" w:pos="1080"/>
        </w:tabs>
        <w:spacing w:after="120"/>
        <w:ind w:left="1077" w:hanging="357"/>
        <w:contextualSpacing w:val="0"/>
      </w:pPr>
      <w:r>
        <w:t xml:space="preserve">Approximately 6 </w:t>
      </w:r>
      <w:r w:rsidR="00875997">
        <w:t xml:space="preserve">fewer </w:t>
      </w:r>
      <w:r>
        <w:t>patients would experience invasive disease or death at 48 months.</w:t>
      </w:r>
    </w:p>
    <w:p w14:paraId="4FC6C8EF" w14:textId="7AD61DA3" w:rsidR="00293434" w:rsidRDefault="00293434" w:rsidP="00160802">
      <w:pPr>
        <w:pStyle w:val="ListBullet"/>
        <w:tabs>
          <w:tab w:val="clear" w:pos="360"/>
          <w:tab w:val="num" w:pos="1080"/>
        </w:tabs>
        <w:spacing w:after="120"/>
        <w:ind w:left="1077" w:hanging="357"/>
        <w:contextualSpacing w:val="0"/>
      </w:pPr>
      <w:r>
        <w:t>No difference in OS.</w:t>
      </w:r>
    </w:p>
    <w:p w14:paraId="6917C60A" w14:textId="4B478937" w:rsidR="00221765" w:rsidRPr="00297E64" w:rsidRDefault="00221765" w:rsidP="00221765">
      <w:pPr>
        <w:pStyle w:val="ListBullet"/>
        <w:tabs>
          <w:tab w:val="clear" w:pos="360"/>
          <w:tab w:val="num" w:pos="1080"/>
        </w:tabs>
        <w:spacing w:after="120"/>
        <w:ind w:left="1077" w:hanging="357"/>
        <w:contextualSpacing w:val="0"/>
      </w:pPr>
      <w:r>
        <w:t xml:space="preserve">Approximately 33 additional patients would experience a grade </w:t>
      </w:r>
      <w:r>
        <w:rPr>
          <w:rFonts w:cs="Calibri"/>
        </w:rPr>
        <w:t xml:space="preserve">≥ </w:t>
      </w:r>
      <w:r>
        <w:t>3 TEAE</w:t>
      </w:r>
      <w:r w:rsidRPr="00787A0B">
        <w:t>.</w:t>
      </w:r>
    </w:p>
    <w:p w14:paraId="50155B67" w14:textId="77777777" w:rsidR="00221765" w:rsidRDefault="00221765" w:rsidP="00221765">
      <w:pPr>
        <w:pStyle w:val="ListBullet"/>
        <w:tabs>
          <w:tab w:val="clear" w:pos="360"/>
          <w:tab w:val="num" w:pos="1080"/>
        </w:tabs>
        <w:spacing w:after="120"/>
        <w:ind w:left="1077" w:hanging="357"/>
        <w:contextualSpacing w:val="0"/>
      </w:pPr>
      <w:r>
        <w:lastRenderedPageBreak/>
        <w:t xml:space="preserve">Approximately 6 additional patients would experience a treatment-emergent serious adverse event. </w:t>
      </w:r>
    </w:p>
    <w:p w14:paraId="5E605C3A" w14:textId="77777777" w:rsidR="00221765" w:rsidRDefault="00221765" w:rsidP="00221765">
      <w:pPr>
        <w:pStyle w:val="ListBullet"/>
        <w:tabs>
          <w:tab w:val="clear" w:pos="360"/>
          <w:tab w:val="num" w:pos="1080"/>
        </w:tabs>
        <w:spacing w:after="120"/>
        <w:ind w:left="1077" w:hanging="357"/>
        <w:contextualSpacing w:val="0"/>
      </w:pPr>
      <w:r>
        <w:t xml:space="preserve">Approximately 5 additional patients would discontinue all study treatment due to adverse events. </w:t>
      </w:r>
    </w:p>
    <w:p w14:paraId="31BF06CC" w14:textId="387A74E9" w:rsidR="00221765" w:rsidRDefault="00221765" w:rsidP="00221765">
      <w:pPr>
        <w:pStyle w:val="ListBullet"/>
        <w:tabs>
          <w:tab w:val="clear" w:pos="360"/>
          <w:tab w:val="num" w:pos="1080"/>
        </w:tabs>
        <w:spacing w:after="120"/>
        <w:ind w:left="1077" w:hanging="357"/>
        <w:contextualSpacing w:val="0"/>
      </w:pPr>
      <w:r>
        <w:t xml:space="preserve">Approximately 8 additional patients would experience grade </w:t>
      </w:r>
      <w:r>
        <w:rPr>
          <w:rFonts w:cs="Calibri"/>
        </w:rPr>
        <w:t xml:space="preserve">≥ </w:t>
      </w:r>
      <w:r>
        <w:t>3 diarrhoea</w:t>
      </w:r>
      <w:r w:rsidR="00875997">
        <w:t xml:space="preserve"> (this is over</w:t>
      </w:r>
      <w:r>
        <w:t xml:space="preserve"> a median of 27 months follow-up</w:t>
      </w:r>
      <w:r w:rsidR="00875997">
        <w:t xml:space="preserve"> as data </w:t>
      </w:r>
      <w:r w:rsidR="008226A2">
        <w:t xml:space="preserve">are </w:t>
      </w:r>
      <w:r w:rsidR="00875997">
        <w:t>not available for</w:t>
      </w:r>
      <w:r w:rsidR="008226A2">
        <w:t xml:space="preserve"> the</w:t>
      </w:r>
      <w:r w:rsidR="00875997">
        <w:t xml:space="preserve"> later data cut with a median of 42 months follow-up)</w:t>
      </w:r>
      <w:r>
        <w:t>.</w:t>
      </w:r>
    </w:p>
    <w:p w14:paraId="2D4024F7" w14:textId="792E8F88" w:rsidR="00221765" w:rsidRPr="00857636" w:rsidRDefault="00221765" w:rsidP="00557623">
      <w:pPr>
        <w:pStyle w:val="ListBullet"/>
        <w:tabs>
          <w:tab w:val="clear" w:pos="360"/>
          <w:tab w:val="num" w:pos="1080"/>
        </w:tabs>
        <w:spacing w:after="120"/>
        <w:ind w:left="1077" w:hanging="357"/>
        <w:contextualSpacing w:val="0"/>
      </w:pPr>
      <w:r>
        <w:t xml:space="preserve">Approximately 19 additional cases of neutropenia </w:t>
      </w:r>
      <w:r w:rsidR="00875997">
        <w:t>(this is over a median of 27 months follow-up as data</w:t>
      </w:r>
      <w:r w:rsidR="008226A2">
        <w:t xml:space="preserve"> are</w:t>
      </w:r>
      <w:r w:rsidR="00875997">
        <w:t xml:space="preserve"> not available for </w:t>
      </w:r>
      <w:r w:rsidR="008226A2">
        <w:t xml:space="preserve">the </w:t>
      </w:r>
      <w:r w:rsidR="00875997">
        <w:t>later data cut with a median of 42 months follow-up)</w:t>
      </w:r>
      <w:r w:rsidR="00557623">
        <w:t>.</w:t>
      </w:r>
    </w:p>
    <w:p w14:paraId="5044719D" w14:textId="6A07874E" w:rsidR="00B60939" w:rsidRPr="00C9624D" w:rsidRDefault="00B60939" w:rsidP="00E9094A">
      <w:pPr>
        <w:pStyle w:val="4-SubsectionHeading"/>
      </w:pPr>
      <w:bookmarkStart w:id="35" w:name="_Toc22897644"/>
      <w:bookmarkStart w:id="36" w:name="_Toc124940307"/>
      <w:r w:rsidRPr="00C9624D">
        <w:t>Clinical claim</w:t>
      </w:r>
      <w:bookmarkEnd w:id="35"/>
      <w:bookmarkEnd w:id="36"/>
    </w:p>
    <w:p w14:paraId="74FE8A03" w14:textId="77777777" w:rsidR="007D07EC" w:rsidRPr="00787A0B" w:rsidRDefault="007D07EC" w:rsidP="007D07EC">
      <w:pPr>
        <w:pStyle w:val="3-BodyText"/>
        <w:rPr>
          <w:rFonts w:eastAsia="Calibri"/>
        </w:rPr>
      </w:pPr>
      <w:r w:rsidRPr="001071A4">
        <w:t xml:space="preserve">The submission described abemaciclib in combination with </w:t>
      </w:r>
      <w:r>
        <w:t>ET</w:t>
      </w:r>
      <w:r w:rsidRPr="001071A4">
        <w:t xml:space="preserve"> as superior in terms of effectiveness compared with </w:t>
      </w:r>
      <w:r>
        <w:t>ET</w:t>
      </w:r>
      <w:r w:rsidRPr="001071A4">
        <w:t xml:space="preserve"> alone and </w:t>
      </w:r>
      <w:r>
        <w:t>with a</w:t>
      </w:r>
      <w:r w:rsidRPr="001071A4">
        <w:t xml:space="preserve"> manageable safety</w:t>
      </w:r>
      <w:r>
        <w:t xml:space="preserve"> profile</w:t>
      </w:r>
      <w:r w:rsidRPr="001071A4">
        <w:t xml:space="preserve">. </w:t>
      </w:r>
    </w:p>
    <w:p w14:paraId="6FD1218E" w14:textId="1AD6AE7C" w:rsidR="007128DA" w:rsidRPr="00B016D2" w:rsidRDefault="007D07EC" w:rsidP="007128DA">
      <w:pPr>
        <w:pStyle w:val="3-BodyText"/>
        <w:rPr>
          <w:rFonts w:eastAsia="Calibri"/>
        </w:rPr>
      </w:pPr>
      <w:r w:rsidRPr="00787A0B">
        <w:rPr>
          <w:rFonts w:eastAsia="Calibri"/>
        </w:rPr>
        <w:t>The therapeutic conclusion presented in the submission was supported by a statistically significant difference in the hazard of invasive disease</w:t>
      </w:r>
      <w:r w:rsidR="00014C14" w:rsidRPr="00787A0B">
        <w:rPr>
          <w:rFonts w:eastAsia="Calibri"/>
        </w:rPr>
        <w:t xml:space="preserve"> recurrence</w:t>
      </w:r>
      <w:r w:rsidRPr="00787A0B">
        <w:rPr>
          <w:rFonts w:eastAsia="Calibri"/>
        </w:rPr>
        <w:t xml:space="preserve"> or death between patients receiving abemaciclib in combination with ET versus those receiving ET alone. However,</w:t>
      </w:r>
      <w:r w:rsidR="00514C94">
        <w:rPr>
          <w:rFonts w:eastAsia="Calibri"/>
        </w:rPr>
        <w:t xml:space="preserve"> </w:t>
      </w:r>
      <w:r w:rsidR="00514C94" w:rsidRPr="00FA0201">
        <w:rPr>
          <w:rFonts w:eastAsia="Calibri"/>
          <w:iCs/>
        </w:rPr>
        <w:t>the evaluation considered</w:t>
      </w:r>
      <w:r w:rsidRPr="00787A0B">
        <w:rPr>
          <w:rFonts w:eastAsia="Calibri"/>
        </w:rPr>
        <w:t xml:space="preserve"> it remains unclear </w:t>
      </w:r>
      <w:r w:rsidR="00014C14" w:rsidRPr="00787A0B">
        <w:rPr>
          <w:rFonts w:eastAsia="Calibri"/>
        </w:rPr>
        <w:t>if</w:t>
      </w:r>
      <w:r w:rsidRPr="00787A0B">
        <w:rPr>
          <w:rFonts w:eastAsia="Calibri"/>
        </w:rPr>
        <w:t xml:space="preserve"> the difference observed would translate into clinically meaningful OS benefit.</w:t>
      </w:r>
      <w:r w:rsidR="00221765" w:rsidRPr="00787A0B">
        <w:rPr>
          <w:rFonts w:eastAsia="Calibri"/>
        </w:rPr>
        <w:t xml:space="preserve"> When the previous submission was considered, the PBAC determined that the claim of superior comparative effectiveness was uncertain but supportable (</w:t>
      </w:r>
      <w:r w:rsidR="00987EF8">
        <w:rPr>
          <w:rFonts w:eastAsia="Calibri"/>
        </w:rPr>
        <w:t>p</w:t>
      </w:r>
      <w:r w:rsidR="00221765" w:rsidRPr="00787A0B">
        <w:rPr>
          <w:rFonts w:eastAsia="Calibri"/>
        </w:rPr>
        <w:t>ara</w:t>
      </w:r>
      <w:r w:rsidR="00987EF8">
        <w:rPr>
          <w:rFonts w:eastAsia="Calibri"/>
        </w:rPr>
        <w:t>graph</w:t>
      </w:r>
      <w:r w:rsidR="00221765" w:rsidRPr="00787A0B">
        <w:rPr>
          <w:rFonts w:eastAsia="Calibri"/>
        </w:rPr>
        <w:t xml:space="preserve"> 6.22, Abemaciclib PSD, March 2022). The</w:t>
      </w:r>
      <w:r w:rsidR="00514C94">
        <w:rPr>
          <w:rFonts w:eastAsia="Calibri"/>
        </w:rPr>
        <w:t xml:space="preserve"> </w:t>
      </w:r>
      <w:r w:rsidR="00514C94" w:rsidRPr="00FA0201">
        <w:rPr>
          <w:rFonts w:eastAsia="Calibri"/>
          <w:iCs/>
        </w:rPr>
        <w:t>evaluation noted that</w:t>
      </w:r>
      <w:r w:rsidR="00221765" w:rsidRPr="00787A0B">
        <w:rPr>
          <w:rFonts w:eastAsia="Calibri"/>
        </w:rPr>
        <w:t xml:space="preserve"> updated results presented in the resubmission are largely consistent with those presented in the previous </w:t>
      </w:r>
      <w:r w:rsidR="00221765" w:rsidRPr="00B016D2">
        <w:rPr>
          <w:rFonts w:eastAsia="Calibri"/>
        </w:rPr>
        <w:t xml:space="preserve">submission at an earlier DCO for both ITT and cohort 1. </w:t>
      </w:r>
      <w:r w:rsidR="00514C94" w:rsidRPr="00B016D2">
        <w:rPr>
          <w:rFonts w:eastAsia="Calibri"/>
          <w:iCs/>
        </w:rPr>
        <w:t>The ESC considered that the updated clinical data does not alter the prior determination that superior comparative effectiveness of abemaciclib was uncertain but supportable.</w:t>
      </w:r>
    </w:p>
    <w:p w14:paraId="0C859DA8" w14:textId="6C4A7C6C" w:rsidR="00BE6F60" w:rsidRDefault="007128DA" w:rsidP="007128DA">
      <w:pPr>
        <w:pStyle w:val="3-BodyText"/>
        <w:rPr>
          <w:rFonts w:eastAsia="Calibri"/>
          <w:iCs/>
        </w:rPr>
      </w:pPr>
      <w:r w:rsidRPr="00B016D2">
        <w:rPr>
          <w:rFonts w:eastAsia="Calibri"/>
          <w:iCs/>
        </w:rPr>
        <w:t xml:space="preserve">The ESC noted that in the early breast cancer setting, with curative intent of treatments, it may take a significant period of time for abemaciclib to show a definitive </w:t>
      </w:r>
      <w:r w:rsidR="005E2436" w:rsidRPr="00B016D2">
        <w:rPr>
          <w:rFonts w:eastAsia="Calibri"/>
          <w:iCs/>
        </w:rPr>
        <w:t xml:space="preserve">survival </w:t>
      </w:r>
      <w:r w:rsidRPr="00B016D2">
        <w:rPr>
          <w:rFonts w:eastAsia="Calibri"/>
          <w:iCs/>
        </w:rPr>
        <w:t xml:space="preserve">benefit. The PSCR stated that the final OS analysis is planned at </w:t>
      </w:r>
      <w:r w:rsidR="00DC0E3F" w:rsidRPr="0001201E">
        <w:rPr>
          <w:rFonts w:eastAsia="Calibri"/>
          <w:iCs/>
          <w:color w:val="000000"/>
          <w:w w:val="15"/>
          <w:shd w:val="solid" w:color="000000" w:fill="000000"/>
          <w:fitText w:val="-20" w:id="-1229263616"/>
          <w14:textFill>
            <w14:solidFill>
              <w14:srgbClr w14:val="000000">
                <w14:alpha w14:val="100000"/>
              </w14:srgbClr>
            </w14:solidFill>
          </w14:textFill>
        </w:rPr>
        <w:t xml:space="preserve">|  </w:t>
      </w:r>
      <w:r w:rsidR="00DC0E3F" w:rsidRPr="0001201E">
        <w:rPr>
          <w:rFonts w:eastAsia="Calibri"/>
          <w:iCs/>
          <w:color w:val="000000"/>
          <w:spacing w:val="-69"/>
          <w:w w:val="15"/>
          <w:shd w:val="solid" w:color="000000" w:fill="000000"/>
          <w:fitText w:val="-20" w:id="-1229263616"/>
          <w14:textFill>
            <w14:solidFill>
              <w14:srgbClr w14:val="000000">
                <w14:alpha w14:val="100000"/>
              </w14:srgbClr>
            </w14:solidFill>
          </w14:textFill>
        </w:rPr>
        <w:t>|</w:t>
      </w:r>
      <w:r w:rsidRPr="00B016D2">
        <w:rPr>
          <w:rFonts w:eastAsia="Calibri"/>
          <w:iCs/>
        </w:rPr>
        <w:t xml:space="preserve"> events, or 10 years, with the next interim analysis planned at </w:t>
      </w:r>
      <w:r w:rsidR="00DC0E3F" w:rsidRPr="0001201E">
        <w:rPr>
          <w:rFonts w:eastAsia="Calibri"/>
          <w:iCs/>
          <w:color w:val="000000"/>
          <w:w w:val="15"/>
          <w:shd w:val="solid" w:color="000000" w:fill="000000"/>
          <w:fitText w:val="-20" w:id="-1229263615"/>
          <w14:textFill>
            <w14:solidFill>
              <w14:srgbClr w14:val="000000">
                <w14:alpha w14:val="100000"/>
              </w14:srgbClr>
            </w14:solidFill>
          </w14:textFill>
        </w:rPr>
        <w:t xml:space="preserve">|  </w:t>
      </w:r>
      <w:r w:rsidR="00DC0E3F" w:rsidRPr="0001201E">
        <w:rPr>
          <w:rFonts w:eastAsia="Calibri"/>
          <w:iCs/>
          <w:color w:val="000000"/>
          <w:spacing w:val="-69"/>
          <w:w w:val="15"/>
          <w:shd w:val="solid" w:color="000000" w:fill="000000"/>
          <w:fitText w:val="-20" w:id="-1229263615"/>
          <w14:textFill>
            <w14:solidFill>
              <w14:srgbClr w14:val="000000">
                <w14:alpha w14:val="100000"/>
              </w14:srgbClr>
            </w14:solidFill>
          </w14:textFill>
        </w:rPr>
        <w:t>|</w:t>
      </w:r>
      <w:r w:rsidRPr="00B016D2">
        <w:rPr>
          <w:rFonts w:eastAsia="Calibri"/>
          <w:iCs/>
        </w:rPr>
        <w:t xml:space="preserve"> events (currently </w:t>
      </w:r>
      <w:r w:rsidR="00DC0E3F" w:rsidRPr="0001201E">
        <w:rPr>
          <w:rFonts w:eastAsia="Calibri"/>
          <w:iCs/>
          <w:color w:val="000000"/>
          <w:w w:val="15"/>
          <w:shd w:val="solid" w:color="000000" w:fill="000000"/>
          <w:fitText w:val="-20" w:id="-1229263614"/>
          <w14:textFill>
            <w14:solidFill>
              <w14:srgbClr w14:val="000000">
                <w14:alpha w14:val="100000"/>
              </w14:srgbClr>
            </w14:solidFill>
          </w14:textFill>
        </w:rPr>
        <w:t xml:space="preserve">|  </w:t>
      </w:r>
      <w:r w:rsidR="00DC0E3F" w:rsidRPr="0001201E">
        <w:rPr>
          <w:rFonts w:eastAsia="Calibri"/>
          <w:iCs/>
          <w:color w:val="000000"/>
          <w:spacing w:val="-69"/>
          <w:w w:val="15"/>
          <w:shd w:val="solid" w:color="000000" w:fill="000000"/>
          <w:fitText w:val="-20" w:id="-1229263614"/>
          <w14:textFill>
            <w14:solidFill>
              <w14:srgbClr w14:val="000000">
                <w14:alpha w14:val="100000"/>
              </w14:srgbClr>
            </w14:solidFill>
          </w14:textFill>
        </w:rPr>
        <w:t>|</w:t>
      </w:r>
      <w:r w:rsidRPr="00B016D2">
        <w:rPr>
          <w:rFonts w:eastAsia="Calibri"/>
          <w:iCs/>
        </w:rPr>
        <w:t xml:space="preserve"> events at AFU2 in July 2022). The ESC noted that the OS HR was numerically</w:t>
      </w:r>
      <w:r w:rsidRPr="00FA0201">
        <w:rPr>
          <w:rFonts w:eastAsia="Calibri"/>
          <w:iCs/>
        </w:rPr>
        <w:t xml:space="preserve"> favourable for abemaciclib</w:t>
      </w:r>
      <w:r w:rsidR="003E2545" w:rsidRPr="00FA0201">
        <w:rPr>
          <w:rFonts w:eastAsia="Calibri"/>
          <w:iCs/>
        </w:rPr>
        <w:t xml:space="preserve"> + ET over ET alone</w:t>
      </w:r>
      <w:r w:rsidRPr="00FA0201">
        <w:rPr>
          <w:rFonts w:eastAsia="Calibri"/>
          <w:iCs/>
        </w:rPr>
        <w:t xml:space="preserve"> for</w:t>
      </w:r>
      <w:r w:rsidR="00D21EE9" w:rsidRPr="00FA0201">
        <w:rPr>
          <w:rFonts w:eastAsia="Calibri"/>
          <w:iCs/>
        </w:rPr>
        <w:t xml:space="preserve"> both</w:t>
      </w:r>
      <w:r w:rsidRPr="00FA0201">
        <w:rPr>
          <w:rFonts w:eastAsia="Calibri"/>
          <w:iCs/>
        </w:rPr>
        <w:t xml:space="preserve"> the ITT (</w:t>
      </w:r>
      <w:r w:rsidR="003E2545" w:rsidRPr="00FA0201">
        <w:rPr>
          <w:rFonts w:eastAsia="Calibri"/>
          <w:iCs/>
        </w:rPr>
        <w:t xml:space="preserve">HR = </w:t>
      </w:r>
      <w:r w:rsidRPr="00FA0201">
        <w:rPr>
          <w:rFonts w:eastAsia="Calibri"/>
          <w:iCs/>
        </w:rPr>
        <w:t>0.93) and</w:t>
      </w:r>
      <w:r w:rsidR="00FD13D5" w:rsidRPr="00FA0201">
        <w:rPr>
          <w:rFonts w:eastAsia="Calibri"/>
          <w:iCs/>
        </w:rPr>
        <w:t xml:space="preserve"> the Cohort 1 (</w:t>
      </w:r>
      <w:r w:rsidR="003E2545" w:rsidRPr="00FA0201">
        <w:rPr>
          <w:rFonts w:eastAsia="Calibri"/>
          <w:iCs/>
        </w:rPr>
        <w:t>HR = </w:t>
      </w:r>
      <w:r w:rsidR="00FD13D5" w:rsidRPr="00FA0201">
        <w:rPr>
          <w:rFonts w:eastAsia="Calibri"/>
          <w:iCs/>
        </w:rPr>
        <w:t>0.89) populations (</w:t>
      </w:r>
      <w:r w:rsidR="00FD13D5" w:rsidRPr="00FA0201">
        <w:rPr>
          <w:rFonts w:eastAsia="Calibri"/>
          <w:iCs/>
        </w:rPr>
        <w:fldChar w:fldCharType="begin"/>
      </w:r>
      <w:r w:rsidR="00FD13D5" w:rsidRPr="00FA0201">
        <w:rPr>
          <w:rFonts w:eastAsia="Calibri"/>
          <w:iCs/>
        </w:rPr>
        <w:instrText xml:space="preserve"> REF _Ref126681879 \h  \* MERGEFORMAT </w:instrText>
      </w:r>
      <w:r w:rsidR="00FD13D5" w:rsidRPr="00FA0201">
        <w:rPr>
          <w:rFonts w:eastAsia="Calibri"/>
          <w:iCs/>
        </w:rPr>
      </w:r>
      <w:r w:rsidR="00FD13D5" w:rsidRPr="00FA0201">
        <w:rPr>
          <w:rFonts w:eastAsia="Calibri"/>
          <w:iCs/>
        </w:rPr>
        <w:fldChar w:fldCharType="separate"/>
      </w:r>
      <w:r w:rsidR="0001201E" w:rsidRPr="0001201E">
        <w:rPr>
          <w:iCs/>
        </w:rPr>
        <w:t xml:space="preserve">Table </w:t>
      </w:r>
      <w:r w:rsidR="0001201E" w:rsidRPr="0001201E">
        <w:rPr>
          <w:iCs/>
          <w:noProof/>
        </w:rPr>
        <w:t>5</w:t>
      </w:r>
      <w:r w:rsidR="00FD13D5" w:rsidRPr="00FA0201">
        <w:rPr>
          <w:rFonts w:eastAsia="Calibri"/>
          <w:iCs/>
        </w:rPr>
        <w:fldChar w:fldCharType="end"/>
      </w:r>
      <w:r w:rsidR="00FD13D5" w:rsidRPr="00FA0201">
        <w:rPr>
          <w:rFonts w:eastAsia="Calibri"/>
          <w:iCs/>
        </w:rPr>
        <w:t>).</w:t>
      </w:r>
      <w:r w:rsidR="00BE6F60">
        <w:rPr>
          <w:rFonts w:eastAsia="Calibri"/>
          <w:iCs/>
        </w:rPr>
        <w:t xml:space="preserve"> </w:t>
      </w:r>
    </w:p>
    <w:p w14:paraId="0D134595" w14:textId="77777777" w:rsidR="009F626B" w:rsidRPr="009F626B" w:rsidRDefault="00BE6F60" w:rsidP="007D54ED">
      <w:pPr>
        <w:pStyle w:val="3-BodyText"/>
        <w:rPr>
          <w:rFonts w:eastAsia="Calibri"/>
          <w:iCs/>
        </w:rPr>
      </w:pPr>
      <w:r>
        <w:rPr>
          <w:rFonts w:eastAsia="Calibri"/>
        </w:rPr>
        <w:t xml:space="preserve">The PBAC </w:t>
      </w:r>
      <w:r w:rsidR="009F626B">
        <w:rPr>
          <w:rFonts w:eastAsia="Calibri"/>
        </w:rPr>
        <w:t>noted</w:t>
      </w:r>
      <w:r>
        <w:rPr>
          <w:rFonts w:eastAsia="Calibri"/>
        </w:rPr>
        <w:t xml:space="preserve"> </w:t>
      </w:r>
      <w:r w:rsidR="009F626B">
        <w:rPr>
          <w:rFonts w:eastAsia="Calibri"/>
        </w:rPr>
        <w:t xml:space="preserve">that </w:t>
      </w:r>
      <w:r>
        <w:rPr>
          <w:rFonts w:eastAsia="Calibri"/>
        </w:rPr>
        <w:t xml:space="preserve">the OS </w:t>
      </w:r>
      <w:r w:rsidR="00973B66">
        <w:rPr>
          <w:rFonts w:eastAsia="Calibri"/>
        </w:rPr>
        <w:t>data remain</w:t>
      </w:r>
      <w:r w:rsidR="009F626B">
        <w:rPr>
          <w:rFonts w:eastAsia="Calibri"/>
        </w:rPr>
        <w:t>ed</w:t>
      </w:r>
      <w:r w:rsidR="00973B66">
        <w:rPr>
          <w:rFonts w:eastAsia="Calibri"/>
        </w:rPr>
        <w:t xml:space="preserve"> immature and</w:t>
      </w:r>
      <w:r>
        <w:rPr>
          <w:rFonts w:eastAsia="Calibri"/>
        </w:rPr>
        <w:t xml:space="preserve"> there would be several years until final reporting and that in the meantime</w:t>
      </w:r>
      <w:r w:rsidR="009F626B">
        <w:rPr>
          <w:rFonts w:eastAsia="Calibri"/>
        </w:rPr>
        <w:t xml:space="preserve"> it considered</w:t>
      </w:r>
      <w:r>
        <w:rPr>
          <w:rFonts w:eastAsia="Calibri"/>
        </w:rPr>
        <w:t xml:space="preserve"> there was an unclear relationship between IDFS</w:t>
      </w:r>
      <w:r w:rsidR="00DF7A39">
        <w:rPr>
          <w:rFonts w:eastAsia="Calibri"/>
        </w:rPr>
        <w:t>/DRFS</w:t>
      </w:r>
      <w:r>
        <w:rPr>
          <w:rFonts w:eastAsia="Calibri"/>
        </w:rPr>
        <w:t xml:space="preserve"> and OS. </w:t>
      </w:r>
      <w:r w:rsidR="007D54ED">
        <w:rPr>
          <w:rFonts w:eastAsia="Calibri"/>
        </w:rPr>
        <w:t xml:space="preserve"> </w:t>
      </w:r>
    </w:p>
    <w:p w14:paraId="413A4D40" w14:textId="26FD2B64" w:rsidR="007128DA" w:rsidRPr="007D54ED" w:rsidRDefault="00DF7A39" w:rsidP="007D54ED">
      <w:pPr>
        <w:pStyle w:val="3-BodyText"/>
        <w:rPr>
          <w:rFonts w:eastAsia="Calibri"/>
          <w:iCs/>
        </w:rPr>
      </w:pPr>
      <w:r>
        <w:t xml:space="preserve">The PBAC </w:t>
      </w:r>
      <w:r w:rsidR="009F626B">
        <w:t xml:space="preserve">also </w:t>
      </w:r>
      <w:r>
        <w:t xml:space="preserve">noted that the updated annualised </w:t>
      </w:r>
      <w:r w:rsidRPr="009F626B">
        <w:t xml:space="preserve">HRs </w:t>
      </w:r>
      <w:r w:rsidR="009F626B" w:rsidRPr="009F626B">
        <w:t>(</w:t>
      </w:r>
      <w:r w:rsidR="009F626B" w:rsidRPr="009F626B">
        <w:fldChar w:fldCharType="begin"/>
      </w:r>
      <w:r w:rsidR="009F626B" w:rsidRPr="009F626B">
        <w:instrText xml:space="preserve"> REF _Ref130205373 \h  \* MERGEFORMAT </w:instrText>
      </w:r>
      <w:r w:rsidR="009F626B" w:rsidRPr="009F626B">
        <w:fldChar w:fldCharType="separate"/>
      </w:r>
      <w:r w:rsidR="0001201E" w:rsidRPr="0001201E">
        <w:t>Table 6</w:t>
      </w:r>
      <w:r w:rsidR="009F626B" w:rsidRPr="009F626B">
        <w:fldChar w:fldCharType="end"/>
      </w:r>
      <w:r w:rsidR="009F626B" w:rsidRPr="009F626B">
        <w:t>)</w:t>
      </w:r>
      <w:r w:rsidR="00841B6D">
        <w:t>, although based on small numbers of events and hence the confidence intervals for the HRs were wide,</w:t>
      </w:r>
      <w:r w:rsidR="009F626B" w:rsidRPr="009F626B">
        <w:t xml:space="preserve"> </w:t>
      </w:r>
      <w:r w:rsidRPr="009F626B">
        <w:t>indicated</w:t>
      </w:r>
      <w:r>
        <w:t xml:space="preserve"> that the </w:t>
      </w:r>
      <w:r w:rsidR="006E5793" w:rsidRPr="008343C1">
        <w:rPr>
          <w:lang w:val="en-GB"/>
        </w:rPr>
        <w:t>the magnitude of relative treatment effect appears to be maintained to approximately 4 years</w:t>
      </w:r>
      <w:r w:rsidR="006E5793">
        <w:t xml:space="preserve"> </w:t>
      </w:r>
      <w:r>
        <w:t xml:space="preserve">and considered that the difference in IDFS and </w:t>
      </w:r>
      <w:r>
        <w:lastRenderedPageBreak/>
        <w:t>DRFS observed for abemaciclib + ET versus ET alone at the updated data cut-off was likely to represent a clinically meaningful benefit</w:t>
      </w:r>
      <w:r w:rsidR="00973B66">
        <w:rPr>
          <w:rFonts w:eastAsia="Calibri"/>
        </w:rPr>
        <w:t>.</w:t>
      </w:r>
      <w:r w:rsidR="007D54ED">
        <w:rPr>
          <w:rFonts w:eastAsia="Calibri"/>
        </w:rPr>
        <w:t xml:space="preserve"> </w:t>
      </w:r>
      <w:r w:rsidR="00092201">
        <w:rPr>
          <w:rFonts w:eastAsia="Calibri"/>
        </w:rPr>
        <w:t>For the current submission</w:t>
      </w:r>
      <w:r w:rsidR="007D54ED">
        <w:rPr>
          <w:rFonts w:eastAsia="Calibri"/>
        </w:rPr>
        <w:t xml:space="preserve">, the PBAC considered that the claim </w:t>
      </w:r>
      <w:r w:rsidR="007D54ED">
        <w:rPr>
          <w:rFonts w:eastAsia="Calibri"/>
          <w:iCs/>
        </w:rPr>
        <w:t xml:space="preserve">of </w:t>
      </w:r>
      <w:r w:rsidR="00BE6F60" w:rsidRPr="007D54ED">
        <w:rPr>
          <w:rFonts w:eastAsia="Calibri"/>
          <w:iCs/>
        </w:rPr>
        <w:t>superior comparative effectiveness of abemaciclib was supportable.</w:t>
      </w:r>
    </w:p>
    <w:p w14:paraId="1D181702" w14:textId="7067C2D8" w:rsidR="005F7588" w:rsidRPr="007312D6" w:rsidRDefault="00514C94" w:rsidP="00B1583E">
      <w:pPr>
        <w:pStyle w:val="3-BodyText"/>
        <w:rPr>
          <w:rFonts w:eastAsia="Calibri"/>
        </w:rPr>
      </w:pPr>
      <w:r w:rsidRPr="00FA0201">
        <w:rPr>
          <w:rFonts w:eastAsia="Calibri"/>
          <w:iCs/>
        </w:rPr>
        <w:t xml:space="preserve">The evaluation noted that </w:t>
      </w:r>
      <w:r w:rsidR="007D07EC" w:rsidRPr="00787A0B">
        <w:rPr>
          <w:rFonts w:eastAsia="Calibri"/>
        </w:rPr>
        <w:t>abemaciclib in combination with ET appeared to be associated with inferior safety compared to ET alone</w:t>
      </w:r>
      <w:r w:rsidR="00221765" w:rsidRPr="00787A0B">
        <w:rPr>
          <w:rFonts w:eastAsia="Calibri"/>
        </w:rPr>
        <w:t xml:space="preserve"> with higher rates of grade </w:t>
      </w:r>
      <w:r w:rsidR="00221765" w:rsidRPr="00787A0B">
        <w:rPr>
          <w:rFonts w:eastAsia="Calibri" w:cstheme="minorHAnsi"/>
        </w:rPr>
        <w:t>≥</w:t>
      </w:r>
      <w:r w:rsidR="00221765" w:rsidRPr="00787A0B">
        <w:rPr>
          <w:rFonts w:eastAsia="Calibri"/>
        </w:rPr>
        <w:t xml:space="preserve"> 3 TEAEs, TE-SAEs, and AEs leading to discontinuation in patients taking abemaciclib. Based on the data cut-off from the previous submission, the PBAC </w:t>
      </w:r>
      <w:r w:rsidR="00D30F16" w:rsidRPr="00FA0201">
        <w:rPr>
          <w:rFonts w:eastAsia="Calibri"/>
          <w:iCs/>
        </w:rPr>
        <w:t>considered that</w:t>
      </w:r>
      <w:r w:rsidR="00221765" w:rsidRPr="00787A0B">
        <w:rPr>
          <w:rFonts w:eastAsia="Calibri"/>
        </w:rPr>
        <w:t xml:space="preserve"> that while abemaciclib was associated with inferior safety, there were no new safety signals and the safety profile of abemaciclib is manageable with monitoring and dose modifications (</w:t>
      </w:r>
      <w:r w:rsidR="00DD60A7">
        <w:rPr>
          <w:snapToGrid/>
          <w:lang w:val="en-US"/>
        </w:rPr>
        <w:t>p</w:t>
      </w:r>
      <w:r w:rsidR="00221765" w:rsidRPr="00787A0B">
        <w:rPr>
          <w:snapToGrid/>
          <w:lang w:val="en-US"/>
        </w:rPr>
        <w:t>ara</w:t>
      </w:r>
      <w:r w:rsidR="00DD60A7">
        <w:rPr>
          <w:snapToGrid/>
          <w:lang w:val="en-US"/>
        </w:rPr>
        <w:t>graph</w:t>
      </w:r>
      <w:r w:rsidR="00221765" w:rsidRPr="00787A0B">
        <w:rPr>
          <w:snapToGrid/>
          <w:lang w:val="en-US"/>
        </w:rPr>
        <w:t xml:space="preserve"> 6.23, Abemaciclib PSD, March 2022). </w:t>
      </w:r>
      <w:r w:rsidR="00D30F16" w:rsidRPr="00FA0201">
        <w:rPr>
          <w:iCs/>
          <w:snapToGrid/>
          <w:lang w:val="en-US"/>
        </w:rPr>
        <w:t>For the current submission, t</w:t>
      </w:r>
      <w:r w:rsidR="00221765" w:rsidRPr="00FA0201">
        <w:rPr>
          <w:iCs/>
          <w:snapToGrid/>
          <w:lang w:val="en-US"/>
        </w:rPr>
        <w:t>he</w:t>
      </w:r>
      <w:r>
        <w:rPr>
          <w:snapToGrid/>
          <w:lang w:val="en-US"/>
        </w:rPr>
        <w:t xml:space="preserve"> </w:t>
      </w:r>
      <w:r w:rsidR="00742342">
        <w:rPr>
          <w:iCs/>
          <w:snapToGrid/>
          <w:lang w:val="en-US"/>
        </w:rPr>
        <w:t>PBAC</w:t>
      </w:r>
      <w:r w:rsidR="00742342" w:rsidRPr="00FA0201">
        <w:rPr>
          <w:iCs/>
          <w:snapToGrid/>
          <w:lang w:val="en-US"/>
        </w:rPr>
        <w:t xml:space="preserve"> </w:t>
      </w:r>
      <w:r w:rsidRPr="00FA0201">
        <w:rPr>
          <w:iCs/>
          <w:snapToGrid/>
          <w:lang w:val="en-US"/>
        </w:rPr>
        <w:t xml:space="preserve">agreed with the </w:t>
      </w:r>
      <w:r w:rsidR="00742342">
        <w:rPr>
          <w:iCs/>
          <w:snapToGrid/>
          <w:lang w:val="en-US"/>
        </w:rPr>
        <w:t xml:space="preserve">ESC and the </w:t>
      </w:r>
      <w:r w:rsidRPr="00FA0201">
        <w:rPr>
          <w:iCs/>
          <w:snapToGrid/>
          <w:lang w:val="en-US"/>
        </w:rPr>
        <w:t>evaluation that the</w:t>
      </w:r>
      <w:r w:rsidR="00221765" w:rsidRPr="00787A0B">
        <w:rPr>
          <w:snapToGrid/>
          <w:lang w:val="en-US"/>
        </w:rPr>
        <w:t xml:space="preserve"> updated safety results do not change this conclusion</w:t>
      </w:r>
      <w:r w:rsidR="00B1583E" w:rsidRPr="00787A0B">
        <w:rPr>
          <w:snapToGrid/>
          <w:lang w:val="en-US"/>
        </w:rPr>
        <w:t>.</w:t>
      </w:r>
      <w:r w:rsidR="00742342">
        <w:rPr>
          <w:snapToGrid/>
          <w:lang w:val="en-US"/>
        </w:rPr>
        <w:t xml:space="preserve"> </w:t>
      </w:r>
    </w:p>
    <w:p w14:paraId="0A6FD128" w14:textId="77777777" w:rsidR="00DC40F5" w:rsidRPr="00C9624D" w:rsidRDefault="00DC40F5" w:rsidP="00DC40F5">
      <w:pPr>
        <w:pStyle w:val="4-SubsectionHeading"/>
      </w:pPr>
      <w:bookmarkStart w:id="37" w:name="_Toc22897645"/>
      <w:bookmarkStart w:id="38" w:name="_Toc107927631"/>
      <w:bookmarkStart w:id="39" w:name="_Toc124940308"/>
      <w:bookmarkStart w:id="40" w:name="_Ref104805160"/>
      <w:r w:rsidRPr="00C9624D">
        <w:t>Economic analysis</w:t>
      </w:r>
      <w:bookmarkEnd w:id="37"/>
      <w:bookmarkEnd w:id="38"/>
      <w:bookmarkEnd w:id="39"/>
      <w:r w:rsidRPr="00C9624D">
        <w:t xml:space="preserve"> </w:t>
      </w:r>
    </w:p>
    <w:p w14:paraId="4651905B" w14:textId="265AC911" w:rsidR="002D49A1" w:rsidRPr="002D49A1" w:rsidRDefault="00062CD0" w:rsidP="00062CD0">
      <w:pPr>
        <w:pStyle w:val="3-BodyText"/>
      </w:pPr>
      <w:r w:rsidRPr="008A3BDF">
        <w:t xml:space="preserve">The resubmission presented a modelled economic evaluation </w:t>
      </w:r>
      <w:r>
        <w:t xml:space="preserve">that </w:t>
      </w:r>
      <w:r w:rsidRPr="008A3BDF">
        <w:t>remain</w:t>
      </w:r>
      <w:r>
        <w:t>ed</w:t>
      </w:r>
      <w:r w:rsidRPr="008A3BDF">
        <w:t xml:space="preserve"> based on the monarchE randomised controlled trial with the addition of health states in the model that drew on separate economic evaluation</w:t>
      </w:r>
      <w:r>
        <w:t>s</w:t>
      </w:r>
      <w:r w:rsidRPr="008A3BDF">
        <w:t xml:space="preserve"> based on the MONARCH-2 and MONARCH-3 trials (and associated network meta-analyses). </w:t>
      </w:r>
      <w:r w:rsidRPr="00787A0B">
        <w:t>The structure of the model and approach to model metastatic disease</w:t>
      </w:r>
      <w:r w:rsidR="002D49A1">
        <w:t xml:space="preserve"> </w:t>
      </w:r>
      <w:r w:rsidRPr="00787A0B">
        <w:t>– with two metastatic recurrent substates where one-off costs and QALYs were applied on transition – was unchanged. Th</w:t>
      </w:r>
      <w:r w:rsidR="00FE18EC">
        <w:t xml:space="preserve">e </w:t>
      </w:r>
      <w:r w:rsidR="00FE18EC" w:rsidRPr="00FA0201">
        <w:rPr>
          <w:iCs/>
        </w:rPr>
        <w:t>evaluation considered that</w:t>
      </w:r>
      <w:r w:rsidR="00FE18EC">
        <w:t xml:space="preserve"> th</w:t>
      </w:r>
      <w:r w:rsidRPr="00787A0B">
        <w:t>is may not be reasonable, as this approach was previously considered to add unwarranted complexity and</w:t>
      </w:r>
      <w:r w:rsidR="002D49A1">
        <w:t xml:space="preserve"> </w:t>
      </w:r>
      <w:r w:rsidR="002D49A1" w:rsidRPr="00FA0201">
        <w:rPr>
          <w:iCs/>
        </w:rPr>
        <w:t>the one-off costs and QALYs applied on transition to the metastatic recurrence sub-states was not justified due to transitivity issues</w:t>
      </w:r>
      <w:r w:rsidRPr="00787A0B">
        <w:t xml:space="preserve"> (para</w:t>
      </w:r>
      <w:r w:rsidR="00DD60A7">
        <w:t>graph</w:t>
      </w:r>
      <w:r w:rsidRPr="00787A0B">
        <w:t xml:space="preserve"> 6.32, Abemaciclib PSD, March 2022)</w:t>
      </w:r>
      <w:r w:rsidR="00706151">
        <w:rPr>
          <w:iCs/>
        </w:rPr>
        <w:t xml:space="preserve">. </w:t>
      </w:r>
    </w:p>
    <w:p w14:paraId="572790D7" w14:textId="1893C014" w:rsidR="00062CD0" w:rsidRPr="008A3BDF" w:rsidRDefault="00706151" w:rsidP="00062CD0">
      <w:pPr>
        <w:pStyle w:val="3-BodyText"/>
      </w:pPr>
      <w:r>
        <w:t xml:space="preserve">The resubmission did not present a stepped economic evaluation. </w:t>
      </w:r>
      <w:r w:rsidRPr="00787A0B">
        <w:rPr>
          <w:iCs/>
        </w:rPr>
        <w:t>Th</w:t>
      </w:r>
      <w:r w:rsidR="00FE18EC">
        <w:rPr>
          <w:iCs/>
        </w:rPr>
        <w:t xml:space="preserve">e </w:t>
      </w:r>
      <w:r w:rsidR="00FE18EC" w:rsidRPr="00FA0201">
        <w:t xml:space="preserve">evaluation considered </w:t>
      </w:r>
      <w:r w:rsidR="00297CA6" w:rsidRPr="00FA0201">
        <w:t xml:space="preserve">that </w:t>
      </w:r>
      <w:r w:rsidR="00104622">
        <w:t>a stepped analysis would be informative</w:t>
      </w:r>
      <w:r w:rsidR="00FE18EC">
        <w:rPr>
          <w:iCs/>
        </w:rPr>
        <w:t>,</w:t>
      </w:r>
      <w:r w:rsidRPr="00787A0B">
        <w:rPr>
          <w:iCs/>
        </w:rPr>
        <w:t xml:space="preserve"> as the analysis remains highly dependent on modelled assumptions including extrapolation of IDFS and generation of outcomes in metastatic recurrence.</w:t>
      </w:r>
    </w:p>
    <w:p w14:paraId="373A172A" w14:textId="32E47095" w:rsidR="002D49A1" w:rsidRDefault="00062CD0" w:rsidP="00062CD0">
      <w:pPr>
        <w:pStyle w:val="3-BodyText"/>
      </w:pPr>
      <w:r w:rsidRPr="008A3BDF">
        <w:t>Key changes from the previous submission include</w:t>
      </w:r>
      <w:r w:rsidR="002D49A1">
        <w:t>:</w:t>
      </w:r>
      <w:r w:rsidRPr="008A3BDF">
        <w:t xml:space="preserve"> </w:t>
      </w:r>
    </w:p>
    <w:p w14:paraId="5A255A4A" w14:textId="00BFE1A5" w:rsidR="002D49A1" w:rsidRDefault="002D49A1" w:rsidP="007312D6">
      <w:pPr>
        <w:pStyle w:val="3-BodyText"/>
        <w:numPr>
          <w:ilvl w:val="0"/>
          <w:numId w:val="19"/>
        </w:numPr>
        <w:ind w:left="1134"/>
      </w:pPr>
      <w:r>
        <w:t>R</w:t>
      </w:r>
      <w:r w:rsidR="00062CD0">
        <w:t>estricting the population modelled to reflect C</w:t>
      </w:r>
      <w:r w:rsidR="00062CD0" w:rsidRPr="008A3BDF">
        <w:t>ohort 1 of monarchE (</w:t>
      </w:r>
      <w:r w:rsidR="00062CD0">
        <w:t>rather than the</w:t>
      </w:r>
      <w:r w:rsidR="00062CD0" w:rsidRPr="008A3BDF">
        <w:t xml:space="preserve"> ITT used</w:t>
      </w:r>
      <w:r w:rsidR="00062CD0">
        <w:t xml:space="preserve"> previously</w:t>
      </w:r>
      <w:r w:rsidR="00062CD0" w:rsidRPr="008A3BDF">
        <w:t>)</w:t>
      </w:r>
      <w:r w:rsidR="003150D9">
        <w:t>;</w:t>
      </w:r>
      <w:r w:rsidR="00062CD0" w:rsidRPr="008A3BDF">
        <w:t xml:space="preserve"> </w:t>
      </w:r>
    </w:p>
    <w:p w14:paraId="3E9E5616" w14:textId="22DC313D" w:rsidR="003150D9" w:rsidRDefault="002D49A1" w:rsidP="007312D6">
      <w:pPr>
        <w:pStyle w:val="3-BodyText"/>
        <w:numPr>
          <w:ilvl w:val="0"/>
          <w:numId w:val="19"/>
        </w:numPr>
        <w:ind w:left="1134"/>
      </w:pPr>
      <w:r>
        <w:t>A</w:t>
      </w:r>
      <w:r w:rsidR="00062CD0" w:rsidRPr="008A3BDF">
        <w:t xml:space="preserve"> 10-year reduction in time horizon (</w:t>
      </w:r>
      <w:r w:rsidR="00062CD0">
        <w:t xml:space="preserve">from </w:t>
      </w:r>
      <w:r w:rsidR="00062CD0" w:rsidRPr="008A3BDF">
        <w:t>40 to 30 years)</w:t>
      </w:r>
      <w:r w:rsidR="003150D9">
        <w:t>;</w:t>
      </w:r>
      <w:r w:rsidR="00062CD0" w:rsidRPr="008A3BDF">
        <w:t xml:space="preserve"> </w:t>
      </w:r>
    </w:p>
    <w:p w14:paraId="0C49D73B" w14:textId="30C85376" w:rsidR="003150D9" w:rsidRDefault="003150D9" w:rsidP="007312D6">
      <w:pPr>
        <w:pStyle w:val="3-BodyText"/>
        <w:numPr>
          <w:ilvl w:val="0"/>
          <w:numId w:val="19"/>
        </w:numPr>
        <w:ind w:left="1134"/>
      </w:pPr>
      <w:r>
        <w:t>A</w:t>
      </w:r>
      <w:r w:rsidR="00062CD0" w:rsidRPr="008A3BDF">
        <w:t xml:space="preserve"> reduction in the treatment effect waning period (from Year 8-38 to Year 7</w:t>
      </w:r>
      <w:r>
        <w:noBreakHyphen/>
      </w:r>
      <w:r w:rsidR="00062CD0" w:rsidRPr="008A3BDF">
        <w:t>28.9)</w:t>
      </w:r>
      <w:r>
        <w:t>;</w:t>
      </w:r>
      <w:r w:rsidR="00062CD0" w:rsidRPr="008A3BDF">
        <w:t xml:space="preserve"> </w:t>
      </w:r>
    </w:p>
    <w:p w14:paraId="38645F9C" w14:textId="1C58CBEE" w:rsidR="003150D9" w:rsidRDefault="003150D9" w:rsidP="007312D6">
      <w:pPr>
        <w:pStyle w:val="3-BodyText"/>
        <w:numPr>
          <w:ilvl w:val="0"/>
          <w:numId w:val="19"/>
        </w:numPr>
        <w:ind w:left="1134"/>
      </w:pPr>
      <w:r>
        <w:t>T</w:t>
      </w:r>
      <w:r w:rsidR="00062CD0" w:rsidRPr="008A3BDF">
        <w:t>he parametric model selection of IDFS extrapolation (from Weibull to log-logistic)</w:t>
      </w:r>
      <w:r>
        <w:t>;</w:t>
      </w:r>
      <w:r w:rsidR="00062CD0" w:rsidRPr="008A3BDF">
        <w:t xml:space="preserve"> </w:t>
      </w:r>
    </w:p>
    <w:p w14:paraId="16913B17" w14:textId="15942555" w:rsidR="003150D9" w:rsidRDefault="003150D9" w:rsidP="007312D6">
      <w:pPr>
        <w:pStyle w:val="3-BodyText"/>
        <w:numPr>
          <w:ilvl w:val="0"/>
          <w:numId w:val="19"/>
        </w:numPr>
        <w:ind w:left="1134"/>
      </w:pPr>
      <w:r>
        <w:t>T</w:t>
      </w:r>
      <w:r w:rsidR="00062CD0" w:rsidRPr="008A3BDF">
        <w:t xml:space="preserve">he removal of the calibration of outcomes in the endocrine-sensitive metastatic breast cancer (ES-MBC) setting. </w:t>
      </w:r>
    </w:p>
    <w:p w14:paraId="23EC7A60" w14:textId="2F83B046" w:rsidR="00062CD0" w:rsidRPr="00B253EC" w:rsidRDefault="00062CD0" w:rsidP="003150D9">
      <w:pPr>
        <w:pStyle w:val="3-BodyText"/>
        <w:numPr>
          <w:ilvl w:val="0"/>
          <w:numId w:val="0"/>
        </w:numPr>
        <w:ind w:left="709"/>
      </w:pPr>
      <w:r w:rsidRPr="00787A0B">
        <w:lastRenderedPageBreak/>
        <w:t xml:space="preserve">As described </w:t>
      </w:r>
      <w:r w:rsidR="00297CA6">
        <w:t xml:space="preserve">in </w:t>
      </w:r>
      <w:r w:rsidR="001977F1" w:rsidRPr="00787A0B">
        <w:rPr>
          <w:highlight w:val="yellow"/>
        </w:rPr>
        <w:fldChar w:fldCharType="begin"/>
      </w:r>
      <w:r w:rsidR="001977F1" w:rsidRPr="00787A0B">
        <w:instrText xml:space="preserve"> REF _Ref124172041 \h </w:instrText>
      </w:r>
      <w:r w:rsidR="001977F1" w:rsidRPr="00787A0B">
        <w:rPr>
          <w:highlight w:val="yellow"/>
        </w:rPr>
        <w:instrText xml:space="preserve"> \* MERGEFORMAT </w:instrText>
      </w:r>
      <w:r w:rsidR="001977F1" w:rsidRPr="00787A0B">
        <w:rPr>
          <w:highlight w:val="yellow"/>
        </w:rPr>
      </w:r>
      <w:r w:rsidR="001977F1" w:rsidRPr="00787A0B">
        <w:rPr>
          <w:highlight w:val="yellow"/>
        </w:rPr>
        <w:fldChar w:fldCharType="separate"/>
      </w:r>
      <w:r w:rsidR="0001201E">
        <w:t xml:space="preserve">Table </w:t>
      </w:r>
      <w:r w:rsidR="0001201E">
        <w:rPr>
          <w:noProof/>
        </w:rPr>
        <w:t>2</w:t>
      </w:r>
      <w:r w:rsidR="001977F1" w:rsidRPr="00787A0B">
        <w:rPr>
          <w:highlight w:val="yellow"/>
        </w:rPr>
        <w:fldChar w:fldCharType="end"/>
      </w:r>
      <w:r w:rsidRPr="00787A0B">
        <w:t xml:space="preserve">, a number of these changes were in response to concerns raised during the previous PBAC consideration. </w:t>
      </w:r>
    </w:p>
    <w:p w14:paraId="421F686D" w14:textId="1B97B44B" w:rsidR="00062CD0" w:rsidRPr="008A3BDF" w:rsidRDefault="00062CD0" w:rsidP="00062CD0">
      <w:pPr>
        <w:pStyle w:val="3-BodyText"/>
      </w:pPr>
      <w:r w:rsidRPr="008A3BDF">
        <w:t xml:space="preserve">The key components of the economic evaluation comparing abemaciclib + ET with ET alone are presented in </w:t>
      </w:r>
      <w:r w:rsidRPr="008A3BDF">
        <w:fldChar w:fldCharType="begin"/>
      </w:r>
      <w:r w:rsidRPr="008A3BDF">
        <w:instrText xml:space="preserve"> REF _Ref123834948 \h </w:instrText>
      </w:r>
      <w:r w:rsidRPr="008A3BDF">
        <w:fldChar w:fldCharType="separate"/>
      </w:r>
      <w:r w:rsidR="0001201E" w:rsidRPr="008A3BDF">
        <w:t xml:space="preserve">Table </w:t>
      </w:r>
      <w:r w:rsidR="0001201E">
        <w:rPr>
          <w:noProof/>
        </w:rPr>
        <w:t>9</w:t>
      </w:r>
      <w:r w:rsidRPr="008A3BDF">
        <w:fldChar w:fldCharType="end"/>
      </w:r>
      <w:r w:rsidRPr="008A3BDF">
        <w:t xml:space="preserve">. </w:t>
      </w:r>
    </w:p>
    <w:p w14:paraId="49F5F63D" w14:textId="29473AEB" w:rsidR="00062CD0" w:rsidRPr="008A3BDF" w:rsidRDefault="00062CD0" w:rsidP="00B016D2">
      <w:pPr>
        <w:pStyle w:val="Caption"/>
        <w:keepNext w:val="0"/>
        <w:jc w:val="left"/>
        <w:rPr>
          <w:rStyle w:val="CommentReference"/>
          <w:b/>
          <w:szCs w:val="24"/>
        </w:rPr>
      </w:pPr>
      <w:bookmarkStart w:id="41" w:name="_Ref123834948"/>
      <w:r w:rsidRPr="008A3BDF">
        <w:t xml:space="preserve">Table </w:t>
      </w:r>
      <w:fldSimple w:instr=" SEQ Table \* ARABIC ">
        <w:r w:rsidR="0001201E">
          <w:rPr>
            <w:noProof/>
          </w:rPr>
          <w:t>9</w:t>
        </w:r>
      </w:fldSimple>
      <w:bookmarkEnd w:id="41"/>
      <w:r w:rsidRPr="008A3BDF">
        <w:t>:</w:t>
      </w:r>
      <w:r w:rsidRPr="008A3BD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5"/>
        <w:gridCol w:w="7322"/>
      </w:tblGrid>
      <w:tr w:rsidR="00062CD0" w:rsidRPr="008A3BDF" w14:paraId="6DD58D9E" w14:textId="77777777" w:rsidTr="00062CD0">
        <w:trPr>
          <w:tblHeader/>
        </w:trPr>
        <w:tc>
          <w:tcPr>
            <w:tcW w:w="940" w:type="pct"/>
            <w:shd w:val="clear" w:color="auto" w:fill="auto"/>
            <w:vAlign w:val="center"/>
          </w:tcPr>
          <w:p w14:paraId="7BF4576D" w14:textId="77777777" w:rsidR="00062CD0" w:rsidRPr="008A3BDF" w:rsidRDefault="00062CD0" w:rsidP="00B016D2">
            <w:pPr>
              <w:pStyle w:val="In-tableHeading"/>
              <w:keepNext w:val="0"/>
              <w:rPr>
                <w:lang w:val="en-AU"/>
              </w:rPr>
            </w:pPr>
            <w:r w:rsidRPr="008A3BDF">
              <w:rPr>
                <w:lang w:val="en-AU"/>
              </w:rPr>
              <w:t>Component</w:t>
            </w:r>
          </w:p>
        </w:tc>
        <w:tc>
          <w:tcPr>
            <w:tcW w:w="4060" w:type="pct"/>
            <w:shd w:val="clear" w:color="auto" w:fill="auto"/>
            <w:vAlign w:val="center"/>
          </w:tcPr>
          <w:p w14:paraId="67CAE58F" w14:textId="77777777" w:rsidR="00062CD0" w:rsidRPr="008A3BDF" w:rsidRDefault="00062CD0" w:rsidP="00B016D2">
            <w:pPr>
              <w:pStyle w:val="In-tableHeading"/>
              <w:keepNext w:val="0"/>
              <w:rPr>
                <w:lang w:val="en-AU"/>
              </w:rPr>
            </w:pPr>
            <w:r w:rsidRPr="008A3BDF">
              <w:rPr>
                <w:lang w:val="en-AU"/>
              </w:rPr>
              <w:t>Summary</w:t>
            </w:r>
          </w:p>
        </w:tc>
      </w:tr>
      <w:tr w:rsidR="00062CD0" w:rsidRPr="008A3BDF" w14:paraId="5D137FEA" w14:textId="77777777" w:rsidTr="00062CD0">
        <w:tc>
          <w:tcPr>
            <w:tcW w:w="940" w:type="pct"/>
            <w:shd w:val="clear" w:color="auto" w:fill="B8CCE4" w:themeFill="accent1" w:themeFillTint="66"/>
            <w:vAlign w:val="center"/>
          </w:tcPr>
          <w:p w14:paraId="34A6CB1A" w14:textId="77777777" w:rsidR="00062CD0" w:rsidRPr="008A3BDF" w:rsidRDefault="00062CD0" w:rsidP="00B016D2">
            <w:pPr>
              <w:pStyle w:val="TableText0"/>
              <w:keepNext w:val="0"/>
            </w:pPr>
            <w:r w:rsidRPr="008A3BDF">
              <w:t>Treatments</w:t>
            </w:r>
          </w:p>
        </w:tc>
        <w:tc>
          <w:tcPr>
            <w:tcW w:w="4060" w:type="pct"/>
            <w:shd w:val="clear" w:color="auto" w:fill="B8CCE4" w:themeFill="accent1" w:themeFillTint="66"/>
            <w:vAlign w:val="center"/>
          </w:tcPr>
          <w:p w14:paraId="7DCA8314" w14:textId="77777777" w:rsidR="00062CD0" w:rsidRPr="008A3BDF" w:rsidRDefault="00062CD0" w:rsidP="00B016D2">
            <w:pPr>
              <w:pStyle w:val="TableText0"/>
              <w:keepNext w:val="0"/>
            </w:pPr>
            <w:r w:rsidRPr="008A3BDF">
              <w:t>Abemaciclib + ET vs ET</w:t>
            </w:r>
          </w:p>
        </w:tc>
      </w:tr>
      <w:tr w:rsidR="00062CD0" w:rsidRPr="008A3BDF" w14:paraId="15D772B2" w14:textId="77777777" w:rsidTr="00062CD0">
        <w:tc>
          <w:tcPr>
            <w:tcW w:w="940" w:type="pct"/>
            <w:shd w:val="clear" w:color="auto" w:fill="auto"/>
            <w:vAlign w:val="center"/>
          </w:tcPr>
          <w:p w14:paraId="501F1258" w14:textId="77777777" w:rsidR="00062CD0" w:rsidRPr="008A3BDF" w:rsidRDefault="00062CD0" w:rsidP="00B016D2">
            <w:pPr>
              <w:pStyle w:val="TableText0"/>
              <w:keepNext w:val="0"/>
            </w:pPr>
            <w:r w:rsidRPr="008A3BDF">
              <w:t>Time horizon</w:t>
            </w:r>
          </w:p>
        </w:tc>
        <w:tc>
          <w:tcPr>
            <w:tcW w:w="4060" w:type="pct"/>
            <w:shd w:val="clear" w:color="auto" w:fill="auto"/>
            <w:vAlign w:val="center"/>
          </w:tcPr>
          <w:p w14:paraId="530F87BE" w14:textId="74FD9F17" w:rsidR="00062CD0" w:rsidRPr="008A3BDF" w:rsidRDefault="00062CD0" w:rsidP="00B016D2">
            <w:pPr>
              <w:pStyle w:val="TableText0"/>
              <w:keepNext w:val="0"/>
              <w:rPr>
                <w:i/>
              </w:rPr>
            </w:pPr>
            <w:r w:rsidRPr="008A3BDF">
              <w:t xml:space="preserve">30 years in the model base case </w:t>
            </w:r>
            <w:r w:rsidRPr="008A3BDF">
              <w:rPr>
                <w:shd w:val="clear" w:color="auto" w:fill="B8CCE4" w:themeFill="accent1" w:themeFillTint="66"/>
              </w:rPr>
              <w:t>versus 27 months median follow-up in the monarchE trial</w:t>
            </w:r>
            <w:r w:rsidRPr="00787A0B">
              <w:t xml:space="preserve">. </w:t>
            </w:r>
            <w:r w:rsidR="007F5482" w:rsidRPr="00787A0B">
              <w:t xml:space="preserve">The </w:t>
            </w:r>
            <w:r w:rsidRPr="00787A0B">
              <w:t>PBAC previously considered that a 20-year time horizon is more reasonable in this model (para</w:t>
            </w:r>
            <w:r w:rsidR="00DD60A7">
              <w:t>graph</w:t>
            </w:r>
            <w:r w:rsidRPr="00787A0B">
              <w:t xml:space="preserve"> 7.11, Abemaciclib PSD, March 2022)</w:t>
            </w:r>
          </w:p>
        </w:tc>
      </w:tr>
      <w:tr w:rsidR="00062CD0" w:rsidRPr="008A3BDF" w14:paraId="52BCD149" w14:textId="77777777" w:rsidTr="00062CD0">
        <w:tc>
          <w:tcPr>
            <w:tcW w:w="940" w:type="pct"/>
            <w:shd w:val="clear" w:color="auto" w:fill="B8CCE4" w:themeFill="accent1" w:themeFillTint="66"/>
            <w:vAlign w:val="center"/>
          </w:tcPr>
          <w:p w14:paraId="0557D502" w14:textId="77777777" w:rsidR="00062CD0" w:rsidRPr="008A3BDF" w:rsidRDefault="00062CD0" w:rsidP="00B016D2">
            <w:pPr>
              <w:pStyle w:val="TableText0"/>
              <w:keepNext w:val="0"/>
            </w:pPr>
            <w:r w:rsidRPr="008A3BDF">
              <w:t>Outcomes</w:t>
            </w:r>
          </w:p>
        </w:tc>
        <w:tc>
          <w:tcPr>
            <w:tcW w:w="4060" w:type="pct"/>
            <w:shd w:val="clear" w:color="auto" w:fill="B8CCE4" w:themeFill="accent1" w:themeFillTint="66"/>
            <w:vAlign w:val="center"/>
          </w:tcPr>
          <w:p w14:paraId="15936600" w14:textId="77777777" w:rsidR="00062CD0" w:rsidRPr="008A3BDF" w:rsidRDefault="00062CD0" w:rsidP="00B016D2">
            <w:pPr>
              <w:pStyle w:val="TableText0"/>
              <w:keepNext w:val="0"/>
            </w:pPr>
            <w:r w:rsidRPr="008A3BDF">
              <w:t xml:space="preserve">Quality-adjusted life-years (QALYs). </w:t>
            </w:r>
            <w:r w:rsidRPr="00787A0B">
              <w:t>This is reasonable and unchanged from the previous submission.</w:t>
            </w:r>
            <w:r w:rsidRPr="008A3BDF">
              <w:t xml:space="preserve"> </w:t>
            </w:r>
          </w:p>
        </w:tc>
      </w:tr>
      <w:tr w:rsidR="00062CD0" w:rsidRPr="008A3BDF" w14:paraId="52786DC4" w14:textId="77777777" w:rsidTr="00062CD0">
        <w:tc>
          <w:tcPr>
            <w:tcW w:w="940" w:type="pct"/>
            <w:shd w:val="clear" w:color="auto" w:fill="B8CCE4" w:themeFill="accent1" w:themeFillTint="66"/>
            <w:vAlign w:val="center"/>
          </w:tcPr>
          <w:p w14:paraId="30B5BBB5" w14:textId="77777777" w:rsidR="00062CD0" w:rsidRPr="008A3BDF" w:rsidRDefault="00062CD0" w:rsidP="00B016D2">
            <w:pPr>
              <w:pStyle w:val="TableText0"/>
              <w:keepNext w:val="0"/>
            </w:pPr>
            <w:r w:rsidRPr="008A3BDF">
              <w:t>Methods used to generate results</w:t>
            </w:r>
          </w:p>
        </w:tc>
        <w:tc>
          <w:tcPr>
            <w:tcW w:w="4060" w:type="pct"/>
            <w:shd w:val="clear" w:color="auto" w:fill="B8CCE4" w:themeFill="accent1" w:themeFillTint="66"/>
            <w:vAlign w:val="center"/>
          </w:tcPr>
          <w:p w14:paraId="46EECE98" w14:textId="0ADD4068" w:rsidR="00062CD0" w:rsidRPr="008A3BDF" w:rsidRDefault="00062CD0" w:rsidP="00B016D2">
            <w:pPr>
              <w:pStyle w:val="TableText0"/>
              <w:keepNext w:val="0"/>
            </w:pPr>
            <w:r w:rsidRPr="008A3BDF">
              <w:t xml:space="preserve">Cohort expected value analysis (Markov model). </w:t>
            </w:r>
            <w:r w:rsidRPr="00787A0B">
              <w:t>This is reasonable and unchanged</w:t>
            </w:r>
            <w:r w:rsidR="00A811CC" w:rsidRPr="00787A0B">
              <w:t xml:space="preserve"> from the previous submission</w:t>
            </w:r>
            <w:r w:rsidRPr="00787A0B">
              <w:t>.</w:t>
            </w:r>
          </w:p>
        </w:tc>
      </w:tr>
      <w:tr w:rsidR="00062CD0" w:rsidRPr="008A3BDF" w14:paraId="4BF16DD3" w14:textId="77777777" w:rsidTr="00062CD0">
        <w:tc>
          <w:tcPr>
            <w:tcW w:w="940" w:type="pct"/>
            <w:shd w:val="clear" w:color="auto" w:fill="B8CCE4" w:themeFill="accent1" w:themeFillTint="66"/>
            <w:vAlign w:val="center"/>
          </w:tcPr>
          <w:p w14:paraId="7117DC28" w14:textId="77777777" w:rsidR="00062CD0" w:rsidRPr="008A3BDF" w:rsidRDefault="00062CD0" w:rsidP="00B016D2">
            <w:pPr>
              <w:pStyle w:val="TableText0"/>
              <w:keepNext w:val="0"/>
            </w:pPr>
            <w:r w:rsidRPr="008A3BDF">
              <w:t>Health states</w:t>
            </w:r>
          </w:p>
        </w:tc>
        <w:tc>
          <w:tcPr>
            <w:tcW w:w="4060" w:type="pct"/>
            <w:shd w:val="clear" w:color="auto" w:fill="B8CCE4" w:themeFill="accent1" w:themeFillTint="66"/>
            <w:vAlign w:val="center"/>
          </w:tcPr>
          <w:p w14:paraId="3B65D036" w14:textId="54FC7ABE" w:rsidR="00062CD0" w:rsidRPr="008A3BDF" w:rsidRDefault="00062CD0" w:rsidP="00B016D2">
            <w:pPr>
              <w:pStyle w:val="TableText0"/>
              <w:keepNext w:val="0"/>
            </w:pPr>
            <w:r w:rsidRPr="008A3BDF">
              <w:t>Five health states: Invasive disease-free survival; Non-metastatic recurrence (including three sub-states: second primary neoplasm</w:t>
            </w:r>
            <w:r w:rsidR="00244A0E" w:rsidRPr="00244A0E">
              <w:rPr>
                <w:vertAlign w:val="superscript"/>
              </w:rPr>
              <w:t>a</w:t>
            </w:r>
            <w:r w:rsidRPr="008A3BDF">
              <w:t>, locoregional recurrence and contralateral recurrence); Remission; Metastatic recurrence (including two sub-states: endocrine-resistant and endocrine-sensitive)</w:t>
            </w:r>
            <w:r w:rsidR="00244A0E" w:rsidRPr="00244A0E">
              <w:rPr>
                <w:vertAlign w:val="superscript"/>
              </w:rPr>
              <w:t>a</w:t>
            </w:r>
            <w:r w:rsidRPr="008A3BDF">
              <w:t>; and Dead</w:t>
            </w:r>
            <w:r w:rsidR="00244A0E" w:rsidRPr="00244A0E">
              <w:rPr>
                <w:vertAlign w:val="superscript"/>
              </w:rPr>
              <w:t>a</w:t>
            </w:r>
            <w:r w:rsidRPr="008A3BDF">
              <w:t xml:space="preserve">. </w:t>
            </w:r>
            <w:r w:rsidRPr="00787A0B">
              <w:t>This is unchanged which is</w:t>
            </w:r>
            <w:r w:rsidR="00A811CC" w:rsidRPr="00787A0B">
              <w:t xml:space="preserve"> likely</w:t>
            </w:r>
            <w:r w:rsidRPr="00787A0B">
              <w:t xml:space="preserve"> </w:t>
            </w:r>
            <w:r w:rsidR="00A811CC" w:rsidRPr="00787A0B">
              <w:t xml:space="preserve">not </w:t>
            </w:r>
            <w:r w:rsidRPr="00787A0B">
              <w:t>reasonable</w:t>
            </w:r>
            <w:r w:rsidR="00A811CC" w:rsidRPr="00787A0B">
              <w:t xml:space="preserve">. The </w:t>
            </w:r>
            <w:r w:rsidRPr="00787A0B">
              <w:t>ESC previously advised the two sub-health states in the metastatic setting added unwarranted complexity</w:t>
            </w:r>
            <w:r w:rsidR="00706151" w:rsidRPr="00787A0B">
              <w:t xml:space="preserve"> (para</w:t>
            </w:r>
            <w:r w:rsidR="00DD60A7">
              <w:t>graph</w:t>
            </w:r>
            <w:r w:rsidR="00706151" w:rsidRPr="00787A0B">
              <w:t xml:space="preserve"> 6.31, Abemaciclib PSD, March 2022).</w:t>
            </w:r>
          </w:p>
        </w:tc>
      </w:tr>
      <w:tr w:rsidR="00062CD0" w:rsidRPr="008A3BDF" w14:paraId="4E5D15C3" w14:textId="77777777" w:rsidTr="00062CD0">
        <w:tc>
          <w:tcPr>
            <w:tcW w:w="940" w:type="pct"/>
            <w:shd w:val="clear" w:color="auto" w:fill="B8CCE4" w:themeFill="accent1" w:themeFillTint="66"/>
            <w:vAlign w:val="center"/>
          </w:tcPr>
          <w:p w14:paraId="080F1910" w14:textId="77777777" w:rsidR="00062CD0" w:rsidRPr="008A3BDF" w:rsidRDefault="00062CD0" w:rsidP="00B016D2">
            <w:pPr>
              <w:pStyle w:val="TableText0"/>
              <w:keepNext w:val="0"/>
            </w:pPr>
            <w:r w:rsidRPr="008A3BDF">
              <w:t>Cycle length</w:t>
            </w:r>
          </w:p>
        </w:tc>
        <w:tc>
          <w:tcPr>
            <w:tcW w:w="4060" w:type="pct"/>
            <w:shd w:val="clear" w:color="auto" w:fill="B8CCE4" w:themeFill="accent1" w:themeFillTint="66"/>
            <w:vAlign w:val="center"/>
          </w:tcPr>
          <w:p w14:paraId="46413362" w14:textId="4A78A8C1" w:rsidR="00062CD0" w:rsidRPr="008A3BDF" w:rsidRDefault="00062CD0" w:rsidP="00B016D2">
            <w:pPr>
              <w:pStyle w:val="TableText0"/>
              <w:keepNext w:val="0"/>
              <w:rPr>
                <w:i/>
              </w:rPr>
            </w:pPr>
            <w:r w:rsidRPr="008A3BDF">
              <w:t xml:space="preserve">28 days. </w:t>
            </w:r>
            <w:r w:rsidRPr="00787A0B">
              <w:t>This is reasonable and unchanged</w:t>
            </w:r>
            <w:r w:rsidR="00A811CC" w:rsidRPr="00787A0B">
              <w:t xml:space="preserve"> from the previous submission</w:t>
            </w:r>
            <w:r w:rsidRPr="00787A0B">
              <w:t xml:space="preserve">. </w:t>
            </w:r>
          </w:p>
        </w:tc>
      </w:tr>
      <w:tr w:rsidR="00062CD0" w:rsidRPr="008A3BDF" w14:paraId="4127ED27" w14:textId="77777777" w:rsidTr="00062CD0">
        <w:tc>
          <w:tcPr>
            <w:tcW w:w="940" w:type="pct"/>
            <w:shd w:val="clear" w:color="auto" w:fill="B8CCE4" w:themeFill="accent1" w:themeFillTint="66"/>
            <w:vAlign w:val="center"/>
          </w:tcPr>
          <w:p w14:paraId="6418A78A" w14:textId="77777777" w:rsidR="00062CD0" w:rsidRPr="008A3BDF" w:rsidRDefault="00062CD0" w:rsidP="00B016D2">
            <w:pPr>
              <w:pStyle w:val="TableText0"/>
              <w:keepNext w:val="0"/>
            </w:pPr>
            <w:r w:rsidRPr="008A3BDF">
              <w:t>Transition probabilities</w:t>
            </w:r>
          </w:p>
        </w:tc>
        <w:tc>
          <w:tcPr>
            <w:tcW w:w="4060" w:type="pct"/>
            <w:shd w:val="clear" w:color="auto" w:fill="B8CCE4" w:themeFill="accent1" w:themeFillTint="66"/>
            <w:vAlign w:val="center"/>
          </w:tcPr>
          <w:p w14:paraId="20E040D6" w14:textId="334F8BB3" w:rsidR="00062CD0" w:rsidRPr="008A3BDF" w:rsidRDefault="00062CD0" w:rsidP="00B016D2">
            <w:pPr>
              <w:pStyle w:val="TableText0"/>
              <w:keepNext w:val="0"/>
            </w:pPr>
            <w:r w:rsidRPr="008A3BDF">
              <w:t xml:space="preserve">IDFS, recurrence type, OS without metastatic recurrence and TTD were sourced from </w:t>
            </w:r>
            <w:r w:rsidR="0041690E">
              <w:t>C</w:t>
            </w:r>
            <w:r w:rsidRPr="008A3BDF">
              <w:t xml:space="preserve">ohort 1, monarchE. The probability of recurrence in remission was based on Hamilton (2015). </w:t>
            </w:r>
          </w:p>
          <w:p w14:paraId="56241434" w14:textId="3DC39F43" w:rsidR="00062CD0" w:rsidRPr="008A3BDF" w:rsidRDefault="00062CD0" w:rsidP="00B016D2">
            <w:pPr>
              <w:pStyle w:val="TableText0"/>
              <w:keepNext w:val="0"/>
            </w:pPr>
            <w:r w:rsidRPr="008A3BDF">
              <w:t xml:space="preserve">As metastatic recurrence was modelled as an absorbing health state, one-off costs and QALYs were applied on transition, based on LYs (by progression status) generated in analyses of abemaciclib in the metastatic setting for each first-line metastatic treatment option included. These were weighted by the distribution of use with and without abemaciclib in the adjuvant setting. </w:t>
            </w:r>
            <w:r w:rsidRPr="00787A0B">
              <w:t>The majority of these were unchanged</w:t>
            </w:r>
            <w:r w:rsidR="00A811CC" w:rsidRPr="00787A0B">
              <w:t xml:space="preserve"> from the previous submission</w:t>
            </w:r>
            <w:r w:rsidRPr="00787A0B">
              <w:t>.</w:t>
            </w:r>
            <w:r w:rsidRPr="008A3BDF">
              <w:t xml:space="preserve">  </w:t>
            </w:r>
          </w:p>
        </w:tc>
      </w:tr>
      <w:tr w:rsidR="00062CD0" w:rsidRPr="008A3BDF" w14:paraId="2024D436" w14:textId="77777777" w:rsidTr="00062CD0">
        <w:tc>
          <w:tcPr>
            <w:tcW w:w="940" w:type="pct"/>
            <w:shd w:val="clear" w:color="auto" w:fill="auto"/>
            <w:vAlign w:val="center"/>
          </w:tcPr>
          <w:p w14:paraId="33C1B7FA" w14:textId="77777777" w:rsidR="00062CD0" w:rsidRPr="008A3BDF" w:rsidRDefault="00062CD0" w:rsidP="00B016D2">
            <w:pPr>
              <w:pStyle w:val="TableText0"/>
              <w:keepNext w:val="0"/>
            </w:pPr>
            <w:r w:rsidRPr="008A3BDF">
              <w:t>Extrapolation method</w:t>
            </w:r>
          </w:p>
        </w:tc>
        <w:tc>
          <w:tcPr>
            <w:tcW w:w="4060" w:type="pct"/>
            <w:shd w:val="clear" w:color="auto" w:fill="auto"/>
          </w:tcPr>
          <w:p w14:paraId="29BBBE40" w14:textId="3FDE03CB" w:rsidR="00062CD0" w:rsidRPr="008A3BDF" w:rsidRDefault="00062CD0" w:rsidP="00B016D2">
            <w:pPr>
              <w:pStyle w:val="TableText0"/>
              <w:keepNext w:val="0"/>
            </w:pPr>
            <w:r w:rsidRPr="008A3BDF">
              <w:t xml:space="preserve">Observed KM data were used in the model with extrapolation of </w:t>
            </w:r>
            <w:r w:rsidR="0041690E">
              <w:t>C</w:t>
            </w:r>
            <w:r w:rsidRPr="008A3BDF">
              <w:t xml:space="preserve">ohort 1, monarchE KM IDFS, OS without distant recurrence and TTD for ET (with or without adjuvant abemaciclib) data. IDFS data was not updated to a more recent data cut in the resubmission. </w:t>
            </w:r>
            <w:r w:rsidRPr="00787A0B">
              <w:t xml:space="preserve">Therefore, data used in the model remains based on a small number of events and may not provide a reliable basis for extrapolation. </w:t>
            </w:r>
            <w:r w:rsidRPr="008A3BDF">
              <w:t xml:space="preserve">Parametric model selection was based on an assessment of proportional hazards, goodness of fit statistics, clinical plausibility and previous PBAC consideration. </w:t>
            </w:r>
          </w:p>
          <w:p w14:paraId="462DE0DA" w14:textId="682C1BCB" w:rsidR="00270506" w:rsidRDefault="00062CD0" w:rsidP="00B016D2">
            <w:pPr>
              <w:pStyle w:val="TableText0"/>
              <w:keepNext w:val="0"/>
              <w:numPr>
                <w:ilvl w:val="0"/>
                <w:numId w:val="10"/>
              </w:numPr>
              <w:ind w:left="253" w:hanging="141"/>
            </w:pPr>
            <w:r w:rsidRPr="008A3BDF">
              <w:t xml:space="preserve">IDFS: a jointly fitted log-logistic distribution was used from month 32. </w:t>
            </w:r>
          </w:p>
          <w:p w14:paraId="7F333254" w14:textId="13F7CBA4" w:rsidR="000A4DA1" w:rsidRDefault="000A4DA1" w:rsidP="00B016D2">
            <w:pPr>
              <w:pStyle w:val="TableText0"/>
              <w:keepNext w:val="0"/>
              <w:ind w:left="112"/>
            </w:pPr>
            <w:r w:rsidRPr="00787A0B">
              <w:t xml:space="preserve">The ESC </w:t>
            </w:r>
            <w:r w:rsidR="00917631">
              <w:t xml:space="preserve">previously </w:t>
            </w:r>
            <w:r w:rsidRPr="00787A0B">
              <w:t>had noted that the crossing of the log-hazard plot suggests that joint modelling is not appropriate beyond the observed period for the IDFS (Table 7, Abemaciclib PSD, March 2022 PBAC Meeting). This crossing still occurs in the resubmission’s log-hazard plot. The resubmission had not presented any evidence to support a treatment effect beyond the observed period.</w:t>
            </w:r>
          </w:p>
          <w:p w14:paraId="647E2F22" w14:textId="400376A7" w:rsidR="00062CD0" w:rsidRDefault="00062CD0" w:rsidP="00B016D2">
            <w:pPr>
              <w:pStyle w:val="TableText0"/>
              <w:keepNext w:val="0"/>
              <w:numPr>
                <w:ilvl w:val="0"/>
                <w:numId w:val="10"/>
              </w:numPr>
              <w:ind w:left="253" w:hanging="141"/>
            </w:pPr>
            <w:r w:rsidRPr="008A3BDF">
              <w:t>OS without metastatic recurrence: a jointly fitted exponential distribution was used from month 34.7.</w:t>
            </w:r>
          </w:p>
          <w:p w14:paraId="1F3BAF0C" w14:textId="0D309518" w:rsidR="00B1583E" w:rsidRPr="008A3BDF" w:rsidRDefault="000A4DA1" w:rsidP="00B016D2">
            <w:pPr>
              <w:pStyle w:val="TableText0"/>
              <w:keepNext w:val="0"/>
              <w:numPr>
                <w:ilvl w:val="0"/>
                <w:numId w:val="10"/>
              </w:numPr>
              <w:ind w:left="253" w:hanging="141"/>
            </w:pPr>
            <w:r w:rsidRPr="008A3BDF">
              <w:t xml:space="preserve">IDFS and OS without metastatic recurrence were adjusted for a waning of the abemaciclib treatment effect (over Year 7−28.9). </w:t>
            </w:r>
          </w:p>
          <w:p w14:paraId="57E3299B" w14:textId="6C451A0E" w:rsidR="00062CD0" w:rsidRPr="00787A0B" w:rsidRDefault="00CB469E" w:rsidP="00B016D2">
            <w:pPr>
              <w:pStyle w:val="TableText0"/>
              <w:keepNext w:val="0"/>
              <w:numPr>
                <w:ilvl w:val="0"/>
                <w:numId w:val="10"/>
              </w:numPr>
              <w:ind w:left="253" w:hanging="141"/>
            </w:pPr>
            <w:r>
              <w:t xml:space="preserve">ET </w:t>
            </w:r>
            <w:r w:rsidR="00062CD0" w:rsidRPr="008A3BDF">
              <w:t xml:space="preserve">TTD: independently fitted models were used after all of the observed KM TTD. Hazards spline models with two knots were used for both arms. </w:t>
            </w:r>
          </w:p>
          <w:p w14:paraId="40BFFB9F" w14:textId="099463B3" w:rsidR="00062CD0" w:rsidRPr="008A3BDF" w:rsidRDefault="00270506" w:rsidP="00B016D2">
            <w:pPr>
              <w:pStyle w:val="TableText0"/>
              <w:keepNext w:val="0"/>
              <w:numPr>
                <w:ilvl w:val="0"/>
                <w:numId w:val="10"/>
              </w:numPr>
              <w:ind w:left="253" w:hanging="141"/>
              <w:rPr>
                <w:i/>
              </w:rPr>
            </w:pPr>
            <w:r w:rsidRPr="008A3BDF">
              <w:t>All extrapolations were adjusted for background mortality</w:t>
            </w:r>
            <w:r w:rsidRPr="008A3BDF" w:rsidDel="00270506">
              <w:t xml:space="preserve"> </w:t>
            </w:r>
          </w:p>
        </w:tc>
      </w:tr>
      <w:tr w:rsidR="00062CD0" w:rsidRPr="008A3BDF" w14:paraId="5CC8C3E6" w14:textId="77777777" w:rsidTr="00062CD0">
        <w:tc>
          <w:tcPr>
            <w:tcW w:w="940" w:type="pct"/>
            <w:shd w:val="clear" w:color="auto" w:fill="auto"/>
            <w:vAlign w:val="center"/>
          </w:tcPr>
          <w:p w14:paraId="3FEDE01A" w14:textId="77777777" w:rsidR="00062CD0" w:rsidRPr="008A3BDF" w:rsidRDefault="00062CD0" w:rsidP="00B016D2">
            <w:pPr>
              <w:pStyle w:val="TableText0"/>
              <w:keepNext w:val="0"/>
            </w:pPr>
            <w:r w:rsidRPr="008A3BDF">
              <w:t>Health related quality of life</w:t>
            </w:r>
          </w:p>
        </w:tc>
        <w:tc>
          <w:tcPr>
            <w:tcW w:w="4060" w:type="pct"/>
            <w:shd w:val="clear" w:color="auto" w:fill="auto"/>
            <w:vAlign w:val="center"/>
          </w:tcPr>
          <w:p w14:paraId="23BB2009" w14:textId="434454DE" w:rsidR="00062CD0" w:rsidRPr="008A3BDF" w:rsidRDefault="00062CD0" w:rsidP="00B016D2">
            <w:pPr>
              <w:pStyle w:val="TableText0"/>
              <w:keepNext w:val="0"/>
            </w:pPr>
            <w:r w:rsidRPr="008A3BDF">
              <w:t>Derived from monarchE</w:t>
            </w:r>
            <w:r w:rsidR="0060039D">
              <w:t xml:space="preserve"> </w:t>
            </w:r>
            <w:r w:rsidR="0041690E">
              <w:t>C</w:t>
            </w:r>
            <w:r w:rsidR="0060039D">
              <w:t>ohort 1</w:t>
            </w:r>
            <w:r w:rsidRPr="008A3BDF">
              <w:t xml:space="preserve"> (IDFS and remission: 0.785), </w:t>
            </w:r>
            <w:r w:rsidRPr="008A3BDF">
              <w:rPr>
                <w:shd w:val="clear" w:color="auto" w:fill="B8CCE4" w:themeFill="accent1" w:themeFillTint="66"/>
              </w:rPr>
              <w:t>MONARCH-2 (ER-MBC PFS and ES-MBC PFS2: 0.748), MONARCH-3 (ER-MBC PFS1: 0.724) and published literature (Lidgren 2007</w:t>
            </w:r>
            <w:r w:rsidRPr="008A3BDF">
              <w:rPr>
                <w:shd w:val="clear" w:color="auto" w:fill="B8CCE4" w:themeFill="accent1" w:themeFillTint="66"/>
                <w:vertAlign w:val="superscript"/>
              </w:rPr>
              <w:t>a</w:t>
            </w:r>
            <w:r w:rsidRPr="008A3BDF">
              <w:rPr>
                <w:shd w:val="clear" w:color="auto" w:fill="B8CCE4" w:themeFill="accent1" w:themeFillTint="66"/>
              </w:rPr>
              <w:t xml:space="preserve"> and Lloyd 2006</w:t>
            </w:r>
            <w:r w:rsidRPr="008A3BDF">
              <w:rPr>
                <w:shd w:val="clear" w:color="auto" w:fill="B8CCE4" w:themeFill="accent1" w:themeFillTint="66"/>
                <w:vertAlign w:val="superscript"/>
              </w:rPr>
              <w:t>b</w:t>
            </w:r>
            <w:r w:rsidRPr="008A3BDF">
              <w:rPr>
                <w:shd w:val="clear" w:color="auto" w:fill="B8CCE4" w:themeFill="accent1" w:themeFillTint="66"/>
              </w:rPr>
              <w:t>).</w:t>
            </w:r>
            <w:r w:rsidRPr="008A3BDF">
              <w:t xml:space="preserve"> </w:t>
            </w:r>
            <w:r w:rsidRPr="00787A0B">
              <w:t>These were mostly reasonable, however the ESC previously noted that not all utility data were transformed to Australian preference weights (Table 7, Abemaciclib PSD, March 2022 PBAC Meeting).</w:t>
            </w:r>
            <w:r w:rsidRPr="008A3BDF">
              <w:t xml:space="preserve"> </w:t>
            </w:r>
          </w:p>
        </w:tc>
      </w:tr>
    </w:tbl>
    <w:p w14:paraId="1D102519" w14:textId="77777777" w:rsidR="00062CD0" w:rsidRPr="00787A0B" w:rsidRDefault="00062CD0" w:rsidP="00B016D2">
      <w:pPr>
        <w:pStyle w:val="TableFigureFooter"/>
      </w:pPr>
      <w:r w:rsidRPr="00787A0B">
        <w:lastRenderedPageBreak/>
        <w:t>Source: Constructed during the evaluation from the ‘A6.1_Abemaciclib Section 3 workbook 2022.xlsm’ workbook included in the resubmission.</w:t>
      </w:r>
    </w:p>
    <w:p w14:paraId="0F6C020F" w14:textId="77777777" w:rsidR="00062CD0" w:rsidRPr="008A3BDF" w:rsidRDefault="00062CD0" w:rsidP="00B016D2">
      <w:pPr>
        <w:pStyle w:val="TableFigureFooter"/>
      </w:pPr>
      <w:r w:rsidRPr="008A3BDF">
        <w:t>ER-MBC = endocrine-resistant metastatic breast cancer; ES-MBC = endocrine-sensitive metastatic breast cancer; ET = endocrine therapy; IDFS = invasive disease-free survival; KM = Kaplan-Meier; LY = life years; OS = overall survival; PFS = progression-free survival; QALY = quality-adjusted life year; TTD = time to treatment discontinuation.</w:t>
      </w:r>
    </w:p>
    <w:p w14:paraId="3D97A1FC" w14:textId="77777777" w:rsidR="00062CD0" w:rsidRPr="008A3BDF" w:rsidRDefault="00062CD0" w:rsidP="00B016D2">
      <w:pPr>
        <w:pStyle w:val="TableFigureFooter"/>
      </w:pPr>
      <w:r w:rsidRPr="008A3BDF">
        <w:rPr>
          <w:vertAlign w:val="superscript"/>
        </w:rPr>
        <w:t>a</w:t>
      </w:r>
      <w:r w:rsidRPr="008A3BDF">
        <w:t xml:space="preserve"> Lidgren M, Wilking N, Jonsson B, Rehnberg C. Health related quality of life in different states of breast cancer. Qual Life Res. 2007 Aug;16(6):1073-81.</w:t>
      </w:r>
    </w:p>
    <w:p w14:paraId="7D2E24A6" w14:textId="77777777" w:rsidR="00062CD0" w:rsidRPr="008A3BDF" w:rsidRDefault="00062CD0" w:rsidP="00B016D2">
      <w:pPr>
        <w:pStyle w:val="TableFigureFooter"/>
      </w:pPr>
      <w:r w:rsidRPr="008A3BDF">
        <w:rPr>
          <w:vertAlign w:val="superscript"/>
        </w:rPr>
        <w:t>b</w:t>
      </w:r>
      <w:r w:rsidRPr="008A3BDF">
        <w:t xml:space="preserve"> Lloyd A, Nafees B, Narewska J, Dewilde S, Watkins J. Health state utilities for metastatic breast cancer. Br J Cancer. 2006 Sep 18;95(6):683-90.</w:t>
      </w:r>
    </w:p>
    <w:p w14:paraId="6E40E7EB" w14:textId="388D94DA" w:rsidR="00062CD0" w:rsidRPr="008A3BDF" w:rsidRDefault="00062CD0" w:rsidP="00B016D2">
      <w:pPr>
        <w:pStyle w:val="TableFigureFooter"/>
      </w:pPr>
      <w:r w:rsidRPr="008A3BDF">
        <w:rPr>
          <w:shd w:val="clear" w:color="auto" w:fill="B8CCE4" w:themeFill="accent1" w:themeFillTint="66"/>
        </w:rPr>
        <w:t>Blue</w:t>
      </w:r>
      <w:r w:rsidRPr="00DD7F68">
        <w:rPr>
          <w:shd w:val="clear" w:color="auto" w:fill="B8CCE4" w:themeFill="accent1" w:themeFillTint="66"/>
        </w:rPr>
        <w:t xml:space="preserve"> shading</w:t>
      </w:r>
      <w:r w:rsidRPr="008A3BDF">
        <w:t xml:space="preserve"> indicates components remain</w:t>
      </w:r>
      <w:r w:rsidR="007F5482">
        <w:t>ing</w:t>
      </w:r>
      <w:r w:rsidRPr="008A3BDF">
        <w:t xml:space="preserve"> unchanged since the previous submission. </w:t>
      </w:r>
    </w:p>
    <w:p w14:paraId="7423E341" w14:textId="620B47B1" w:rsidR="00062CD0" w:rsidRDefault="00062CD0" w:rsidP="00BE0273">
      <w:pPr>
        <w:pStyle w:val="3-BodyText"/>
      </w:pPr>
      <w:bookmarkStart w:id="42" w:name="_Ref127360431"/>
      <w:r>
        <w:t xml:space="preserve">The resubmission nominated a </w:t>
      </w:r>
      <w:r w:rsidRPr="00E24F35">
        <w:t>time horizon of 30 years</w:t>
      </w:r>
      <w:r w:rsidR="00FE18EC" w:rsidRPr="00E24F35">
        <w:t xml:space="preserve"> </w:t>
      </w:r>
      <w:r w:rsidR="00FE18EC" w:rsidRPr="00FA0201">
        <w:rPr>
          <w:iCs/>
        </w:rPr>
        <w:t xml:space="preserve">(reduced from 40 years in the </w:t>
      </w:r>
      <w:r w:rsidR="00E24F35" w:rsidRPr="00FA0201">
        <w:rPr>
          <w:iCs/>
        </w:rPr>
        <w:t>March 2022 submission)</w:t>
      </w:r>
      <w:r>
        <w:t xml:space="preserve">, citing an analysis of Scottish Registry data (conducted by the sponsor) found the median age of diagnosis for this patient cohort to </w:t>
      </w:r>
      <w:r w:rsidRPr="00B016D2">
        <w:t>be 59 years.</w:t>
      </w:r>
      <w:r w:rsidRPr="00787A0B">
        <w:t xml:space="preserve"> Th</w:t>
      </w:r>
      <w:r w:rsidR="009F3838">
        <w:t xml:space="preserve">e </w:t>
      </w:r>
      <w:r w:rsidR="009F3838" w:rsidRPr="00FA0201">
        <w:rPr>
          <w:iCs/>
        </w:rPr>
        <w:t>evaluation considered that this</w:t>
      </w:r>
      <w:r w:rsidRPr="00787A0B">
        <w:t xml:space="preserve"> is not substantially different from the age of diagnosis previously accepted by the PBAC, 61.4 years</w:t>
      </w:r>
      <w:r w:rsidRPr="005E6F62">
        <w:t xml:space="preserve"> </w:t>
      </w:r>
      <w:r w:rsidRPr="00787A0B">
        <w:t>(para</w:t>
      </w:r>
      <w:r w:rsidR="00FD1C01">
        <w:t>graph</w:t>
      </w:r>
      <w:r w:rsidRPr="00787A0B">
        <w:t xml:space="preserve"> 6.26</w:t>
      </w:r>
      <w:r w:rsidR="00AF30D1">
        <w:t>,</w:t>
      </w:r>
      <w:r w:rsidRPr="00787A0B">
        <w:t xml:space="preserve"> Abemaciclib PSD, Mar</w:t>
      </w:r>
      <w:r w:rsidR="00723A71" w:rsidRPr="00787A0B">
        <w:t>ch</w:t>
      </w:r>
      <w:r w:rsidRPr="00787A0B">
        <w:t xml:space="preserve"> 2022</w:t>
      </w:r>
      <w:r>
        <w:t>)</w:t>
      </w:r>
      <w:r w:rsidRPr="00787A0B">
        <w:t xml:space="preserve"> and as such, is not sufficient justification for an extension of the time horizon </w:t>
      </w:r>
      <w:r w:rsidR="000D1F77">
        <w:t xml:space="preserve">by </w:t>
      </w:r>
      <w:r w:rsidRPr="00787A0B">
        <w:t>a further 10 years from PBAC’s</w:t>
      </w:r>
      <w:r w:rsidR="00BE0273">
        <w:t xml:space="preserve"> </w:t>
      </w:r>
      <w:r w:rsidR="00BE0273" w:rsidRPr="00FA0201">
        <w:rPr>
          <w:iCs/>
        </w:rPr>
        <w:t>prior</w:t>
      </w:r>
      <w:r w:rsidRPr="00787A0B">
        <w:t xml:space="preserve"> </w:t>
      </w:r>
      <w:r w:rsidR="009F3838" w:rsidRPr="00FA0201">
        <w:rPr>
          <w:iCs/>
        </w:rPr>
        <w:t>recommendation of a</w:t>
      </w:r>
      <w:r w:rsidRPr="00787A0B">
        <w:t xml:space="preserve"> 20 year</w:t>
      </w:r>
      <w:r w:rsidR="00BE0273">
        <w:t xml:space="preserve"> </w:t>
      </w:r>
      <w:r w:rsidR="00BE0273" w:rsidRPr="00FA0201">
        <w:rPr>
          <w:iCs/>
        </w:rPr>
        <w:t>time horizon</w:t>
      </w:r>
      <w:r w:rsidRPr="00787A0B">
        <w:t xml:space="preserve"> (para</w:t>
      </w:r>
      <w:r w:rsidR="00FD1C01">
        <w:t>graph</w:t>
      </w:r>
      <w:r w:rsidRPr="00787A0B">
        <w:t xml:space="preserve"> 7.11, Abemaciclib PSD, March 2022).</w:t>
      </w:r>
      <w:r w:rsidR="00BE0273">
        <w:t xml:space="preserve"> </w:t>
      </w:r>
      <w:r w:rsidR="00FE18EC" w:rsidRPr="00FA0201">
        <w:rPr>
          <w:iCs/>
        </w:rPr>
        <w:t xml:space="preserve">The PSCR </w:t>
      </w:r>
      <w:r w:rsidR="00E24F35" w:rsidRPr="00FA0201">
        <w:rPr>
          <w:iCs/>
        </w:rPr>
        <w:t>reiterated</w:t>
      </w:r>
      <w:r w:rsidR="00FE18EC" w:rsidRPr="00FA0201">
        <w:rPr>
          <w:iCs/>
        </w:rPr>
        <w:t xml:space="preserve"> that</w:t>
      </w:r>
      <w:r w:rsidR="00E24F35" w:rsidRPr="00FA0201">
        <w:rPr>
          <w:iCs/>
        </w:rPr>
        <w:t xml:space="preserve"> a 30 year time horizon represents the lifetime of this patient cohort, and furthermore is a conservative approach.</w:t>
      </w:r>
      <w:r w:rsidR="00FE18EC" w:rsidRPr="00FA0201">
        <w:rPr>
          <w:iCs/>
        </w:rPr>
        <w:t xml:space="preserve"> </w:t>
      </w:r>
      <w:r w:rsidR="00BE0273" w:rsidRPr="00FA0201">
        <w:rPr>
          <w:iCs/>
        </w:rPr>
        <w:t>While the ESC acknowledged that a 20 year time horizon was reasonable</w:t>
      </w:r>
      <w:r w:rsidR="00E24F35" w:rsidRPr="00FA0201">
        <w:rPr>
          <w:iCs/>
        </w:rPr>
        <w:t xml:space="preserve"> (as previously noted by the PBAC)</w:t>
      </w:r>
      <w:r w:rsidR="00BE0273" w:rsidRPr="00FA0201">
        <w:rPr>
          <w:iCs/>
        </w:rPr>
        <w:t xml:space="preserve">, it </w:t>
      </w:r>
      <w:r w:rsidR="00E24F35" w:rsidRPr="00FA0201">
        <w:rPr>
          <w:iCs/>
        </w:rPr>
        <w:t>considered</w:t>
      </w:r>
      <w:r w:rsidR="00BE0273" w:rsidRPr="00FA0201">
        <w:rPr>
          <w:iCs/>
        </w:rPr>
        <w:t xml:space="preserve"> that a 30 year time horizon </w:t>
      </w:r>
      <w:r w:rsidR="003F2664" w:rsidRPr="00FA0201">
        <w:rPr>
          <w:iCs/>
        </w:rPr>
        <w:t xml:space="preserve">may be </w:t>
      </w:r>
      <w:r w:rsidR="00BE0273" w:rsidRPr="00FA0201">
        <w:rPr>
          <w:iCs/>
        </w:rPr>
        <w:t xml:space="preserve">acceptable if treatment waning </w:t>
      </w:r>
      <w:r w:rsidR="00FD1C01" w:rsidRPr="00FA0201">
        <w:rPr>
          <w:iCs/>
        </w:rPr>
        <w:t>occurred</w:t>
      </w:r>
      <w:r w:rsidR="00BE0273" w:rsidRPr="00FA0201">
        <w:rPr>
          <w:iCs/>
        </w:rPr>
        <w:t xml:space="preserve"> from Year 4 to Year 7 and age at model entry was </w:t>
      </w:r>
      <w:r w:rsidR="00DD60A7" w:rsidRPr="00FA0201">
        <w:rPr>
          <w:iCs/>
        </w:rPr>
        <w:t>specified as</w:t>
      </w:r>
      <w:r w:rsidR="00BE0273" w:rsidRPr="00FA0201">
        <w:rPr>
          <w:iCs/>
        </w:rPr>
        <w:t xml:space="preserve"> 61.4 years.</w:t>
      </w:r>
      <w:r w:rsidR="009F3838" w:rsidRPr="00FA0201">
        <w:rPr>
          <w:iCs/>
        </w:rPr>
        <w:t xml:space="preserve"> The ESC also considered that a 30 year time horizon may be acceptable in the context of aiming for a cure in </w:t>
      </w:r>
      <w:r w:rsidR="005C5528" w:rsidRPr="00FA0201">
        <w:rPr>
          <w:iCs/>
        </w:rPr>
        <w:t>E</w:t>
      </w:r>
      <w:r w:rsidR="009F3838" w:rsidRPr="00FA0201">
        <w:rPr>
          <w:iCs/>
        </w:rPr>
        <w:t>BC.</w:t>
      </w:r>
      <w:bookmarkEnd w:id="42"/>
      <w:r w:rsidR="00EC36CA">
        <w:rPr>
          <w:iCs/>
        </w:rPr>
        <w:t xml:space="preserve"> The pre-PBAC response maintained that the starting age of the monarchE </w:t>
      </w:r>
      <w:r w:rsidR="00EC36CA" w:rsidRPr="00B016D2">
        <w:rPr>
          <w:iCs/>
        </w:rPr>
        <w:t>cohort (52.2 years)</w:t>
      </w:r>
      <w:r w:rsidR="00EC36CA">
        <w:rPr>
          <w:iCs/>
        </w:rPr>
        <w:t xml:space="preserve"> is the appropriate starting age for the modelled cohort and argued that it aligns with the age of patients enrolled in the </w:t>
      </w:r>
      <w:r w:rsidR="00EC36CA" w:rsidRPr="009047A6">
        <w:t>patient familiarisation program (PFP) for abemaciclib in Australia</w:t>
      </w:r>
      <w:r w:rsidR="00EC36CA">
        <w:t xml:space="preserve"> (</w:t>
      </w:r>
      <w:r w:rsidR="00EC36CA" w:rsidRPr="00B016D2">
        <w:t xml:space="preserve">mean = </w:t>
      </w:r>
      <w:r w:rsidR="0013119A" w:rsidRPr="0001201E">
        <w:rPr>
          <w:color w:val="000000"/>
          <w:w w:val="15"/>
          <w:shd w:val="solid" w:color="000000" w:fill="000000"/>
          <w:fitText w:val="-20" w:id="-1233471232"/>
          <w14:textFill>
            <w14:solidFill>
              <w14:srgbClr w14:val="000000">
                <w14:alpha w14:val="100000"/>
              </w14:srgbClr>
            </w14:solidFill>
          </w14:textFill>
        </w:rPr>
        <w:t xml:space="preserve">|  </w:t>
      </w:r>
      <w:r w:rsidR="0013119A" w:rsidRPr="0001201E">
        <w:rPr>
          <w:color w:val="000000"/>
          <w:spacing w:val="-69"/>
          <w:w w:val="15"/>
          <w:shd w:val="solid" w:color="000000" w:fill="000000"/>
          <w:fitText w:val="-20" w:id="-1233471232"/>
          <w14:textFill>
            <w14:solidFill>
              <w14:srgbClr w14:val="000000">
                <w14:alpha w14:val="100000"/>
              </w14:srgbClr>
            </w14:solidFill>
          </w14:textFill>
        </w:rPr>
        <w:t>|</w:t>
      </w:r>
      <w:r w:rsidR="008759DD" w:rsidRPr="008759DD">
        <w:t xml:space="preserve"> </w:t>
      </w:r>
      <w:r w:rsidR="00EC36CA" w:rsidRPr="00B016D2">
        <w:t>years</w:t>
      </w:r>
      <w:r w:rsidR="00EC36CA">
        <w:t>).</w:t>
      </w:r>
    </w:p>
    <w:p w14:paraId="1FD239D7" w14:textId="1ECB091F" w:rsidR="00062CD0" w:rsidRPr="008A3BDF" w:rsidRDefault="00062CD0" w:rsidP="00062CD0">
      <w:pPr>
        <w:pStyle w:val="3-BodyText"/>
      </w:pPr>
      <w:r>
        <w:t xml:space="preserve">As per the previous submission, the OS benefit of abemaciclib was modelled indirectly through IDFS, where an improvement in IDFS was assumed to reduce the number of recurrences, in particular </w:t>
      </w:r>
      <w:r w:rsidRPr="00B65B9F">
        <w:t>metastatic recurrences</w:t>
      </w:r>
      <w:r>
        <w:t xml:space="preserve">, and therefore death due to metastatic recurrence. In addition to improved IDFS with abemaciclib, the </w:t>
      </w:r>
      <w:r w:rsidRPr="008A3BDF">
        <w:t xml:space="preserve">resubmission has maintained </w:t>
      </w:r>
      <w:r>
        <w:t xml:space="preserve">a lower proportion of recurrences that were metastatic (70.9% with abemaciclib + ET versus 74.0% with ET alone) based on monarchE data from Cohort 1 on the first </w:t>
      </w:r>
      <w:r w:rsidR="00905C71">
        <w:t xml:space="preserve">occurrence of </w:t>
      </w:r>
      <w:r>
        <w:t xml:space="preserve">tumour recurrence. </w:t>
      </w:r>
      <w:r w:rsidRPr="00787A0B">
        <w:t>As noted previously (para</w:t>
      </w:r>
      <w:r w:rsidR="00DD60A7">
        <w:t>graph</w:t>
      </w:r>
      <w:r w:rsidRPr="00787A0B">
        <w:t xml:space="preserve"> 6.27, Abemaciclib PSD, March 2022), </w:t>
      </w:r>
      <w:r w:rsidR="00583566" w:rsidRPr="00FA0201">
        <w:rPr>
          <w:iCs/>
        </w:rPr>
        <w:t>the</w:t>
      </w:r>
      <w:r w:rsidR="00B65B9F" w:rsidRPr="00FA0201">
        <w:rPr>
          <w:iCs/>
        </w:rPr>
        <w:t xml:space="preserve"> </w:t>
      </w:r>
      <w:r w:rsidR="00583566" w:rsidRPr="00FA0201">
        <w:rPr>
          <w:iCs/>
        </w:rPr>
        <w:t>evaluation</w:t>
      </w:r>
      <w:r w:rsidR="00AF30D1" w:rsidRPr="00FA0201">
        <w:rPr>
          <w:iCs/>
        </w:rPr>
        <w:t xml:space="preserve"> considered</w:t>
      </w:r>
      <w:r w:rsidR="00583566" w:rsidRPr="00FA0201">
        <w:rPr>
          <w:iCs/>
        </w:rPr>
        <w:t xml:space="preserve"> </w:t>
      </w:r>
      <w:r w:rsidR="00B65B9F" w:rsidRPr="00FA0201">
        <w:rPr>
          <w:iCs/>
        </w:rPr>
        <w:t>that</w:t>
      </w:r>
      <w:r w:rsidR="00583566">
        <w:t xml:space="preserve"> </w:t>
      </w:r>
      <w:r w:rsidRPr="00787A0B">
        <w:t>this approach was not likely to be reasonable as these differences are not statistically significant</w:t>
      </w:r>
      <w:r w:rsidR="00A50BFB" w:rsidRPr="00787A0B">
        <w:t>.</w:t>
      </w:r>
      <w:r w:rsidRPr="00787A0B">
        <w:t xml:space="preserve"> Assuming a lower proportion of invasive disease events that are metastatic favoured abemaciclib. </w:t>
      </w:r>
      <w:r w:rsidR="00B65B9F" w:rsidRPr="00FA0201">
        <w:rPr>
          <w:iCs/>
        </w:rPr>
        <w:t>Furthermore, the ESC maintained its previous view that the separation of the metastatic health states into endocrine-sensitive (ES) and endocrine-resistant (ER) substates resulted in unnecessary complexity</w:t>
      </w:r>
      <w:r w:rsidR="00463ED7" w:rsidRPr="00FA0201">
        <w:rPr>
          <w:iCs/>
        </w:rPr>
        <w:t xml:space="preserve"> to the model</w:t>
      </w:r>
      <w:r w:rsidR="002D5D1D" w:rsidRPr="00FA0201">
        <w:rPr>
          <w:iCs/>
        </w:rPr>
        <w:t>, and also considered that the negative impact of metastatic breast cancer may have been overestimated by employing a utility value of 0.476 for ES and ER post-progression survival</w:t>
      </w:r>
      <w:r w:rsidR="00B65B9F" w:rsidRPr="00FA0201">
        <w:rPr>
          <w:iCs/>
        </w:rPr>
        <w:t>.</w:t>
      </w:r>
    </w:p>
    <w:p w14:paraId="5F019F15" w14:textId="77777777" w:rsidR="00062CD0" w:rsidRPr="008A3BDF" w:rsidRDefault="00062CD0" w:rsidP="00062CD0">
      <w:pPr>
        <w:pStyle w:val="3-BodyText"/>
      </w:pPr>
      <w:r w:rsidRPr="008A3BDF">
        <w:t xml:space="preserve">A summary of the key drivers of the model is shown below. </w:t>
      </w:r>
    </w:p>
    <w:p w14:paraId="5C40C863" w14:textId="1E6990A3" w:rsidR="00062CD0" w:rsidRPr="008A3BDF" w:rsidRDefault="00062CD0" w:rsidP="00B016D2">
      <w:pPr>
        <w:pStyle w:val="Caption"/>
        <w:jc w:val="left"/>
        <w:rPr>
          <w:rStyle w:val="CommentReference"/>
          <w:b/>
          <w:szCs w:val="24"/>
        </w:rPr>
      </w:pPr>
      <w:bookmarkStart w:id="43" w:name="_Ref104805122"/>
      <w:r w:rsidRPr="008A3BDF">
        <w:lastRenderedPageBreak/>
        <w:t xml:space="preserve">Table </w:t>
      </w:r>
      <w:fldSimple w:instr=" SEQ Table \* ARABIC ">
        <w:r w:rsidR="0001201E">
          <w:rPr>
            <w:noProof/>
          </w:rPr>
          <w:t>10</w:t>
        </w:r>
      </w:fldSimple>
      <w:bookmarkEnd w:id="43"/>
      <w:r w:rsidRPr="008A3BDF">
        <w:t>:</w:t>
      </w:r>
      <w:r w:rsidRPr="008A3BD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5102"/>
        <w:gridCol w:w="2644"/>
      </w:tblGrid>
      <w:tr w:rsidR="00062CD0" w:rsidRPr="008A3BDF" w14:paraId="513EC3B5" w14:textId="77777777" w:rsidTr="00062CD0">
        <w:trPr>
          <w:tblHeader/>
        </w:trPr>
        <w:tc>
          <w:tcPr>
            <w:tcW w:w="705" w:type="pct"/>
            <w:shd w:val="clear" w:color="auto" w:fill="auto"/>
            <w:vAlign w:val="center"/>
          </w:tcPr>
          <w:p w14:paraId="3C545D0D" w14:textId="77777777" w:rsidR="00062CD0" w:rsidRPr="008A3BDF" w:rsidRDefault="00062CD0" w:rsidP="00B016D2">
            <w:pPr>
              <w:pStyle w:val="In-tableHeading"/>
              <w:jc w:val="center"/>
              <w:rPr>
                <w:lang w:val="en-AU"/>
              </w:rPr>
            </w:pPr>
            <w:r w:rsidRPr="008A3BDF">
              <w:rPr>
                <w:lang w:val="en-AU"/>
              </w:rPr>
              <w:t>Description</w:t>
            </w:r>
          </w:p>
        </w:tc>
        <w:tc>
          <w:tcPr>
            <w:tcW w:w="2829" w:type="pct"/>
            <w:shd w:val="clear" w:color="auto" w:fill="auto"/>
            <w:vAlign w:val="center"/>
          </w:tcPr>
          <w:p w14:paraId="0B828275" w14:textId="77777777" w:rsidR="00062CD0" w:rsidRPr="008A3BDF" w:rsidRDefault="00062CD0" w:rsidP="00B016D2">
            <w:pPr>
              <w:pStyle w:val="In-tableHeading"/>
              <w:jc w:val="center"/>
              <w:rPr>
                <w:lang w:val="en-AU"/>
              </w:rPr>
            </w:pPr>
            <w:r w:rsidRPr="008A3BDF">
              <w:rPr>
                <w:lang w:val="en-AU"/>
              </w:rPr>
              <w:t>Method/Value</w:t>
            </w:r>
          </w:p>
        </w:tc>
        <w:tc>
          <w:tcPr>
            <w:tcW w:w="1466" w:type="pct"/>
            <w:shd w:val="clear" w:color="auto" w:fill="auto"/>
            <w:vAlign w:val="center"/>
          </w:tcPr>
          <w:p w14:paraId="28D387F7" w14:textId="77777777" w:rsidR="00062CD0" w:rsidRPr="008A3BDF" w:rsidRDefault="00062CD0" w:rsidP="00B016D2">
            <w:pPr>
              <w:pStyle w:val="In-tableHeading"/>
              <w:jc w:val="center"/>
              <w:rPr>
                <w:lang w:val="en-AU"/>
              </w:rPr>
            </w:pPr>
            <w:r w:rsidRPr="008A3BDF">
              <w:rPr>
                <w:lang w:val="en-AU"/>
              </w:rPr>
              <w:t>Impact</w:t>
            </w:r>
          </w:p>
          <w:p w14:paraId="5613D0D1" w14:textId="07EE4FEC" w:rsidR="00062CD0" w:rsidRPr="008A3BDF" w:rsidRDefault="00062CD0" w:rsidP="00B016D2">
            <w:pPr>
              <w:pStyle w:val="In-tableHeading"/>
              <w:jc w:val="center"/>
              <w:rPr>
                <w:lang w:val="en-AU"/>
              </w:rPr>
            </w:pPr>
            <w:r w:rsidRPr="008A3BDF">
              <w:rPr>
                <w:rFonts w:cs="Arial"/>
                <w:szCs w:val="20"/>
                <w:lang w:val="en-AU"/>
              </w:rPr>
              <w:t>Base case ICER</w:t>
            </w:r>
            <w:r w:rsidRPr="00787A0B">
              <w:rPr>
                <w:rFonts w:cs="Arial"/>
                <w:szCs w:val="20"/>
                <w:lang w:val="en-AU"/>
              </w:rPr>
              <w:t>: $</w:t>
            </w:r>
            <w:r w:rsidR="0013119A" w:rsidRPr="0013119A">
              <w:rPr>
                <w:rFonts w:cs="Arial"/>
                <w:color w:val="000000"/>
                <w:spacing w:val="149"/>
                <w:szCs w:val="20"/>
                <w:shd w:val="solid" w:color="000000" w:fill="000000"/>
                <w:fitText w:val="241" w:id="-1233471231"/>
                <w:lang w:val="en-AU"/>
                <w14:textFill>
                  <w14:solidFill>
                    <w14:srgbClr w14:val="000000">
                      <w14:alpha w14:val="100000"/>
                    </w14:srgbClr>
                  </w14:solidFill>
                </w14:textFill>
              </w:rPr>
              <w:t>|</w:t>
            </w:r>
            <w:r w:rsidR="0013119A" w:rsidRPr="0013119A">
              <w:rPr>
                <w:rFonts w:cs="Arial"/>
                <w:color w:val="000000"/>
                <w:spacing w:val="1"/>
                <w:szCs w:val="20"/>
                <w:shd w:val="solid" w:color="000000" w:fill="000000"/>
                <w:fitText w:val="241" w:id="-1233471231"/>
                <w:lang w:val="en-AU"/>
                <w14:textFill>
                  <w14:solidFill>
                    <w14:srgbClr w14:val="000000">
                      <w14:alpha w14:val="100000"/>
                    </w14:srgbClr>
                  </w14:solidFill>
                </w14:textFill>
              </w:rPr>
              <w:t>|</w:t>
            </w:r>
            <w:r w:rsidR="008759DD" w:rsidRPr="008759DD">
              <w:rPr>
                <w:rFonts w:cs="Arial"/>
                <w:szCs w:val="20"/>
                <w:lang w:val="en-AU"/>
              </w:rPr>
              <w:t xml:space="preserve"> </w:t>
            </w:r>
            <w:r w:rsidR="004F7EE3" w:rsidRPr="004F7EE3">
              <w:rPr>
                <w:rFonts w:cs="Arial"/>
                <w:b w:val="0"/>
                <w:bCs/>
                <w:szCs w:val="20"/>
                <w:vertAlign w:val="superscript"/>
                <w:lang w:val="en-AU"/>
              </w:rPr>
              <w:t>1</w:t>
            </w:r>
          </w:p>
        </w:tc>
      </w:tr>
      <w:tr w:rsidR="00062CD0" w:rsidRPr="00787A0B" w14:paraId="2B3382B3" w14:textId="77777777" w:rsidTr="00061E42">
        <w:tc>
          <w:tcPr>
            <w:tcW w:w="705" w:type="pct"/>
            <w:shd w:val="clear" w:color="auto" w:fill="auto"/>
            <w:vAlign w:val="center"/>
          </w:tcPr>
          <w:p w14:paraId="6FE6D22A" w14:textId="77777777" w:rsidR="00062CD0" w:rsidRPr="00787A0B" w:rsidRDefault="00062CD0" w:rsidP="00B016D2">
            <w:pPr>
              <w:pStyle w:val="TableText0"/>
            </w:pPr>
            <w:r w:rsidRPr="00787A0B">
              <w:t>Duration of treatment effect</w:t>
            </w:r>
          </w:p>
        </w:tc>
        <w:tc>
          <w:tcPr>
            <w:tcW w:w="2829" w:type="pct"/>
            <w:shd w:val="clear" w:color="auto" w:fill="auto"/>
            <w:vAlign w:val="center"/>
          </w:tcPr>
          <w:p w14:paraId="0519862E" w14:textId="427161E9" w:rsidR="00062CD0" w:rsidRPr="00787A0B" w:rsidRDefault="00062CD0" w:rsidP="00B016D2">
            <w:pPr>
              <w:pStyle w:val="TableText0"/>
            </w:pPr>
            <w:r w:rsidRPr="00787A0B">
              <w:t>The treatment effect based on the jointly-fitted parametric model extrapolations was assumed to continue beyond the trial period (</w:t>
            </w:r>
            <w:r w:rsidR="00270506" w:rsidRPr="00787A0B">
              <w:t xml:space="preserve">median follow-up of </w:t>
            </w:r>
            <w:r w:rsidRPr="00787A0B">
              <w:t xml:space="preserve">42 months) until Year 7. A waning of the treatment effect was implemented until the extrapolated comparator IDFS hazard rate equalled background mortality (at Year 28.9). This approach is not well justified. The resubmission has not presented evidence to support an ongoing benefit of abemaciclib beyond the observed period. </w:t>
            </w:r>
          </w:p>
        </w:tc>
        <w:tc>
          <w:tcPr>
            <w:tcW w:w="1466" w:type="pct"/>
            <w:shd w:val="clear" w:color="auto" w:fill="auto"/>
            <w:vAlign w:val="center"/>
          </w:tcPr>
          <w:p w14:paraId="3F3D3BFF" w14:textId="739DB34B" w:rsidR="00062CD0" w:rsidRPr="00787A0B" w:rsidRDefault="00062CD0" w:rsidP="00B016D2">
            <w:pPr>
              <w:pStyle w:val="TableText0"/>
            </w:pPr>
            <w:r w:rsidRPr="00787A0B">
              <w:t>High, favours abemaciclib. Assuming that the treatment effect wanes over the period from the end of the observed data (Year 4) to Year 7 increases the ICER to $</w:t>
            </w:r>
            <w:r w:rsidR="0013119A" w:rsidRPr="0013119A">
              <w:rPr>
                <w:color w:val="000000"/>
                <w:spacing w:val="37"/>
                <w:shd w:val="solid" w:color="000000" w:fill="000000"/>
                <w:fitText w:val="441" w:id="-1233471230"/>
                <w14:textFill>
                  <w14:solidFill>
                    <w14:srgbClr w14:val="000000">
                      <w14:alpha w14:val="100000"/>
                    </w14:srgbClr>
                  </w14:solidFill>
                </w14:textFill>
              </w:rPr>
              <w:t>|||||</w:t>
            </w:r>
            <w:r w:rsidR="0013119A" w:rsidRPr="0013119A">
              <w:rPr>
                <w:color w:val="000000"/>
                <w:spacing w:val="1"/>
                <w:shd w:val="solid" w:color="000000" w:fill="000000"/>
                <w:fitText w:val="441" w:id="-1233471230"/>
                <w14:textFill>
                  <w14:solidFill>
                    <w14:srgbClr w14:val="000000">
                      <w14:alpha w14:val="100000"/>
                    </w14:srgbClr>
                  </w14:solidFill>
                </w14:textFill>
              </w:rPr>
              <w:t>|</w:t>
            </w:r>
            <w:r w:rsidR="008759DD" w:rsidRPr="008759DD">
              <w:t xml:space="preserve"> </w:t>
            </w:r>
            <w:r w:rsidR="004F7EE3">
              <w:rPr>
                <w:rFonts w:cs="Arial"/>
                <w:b/>
                <w:bCs w:val="0"/>
                <w:szCs w:val="20"/>
                <w:vertAlign w:val="superscript"/>
              </w:rPr>
              <w:t>2</w:t>
            </w:r>
            <w:r w:rsidRPr="00787A0B">
              <w:t>. Assuming no effect beyond the observed period increases the ICER to $</w:t>
            </w:r>
            <w:r w:rsidR="0013119A" w:rsidRPr="0013119A">
              <w:rPr>
                <w:color w:val="000000"/>
                <w:spacing w:val="37"/>
                <w:shd w:val="solid" w:color="000000" w:fill="000000"/>
                <w:fitText w:val="441" w:id="-1233471229"/>
                <w14:textFill>
                  <w14:solidFill>
                    <w14:srgbClr w14:val="000000">
                      <w14:alpha w14:val="100000"/>
                    </w14:srgbClr>
                  </w14:solidFill>
                </w14:textFill>
              </w:rPr>
              <w:t>|||||</w:t>
            </w:r>
            <w:r w:rsidR="0013119A" w:rsidRPr="0013119A">
              <w:rPr>
                <w:color w:val="000000"/>
                <w:spacing w:val="1"/>
                <w:shd w:val="solid" w:color="000000" w:fill="000000"/>
                <w:fitText w:val="441" w:id="-1233471229"/>
                <w14:textFill>
                  <w14:solidFill>
                    <w14:srgbClr w14:val="000000">
                      <w14:alpha w14:val="100000"/>
                    </w14:srgbClr>
                  </w14:solidFill>
                </w14:textFill>
              </w:rPr>
              <w:t>|</w:t>
            </w:r>
            <w:r w:rsidR="008759DD" w:rsidRPr="008759DD">
              <w:t xml:space="preserve"> </w:t>
            </w:r>
            <w:r w:rsidR="004F7EE3">
              <w:rPr>
                <w:rFonts w:cs="Arial"/>
                <w:b/>
                <w:bCs w:val="0"/>
                <w:szCs w:val="20"/>
                <w:vertAlign w:val="superscript"/>
              </w:rPr>
              <w:t>3</w:t>
            </w:r>
            <w:r w:rsidRPr="00787A0B">
              <w:t>.</w:t>
            </w:r>
          </w:p>
        </w:tc>
      </w:tr>
      <w:tr w:rsidR="00062CD0" w:rsidRPr="00787A0B" w14:paraId="56EDA42A" w14:textId="77777777" w:rsidTr="00061E42">
        <w:tc>
          <w:tcPr>
            <w:tcW w:w="705" w:type="pct"/>
            <w:shd w:val="clear" w:color="auto" w:fill="auto"/>
            <w:vAlign w:val="center"/>
          </w:tcPr>
          <w:p w14:paraId="7229D76E" w14:textId="77777777" w:rsidR="00062CD0" w:rsidRPr="00787A0B" w:rsidRDefault="00062CD0" w:rsidP="00B016D2">
            <w:pPr>
              <w:pStyle w:val="TableText0"/>
            </w:pPr>
            <w:r w:rsidRPr="00787A0B">
              <w:t>Time horizon</w:t>
            </w:r>
          </w:p>
        </w:tc>
        <w:tc>
          <w:tcPr>
            <w:tcW w:w="2829" w:type="pct"/>
            <w:shd w:val="clear" w:color="auto" w:fill="auto"/>
            <w:vAlign w:val="center"/>
          </w:tcPr>
          <w:p w14:paraId="4A3A7EF6" w14:textId="23F839F2" w:rsidR="00062CD0" w:rsidRPr="00787A0B" w:rsidRDefault="00062CD0" w:rsidP="00B016D2">
            <w:pPr>
              <w:pStyle w:val="TableText0"/>
            </w:pPr>
            <w:r w:rsidRPr="00787A0B">
              <w:t>30 years in the base case. The PBAC had previously considered that a 20-year time horizon was more appropriate in this model, given the median age at diagnosis (para</w:t>
            </w:r>
            <w:r w:rsidR="00DD60A7">
              <w:t>graph</w:t>
            </w:r>
            <w:r w:rsidRPr="00787A0B">
              <w:t xml:space="preserve"> 7.11, Abemaciclib PSD, March 2022).</w:t>
            </w:r>
          </w:p>
        </w:tc>
        <w:tc>
          <w:tcPr>
            <w:tcW w:w="1466" w:type="pct"/>
            <w:shd w:val="clear" w:color="auto" w:fill="auto"/>
            <w:vAlign w:val="center"/>
          </w:tcPr>
          <w:p w14:paraId="412581B4" w14:textId="6E20BBC9" w:rsidR="00062CD0" w:rsidRPr="00787A0B" w:rsidRDefault="00062CD0" w:rsidP="00B016D2">
            <w:pPr>
              <w:pStyle w:val="TableText0"/>
            </w:pPr>
            <w:r w:rsidRPr="00787A0B">
              <w:t>High, favours abemaciclib. Reducing the time horizon to 20 years increases the ICER to $</w:t>
            </w:r>
            <w:r w:rsidR="0013119A" w:rsidRPr="0013119A">
              <w:rPr>
                <w:color w:val="000000"/>
                <w:spacing w:val="37"/>
                <w:shd w:val="solid" w:color="000000" w:fill="000000"/>
                <w:fitText w:val="441" w:id="-1233471228"/>
                <w14:textFill>
                  <w14:solidFill>
                    <w14:srgbClr w14:val="000000">
                      <w14:alpha w14:val="100000"/>
                    </w14:srgbClr>
                  </w14:solidFill>
                </w14:textFill>
              </w:rPr>
              <w:t>|||||</w:t>
            </w:r>
            <w:r w:rsidR="0013119A" w:rsidRPr="0013119A">
              <w:rPr>
                <w:color w:val="000000"/>
                <w:spacing w:val="1"/>
                <w:shd w:val="solid" w:color="000000" w:fill="000000"/>
                <w:fitText w:val="441" w:id="-1233471228"/>
                <w14:textFill>
                  <w14:solidFill>
                    <w14:srgbClr w14:val="000000">
                      <w14:alpha w14:val="100000"/>
                    </w14:srgbClr>
                  </w14:solidFill>
                </w14:textFill>
              </w:rPr>
              <w:t>|</w:t>
            </w:r>
            <w:r w:rsidR="008759DD" w:rsidRPr="008759DD">
              <w:t xml:space="preserve"> </w:t>
            </w:r>
            <w:r w:rsidR="00B635DC">
              <w:rPr>
                <w:rFonts w:cs="Arial"/>
                <w:b/>
                <w:bCs w:val="0"/>
                <w:szCs w:val="20"/>
                <w:vertAlign w:val="superscript"/>
              </w:rPr>
              <w:t>2</w:t>
            </w:r>
            <w:r w:rsidRPr="00787A0B">
              <w:t>.</w:t>
            </w:r>
          </w:p>
        </w:tc>
      </w:tr>
      <w:tr w:rsidR="00062CD0" w:rsidRPr="00787A0B" w14:paraId="3C017975" w14:textId="77777777" w:rsidTr="00061E42">
        <w:tc>
          <w:tcPr>
            <w:tcW w:w="705" w:type="pct"/>
            <w:shd w:val="clear" w:color="auto" w:fill="auto"/>
            <w:vAlign w:val="center"/>
          </w:tcPr>
          <w:p w14:paraId="75BFCDED" w14:textId="77777777" w:rsidR="00062CD0" w:rsidRPr="00787A0B" w:rsidRDefault="00062CD0" w:rsidP="00B016D2">
            <w:pPr>
              <w:pStyle w:val="TableText0"/>
            </w:pPr>
            <w:r w:rsidRPr="00787A0B">
              <w:t>Age of modelled patients</w:t>
            </w:r>
          </w:p>
        </w:tc>
        <w:tc>
          <w:tcPr>
            <w:tcW w:w="2829" w:type="pct"/>
            <w:shd w:val="clear" w:color="auto" w:fill="auto"/>
            <w:vAlign w:val="center"/>
          </w:tcPr>
          <w:p w14:paraId="5A4BE1CD" w14:textId="04D3C7BE" w:rsidR="00062CD0" w:rsidRPr="00787A0B" w:rsidRDefault="00062CD0" w:rsidP="00B016D2">
            <w:pPr>
              <w:pStyle w:val="TableText0"/>
            </w:pPr>
            <w:r w:rsidRPr="00B016D2">
              <w:t>52.2 years. Average</w:t>
            </w:r>
            <w:r w:rsidRPr="00787A0B">
              <w:t xml:space="preserve"> age of patients was based </w:t>
            </w:r>
            <w:r w:rsidR="00FE4048" w:rsidRPr="00787A0B">
              <w:t xml:space="preserve">on </w:t>
            </w:r>
            <w:r w:rsidR="0041690E" w:rsidRPr="00787A0B">
              <w:t>C</w:t>
            </w:r>
            <w:r w:rsidRPr="00787A0B">
              <w:t xml:space="preserve">ohort 1 </w:t>
            </w:r>
            <w:r w:rsidR="00FE4048" w:rsidRPr="00787A0B">
              <w:t>of</w:t>
            </w:r>
            <w:r w:rsidRPr="00787A0B">
              <w:t xml:space="preserve"> the monarchE trial. This is considerably higher that what the PBAC have previously noted as the mean age of diagnosis for early breast cancer (61.4 years) (para</w:t>
            </w:r>
            <w:r w:rsidR="00DD60A7">
              <w:t>graph</w:t>
            </w:r>
            <w:r w:rsidRPr="00787A0B">
              <w:t xml:space="preserve"> 7.11 Abemaciclib PSD, Mar</w:t>
            </w:r>
            <w:r w:rsidR="00DD60A7">
              <w:t>ch</w:t>
            </w:r>
            <w:r w:rsidRPr="00787A0B">
              <w:t xml:space="preserve"> 2022). The resubmission </w:t>
            </w:r>
            <w:r w:rsidR="00FE4048" w:rsidRPr="00787A0B">
              <w:t>claimed</w:t>
            </w:r>
            <w:r w:rsidRPr="00787A0B">
              <w:t xml:space="preserve"> that age is not a treatment effect modifier.  </w:t>
            </w:r>
          </w:p>
        </w:tc>
        <w:tc>
          <w:tcPr>
            <w:tcW w:w="1466" w:type="pct"/>
            <w:shd w:val="clear" w:color="auto" w:fill="auto"/>
            <w:vAlign w:val="center"/>
          </w:tcPr>
          <w:p w14:paraId="2C22541C" w14:textId="1D3AD99D" w:rsidR="00062CD0" w:rsidRPr="00787A0B" w:rsidRDefault="00062CD0" w:rsidP="00B016D2">
            <w:pPr>
              <w:pStyle w:val="TableText0"/>
            </w:pPr>
            <w:r w:rsidRPr="00787A0B">
              <w:t xml:space="preserve">High, favours abemaciclib. Increasing the average age of patients in the model </w:t>
            </w:r>
            <w:r w:rsidR="00270506" w:rsidRPr="00787A0B">
              <w:t xml:space="preserve">to 61.4 years </w:t>
            </w:r>
            <w:r w:rsidRPr="00787A0B">
              <w:t>(only affecting background mortality and age-related utility) increases the ICER to $</w:t>
            </w:r>
            <w:r w:rsidR="0013119A" w:rsidRPr="0013119A">
              <w:rPr>
                <w:color w:val="000000"/>
                <w:spacing w:val="37"/>
                <w:shd w:val="solid" w:color="000000" w:fill="000000"/>
                <w:fitText w:val="441" w:id="-1233471227"/>
                <w14:textFill>
                  <w14:solidFill>
                    <w14:srgbClr w14:val="000000">
                      <w14:alpha w14:val="100000"/>
                    </w14:srgbClr>
                  </w14:solidFill>
                </w14:textFill>
              </w:rPr>
              <w:t>|||||</w:t>
            </w:r>
            <w:r w:rsidR="0013119A" w:rsidRPr="0013119A">
              <w:rPr>
                <w:color w:val="000000"/>
                <w:spacing w:val="1"/>
                <w:shd w:val="solid" w:color="000000" w:fill="000000"/>
                <w:fitText w:val="441" w:id="-1233471227"/>
                <w14:textFill>
                  <w14:solidFill>
                    <w14:srgbClr w14:val="000000">
                      <w14:alpha w14:val="100000"/>
                    </w14:srgbClr>
                  </w14:solidFill>
                </w14:textFill>
              </w:rPr>
              <w:t>|</w:t>
            </w:r>
            <w:r w:rsidR="008759DD" w:rsidRPr="008759DD">
              <w:t xml:space="preserve"> </w:t>
            </w:r>
            <w:r w:rsidR="004F7EE3" w:rsidRPr="004F7EE3">
              <w:rPr>
                <w:rFonts w:cs="Arial"/>
                <w:b/>
                <w:bCs w:val="0"/>
                <w:szCs w:val="20"/>
                <w:vertAlign w:val="superscript"/>
              </w:rPr>
              <w:t>1</w:t>
            </w:r>
            <w:r w:rsidRPr="002D57EC">
              <w:t>.</w:t>
            </w:r>
          </w:p>
        </w:tc>
      </w:tr>
      <w:tr w:rsidR="00062CD0" w:rsidRPr="008A3BDF" w14:paraId="4BFA8488" w14:textId="77777777" w:rsidTr="00061E42">
        <w:tc>
          <w:tcPr>
            <w:tcW w:w="705" w:type="pct"/>
            <w:shd w:val="clear" w:color="auto" w:fill="auto"/>
            <w:vAlign w:val="center"/>
          </w:tcPr>
          <w:p w14:paraId="1560B0D1" w14:textId="77777777" w:rsidR="00062CD0" w:rsidRPr="008A3BDF" w:rsidRDefault="00062CD0" w:rsidP="00B016D2">
            <w:pPr>
              <w:pStyle w:val="TableText0"/>
            </w:pPr>
            <w:r w:rsidRPr="008A3BDF">
              <w:t>Extrapolation of IDFS</w:t>
            </w:r>
          </w:p>
        </w:tc>
        <w:tc>
          <w:tcPr>
            <w:tcW w:w="2829" w:type="pct"/>
            <w:shd w:val="clear" w:color="auto" w:fill="auto"/>
            <w:vAlign w:val="center"/>
          </w:tcPr>
          <w:p w14:paraId="396C03F0" w14:textId="76ED1995" w:rsidR="00062CD0" w:rsidRPr="008A3BDF" w:rsidRDefault="00062CD0" w:rsidP="00B016D2">
            <w:pPr>
              <w:pStyle w:val="TableText0"/>
              <w:rPr>
                <w:i/>
              </w:rPr>
            </w:pPr>
            <w:r w:rsidRPr="008A3BDF">
              <w:t xml:space="preserve">Jointly-fitted log-logistic extrapolation from month 32. </w:t>
            </w:r>
            <w:r w:rsidRPr="00787A0B">
              <w:t xml:space="preserve">The monarchE IDFS data were immature (approximately 10% events at the </w:t>
            </w:r>
            <w:r w:rsidR="00177142" w:rsidRPr="00787A0B">
              <w:t>AFU1 data cut (April 2021 data cut)</w:t>
            </w:r>
            <w:r w:rsidRPr="00787A0B">
              <w:t xml:space="preserve">) and may not provide a reliable basis for extrapolation. However, of the models that fit external data, the nominated curve appeared to be the most conservative curve (among independent and dependent functions). </w:t>
            </w:r>
          </w:p>
        </w:tc>
        <w:tc>
          <w:tcPr>
            <w:tcW w:w="1466" w:type="pct"/>
            <w:shd w:val="clear" w:color="auto" w:fill="auto"/>
            <w:vAlign w:val="center"/>
          </w:tcPr>
          <w:p w14:paraId="7FDFE8FF" w14:textId="0BCFB54D" w:rsidR="00062CD0" w:rsidRPr="00244A0E" w:rsidRDefault="00062CD0" w:rsidP="00B016D2">
            <w:pPr>
              <w:pStyle w:val="TableText0"/>
              <w:rPr>
                <w:iCs/>
              </w:rPr>
            </w:pPr>
            <w:r w:rsidRPr="00244A0E">
              <w:rPr>
                <w:iCs/>
              </w:rPr>
              <w:t xml:space="preserve">High, </w:t>
            </w:r>
            <w:r w:rsidR="00B271EA" w:rsidRPr="00FA0201">
              <w:t>may favour ET alone</w:t>
            </w:r>
            <w:r w:rsidRPr="00244A0E">
              <w:rPr>
                <w:iCs/>
              </w:rPr>
              <w:t>. Using dependent Weibull curves (best fitting curve by AIC/BIC) decreased the ICER to $</w:t>
            </w:r>
            <w:r w:rsidR="0013119A" w:rsidRPr="0013119A">
              <w:rPr>
                <w:iCs/>
                <w:color w:val="000000"/>
                <w:spacing w:val="37"/>
                <w:shd w:val="solid" w:color="000000" w:fill="000000"/>
                <w:fitText w:val="441" w:id="-1233471226"/>
                <w14:textFill>
                  <w14:solidFill>
                    <w14:srgbClr w14:val="000000">
                      <w14:alpha w14:val="100000"/>
                    </w14:srgbClr>
                  </w14:solidFill>
                </w14:textFill>
              </w:rPr>
              <w:t>|||||</w:t>
            </w:r>
            <w:r w:rsidR="0013119A" w:rsidRPr="0013119A">
              <w:rPr>
                <w:iCs/>
                <w:color w:val="000000"/>
                <w:spacing w:val="1"/>
                <w:shd w:val="solid" w:color="000000" w:fill="000000"/>
                <w:fitText w:val="441" w:id="-1233471226"/>
                <w14:textFill>
                  <w14:solidFill>
                    <w14:srgbClr w14:val="000000">
                      <w14:alpha w14:val="100000"/>
                    </w14:srgbClr>
                  </w14:solidFill>
                </w14:textFill>
              </w:rPr>
              <w:t>|</w:t>
            </w:r>
            <w:r w:rsidR="008759DD" w:rsidRPr="008759DD">
              <w:rPr>
                <w:iCs/>
              </w:rPr>
              <w:t xml:space="preserve"> </w:t>
            </w:r>
            <w:r w:rsidR="004F7EE3">
              <w:rPr>
                <w:rFonts w:cs="Arial"/>
                <w:b/>
                <w:bCs w:val="0"/>
                <w:szCs w:val="20"/>
                <w:vertAlign w:val="superscript"/>
              </w:rPr>
              <w:t>4</w:t>
            </w:r>
            <w:r w:rsidR="00C2401E" w:rsidRPr="00244A0E">
              <w:rPr>
                <w:iCs/>
              </w:rPr>
              <w:t>.</w:t>
            </w:r>
          </w:p>
        </w:tc>
      </w:tr>
      <w:tr w:rsidR="00062CD0" w:rsidRPr="00787A0B" w14:paraId="5A4A9D8C" w14:textId="77777777" w:rsidTr="00061E42">
        <w:tc>
          <w:tcPr>
            <w:tcW w:w="705" w:type="pct"/>
            <w:shd w:val="clear" w:color="auto" w:fill="auto"/>
            <w:vAlign w:val="center"/>
          </w:tcPr>
          <w:p w14:paraId="64BB4606" w14:textId="77777777" w:rsidR="00062CD0" w:rsidRPr="00787A0B" w:rsidRDefault="00062CD0" w:rsidP="00B016D2">
            <w:pPr>
              <w:pStyle w:val="TableText0"/>
            </w:pPr>
            <w:r w:rsidRPr="00787A0B">
              <w:t>Proportion of recurrences that are non-metastatic</w:t>
            </w:r>
          </w:p>
        </w:tc>
        <w:tc>
          <w:tcPr>
            <w:tcW w:w="2829" w:type="pct"/>
            <w:shd w:val="clear" w:color="auto" w:fill="auto"/>
            <w:vAlign w:val="center"/>
          </w:tcPr>
          <w:p w14:paraId="7F7A2E3D" w14:textId="0981F187" w:rsidR="00062CD0" w:rsidRPr="00787A0B" w:rsidRDefault="00062CD0" w:rsidP="00B016D2">
            <w:pPr>
              <w:pStyle w:val="TableText0"/>
            </w:pPr>
            <w:r w:rsidRPr="00787A0B">
              <w:t>A constant proportion was assumed, though varied by model arm (ABE + ET: 2</w:t>
            </w:r>
            <w:r w:rsidR="00177142" w:rsidRPr="00787A0B">
              <w:t>9</w:t>
            </w:r>
            <w:r w:rsidRPr="00787A0B">
              <w:t>%; ET: 26%). The resubmission has not supported that the differences are statistically significant, and so the</w:t>
            </w:r>
            <w:r w:rsidR="00244A0E">
              <w:t xml:space="preserve"> </w:t>
            </w:r>
            <w:r w:rsidR="00244A0E" w:rsidRPr="00FA0201">
              <w:rPr>
                <w:iCs/>
              </w:rPr>
              <w:t>evaluation considered that</w:t>
            </w:r>
            <w:r w:rsidRPr="00787A0B">
              <w:t xml:space="preserve"> approach may not be reasonable. </w:t>
            </w:r>
          </w:p>
        </w:tc>
        <w:tc>
          <w:tcPr>
            <w:tcW w:w="1466" w:type="pct"/>
            <w:shd w:val="clear" w:color="auto" w:fill="auto"/>
            <w:vAlign w:val="center"/>
          </w:tcPr>
          <w:p w14:paraId="0D4CE71B" w14:textId="00CE9C3C" w:rsidR="00062CD0" w:rsidRPr="00787A0B" w:rsidRDefault="00062CD0" w:rsidP="00B016D2">
            <w:pPr>
              <w:pStyle w:val="TableText0"/>
            </w:pPr>
            <w:r w:rsidRPr="00787A0B">
              <w:t xml:space="preserve">Moderate, favours abemaciclib. When </w:t>
            </w:r>
            <w:r w:rsidR="00177142" w:rsidRPr="00787A0B">
              <w:t xml:space="preserve">the pooled proportion was used (28%) </w:t>
            </w:r>
            <w:r w:rsidRPr="00787A0B">
              <w:t xml:space="preserve">across both model arms, the ICER increased to </w:t>
            </w:r>
            <w:r w:rsidR="00177142" w:rsidRPr="00787A0B">
              <w:t>$</w:t>
            </w:r>
            <w:r w:rsidR="0013119A" w:rsidRPr="0013119A">
              <w:rPr>
                <w:color w:val="000000"/>
                <w:spacing w:val="37"/>
                <w:shd w:val="solid" w:color="000000" w:fill="000000"/>
                <w:fitText w:val="441" w:id="-1233471225"/>
                <w14:textFill>
                  <w14:solidFill>
                    <w14:srgbClr w14:val="000000">
                      <w14:alpha w14:val="100000"/>
                    </w14:srgbClr>
                  </w14:solidFill>
                </w14:textFill>
              </w:rPr>
              <w:t>|||||</w:t>
            </w:r>
            <w:r w:rsidR="0013119A" w:rsidRPr="0013119A">
              <w:rPr>
                <w:color w:val="000000"/>
                <w:spacing w:val="1"/>
                <w:shd w:val="solid" w:color="000000" w:fill="000000"/>
                <w:fitText w:val="441" w:id="-1233471225"/>
                <w14:textFill>
                  <w14:solidFill>
                    <w14:srgbClr w14:val="000000">
                      <w14:alpha w14:val="100000"/>
                    </w14:srgbClr>
                  </w14:solidFill>
                </w14:textFill>
              </w:rPr>
              <w:t>|</w:t>
            </w:r>
            <w:r w:rsidR="008759DD" w:rsidRPr="008759DD">
              <w:t xml:space="preserve"> </w:t>
            </w:r>
            <w:r w:rsidR="004F7EE3" w:rsidRPr="004F7EE3">
              <w:rPr>
                <w:rFonts w:cs="Arial"/>
                <w:b/>
                <w:bCs w:val="0"/>
                <w:szCs w:val="20"/>
                <w:vertAlign w:val="superscript"/>
              </w:rPr>
              <w:t>1</w:t>
            </w:r>
            <w:r w:rsidR="00244A0E">
              <w:t>.</w:t>
            </w:r>
          </w:p>
        </w:tc>
      </w:tr>
      <w:tr w:rsidR="0061753B" w:rsidRPr="00787A0B" w14:paraId="53EA2B12" w14:textId="77777777" w:rsidTr="00061E42">
        <w:tc>
          <w:tcPr>
            <w:tcW w:w="705" w:type="pct"/>
            <w:shd w:val="clear" w:color="auto" w:fill="auto"/>
            <w:vAlign w:val="center"/>
          </w:tcPr>
          <w:p w14:paraId="5C4DEAA3" w14:textId="4DE1CE97" w:rsidR="0061753B" w:rsidRPr="00787A0B" w:rsidRDefault="0061753B" w:rsidP="00B016D2">
            <w:pPr>
              <w:pStyle w:val="TableText0"/>
            </w:pPr>
            <w:r w:rsidRPr="00787A0B">
              <w:t>CDKI use in metastatic setting following adjuvant abemaciclib</w:t>
            </w:r>
          </w:p>
        </w:tc>
        <w:tc>
          <w:tcPr>
            <w:tcW w:w="2829" w:type="pct"/>
            <w:shd w:val="clear" w:color="auto" w:fill="auto"/>
            <w:vAlign w:val="center"/>
          </w:tcPr>
          <w:p w14:paraId="342F4D07" w14:textId="27087C66" w:rsidR="0061753B" w:rsidRPr="00787A0B" w:rsidRDefault="0061753B" w:rsidP="00B016D2">
            <w:pPr>
              <w:pStyle w:val="TableText0"/>
            </w:pPr>
            <w:r w:rsidRPr="00787A0B">
              <w:t>The resubmission base case assumes no metastatic CDKI use following adjuvant abemaciclib and</w:t>
            </w:r>
            <w:r w:rsidR="0072654D" w:rsidRPr="00787A0B">
              <w:t xml:space="preserve"> that</w:t>
            </w:r>
            <w:r w:rsidRPr="00787A0B">
              <w:t xml:space="preserve"> the majority of metastatic CDKI use</w:t>
            </w:r>
            <w:r w:rsidR="0072654D" w:rsidRPr="00787A0B">
              <w:t xml:space="preserve"> is</w:t>
            </w:r>
            <w:r w:rsidRPr="00787A0B">
              <w:t xml:space="preserve"> following adjuvant ET alone. The resubmission has tested some metastatic CDKI following abemaciclib through a scenario analysis. As noted previously, this scenario analysis may overestimate the effect of metastatic CDKI as it assumed outcomes with metastatic CDK inhibitors were independent of the treatment received in the adjuvant setting (para</w:t>
            </w:r>
            <w:r w:rsidR="00DD60A7">
              <w:t>graph</w:t>
            </w:r>
            <w:r w:rsidRPr="00787A0B">
              <w:t xml:space="preserve"> 6.42, Abemaciclib PSD, March 2022).</w:t>
            </w:r>
          </w:p>
        </w:tc>
        <w:tc>
          <w:tcPr>
            <w:tcW w:w="1466" w:type="pct"/>
            <w:shd w:val="clear" w:color="auto" w:fill="auto"/>
            <w:vAlign w:val="center"/>
          </w:tcPr>
          <w:p w14:paraId="15AAC8E8" w14:textId="31C008E3" w:rsidR="0061753B" w:rsidRPr="00787A0B" w:rsidRDefault="0061753B" w:rsidP="00B016D2">
            <w:pPr>
              <w:pStyle w:val="TableText0"/>
            </w:pPr>
            <w:r w:rsidRPr="00787A0B">
              <w:t>Moderate, favours abemaciclib. When some metastatic CDKI use following adjuvant abemaciclib is modelled so that no additional benefit is received</w:t>
            </w:r>
            <w:r w:rsidRPr="00787A0B">
              <w:rPr>
                <w:vertAlign w:val="superscript"/>
              </w:rPr>
              <w:t xml:space="preserve">b </w:t>
            </w:r>
            <w:r w:rsidRPr="00787A0B">
              <w:t>and no adjustments made to the ET arm, the ICER increased to $</w:t>
            </w:r>
            <w:r w:rsidR="0013119A" w:rsidRPr="0013119A">
              <w:rPr>
                <w:color w:val="000000"/>
                <w:spacing w:val="37"/>
                <w:shd w:val="solid" w:color="000000" w:fill="000000"/>
                <w:fitText w:val="441" w:id="-1233471224"/>
                <w14:textFill>
                  <w14:solidFill>
                    <w14:srgbClr w14:val="000000">
                      <w14:alpha w14:val="100000"/>
                    </w14:srgbClr>
                  </w14:solidFill>
                </w14:textFill>
              </w:rPr>
              <w:t>|||||</w:t>
            </w:r>
            <w:r w:rsidR="0013119A" w:rsidRPr="0013119A">
              <w:rPr>
                <w:color w:val="000000"/>
                <w:spacing w:val="1"/>
                <w:shd w:val="solid" w:color="000000" w:fill="000000"/>
                <w:fitText w:val="441" w:id="-1233471224"/>
                <w14:textFill>
                  <w14:solidFill>
                    <w14:srgbClr w14:val="000000">
                      <w14:alpha w14:val="100000"/>
                    </w14:srgbClr>
                  </w14:solidFill>
                </w14:textFill>
              </w:rPr>
              <w:t>|</w:t>
            </w:r>
            <w:r w:rsidR="008759DD" w:rsidRPr="008759DD">
              <w:t xml:space="preserve"> </w:t>
            </w:r>
            <w:r w:rsidR="004F7EE3" w:rsidRPr="004F7EE3">
              <w:rPr>
                <w:rFonts w:cs="Arial"/>
                <w:b/>
                <w:bCs w:val="0"/>
                <w:szCs w:val="20"/>
                <w:vertAlign w:val="superscript"/>
              </w:rPr>
              <w:t>1</w:t>
            </w:r>
            <w:r w:rsidRPr="00787A0B">
              <w:t xml:space="preserve">. </w:t>
            </w:r>
          </w:p>
        </w:tc>
      </w:tr>
      <w:tr w:rsidR="0061753B" w:rsidRPr="00787A0B" w14:paraId="40A08E70" w14:textId="77777777" w:rsidTr="00061E42">
        <w:tc>
          <w:tcPr>
            <w:tcW w:w="705" w:type="pct"/>
            <w:shd w:val="clear" w:color="auto" w:fill="auto"/>
            <w:vAlign w:val="center"/>
          </w:tcPr>
          <w:p w14:paraId="7B8ADA2C" w14:textId="77777777" w:rsidR="0061753B" w:rsidRPr="00787A0B" w:rsidRDefault="0061753B" w:rsidP="00B016D2">
            <w:pPr>
              <w:pStyle w:val="TableText0"/>
            </w:pPr>
            <w:r w:rsidRPr="00787A0B">
              <w:t>Proportion of NMRs that are second primary neoplasms</w:t>
            </w:r>
          </w:p>
        </w:tc>
        <w:tc>
          <w:tcPr>
            <w:tcW w:w="2829" w:type="pct"/>
            <w:shd w:val="clear" w:color="auto" w:fill="auto"/>
            <w:vAlign w:val="center"/>
          </w:tcPr>
          <w:p w14:paraId="18E0D3C8" w14:textId="77777777" w:rsidR="0061753B" w:rsidRPr="00787A0B" w:rsidRDefault="0061753B" w:rsidP="00B016D2">
            <w:pPr>
              <w:pStyle w:val="TableText0"/>
            </w:pPr>
            <w:r w:rsidRPr="00787A0B">
              <w:t xml:space="preserve">The resubmission has assumed that the proportion of NMR events resulting in second primary neoplasms is the same across modelled arms. </w:t>
            </w:r>
            <w:r w:rsidRPr="00787A0B">
              <w:rPr>
                <w:iCs/>
              </w:rPr>
              <w:t>This may not be reasonable as while</w:t>
            </w:r>
            <w:r w:rsidRPr="00787A0B">
              <w:t xml:space="preserve"> treatment with abemaciclib is not likely to alter the incidence of secondary primaries, if abemaciclib delays or prevents breast cancer recurrence, more patients in this arm may be at risk of a second primary neoplasm as they remain in IDFS.</w:t>
            </w:r>
          </w:p>
        </w:tc>
        <w:tc>
          <w:tcPr>
            <w:tcW w:w="1466" w:type="pct"/>
            <w:shd w:val="clear" w:color="auto" w:fill="auto"/>
            <w:vAlign w:val="center"/>
          </w:tcPr>
          <w:p w14:paraId="042954A2" w14:textId="2E7C972C" w:rsidR="0061753B" w:rsidRPr="00787A0B" w:rsidRDefault="0061753B" w:rsidP="00B016D2">
            <w:pPr>
              <w:pStyle w:val="TableText0"/>
            </w:pPr>
            <w:r w:rsidRPr="00787A0B">
              <w:t>Moderate, favours abemaciclib. When a difference was assumed in the incidence of secondary primary neoplasm across modelled arms (30% in ABE + ET and 25% in ET)</w:t>
            </w:r>
            <w:r w:rsidRPr="00787A0B">
              <w:rPr>
                <w:vertAlign w:val="superscript"/>
              </w:rPr>
              <w:t>a</w:t>
            </w:r>
            <w:r w:rsidRPr="00787A0B">
              <w:t>, the ICER increased to $</w:t>
            </w:r>
            <w:r w:rsidR="0013119A" w:rsidRPr="0013119A">
              <w:rPr>
                <w:color w:val="000000"/>
                <w:spacing w:val="37"/>
                <w:shd w:val="solid" w:color="000000" w:fill="000000"/>
                <w:fitText w:val="441" w:id="-1233471223"/>
                <w14:textFill>
                  <w14:solidFill>
                    <w14:srgbClr w14:val="000000">
                      <w14:alpha w14:val="100000"/>
                    </w14:srgbClr>
                  </w14:solidFill>
                </w14:textFill>
              </w:rPr>
              <w:t>|||||</w:t>
            </w:r>
            <w:r w:rsidR="0013119A" w:rsidRPr="0013119A">
              <w:rPr>
                <w:color w:val="000000"/>
                <w:spacing w:val="1"/>
                <w:shd w:val="solid" w:color="000000" w:fill="000000"/>
                <w:fitText w:val="441" w:id="-1233471223"/>
                <w14:textFill>
                  <w14:solidFill>
                    <w14:srgbClr w14:val="000000">
                      <w14:alpha w14:val="100000"/>
                    </w14:srgbClr>
                  </w14:solidFill>
                </w14:textFill>
              </w:rPr>
              <w:t>|</w:t>
            </w:r>
            <w:r w:rsidR="008759DD" w:rsidRPr="008759DD">
              <w:t xml:space="preserve"> </w:t>
            </w:r>
            <w:r w:rsidR="004F7EE3" w:rsidRPr="004F7EE3">
              <w:rPr>
                <w:rFonts w:cs="Arial"/>
                <w:b/>
                <w:bCs w:val="0"/>
                <w:szCs w:val="20"/>
                <w:vertAlign w:val="superscript"/>
              </w:rPr>
              <w:t>1</w:t>
            </w:r>
            <w:r w:rsidRPr="00787A0B">
              <w:t>.</w:t>
            </w:r>
          </w:p>
        </w:tc>
      </w:tr>
    </w:tbl>
    <w:p w14:paraId="0DB0C9A9" w14:textId="77777777" w:rsidR="00062CD0" w:rsidRPr="00787A0B" w:rsidRDefault="00062CD0" w:rsidP="00B016D2">
      <w:pPr>
        <w:pStyle w:val="TableFigureFooter"/>
        <w:keepNext/>
        <w:rPr>
          <w:iCs/>
        </w:rPr>
      </w:pPr>
      <w:r w:rsidRPr="00787A0B">
        <w:rPr>
          <w:iCs/>
        </w:rPr>
        <w:t>Source: Constructed during the evaluation.</w:t>
      </w:r>
    </w:p>
    <w:p w14:paraId="5234FFA8" w14:textId="77777777" w:rsidR="00062CD0" w:rsidRPr="008A3BDF" w:rsidRDefault="00062CD0" w:rsidP="00B016D2">
      <w:pPr>
        <w:pStyle w:val="TableFigureFooter"/>
        <w:keepNext/>
      </w:pPr>
      <w:r w:rsidRPr="008A3BDF">
        <w:t xml:space="preserve">AIC = Akaike’s Information Criterion; BIC = Bayesian Information Criterion; CDK4/6 = cyclin-dependent kinases 4 and 6; ER-MBC = endocrine-resistant metastatic breast cancer; ES-MBC = endocrine-sensitive metastatic breast cancer; ET = endocrine therapy; HER2 = human epidermal growth factor receptor-2; ICER = incremental cost-effectiveness ratio; IDFS = invasive disease-free survival; LY = life </w:t>
      </w:r>
      <w:r w:rsidRPr="008A3BDF">
        <w:lastRenderedPageBreak/>
        <w:t>years; NMR = non-metastatic recurrence; NSAI = non-steroidal aromatase inhibitor; OS = overall survival; PFS = progression-free survival; PPS = post-progression survival.</w:t>
      </w:r>
    </w:p>
    <w:p w14:paraId="5640B0C3" w14:textId="77777777" w:rsidR="00062CD0" w:rsidRDefault="00062CD0" w:rsidP="00B016D2">
      <w:pPr>
        <w:pStyle w:val="TableFigureFooter"/>
        <w:keepNext/>
      </w:pPr>
      <w:r>
        <w:rPr>
          <w:vertAlign w:val="superscript"/>
        </w:rPr>
        <w:t>a</w:t>
      </w:r>
      <w:r>
        <w:t xml:space="preserve"> This reflects half of the observed difference in the ITT population.</w:t>
      </w:r>
    </w:p>
    <w:p w14:paraId="0ACA15CA" w14:textId="6DEA3DC3" w:rsidR="00062CD0" w:rsidRDefault="00062CD0" w:rsidP="00B016D2">
      <w:pPr>
        <w:pStyle w:val="TableFigureFooter"/>
        <w:keepNext/>
        <w:spacing w:after="0"/>
      </w:pPr>
      <w:r>
        <w:rPr>
          <w:vertAlign w:val="superscript"/>
        </w:rPr>
        <w:t>b</w:t>
      </w:r>
      <w:r>
        <w:t xml:space="preserve"> CDKI pay-off altered in the intervention arm of the metastatic setting such that the life years gained and time on treatment was the same as FUL (alone) for ET-MBC and NSAI (alone) for ES-MBC. CDKI use in intervention arm modelled as 15% in ET-MBC and 10% in ES-MBC, remaining patients proportional distributed to other treatment paths. </w:t>
      </w:r>
    </w:p>
    <w:p w14:paraId="5A6AB85B" w14:textId="77777777" w:rsidR="004F7EE3" w:rsidRDefault="004F7EE3" w:rsidP="00B016D2">
      <w:pPr>
        <w:keepNext/>
        <w:rPr>
          <w:rFonts w:ascii="Arial Narrow" w:hAnsi="Arial Narrow"/>
          <w:i/>
          <w:sz w:val="18"/>
          <w:szCs w:val="18"/>
        </w:rPr>
      </w:pPr>
      <w:r>
        <w:rPr>
          <w:rFonts w:ascii="Arial Narrow" w:hAnsi="Arial Narrow"/>
          <w:i/>
          <w:sz w:val="18"/>
          <w:szCs w:val="18"/>
        </w:rPr>
        <w:t xml:space="preserve">The redacted values correspond to the following ranges: </w:t>
      </w:r>
    </w:p>
    <w:p w14:paraId="4B2F5C04" w14:textId="74E3B15D" w:rsidR="004F7EE3" w:rsidRDefault="004F7EE3" w:rsidP="00B016D2">
      <w:pPr>
        <w:keepNext/>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4F7EE3">
        <w:rPr>
          <w:rFonts w:ascii="Arial Narrow" w:hAnsi="Arial Narrow"/>
          <w:i/>
          <w:sz w:val="18"/>
          <w:szCs w:val="18"/>
        </w:rPr>
        <w:t>$35,000 to &lt; $45,000</w:t>
      </w:r>
    </w:p>
    <w:p w14:paraId="616F92C0" w14:textId="52660265" w:rsidR="00B635DC" w:rsidRDefault="004F7EE3" w:rsidP="00B016D2">
      <w:pPr>
        <w:keepNext/>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00B635DC" w:rsidRPr="004F7EE3">
        <w:rPr>
          <w:rFonts w:ascii="Arial Narrow" w:hAnsi="Arial Narrow"/>
          <w:i/>
          <w:sz w:val="18"/>
          <w:szCs w:val="18"/>
        </w:rPr>
        <w:t>$55,000 to &lt; $75,000</w:t>
      </w:r>
    </w:p>
    <w:p w14:paraId="11674F13" w14:textId="24615633" w:rsidR="004F7EE3" w:rsidRDefault="004F7EE3" w:rsidP="00B016D2">
      <w:pPr>
        <w:keepNext/>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4F7EE3">
        <w:rPr>
          <w:rFonts w:ascii="Arial Narrow" w:hAnsi="Arial Narrow"/>
          <w:i/>
          <w:sz w:val="18"/>
          <w:szCs w:val="18"/>
        </w:rPr>
        <w:t>$115,000 to &lt; $135,000</w:t>
      </w:r>
    </w:p>
    <w:p w14:paraId="4E505A1A" w14:textId="7E8CCCC6" w:rsidR="004F7EE3" w:rsidRPr="004F7EE3" w:rsidRDefault="004F7EE3" w:rsidP="00B016D2">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635DC" w:rsidRPr="004F7EE3">
        <w:rPr>
          <w:rFonts w:ascii="Arial Narrow" w:hAnsi="Arial Narrow"/>
          <w:i/>
          <w:sz w:val="18"/>
          <w:szCs w:val="18"/>
        </w:rPr>
        <w:t>$15,000 to &lt; $25,000</w:t>
      </w:r>
    </w:p>
    <w:p w14:paraId="05B29DE9" w14:textId="1A9B0D30" w:rsidR="00062CD0" w:rsidRDefault="00062CD0" w:rsidP="00062CD0">
      <w:pPr>
        <w:pStyle w:val="3-BodyText"/>
      </w:pPr>
      <w:r w:rsidRPr="00787A0B">
        <w:t>Updated IDFS data from monarchE were not used in the resubmission’s</w:t>
      </w:r>
      <w:r w:rsidR="00B37CFA" w:rsidRPr="00787A0B">
        <w:t xml:space="preserve"> economic</w:t>
      </w:r>
      <w:r w:rsidRPr="00787A0B">
        <w:t xml:space="preserve"> analysis. This may not be reasonable given the high degree of uncertainty in the extrapolations previously noted (para</w:t>
      </w:r>
      <w:r w:rsidR="00DD60A7">
        <w:t>graph</w:t>
      </w:r>
      <w:r w:rsidRPr="00787A0B">
        <w:t xml:space="preserve"> 6.</w:t>
      </w:r>
      <w:r w:rsidR="0061753B" w:rsidRPr="00787A0B">
        <w:t>29</w:t>
      </w:r>
      <w:r w:rsidRPr="00787A0B">
        <w:t xml:space="preserve">, Abemaciclib March 2022). </w:t>
      </w:r>
      <w:r w:rsidRPr="008A3BDF">
        <w:t xml:space="preserve">The </w:t>
      </w:r>
      <w:r>
        <w:t>updated</w:t>
      </w:r>
      <w:r w:rsidRPr="008A3BDF">
        <w:t xml:space="preserve"> data </w:t>
      </w:r>
      <w:r>
        <w:t>presented in the resubmission (</w:t>
      </w:r>
      <w:r w:rsidRPr="008A3BDF">
        <w:t>July 2022</w:t>
      </w:r>
      <w:r>
        <w:t xml:space="preserve"> data cut)</w:t>
      </w:r>
      <w:r w:rsidRPr="008A3BDF">
        <w:t xml:space="preserve"> </w:t>
      </w:r>
      <w:r>
        <w:t xml:space="preserve">were, however, used </w:t>
      </w:r>
      <w:r w:rsidRPr="008A3BDF">
        <w:t>to validate extrapolations.</w:t>
      </w:r>
      <w:r>
        <w:t xml:space="preserve"> </w:t>
      </w:r>
      <w:r w:rsidRPr="00787A0B">
        <w:t>The updated data suggests that the extrapolations are slightly conservative</w:t>
      </w:r>
      <w:r w:rsidR="0027685A" w:rsidRPr="00787A0B">
        <w:t xml:space="preserve"> during the observed period</w:t>
      </w:r>
      <w:r w:rsidRPr="00787A0B">
        <w:t xml:space="preserve"> in the intervention arm, see </w:t>
      </w:r>
      <w:r w:rsidRPr="00787A0B">
        <w:fldChar w:fldCharType="begin"/>
      </w:r>
      <w:r w:rsidRPr="00787A0B">
        <w:instrText xml:space="preserve"> REF _Ref124178544 \h  \* MERGEFORMAT </w:instrText>
      </w:r>
      <w:r w:rsidRPr="00787A0B">
        <w:fldChar w:fldCharType="separate"/>
      </w:r>
      <w:r w:rsidR="0001201E">
        <w:t xml:space="preserve">Figure </w:t>
      </w:r>
      <w:r w:rsidR="0001201E">
        <w:rPr>
          <w:noProof/>
        </w:rPr>
        <w:t>7</w:t>
      </w:r>
      <w:r w:rsidRPr="00787A0B">
        <w:fldChar w:fldCharType="end"/>
      </w:r>
      <w:r w:rsidRPr="00787A0B">
        <w:t>.</w:t>
      </w:r>
    </w:p>
    <w:p w14:paraId="3060979D" w14:textId="2F8A12A7" w:rsidR="00062CD0" w:rsidRDefault="00062CD0" w:rsidP="00062CD0">
      <w:pPr>
        <w:pStyle w:val="Caption"/>
      </w:pPr>
      <w:bookmarkStart w:id="44" w:name="_Ref124178544"/>
      <w:r>
        <w:t xml:space="preserve">Figure </w:t>
      </w:r>
      <w:fldSimple w:instr=" SEQ Figure \* ARABIC ">
        <w:r w:rsidR="0001201E">
          <w:rPr>
            <w:noProof/>
          </w:rPr>
          <w:t>7</w:t>
        </w:r>
      </w:fldSimple>
      <w:bookmarkEnd w:id="44"/>
      <w:r>
        <w:t>: Comparison of AFU2 data cut and modelled IDFS curves</w:t>
      </w:r>
    </w:p>
    <w:p w14:paraId="3E569C16" w14:textId="1E928A35" w:rsidR="00650F1A" w:rsidRPr="00650F1A" w:rsidRDefault="00650F1A" w:rsidP="00650F1A">
      <w:r>
        <w:rPr>
          <w:noProof/>
        </w:rPr>
        <w:drawing>
          <wp:inline distT="0" distB="0" distL="0" distR="0" wp14:anchorId="76CCD051" wp14:editId="39622691">
            <wp:extent cx="5113325" cy="3411149"/>
            <wp:effectExtent l="0" t="0" r="635" b="4445"/>
            <wp:docPr id="5" name="Picture 5" descr="Figure 7: Comparison of AFU2 data cut and modelled IDFS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7: Comparison of AFU2 data cut and modelled IDFS curves"/>
                    <pic:cNvPicPr/>
                  </pic:nvPicPr>
                  <pic:blipFill>
                    <a:blip r:embed="rId14"/>
                    <a:stretch>
                      <a:fillRect/>
                    </a:stretch>
                  </pic:blipFill>
                  <pic:spPr>
                    <a:xfrm>
                      <a:off x="0" y="0"/>
                      <a:ext cx="5113325" cy="3411149"/>
                    </a:xfrm>
                    <a:prstGeom prst="rect">
                      <a:avLst/>
                    </a:prstGeom>
                  </pic:spPr>
                </pic:pic>
              </a:graphicData>
            </a:graphic>
          </wp:inline>
        </w:drawing>
      </w:r>
    </w:p>
    <w:p w14:paraId="27E0EBA9" w14:textId="5D38F6CF" w:rsidR="00650F1A" w:rsidRDefault="00650F1A" w:rsidP="00650F1A">
      <w:pPr>
        <w:pStyle w:val="TableFigureFooter"/>
        <w:keepNext/>
      </w:pPr>
      <w:r>
        <w:t xml:space="preserve">Source: </w:t>
      </w:r>
      <w:r w:rsidRPr="00787A0B">
        <w:t>pp. 217-219 of the resubmission and the ‘A6.1_Abemaciclib Section 3 workbook 2022.xlsm’ workbook included in the resubmission</w:t>
      </w:r>
      <w:r>
        <w:t xml:space="preserve">. </w:t>
      </w:r>
    </w:p>
    <w:p w14:paraId="04A51CB5" w14:textId="1181492D" w:rsidR="00062CD0" w:rsidRPr="00650F1A" w:rsidRDefault="00650F1A" w:rsidP="00650F1A">
      <w:pPr>
        <w:pStyle w:val="TableFigureFooter"/>
        <w:keepNext/>
      </w:pPr>
      <w:r>
        <w:t>ET = endocrine therapy; IDFS = invasive disease-free survival.</w:t>
      </w:r>
    </w:p>
    <w:p w14:paraId="4D4B07D9" w14:textId="22E12069" w:rsidR="00062CD0" w:rsidRPr="0036521D" w:rsidRDefault="00062CD0" w:rsidP="00062CD0">
      <w:pPr>
        <w:pStyle w:val="3-BodyText"/>
      </w:pPr>
      <w:r w:rsidRPr="0036521D">
        <w:t xml:space="preserve">While data from the same data cut were used in the resubmission, these were changed to reflect </w:t>
      </w:r>
      <w:r w:rsidR="00723A71">
        <w:t>Cohort</w:t>
      </w:r>
      <w:r w:rsidRPr="0036521D">
        <w:t xml:space="preserve"> 1 of the</w:t>
      </w:r>
      <w:r w:rsidR="0027685A">
        <w:t xml:space="preserve"> pivotal</w:t>
      </w:r>
      <w:r w:rsidRPr="0036521D">
        <w:t xml:space="preserve"> trial. KM data from this subgroup were used until 32 months</w:t>
      </w:r>
      <w:r w:rsidR="009C5676">
        <w:t xml:space="preserve">. After this time, </w:t>
      </w:r>
      <w:r w:rsidRPr="0036521D">
        <w:t>IDFS was extrapolated using dependant parametric models. The IDFS data modelled therefore remain based on a small number of events (</w:t>
      </w:r>
      <w:r>
        <w:t>8.5% in the intervention arm and 12.4% in the comparator</w:t>
      </w:r>
      <w:r w:rsidRPr="0036521D">
        <w:t xml:space="preserve">) and may not provide a reliable basis for extrapolation. A log-logistic parametric model was chosen for IDFS extrapolation (compared to a Weibull model used previously). Noting the limitations of the underlying data, the log-logistic model is a reasonable choice, as projected </w:t>
      </w:r>
      <w:r w:rsidRPr="0036521D">
        <w:lastRenderedPageBreak/>
        <w:t xml:space="preserve">estimates in the ET arm were consistent with external studies for both IDFS at 5 years (Smith 2017), and metastatic recurrence at 5−20 years (Pan 2017). </w:t>
      </w:r>
    </w:p>
    <w:p w14:paraId="5278DD3B" w14:textId="009C73F1" w:rsidR="00062CD0" w:rsidRPr="008A3BDF" w:rsidRDefault="00062CD0" w:rsidP="00062CD0">
      <w:pPr>
        <w:pStyle w:val="Caption"/>
      </w:pPr>
      <w:r w:rsidRPr="008A3BDF">
        <w:t xml:space="preserve">Figure </w:t>
      </w:r>
      <w:fldSimple w:instr=" SEQ Figure \* ARABIC ">
        <w:r w:rsidR="0001201E">
          <w:rPr>
            <w:noProof/>
          </w:rPr>
          <w:t>8</w:t>
        </w:r>
      </w:fldSimple>
      <w:r w:rsidRPr="008A3BDF">
        <w:t>: Dependant IDFS curve extrapolation</w:t>
      </w:r>
    </w:p>
    <w:p w14:paraId="01CC12A1" w14:textId="77777777" w:rsidR="00062CD0" w:rsidRPr="00787A0B" w:rsidRDefault="00062CD0" w:rsidP="00062CD0">
      <w:pPr>
        <w:pStyle w:val="TableFigureFooter"/>
      </w:pPr>
      <w:r w:rsidRPr="008A3BDF">
        <w:rPr>
          <w:noProof/>
        </w:rPr>
        <w:drawing>
          <wp:inline distT="0" distB="0" distL="0" distR="0" wp14:anchorId="68408C45" wp14:editId="61803CEF">
            <wp:extent cx="5810250" cy="3963035"/>
            <wp:effectExtent l="0" t="0" r="0" b="0"/>
            <wp:docPr id="28" name="Picture 28" descr="Figure 8: Dependant IDFS curve extrap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8: Dependant IDFS curve extrapol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0" cy="3963035"/>
                    </a:xfrm>
                    <a:prstGeom prst="rect">
                      <a:avLst/>
                    </a:prstGeom>
                    <a:noFill/>
                  </pic:spPr>
                </pic:pic>
              </a:graphicData>
            </a:graphic>
          </wp:inline>
        </w:drawing>
      </w:r>
      <w:r w:rsidRPr="00787A0B">
        <w:t xml:space="preserve"> Source: Constructed during the evaluation from the ‘A6.1_Abemaciclib Section 3 workbook 2022.xlsm’ workbook included in the resubmission.</w:t>
      </w:r>
    </w:p>
    <w:p w14:paraId="0CF35713" w14:textId="77777777" w:rsidR="00062CD0" w:rsidRPr="008A3BDF" w:rsidRDefault="00062CD0" w:rsidP="00062CD0">
      <w:pPr>
        <w:pStyle w:val="TableFigureFooter"/>
      </w:pPr>
      <w:r w:rsidRPr="008A3BDF">
        <w:t>ABE = abemaciclib; ET = endocrine therapy; IDFS = invasive disease-free survival; KM = Kaplan-Meier.</w:t>
      </w:r>
    </w:p>
    <w:p w14:paraId="6E602A4D" w14:textId="77777777" w:rsidR="00062CD0" w:rsidRPr="008A3BDF" w:rsidRDefault="00062CD0" w:rsidP="00062CD0">
      <w:pPr>
        <w:pStyle w:val="TableFigureFooter"/>
      </w:pPr>
      <w:r w:rsidRPr="008A3BDF">
        <w:t>* Denotes parametric model chosen in the base case analysis.</w:t>
      </w:r>
    </w:p>
    <w:p w14:paraId="12F15335" w14:textId="638903B9" w:rsidR="00062CD0" w:rsidRPr="00787A0B" w:rsidRDefault="00062CD0" w:rsidP="004F7EE3">
      <w:pPr>
        <w:pStyle w:val="3-BodyText"/>
      </w:pPr>
      <w:r w:rsidRPr="008A3BDF">
        <w:t xml:space="preserve">As dependent parametric functions </w:t>
      </w:r>
      <w:r>
        <w:t>were</w:t>
      </w:r>
      <w:r w:rsidRPr="008A3BDF">
        <w:t xml:space="preserve"> used</w:t>
      </w:r>
      <w:r>
        <w:t xml:space="preserve">, the parametric extrapolations included an ongoing treatment effect of abemaciclib + ET over ET alone. This </w:t>
      </w:r>
      <w:r w:rsidRPr="00A85449">
        <w:t xml:space="preserve">treatment effect was modelled to last </w:t>
      </w:r>
      <w:r w:rsidRPr="00E965A8">
        <w:t>f</w:t>
      </w:r>
      <w:r w:rsidRPr="00A85449">
        <w:t xml:space="preserve">or </w:t>
      </w:r>
      <w:r w:rsidR="00471EFF">
        <w:t>7</w:t>
      </w:r>
      <w:r w:rsidR="00471EFF" w:rsidRPr="00A85449">
        <w:t xml:space="preserve"> </w:t>
      </w:r>
      <w:r w:rsidRPr="00A85449">
        <w:t xml:space="preserve">years, after which the effect of abemaciclib waned </w:t>
      </w:r>
      <w:r>
        <w:t xml:space="preserve">until the extrapolated comparator arm IDFS hazard rate equalled background mortality (Year </w:t>
      </w:r>
      <w:r w:rsidRPr="008A3BDF">
        <w:t>28.9</w:t>
      </w:r>
      <w:r>
        <w:t>)</w:t>
      </w:r>
      <w:r w:rsidRPr="008A3BDF">
        <w:t xml:space="preserve"> (reduced from</w:t>
      </w:r>
      <w:r>
        <w:t xml:space="preserve"> a maintenance of effect until</w:t>
      </w:r>
      <w:r w:rsidRPr="008A3BDF">
        <w:t xml:space="preserve"> year 8</w:t>
      </w:r>
      <w:r>
        <w:t>, with waning until</w:t>
      </w:r>
      <w:r w:rsidRPr="008A3BDF">
        <w:t xml:space="preserve"> year 38 </w:t>
      </w:r>
      <w:r>
        <w:t xml:space="preserve">assumed </w:t>
      </w:r>
      <w:r w:rsidRPr="008A3BDF">
        <w:t xml:space="preserve">previously). </w:t>
      </w:r>
      <w:r w:rsidRPr="00787A0B">
        <w:t>This is substantially longer than advised by the ESC, from year 2 (i.e. the end of adjuvant abemaciclib treatment) to year 7 (para</w:t>
      </w:r>
      <w:r w:rsidR="00DD60A7">
        <w:t>graph</w:t>
      </w:r>
      <w:r w:rsidRPr="00787A0B">
        <w:t xml:space="preserve"> 6.30, Abemaciclib PSD, March 2022). The</w:t>
      </w:r>
      <w:r w:rsidR="00A85449">
        <w:t xml:space="preserve"> </w:t>
      </w:r>
      <w:r w:rsidR="00F843E3" w:rsidRPr="00FA0201">
        <w:rPr>
          <w:iCs/>
        </w:rPr>
        <w:t>evaluation</w:t>
      </w:r>
      <w:r w:rsidR="00F03B5A" w:rsidRPr="00FA0201">
        <w:rPr>
          <w:iCs/>
        </w:rPr>
        <w:t xml:space="preserve"> considered</w:t>
      </w:r>
      <w:r w:rsidR="00F843E3" w:rsidRPr="00FA0201">
        <w:rPr>
          <w:iCs/>
        </w:rPr>
        <w:t xml:space="preserve"> that</w:t>
      </w:r>
      <w:r w:rsidRPr="00787A0B">
        <w:t xml:space="preserve"> updated data from monarchE may provide reasonable justification to extend the treatment effect, as observed from the trial data, to 48 months</w:t>
      </w:r>
      <w:r w:rsidR="00A85449">
        <w:t xml:space="preserve"> </w:t>
      </w:r>
      <w:r w:rsidR="00A85449" w:rsidRPr="00FA0201">
        <w:rPr>
          <w:iCs/>
        </w:rPr>
        <w:t>(Year 4)</w:t>
      </w:r>
      <w:r w:rsidR="00A85449">
        <w:t>,</w:t>
      </w:r>
      <w:r w:rsidR="00272339">
        <w:t xml:space="preserve"> </w:t>
      </w:r>
      <w:r w:rsidRPr="00787A0B">
        <w:t>as any waning in the effect of treatment from the time of treatment cessation until the end of the observed period would have been captured. While data from the most recent data cut were not used in the resubmission’s analysis, this may be reasonable, based on a comparison of the extrapolations with landmark analyses from the updated data at 48 months (</w:t>
      </w:r>
      <w:r w:rsidRPr="00787A0B">
        <w:fldChar w:fldCharType="begin"/>
      </w:r>
      <w:r w:rsidRPr="00787A0B">
        <w:instrText xml:space="preserve"> REF _Ref124178544 \h  \* MERGEFORMAT </w:instrText>
      </w:r>
      <w:r w:rsidRPr="00787A0B">
        <w:fldChar w:fldCharType="separate"/>
      </w:r>
      <w:r w:rsidR="0001201E">
        <w:t xml:space="preserve">Figure </w:t>
      </w:r>
      <w:r w:rsidR="0001201E">
        <w:rPr>
          <w:noProof/>
        </w:rPr>
        <w:t>7</w:t>
      </w:r>
      <w:r w:rsidRPr="00787A0B">
        <w:fldChar w:fldCharType="end"/>
      </w:r>
      <w:r w:rsidRPr="00787A0B">
        <w:t xml:space="preserve">). However, beyond this period, the treatment effect of abemaciclib is associated with </w:t>
      </w:r>
      <w:r w:rsidRPr="00787A0B">
        <w:lastRenderedPageBreak/>
        <w:t xml:space="preserve">substantial uncertainty. </w:t>
      </w:r>
      <w:r w:rsidR="00A85449" w:rsidRPr="00787A0B">
        <w:t>T</w:t>
      </w:r>
      <w:r w:rsidRPr="00787A0B">
        <w:t>he</w:t>
      </w:r>
      <w:r w:rsidR="00A85449">
        <w:t xml:space="preserve"> </w:t>
      </w:r>
      <w:r w:rsidR="00A85449" w:rsidRPr="001D6911">
        <w:rPr>
          <w:iCs/>
        </w:rPr>
        <w:t>ESC noted that the</w:t>
      </w:r>
      <w:r w:rsidRPr="00787A0B">
        <w:t xml:space="preserve"> resubmission </w:t>
      </w:r>
      <w:r w:rsidR="00A85449">
        <w:t>did</w:t>
      </w:r>
      <w:r w:rsidR="00A85449" w:rsidRPr="00787A0B">
        <w:t xml:space="preserve"> </w:t>
      </w:r>
      <w:r w:rsidRPr="00787A0B">
        <w:t xml:space="preserve">not provide evidence specific to the use of abemaciclib, </w:t>
      </w:r>
      <w:r w:rsidR="00A85449" w:rsidRPr="001D6911">
        <w:rPr>
          <w:iCs/>
        </w:rPr>
        <w:t>and therefore</w:t>
      </w:r>
      <w:r w:rsidR="00A85449">
        <w:t xml:space="preserve"> </w:t>
      </w:r>
      <w:r w:rsidRPr="00787A0B">
        <w:t xml:space="preserve">assumptions regarding the duration of treatment effect remain highly uncertain. The ICER was observed to be sensitive to changes in these assumptions, where a waning in effect from Year </w:t>
      </w:r>
      <w:r w:rsidR="003F7AED">
        <w:t>4</w:t>
      </w:r>
      <w:r w:rsidRPr="00787A0B">
        <w:t xml:space="preserve"> to Year 7 increased the ICER to </w:t>
      </w:r>
      <w:r w:rsidR="004F7EE3" w:rsidRPr="004F7EE3">
        <w:t xml:space="preserve">$55,000 to &lt; $75,000 </w:t>
      </w:r>
      <w:r w:rsidRPr="00787A0B">
        <w:t xml:space="preserve">. The effect of assumptions around treatment effect waning on the modelled IDFS curve is presented in </w:t>
      </w:r>
      <w:r w:rsidRPr="00787A0B">
        <w:fldChar w:fldCharType="begin"/>
      </w:r>
      <w:r w:rsidRPr="00787A0B">
        <w:instrText xml:space="preserve"> REF _Ref123636406 \h  \* MERGEFORMAT </w:instrText>
      </w:r>
      <w:r w:rsidRPr="00787A0B">
        <w:fldChar w:fldCharType="separate"/>
      </w:r>
      <w:r w:rsidR="0001201E" w:rsidRPr="008A3BDF">
        <w:t xml:space="preserve">Figure </w:t>
      </w:r>
      <w:r w:rsidR="0001201E">
        <w:rPr>
          <w:noProof/>
        </w:rPr>
        <w:t>9</w:t>
      </w:r>
      <w:r w:rsidRPr="00787A0B">
        <w:fldChar w:fldCharType="end"/>
      </w:r>
      <w:r w:rsidRPr="00787A0B">
        <w:t>.</w:t>
      </w:r>
    </w:p>
    <w:p w14:paraId="4F11DB77" w14:textId="7295DF29" w:rsidR="00062CD0" w:rsidRPr="008A3BDF" w:rsidRDefault="00062CD0" w:rsidP="00062CD0">
      <w:pPr>
        <w:pStyle w:val="Caption"/>
      </w:pPr>
      <w:bookmarkStart w:id="45" w:name="_Ref123636406"/>
      <w:r w:rsidRPr="008A3BDF">
        <w:t xml:space="preserve">Figure </w:t>
      </w:r>
      <w:fldSimple w:instr=" SEQ Figure \* ARABIC ">
        <w:r w:rsidR="0001201E">
          <w:rPr>
            <w:noProof/>
          </w:rPr>
          <w:t>9</w:t>
        </w:r>
      </w:fldSimple>
      <w:bookmarkEnd w:id="45"/>
      <w:r w:rsidRPr="008A3BDF">
        <w:t>: The effect of the treatment waning period on the ABE + ET IDFS curve</w:t>
      </w:r>
    </w:p>
    <w:p w14:paraId="7B1D3B72" w14:textId="77777777" w:rsidR="00062CD0" w:rsidRPr="008A3BDF" w:rsidRDefault="00062CD0" w:rsidP="00062CD0">
      <w:r w:rsidRPr="008A3BDF">
        <w:rPr>
          <w:noProof/>
        </w:rPr>
        <w:drawing>
          <wp:inline distT="0" distB="0" distL="0" distR="0" wp14:anchorId="5DE2029E" wp14:editId="4FCAC718">
            <wp:extent cx="5796420" cy="3810000"/>
            <wp:effectExtent l="0" t="0" r="0" b="0"/>
            <wp:docPr id="34" name="Picture 34" descr="Figure 9: The effect of the treatment waning period on the ABE + ET IDFS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9: The effect of the treatment waning period on the ABE + ET IDFS cur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3473" cy="3814636"/>
                    </a:xfrm>
                    <a:prstGeom prst="rect">
                      <a:avLst/>
                    </a:prstGeom>
                    <a:noFill/>
                  </pic:spPr>
                </pic:pic>
              </a:graphicData>
            </a:graphic>
          </wp:inline>
        </w:drawing>
      </w:r>
    </w:p>
    <w:p w14:paraId="2B7E6EBD" w14:textId="77777777" w:rsidR="00062CD0" w:rsidRPr="008A3BDF" w:rsidRDefault="00062CD0" w:rsidP="00062CD0">
      <w:pPr>
        <w:pStyle w:val="TableFigureFooter"/>
      </w:pPr>
      <w:r w:rsidRPr="008A3BDF">
        <w:t xml:space="preserve">Source: Constructed during the evaluation from the ‘A6.1_Abemaciclib Section 3 workbook 2022.xlsm’ workbook included in the resubmission. </w:t>
      </w:r>
    </w:p>
    <w:p w14:paraId="2C6B18E9" w14:textId="77777777" w:rsidR="00062CD0" w:rsidRPr="008A3BDF" w:rsidRDefault="00062CD0" w:rsidP="00062CD0">
      <w:pPr>
        <w:pStyle w:val="TableFigureFooter"/>
      </w:pPr>
      <w:r w:rsidRPr="008A3BDF">
        <w:t>ABE = abemaciclib; ET = endocrine therapy; IDFS = invasive disease-free survival; KM = Kaplan-Meier.</w:t>
      </w:r>
    </w:p>
    <w:p w14:paraId="23A76ABA" w14:textId="77777777" w:rsidR="00062CD0" w:rsidRPr="008A3BDF" w:rsidRDefault="00062CD0" w:rsidP="00062CD0">
      <w:pPr>
        <w:pStyle w:val="TableFigureFooter"/>
      </w:pPr>
      <w:r w:rsidRPr="008A3BDF">
        <w:t>Note: Curves were constructed using the resubmission’s base case parameters (dependant log-logistic curves).</w:t>
      </w:r>
    </w:p>
    <w:p w14:paraId="68B6315E" w14:textId="77777777" w:rsidR="00062CD0" w:rsidRPr="008A3BDF" w:rsidRDefault="00062CD0" w:rsidP="00062CD0">
      <w:pPr>
        <w:pStyle w:val="TableFigureFooter"/>
      </w:pPr>
      <w:r w:rsidRPr="008A3BDF">
        <w:t xml:space="preserve">*Denotes the resubmission’s base case.  </w:t>
      </w:r>
    </w:p>
    <w:p w14:paraId="4AD38ED6" w14:textId="15BB5FEC" w:rsidR="00B95971" w:rsidRPr="000C5166" w:rsidRDefault="006B6B91" w:rsidP="008226A2">
      <w:pPr>
        <w:pStyle w:val="3-BodyText"/>
      </w:pPr>
      <w:bookmarkStart w:id="46" w:name="_Ref127360441"/>
      <w:bookmarkStart w:id="47" w:name="_Hlk130499728"/>
      <w:r w:rsidRPr="00FA0201">
        <w:rPr>
          <w:iCs/>
        </w:rPr>
        <w:t xml:space="preserve">The ESC agreed with the evaluation that </w:t>
      </w:r>
      <w:r w:rsidRPr="00FA0201">
        <w:t>based on updated data provided in the resubmission (AFU2), an abemaciclib treatment effect maintenance period until the end of Year 4 (48 months) may be reasonable. However, the ESC noted that using 4 years of data to predict the next 2</w:t>
      </w:r>
      <w:r w:rsidR="0027621C" w:rsidRPr="00FA0201">
        <w:t>5</w:t>
      </w:r>
      <w:r w:rsidRPr="00FA0201">
        <w:t xml:space="preserve"> years</w:t>
      </w:r>
      <w:r w:rsidR="001E25EF" w:rsidRPr="00FA0201">
        <w:t xml:space="preserve"> of treatment effect</w:t>
      </w:r>
      <w:r w:rsidRPr="00FA0201">
        <w:t xml:space="preserve"> is highly uncertain</w:t>
      </w:r>
      <w:r w:rsidR="0027621C" w:rsidRPr="00FA0201">
        <w:t xml:space="preserve"> (submission base case: </w:t>
      </w:r>
      <w:r w:rsidR="004B0496" w:rsidRPr="00FA0201">
        <w:t xml:space="preserve">full treatment effect until year 7 with </w:t>
      </w:r>
      <w:r w:rsidR="00E965A8" w:rsidRPr="00FA0201">
        <w:t xml:space="preserve">treatment </w:t>
      </w:r>
      <w:r w:rsidR="0027621C" w:rsidRPr="00FA0201">
        <w:t>waning from Year 7 to Year 28.9)</w:t>
      </w:r>
      <w:r w:rsidRPr="00FA0201">
        <w:t>. The ESC considered that</w:t>
      </w:r>
      <w:r w:rsidR="0027621C" w:rsidRPr="00FA0201">
        <w:t xml:space="preserve"> treatment waning from Year 4 to Year 7 would be a more</w:t>
      </w:r>
      <w:r w:rsidRPr="00FA0201">
        <w:t xml:space="preserve"> reasonable</w:t>
      </w:r>
      <w:r w:rsidR="0027621C" w:rsidRPr="00FA0201">
        <w:t xml:space="preserve"> </w:t>
      </w:r>
      <w:r w:rsidR="00272339" w:rsidRPr="00FA0201">
        <w:t>assumption</w:t>
      </w:r>
      <w:r w:rsidR="0027621C" w:rsidRPr="00FA0201">
        <w:t>.</w:t>
      </w:r>
      <w:bookmarkEnd w:id="46"/>
      <w:r w:rsidR="0027621C" w:rsidRPr="00FA0201">
        <w:t xml:space="preserve"> </w:t>
      </w:r>
      <w:r w:rsidR="00A5498F">
        <w:t xml:space="preserve">The pre-PBAC response argued that the piecewise </w:t>
      </w:r>
      <w:r w:rsidR="006C5D27">
        <w:t xml:space="preserve">hazard </w:t>
      </w:r>
      <w:r w:rsidR="00F337F6">
        <w:t>ratios</w:t>
      </w:r>
      <w:r w:rsidR="00A5498F">
        <w:t xml:space="preserve"> for IDFS and DRFS </w:t>
      </w:r>
      <w:r w:rsidR="0062435F">
        <w:t>(</w:t>
      </w:r>
      <w:r w:rsidR="0062435F">
        <w:fldChar w:fldCharType="begin"/>
      </w:r>
      <w:r w:rsidR="0062435F">
        <w:instrText xml:space="preserve"> REF _Ref130205373 \h  \* MERGEFORMAT </w:instrText>
      </w:r>
      <w:r w:rsidR="0062435F">
        <w:fldChar w:fldCharType="separate"/>
      </w:r>
      <w:r w:rsidR="0001201E" w:rsidRPr="0001201E">
        <w:t>Table 6</w:t>
      </w:r>
      <w:r w:rsidR="0062435F">
        <w:fldChar w:fldCharType="end"/>
      </w:r>
      <w:r w:rsidR="0062435F">
        <w:t xml:space="preserve">) </w:t>
      </w:r>
      <w:r w:rsidR="00A5498F">
        <w:t>suggest</w:t>
      </w:r>
      <w:r w:rsidR="000157BB">
        <w:t xml:space="preserve"> that</w:t>
      </w:r>
      <w:r w:rsidR="00A5498F">
        <w:t xml:space="preserve"> the magnitude of the effect size of abemaciclib increase</w:t>
      </w:r>
      <w:r w:rsidR="000C5166">
        <w:t>s</w:t>
      </w:r>
      <w:r w:rsidR="00A5498F">
        <w:t xml:space="preserve"> over time</w:t>
      </w:r>
      <w:r w:rsidR="007B69F8">
        <w:t xml:space="preserve"> </w:t>
      </w:r>
      <w:r w:rsidR="00F337F6">
        <w:t xml:space="preserve">and </w:t>
      </w:r>
      <w:r w:rsidR="000157BB">
        <w:t xml:space="preserve">do not support a rapid reduction in treatment effect at Year 4. The pre-PBAC response also </w:t>
      </w:r>
      <w:r w:rsidR="00F337F6">
        <w:t xml:space="preserve">noted that treatment waning maintained </w:t>
      </w:r>
      <w:r w:rsidR="000157BB">
        <w:t xml:space="preserve">to Year 7 </w:t>
      </w:r>
      <w:r w:rsidR="000C5166">
        <w:t xml:space="preserve">had previously been accepted </w:t>
      </w:r>
      <w:r w:rsidR="00F337F6">
        <w:t xml:space="preserve">in the early breast cancer setting </w:t>
      </w:r>
      <w:r w:rsidR="00F337F6">
        <w:lastRenderedPageBreak/>
        <w:t>for TDM-1</w:t>
      </w:r>
      <w:r w:rsidR="000157BB">
        <w:t>,</w:t>
      </w:r>
      <w:r w:rsidR="00F337F6">
        <w:t xml:space="preserve"> despite</w:t>
      </w:r>
      <w:r w:rsidR="000157BB">
        <w:t xml:space="preserve"> annualised hazard rates suggesting a reducing treatment benefit prior to a 7 year threshold (KATHERINE ITT population, NICE [2020])</w:t>
      </w:r>
      <w:r w:rsidR="00F337F6">
        <w:t xml:space="preserve">. </w:t>
      </w:r>
    </w:p>
    <w:bookmarkEnd w:id="47"/>
    <w:p w14:paraId="3E4149F8" w14:textId="0823A403" w:rsidR="00062CD0" w:rsidRPr="008A3BDF" w:rsidRDefault="00062CD0" w:rsidP="00062CD0">
      <w:pPr>
        <w:pStyle w:val="3-BodyText"/>
      </w:pPr>
      <w:r w:rsidRPr="008A3BDF">
        <w:t xml:space="preserve">Unchanged from the previous submission, the resubmission has applied fixed payoffs that represent the expected costs and QALYs in metastatic disease on transition into the health state due to limited follow-up in monarchE. These were based on estimates of life years gained from analyses that explored the cost-effectiveness of abemaciclib in the metastatic setting based on the MONARCH-2 and MONARCH-3 trials (and associated network meta-analyses). </w:t>
      </w:r>
      <w:r w:rsidRPr="00787A0B">
        <w:t>There are likely to be differences between monarchE and the metastatic studies in terms of patient characteristics and the types of therapy provided. The effect of these transitivity issues on the results of the analysis remains unclear. The ESC advised that the application of</w:t>
      </w:r>
      <w:r w:rsidR="00C8297B" w:rsidRPr="00787A0B">
        <w:t xml:space="preserve"> the</w:t>
      </w:r>
      <w:r w:rsidRPr="00787A0B">
        <w:t xml:space="preserve"> one-off costs and QALYs on transition to the metastatic recurrence substates was not justified due to these transitivity issues</w:t>
      </w:r>
      <w:r w:rsidR="00C8297B" w:rsidRPr="00787A0B">
        <w:t xml:space="preserve"> (para</w:t>
      </w:r>
      <w:r w:rsidR="00DD60A7">
        <w:t>graph</w:t>
      </w:r>
      <w:r w:rsidR="00C8297B" w:rsidRPr="00787A0B">
        <w:t xml:space="preserve"> 6.32, Abemaciclib PSD, March 2022)</w:t>
      </w:r>
      <w:r w:rsidRPr="00787A0B">
        <w:t xml:space="preserve">. Furthermore, </w:t>
      </w:r>
      <w:r w:rsidR="009C5676" w:rsidRPr="00787A0B">
        <w:t>inputs derived from MONARCH-2 and MONARCH-3 trials</w:t>
      </w:r>
      <w:r w:rsidRPr="00787A0B">
        <w:t xml:space="preserve"> were not updated to reflect more</w:t>
      </w:r>
      <w:r w:rsidR="009C5676" w:rsidRPr="00787A0B">
        <w:t xml:space="preserve"> recent</w:t>
      </w:r>
      <w:r w:rsidRPr="00787A0B">
        <w:t xml:space="preserve"> </w:t>
      </w:r>
      <w:r w:rsidR="009C5676" w:rsidRPr="00787A0B">
        <w:t xml:space="preserve">data cuts. </w:t>
      </w:r>
    </w:p>
    <w:p w14:paraId="69BF717A" w14:textId="7A1EA7DC" w:rsidR="00062CD0" w:rsidRPr="008A3BDF" w:rsidRDefault="00062CD0" w:rsidP="004F7EE3">
      <w:pPr>
        <w:pStyle w:val="3-BodyText"/>
      </w:pPr>
      <w:r>
        <w:t>T</w:t>
      </w:r>
      <w:r w:rsidRPr="008A3BDF">
        <w:t xml:space="preserve">he resubmission </w:t>
      </w:r>
      <w:r>
        <w:t xml:space="preserve">maintained that </w:t>
      </w:r>
      <w:r w:rsidRPr="008A3BDF">
        <w:t xml:space="preserve">costs and outcomes in the metastatic setting </w:t>
      </w:r>
      <w:r>
        <w:t xml:space="preserve">would </w:t>
      </w:r>
      <w:r w:rsidRPr="008A3BDF">
        <w:t>var</w:t>
      </w:r>
      <w:r>
        <w:t>y</w:t>
      </w:r>
      <w:r w:rsidRPr="008A3BDF">
        <w:t xml:space="preserve"> by the treatment received in the adjuvant setting</w:t>
      </w:r>
      <w:r>
        <w:t>,</w:t>
      </w:r>
      <w:r w:rsidRPr="008A3BDF">
        <w:t xml:space="preserve"> as </w:t>
      </w:r>
      <w:r>
        <w:t>it was</w:t>
      </w:r>
      <w:r w:rsidRPr="008A3BDF">
        <w:t xml:space="preserve"> assumed that patients in the abemaciclib + ET arm would not receive a CDK4/6 inhibitor after metastatic recurrence. </w:t>
      </w:r>
      <w:r w:rsidRPr="00787A0B">
        <w:t>While the PBAC previously considered that some CDK4/6 inhibitor use would be likely post adjuvant abemaciclib treatment (para</w:t>
      </w:r>
      <w:r w:rsidR="00DD60A7">
        <w:t>graph</w:t>
      </w:r>
      <w:r w:rsidRPr="00787A0B">
        <w:t xml:space="preserve"> 7.12, Abemaciclib PSD, March 2022), it may be reasonable to assume differences in use across model arms. </w:t>
      </w:r>
      <w:r w:rsidRPr="00787A0B">
        <w:rPr>
          <w:iCs/>
        </w:rPr>
        <w:t>The modelled ICERs for the mix of treatments received in the metastatic setting</w:t>
      </w:r>
      <w:r w:rsidR="00AA3C4D" w:rsidRPr="00787A0B">
        <w:rPr>
          <w:iCs/>
        </w:rPr>
        <w:t xml:space="preserve"> </w:t>
      </w:r>
      <w:r w:rsidRPr="00787A0B">
        <w:rPr>
          <w:iCs/>
        </w:rPr>
        <w:t>were calculated during the evaluation (</w:t>
      </w:r>
      <w:r w:rsidRPr="00787A0B">
        <w:rPr>
          <w:iCs/>
        </w:rPr>
        <w:fldChar w:fldCharType="begin"/>
      </w:r>
      <w:r w:rsidRPr="00787A0B">
        <w:rPr>
          <w:iCs/>
        </w:rPr>
        <w:instrText xml:space="preserve"> REF _Ref122691074 \h </w:instrText>
      </w:r>
      <w:r w:rsidR="00AA3C4D" w:rsidRPr="00787A0B">
        <w:rPr>
          <w:iCs/>
        </w:rPr>
        <w:instrText xml:space="preserve"> \* MERGEFORMAT </w:instrText>
      </w:r>
      <w:r w:rsidRPr="00787A0B">
        <w:rPr>
          <w:iCs/>
        </w:rPr>
      </w:r>
      <w:r w:rsidRPr="00787A0B">
        <w:rPr>
          <w:iCs/>
        </w:rPr>
        <w:fldChar w:fldCharType="separate"/>
      </w:r>
      <w:r w:rsidR="0001201E" w:rsidRPr="0001201E">
        <w:rPr>
          <w:iCs/>
        </w:rPr>
        <w:t xml:space="preserve">Table </w:t>
      </w:r>
      <w:r w:rsidR="0001201E" w:rsidRPr="0001201E">
        <w:rPr>
          <w:iCs/>
          <w:noProof/>
        </w:rPr>
        <w:t>11</w:t>
      </w:r>
      <w:r w:rsidRPr="00787A0B">
        <w:rPr>
          <w:iCs/>
        </w:rPr>
        <w:fldChar w:fldCharType="end"/>
      </w:r>
      <w:r w:rsidRPr="00787A0B">
        <w:rPr>
          <w:iCs/>
        </w:rPr>
        <w:t>).</w:t>
      </w:r>
      <w:r w:rsidRPr="008A3BDF">
        <w:t xml:space="preserve"> </w:t>
      </w:r>
      <w:r w:rsidRPr="00787A0B">
        <w:t>As post-progression outcomes in those with endocrine-sensitive recurrences were no longer calibrated to achieve a set relationship between the gain in OS relative to PFS, the ICER for the mix of treatments in endocrine-sensitive recurrences was substantially lower than the previous submission (</w:t>
      </w:r>
      <w:r w:rsidR="004F7EE3" w:rsidRPr="004F7EE3">
        <w:t>$155,000 to &lt; $255,000</w:t>
      </w:r>
      <w:r w:rsidRPr="00787A0B">
        <w:t>; Table 9, Abemaciclib PSD, March 2022 PBAC Meeting). However, the ICERs for the mix of treatments in either setting remain higher than what the PBAC had previously considered cost-effective ($15,000−$45,000, paragraph 6.10 Palbociclib PSD, March 2018). The</w:t>
      </w:r>
      <w:r w:rsidR="002D5D1D">
        <w:t xml:space="preserve"> </w:t>
      </w:r>
      <w:r w:rsidR="002D5D1D" w:rsidRPr="004F7EE3">
        <w:rPr>
          <w:iCs/>
        </w:rPr>
        <w:t>ESC noted that the</w:t>
      </w:r>
      <w:r w:rsidRPr="00787A0B">
        <w:t xml:space="preserve"> cost-effectiveness of abemaciclib in the adjuvant setting remains influenced by the exposure of the ET arm to (as modelled) lower-value downstream treatment decisions. </w:t>
      </w:r>
    </w:p>
    <w:p w14:paraId="707152F9" w14:textId="303421A7" w:rsidR="00062CD0" w:rsidRPr="008A3BDF" w:rsidRDefault="00062CD0" w:rsidP="00062CD0">
      <w:pPr>
        <w:pStyle w:val="TableFigureHeading"/>
      </w:pPr>
      <w:bookmarkStart w:id="48" w:name="_Ref122691074"/>
      <w:r w:rsidRPr="008A3BDF">
        <w:lastRenderedPageBreak/>
        <w:t xml:space="preserve">Table </w:t>
      </w:r>
      <w:fldSimple w:instr=" SEQ Table \* ARABIC ">
        <w:r w:rsidR="0001201E">
          <w:rPr>
            <w:noProof/>
          </w:rPr>
          <w:t>11</w:t>
        </w:r>
      </w:fldSimple>
      <w:bookmarkEnd w:id="48"/>
      <w:r w:rsidRPr="008A3BDF">
        <w:rPr>
          <w:rStyle w:val="CommentReference"/>
          <w:b/>
          <w:szCs w:val="24"/>
        </w:rPr>
        <w:t xml:space="preserve">: </w:t>
      </w:r>
      <w:r w:rsidRPr="008A3BDF">
        <w:t>Incremental cost effectiveness of modelled metastatic treatment, with and without adjuvant abemaciclib</w:t>
      </w:r>
    </w:p>
    <w:tbl>
      <w:tblPr>
        <w:tblStyle w:val="TableGrid"/>
        <w:tblW w:w="5000" w:type="pct"/>
        <w:tblLook w:val="04A0" w:firstRow="1" w:lastRow="0" w:firstColumn="1" w:lastColumn="0" w:noHBand="0" w:noVBand="1"/>
      </w:tblPr>
      <w:tblGrid>
        <w:gridCol w:w="4048"/>
        <w:gridCol w:w="1663"/>
        <w:gridCol w:w="1659"/>
        <w:gridCol w:w="1647"/>
      </w:tblGrid>
      <w:tr w:rsidR="00062CD0" w:rsidRPr="008A3BDF" w14:paraId="3A95A73E" w14:textId="77777777" w:rsidTr="00062CD0">
        <w:tc>
          <w:tcPr>
            <w:tcW w:w="2290" w:type="pct"/>
            <w:tcBorders>
              <w:bottom w:val="single" w:sz="4" w:space="0" w:color="auto"/>
            </w:tcBorders>
            <w:noWrap/>
            <w:hideMark/>
          </w:tcPr>
          <w:p w14:paraId="46890BC0" w14:textId="77777777" w:rsidR="00062CD0" w:rsidRPr="008A3BDF" w:rsidRDefault="00062CD0" w:rsidP="00062CD0">
            <w:pPr>
              <w:pStyle w:val="TableText0"/>
            </w:pPr>
          </w:p>
        </w:tc>
        <w:tc>
          <w:tcPr>
            <w:tcW w:w="907" w:type="pct"/>
            <w:tcBorders>
              <w:bottom w:val="single" w:sz="4" w:space="0" w:color="auto"/>
            </w:tcBorders>
            <w:noWrap/>
            <w:hideMark/>
          </w:tcPr>
          <w:p w14:paraId="129490CE" w14:textId="77777777" w:rsidR="00062CD0" w:rsidRPr="008A3BDF" w:rsidRDefault="00062CD0" w:rsidP="00062CD0">
            <w:pPr>
              <w:pStyle w:val="TableText0"/>
              <w:jc w:val="center"/>
              <w:rPr>
                <w:b/>
              </w:rPr>
            </w:pPr>
            <w:r w:rsidRPr="008A3BDF">
              <w:rPr>
                <w:b/>
              </w:rPr>
              <w:t>ET</w:t>
            </w:r>
          </w:p>
        </w:tc>
        <w:tc>
          <w:tcPr>
            <w:tcW w:w="905" w:type="pct"/>
            <w:tcBorders>
              <w:bottom w:val="single" w:sz="4" w:space="0" w:color="auto"/>
            </w:tcBorders>
            <w:noWrap/>
            <w:hideMark/>
          </w:tcPr>
          <w:p w14:paraId="6883F052" w14:textId="77777777" w:rsidR="00062CD0" w:rsidRPr="008A3BDF" w:rsidRDefault="00062CD0" w:rsidP="00062CD0">
            <w:pPr>
              <w:pStyle w:val="TableText0"/>
              <w:jc w:val="center"/>
              <w:rPr>
                <w:b/>
              </w:rPr>
            </w:pPr>
            <w:r w:rsidRPr="008A3BDF">
              <w:rPr>
                <w:b/>
              </w:rPr>
              <w:t>ABE + ET</w:t>
            </w:r>
          </w:p>
        </w:tc>
        <w:tc>
          <w:tcPr>
            <w:tcW w:w="898" w:type="pct"/>
            <w:tcBorders>
              <w:bottom w:val="single" w:sz="4" w:space="0" w:color="auto"/>
            </w:tcBorders>
            <w:noWrap/>
            <w:hideMark/>
          </w:tcPr>
          <w:p w14:paraId="28A7708D" w14:textId="77777777" w:rsidR="00062CD0" w:rsidRPr="008A3BDF" w:rsidRDefault="00062CD0" w:rsidP="00062CD0">
            <w:pPr>
              <w:pStyle w:val="TableText0"/>
              <w:jc w:val="center"/>
              <w:rPr>
                <w:b/>
              </w:rPr>
            </w:pPr>
            <w:r w:rsidRPr="008A3BDF">
              <w:rPr>
                <w:b/>
              </w:rPr>
              <w:t>Increment</w:t>
            </w:r>
          </w:p>
        </w:tc>
      </w:tr>
      <w:tr w:rsidR="00062CD0" w:rsidRPr="008A3BDF" w14:paraId="7EBA1891" w14:textId="77777777" w:rsidTr="00062CD0">
        <w:tc>
          <w:tcPr>
            <w:tcW w:w="5000" w:type="pct"/>
            <w:gridSpan w:val="4"/>
            <w:noWrap/>
            <w:hideMark/>
          </w:tcPr>
          <w:p w14:paraId="1A3DBD15" w14:textId="77777777" w:rsidR="00062CD0" w:rsidRPr="008A3BDF" w:rsidRDefault="00062CD0" w:rsidP="00062CD0">
            <w:pPr>
              <w:pStyle w:val="TableText0"/>
            </w:pPr>
            <w:r w:rsidRPr="008A3BDF">
              <w:rPr>
                <w:b/>
              </w:rPr>
              <w:t>Endocrine-resistant metastatic recurrence</w:t>
            </w:r>
          </w:p>
          <w:p w14:paraId="4D8B9403" w14:textId="77777777" w:rsidR="00062CD0" w:rsidRPr="008A3BDF" w:rsidRDefault="00062CD0" w:rsidP="00062CD0">
            <w:pPr>
              <w:pStyle w:val="TableText0"/>
              <w:rPr>
                <w:b/>
              </w:rPr>
            </w:pPr>
            <w:r w:rsidRPr="008A3BDF">
              <w:t xml:space="preserve">Depicts first-line metastatic treatment of predominantly CDK4/6 inhibitor + fulvestrant after adjuvant ET compared to a mix single-agent therapies (exemestane, capecitabine and fulvestrant) after adjuvant ABE + ET. </w:t>
            </w:r>
          </w:p>
        </w:tc>
      </w:tr>
      <w:tr w:rsidR="00062CD0" w:rsidRPr="008A3BDF" w14:paraId="1C94D18B" w14:textId="77777777" w:rsidTr="00062CD0">
        <w:tc>
          <w:tcPr>
            <w:tcW w:w="2290" w:type="pct"/>
            <w:tcBorders>
              <w:bottom w:val="single" w:sz="4" w:space="0" w:color="auto"/>
            </w:tcBorders>
            <w:noWrap/>
            <w:hideMark/>
          </w:tcPr>
          <w:p w14:paraId="444D7EF1" w14:textId="77777777" w:rsidR="00062CD0" w:rsidRPr="008A3BDF" w:rsidRDefault="00062CD0" w:rsidP="00062CD0">
            <w:pPr>
              <w:pStyle w:val="TableText0"/>
            </w:pPr>
            <w:r w:rsidRPr="008A3BDF">
              <w:t>Costs</w:t>
            </w:r>
          </w:p>
        </w:tc>
        <w:tc>
          <w:tcPr>
            <w:tcW w:w="907" w:type="pct"/>
            <w:tcBorders>
              <w:bottom w:val="single" w:sz="4" w:space="0" w:color="auto"/>
            </w:tcBorders>
            <w:noWrap/>
          </w:tcPr>
          <w:p w14:paraId="6C0BBE96" w14:textId="77777777" w:rsidR="00062CD0" w:rsidRPr="00EC58C1" w:rsidRDefault="00062CD0" w:rsidP="00062CD0">
            <w:pPr>
              <w:pStyle w:val="TableText0"/>
              <w:jc w:val="right"/>
            </w:pPr>
            <w:r w:rsidRPr="00EC58C1">
              <w:t>$72,534</w:t>
            </w:r>
          </w:p>
        </w:tc>
        <w:tc>
          <w:tcPr>
            <w:tcW w:w="905" w:type="pct"/>
            <w:tcBorders>
              <w:bottom w:val="single" w:sz="4" w:space="0" w:color="auto"/>
            </w:tcBorders>
            <w:noWrap/>
          </w:tcPr>
          <w:p w14:paraId="199B74EF" w14:textId="529EE865" w:rsidR="00062CD0" w:rsidRPr="008A3BDF" w:rsidRDefault="00062CD0" w:rsidP="00062CD0">
            <w:pPr>
              <w:pStyle w:val="TableText0"/>
              <w:jc w:val="right"/>
            </w:pPr>
            <w:r w:rsidRPr="008A3BDF">
              <w:t>$</w:t>
            </w:r>
            <w:r w:rsidR="0013119A" w:rsidRPr="0013119A">
              <w:rPr>
                <w:color w:val="000000"/>
                <w:shd w:val="solid" w:color="000000" w:fill="000000"/>
                <w14:textFill>
                  <w14:solidFill>
                    <w14:srgbClr w14:val="000000">
                      <w14:alpha w14:val="100000"/>
                    </w14:srgbClr>
                  </w14:solidFill>
                </w14:textFill>
              </w:rPr>
              <w:t>|</w:t>
            </w:r>
            <w:r w:rsidR="008759DD" w:rsidRPr="008759DD">
              <w:t xml:space="preserve"> </w:t>
            </w:r>
          </w:p>
        </w:tc>
        <w:tc>
          <w:tcPr>
            <w:tcW w:w="898" w:type="pct"/>
            <w:tcBorders>
              <w:bottom w:val="single" w:sz="4" w:space="0" w:color="auto"/>
            </w:tcBorders>
            <w:noWrap/>
            <w:hideMark/>
          </w:tcPr>
          <w:p w14:paraId="7BE1B2C9" w14:textId="473C034E" w:rsidR="00062CD0" w:rsidRPr="008A3BDF" w:rsidRDefault="00062CD0" w:rsidP="00062CD0">
            <w:pPr>
              <w:pStyle w:val="TableText0"/>
              <w:jc w:val="right"/>
            </w:pPr>
            <w:r w:rsidRPr="008A3BDF">
              <w:t>$</w:t>
            </w:r>
            <w:r w:rsidR="0013119A" w:rsidRPr="0013119A">
              <w:rPr>
                <w:color w:val="000000"/>
                <w:shd w:val="solid" w:color="000000" w:fill="000000"/>
                <w14:textFill>
                  <w14:solidFill>
                    <w14:srgbClr w14:val="000000">
                      <w14:alpha w14:val="100000"/>
                    </w14:srgbClr>
                  </w14:solidFill>
                </w14:textFill>
              </w:rPr>
              <w:t>|</w:t>
            </w:r>
            <w:r w:rsidR="008759DD" w:rsidRPr="008759DD">
              <w:t xml:space="preserve"> </w:t>
            </w:r>
          </w:p>
        </w:tc>
      </w:tr>
      <w:tr w:rsidR="00062CD0" w:rsidRPr="008A3BDF" w14:paraId="4636CC21" w14:textId="77777777" w:rsidTr="00062CD0">
        <w:tc>
          <w:tcPr>
            <w:tcW w:w="2290" w:type="pct"/>
            <w:tcBorders>
              <w:bottom w:val="single" w:sz="4" w:space="0" w:color="auto"/>
            </w:tcBorders>
            <w:noWrap/>
            <w:hideMark/>
          </w:tcPr>
          <w:p w14:paraId="1437732D" w14:textId="77777777" w:rsidR="00062CD0" w:rsidRPr="008A3BDF" w:rsidRDefault="00062CD0" w:rsidP="00062CD0">
            <w:pPr>
              <w:pStyle w:val="TableText0"/>
            </w:pPr>
            <w:r w:rsidRPr="008A3BDF">
              <w:t>QALYs</w:t>
            </w:r>
          </w:p>
        </w:tc>
        <w:tc>
          <w:tcPr>
            <w:tcW w:w="907" w:type="pct"/>
            <w:tcBorders>
              <w:bottom w:val="single" w:sz="4" w:space="0" w:color="auto"/>
            </w:tcBorders>
            <w:noWrap/>
          </w:tcPr>
          <w:p w14:paraId="2E4A493C" w14:textId="77777777" w:rsidR="00062CD0" w:rsidRPr="008A3BDF" w:rsidRDefault="00062CD0" w:rsidP="00062CD0">
            <w:pPr>
              <w:pStyle w:val="TableText0"/>
              <w:jc w:val="right"/>
            </w:pPr>
            <w:r w:rsidRPr="008A3BDF">
              <w:t>2.466</w:t>
            </w:r>
          </w:p>
        </w:tc>
        <w:tc>
          <w:tcPr>
            <w:tcW w:w="905" w:type="pct"/>
            <w:tcBorders>
              <w:bottom w:val="single" w:sz="4" w:space="0" w:color="auto"/>
            </w:tcBorders>
            <w:noWrap/>
          </w:tcPr>
          <w:p w14:paraId="72E84C00" w14:textId="77777777" w:rsidR="00062CD0" w:rsidRPr="008A3BDF" w:rsidRDefault="00062CD0" w:rsidP="00062CD0">
            <w:pPr>
              <w:pStyle w:val="TableText0"/>
              <w:jc w:val="right"/>
            </w:pPr>
            <w:r w:rsidRPr="008A3BDF">
              <w:t>2.001</w:t>
            </w:r>
          </w:p>
        </w:tc>
        <w:tc>
          <w:tcPr>
            <w:tcW w:w="898" w:type="pct"/>
            <w:tcBorders>
              <w:bottom w:val="single" w:sz="4" w:space="0" w:color="auto"/>
            </w:tcBorders>
            <w:noWrap/>
            <w:hideMark/>
          </w:tcPr>
          <w:p w14:paraId="54B88799" w14:textId="77777777" w:rsidR="00062CD0" w:rsidRPr="008A3BDF" w:rsidRDefault="00062CD0" w:rsidP="00062CD0">
            <w:pPr>
              <w:pStyle w:val="TableText0"/>
              <w:jc w:val="right"/>
            </w:pPr>
            <w:r w:rsidRPr="008A3BDF">
              <w:t>0.465</w:t>
            </w:r>
          </w:p>
        </w:tc>
      </w:tr>
      <w:tr w:rsidR="00062CD0" w:rsidRPr="008A3BDF" w14:paraId="507E1EEC" w14:textId="77777777" w:rsidTr="00062CD0">
        <w:tc>
          <w:tcPr>
            <w:tcW w:w="2290" w:type="pct"/>
            <w:tcBorders>
              <w:bottom w:val="double" w:sz="4" w:space="0" w:color="auto"/>
              <w:right w:val="nil"/>
            </w:tcBorders>
            <w:noWrap/>
            <w:hideMark/>
          </w:tcPr>
          <w:p w14:paraId="3F41D5C5" w14:textId="77777777" w:rsidR="00062CD0" w:rsidRPr="008A3BDF" w:rsidRDefault="00062CD0" w:rsidP="00062CD0">
            <w:pPr>
              <w:pStyle w:val="TableText0"/>
              <w:rPr>
                <w:b/>
              </w:rPr>
            </w:pPr>
            <w:r w:rsidRPr="008A3BDF">
              <w:rPr>
                <w:b/>
              </w:rPr>
              <w:t>ICER per additional QALY gained</w:t>
            </w:r>
          </w:p>
        </w:tc>
        <w:tc>
          <w:tcPr>
            <w:tcW w:w="907" w:type="pct"/>
            <w:tcBorders>
              <w:left w:val="nil"/>
              <w:bottom w:val="double" w:sz="4" w:space="0" w:color="auto"/>
              <w:right w:val="nil"/>
            </w:tcBorders>
            <w:noWrap/>
            <w:hideMark/>
          </w:tcPr>
          <w:p w14:paraId="5BB2C0DB" w14:textId="77777777" w:rsidR="00062CD0" w:rsidRPr="008759DD" w:rsidRDefault="00062CD0" w:rsidP="00062CD0">
            <w:pPr>
              <w:pStyle w:val="TableText0"/>
              <w:jc w:val="right"/>
              <w:rPr>
                <w:b/>
              </w:rPr>
            </w:pPr>
          </w:p>
        </w:tc>
        <w:tc>
          <w:tcPr>
            <w:tcW w:w="905" w:type="pct"/>
            <w:tcBorders>
              <w:left w:val="nil"/>
              <w:bottom w:val="double" w:sz="4" w:space="0" w:color="auto"/>
            </w:tcBorders>
            <w:noWrap/>
            <w:hideMark/>
          </w:tcPr>
          <w:p w14:paraId="739D66AD" w14:textId="77777777" w:rsidR="00062CD0" w:rsidRPr="008759DD" w:rsidRDefault="00062CD0" w:rsidP="00062CD0">
            <w:pPr>
              <w:pStyle w:val="TableText0"/>
              <w:jc w:val="right"/>
              <w:rPr>
                <w:b/>
              </w:rPr>
            </w:pPr>
          </w:p>
        </w:tc>
        <w:tc>
          <w:tcPr>
            <w:tcW w:w="898" w:type="pct"/>
            <w:tcBorders>
              <w:bottom w:val="double" w:sz="4" w:space="0" w:color="auto"/>
            </w:tcBorders>
            <w:noWrap/>
            <w:hideMark/>
          </w:tcPr>
          <w:p w14:paraId="7878E1DF" w14:textId="43A09D73" w:rsidR="00062CD0" w:rsidRPr="008A3BDF" w:rsidRDefault="00062CD0" w:rsidP="00062CD0">
            <w:pPr>
              <w:pStyle w:val="TableText0"/>
              <w:jc w:val="right"/>
              <w:rPr>
                <w:b/>
              </w:rPr>
            </w:pPr>
            <w:r w:rsidRPr="008A3BDF">
              <w:rPr>
                <w:b/>
              </w:rPr>
              <w:t>$</w:t>
            </w:r>
            <w:r w:rsidR="0013119A" w:rsidRPr="0013119A">
              <w:rPr>
                <w:b/>
                <w:color w:val="000000"/>
                <w:shd w:val="solid" w:color="000000" w:fill="000000"/>
                <w14:textFill>
                  <w14:solidFill>
                    <w14:srgbClr w14:val="000000">
                      <w14:alpha w14:val="100000"/>
                    </w14:srgbClr>
                  </w14:solidFill>
                </w14:textFill>
              </w:rPr>
              <w:t>|</w:t>
            </w:r>
            <w:r w:rsidR="008759DD" w:rsidRPr="008759DD">
              <w:rPr>
                <w:b/>
              </w:rPr>
              <w:t xml:space="preserve"> </w:t>
            </w:r>
            <w:r w:rsidR="004F7EE3" w:rsidRPr="004F7EE3">
              <w:rPr>
                <w:vertAlign w:val="superscript"/>
              </w:rPr>
              <w:t>1</w:t>
            </w:r>
          </w:p>
        </w:tc>
      </w:tr>
      <w:tr w:rsidR="00062CD0" w:rsidRPr="008A3BDF" w14:paraId="06B38D6D" w14:textId="77777777" w:rsidTr="00062CD0">
        <w:tc>
          <w:tcPr>
            <w:tcW w:w="5000" w:type="pct"/>
            <w:gridSpan w:val="4"/>
            <w:tcBorders>
              <w:top w:val="double" w:sz="4" w:space="0" w:color="auto"/>
            </w:tcBorders>
            <w:noWrap/>
            <w:hideMark/>
          </w:tcPr>
          <w:p w14:paraId="117527C4" w14:textId="77777777" w:rsidR="00062CD0" w:rsidRPr="008A3BDF" w:rsidRDefault="00062CD0" w:rsidP="00062CD0">
            <w:pPr>
              <w:pStyle w:val="TableText0"/>
            </w:pPr>
            <w:r w:rsidRPr="008A3BDF">
              <w:rPr>
                <w:b/>
              </w:rPr>
              <w:t>Endocrine-sensitive metastatic recurrence</w:t>
            </w:r>
          </w:p>
          <w:p w14:paraId="5683507C" w14:textId="77777777" w:rsidR="00062CD0" w:rsidRPr="008A3BDF" w:rsidRDefault="00062CD0" w:rsidP="00062CD0">
            <w:pPr>
              <w:pStyle w:val="TableText0"/>
              <w:rPr>
                <w:b/>
              </w:rPr>
            </w:pPr>
            <w:r w:rsidRPr="008A3BDF">
              <w:t>Depicts first-line metastatic treatment of predominantly CDK4/6 inhibitor + NSAI after adjuvant ET compared to predominantly NSAI alone after adjuvant ABE + ET.</w:t>
            </w:r>
          </w:p>
        </w:tc>
      </w:tr>
      <w:tr w:rsidR="00062CD0" w:rsidRPr="008A3BDF" w14:paraId="217FD515" w14:textId="77777777" w:rsidTr="00062CD0">
        <w:tc>
          <w:tcPr>
            <w:tcW w:w="2290" w:type="pct"/>
            <w:tcBorders>
              <w:bottom w:val="single" w:sz="4" w:space="0" w:color="auto"/>
            </w:tcBorders>
            <w:noWrap/>
            <w:hideMark/>
          </w:tcPr>
          <w:p w14:paraId="3145430C" w14:textId="77777777" w:rsidR="00062CD0" w:rsidRPr="008A3BDF" w:rsidRDefault="00062CD0" w:rsidP="00062CD0">
            <w:pPr>
              <w:pStyle w:val="TableText0"/>
            </w:pPr>
            <w:r w:rsidRPr="008A3BDF">
              <w:t>Costs</w:t>
            </w:r>
          </w:p>
        </w:tc>
        <w:tc>
          <w:tcPr>
            <w:tcW w:w="907" w:type="pct"/>
            <w:tcBorders>
              <w:bottom w:val="single" w:sz="4" w:space="0" w:color="auto"/>
            </w:tcBorders>
            <w:noWrap/>
          </w:tcPr>
          <w:p w14:paraId="492A02E5" w14:textId="77777777" w:rsidR="00062CD0" w:rsidRPr="008A3BDF" w:rsidRDefault="00062CD0" w:rsidP="00062CD0">
            <w:pPr>
              <w:pStyle w:val="TableText0"/>
              <w:jc w:val="right"/>
            </w:pPr>
            <w:r w:rsidRPr="00EC58C1">
              <w:t>$86,808</w:t>
            </w:r>
          </w:p>
        </w:tc>
        <w:tc>
          <w:tcPr>
            <w:tcW w:w="905" w:type="pct"/>
            <w:tcBorders>
              <w:bottom w:val="single" w:sz="4" w:space="0" w:color="auto"/>
            </w:tcBorders>
            <w:noWrap/>
          </w:tcPr>
          <w:p w14:paraId="6BBDD55E" w14:textId="3D9306FB" w:rsidR="00062CD0" w:rsidRPr="008A3BDF" w:rsidRDefault="00062CD0" w:rsidP="00062CD0">
            <w:pPr>
              <w:pStyle w:val="TableText0"/>
              <w:jc w:val="right"/>
            </w:pPr>
            <w:r w:rsidRPr="008A3BDF">
              <w:t>$</w:t>
            </w:r>
            <w:r w:rsidR="0013119A" w:rsidRPr="0013119A">
              <w:rPr>
                <w:color w:val="000000"/>
                <w:shd w:val="solid" w:color="000000" w:fill="000000"/>
                <w14:textFill>
                  <w14:solidFill>
                    <w14:srgbClr w14:val="000000">
                      <w14:alpha w14:val="100000"/>
                    </w14:srgbClr>
                  </w14:solidFill>
                </w14:textFill>
              </w:rPr>
              <w:t>|</w:t>
            </w:r>
            <w:r w:rsidR="008759DD" w:rsidRPr="008759DD">
              <w:t xml:space="preserve"> </w:t>
            </w:r>
          </w:p>
        </w:tc>
        <w:tc>
          <w:tcPr>
            <w:tcW w:w="898" w:type="pct"/>
            <w:tcBorders>
              <w:bottom w:val="single" w:sz="4" w:space="0" w:color="auto"/>
            </w:tcBorders>
            <w:noWrap/>
            <w:hideMark/>
          </w:tcPr>
          <w:p w14:paraId="6CAF709B" w14:textId="5BB24FAE" w:rsidR="00062CD0" w:rsidRPr="008A3BDF" w:rsidRDefault="00062CD0" w:rsidP="00062CD0">
            <w:pPr>
              <w:pStyle w:val="TableText0"/>
              <w:jc w:val="right"/>
            </w:pPr>
            <w:r w:rsidRPr="008A3BDF">
              <w:t>$</w:t>
            </w:r>
            <w:r w:rsidR="0013119A" w:rsidRPr="0013119A">
              <w:rPr>
                <w:color w:val="000000"/>
                <w:shd w:val="solid" w:color="000000" w:fill="000000"/>
                <w14:textFill>
                  <w14:solidFill>
                    <w14:srgbClr w14:val="000000">
                      <w14:alpha w14:val="100000"/>
                    </w14:srgbClr>
                  </w14:solidFill>
                </w14:textFill>
              </w:rPr>
              <w:t>|</w:t>
            </w:r>
            <w:r w:rsidR="008759DD" w:rsidRPr="008759DD">
              <w:t xml:space="preserve"> </w:t>
            </w:r>
          </w:p>
        </w:tc>
      </w:tr>
      <w:tr w:rsidR="00062CD0" w:rsidRPr="008A3BDF" w14:paraId="1D6C5C69" w14:textId="77777777" w:rsidTr="00062CD0">
        <w:tc>
          <w:tcPr>
            <w:tcW w:w="2290" w:type="pct"/>
            <w:tcBorders>
              <w:bottom w:val="single" w:sz="4" w:space="0" w:color="auto"/>
            </w:tcBorders>
            <w:noWrap/>
            <w:hideMark/>
          </w:tcPr>
          <w:p w14:paraId="401E5A53" w14:textId="77777777" w:rsidR="00062CD0" w:rsidRPr="008A3BDF" w:rsidRDefault="00062CD0" w:rsidP="00062CD0">
            <w:pPr>
              <w:pStyle w:val="TableText0"/>
            </w:pPr>
            <w:r w:rsidRPr="008A3BDF">
              <w:t>QALYs</w:t>
            </w:r>
          </w:p>
        </w:tc>
        <w:tc>
          <w:tcPr>
            <w:tcW w:w="907" w:type="pct"/>
            <w:tcBorders>
              <w:bottom w:val="single" w:sz="4" w:space="0" w:color="auto"/>
            </w:tcBorders>
            <w:noWrap/>
          </w:tcPr>
          <w:p w14:paraId="677BF7DE" w14:textId="77777777" w:rsidR="00062CD0" w:rsidRPr="008A3BDF" w:rsidRDefault="00062CD0" w:rsidP="00062CD0">
            <w:pPr>
              <w:pStyle w:val="TableText0"/>
              <w:jc w:val="right"/>
            </w:pPr>
            <w:r w:rsidRPr="008A3BDF">
              <w:t>3.782</w:t>
            </w:r>
          </w:p>
        </w:tc>
        <w:tc>
          <w:tcPr>
            <w:tcW w:w="905" w:type="pct"/>
            <w:tcBorders>
              <w:bottom w:val="single" w:sz="4" w:space="0" w:color="auto"/>
            </w:tcBorders>
            <w:noWrap/>
          </w:tcPr>
          <w:p w14:paraId="19E0F810" w14:textId="77777777" w:rsidR="00062CD0" w:rsidRPr="008A3BDF" w:rsidRDefault="00062CD0" w:rsidP="00062CD0">
            <w:pPr>
              <w:pStyle w:val="TableText0"/>
              <w:jc w:val="right"/>
            </w:pPr>
            <w:r w:rsidRPr="008A3BDF">
              <w:t>3.097</w:t>
            </w:r>
          </w:p>
        </w:tc>
        <w:tc>
          <w:tcPr>
            <w:tcW w:w="898" w:type="pct"/>
            <w:tcBorders>
              <w:bottom w:val="single" w:sz="4" w:space="0" w:color="auto"/>
            </w:tcBorders>
            <w:noWrap/>
            <w:hideMark/>
          </w:tcPr>
          <w:p w14:paraId="66992D51" w14:textId="77777777" w:rsidR="00062CD0" w:rsidRPr="008A3BDF" w:rsidRDefault="00062CD0" w:rsidP="00062CD0">
            <w:pPr>
              <w:pStyle w:val="TableText0"/>
              <w:jc w:val="right"/>
            </w:pPr>
            <w:r w:rsidRPr="008A3BDF">
              <w:t>0.685</w:t>
            </w:r>
          </w:p>
        </w:tc>
      </w:tr>
      <w:tr w:rsidR="00062CD0" w:rsidRPr="008A3BDF" w14:paraId="4100F007" w14:textId="77777777" w:rsidTr="00062CD0">
        <w:tc>
          <w:tcPr>
            <w:tcW w:w="2290" w:type="pct"/>
            <w:tcBorders>
              <w:right w:val="nil"/>
            </w:tcBorders>
            <w:noWrap/>
            <w:hideMark/>
          </w:tcPr>
          <w:p w14:paraId="6121F5C5" w14:textId="77777777" w:rsidR="00062CD0" w:rsidRPr="008A3BDF" w:rsidRDefault="00062CD0" w:rsidP="00062CD0">
            <w:pPr>
              <w:pStyle w:val="TableText0"/>
              <w:rPr>
                <w:b/>
              </w:rPr>
            </w:pPr>
            <w:r w:rsidRPr="008A3BDF">
              <w:rPr>
                <w:b/>
              </w:rPr>
              <w:t>ICER per additional QALY gained</w:t>
            </w:r>
          </w:p>
        </w:tc>
        <w:tc>
          <w:tcPr>
            <w:tcW w:w="907" w:type="pct"/>
            <w:tcBorders>
              <w:left w:val="nil"/>
              <w:right w:val="nil"/>
            </w:tcBorders>
            <w:noWrap/>
            <w:hideMark/>
          </w:tcPr>
          <w:p w14:paraId="6EDE674C" w14:textId="77777777" w:rsidR="00062CD0" w:rsidRPr="008759DD" w:rsidRDefault="00062CD0" w:rsidP="00062CD0">
            <w:pPr>
              <w:pStyle w:val="TableText0"/>
              <w:jc w:val="right"/>
              <w:rPr>
                <w:b/>
              </w:rPr>
            </w:pPr>
          </w:p>
        </w:tc>
        <w:tc>
          <w:tcPr>
            <w:tcW w:w="905" w:type="pct"/>
            <w:tcBorders>
              <w:left w:val="nil"/>
            </w:tcBorders>
            <w:noWrap/>
            <w:hideMark/>
          </w:tcPr>
          <w:p w14:paraId="652DBB8E" w14:textId="77777777" w:rsidR="00062CD0" w:rsidRPr="008759DD" w:rsidRDefault="00062CD0" w:rsidP="00062CD0">
            <w:pPr>
              <w:pStyle w:val="TableText0"/>
              <w:jc w:val="right"/>
              <w:rPr>
                <w:b/>
              </w:rPr>
            </w:pPr>
          </w:p>
        </w:tc>
        <w:tc>
          <w:tcPr>
            <w:tcW w:w="898" w:type="pct"/>
            <w:noWrap/>
            <w:hideMark/>
          </w:tcPr>
          <w:p w14:paraId="2681149F" w14:textId="4CA8BE07" w:rsidR="00062CD0" w:rsidRPr="008A3BDF" w:rsidRDefault="00062CD0" w:rsidP="00062CD0">
            <w:pPr>
              <w:pStyle w:val="TableText0"/>
              <w:jc w:val="right"/>
              <w:rPr>
                <w:b/>
              </w:rPr>
            </w:pPr>
            <w:r w:rsidRPr="008A3BDF">
              <w:rPr>
                <w:b/>
              </w:rPr>
              <w:t>$</w:t>
            </w:r>
            <w:r w:rsidR="0013119A" w:rsidRPr="0013119A">
              <w:rPr>
                <w:b/>
                <w:color w:val="000000"/>
                <w:shd w:val="solid" w:color="000000" w:fill="000000"/>
                <w14:textFill>
                  <w14:solidFill>
                    <w14:srgbClr w14:val="000000">
                      <w14:alpha w14:val="100000"/>
                    </w14:srgbClr>
                  </w14:solidFill>
                </w14:textFill>
              </w:rPr>
              <w:t>|</w:t>
            </w:r>
            <w:r w:rsidR="008759DD" w:rsidRPr="008759DD">
              <w:rPr>
                <w:b/>
              </w:rPr>
              <w:t xml:space="preserve"> </w:t>
            </w:r>
            <w:r w:rsidR="004F7EE3" w:rsidRPr="004F7EE3">
              <w:rPr>
                <w:vertAlign w:val="superscript"/>
              </w:rPr>
              <w:t>1</w:t>
            </w:r>
          </w:p>
        </w:tc>
      </w:tr>
    </w:tbl>
    <w:p w14:paraId="5C051555" w14:textId="77777777" w:rsidR="00062CD0" w:rsidRPr="008A3BDF" w:rsidRDefault="00062CD0" w:rsidP="00062CD0">
      <w:pPr>
        <w:pStyle w:val="TableFigureFooter"/>
      </w:pPr>
      <w:r w:rsidRPr="008A3BDF">
        <w:t xml:space="preserve">Source: </w:t>
      </w:r>
      <w:r w:rsidRPr="00787A0B">
        <w:t>Constructed during the evaluation from the ‘A6.1_Abemaciclib Section 3 workbook 2022.xlsm’ workbook included in the resubmission</w:t>
      </w:r>
      <w:r w:rsidRPr="008A3BDF">
        <w:t>.</w:t>
      </w:r>
    </w:p>
    <w:p w14:paraId="4A104115" w14:textId="7109C727" w:rsidR="00062CD0" w:rsidRDefault="00062CD0" w:rsidP="004F7EE3">
      <w:pPr>
        <w:pStyle w:val="TableFigureFooter"/>
        <w:spacing w:after="0"/>
      </w:pPr>
      <w:r w:rsidRPr="008A3BDF">
        <w:t>ABE = abemaciclib; CDK4/6 = cyclin-dependent kinases 4 and 6; ET= endocrine therapy; NSAI = non-steroidal aromatase inhibitor; PFS = progression-free survival; QALY = quality-adjusted life year.</w:t>
      </w:r>
    </w:p>
    <w:p w14:paraId="65FA6643" w14:textId="77777777" w:rsidR="004F7EE3" w:rsidRDefault="004F7EE3" w:rsidP="004F7EE3">
      <w:pPr>
        <w:rPr>
          <w:rFonts w:ascii="Arial Narrow" w:hAnsi="Arial Narrow"/>
          <w:i/>
          <w:sz w:val="18"/>
          <w:szCs w:val="18"/>
        </w:rPr>
      </w:pPr>
      <w:r>
        <w:rPr>
          <w:rFonts w:ascii="Arial Narrow" w:hAnsi="Arial Narrow"/>
          <w:i/>
          <w:sz w:val="18"/>
          <w:szCs w:val="18"/>
        </w:rPr>
        <w:t xml:space="preserve">The redacted values correspond to the following ranges: </w:t>
      </w:r>
    </w:p>
    <w:p w14:paraId="1F2A1EE0" w14:textId="00B90D6A" w:rsidR="004F7EE3" w:rsidRPr="004F7EE3" w:rsidRDefault="004F7EE3" w:rsidP="004F7EE3">
      <w:pPr>
        <w:spacing w:after="120"/>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4F7EE3">
        <w:rPr>
          <w:rFonts w:ascii="Arial Narrow" w:hAnsi="Arial Narrow"/>
          <w:i/>
          <w:sz w:val="18"/>
          <w:szCs w:val="18"/>
        </w:rPr>
        <w:t>$55,000 to &lt; $75,000</w:t>
      </w:r>
    </w:p>
    <w:p w14:paraId="6C9DAF59" w14:textId="77777777" w:rsidR="00062CD0" w:rsidRPr="008A3BDF" w:rsidRDefault="00062CD0" w:rsidP="00062CD0">
      <w:pPr>
        <w:pStyle w:val="3-BodyText"/>
      </w:pPr>
      <w:r w:rsidRPr="008A3BDF">
        <w:t>The results of the economic analysis are presented in the table below.</w:t>
      </w:r>
    </w:p>
    <w:p w14:paraId="785CD8AC" w14:textId="7E8E4345" w:rsidR="00062CD0" w:rsidRPr="008A3BDF" w:rsidRDefault="00965EB4" w:rsidP="00965EB4">
      <w:pPr>
        <w:pStyle w:val="TableFigureHeading"/>
      </w:pPr>
      <w:r w:rsidRPr="008A3BDF">
        <w:t xml:space="preserve">Table </w:t>
      </w:r>
      <w:fldSimple w:instr=" SEQ Table \* ARABIC ">
        <w:r w:rsidR="0001201E">
          <w:rPr>
            <w:noProof/>
          </w:rPr>
          <w:t>12</w:t>
        </w:r>
      </w:fldSimple>
      <w:r w:rsidRPr="008A3BDF">
        <w:rPr>
          <w:rStyle w:val="CommentReference"/>
          <w:b/>
          <w:szCs w:val="24"/>
        </w:rPr>
        <w:t xml:space="preserve">: </w:t>
      </w:r>
      <w:r w:rsidR="00062CD0" w:rsidRPr="008A3BDF">
        <w:rPr>
          <w:rStyle w:val="CommentReference"/>
          <w:b/>
          <w:szCs w:val="24"/>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37"/>
        <w:gridCol w:w="1099"/>
        <w:gridCol w:w="1098"/>
        <w:gridCol w:w="1098"/>
        <w:gridCol w:w="1098"/>
        <w:gridCol w:w="1098"/>
        <w:gridCol w:w="1089"/>
      </w:tblGrid>
      <w:tr w:rsidR="00540701" w:rsidRPr="008A3BDF" w14:paraId="7AC16884" w14:textId="77777777" w:rsidTr="006759DD">
        <w:trPr>
          <w:tblHeader/>
        </w:trPr>
        <w:tc>
          <w:tcPr>
            <w:tcW w:w="1351" w:type="pct"/>
            <w:tcBorders>
              <w:bottom w:val="single" w:sz="4" w:space="0" w:color="auto"/>
            </w:tcBorders>
            <w:vAlign w:val="center"/>
          </w:tcPr>
          <w:p w14:paraId="33A0CCC1" w14:textId="77777777" w:rsidR="00540701" w:rsidRPr="008A3BDF" w:rsidRDefault="00540701" w:rsidP="00062CD0">
            <w:pPr>
              <w:pStyle w:val="In-tableHeading"/>
              <w:rPr>
                <w:lang w:val="en-AU"/>
              </w:rPr>
            </w:pPr>
          </w:p>
        </w:tc>
        <w:tc>
          <w:tcPr>
            <w:tcW w:w="1827" w:type="pct"/>
            <w:gridSpan w:val="3"/>
            <w:tcBorders>
              <w:bottom w:val="single" w:sz="4" w:space="0" w:color="auto"/>
            </w:tcBorders>
            <w:shd w:val="clear" w:color="auto" w:fill="B8CCE4" w:themeFill="accent1" w:themeFillTint="66"/>
          </w:tcPr>
          <w:p w14:paraId="4ED77685" w14:textId="17D13473" w:rsidR="00540701" w:rsidRPr="008A3BDF" w:rsidRDefault="00540701" w:rsidP="00062CD0">
            <w:pPr>
              <w:pStyle w:val="In-tableHeading"/>
              <w:jc w:val="center"/>
              <w:rPr>
                <w:lang w:val="en-AU"/>
              </w:rPr>
            </w:pPr>
            <w:r>
              <w:rPr>
                <w:lang w:val="en-AU"/>
              </w:rPr>
              <w:t>Previous Submission</w:t>
            </w:r>
          </w:p>
        </w:tc>
        <w:tc>
          <w:tcPr>
            <w:tcW w:w="1822" w:type="pct"/>
            <w:gridSpan w:val="3"/>
            <w:tcBorders>
              <w:bottom w:val="single" w:sz="4" w:space="0" w:color="auto"/>
            </w:tcBorders>
            <w:vAlign w:val="center"/>
          </w:tcPr>
          <w:p w14:paraId="24A5768B" w14:textId="6A9808EB" w:rsidR="00540701" w:rsidRPr="008A3BDF" w:rsidRDefault="00540701" w:rsidP="00062CD0">
            <w:pPr>
              <w:pStyle w:val="In-tableHeading"/>
              <w:jc w:val="center"/>
              <w:rPr>
                <w:lang w:val="en-AU"/>
              </w:rPr>
            </w:pPr>
            <w:r>
              <w:rPr>
                <w:lang w:val="en-AU"/>
              </w:rPr>
              <w:t>Resubmission</w:t>
            </w:r>
          </w:p>
        </w:tc>
      </w:tr>
      <w:tr w:rsidR="00540701" w:rsidRPr="008A3BDF" w14:paraId="79B1B591" w14:textId="77777777" w:rsidTr="006759DD">
        <w:trPr>
          <w:tblHeader/>
        </w:trPr>
        <w:tc>
          <w:tcPr>
            <w:tcW w:w="1351" w:type="pct"/>
            <w:tcBorders>
              <w:bottom w:val="single" w:sz="4" w:space="0" w:color="auto"/>
            </w:tcBorders>
            <w:vAlign w:val="center"/>
          </w:tcPr>
          <w:p w14:paraId="1CF13BB1" w14:textId="77777777" w:rsidR="00540701" w:rsidRPr="008A3BDF" w:rsidRDefault="00540701" w:rsidP="00062CD0">
            <w:pPr>
              <w:pStyle w:val="In-tableHeading"/>
              <w:rPr>
                <w:lang w:val="en-AU"/>
              </w:rPr>
            </w:pPr>
          </w:p>
        </w:tc>
        <w:tc>
          <w:tcPr>
            <w:tcW w:w="609" w:type="pct"/>
            <w:tcBorders>
              <w:bottom w:val="single" w:sz="4" w:space="0" w:color="auto"/>
            </w:tcBorders>
            <w:shd w:val="clear" w:color="auto" w:fill="B8CCE4" w:themeFill="accent1" w:themeFillTint="66"/>
            <w:vAlign w:val="center"/>
          </w:tcPr>
          <w:p w14:paraId="354DB906" w14:textId="19189026" w:rsidR="00540701" w:rsidRPr="00540701" w:rsidRDefault="00540701" w:rsidP="00E55408">
            <w:pPr>
              <w:pStyle w:val="In-tableHeading"/>
              <w:jc w:val="center"/>
              <w:rPr>
                <w:vertAlign w:val="superscript"/>
                <w:lang w:val="en-AU"/>
              </w:rPr>
            </w:pPr>
            <w:r>
              <w:rPr>
                <w:lang w:val="en-AU"/>
              </w:rPr>
              <w:t>ABE + ET (revised</w:t>
            </w:r>
            <w:r w:rsidR="00E55408">
              <w:rPr>
                <w:lang w:val="en-AU"/>
              </w:rPr>
              <w:t>)</w:t>
            </w:r>
          </w:p>
        </w:tc>
        <w:tc>
          <w:tcPr>
            <w:tcW w:w="609" w:type="pct"/>
            <w:tcBorders>
              <w:bottom w:val="single" w:sz="4" w:space="0" w:color="auto"/>
            </w:tcBorders>
            <w:shd w:val="clear" w:color="auto" w:fill="B8CCE4" w:themeFill="accent1" w:themeFillTint="66"/>
            <w:vAlign w:val="center"/>
          </w:tcPr>
          <w:p w14:paraId="5E1E1746" w14:textId="5E5EBB0C" w:rsidR="00540701" w:rsidRPr="00540701" w:rsidRDefault="00540701" w:rsidP="00E55408">
            <w:pPr>
              <w:pStyle w:val="In-tableHeading"/>
              <w:jc w:val="center"/>
              <w:rPr>
                <w:vertAlign w:val="superscript"/>
                <w:lang w:val="en-AU"/>
              </w:rPr>
            </w:pPr>
            <w:r>
              <w:rPr>
                <w:lang w:val="en-AU"/>
              </w:rPr>
              <w:t>ET (revised)</w:t>
            </w:r>
          </w:p>
        </w:tc>
        <w:tc>
          <w:tcPr>
            <w:tcW w:w="609" w:type="pct"/>
            <w:tcBorders>
              <w:bottom w:val="single" w:sz="4" w:space="0" w:color="auto"/>
            </w:tcBorders>
            <w:shd w:val="clear" w:color="auto" w:fill="B8CCE4" w:themeFill="accent1" w:themeFillTint="66"/>
            <w:vAlign w:val="center"/>
          </w:tcPr>
          <w:p w14:paraId="00D06938" w14:textId="733AB2DE" w:rsidR="00540701" w:rsidRPr="00540701" w:rsidRDefault="00540701" w:rsidP="00E55408">
            <w:pPr>
              <w:pStyle w:val="In-tableHeading"/>
              <w:jc w:val="center"/>
              <w:rPr>
                <w:vertAlign w:val="superscript"/>
                <w:lang w:val="en-AU"/>
              </w:rPr>
            </w:pPr>
            <w:r>
              <w:rPr>
                <w:lang w:val="en-AU"/>
              </w:rPr>
              <w:t>Increment (revised)</w:t>
            </w:r>
          </w:p>
        </w:tc>
        <w:tc>
          <w:tcPr>
            <w:tcW w:w="609" w:type="pct"/>
            <w:tcBorders>
              <w:bottom w:val="single" w:sz="4" w:space="0" w:color="auto"/>
            </w:tcBorders>
            <w:vAlign w:val="center"/>
          </w:tcPr>
          <w:p w14:paraId="6D8BBCDB" w14:textId="153DD992" w:rsidR="00540701" w:rsidRPr="008A3BDF" w:rsidRDefault="00540701" w:rsidP="00E55408">
            <w:pPr>
              <w:pStyle w:val="In-tableHeading"/>
              <w:jc w:val="center"/>
              <w:rPr>
                <w:lang w:val="en-AU"/>
              </w:rPr>
            </w:pPr>
            <w:r w:rsidRPr="008A3BDF">
              <w:rPr>
                <w:lang w:val="en-AU"/>
              </w:rPr>
              <w:t>ABE + ET</w:t>
            </w:r>
          </w:p>
        </w:tc>
        <w:tc>
          <w:tcPr>
            <w:tcW w:w="609" w:type="pct"/>
            <w:tcBorders>
              <w:bottom w:val="single" w:sz="4" w:space="0" w:color="auto"/>
            </w:tcBorders>
            <w:vAlign w:val="center"/>
          </w:tcPr>
          <w:p w14:paraId="24D9094F" w14:textId="77777777" w:rsidR="00540701" w:rsidRPr="008A3BDF" w:rsidRDefault="00540701" w:rsidP="00E55408">
            <w:pPr>
              <w:pStyle w:val="In-tableHeading"/>
              <w:jc w:val="center"/>
              <w:rPr>
                <w:lang w:val="en-AU"/>
              </w:rPr>
            </w:pPr>
            <w:r w:rsidRPr="008A3BDF">
              <w:rPr>
                <w:lang w:val="en-AU"/>
              </w:rPr>
              <w:t>ET</w:t>
            </w:r>
          </w:p>
        </w:tc>
        <w:tc>
          <w:tcPr>
            <w:tcW w:w="604" w:type="pct"/>
            <w:tcBorders>
              <w:bottom w:val="single" w:sz="4" w:space="0" w:color="auto"/>
            </w:tcBorders>
            <w:vAlign w:val="center"/>
          </w:tcPr>
          <w:p w14:paraId="3546D6F8" w14:textId="77777777" w:rsidR="00540701" w:rsidRPr="008A3BDF" w:rsidRDefault="00540701" w:rsidP="00E55408">
            <w:pPr>
              <w:pStyle w:val="In-tableHeading"/>
              <w:jc w:val="center"/>
              <w:rPr>
                <w:lang w:val="en-AU"/>
              </w:rPr>
            </w:pPr>
            <w:r w:rsidRPr="008A3BDF">
              <w:rPr>
                <w:lang w:val="en-AU"/>
              </w:rPr>
              <w:t>Increment</w:t>
            </w:r>
          </w:p>
        </w:tc>
      </w:tr>
      <w:tr w:rsidR="00540701" w:rsidRPr="008A3BDF" w14:paraId="6A2D33E8" w14:textId="77777777" w:rsidTr="006759DD">
        <w:tc>
          <w:tcPr>
            <w:tcW w:w="1351" w:type="pct"/>
            <w:tcBorders>
              <w:bottom w:val="nil"/>
            </w:tcBorders>
            <w:vAlign w:val="center"/>
          </w:tcPr>
          <w:p w14:paraId="318F74D6" w14:textId="77777777" w:rsidR="00540701" w:rsidRPr="008A3BDF" w:rsidRDefault="00540701" w:rsidP="00540701">
            <w:pPr>
              <w:pStyle w:val="TableText0"/>
              <w:rPr>
                <w:rFonts w:ascii="Times" w:hAnsi="Times"/>
              </w:rPr>
            </w:pPr>
            <w:r w:rsidRPr="008A3BDF">
              <w:t>Costs</w:t>
            </w:r>
          </w:p>
        </w:tc>
        <w:tc>
          <w:tcPr>
            <w:tcW w:w="609" w:type="pct"/>
            <w:tcBorders>
              <w:bottom w:val="nil"/>
            </w:tcBorders>
            <w:shd w:val="clear" w:color="auto" w:fill="B8CCE4" w:themeFill="accent1" w:themeFillTint="66"/>
            <w:vAlign w:val="center"/>
          </w:tcPr>
          <w:p w14:paraId="39E2EC9D" w14:textId="2BD0EEBB" w:rsidR="00540701" w:rsidRPr="00787A0B" w:rsidRDefault="00540701" w:rsidP="00E55408">
            <w:pPr>
              <w:pStyle w:val="TableText0"/>
              <w:jc w:val="center"/>
              <w:rPr>
                <w:iCs/>
              </w:rPr>
            </w:pPr>
            <w:r w:rsidRPr="00787A0B">
              <w:rPr>
                <w:iCs/>
              </w:rPr>
              <w:t>$</w:t>
            </w:r>
            <w:r w:rsidR="0013119A" w:rsidRPr="0013119A">
              <w:rPr>
                <w:iCs/>
                <w:color w:val="000000"/>
                <w:spacing w:val="155"/>
                <w:shd w:val="solid" w:color="000000" w:fill="000000"/>
                <w:fitText w:val="241" w:id="-1233471222"/>
                <w14:textFill>
                  <w14:solidFill>
                    <w14:srgbClr w14:val="000000">
                      <w14:alpha w14:val="100000"/>
                    </w14:srgbClr>
                  </w14:solidFill>
                </w14:textFill>
              </w:rPr>
              <w:t>|</w:t>
            </w:r>
            <w:r w:rsidR="0013119A" w:rsidRPr="0013119A">
              <w:rPr>
                <w:iCs/>
                <w:color w:val="000000"/>
                <w:spacing w:val="1"/>
                <w:shd w:val="solid" w:color="000000" w:fill="000000"/>
                <w:fitText w:val="241" w:id="-1233471222"/>
                <w14:textFill>
                  <w14:solidFill>
                    <w14:srgbClr w14:val="000000">
                      <w14:alpha w14:val="100000"/>
                    </w14:srgbClr>
                  </w14:solidFill>
                </w14:textFill>
              </w:rPr>
              <w:t>|</w:t>
            </w:r>
            <w:r w:rsidR="008759DD" w:rsidRPr="008759DD">
              <w:rPr>
                <w:iCs/>
              </w:rPr>
              <w:t xml:space="preserve"> </w:t>
            </w:r>
          </w:p>
        </w:tc>
        <w:tc>
          <w:tcPr>
            <w:tcW w:w="609" w:type="pct"/>
            <w:tcBorders>
              <w:bottom w:val="nil"/>
            </w:tcBorders>
            <w:shd w:val="clear" w:color="auto" w:fill="B8CCE4" w:themeFill="accent1" w:themeFillTint="66"/>
            <w:vAlign w:val="center"/>
          </w:tcPr>
          <w:p w14:paraId="32CB6810" w14:textId="2F2C27C1" w:rsidR="00540701" w:rsidRPr="00EC58C1" w:rsidRDefault="00540701" w:rsidP="00E55408">
            <w:pPr>
              <w:pStyle w:val="TableText0"/>
              <w:jc w:val="center"/>
              <w:rPr>
                <w:iCs/>
              </w:rPr>
            </w:pPr>
            <w:r w:rsidRPr="00EC58C1">
              <w:rPr>
                <w:iCs/>
              </w:rPr>
              <w:t>$51,152</w:t>
            </w:r>
          </w:p>
        </w:tc>
        <w:tc>
          <w:tcPr>
            <w:tcW w:w="609" w:type="pct"/>
            <w:tcBorders>
              <w:bottom w:val="nil"/>
            </w:tcBorders>
            <w:shd w:val="clear" w:color="auto" w:fill="B8CCE4" w:themeFill="accent1" w:themeFillTint="66"/>
            <w:vAlign w:val="center"/>
          </w:tcPr>
          <w:p w14:paraId="6BC031F3" w14:textId="621EB212" w:rsidR="00540701" w:rsidRPr="00787A0B" w:rsidRDefault="00540701" w:rsidP="00E55408">
            <w:pPr>
              <w:pStyle w:val="TableText0"/>
              <w:jc w:val="center"/>
              <w:rPr>
                <w:iCs/>
              </w:rPr>
            </w:pPr>
            <w:r w:rsidRPr="00787A0B">
              <w:rPr>
                <w:iCs/>
              </w:rPr>
              <w:t>$</w:t>
            </w:r>
            <w:r w:rsidR="0013119A" w:rsidRPr="0013119A">
              <w:rPr>
                <w:iCs/>
                <w:color w:val="000000"/>
                <w:spacing w:val="156"/>
                <w:shd w:val="solid" w:color="000000" w:fill="000000"/>
                <w:fitText w:val="242" w:id="-1233471221"/>
                <w14:textFill>
                  <w14:solidFill>
                    <w14:srgbClr w14:val="000000">
                      <w14:alpha w14:val="100000"/>
                    </w14:srgbClr>
                  </w14:solidFill>
                </w14:textFill>
              </w:rPr>
              <w:t>|</w:t>
            </w:r>
            <w:r w:rsidR="0013119A" w:rsidRPr="0013119A">
              <w:rPr>
                <w:iCs/>
                <w:color w:val="000000"/>
                <w:spacing w:val="1"/>
                <w:shd w:val="solid" w:color="000000" w:fill="000000"/>
                <w:fitText w:val="242" w:id="-1233471221"/>
                <w14:textFill>
                  <w14:solidFill>
                    <w14:srgbClr w14:val="000000">
                      <w14:alpha w14:val="100000"/>
                    </w14:srgbClr>
                  </w14:solidFill>
                </w14:textFill>
              </w:rPr>
              <w:t>|</w:t>
            </w:r>
            <w:r w:rsidR="008759DD" w:rsidRPr="008759DD">
              <w:rPr>
                <w:iCs/>
              </w:rPr>
              <w:t xml:space="preserve"> </w:t>
            </w:r>
          </w:p>
        </w:tc>
        <w:tc>
          <w:tcPr>
            <w:tcW w:w="609" w:type="pct"/>
            <w:tcBorders>
              <w:bottom w:val="nil"/>
            </w:tcBorders>
            <w:vAlign w:val="center"/>
          </w:tcPr>
          <w:p w14:paraId="678204A4" w14:textId="29194DC7" w:rsidR="00540701" w:rsidRPr="008A3BDF" w:rsidRDefault="00540701" w:rsidP="00E55408">
            <w:pPr>
              <w:pStyle w:val="TableText0"/>
              <w:jc w:val="center"/>
              <w:rPr>
                <w:rFonts w:ascii="Times" w:hAnsi="Times"/>
              </w:rPr>
            </w:pPr>
            <w:r w:rsidRPr="008A3BDF">
              <w:t>$</w:t>
            </w:r>
            <w:r w:rsidR="0013119A" w:rsidRPr="0013119A">
              <w:rPr>
                <w:color w:val="000000"/>
                <w:spacing w:val="155"/>
                <w:shd w:val="solid" w:color="000000" w:fill="000000"/>
                <w:fitText w:val="241" w:id="-1233471220"/>
                <w14:textFill>
                  <w14:solidFill>
                    <w14:srgbClr w14:val="000000">
                      <w14:alpha w14:val="100000"/>
                    </w14:srgbClr>
                  </w14:solidFill>
                </w14:textFill>
              </w:rPr>
              <w:t>|</w:t>
            </w:r>
            <w:r w:rsidR="0013119A" w:rsidRPr="0013119A">
              <w:rPr>
                <w:color w:val="000000"/>
                <w:spacing w:val="1"/>
                <w:shd w:val="solid" w:color="000000" w:fill="000000"/>
                <w:fitText w:val="241" w:id="-1233471220"/>
                <w14:textFill>
                  <w14:solidFill>
                    <w14:srgbClr w14:val="000000">
                      <w14:alpha w14:val="100000"/>
                    </w14:srgbClr>
                  </w14:solidFill>
                </w14:textFill>
              </w:rPr>
              <w:t>|</w:t>
            </w:r>
            <w:r w:rsidR="008759DD" w:rsidRPr="008759DD">
              <w:t xml:space="preserve"> </w:t>
            </w:r>
          </w:p>
        </w:tc>
        <w:tc>
          <w:tcPr>
            <w:tcW w:w="609" w:type="pct"/>
            <w:tcBorders>
              <w:bottom w:val="nil"/>
            </w:tcBorders>
            <w:vAlign w:val="center"/>
          </w:tcPr>
          <w:p w14:paraId="01F8EBB0" w14:textId="77777777" w:rsidR="00540701" w:rsidRPr="008A3BDF" w:rsidRDefault="00540701" w:rsidP="00E55408">
            <w:pPr>
              <w:pStyle w:val="TableText0"/>
              <w:jc w:val="center"/>
              <w:rPr>
                <w:rFonts w:ascii="Times" w:hAnsi="Times"/>
              </w:rPr>
            </w:pPr>
            <w:r w:rsidRPr="00EC58C1">
              <w:t>$37,732</w:t>
            </w:r>
          </w:p>
        </w:tc>
        <w:tc>
          <w:tcPr>
            <w:tcW w:w="604" w:type="pct"/>
            <w:tcBorders>
              <w:bottom w:val="nil"/>
            </w:tcBorders>
            <w:vAlign w:val="center"/>
          </w:tcPr>
          <w:p w14:paraId="457665D3" w14:textId="574530A6" w:rsidR="00540701" w:rsidRPr="008A3BDF" w:rsidRDefault="00540701" w:rsidP="00E55408">
            <w:pPr>
              <w:pStyle w:val="TableText0"/>
              <w:jc w:val="center"/>
              <w:rPr>
                <w:rFonts w:ascii="Times" w:hAnsi="Times"/>
              </w:rPr>
            </w:pPr>
            <w:r w:rsidRPr="008A3BDF">
              <w:t>$</w:t>
            </w:r>
            <w:r w:rsidR="0013119A" w:rsidRPr="0013119A">
              <w:rPr>
                <w:color w:val="000000"/>
                <w:spacing w:val="52"/>
                <w:shd w:val="solid" w:color="000000" w:fill="000000"/>
                <w:fitText w:val="233" w:id="-1233471219"/>
                <w14:textFill>
                  <w14:solidFill>
                    <w14:srgbClr w14:val="000000">
                      <w14:alpha w14:val="100000"/>
                    </w14:srgbClr>
                  </w14:solidFill>
                </w14:textFill>
              </w:rPr>
              <w:t>||</w:t>
            </w:r>
            <w:r w:rsidR="0013119A" w:rsidRPr="0013119A">
              <w:rPr>
                <w:color w:val="000000"/>
                <w:spacing w:val="2"/>
                <w:shd w:val="solid" w:color="000000" w:fill="000000"/>
                <w:fitText w:val="233" w:id="-1233471219"/>
                <w14:textFill>
                  <w14:solidFill>
                    <w14:srgbClr w14:val="000000">
                      <w14:alpha w14:val="100000"/>
                    </w14:srgbClr>
                  </w14:solidFill>
                </w14:textFill>
              </w:rPr>
              <w:t>|</w:t>
            </w:r>
            <w:r w:rsidR="008759DD" w:rsidRPr="008759DD">
              <w:t xml:space="preserve"> </w:t>
            </w:r>
          </w:p>
        </w:tc>
      </w:tr>
      <w:tr w:rsidR="00540701" w:rsidRPr="008A3BDF" w14:paraId="47B080EE" w14:textId="77777777" w:rsidTr="006759DD">
        <w:tc>
          <w:tcPr>
            <w:tcW w:w="1351" w:type="pct"/>
            <w:tcBorders>
              <w:bottom w:val="single" w:sz="4" w:space="0" w:color="auto"/>
            </w:tcBorders>
            <w:vAlign w:val="center"/>
          </w:tcPr>
          <w:p w14:paraId="632D3D78" w14:textId="77777777" w:rsidR="00540701" w:rsidRPr="008A3BDF" w:rsidRDefault="00540701" w:rsidP="00540701">
            <w:pPr>
              <w:pStyle w:val="TableText0"/>
            </w:pPr>
            <w:r w:rsidRPr="008A3BDF">
              <w:t>QALYs</w:t>
            </w:r>
          </w:p>
        </w:tc>
        <w:tc>
          <w:tcPr>
            <w:tcW w:w="609" w:type="pct"/>
            <w:tcBorders>
              <w:bottom w:val="single" w:sz="4" w:space="0" w:color="auto"/>
            </w:tcBorders>
            <w:shd w:val="clear" w:color="auto" w:fill="B8CCE4" w:themeFill="accent1" w:themeFillTint="66"/>
            <w:vAlign w:val="center"/>
          </w:tcPr>
          <w:p w14:paraId="6B40BABD" w14:textId="3F981B18" w:rsidR="00540701" w:rsidRPr="00787A0B" w:rsidRDefault="00540701" w:rsidP="00E55408">
            <w:pPr>
              <w:pStyle w:val="TableText0"/>
              <w:jc w:val="center"/>
              <w:rPr>
                <w:iCs/>
              </w:rPr>
            </w:pPr>
            <w:r w:rsidRPr="00787A0B">
              <w:rPr>
                <w:iCs/>
              </w:rPr>
              <w:t>9.044</w:t>
            </w:r>
          </w:p>
        </w:tc>
        <w:tc>
          <w:tcPr>
            <w:tcW w:w="609" w:type="pct"/>
            <w:tcBorders>
              <w:bottom w:val="single" w:sz="4" w:space="0" w:color="auto"/>
            </w:tcBorders>
            <w:shd w:val="clear" w:color="auto" w:fill="B8CCE4" w:themeFill="accent1" w:themeFillTint="66"/>
            <w:vAlign w:val="center"/>
          </w:tcPr>
          <w:p w14:paraId="55E001DC" w14:textId="49543F62" w:rsidR="00540701" w:rsidRPr="00787A0B" w:rsidRDefault="00540701" w:rsidP="00E55408">
            <w:pPr>
              <w:pStyle w:val="TableText0"/>
              <w:jc w:val="center"/>
              <w:rPr>
                <w:iCs/>
              </w:rPr>
            </w:pPr>
            <w:r w:rsidRPr="00787A0B">
              <w:rPr>
                <w:iCs/>
              </w:rPr>
              <w:t>8.446</w:t>
            </w:r>
          </w:p>
        </w:tc>
        <w:tc>
          <w:tcPr>
            <w:tcW w:w="609" w:type="pct"/>
            <w:tcBorders>
              <w:bottom w:val="single" w:sz="4" w:space="0" w:color="auto"/>
            </w:tcBorders>
            <w:shd w:val="clear" w:color="auto" w:fill="B8CCE4" w:themeFill="accent1" w:themeFillTint="66"/>
            <w:vAlign w:val="center"/>
          </w:tcPr>
          <w:p w14:paraId="5EA2FE46" w14:textId="4010805F" w:rsidR="00540701" w:rsidRPr="00787A0B" w:rsidRDefault="00540701" w:rsidP="00E55408">
            <w:pPr>
              <w:pStyle w:val="TableText0"/>
              <w:jc w:val="center"/>
              <w:rPr>
                <w:iCs/>
              </w:rPr>
            </w:pPr>
            <w:r w:rsidRPr="00787A0B">
              <w:rPr>
                <w:iCs/>
              </w:rPr>
              <w:t>0.598</w:t>
            </w:r>
          </w:p>
        </w:tc>
        <w:tc>
          <w:tcPr>
            <w:tcW w:w="609" w:type="pct"/>
            <w:tcBorders>
              <w:bottom w:val="single" w:sz="4" w:space="0" w:color="auto"/>
            </w:tcBorders>
            <w:vAlign w:val="center"/>
          </w:tcPr>
          <w:p w14:paraId="599C1DE7" w14:textId="474935D5" w:rsidR="00540701" w:rsidRPr="008A3BDF" w:rsidRDefault="00540701" w:rsidP="00E55408">
            <w:pPr>
              <w:pStyle w:val="TableText0"/>
              <w:jc w:val="center"/>
            </w:pPr>
            <w:r w:rsidRPr="008A3BDF">
              <w:t>9.317</w:t>
            </w:r>
          </w:p>
        </w:tc>
        <w:tc>
          <w:tcPr>
            <w:tcW w:w="609" w:type="pct"/>
            <w:tcBorders>
              <w:bottom w:val="single" w:sz="4" w:space="0" w:color="auto"/>
            </w:tcBorders>
            <w:vAlign w:val="center"/>
          </w:tcPr>
          <w:p w14:paraId="553403AE" w14:textId="77777777" w:rsidR="00540701" w:rsidRPr="008A3BDF" w:rsidRDefault="00540701" w:rsidP="00E55408">
            <w:pPr>
              <w:pStyle w:val="TableText0"/>
              <w:jc w:val="center"/>
            </w:pPr>
            <w:r w:rsidRPr="008A3BDF">
              <w:t>8.881</w:t>
            </w:r>
          </w:p>
        </w:tc>
        <w:tc>
          <w:tcPr>
            <w:tcW w:w="604" w:type="pct"/>
            <w:tcBorders>
              <w:bottom w:val="single" w:sz="4" w:space="0" w:color="auto"/>
            </w:tcBorders>
            <w:vAlign w:val="center"/>
          </w:tcPr>
          <w:p w14:paraId="477DFF1B" w14:textId="77777777" w:rsidR="00540701" w:rsidRPr="008A3BDF" w:rsidRDefault="00540701" w:rsidP="00E55408">
            <w:pPr>
              <w:pStyle w:val="TableText0"/>
              <w:jc w:val="center"/>
            </w:pPr>
            <w:r w:rsidRPr="008A3BDF">
              <w:t>0.436</w:t>
            </w:r>
          </w:p>
        </w:tc>
      </w:tr>
      <w:tr w:rsidR="00540701" w:rsidRPr="008A3BDF" w14:paraId="45D37352" w14:textId="77777777" w:rsidTr="006759DD">
        <w:tc>
          <w:tcPr>
            <w:tcW w:w="1351" w:type="pct"/>
            <w:tcBorders>
              <w:bottom w:val="single" w:sz="4" w:space="0" w:color="auto"/>
              <w:right w:val="nil"/>
            </w:tcBorders>
            <w:vAlign w:val="center"/>
          </w:tcPr>
          <w:p w14:paraId="594F074C" w14:textId="77777777" w:rsidR="00540701" w:rsidRPr="008A3BDF" w:rsidRDefault="00540701" w:rsidP="00540701">
            <w:pPr>
              <w:pStyle w:val="TableText0"/>
              <w:rPr>
                <w:rFonts w:ascii="Times" w:hAnsi="Times"/>
                <w:b/>
              </w:rPr>
            </w:pPr>
            <w:r w:rsidRPr="008A3BDF">
              <w:rPr>
                <w:b/>
              </w:rPr>
              <w:t>Incremental cost per additional QALY gained</w:t>
            </w:r>
          </w:p>
        </w:tc>
        <w:tc>
          <w:tcPr>
            <w:tcW w:w="1218" w:type="pct"/>
            <w:gridSpan w:val="2"/>
            <w:tcBorders>
              <w:bottom w:val="single" w:sz="4" w:space="0" w:color="auto"/>
            </w:tcBorders>
            <w:shd w:val="clear" w:color="auto" w:fill="B8CCE4" w:themeFill="accent1" w:themeFillTint="66"/>
            <w:vAlign w:val="center"/>
          </w:tcPr>
          <w:p w14:paraId="5666EA02" w14:textId="2D48E28B" w:rsidR="00540701" w:rsidRPr="00787A0B" w:rsidRDefault="00540701" w:rsidP="00E55408">
            <w:pPr>
              <w:pStyle w:val="TableText0"/>
              <w:jc w:val="center"/>
              <w:rPr>
                <w:rFonts w:ascii="Times" w:hAnsi="Times"/>
                <w:b/>
                <w:iCs/>
              </w:rPr>
            </w:pPr>
          </w:p>
        </w:tc>
        <w:tc>
          <w:tcPr>
            <w:tcW w:w="609" w:type="pct"/>
            <w:tcBorders>
              <w:bottom w:val="single" w:sz="4" w:space="0" w:color="auto"/>
              <w:right w:val="single" w:sz="4" w:space="0" w:color="auto"/>
            </w:tcBorders>
            <w:shd w:val="clear" w:color="auto" w:fill="B8CCE4" w:themeFill="accent1" w:themeFillTint="66"/>
            <w:vAlign w:val="center"/>
          </w:tcPr>
          <w:p w14:paraId="120BEE6F" w14:textId="6AA7E010" w:rsidR="00540701" w:rsidRPr="00787A0B" w:rsidRDefault="00540701" w:rsidP="00E55408">
            <w:pPr>
              <w:pStyle w:val="TableText0"/>
              <w:jc w:val="center"/>
              <w:rPr>
                <w:rFonts w:ascii="Times" w:hAnsi="Times"/>
                <w:b/>
                <w:iCs/>
              </w:rPr>
            </w:pPr>
            <w:r w:rsidRPr="00787A0B">
              <w:rPr>
                <w:b/>
                <w:iCs/>
              </w:rPr>
              <w:t>$</w:t>
            </w:r>
            <w:r w:rsidR="0013119A" w:rsidRPr="0013119A">
              <w:rPr>
                <w:b/>
                <w:iCs/>
                <w:color w:val="000000"/>
                <w:spacing w:val="55"/>
                <w:shd w:val="solid" w:color="000000" w:fill="000000"/>
                <w:fitText w:val="349" w:id="-1233471218"/>
                <w14:textFill>
                  <w14:solidFill>
                    <w14:srgbClr w14:val="000000">
                      <w14:alpha w14:val="100000"/>
                    </w14:srgbClr>
                  </w14:solidFill>
                </w14:textFill>
              </w:rPr>
              <w:t>|||</w:t>
            </w:r>
            <w:r w:rsidR="0013119A" w:rsidRPr="0013119A">
              <w:rPr>
                <w:b/>
                <w:iCs/>
                <w:color w:val="000000"/>
                <w:spacing w:val="1"/>
                <w:shd w:val="solid" w:color="000000" w:fill="000000"/>
                <w:fitText w:val="349" w:id="-1233471218"/>
                <w14:textFill>
                  <w14:solidFill>
                    <w14:srgbClr w14:val="000000">
                      <w14:alpha w14:val="100000"/>
                    </w14:srgbClr>
                  </w14:solidFill>
                </w14:textFill>
              </w:rPr>
              <w:t>|</w:t>
            </w:r>
            <w:r w:rsidR="008759DD" w:rsidRPr="008759DD">
              <w:rPr>
                <w:b/>
                <w:iCs/>
              </w:rPr>
              <w:t xml:space="preserve"> </w:t>
            </w:r>
            <w:r w:rsidR="004F7EE3" w:rsidRPr="004F7EE3">
              <w:rPr>
                <w:vertAlign w:val="superscript"/>
              </w:rPr>
              <w:t>1</w:t>
            </w:r>
          </w:p>
        </w:tc>
        <w:tc>
          <w:tcPr>
            <w:tcW w:w="609" w:type="pct"/>
            <w:tcBorders>
              <w:left w:val="single" w:sz="4" w:space="0" w:color="auto"/>
              <w:bottom w:val="single" w:sz="4" w:space="0" w:color="auto"/>
              <w:right w:val="nil"/>
            </w:tcBorders>
            <w:vAlign w:val="center"/>
          </w:tcPr>
          <w:p w14:paraId="47D7CA79" w14:textId="2E01B1BA" w:rsidR="00540701" w:rsidRPr="008759DD" w:rsidRDefault="00540701" w:rsidP="00E55408">
            <w:pPr>
              <w:pStyle w:val="TableText0"/>
              <w:jc w:val="center"/>
              <w:rPr>
                <w:rFonts w:ascii="Times" w:hAnsi="Times"/>
                <w:b/>
              </w:rPr>
            </w:pPr>
          </w:p>
        </w:tc>
        <w:tc>
          <w:tcPr>
            <w:tcW w:w="609" w:type="pct"/>
            <w:tcBorders>
              <w:left w:val="nil"/>
              <w:bottom w:val="single" w:sz="4" w:space="0" w:color="auto"/>
            </w:tcBorders>
            <w:vAlign w:val="center"/>
          </w:tcPr>
          <w:p w14:paraId="3C7F51F5" w14:textId="77777777" w:rsidR="00540701" w:rsidRPr="008759DD" w:rsidRDefault="00540701" w:rsidP="00E55408">
            <w:pPr>
              <w:pStyle w:val="TableText0"/>
              <w:jc w:val="center"/>
              <w:rPr>
                <w:rFonts w:ascii="Times" w:hAnsi="Times"/>
                <w:b/>
              </w:rPr>
            </w:pPr>
          </w:p>
        </w:tc>
        <w:tc>
          <w:tcPr>
            <w:tcW w:w="604" w:type="pct"/>
            <w:tcBorders>
              <w:bottom w:val="single" w:sz="4" w:space="0" w:color="auto"/>
            </w:tcBorders>
            <w:vAlign w:val="center"/>
          </w:tcPr>
          <w:p w14:paraId="7B780136" w14:textId="53208484" w:rsidR="00540701" w:rsidRPr="008A3BDF" w:rsidRDefault="00540701" w:rsidP="00E55408">
            <w:pPr>
              <w:pStyle w:val="TableText0"/>
              <w:jc w:val="center"/>
              <w:rPr>
                <w:rFonts w:ascii="Times" w:hAnsi="Times"/>
                <w:b/>
              </w:rPr>
            </w:pPr>
            <w:r w:rsidRPr="008A3BDF">
              <w:rPr>
                <w:b/>
              </w:rPr>
              <w:t>$</w:t>
            </w:r>
            <w:r w:rsidR="0013119A" w:rsidRPr="0013119A">
              <w:rPr>
                <w:b/>
                <w:color w:val="000000"/>
                <w:spacing w:val="55"/>
                <w:shd w:val="solid" w:color="000000" w:fill="000000"/>
                <w:fitText w:val="350" w:id="-1233471217"/>
                <w14:textFill>
                  <w14:solidFill>
                    <w14:srgbClr w14:val="000000">
                      <w14:alpha w14:val="100000"/>
                    </w14:srgbClr>
                  </w14:solidFill>
                </w14:textFill>
              </w:rPr>
              <w:t>|||</w:t>
            </w:r>
            <w:r w:rsidR="0013119A" w:rsidRPr="0013119A">
              <w:rPr>
                <w:b/>
                <w:color w:val="000000"/>
                <w:spacing w:val="2"/>
                <w:shd w:val="solid" w:color="000000" w:fill="000000"/>
                <w:fitText w:val="350" w:id="-1233471217"/>
                <w14:textFill>
                  <w14:solidFill>
                    <w14:srgbClr w14:val="000000">
                      <w14:alpha w14:val="100000"/>
                    </w14:srgbClr>
                  </w14:solidFill>
                </w14:textFill>
              </w:rPr>
              <w:t>|</w:t>
            </w:r>
            <w:r w:rsidR="008759DD" w:rsidRPr="008759DD">
              <w:rPr>
                <w:b/>
              </w:rPr>
              <w:t xml:space="preserve"> </w:t>
            </w:r>
            <w:r w:rsidR="004F7EE3">
              <w:rPr>
                <w:vertAlign w:val="superscript"/>
              </w:rPr>
              <w:t>2</w:t>
            </w:r>
          </w:p>
        </w:tc>
      </w:tr>
    </w:tbl>
    <w:p w14:paraId="5BFBF09F" w14:textId="3DA1ED40" w:rsidR="00062CD0" w:rsidRPr="008A3BDF" w:rsidRDefault="00062CD0" w:rsidP="00062CD0">
      <w:pPr>
        <w:pStyle w:val="TableFigureFooter"/>
      </w:pPr>
      <w:r w:rsidRPr="008A3BDF">
        <w:t>Source: Table 3</w:t>
      </w:r>
      <w:r w:rsidR="00AB42AC">
        <w:t>-</w:t>
      </w:r>
      <w:r w:rsidRPr="008A3BDF">
        <w:t>66, p275 of the resubmission</w:t>
      </w:r>
      <w:r w:rsidR="00E55408">
        <w:t>,</w:t>
      </w:r>
      <w:r w:rsidRPr="008A3BDF">
        <w:t xml:space="preserve"> the ‘A6.1_Abemaciclib Section 3 workbook 2022.xlsm’ workbook</w:t>
      </w:r>
      <w:r w:rsidR="00E55408">
        <w:t xml:space="preserve"> and Table 10, Abemaciclib PSD, March 2022 PBAC Meeting</w:t>
      </w:r>
    </w:p>
    <w:p w14:paraId="2C6B3EC5" w14:textId="28078093" w:rsidR="00E55408" w:rsidRDefault="00062CD0" w:rsidP="00062CD0">
      <w:pPr>
        <w:pStyle w:val="TableFigureFooter"/>
      </w:pPr>
      <w:r w:rsidRPr="008A3BDF">
        <w:t>ABE = abemaciclib;</w:t>
      </w:r>
      <w:r w:rsidR="009C5676">
        <w:t xml:space="preserve"> ET = endocrine therapy; </w:t>
      </w:r>
      <w:r w:rsidRPr="008A3BDF">
        <w:t>QALY = quality-adjusted life year.</w:t>
      </w:r>
    </w:p>
    <w:p w14:paraId="6B4AE9D0" w14:textId="695999A0" w:rsidR="00062CD0" w:rsidRDefault="00E55408" w:rsidP="004F7EE3">
      <w:pPr>
        <w:pStyle w:val="TableFigureFooter"/>
        <w:spacing w:after="0"/>
        <w:rPr>
          <w:iCs/>
        </w:rPr>
      </w:pPr>
      <w:r>
        <w:t xml:space="preserve">Note: </w:t>
      </w:r>
      <w:r w:rsidRPr="00787A0B">
        <w:rPr>
          <w:iCs/>
        </w:rPr>
        <w:t>Analyses were revised during the previous evaluation to correct the per cycle probability of recurrence in the Remission health state, to apply the probability of death in IDFS to the proportion in IDFS rather than ID events, and to apply only one hospitalisation cost per cycle in abemaciclib monitoring. The metastatic health state fixed pay-offs (costs and QALYs) were also revised to apply a discount rate of 5% × (28/365.25) per cycle, the ES-MBC PPS QALYs and costs were revised based on PPS LYs, rather than PFS1 LYs, and to correct for calculation errors in the ER-MBC PPS and ES-MBC PFS2 weighted treatment costs per cycle.</w:t>
      </w:r>
    </w:p>
    <w:p w14:paraId="7582C2C2" w14:textId="77777777" w:rsidR="004F7EE3" w:rsidRDefault="004F7EE3" w:rsidP="004F7EE3">
      <w:pPr>
        <w:rPr>
          <w:rFonts w:ascii="Arial Narrow" w:hAnsi="Arial Narrow"/>
          <w:i/>
          <w:sz w:val="18"/>
          <w:szCs w:val="18"/>
        </w:rPr>
      </w:pPr>
      <w:r>
        <w:rPr>
          <w:rFonts w:ascii="Arial Narrow" w:hAnsi="Arial Narrow"/>
          <w:i/>
          <w:sz w:val="18"/>
          <w:szCs w:val="18"/>
        </w:rPr>
        <w:t xml:space="preserve">The redacted values correspond to the following ranges: </w:t>
      </w:r>
    </w:p>
    <w:p w14:paraId="34768749" w14:textId="7319DF60" w:rsidR="004F7EE3" w:rsidRDefault="004F7EE3" w:rsidP="004F7EE3">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4F7EE3">
        <w:rPr>
          <w:rFonts w:ascii="Arial Narrow" w:hAnsi="Arial Narrow"/>
          <w:i/>
          <w:sz w:val="18"/>
          <w:szCs w:val="18"/>
        </w:rPr>
        <w:t>$15,000 to &lt; $25,000</w:t>
      </w:r>
    </w:p>
    <w:p w14:paraId="2D677867" w14:textId="707F9E89" w:rsidR="004F7EE3" w:rsidRPr="004F7EE3" w:rsidRDefault="004F7EE3" w:rsidP="004F7EE3">
      <w:pPr>
        <w:spacing w:after="120"/>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4F7EE3">
        <w:rPr>
          <w:rFonts w:ascii="Arial Narrow" w:hAnsi="Arial Narrow"/>
          <w:i/>
          <w:sz w:val="18"/>
          <w:szCs w:val="18"/>
        </w:rPr>
        <w:t>$35,000 to &lt; $45,000</w:t>
      </w:r>
    </w:p>
    <w:p w14:paraId="67F2A90A" w14:textId="0BD62191" w:rsidR="00062CD0" w:rsidRPr="00787A0B" w:rsidRDefault="00062CD0" w:rsidP="00062CD0">
      <w:pPr>
        <w:pStyle w:val="3-BodyText"/>
      </w:pPr>
      <w:r w:rsidRPr="00787A0B">
        <w:t xml:space="preserve">A stepped analysis was conducted during the evaluation to identify the effect on the ICER of changes between the previous submission and the resubmission. Results are presented in </w:t>
      </w:r>
      <w:r w:rsidRPr="00787A0B">
        <w:fldChar w:fldCharType="begin"/>
      </w:r>
      <w:r w:rsidRPr="00787A0B">
        <w:instrText xml:space="preserve"> REF _Ref123836266 \h  \* MERGEFORMAT </w:instrText>
      </w:r>
      <w:r w:rsidRPr="00787A0B">
        <w:fldChar w:fldCharType="separate"/>
      </w:r>
      <w:r w:rsidR="0001201E" w:rsidRPr="00501697">
        <w:t xml:space="preserve">Table </w:t>
      </w:r>
      <w:r w:rsidR="0001201E">
        <w:rPr>
          <w:noProof/>
        </w:rPr>
        <w:t>13</w:t>
      </w:r>
      <w:r w:rsidRPr="00787A0B">
        <w:fldChar w:fldCharType="end"/>
      </w:r>
      <w:r w:rsidRPr="00787A0B">
        <w:t xml:space="preserve">. Changes made in response to issues raised during the previous PBAC consideration (Step 1−6) resulted in cumulative increases in the ICER. The ICER substantially increased with the change in the parametric model used for IDFS extrapolation. The resubmission has made a number of additional changes to reduce the ICER. Those that substantially reduce the ICER include the reduction in the price of abemaciclib, changing the population modelled to </w:t>
      </w:r>
      <w:r w:rsidR="00723A71" w:rsidRPr="00787A0B">
        <w:t>Cohort</w:t>
      </w:r>
      <w:r w:rsidRPr="00787A0B">
        <w:t xml:space="preserve"> 1 of monarchE and changing the proportion of</w:t>
      </w:r>
      <w:r w:rsidR="00E965A8">
        <w:t xml:space="preserve"> non-metastatic recurrence</w:t>
      </w:r>
      <w:r w:rsidRPr="00787A0B">
        <w:t xml:space="preserve"> </w:t>
      </w:r>
      <w:r w:rsidR="00E965A8">
        <w:t>(</w:t>
      </w:r>
      <w:r w:rsidRPr="00787A0B">
        <w:t>NMR</w:t>
      </w:r>
      <w:r w:rsidR="00E965A8">
        <w:t>)</w:t>
      </w:r>
      <w:r w:rsidRPr="00787A0B">
        <w:t xml:space="preserve"> events that are second primary neoplasms. </w:t>
      </w:r>
    </w:p>
    <w:p w14:paraId="634BD087" w14:textId="4CBA780C" w:rsidR="00062CD0" w:rsidRPr="00501697" w:rsidRDefault="00062CD0" w:rsidP="007D6444">
      <w:pPr>
        <w:pStyle w:val="Caption"/>
        <w:rPr>
          <w:iCs/>
        </w:rPr>
      </w:pPr>
      <w:bookmarkStart w:id="49" w:name="_Ref123836266"/>
      <w:r w:rsidRPr="00501697">
        <w:lastRenderedPageBreak/>
        <w:t xml:space="preserve">Table </w:t>
      </w:r>
      <w:fldSimple w:instr=" SEQ Table \* ARABIC ">
        <w:r w:rsidR="0001201E">
          <w:rPr>
            <w:noProof/>
          </w:rPr>
          <w:t>13</w:t>
        </w:r>
      </w:fldSimple>
      <w:bookmarkEnd w:id="49"/>
      <w:r w:rsidRPr="00501697">
        <w:t>: Stepped analysis of the resubmission's economic model</w:t>
      </w:r>
    </w:p>
    <w:tbl>
      <w:tblPr>
        <w:tblStyle w:val="TableGrid"/>
        <w:tblW w:w="0" w:type="auto"/>
        <w:tblLook w:val="04A0" w:firstRow="1" w:lastRow="0" w:firstColumn="1" w:lastColumn="0" w:noHBand="0" w:noVBand="1"/>
      </w:tblPr>
      <w:tblGrid>
        <w:gridCol w:w="573"/>
        <w:gridCol w:w="5269"/>
        <w:gridCol w:w="1183"/>
        <w:gridCol w:w="1183"/>
        <w:gridCol w:w="809"/>
      </w:tblGrid>
      <w:tr w:rsidR="00062CD0" w:rsidRPr="00787A0B" w14:paraId="30B143E8" w14:textId="77777777" w:rsidTr="00F02ACA">
        <w:tc>
          <w:tcPr>
            <w:tcW w:w="573" w:type="dxa"/>
          </w:tcPr>
          <w:p w14:paraId="6E8BBA75" w14:textId="77777777" w:rsidR="00062CD0" w:rsidRPr="00787A0B" w:rsidRDefault="00062CD0" w:rsidP="007D6444">
            <w:pPr>
              <w:pStyle w:val="TableText0"/>
              <w:rPr>
                <w:b/>
              </w:rPr>
            </w:pPr>
            <w:r w:rsidRPr="00787A0B">
              <w:rPr>
                <w:b/>
              </w:rPr>
              <w:t>Step</w:t>
            </w:r>
          </w:p>
        </w:tc>
        <w:tc>
          <w:tcPr>
            <w:tcW w:w="5269" w:type="dxa"/>
          </w:tcPr>
          <w:p w14:paraId="017D1E88" w14:textId="77777777" w:rsidR="00062CD0" w:rsidRPr="00787A0B" w:rsidRDefault="00062CD0" w:rsidP="007D6444">
            <w:pPr>
              <w:pStyle w:val="TableText0"/>
              <w:rPr>
                <w:b/>
              </w:rPr>
            </w:pPr>
          </w:p>
        </w:tc>
        <w:tc>
          <w:tcPr>
            <w:tcW w:w="1183" w:type="dxa"/>
            <w:vAlign w:val="center"/>
          </w:tcPr>
          <w:p w14:paraId="3808FCFB" w14:textId="137F9524" w:rsidR="00062CD0" w:rsidRPr="00787A0B" w:rsidRDefault="00062CD0" w:rsidP="007D6444">
            <w:pPr>
              <w:pStyle w:val="TableText0"/>
              <w:jc w:val="center"/>
              <w:rPr>
                <w:b/>
              </w:rPr>
            </w:pPr>
            <w:r w:rsidRPr="00787A0B">
              <w:rPr>
                <w:b/>
              </w:rPr>
              <w:t>Inc</w:t>
            </w:r>
            <w:r w:rsidR="00F02ACA">
              <w:rPr>
                <w:b/>
              </w:rPr>
              <w:t>remental</w:t>
            </w:r>
            <w:r w:rsidRPr="00787A0B">
              <w:rPr>
                <w:b/>
              </w:rPr>
              <w:t xml:space="preserve"> cost</w:t>
            </w:r>
            <w:r w:rsidR="004F7EE3">
              <w:rPr>
                <w:b/>
              </w:rPr>
              <w:t xml:space="preserve"> ($)</w:t>
            </w:r>
          </w:p>
        </w:tc>
        <w:tc>
          <w:tcPr>
            <w:tcW w:w="1183" w:type="dxa"/>
            <w:vAlign w:val="center"/>
          </w:tcPr>
          <w:p w14:paraId="4BDDFE27" w14:textId="4C132156" w:rsidR="00062CD0" w:rsidRPr="00787A0B" w:rsidRDefault="00062CD0" w:rsidP="007D6444">
            <w:pPr>
              <w:pStyle w:val="TableText0"/>
              <w:jc w:val="center"/>
              <w:rPr>
                <w:b/>
              </w:rPr>
            </w:pPr>
            <w:r w:rsidRPr="00787A0B">
              <w:rPr>
                <w:b/>
              </w:rPr>
              <w:t>Inc</w:t>
            </w:r>
            <w:r w:rsidR="00F02ACA">
              <w:rPr>
                <w:b/>
              </w:rPr>
              <w:t>remental</w:t>
            </w:r>
            <w:r w:rsidRPr="00787A0B">
              <w:rPr>
                <w:b/>
              </w:rPr>
              <w:t xml:space="preserve"> QALYs</w:t>
            </w:r>
          </w:p>
        </w:tc>
        <w:tc>
          <w:tcPr>
            <w:tcW w:w="809" w:type="dxa"/>
            <w:vAlign w:val="center"/>
          </w:tcPr>
          <w:p w14:paraId="1E6C02B9" w14:textId="77777777" w:rsidR="00062CD0" w:rsidRPr="00787A0B" w:rsidRDefault="00062CD0" w:rsidP="007D6444">
            <w:pPr>
              <w:pStyle w:val="TableText0"/>
              <w:jc w:val="center"/>
              <w:rPr>
                <w:b/>
              </w:rPr>
            </w:pPr>
            <w:r w:rsidRPr="00787A0B">
              <w:rPr>
                <w:b/>
              </w:rPr>
              <w:t>ICER</w:t>
            </w:r>
          </w:p>
        </w:tc>
      </w:tr>
      <w:tr w:rsidR="00062CD0" w:rsidRPr="00787A0B" w14:paraId="6B15BB92" w14:textId="77777777" w:rsidTr="00F02ACA">
        <w:tc>
          <w:tcPr>
            <w:tcW w:w="573" w:type="dxa"/>
            <w:vAlign w:val="center"/>
          </w:tcPr>
          <w:p w14:paraId="1B86E6D0" w14:textId="77777777" w:rsidR="00062CD0" w:rsidRPr="00787A0B" w:rsidRDefault="00062CD0" w:rsidP="007D6444">
            <w:pPr>
              <w:pStyle w:val="TableText0"/>
              <w:ind w:left="720" w:hanging="720"/>
              <w:jc w:val="center"/>
            </w:pPr>
            <w:r w:rsidRPr="00787A0B">
              <w:t>0</w:t>
            </w:r>
          </w:p>
        </w:tc>
        <w:tc>
          <w:tcPr>
            <w:tcW w:w="5269" w:type="dxa"/>
          </w:tcPr>
          <w:p w14:paraId="215170A3" w14:textId="77777777" w:rsidR="00062CD0" w:rsidRPr="00787A0B" w:rsidRDefault="00062CD0" w:rsidP="007D6444">
            <w:pPr>
              <w:pStyle w:val="TableText0"/>
              <w:ind w:left="720" w:hanging="720"/>
            </w:pPr>
            <w:r w:rsidRPr="00787A0B">
              <w:rPr>
                <w:b/>
              </w:rPr>
              <w:t>ICER presented in the previous submission</w:t>
            </w:r>
          </w:p>
        </w:tc>
        <w:tc>
          <w:tcPr>
            <w:tcW w:w="1183" w:type="dxa"/>
            <w:vAlign w:val="center"/>
          </w:tcPr>
          <w:p w14:paraId="4C5AE419" w14:textId="1E9229F3" w:rsidR="00062CD0" w:rsidRPr="004F7EE3" w:rsidRDefault="0013119A" w:rsidP="007D6444">
            <w:pPr>
              <w:pStyle w:val="TableText0"/>
              <w:jc w:val="center"/>
              <w:rPr>
                <w:highlight w:val="darkGray"/>
              </w:rPr>
            </w:pPr>
            <w:r w:rsidRPr="0013119A">
              <w:rPr>
                <w:color w:val="000000"/>
                <w:spacing w:val="52"/>
                <w:shd w:val="solid" w:color="000000" w:fill="000000"/>
                <w:fitText w:val="233" w:id="-1233471216"/>
                <w14:textFill>
                  <w14:solidFill>
                    <w14:srgbClr w14:val="000000">
                      <w14:alpha w14:val="100000"/>
                    </w14:srgbClr>
                  </w14:solidFill>
                </w14:textFill>
              </w:rPr>
              <w:t>||</w:t>
            </w:r>
            <w:r w:rsidRPr="0013119A">
              <w:rPr>
                <w:color w:val="000000"/>
                <w:spacing w:val="2"/>
                <w:shd w:val="solid" w:color="000000" w:fill="000000"/>
                <w:fitText w:val="233" w:id="-1233471216"/>
                <w14:textFill>
                  <w14:solidFill>
                    <w14:srgbClr w14:val="000000">
                      <w14:alpha w14:val="100000"/>
                    </w14:srgbClr>
                  </w14:solidFill>
                </w14:textFill>
              </w:rPr>
              <w:t>|</w:t>
            </w:r>
            <w:r w:rsidR="008759DD" w:rsidRPr="008759DD">
              <w:t xml:space="preserve"> </w:t>
            </w:r>
          </w:p>
        </w:tc>
        <w:tc>
          <w:tcPr>
            <w:tcW w:w="1183" w:type="dxa"/>
            <w:vAlign w:val="center"/>
          </w:tcPr>
          <w:p w14:paraId="55ED667A" w14:textId="77777777" w:rsidR="00062CD0" w:rsidRPr="00787A0B" w:rsidRDefault="00062CD0" w:rsidP="007D6444">
            <w:pPr>
              <w:pStyle w:val="TableText0"/>
              <w:jc w:val="center"/>
            </w:pPr>
            <w:r w:rsidRPr="00787A0B">
              <w:t>0.687</w:t>
            </w:r>
          </w:p>
        </w:tc>
        <w:tc>
          <w:tcPr>
            <w:tcW w:w="809" w:type="dxa"/>
            <w:vAlign w:val="center"/>
          </w:tcPr>
          <w:p w14:paraId="0F813688" w14:textId="791AB72A" w:rsidR="00062CD0" w:rsidRPr="004F7EE3" w:rsidRDefault="0013119A" w:rsidP="007D6444">
            <w:pPr>
              <w:pStyle w:val="TableText0"/>
              <w:jc w:val="center"/>
              <w:rPr>
                <w:highlight w:val="darkGray"/>
              </w:rPr>
            </w:pPr>
            <w:r w:rsidRPr="0013119A">
              <w:rPr>
                <w:color w:val="000000"/>
                <w:spacing w:val="79"/>
                <w:shd w:val="solid" w:color="000000" w:fill="000000"/>
                <w:fitText w:val="408" w:id="-1233471232"/>
                <w14:textFill>
                  <w14:solidFill>
                    <w14:srgbClr w14:val="000000">
                      <w14:alpha w14:val="100000"/>
                    </w14:srgbClr>
                  </w14:solidFill>
                </w14:textFill>
              </w:rPr>
              <w:t>|||</w:t>
            </w:r>
            <w:r w:rsidRPr="0013119A">
              <w:rPr>
                <w:color w:val="000000"/>
                <w:spacing w:val="1"/>
                <w:shd w:val="solid" w:color="000000" w:fill="000000"/>
                <w:fitText w:val="408" w:id="-1233471232"/>
                <w14:textFill>
                  <w14:solidFill>
                    <w14:srgbClr w14:val="000000">
                      <w14:alpha w14:val="100000"/>
                    </w14:srgbClr>
                  </w14:solidFill>
                </w14:textFill>
              </w:rPr>
              <w:t>|</w:t>
            </w:r>
            <w:r w:rsidR="008759DD" w:rsidRPr="008759DD">
              <w:t xml:space="preserve"> </w:t>
            </w:r>
            <w:r w:rsidR="004F7EE3" w:rsidRPr="004F7EE3">
              <w:rPr>
                <w:vertAlign w:val="superscript"/>
              </w:rPr>
              <w:t>1</w:t>
            </w:r>
          </w:p>
        </w:tc>
      </w:tr>
      <w:tr w:rsidR="00062CD0" w:rsidRPr="00787A0B" w14:paraId="683A6146" w14:textId="77777777" w:rsidTr="001977F1">
        <w:tc>
          <w:tcPr>
            <w:tcW w:w="573" w:type="dxa"/>
          </w:tcPr>
          <w:p w14:paraId="3BC9CAC6" w14:textId="77777777" w:rsidR="00062CD0" w:rsidRPr="00787A0B" w:rsidRDefault="00062CD0" w:rsidP="007D6444">
            <w:pPr>
              <w:pStyle w:val="TableText0"/>
              <w:rPr>
                <w:b/>
              </w:rPr>
            </w:pPr>
          </w:p>
        </w:tc>
        <w:tc>
          <w:tcPr>
            <w:tcW w:w="8444" w:type="dxa"/>
            <w:gridSpan w:val="4"/>
            <w:vAlign w:val="center"/>
          </w:tcPr>
          <w:p w14:paraId="4774D5C9" w14:textId="77777777" w:rsidR="00062CD0" w:rsidRPr="00787A0B" w:rsidRDefault="00062CD0" w:rsidP="007D6444">
            <w:pPr>
              <w:pStyle w:val="TableText0"/>
              <w:rPr>
                <w:b/>
              </w:rPr>
            </w:pPr>
            <w:r w:rsidRPr="00787A0B">
              <w:rPr>
                <w:b/>
              </w:rPr>
              <w:t>Cumulative changes applied in the resubmission</w:t>
            </w:r>
          </w:p>
        </w:tc>
      </w:tr>
      <w:tr w:rsidR="00062CD0" w:rsidRPr="00787A0B" w14:paraId="5ADADE05" w14:textId="77777777" w:rsidTr="00F02ACA">
        <w:tc>
          <w:tcPr>
            <w:tcW w:w="573" w:type="dxa"/>
            <w:vAlign w:val="center"/>
          </w:tcPr>
          <w:p w14:paraId="22B2B1CB" w14:textId="77777777" w:rsidR="00062CD0" w:rsidRPr="00787A0B" w:rsidRDefault="00062CD0" w:rsidP="007D6444">
            <w:pPr>
              <w:pStyle w:val="TableText0"/>
              <w:jc w:val="center"/>
            </w:pPr>
            <w:r w:rsidRPr="00787A0B">
              <w:t>1</w:t>
            </w:r>
          </w:p>
        </w:tc>
        <w:tc>
          <w:tcPr>
            <w:tcW w:w="5269" w:type="dxa"/>
          </w:tcPr>
          <w:p w14:paraId="3C5B79C9" w14:textId="77CD2E86" w:rsidR="00062CD0" w:rsidRPr="00787A0B" w:rsidRDefault="00062CD0" w:rsidP="007D6444">
            <w:pPr>
              <w:pStyle w:val="TableText0"/>
            </w:pPr>
            <w:r w:rsidRPr="00787A0B">
              <w:t>Resubmission adopting changes in the previous evaluation’s revised base case</w:t>
            </w:r>
            <w:r w:rsidRPr="00787A0B">
              <w:rPr>
                <w:vertAlign w:val="superscript"/>
              </w:rPr>
              <w:t>a</w:t>
            </w:r>
          </w:p>
        </w:tc>
        <w:tc>
          <w:tcPr>
            <w:tcW w:w="1183" w:type="dxa"/>
            <w:vAlign w:val="center"/>
          </w:tcPr>
          <w:p w14:paraId="1C5BE0F9" w14:textId="16F90CBE" w:rsidR="00062CD0" w:rsidRPr="004F7EE3" w:rsidRDefault="0013119A" w:rsidP="007D6444">
            <w:pPr>
              <w:pStyle w:val="TableText0"/>
              <w:jc w:val="center"/>
              <w:rPr>
                <w:highlight w:val="darkGray"/>
              </w:rPr>
            </w:pPr>
            <w:r w:rsidRPr="0013119A">
              <w:rPr>
                <w:color w:val="000000"/>
                <w:spacing w:val="52"/>
                <w:shd w:val="solid" w:color="000000" w:fill="000000"/>
                <w:fitText w:val="233" w:id="-1233471231"/>
                <w14:textFill>
                  <w14:solidFill>
                    <w14:srgbClr w14:val="000000">
                      <w14:alpha w14:val="100000"/>
                    </w14:srgbClr>
                  </w14:solidFill>
                </w14:textFill>
              </w:rPr>
              <w:t>||</w:t>
            </w:r>
            <w:r w:rsidRPr="0013119A">
              <w:rPr>
                <w:color w:val="000000"/>
                <w:spacing w:val="2"/>
                <w:shd w:val="solid" w:color="000000" w:fill="000000"/>
                <w:fitText w:val="233" w:id="-1233471231"/>
                <w14:textFill>
                  <w14:solidFill>
                    <w14:srgbClr w14:val="000000">
                      <w14:alpha w14:val="100000"/>
                    </w14:srgbClr>
                  </w14:solidFill>
                </w14:textFill>
              </w:rPr>
              <w:t>|</w:t>
            </w:r>
            <w:r w:rsidR="008759DD" w:rsidRPr="008759DD">
              <w:t xml:space="preserve"> </w:t>
            </w:r>
          </w:p>
        </w:tc>
        <w:tc>
          <w:tcPr>
            <w:tcW w:w="1183" w:type="dxa"/>
            <w:vAlign w:val="center"/>
          </w:tcPr>
          <w:p w14:paraId="0BD278D7" w14:textId="77777777" w:rsidR="00062CD0" w:rsidRPr="00787A0B" w:rsidRDefault="00062CD0" w:rsidP="007D6444">
            <w:pPr>
              <w:pStyle w:val="TableText0"/>
              <w:jc w:val="center"/>
            </w:pPr>
            <w:r w:rsidRPr="00787A0B">
              <w:t>0.589</w:t>
            </w:r>
          </w:p>
        </w:tc>
        <w:tc>
          <w:tcPr>
            <w:tcW w:w="809" w:type="dxa"/>
            <w:vAlign w:val="center"/>
          </w:tcPr>
          <w:p w14:paraId="2472956B" w14:textId="63FE15E0" w:rsidR="00062CD0" w:rsidRPr="004F7EE3" w:rsidRDefault="0013119A" w:rsidP="007D6444">
            <w:pPr>
              <w:pStyle w:val="TableText0"/>
              <w:jc w:val="center"/>
              <w:rPr>
                <w:highlight w:val="darkGray"/>
              </w:rPr>
            </w:pPr>
            <w:r w:rsidRPr="0013119A">
              <w:rPr>
                <w:color w:val="000000"/>
                <w:spacing w:val="79"/>
                <w:shd w:val="solid" w:color="000000" w:fill="000000"/>
                <w:fitText w:val="408" w:id="-1233471230"/>
                <w14:textFill>
                  <w14:solidFill>
                    <w14:srgbClr w14:val="000000">
                      <w14:alpha w14:val="100000"/>
                    </w14:srgbClr>
                  </w14:solidFill>
                </w14:textFill>
              </w:rPr>
              <w:t>|||</w:t>
            </w:r>
            <w:r w:rsidRPr="0013119A">
              <w:rPr>
                <w:color w:val="000000"/>
                <w:spacing w:val="1"/>
                <w:shd w:val="solid" w:color="000000" w:fill="000000"/>
                <w:fitText w:val="408" w:id="-1233471230"/>
                <w14:textFill>
                  <w14:solidFill>
                    <w14:srgbClr w14:val="000000">
                      <w14:alpha w14:val="100000"/>
                    </w14:srgbClr>
                  </w14:solidFill>
                </w14:textFill>
              </w:rPr>
              <w:t>|</w:t>
            </w:r>
            <w:r w:rsidR="008759DD" w:rsidRPr="008759DD">
              <w:t xml:space="preserve"> </w:t>
            </w:r>
            <w:r w:rsidR="00F72F58">
              <w:rPr>
                <w:vertAlign w:val="superscript"/>
              </w:rPr>
              <w:t>2</w:t>
            </w:r>
          </w:p>
        </w:tc>
      </w:tr>
      <w:tr w:rsidR="00062CD0" w:rsidRPr="00787A0B" w14:paraId="1E02B754" w14:textId="77777777" w:rsidTr="00F02ACA">
        <w:tc>
          <w:tcPr>
            <w:tcW w:w="573" w:type="dxa"/>
            <w:vAlign w:val="center"/>
          </w:tcPr>
          <w:p w14:paraId="19844FD8" w14:textId="77777777" w:rsidR="00062CD0" w:rsidRPr="00787A0B" w:rsidRDefault="00062CD0" w:rsidP="007D6444">
            <w:pPr>
              <w:pStyle w:val="TableText0"/>
              <w:jc w:val="center"/>
            </w:pPr>
            <w:r w:rsidRPr="00787A0B">
              <w:t>2</w:t>
            </w:r>
          </w:p>
        </w:tc>
        <w:tc>
          <w:tcPr>
            <w:tcW w:w="5269" w:type="dxa"/>
          </w:tcPr>
          <w:p w14:paraId="03F7C5C6" w14:textId="2E1DF0EC" w:rsidR="00062CD0" w:rsidRPr="00787A0B" w:rsidRDefault="00062CD0" w:rsidP="007D6444">
            <w:pPr>
              <w:pStyle w:val="TableText0"/>
            </w:pPr>
            <w:r w:rsidRPr="00787A0B">
              <w:t>+ Time horizon, 30 years</w:t>
            </w:r>
            <w:r w:rsidR="001977F1" w:rsidRPr="00787A0B">
              <w:t xml:space="preserve"> (40 years previously)</w:t>
            </w:r>
          </w:p>
        </w:tc>
        <w:tc>
          <w:tcPr>
            <w:tcW w:w="1183" w:type="dxa"/>
            <w:vAlign w:val="center"/>
          </w:tcPr>
          <w:p w14:paraId="536AE82A" w14:textId="66E1C9A2" w:rsidR="00062CD0" w:rsidRPr="004F7EE3" w:rsidRDefault="0013119A" w:rsidP="007D6444">
            <w:pPr>
              <w:pStyle w:val="TableText0"/>
              <w:jc w:val="center"/>
              <w:rPr>
                <w:highlight w:val="darkGray"/>
              </w:rPr>
            </w:pPr>
            <w:r w:rsidRPr="0013119A">
              <w:rPr>
                <w:color w:val="000000"/>
                <w:spacing w:val="52"/>
                <w:shd w:val="solid" w:color="000000" w:fill="000000"/>
                <w:fitText w:val="233" w:id="-1233471229"/>
                <w14:textFill>
                  <w14:solidFill>
                    <w14:srgbClr w14:val="000000">
                      <w14:alpha w14:val="100000"/>
                    </w14:srgbClr>
                  </w14:solidFill>
                </w14:textFill>
              </w:rPr>
              <w:t>||</w:t>
            </w:r>
            <w:r w:rsidRPr="0013119A">
              <w:rPr>
                <w:color w:val="000000"/>
                <w:spacing w:val="2"/>
                <w:shd w:val="solid" w:color="000000" w:fill="000000"/>
                <w:fitText w:val="233" w:id="-1233471229"/>
                <w14:textFill>
                  <w14:solidFill>
                    <w14:srgbClr w14:val="000000">
                      <w14:alpha w14:val="100000"/>
                    </w14:srgbClr>
                  </w14:solidFill>
                </w14:textFill>
              </w:rPr>
              <w:t>|</w:t>
            </w:r>
            <w:r w:rsidR="008759DD" w:rsidRPr="008759DD">
              <w:t xml:space="preserve"> </w:t>
            </w:r>
          </w:p>
        </w:tc>
        <w:tc>
          <w:tcPr>
            <w:tcW w:w="1183" w:type="dxa"/>
            <w:vAlign w:val="center"/>
          </w:tcPr>
          <w:p w14:paraId="475965AE" w14:textId="77777777" w:rsidR="00062CD0" w:rsidRPr="00787A0B" w:rsidRDefault="00062CD0" w:rsidP="007D6444">
            <w:pPr>
              <w:pStyle w:val="TableText0"/>
              <w:jc w:val="center"/>
            </w:pPr>
            <w:r w:rsidRPr="00787A0B">
              <w:t>0.531</w:t>
            </w:r>
          </w:p>
        </w:tc>
        <w:tc>
          <w:tcPr>
            <w:tcW w:w="809" w:type="dxa"/>
            <w:vAlign w:val="center"/>
          </w:tcPr>
          <w:p w14:paraId="4B9E968F" w14:textId="0A9F1978"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8"/>
                <w14:textFill>
                  <w14:solidFill>
                    <w14:srgbClr w14:val="000000">
                      <w14:alpha w14:val="100000"/>
                    </w14:srgbClr>
                  </w14:solidFill>
                </w14:textFill>
              </w:rPr>
              <w:t>|||</w:t>
            </w:r>
            <w:r w:rsidRPr="0013119A">
              <w:rPr>
                <w:color w:val="000000"/>
                <w:spacing w:val="1"/>
                <w:shd w:val="solid" w:color="000000" w:fill="000000"/>
                <w:fitText w:val="408" w:id="-1233471228"/>
                <w14:textFill>
                  <w14:solidFill>
                    <w14:srgbClr w14:val="000000">
                      <w14:alpha w14:val="100000"/>
                    </w14:srgbClr>
                  </w14:solidFill>
                </w14:textFill>
              </w:rPr>
              <w:t>|</w:t>
            </w:r>
            <w:r w:rsidR="008759DD" w:rsidRPr="008759DD">
              <w:t xml:space="preserve"> </w:t>
            </w:r>
            <w:r w:rsidR="00F72F58">
              <w:rPr>
                <w:vertAlign w:val="superscript"/>
              </w:rPr>
              <w:t>2</w:t>
            </w:r>
          </w:p>
        </w:tc>
      </w:tr>
      <w:tr w:rsidR="00062CD0" w:rsidRPr="00787A0B" w14:paraId="4A199B29" w14:textId="77777777" w:rsidTr="00F02ACA">
        <w:tc>
          <w:tcPr>
            <w:tcW w:w="573" w:type="dxa"/>
            <w:vAlign w:val="center"/>
          </w:tcPr>
          <w:p w14:paraId="693FE103" w14:textId="77777777" w:rsidR="00062CD0" w:rsidRPr="00787A0B" w:rsidRDefault="00062CD0" w:rsidP="007D6444">
            <w:pPr>
              <w:pStyle w:val="TableText0"/>
              <w:jc w:val="center"/>
            </w:pPr>
            <w:r w:rsidRPr="00787A0B">
              <w:t>3</w:t>
            </w:r>
          </w:p>
        </w:tc>
        <w:tc>
          <w:tcPr>
            <w:tcW w:w="5269" w:type="dxa"/>
            <w:vAlign w:val="center"/>
          </w:tcPr>
          <w:p w14:paraId="52A82594" w14:textId="5CB28A03" w:rsidR="00062CD0" w:rsidRPr="00787A0B" w:rsidRDefault="00062CD0" w:rsidP="007D6444">
            <w:pPr>
              <w:pStyle w:val="TableText0"/>
            </w:pPr>
            <w:r w:rsidRPr="00787A0B">
              <w:t>+ Treatment waning, 7 years to 28.9 years</w:t>
            </w:r>
            <w:r w:rsidR="001977F1" w:rsidRPr="00787A0B">
              <w:t xml:space="preserve"> (8-38 years previously)</w:t>
            </w:r>
          </w:p>
        </w:tc>
        <w:tc>
          <w:tcPr>
            <w:tcW w:w="1183" w:type="dxa"/>
          </w:tcPr>
          <w:p w14:paraId="17B6716A" w14:textId="136200AA" w:rsidR="00062CD0" w:rsidRPr="004F7EE3" w:rsidRDefault="0013119A" w:rsidP="007D6444">
            <w:pPr>
              <w:pStyle w:val="TableText0"/>
              <w:jc w:val="center"/>
              <w:rPr>
                <w:highlight w:val="darkGray"/>
              </w:rPr>
            </w:pPr>
            <w:r w:rsidRPr="0013119A">
              <w:rPr>
                <w:color w:val="000000"/>
                <w:spacing w:val="52"/>
                <w:shd w:val="solid" w:color="000000" w:fill="000000"/>
                <w:fitText w:val="233" w:id="-1233471227"/>
                <w14:textFill>
                  <w14:solidFill>
                    <w14:srgbClr w14:val="000000">
                      <w14:alpha w14:val="100000"/>
                    </w14:srgbClr>
                  </w14:solidFill>
                </w14:textFill>
              </w:rPr>
              <w:t>||</w:t>
            </w:r>
            <w:r w:rsidRPr="0013119A">
              <w:rPr>
                <w:color w:val="000000"/>
                <w:spacing w:val="2"/>
                <w:shd w:val="solid" w:color="000000" w:fill="000000"/>
                <w:fitText w:val="233" w:id="-1233471227"/>
                <w14:textFill>
                  <w14:solidFill>
                    <w14:srgbClr w14:val="000000">
                      <w14:alpha w14:val="100000"/>
                    </w14:srgbClr>
                  </w14:solidFill>
                </w14:textFill>
              </w:rPr>
              <w:t>|</w:t>
            </w:r>
            <w:r w:rsidR="008759DD" w:rsidRPr="008759DD">
              <w:t xml:space="preserve"> </w:t>
            </w:r>
          </w:p>
        </w:tc>
        <w:tc>
          <w:tcPr>
            <w:tcW w:w="1183" w:type="dxa"/>
          </w:tcPr>
          <w:p w14:paraId="4D29B065" w14:textId="77777777" w:rsidR="00062CD0" w:rsidRPr="00787A0B" w:rsidRDefault="00062CD0" w:rsidP="007D6444">
            <w:pPr>
              <w:pStyle w:val="TableText0"/>
              <w:jc w:val="center"/>
            </w:pPr>
            <w:r w:rsidRPr="00787A0B">
              <w:t>0.522</w:t>
            </w:r>
          </w:p>
        </w:tc>
        <w:tc>
          <w:tcPr>
            <w:tcW w:w="809" w:type="dxa"/>
          </w:tcPr>
          <w:p w14:paraId="5360F812" w14:textId="4917F71B"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6"/>
                <w14:textFill>
                  <w14:solidFill>
                    <w14:srgbClr w14:val="000000">
                      <w14:alpha w14:val="100000"/>
                    </w14:srgbClr>
                  </w14:solidFill>
                </w14:textFill>
              </w:rPr>
              <w:t>|||</w:t>
            </w:r>
            <w:r w:rsidRPr="0013119A">
              <w:rPr>
                <w:color w:val="000000"/>
                <w:spacing w:val="1"/>
                <w:shd w:val="solid" w:color="000000" w:fill="000000"/>
                <w:fitText w:val="408" w:id="-1233471226"/>
                <w14:textFill>
                  <w14:solidFill>
                    <w14:srgbClr w14:val="000000">
                      <w14:alpha w14:val="100000"/>
                    </w14:srgbClr>
                  </w14:solidFill>
                </w14:textFill>
              </w:rPr>
              <w:t>|</w:t>
            </w:r>
            <w:r w:rsidR="008759DD" w:rsidRPr="008759DD">
              <w:t xml:space="preserve"> </w:t>
            </w:r>
            <w:r w:rsidR="00F72F58">
              <w:rPr>
                <w:vertAlign w:val="superscript"/>
              </w:rPr>
              <w:t>2</w:t>
            </w:r>
          </w:p>
        </w:tc>
      </w:tr>
      <w:tr w:rsidR="00062CD0" w:rsidRPr="00787A0B" w14:paraId="3B95FC9C" w14:textId="77777777" w:rsidTr="00F02ACA">
        <w:tc>
          <w:tcPr>
            <w:tcW w:w="573" w:type="dxa"/>
            <w:vAlign w:val="center"/>
          </w:tcPr>
          <w:p w14:paraId="53625ED1" w14:textId="77777777" w:rsidR="00062CD0" w:rsidRPr="00787A0B" w:rsidRDefault="00062CD0" w:rsidP="007D6444">
            <w:pPr>
              <w:pStyle w:val="TableText0"/>
              <w:jc w:val="center"/>
            </w:pPr>
            <w:r w:rsidRPr="00787A0B">
              <w:t>4</w:t>
            </w:r>
          </w:p>
        </w:tc>
        <w:tc>
          <w:tcPr>
            <w:tcW w:w="5269" w:type="dxa"/>
            <w:vAlign w:val="center"/>
          </w:tcPr>
          <w:p w14:paraId="7FDC597B" w14:textId="77777777" w:rsidR="00062CD0" w:rsidRPr="00787A0B" w:rsidRDefault="00062CD0" w:rsidP="007D6444">
            <w:pPr>
              <w:pStyle w:val="TableText0"/>
            </w:pPr>
            <w:r w:rsidRPr="00787A0B">
              <w:t>+ Uncalibrated outcomes in ES-MBC</w:t>
            </w:r>
          </w:p>
        </w:tc>
        <w:tc>
          <w:tcPr>
            <w:tcW w:w="1183" w:type="dxa"/>
          </w:tcPr>
          <w:p w14:paraId="4361B08E" w14:textId="039D7F0C" w:rsidR="00062CD0" w:rsidRPr="004F7EE3" w:rsidRDefault="0013119A" w:rsidP="007D6444">
            <w:pPr>
              <w:pStyle w:val="TableText0"/>
              <w:jc w:val="center"/>
              <w:rPr>
                <w:highlight w:val="darkGray"/>
              </w:rPr>
            </w:pPr>
            <w:r w:rsidRPr="0013119A">
              <w:rPr>
                <w:color w:val="000000"/>
                <w:spacing w:val="52"/>
                <w:shd w:val="solid" w:color="000000" w:fill="000000"/>
                <w:fitText w:val="233" w:id="-1233471225"/>
                <w14:textFill>
                  <w14:solidFill>
                    <w14:srgbClr w14:val="000000">
                      <w14:alpha w14:val="100000"/>
                    </w14:srgbClr>
                  </w14:solidFill>
                </w14:textFill>
              </w:rPr>
              <w:t>||</w:t>
            </w:r>
            <w:r w:rsidRPr="0013119A">
              <w:rPr>
                <w:color w:val="000000"/>
                <w:spacing w:val="2"/>
                <w:shd w:val="solid" w:color="000000" w:fill="000000"/>
                <w:fitText w:val="233" w:id="-1233471225"/>
                <w14:textFill>
                  <w14:solidFill>
                    <w14:srgbClr w14:val="000000">
                      <w14:alpha w14:val="100000"/>
                    </w14:srgbClr>
                  </w14:solidFill>
                </w14:textFill>
              </w:rPr>
              <w:t>|</w:t>
            </w:r>
            <w:r w:rsidR="008759DD" w:rsidRPr="008759DD">
              <w:t xml:space="preserve"> </w:t>
            </w:r>
          </w:p>
        </w:tc>
        <w:tc>
          <w:tcPr>
            <w:tcW w:w="1183" w:type="dxa"/>
          </w:tcPr>
          <w:p w14:paraId="15BF0E95" w14:textId="77777777" w:rsidR="00062CD0" w:rsidRPr="00787A0B" w:rsidRDefault="00062CD0" w:rsidP="007D6444">
            <w:pPr>
              <w:pStyle w:val="TableText0"/>
              <w:jc w:val="center"/>
            </w:pPr>
            <w:r w:rsidRPr="00787A0B">
              <w:t>0.388</w:t>
            </w:r>
          </w:p>
        </w:tc>
        <w:tc>
          <w:tcPr>
            <w:tcW w:w="809" w:type="dxa"/>
          </w:tcPr>
          <w:p w14:paraId="5D9F192F" w14:textId="1569FABF"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4"/>
                <w14:textFill>
                  <w14:solidFill>
                    <w14:srgbClr w14:val="000000">
                      <w14:alpha w14:val="100000"/>
                    </w14:srgbClr>
                  </w14:solidFill>
                </w14:textFill>
              </w:rPr>
              <w:t>|||</w:t>
            </w:r>
            <w:r w:rsidRPr="0013119A">
              <w:rPr>
                <w:color w:val="000000"/>
                <w:spacing w:val="1"/>
                <w:shd w:val="solid" w:color="000000" w:fill="000000"/>
                <w:fitText w:val="408" w:id="-1233471224"/>
                <w14:textFill>
                  <w14:solidFill>
                    <w14:srgbClr w14:val="000000">
                      <w14:alpha w14:val="100000"/>
                    </w14:srgbClr>
                  </w14:solidFill>
                </w14:textFill>
              </w:rPr>
              <w:t>|</w:t>
            </w:r>
            <w:r w:rsidR="008759DD" w:rsidRPr="008759DD">
              <w:t xml:space="preserve"> </w:t>
            </w:r>
            <w:r w:rsidR="00F72F58">
              <w:rPr>
                <w:vertAlign w:val="superscript"/>
              </w:rPr>
              <w:t>3</w:t>
            </w:r>
          </w:p>
        </w:tc>
      </w:tr>
      <w:tr w:rsidR="00062CD0" w:rsidRPr="00A67E12" w14:paraId="760395A8" w14:textId="77777777" w:rsidTr="00F02ACA">
        <w:tc>
          <w:tcPr>
            <w:tcW w:w="573" w:type="dxa"/>
            <w:vAlign w:val="center"/>
          </w:tcPr>
          <w:p w14:paraId="0408D307" w14:textId="77777777" w:rsidR="00062CD0" w:rsidRPr="00A67E12" w:rsidRDefault="00062CD0" w:rsidP="007D6444">
            <w:pPr>
              <w:pStyle w:val="TableText0"/>
              <w:jc w:val="center"/>
            </w:pPr>
            <w:r w:rsidRPr="00A67E12">
              <w:t>5</w:t>
            </w:r>
          </w:p>
        </w:tc>
        <w:tc>
          <w:tcPr>
            <w:tcW w:w="5269" w:type="dxa"/>
            <w:vAlign w:val="center"/>
          </w:tcPr>
          <w:p w14:paraId="61946BAA" w14:textId="77777777" w:rsidR="00062CD0" w:rsidRPr="00A67E12" w:rsidRDefault="00062CD0" w:rsidP="007D6444">
            <w:pPr>
              <w:pStyle w:val="TableText0"/>
            </w:pPr>
            <w:r w:rsidRPr="00A67E12">
              <w:t>+ Updated costs of FUL and ECG</w:t>
            </w:r>
          </w:p>
        </w:tc>
        <w:tc>
          <w:tcPr>
            <w:tcW w:w="1183" w:type="dxa"/>
          </w:tcPr>
          <w:p w14:paraId="15F33479" w14:textId="769FD83D" w:rsidR="00062CD0" w:rsidRPr="004F7EE3" w:rsidRDefault="0013119A" w:rsidP="007D6444">
            <w:pPr>
              <w:pStyle w:val="TableText0"/>
              <w:jc w:val="center"/>
              <w:rPr>
                <w:highlight w:val="darkGray"/>
              </w:rPr>
            </w:pPr>
            <w:r w:rsidRPr="0013119A">
              <w:rPr>
                <w:color w:val="000000"/>
                <w:spacing w:val="52"/>
                <w:shd w:val="solid" w:color="000000" w:fill="000000"/>
                <w:fitText w:val="233" w:id="-1233471223"/>
                <w14:textFill>
                  <w14:solidFill>
                    <w14:srgbClr w14:val="000000">
                      <w14:alpha w14:val="100000"/>
                    </w14:srgbClr>
                  </w14:solidFill>
                </w14:textFill>
              </w:rPr>
              <w:t>||</w:t>
            </w:r>
            <w:r w:rsidRPr="0013119A">
              <w:rPr>
                <w:color w:val="000000"/>
                <w:spacing w:val="2"/>
                <w:shd w:val="solid" w:color="000000" w:fill="000000"/>
                <w:fitText w:val="233" w:id="-1233471223"/>
                <w14:textFill>
                  <w14:solidFill>
                    <w14:srgbClr w14:val="000000">
                      <w14:alpha w14:val="100000"/>
                    </w14:srgbClr>
                  </w14:solidFill>
                </w14:textFill>
              </w:rPr>
              <w:t>|</w:t>
            </w:r>
            <w:r w:rsidR="008759DD" w:rsidRPr="008759DD">
              <w:t xml:space="preserve"> </w:t>
            </w:r>
          </w:p>
        </w:tc>
        <w:tc>
          <w:tcPr>
            <w:tcW w:w="1183" w:type="dxa"/>
          </w:tcPr>
          <w:p w14:paraId="2E30C606" w14:textId="77777777" w:rsidR="00062CD0" w:rsidRPr="00A67E12" w:rsidRDefault="00062CD0" w:rsidP="007D6444">
            <w:pPr>
              <w:pStyle w:val="TableText0"/>
              <w:jc w:val="center"/>
            </w:pPr>
            <w:r w:rsidRPr="00A67E12">
              <w:t>0.388</w:t>
            </w:r>
          </w:p>
        </w:tc>
        <w:tc>
          <w:tcPr>
            <w:tcW w:w="809" w:type="dxa"/>
          </w:tcPr>
          <w:p w14:paraId="20299346" w14:textId="0238B953"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2"/>
                <w14:textFill>
                  <w14:solidFill>
                    <w14:srgbClr w14:val="000000">
                      <w14:alpha w14:val="100000"/>
                    </w14:srgbClr>
                  </w14:solidFill>
                </w14:textFill>
              </w:rPr>
              <w:t>|||</w:t>
            </w:r>
            <w:r w:rsidRPr="0013119A">
              <w:rPr>
                <w:color w:val="000000"/>
                <w:spacing w:val="1"/>
                <w:shd w:val="solid" w:color="000000" w:fill="000000"/>
                <w:fitText w:val="408" w:id="-1233471222"/>
                <w14:textFill>
                  <w14:solidFill>
                    <w14:srgbClr w14:val="000000">
                      <w14:alpha w14:val="100000"/>
                    </w14:srgbClr>
                  </w14:solidFill>
                </w14:textFill>
              </w:rPr>
              <w:t>|</w:t>
            </w:r>
            <w:r w:rsidR="008759DD" w:rsidRPr="008759DD">
              <w:t xml:space="preserve"> </w:t>
            </w:r>
            <w:r w:rsidR="00F72F58">
              <w:rPr>
                <w:vertAlign w:val="superscript"/>
              </w:rPr>
              <w:t>3</w:t>
            </w:r>
          </w:p>
        </w:tc>
      </w:tr>
      <w:tr w:rsidR="00062CD0" w:rsidRPr="00A67E12" w14:paraId="3B23D5B4" w14:textId="77777777" w:rsidTr="00F02ACA">
        <w:trPr>
          <w:trHeight w:val="92"/>
        </w:trPr>
        <w:tc>
          <w:tcPr>
            <w:tcW w:w="573" w:type="dxa"/>
            <w:vAlign w:val="center"/>
          </w:tcPr>
          <w:p w14:paraId="029134D6" w14:textId="77777777" w:rsidR="00062CD0" w:rsidRPr="00A67E12" w:rsidRDefault="00062CD0" w:rsidP="007D6444">
            <w:pPr>
              <w:pStyle w:val="TableText0"/>
              <w:jc w:val="center"/>
            </w:pPr>
            <w:r w:rsidRPr="00A67E12">
              <w:t>6</w:t>
            </w:r>
          </w:p>
        </w:tc>
        <w:tc>
          <w:tcPr>
            <w:tcW w:w="5269" w:type="dxa"/>
            <w:vAlign w:val="center"/>
          </w:tcPr>
          <w:p w14:paraId="17A4B150" w14:textId="1A4B5D84" w:rsidR="00062CD0" w:rsidRPr="00A67E12" w:rsidRDefault="00062CD0" w:rsidP="007D6444">
            <w:pPr>
              <w:pStyle w:val="TableText0"/>
            </w:pPr>
            <w:r w:rsidRPr="00A67E12">
              <w:t>+ IDFS extrapolation model, log-logistic</w:t>
            </w:r>
            <w:r w:rsidR="001977F1" w:rsidRPr="00A67E12">
              <w:t xml:space="preserve"> (Weibull previously)</w:t>
            </w:r>
          </w:p>
        </w:tc>
        <w:tc>
          <w:tcPr>
            <w:tcW w:w="1183" w:type="dxa"/>
          </w:tcPr>
          <w:p w14:paraId="24330D0E" w14:textId="1979F73A" w:rsidR="00062CD0" w:rsidRPr="004F7EE3" w:rsidRDefault="0013119A" w:rsidP="007D6444">
            <w:pPr>
              <w:pStyle w:val="TableText0"/>
              <w:jc w:val="center"/>
              <w:rPr>
                <w:highlight w:val="darkGray"/>
              </w:rPr>
            </w:pPr>
            <w:r w:rsidRPr="0013119A">
              <w:rPr>
                <w:color w:val="000000"/>
                <w:spacing w:val="52"/>
                <w:shd w:val="solid" w:color="000000" w:fill="000000"/>
                <w:fitText w:val="233" w:id="-1233471221"/>
                <w14:textFill>
                  <w14:solidFill>
                    <w14:srgbClr w14:val="000000">
                      <w14:alpha w14:val="100000"/>
                    </w14:srgbClr>
                  </w14:solidFill>
                </w14:textFill>
              </w:rPr>
              <w:t>||</w:t>
            </w:r>
            <w:r w:rsidRPr="0013119A">
              <w:rPr>
                <w:color w:val="000000"/>
                <w:spacing w:val="2"/>
                <w:shd w:val="solid" w:color="000000" w:fill="000000"/>
                <w:fitText w:val="233" w:id="-1233471221"/>
                <w14:textFill>
                  <w14:solidFill>
                    <w14:srgbClr w14:val="000000">
                      <w14:alpha w14:val="100000"/>
                    </w14:srgbClr>
                  </w14:solidFill>
                </w14:textFill>
              </w:rPr>
              <w:t>|</w:t>
            </w:r>
            <w:r w:rsidR="008759DD" w:rsidRPr="008759DD">
              <w:t xml:space="preserve"> </w:t>
            </w:r>
          </w:p>
        </w:tc>
        <w:tc>
          <w:tcPr>
            <w:tcW w:w="1183" w:type="dxa"/>
          </w:tcPr>
          <w:p w14:paraId="55888509" w14:textId="77777777" w:rsidR="00062CD0" w:rsidRPr="00A67E12" w:rsidRDefault="00062CD0" w:rsidP="007D6444">
            <w:pPr>
              <w:pStyle w:val="TableText0"/>
              <w:jc w:val="center"/>
            </w:pPr>
            <w:r w:rsidRPr="00A67E12">
              <w:t>0.316</w:t>
            </w:r>
          </w:p>
        </w:tc>
        <w:tc>
          <w:tcPr>
            <w:tcW w:w="809" w:type="dxa"/>
          </w:tcPr>
          <w:p w14:paraId="716497E3" w14:textId="62BEB746"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0"/>
                <w14:textFill>
                  <w14:solidFill>
                    <w14:srgbClr w14:val="000000">
                      <w14:alpha w14:val="100000"/>
                    </w14:srgbClr>
                  </w14:solidFill>
                </w14:textFill>
              </w:rPr>
              <w:t>|||</w:t>
            </w:r>
            <w:r w:rsidRPr="0013119A">
              <w:rPr>
                <w:color w:val="000000"/>
                <w:spacing w:val="1"/>
                <w:shd w:val="solid" w:color="000000" w:fill="000000"/>
                <w:fitText w:val="408" w:id="-1233471220"/>
                <w14:textFill>
                  <w14:solidFill>
                    <w14:srgbClr w14:val="000000">
                      <w14:alpha w14:val="100000"/>
                    </w14:srgbClr>
                  </w14:solidFill>
                </w14:textFill>
              </w:rPr>
              <w:t>|</w:t>
            </w:r>
            <w:r w:rsidR="008759DD" w:rsidRPr="008759DD">
              <w:t xml:space="preserve"> </w:t>
            </w:r>
            <w:r w:rsidR="00F72F58">
              <w:rPr>
                <w:vertAlign w:val="superscript"/>
              </w:rPr>
              <w:t>4</w:t>
            </w:r>
          </w:p>
        </w:tc>
      </w:tr>
      <w:tr w:rsidR="00062CD0" w:rsidRPr="00A67E12" w14:paraId="2EEA8137" w14:textId="77777777" w:rsidTr="00F02ACA">
        <w:tc>
          <w:tcPr>
            <w:tcW w:w="573" w:type="dxa"/>
            <w:vAlign w:val="center"/>
          </w:tcPr>
          <w:p w14:paraId="68CA2624" w14:textId="77777777" w:rsidR="00062CD0" w:rsidRPr="00A67E12" w:rsidRDefault="00062CD0" w:rsidP="007D6444">
            <w:pPr>
              <w:pStyle w:val="TableText0"/>
              <w:jc w:val="center"/>
            </w:pPr>
            <w:r w:rsidRPr="00A67E12">
              <w:t>7</w:t>
            </w:r>
          </w:p>
        </w:tc>
        <w:tc>
          <w:tcPr>
            <w:tcW w:w="5269" w:type="dxa"/>
            <w:vAlign w:val="center"/>
          </w:tcPr>
          <w:p w14:paraId="2E26256C" w14:textId="77777777" w:rsidR="00062CD0" w:rsidRPr="00A67E12" w:rsidRDefault="00062CD0" w:rsidP="007D6444">
            <w:pPr>
              <w:pStyle w:val="TableText0"/>
            </w:pPr>
            <w:r w:rsidRPr="00A67E12">
              <w:t>+ Proposed adjuvant abemaciclib cost</w:t>
            </w:r>
          </w:p>
        </w:tc>
        <w:tc>
          <w:tcPr>
            <w:tcW w:w="1183" w:type="dxa"/>
          </w:tcPr>
          <w:p w14:paraId="08765AC2" w14:textId="4A35BC0F" w:rsidR="00062CD0" w:rsidRPr="004F7EE3" w:rsidRDefault="0013119A" w:rsidP="007D6444">
            <w:pPr>
              <w:pStyle w:val="TableText0"/>
              <w:jc w:val="center"/>
              <w:rPr>
                <w:highlight w:val="darkGray"/>
              </w:rPr>
            </w:pPr>
            <w:r w:rsidRPr="0013119A">
              <w:rPr>
                <w:color w:val="000000"/>
                <w:spacing w:val="52"/>
                <w:shd w:val="solid" w:color="000000" w:fill="000000"/>
                <w:fitText w:val="233" w:id="-1233471219"/>
                <w14:textFill>
                  <w14:solidFill>
                    <w14:srgbClr w14:val="000000">
                      <w14:alpha w14:val="100000"/>
                    </w14:srgbClr>
                  </w14:solidFill>
                </w14:textFill>
              </w:rPr>
              <w:t>||</w:t>
            </w:r>
            <w:r w:rsidRPr="0013119A">
              <w:rPr>
                <w:color w:val="000000"/>
                <w:spacing w:val="2"/>
                <w:shd w:val="solid" w:color="000000" w:fill="000000"/>
                <w:fitText w:val="233" w:id="-1233471219"/>
                <w14:textFill>
                  <w14:solidFill>
                    <w14:srgbClr w14:val="000000">
                      <w14:alpha w14:val="100000"/>
                    </w14:srgbClr>
                  </w14:solidFill>
                </w14:textFill>
              </w:rPr>
              <w:t>|</w:t>
            </w:r>
            <w:r w:rsidR="008759DD" w:rsidRPr="008759DD">
              <w:t xml:space="preserve"> </w:t>
            </w:r>
          </w:p>
        </w:tc>
        <w:tc>
          <w:tcPr>
            <w:tcW w:w="1183" w:type="dxa"/>
          </w:tcPr>
          <w:p w14:paraId="3F8472A2" w14:textId="77777777" w:rsidR="00062CD0" w:rsidRPr="00A67E12" w:rsidRDefault="00062CD0" w:rsidP="007D6444">
            <w:pPr>
              <w:pStyle w:val="TableText0"/>
              <w:jc w:val="center"/>
            </w:pPr>
            <w:r w:rsidRPr="00A67E12">
              <w:t>0.316</w:t>
            </w:r>
          </w:p>
        </w:tc>
        <w:tc>
          <w:tcPr>
            <w:tcW w:w="809" w:type="dxa"/>
          </w:tcPr>
          <w:p w14:paraId="572E867E" w14:textId="06B7A0A4" w:rsidR="00062CD0" w:rsidRPr="004F7EE3" w:rsidRDefault="0013119A" w:rsidP="007D6444">
            <w:pPr>
              <w:pStyle w:val="TableText0"/>
              <w:jc w:val="center"/>
              <w:rPr>
                <w:highlight w:val="darkGray"/>
              </w:rPr>
            </w:pPr>
            <w:r w:rsidRPr="0013119A">
              <w:rPr>
                <w:color w:val="000000"/>
                <w:spacing w:val="79"/>
                <w:shd w:val="solid" w:color="000000" w:fill="000000"/>
                <w:fitText w:val="408" w:id="-1233471218"/>
                <w14:textFill>
                  <w14:solidFill>
                    <w14:srgbClr w14:val="000000">
                      <w14:alpha w14:val="100000"/>
                    </w14:srgbClr>
                  </w14:solidFill>
                </w14:textFill>
              </w:rPr>
              <w:t>|||</w:t>
            </w:r>
            <w:r w:rsidRPr="0013119A">
              <w:rPr>
                <w:color w:val="000000"/>
                <w:spacing w:val="1"/>
                <w:shd w:val="solid" w:color="000000" w:fill="000000"/>
                <w:fitText w:val="408" w:id="-1233471218"/>
                <w14:textFill>
                  <w14:solidFill>
                    <w14:srgbClr w14:val="000000">
                      <w14:alpha w14:val="100000"/>
                    </w14:srgbClr>
                  </w14:solidFill>
                </w14:textFill>
              </w:rPr>
              <w:t>|</w:t>
            </w:r>
            <w:r w:rsidR="008759DD" w:rsidRPr="008759DD">
              <w:t xml:space="preserve"> </w:t>
            </w:r>
            <w:r w:rsidR="00F72F58">
              <w:rPr>
                <w:vertAlign w:val="superscript"/>
              </w:rPr>
              <w:t>4</w:t>
            </w:r>
          </w:p>
        </w:tc>
      </w:tr>
      <w:tr w:rsidR="00062CD0" w:rsidRPr="00A67E12" w14:paraId="23A0593C" w14:textId="77777777" w:rsidTr="00F02ACA">
        <w:tc>
          <w:tcPr>
            <w:tcW w:w="573" w:type="dxa"/>
            <w:vAlign w:val="center"/>
          </w:tcPr>
          <w:p w14:paraId="756BF4F7" w14:textId="77777777" w:rsidR="00062CD0" w:rsidRPr="00A67E12" w:rsidRDefault="00062CD0" w:rsidP="007D6444">
            <w:pPr>
              <w:pStyle w:val="TableText0"/>
              <w:jc w:val="center"/>
            </w:pPr>
            <w:r w:rsidRPr="00A67E12">
              <w:t>8</w:t>
            </w:r>
          </w:p>
        </w:tc>
        <w:tc>
          <w:tcPr>
            <w:tcW w:w="5269" w:type="dxa"/>
            <w:vAlign w:val="center"/>
          </w:tcPr>
          <w:p w14:paraId="49A1ADB4" w14:textId="1B07C7CB" w:rsidR="00062CD0" w:rsidRPr="00A67E12" w:rsidRDefault="00062CD0" w:rsidP="007D6444">
            <w:pPr>
              <w:pStyle w:val="TableText0"/>
            </w:pPr>
            <w:r w:rsidRPr="00A67E12">
              <w:t xml:space="preserve">+ Population modelled, </w:t>
            </w:r>
            <w:r w:rsidR="00723A71" w:rsidRPr="00A67E12">
              <w:t>Cohort</w:t>
            </w:r>
            <w:r w:rsidRPr="00A67E12">
              <w:t xml:space="preserve"> 1</w:t>
            </w:r>
          </w:p>
        </w:tc>
        <w:tc>
          <w:tcPr>
            <w:tcW w:w="1183" w:type="dxa"/>
          </w:tcPr>
          <w:p w14:paraId="5A91A389" w14:textId="0FB6967F" w:rsidR="00062CD0" w:rsidRPr="004F7EE3" w:rsidRDefault="0013119A" w:rsidP="007D6444">
            <w:pPr>
              <w:pStyle w:val="TableText0"/>
              <w:jc w:val="center"/>
              <w:rPr>
                <w:highlight w:val="darkGray"/>
              </w:rPr>
            </w:pPr>
            <w:r w:rsidRPr="0013119A">
              <w:rPr>
                <w:color w:val="000000"/>
                <w:spacing w:val="52"/>
                <w:shd w:val="solid" w:color="000000" w:fill="000000"/>
                <w:fitText w:val="233" w:id="-1233471217"/>
                <w14:textFill>
                  <w14:solidFill>
                    <w14:srgbClr w14:val="000000">
                      <w14:alpha w14:val="100000"/>
                    </w14:srgbClr>
                  </w14:solidFill>
                </w14:textFill>
              </w:rPr>
              <w:t>||</w:t>
            </w:r>
            <w:r w:rsidRPr="0013119A">
              <w:rPr>
                <w:color w:val="000000"/>
                <w:spacing w:val="2"/>
                <w:shd w:val="solid" w:color="000000" w:fill="000000"/>
                <w:fitText w:val="233" w:id="-1233471217"/>
                <w14:textFill>
                  <w14:solidFill>
                    <w14:srgbClr w14:val="000000">
                      <w14:alpha w14:val="100000"/>
                    </w14:srgbClr>
                  </w14:solidFill>
                </w14:textFill>
              </w:rPr>
              <w:t>|</w:t>
            </w:r>
            <w:r w:rsidR="008759DD" w:rsidRPr="008759DD">
              <w:t xml:space="preserve"> </w:t>
            </w:r>
          </w:p>
        </w:tc>
        <w:tc>
          <w:tcPr>
            <w:tcW w:w="1183" w:type="dxa"/>
          </w:tcPr>
          <w:p w14:paraId="203BB41C" w14:textId="77777777" w:rsidR="00062CD0" w:rsidRPr="00A67E12" w:rsidRDefault="00062CD0" w:rsidP="007D6444">
            <w:pPr>
              <w:pStyle w:val="TableText0"/>
              <w:jc w:val="center"/>
            </w:pPr>
            <w:r w:rsidRPr="00A67E12">
              <w:t>0.358</w:t>
            </w:r>
          </w:p>
        </w:tc>
        <w:tc>
          <w:tcPr>
            <w:tcW w:w="809" w:type="dxa"/>
          </w:tcPr>
          <w:p w14:paraId="2D795AE2" w14:textId="76616EAD" w:rsidR="00062CD0" w:rsidRPr="004F7EE3" w:rsidRDefault="0013119A" w:rsidP="007D6444">
            <w:pPr>
              <w:pStyle w:val="TableText0"/>
              <w:jc w:val="center"/>
              <w:rPr>
                <w:highlight w:val="darkGray"/>
              </w:rPr>
            </w:pPr>
            <w:r w:rsidRPr="0013119A">
              <w:rPr>
                <w:color w:val="000000"/>
                <w:spacing w:val="79"/>
                <w:shd w:val="solid" w:color="000000" w:fill="000000"/>
                <w:fitText w:val="408" w:id="-1233471216"/>
                <w14:textFill>
                  <w14:solidFill>
                    <w14:srgbClr w14:val="000000">
                      <w14:alpha w14:val="100000"/>
                    </w14:srgbClr>
                  </w14:solidFill>
                </w14:textFill>
              </w:rPr>
              <w:t>|||</w:t>
            </w:r>
            <w:r w:rsidRPr="0013119A">
              <w:rPr>
                <w:color w:val="000000"/>
                <w:spacing w:val="1"/>
                <w:shd w:val="solid" w:color="000000" w:fill="000000"/>
                <w:fitText w:val="408" w:id="-1233471216"/>
                <w14:textFill>
                  <w14:solidFill>
                    <w14:srgbClr w14:val="000000">
                      <w14:alpha w14:val="100000"/>
                    </w14:srgbClr>
                  </w14:solidFill>
                </w14:textFill>
              </w:rPr>
              <w:t>|</w:t>
            </w:r>
            <w:r w:rsidR="008759DD" w:rsidRPr="008759DD">
              <w:t xml:space="preserve"> </w:t>
            </w:r>
            <w:r w:rsidR="00F72F58" w:rsidRPr="004F7EE3">
              <w:rPr>
                <w:vertAlign w:val="superscript"/>
              </w:rPr>
              <w:t>1</w:t>
            </w:r>
          </w:p>
        </w:tc>
      </w:tr>
      <w:tr w:rsidR="00062CD0" w:rsidRPr="00A67E12" w14:paraId="49F9383A" w14:textId="77777777" w:rsidTr="00F02ACA">
        <w:tc>
          <w:tcPr>
            <w:tcW w:w="573" w:type="dxa"/>
            <w:vAlign w:val="center"/>
          </w:tcPr>
          <w:p w14:paraId="598C1110" w14:textId="77777777" w:rsidR="00062CD0" w:rsidRPr="00A67E12" w:rsidRDefault="00062CD0" w:rsidP="007D6444">
            <w:pPr>
              <w:pStyle w:val="TableText0"/>
              <w:jc w:val="center"/>
            </w:pPr>
            <w:r w:rsidRPr="00A67E12">
              <w:t>9</w:t>
            </w:r>
          </w:p>
        </w:tc>
        <w:tc>
          <w:tcPr>
            <w:tcW w:w="5269" w:type="dxa"/>
            <w:vAlign w:val="center"/>
          </w:tcPr>
          <w:p w14:paraId="6D776A7A" w14:textId="157EB023" w:rsidR="00062CD0" w:rsidRPr="00A67E12" w:rsidRDefault="00062CD0" w:rsidP="007D6444">
            <w:pPr>
              <w:pStyle w:val="TableText0"/>
              <w:rPr>
                <w:vertAlign w:val="superscript"/>
              </w:rPr>
            </w:pPr>
            <w:r w:rsidRPr="00A67E12">
              <w:t xml:space="preserve">+ </w:t>
            </w:r>
            <w:r w:rsidR="001977F1" w:rsidRPr="00A67E12">
              <w:t>The proportion of NMR events that are secondary primary neoplasms</w:t>
            </w:r>
            <w:r w:rsidR="001977F1" w:rsidRPr="00A67E12">
              <w:rPr>
                <w:vertAlign w:val="superscript"/>
              </w:rPr>
              <w:t>b</w:t>
            </w:r>
          </w:p>
        </w:tc>
        <w:tc>
          <w:tcPr>
            <w:tcW w:w="1183" w:type="dxa"/>
          </w:tcPr>
          <w:p w14:paraId="193CB818" w14:textId="7BED374F" w:rsidR="00062CD0" w:rsidRPr="004F7EE3" w:rsidRDefault="0013119A" w:rsidP="007D6444">
            <w:pPr>
              <w:pStyle w:val="TableText0"/>
              <w:jc w:val="center"/>
              <w:rPr>
                <w:highlight w:val="darkGray"/>
              </w:rPr>
            </w:pPr>
            <w:r w:rsidRPr="0013119A">
              <w:rPr>
                <w:color w:val="000000"/>
                <w:spacing w:val="52"/>
                <w:shd w:val="solid" w:color="000000" w:fill="000000"/>
                <w:fitText w:val="233" w:id="-1233471232"/>
                <w14:textFill>
                  <w14:solidFill>
                    <w14:srgbClr w14:val="000000">
                      <w14:alpha w14:val="100000"/>
                    </w14:srgbClr>
                  </w14:solidFill>
                </w14:textFill>
              </w:rPr>
              <w:t>||</w:t>
            </w:r>
            <w:r w:rsidRPr="0013119A">
              <w:rPr>
                <w:color w:val="000000"/>
                <w:spacing w:val="2"/>
                <w:shd w:val="solid" w:color="000000" w:fill="000000"/>
                <w:fitText w:val="233" w:id="-1233471232"/>
                <w14:textFill>
                  <w14:solidFill>
                    <w14:srgbClr w14:val="000000">
                      <w14:alpha w14:val="100000"/>
                    </w14:srgbClr>
                  </w14:solidFill>
                </w14:textFill>
              </w:rPr>
              <w:t>|</w:t>
            </w:r>
            <w:r w:rsidR="008759DD" w:rsidRPr="008759DD">
              <w:t xml:space="preserve"> </w:t>
            </w:r>
          </w:p>
        </w:tc>
        <w:tc>
          <w:tcPr>
            <w:tcW w:w="1183" w:type="dxa"/>
          </w:tcPr>
          <w:p w14:paraId="496F283E" w14:textId="77777777" w:rsidR="00062CD0" w:rsidRPr="00A67E12" w:rsidRDefault="00062CD0" w:rsidP="007D6444">
            <w:pPr>
              <w:pStyle w:val="TableText0"/>
              <w:jc w:val="center"/>
            </w:pPr>
            <w:r w:rsidRPr="00A67E12">
              <w:t>0.435</w:t>
            </w:r>
          </w:p>
        </w:tc>
        <w:tc>
          <w:tcPr>
            <w:tcW w:w="809" w:type="dxa"/>
          </w:tcPr>
          <w:p w14:paraId="48679CDA" w14:textId="759A82EF" w:rsidR="00062CD0" w:rsidRPr="004F7EE3" w:rsidRDefault="0013119A" w:rsidP="007D6444">
            <w:pPr>
              <w:pStyle w:val="TableText0"/>
              <w:jc w:val="center"/>
              <w:rPr>
                <w:highlight w:val="darkGray"/>
              </w:rPr>
            </w:pPr>
            <w:r w:rsidRPr="0013119A">
              <w:rPr>
                <w:color w:val="000000"/>
                <w:spacing w:val="79"/>
                <w:shd w:val="solid" w:color="000000" w:fill="000000"/>
                <w:fitText w:val="408" w:id="-1233471231"/>
                <w14:textFill>
                  <w14:solidFill>
                    <w14:srgbClr w14:val="000000">
                      <w14:alpha w14:val="100000"/>
                    </w14:srgbClr>
                  </w14:solidFill>
                </w14:textFill>
              </w:rPr>
              <w:t>|||</w:t>
            </w:r>
            <w:r w:rsidRPr="0013119A">
              <w:rPr>
                <w:color w:val="000000"/>
                <w:spacing w:val="1"/>
                <w:shd w:val="solid" w:color="000000" w:fill="000000"/>
                <w:fitText w:val="408" w:id="-1233471231"/>
                <w14:textFill>
                  <w14:solidFill>
                    <w14:srgbClr w14:val="000000">
                      <w14:alpha w14:val="100000"/>
                    </w14:srgbClr>
                  </w14:solidFill>
                </w14:textFill>
              </w:rPr>
              <w:t>|</w:t>
            </w:r>
            <w:r w:rsidR="008759DD" w:rsidRPr="008759DD">
              <w:t xml:space="preserve"> </w:t>
            </w:r>
            <w:r w:rsidR="00F72F58" w:rsidRPr="004F7EE3">
              <w:rPr>
                <w:vertAlign w:val="superscript"/>
              </w:rPr>
              <w:t>1</w:t>
            </w:r>
          </w:p>
        </w:tc>
      </w:tr>
      <w:tr w:rsidR="00062CD0" w:rsidRPr="00A67E12" w14:paraId="2F7ABD58" w14:textId="77777777" w:rsidTr="00F02ACA">
        <w:tc>
          <w:tcPr>
            <w:tcW w:w="573" w:type="dxa"/>
            <w:vAlign w:val="center"/>
          </w:tcPr>
          <w:p w14:paraId="78EEEB86" w14:textId="77777777" w:rsidR="00062CD0" w:rsidRPr="00A67E12" w:rsidRDefault="00062CD0" w:rsidP="007D6444">
            <w:pPr>
              <w:pStyle w:val="TableText0"/>
              <w:jc w:val="center"/>
            </w:pPr>
            <w:r w:rsidRPr="00A67E12">
              <w:t>10</w:t>
            </w:r>
          </w:p>
        </w:tc>
        <w:tc>
          <w:tcPr>
            <w:tcW w:w="5269" w:type="dxa"/>
            <w:vAlign w:val="center"/>
          </w:tcPr>
          <w:p w14:paraId="00CE6773" w14:textId="3837E018" w:rsidR="00062CD0" w:rsidRPr="00A67E12" w:rsidRDefault="00062CD0" w:rsidP="007D6444">
            <w:pPr>
              <w:pStyle w:val="TableText0"/>
              <w:rPr>
                <w:vertAlign w:val="superscript"/>
              </w:rPr>
            </w:pPr>
            <w:r w:rsidRPr="00A67E12">
              <w:t>+ Minor model changes</w:t>
            </w:r>
            <w:r w:rsidRPr="00A67E12">
              <w:rPr>
                <w:vertAlign w:val="superscript"/>
              </w:rPr>
              <w:t>c</w:t>
            </w:r>
          </w:p>
        </w:tc>
        <w:tc>
          <w:tcPr>
            <w:tcW w:w="1183" w:type="dxa"/>
          </w:tcPr>
          <w:p w14:paraId="09634C52" w14:textId="581FA8A4" w:rsidR="00062CD0" w:rsidRPr="004F7EE3" w:rsidRDefault="0013119A" w:rsidP="007D6444">
            <w:pPr>
              <w:pStyle w:val="TableText0"/>
              <w:jc w:val="center"/>
              <w:rPr>
                <w:highlight w:val="darkGray"/>
              </w:rPr>
            </w:pPr>
            <w:r w:rsidRPr="0013119A">
              <w:rPr>
                <w:color w:val="000000"/>
                <w:spacing w:val="52"/>
                <w:shd w:val="solid" w:color="000000" w:fill="000000"/>
                <w:fitText w:val="233" w:id="-1233471230"/>
                <w14:textFill>
                  <w14:solidFill>
                    <w14:srgbClr w14:val="000000">
                      <w14:alpha w14:val="100000"/>
                    </w14:srgbClr>
                  </w14:solidFill>
                </w14:textFill>
              </w:rPr>
              <w:t>||</w:t>
            </w:r>
            <w:r w:rsidRPr="0013119A">
              <w:rPr>
                <w:color w:val="000000"/>
                <w:spacing w:val="2"/>
                <w:shd w:val="solid" w:color="000000" w:fill="000000"/>
                <w:fitText w:val="233" w:id="-1233471230"/>
                <w14:textFill>
                  <w14:solidFill>
                    <w14:srgbClr w14:val="000000">
                      <w14:alpha w14:val="100000"/>
                    </w14:srgbClr>
                  </w14:solidFill>
                </w14:textFill>
              </w:rPr>
              <w:t>|</w:t>
            </w:r>
            <w:r w:rsidR="008759DD" w:rsidRPr="008759DD">
              <w:t xml:space="preserve"> </w:t>
            </w:r>
          </w:p>
        </w:tc>
        <w:tc>
          <w:tcPr>
            <w:tcW w:w="1183" w:type="dxa"/>
          </w:tcPr>
          <w:p w14:paraId="41739957" w14:textId="77777777" w:rsidR="00062CD0" w:rsidRPr="00A67E12" w:rsidRDefault="00062CD0" w:rsidP="007D6444">
            <w:pPr>
              <w:pStyle w:val="TableText0"/>
              <w:jc w:val="center"/>
            </w:pPr>
            <w:r w:rsidRPr="00A67E12">
              <w:t>0.436</w:t>
            </w:r>
          </w:p>
        </w:tc>
        <w:tc>
          <w:tcPr>
            <w:tcW w:w="809" w:type="dxa"/>
          </w:tcPr>
          <w:p w14:paraId="0ACE82C0" w14:textId="581B9C37" w:rsidR="00062CD0" w:rsidRPr="004F7EE3" w:rsidRDefault="0013119A" w:rsidP="007D6444">
            <w:pPr>
              <w:pStyle w:val="TableText0"/>
              <w:jc w:val="center"/>
              <w:rPr>
                <w:highlight w:val="darkGray"/>
              </w:rPr>
            </w:pPr>
            <w:r w:rsidRPr="0013119A">
              <w:rPr>
                <w:color w:val="000000"/>
                <w:spacing w:val="79"/>
                <w:shd w:val="solid" w:color="000000" w:fill="000000"/>
                <w:fitText w:val="408" w:id="-1233471229"/>
                <w14:textFill>
                  <w14:solidFill>
                    <w14:srgbClr w14:val="000000">
                      <w14:alpha w14:val="100000"/>
                    </w14:srgbClr>
                  </w14:solidFill>
                </w14:textFill>
              </w:rPr>
              <w:t>|||</w:t>
            </w:r>
            <w:r w:rsidRPr="0013119A">
              <w:rPr>
                <w:color w:val="000000"/>
                <w:spacing w:val="1"/>
                <w:shd w:val="solid" w:color="000000" w:fill="000000"/>
                <w:fitText w:val="408" w:id="-1233471229"/>
                <w14:textFill>
                  <w14:solidFill>
                    <w14:srgbClr w14:val="000000">
                      <w14:alpha w14:val="100000"/>
                    </w14:srgbClr>
                  </w14:solidFill>
                </w14:textFill>
              </w:rPr>
              <w:t>|</w:t>
            </w:r>
            <w:r w:rsidR="008759DD" w:rsidRPr="008759DD">
              <w:t xml:space="preserve"> </w:t>
            </w:r>
            <w:r w:rsidR="00F72F58" w:rsidRPr="004F7EE3">
              <w:rPr>
                <w:vertAlign w:val="superscript"/>
              </w:rPr>
              <w:t>1</w:t>
            </w:r>
          </w:p>
        </w:tc>
      </w:tr>
    </w:tbl>
    <w:p w14:paraId="12BE9849" w14:textId="24923CF1" w:rsidR="00062CD0" w:rsidRPr="00A67E12" w:rsidRDefault="00062CD0" w:rsidP="007D6444">
      <w:pPr>
        <w:pStyle w:val="TableFigureFooter"/>
        <w:keepNext/>
      </w:pPr>
      <w:r w:rsidRPr="00A67E12">
        <w:t>Source: Constructed during the evaluation from the ‘A6.1_Abemaciclib Section 3 workbook 2022.xlsm’ workbook.</w:t>
      </w:r>
    </w:p>
    <w:p w14:paraId="34E4EEA7" w14:textId="77777777" w:rsidR="00062CD0" w:rsidRPr="008A3BDF" w:rsidRDefault="00062CD0" w:rsidP="007D6444">
      <w:pPr>
        <w:pStyle w:val="TableFigureFooter"/>
        <w:keepNext/>
      </w:pPr>
      <w:r w:rsidRPr="008A3BDF">
        <w:t>ABE = abemaciclib; AE = adverse events; CDKi = Cyclin-Dependent Kinase Inhibitors; ECHO = echocardiogram; ES-MBC = endocrine-sensitive metastatic breast cancer; ET= endocrine therapy; FUL = fulvestrant; ID = invasive disease; IDFS = invasive disease-free survival; LY = life year; MBC = metastatic breast cancer; MBS = Medicare Benefits Schedule; MUGA = Multigated Acquisition Scan; PBS = Pharmaceutical Benefits Scheme; PFS = progression-free survival; PPS = post-progression survival; QALY = quality-adjusted life year; TTD = time to treatment discontinuation; 1L = first line.</w:t>
      </w:r>
    </w:p>
    <w:p w14:paraId="4DA4571B" w14:textId="52684EBB" w:rsidR="00062CD0" w:rsidRPr="008A3BDF" w:rsidRDefault="00062CD0" w:rsidP="007D6444">
      <w:pPr>
        <w:pStyle w:val="TableFigureFooter"/>
        <w:keepNext/>
        <w:rPr>
          <w:vertAlign w:val="superscript"/>
        </w:rPr>
      </w:pPr>
      <w:r w:rsidRPr="008A3BDF">
        <w:rPr>
          <w:vertAlign w:val="superscript"/>
        </w:rPr>
        <w:t xml:space="preserve">a  </w:t>
      </w:r>
      <w:r w:rsidRPr="008A3BDF">
        <w:t xml:space="preserve">Calculation errors, discounting approach and estimation of deaths in IDFS. </w:t>
      </w:r>
      <w:r w:rsidR="0035029B">
        <w:t xml:space="preserve">The ICER differs to the revised ICER presented in the previous evaluation due to differences in the approaches used to apply changes. The resubmission’s approaches were generally reasonable  however, a calculation error still remains in the ES-MBC PFS2 health state. </w:t>
      </w:r>
    </w:p>
    <w:p w14:paraId="34AE89DD" w14:textId="6A74A235" w:rsidR="00062CD0" w:rsidRPr="008A3BDF" w:rsidRDefault="00062CD0" w:rsidP="007D6444">
      <w:pPr>
        <w:pStyle w:val="TableFigureFooter"/>
        <w:keepNext/>
        <w:rPr>
          <w:vertAlign w:val="superscript"/>
        </w:rPr>
      </w:pPr>
      <w:r w:rsidRPr="008A3BDF">
        <w:rPr>
          <w:vertAlign w:val="superscript"/>
        </w:rPr>
        <w:t xml:space="preserve">b </w:t>
      </w:r>
      <w:r w:rsidR="001977F1">
        <w:t>All</w:t>
      </w:r>
      <w:r w:rsidR="001977F1" w:rsidRPr="008A3BDF">
        <w:t xml:space="preserve"> distribution</w:t>
      </w:r>
      <w:r w:rsidR="001977F1">
        <w:t>s</w:t>
      </w:r>
      <w:r w:rsidR="001977F1" w:rsidRPr="008A3BDF">
        <w:t xml:space="preserve"> of patients entering NMR substates (second primary neoplasm, </w:t>
      </w:r>
      <w:r w:rsidR="00501697">
        <w:t>l</w:t>
      </w:r>
      <w:r w:rsidR="001977F1" w:rsidRPr="00501697">
        <w:t>ocoregional</w:t>
      </w:r>
      <w:r w:rsidR="001977F1" w:rsidRPr="008A3BDF">
        <w:t xml:space="preserve"> and contralateral</w:t>
      </w:r>
      <w:r w:rsidR="00501697">
        <w:t>)</w:t>
      </w:r>
      <w:r w:rsidR="001977F1">
        <w:t xml:space="preserve"> have changed however as locoregional and contralateral substates do not differ in costs and outcomes, changes in the proportion of patients entering these substates had no effect on the ICER. Proportion of NMR events that were secondary primary were 28% for both arms, previously 32% for ABE + ET and 23% for ET.</w:t>
      </w:r>
    </w:p>
    <w:p w14:paraId="26EBC212" w14:textId="398E7A5C" w:rsidR="00062CD0" w:rsidRDefault="00062CD0" w:rsidP="00F72F58">
      <w:pPr>
        <w:pStyle w:val="TableFigureFooter"/>
        <w:spacing w:after="0"/>
      </w:pPr>
      <w:r w:rsidRPr="008A3BDF">
        <w:rPr>
          <w:vertAlign w:val="superscript"/>
        </w:rPr>
        <w:t xml:space="preserve">c </w:t>
      </w:r>
      <w:r w:rsidRPr="008A3BDF">
        <w:t xml:space="preserve">Minor changes include: updated hospitalisation rates in ABE + ET treatment and ET treatment, types of resource use with ET treatment, incidence of adjuvant AEs, life tables, ECHO and MUGA resource use, inclusion of one-off FUL costs in MBC, updating PBS and MBS item costs, updating the distribution of CDKi use in 1L metastatic breast cancer setting, changing ET comparator arm TTD extrapolation to Hazard Spline 2 knots. </w:t>
      </w:r>
    </w:p>
    <w:p w14:paraId="51202E40" w14:textId="77777777" w:rsidR="00F72F58" w:rsidRDefault="00F72F58" w:rsidP="00F72F58">
      <w:pPr>
        <w:rPr>
          <w:rFonts w:ascii="Arial Narrow" w:hAnsi="Arial Narrow"/>
          <w:i/>
          <w:sz w:val="18"/>
          <w:szCs w:val="18"/>
        </w:rPr>
      </w:pPr>
      <w:r>
        <w:rPr>
          <w:rFonts w:ascii="Arial Narrow" w:hAnsi="Arial Narrow"/>
          <w:i/>
          <w:sz w:val="18"/>
          <w:szCs w:val="18"/>
        </w:rPr>
        <w:t xml:space="preserve">The redacted values correspond to the following ranges: </w:t>
      </w:r>
    </w:p>
    <w:p w14:paraId="5A9B35EC" w14:textId="0D30C499" w:rsidR="00F72F58" w:rsidRDefault="00F72F58" w:rsidP="00F72F58">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F72F58">
        <w:rPr>
          <w:rFonts w:ascii="Arial Narrow" w:hAnsi="Arial Narrow"/>
          <w:i/>
          <w:sz w:val="18"/>
          <w:szCs w:val="18"/>
        </w:rPr>
        <w:t>$35,000 to &lt; $45,000</w:t>
      </w:r>
    </w:p>
    <w:p w14:paraId="0F70956D" w14:textId="6ACBDBAE" w:rsidR="00F72F58" w:rsidRDefault="00F72F58" w:rsidP="00F72F58">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F72F58">
        <w:rPr>
          <w:rFonts w:ascii="Arial Narrow" w:hAnsi="Arial Narrow"/>
          <w:i/>
          <w:sz w:val="18"/>
          <w:szCs w:val="18"/>
        </w:rPr>
        <w:t>$15,000 to &lt; $25,000</w:t>
      </w:r>
    </w:p>
    <w:p w14:paraId="6D211F48" w14:textId="43990D52" w:rsidR="00F72F58" w:rsidRDefault="00F72F58" w:rsidP="00F72F58">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F72F58">
        <w:rPr>
          <w:rFonts w:ascii="Arial Narrow" w:hAnsi="Arial Narrow"/>
          <w:i/>
          <w:sz w:val="18"/>
          <w:szCs w:val="18"/>
        </w:rPr>
        <w:t>$25,000 to &lt; $35,000</w:t>
      </w:r>
    </w:p>
    <w:p w14:paraId="29F8F8B6" w14:textId="693B750D" w:rsidR="00F72F58" w:rsidRPr="00F72F58" w:rsidRDefault="00F72F58" w:rsidP="00F72F58">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72F58">
        <w:rPr>
          <w:rFonts w:ascii="Arial Narrow" w:hAnsi="Arial Narrow"/>
          <w:i/>
          <w:sz w:val="18"/>
          <w:szCs w:val="18"/>
        </w:rPr>
        <w:t>$45,000 to &lt; $55,000</w:t>
      </w:r>
    </w:p>
    <w:p w14:paraId="41E63137" w14:textId="4E1C0EB0" w:rsidR="003A2944" w:rsidRDefault="002D5D1D" w:rsidP="003A2944">
      <w:pPr>
        <w:pStyle w:val="3-BodyText"/>
      </w:pPr>
      <w:r w:rsidRPr="00FA0201">
        <w:rPr>
          <w:iCs/>
        </w:rPr>
        <w:t>The evaluation noted that</w:t>
      </w:r>
      <w:r>
        <w:t xml:space="preserve"> </w:t>
      </w:r>
      <w:r w:rsidR="00062CD0" w:rsidRPr="00A67E12">
        <w:t xml:space="preserve">changing the proportion of NMR events that were secondary primary neoplasms to assume no difference across model arms </w:t>
      </w:r>
      <w:r w:rsidR="003A2944" w:rsidRPr="00FA0201">
        <w:rPr>
          <w:iCs/>
        </w:rPr>
        <w:t xml:space="preserve">(base case: 27% in both arms) </w:t>
      </w:r>
      <w:r w:rsidR="00062CD0" w:rsidRPr="00A67E12">
        <w:t>substantially reduce</w:t>
      </w:r>
      <w:r>
        <w:t>d</w:t>
      </w:r>
      <w:r w:rsidR="00062CD0" w:rsidRPr="00A67E12">
        <w:t xml:space="preserve"> the ICER.</w:t>
      </w:r>
      <w:r w:rsidR="00723A71" w:rsidRPr="00A67E12">
        <w:t xml:space="preserve"> This was changed from 32% in the intervention arm and 23% in the comparator arm in the previous submission. The resubmission did not justify the change which</w:t>
      </w:r>
      <w:r w:rsidR="00062CD0" w:rsidRPr="00A67E12">
        <w:t xml:space="preserve"> resulted in a lower incidence of secondary primary neoplasms following adjuvant abemaciclib</w:t>
      </w:r>
      <w:r w:rsidR="00F02ACA">
        <w:t>,</w:t>
      </w:r>
      <w:r w:rsidR="00062CD0" w:rsidRPr="00A67E12">
        <w:t xml:space="preserve"> which may not be reasonable due to the claimed prolongation in IDFS (</w:t>
      </w:r>
      <w:r w:rsidR="00062CD0" w:rsidRPr="00A67E12">
        <w:fldChar w:fldCharType="begin"/>
      </w:r>
      <w:r w:rsidR="00062CD0" w:rsidRPr="00A67E12">
        <w:instrText xml:space="preserve"> REF _Ref123636342 \h  \* MERGEFORMAT </w:instrText>
      </w:r>
      <w:r w:rsidR="00062CD0" w:rsidRPr="00A67E12">
        <w:fldChar w:fldCharType="separate"/>
      </w:r>
      <w:r w:rsidR="0001201E" w:rsidRPr="008A3BDF">
        <w:t xml:space="preserve">Figure </w:t>
      </w:r>
      <w:r w:rsidR="0001201E">
        <w:rPr>
          <w:noProof/>
        </w:rPr>
        <w:t>10</w:t>
      </w:r>
      <w:r w:rsidR="00062CD0" w:rsidRPr="00A67E12">
        <w:fldChar w:fldCharType="end"/>
      </w:r>
      <w:r w:rsidR="00062CD0" w:rsidRPr="00A67E12">
        <w:t>). More secondary primary neoplasm recurrences could be expected, relative to the comparator arm, by the end of the time horizon.</w:t>
      </w:r>
      <w:r w:rsidR="003A2944">
        <w:t xml:space="preserve"> </w:t>
      </w:r>
      <w:r w:rsidR="003A2944" w:rsidRPr="00FA0201">
        <w:rPr>
          <w:iCs/>
        </w:rPr>
        <w:t>The ESC noted that if abemaciclib delays or prevents breast cancer recurrence, more patients in this arm may be at risk of a secondary primary neoplasm, as they remain in IDFS. As modelled, abemaciclib is assumed to be associated with the same proportion of secondary primary neoplasms, which is not consistent with a greater number of patients at risk.</w:t>
      </w:r>
    </w:p>
    <w:p w14:paraId="7F959A9B" w14:textId="3542F348" w:rsidR="00062CD0" w:rsidRPr="00A67E12" w:rsidRDefault="00124CB2" w:rsidP="008226A2">
      <w:pPr>
        <w:pStyle w:val="3-BodyText"/>
      </w:pPr>
      <w:r w:rsidRPr="00FA0201">
        <w:lastRenderedPageBreak/>
        <w:t xml:space="preserve">The ESC noted that </w:t>
      </w:r>
      <w:r w:rsidR="00F02ACA" w:rsidRPr="00FA0201">
        <w:t>AEs</w:t>
      </w:r>
      <w:r w:rsidR="00733484" w:rsidRPr="00FA0201">
        <w:t xml:space="preserve"> for abemaciclib were heavily managed within</w:t>
      </w:r>
      <w:r w:rsidRPr="00FA0201">
        <w:t xml:space="preserve"> the monarchE</w:t>
      </w:r>
      <w:r w:rsidR="00733484" w:rsidRPr="00FA0201">
        <w:t xml:space="preserve"> trial, </w:t>
      </w:r>
      <w:r w:rsidRPr="00FA0201">
        <w:t>resulting in</w:t>
      </w:r>
      <w:r w:rsidR="00733484" w:rsidRPr="00FA0201">
        <w:t xml:space="preserve"> treatment interruptions (61.7%) and dose reductions (43.6%). The real-world impact of monitoring or </w:t>
      </w:r>
      <w:r w:rsidR="00F02ACA" w:rsidRPr="00FA0201">
        <w:t>AEs</w:t>
      </w:r>
      <w:r w:rsidR="00733484" w:rsidRPr="00FA0201">
        <w:t xml:space="preserve"> on QALYs and costs may not be fully captured.</w:t>
      </w:r>
      <w:r w:rsidR="00062CD0" w:rsidRPr="00A67E12">
        <w:t xml:space="preserve"> </w:t>
      </w:r>
      <w:r w:rsidR="008F48F6">
        <w:t xml:space="preserve">The pre-PBAC response argued that the </w:t>
      </w:r>
      <w:r w:rsidR="008F48F6" w:rsidRPr="009047A6">
        <w:t xml:space="preserve">cost </w:t>
      </w:r>
      <w:r w:rsidR="008F48F6">
        <w:t>and consequences associated with</w:t>
      </w:r>
      <w:r w:rsidR="008F48F6" w:rsidRPr="009047A6">
        <w:t xml:space="preserve"> adverse event</w:t>
      </w:r>
      <w:r w:rsidR="008F48F6">
        <w:t>s</w:t>
      </w:r>
      <w:r w:rsidR="008F48F6" w:rsidRPr="009047A6">
        <w:t xml:space="preserve"> were applied </w:t>
      </w:r>
      <w:r w:rsidR="008F48F6">
        <w:t>to</w:t>
      </w:r>
      <w:r w:rsidR="008F48F6" w:rsidRPr="009047A6">
        <w:t xml:space="preserve"> the economic model</w:t>
      </w:r>
      <w:r w:rsidR="008F48F6">
        <w:t xml:space="preserve"> </w:t>
      </w:r>
      <w:r w:rsidR="008F48F6" w:rsidRPr="009047A6">
        <w:t xml:space="preserve">based on monarchE </w:t>
      </w:r>
      <w:r w:rsidR="008F48F6">
        <w:t xml:space="preserve">trial </w:t>
      </w:r>
      <w:r w:rsidR="008F48F6" w:rsidRPr="009047A6">
        <w:t>data</w:t>
      </w:r>
      <w:r w:rsidR="008F48F6">
        <w:t xml:space="preserve"> and considered the </w:t>
      </w:r>
      <w:r w:rsidR="008F48F6" w:rsidRPr="009047A6">
        <w:t xml:space="preserve">management of adverse events within </w:t>
      </w:r>
      <w:r w:rsidR="008F48F6">
        <w:t xml:space="preserve">the </w:t>
      </w:r>
      <w:r w:rsidR="008F48F6" w:rsidRPr="009047A6">
        <w:t xml:space="preserve">clinical trial setting more likely to </w:t>
      </w:r>
      <w:r w:rsidR="008F48F6">
        <w:t xml:space="preserve">represent an </w:t>
      </w:r>
      <w:r w:rsidR="008F48F6" w:rsidRPr="009047A6">
        <w:t>overestimate compared to</w:t>
      </w:r>
      <w:r w:rsidR="004E3AE8">
        <w:t xml:space="preserve"> the</w:t>
      </w:r>
      <w:r w:rsidR="008F48F6" w:rsidRPr="009047A6">
        <w:t xml:space="preserve"> real</w:t>
      </w:r>
      <w:r w:rsidR="008F48F6">
        <w:t>-</w:t>
      </w:r>
      <w:r w:rsidR="008F48F6" w:rsidRPr="009047A6">
        <w:t xml:space="preserve">world clinical practice. </w:t>
      </w:r>
    </w:p>
    <w:p w14:paraId="29591C2E" w14:textId="69DED434" w:rsidR="00062CD0" w:rsidRPr="008A3BDF" w:rsidRDefault="00062CD0" w:rsidP="00062CD0">
      <w:pPr>
        <w:pStyle w:val="3-BodyText"/>
      </w:pPr>
      <w:r w:rsidRPr="008A3BDF">
        <w:t xml:space="preserve">Traces for the model results are presented in </w:t>
      </w:r>
      <w:r w:rsidRPr="008A3BDF">
        <w:fldChar w:fldCharType="begin"/>
      </w:r>
      <w:r w:rsidRPr="008A3BDF">
        <w:instrText xml:space="preserve"> REF _Ref123636342 \h </w:instrText>
      </w:r>
      <w:r w:rsidRPr="008A3BDF">
        <w:fldChar w:fldCharType="separate"/>
      </w:r>
      <w:r w:rsidR="0001201E" w:rsidRPr="008A3BDF">
        <w:t xml:space="preserve">Figure </w:t>
      </w:r>
      <w:r w:rsidR="0001201E">
        <w:rPr>
          <w:noProof/>
        </w:rPr>
        <w:t>10</w:t>
      </w:r>
      <w:r w:rsidRPr="008A3BDF">
        <w:fldChar w:fldCharType="end"/>
      </w:r>
      <w:r w:rsidRPr="008A3BDF">
        <w:t>. As with the previous submission, time spent in IDFS is the key driver of the clinical benefits modelled.</w:t>
      </w:r>
    </w:p>
    <w:p w14:paraId="5A9ACB87" w14:textId="7BF8FD9C" w:rsidR="00062CD0" w:rsidRPr="008A3BDF" w:rsidRDefault="00062CD0" w:rsidP="00062CD0">
      <w:pPr>
        <w:pStyle w:val="Caption"/>
      </w:pPr>
      <w:bookmarkStart w:id="50" w:name="_Ref123636342"/>
      <w:r w:rsidRPr="008A3BDF">
        <w:t xml:space="preserve">Figure </w:t>
      </w:r>
      <w:fldSimple w:instr=" SEQ Figure \* ARABIC ">
        <w:r w:rsidR="0001201E">
          <w:rPr>
            <w:noProof/>
          </w:rPr>
          <w:t>10</w:t>
        </w:r>
      </w:fldSimple>
      <w:bookmarkEnd w:id="50"/>
      <w:r w:rsidRPr="008A3BDF">
        <w:t>: Model traces over the time horizon</w:t>
      </w:r>
    </w:p>
    <w:p w14:paraId="7F7EEA6F" w14:textId="77777777" w:rsidR="00062CD0" w:rsidRPr="008A3BDF" w:rsidRDefault="00062CD0" w:rsidP="00062CD0">
      <w:pPr>
        <w:pStyle w:val="TableFigureFooter"/>
      </w:pPr>
      <w:r w:rsidRPr="008A3BDF">
        <w:rPr>
          <w:noProof/>
        </w:rPr>
        <w:drawing>
          <wp:inline distT="0" distB="0" distL="0" distR="0" wp14:anchorId="772F6657" wp14:editId="51D030A3">
            <wp:extent cx="5732145" cy="3655409"/>
            <wp:effectExtent l="0" t="0" r="0" b="2540"/>
            <wp:docPr id="23" name="Picture 23" descr="Figure 10: Model traces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0: Model traces over the time horiz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3655409"/>
                    </a:xfrm>
                    <a:prstGeom prst="rect">
                      <a:avLst/>
                    </a:prstGeom>
                    <a:noFill/>
                  </pic:spPr>
                </pic:pic>
              </a:graphicData>
            </a:graphic>
          </wp:inline>
        </w:drawing>
      </w:r>
      <w:r w:rsidRPr="008A3BDF">
        <w:t xml:space="preserve"> Source: </w:t>
      </w:r>
      <w:r w:rsidRPr="00A67E12">
        <w:t>Constructed during the evaluation from the resubmission’s base case parameters the ‘A6.1_Abemaciclib Section 3 workbook 2022.xlsm’ workbook included in the resubmission</w:t>
      </w:r>
      <w:r w:rsidRPr="008A3BDF">
        <w:t>.</w:t>
      </w:r>
    </w:p>
    <w:p w14:paraId="42F48FD9" w14:textId="77777777" w:rsidR="00062CD0" w:rsidRPr="008A3BDF" w:rsidRDefault="00062CD0" w:rsidP="00062CD0">
      <w:pPr>
        <w:pStyle w:val="TableFigureFooter"/>
      </w:pPr>
      <w:r w:rsidRPr="008A3BDF">
        <w:t>ABE = abemaciclib; ET = endocrine therapy; ID = invasive disease; IDFS = invasive disease-free survival; NMR = non-metastatic recurrence; MBC = metastatic breast cancer.</w:t>
      </w:r>
    </w:p>
    <w:p w14:paraId="3B3F447C" w14:textId="77777777" w:rsidR="00062CD0" w:rsidRPr="008A3BDF" w:rsidRDefault="00062CD0" w:rsidP="00062CD0">
      <w:pPr>
        <w:pStyle w:val="TableFigureFooter"/>
      </w:pPr>
      <w:r w:rsidRPr="008A3BDF">
        <w:t xml:space="preserve">Note: Death indicates deaths without invasive disease. </w:t>
      </w:r>
    </w:p>
    <w:p w14:paraId="05331BEC" w14:textId="47CD0175" w:rsidR="00062CD0" w:rsidRPr="00A67E12" w:rsidRDefault="00062CD0" w:rsidP="00062CD0">
      <w:pPr>
        <w:pStyle w:val="3-BodyText"/>
      </w:pPr>
      <w:r w:rsidRPr="008A3BDF">
        <w:t xml:space="preserve">Disaggregate costs and QALYs are presented in </w:t>
      </w:r>
      <w:r w:rsidRPr="008A3BDF">
        <w:fldChar w:fldCharType="begin"/>
      </w:r>
      <w:r w:rsidRPr="008A3BDF">
        <w:instrText xml:space="preserve"> REF _Ref122691221 \h </w:instrText>
      </w:r>
      <w:r w:rsidRPr="008A3BDF">
        <w:fldChar w:fldCharType="separate"/>
      </w:r>
      <w:r w:rsidR="0001201E" w:rsidRPr="008A3BDF">
        <w:t xml:space="preserve">Table </w:t>
      </w:r>
      <w:r w:rsidR="0001201E">
        <w:rPr>
          <w:noProof/>
        </w:rPr>
        <w:t>14</w:t>
      </w:r>
      <w:r w:rsidRPr="008A3BDF">
        <w:fldChar w:fldCharType="end"/>
      </w:r>
      <w:r w:rsidRPr="008A3BDF">
        <w:t>. The LYs and QALYs gained were predominantly accrued in the IDFS health state, with a reduction in QALYs related to non-metastatic and metastatic recurrences. This is consistent with the claim that abemaciclib improves IDFS and leads to a reduction in metastatic recurrences</w:t>
      </w:r>
      <w:r w:rsidR="00F02ACA">
        <w:t>,</w:t>
      </w:r>
      <w:r w:rsidRPr="008A3BDF">
        <w:t xml:space="preserve"> </w:t>
      </w:r>
      <w:r w:rsidR="00F02ACA">
        <w:rPr>
          <w:iCs/>
        </w:rPr>
        <w:t>and</w:t>
      </w:r>
      <w:r w:rsidR="00F02ACA" w:rsidRPr="00A67E12">
        <w:rPr>
          <w:iCs/>
        </w:rPr>
        <w:t xml:space="preserve"> </w:t>
      </w:r>
      <w:r w:rsidRPr="00A67E12">
        <w:rPr>
          <w:iCs/>
        </w:rPr>
        <w:t xml:space="preserve">is similar to the previous submission. </w:t>
      </w:r>
      <w:r w:rsidRPr="00A67E12">
        <w:t xml:space="preserve">The LYs and QALYs gained with abemaciclib treatment are likely to be an overestimate due to the approach used to wane the treatment effect of abemaciclib beyond the observed period and the time horizon chosen. </w:t>
      </w:r>
      <w:r w:rsidRPr="008A3BDF">
        <w:t xml:space="preserve">The accumulation of life years gained over the model time horizon is depicted in </w:t>
      </w:r>
      <w:r w:rsidRPr="008A3BDF">
        <w:fldChar w:fldCharType="begin"/>
      </w:r>
      <w:r w:rsidRPr="008A3BDF">
        <w:instrText xml:space="preserve"> REF _Ref123836650 \h </w:instrText>
      </w:r>
      <w:r w:rsidRPr="008A3BDF">
        <w:fldChar w:fldCharType="separate"/>
      </w:r>
      <w:r w:rsidR="0001201E" w:rsidRPr="008A3BDF">
        <w:t xml:space="preserve">Figure </w:t>
      </w:r>
      <w:r w:rsidR="0001201E">
        <w:rPr>
          <w:noProof/>
        </w:rPr>
        <w:t>11</w:t>
      </w:r>
      <w:r w:rsidRPr="008A3BDF">
        <w:fldChar w:fldCharType="end"/>
      </w:r>
      <w:r w:rsidRPr="008A3BDF">
        <w:t xml:space="preserve">. </w:t>
      </w:r>
      <w:r w:rsidR="00F3054D" w:rsidRPr="00A67E12">
        <w:rPr>
          <w:iCs/>
        </w:rPr>
        <w:t>Most of</w:t>
      </w:r>
      <w:r w:rsidRPr="00A67E12">
        <w:t xml:space="preserve"> the life years gained with abemaciclib treatment were accrued </w:t>
      </w:r>
      <w:r w:rsidRPr="00A67E12">
        <w:lastRenderedPageBreak/>
        <w:t xml:space="preserve">in the extrapolated period, particularly beyond 15 years. </w:t>
      </w:r>
      <w:r w:rsidRPr="008A3BDF">
        <w:t>The incremental cost</w:t>
      </w:r>
      <w:r>
        <w:t xml:space="preserve"> </w:t>
      </w:r>
      <w:r w:rsidRPr="008A3BDF">
        <w:t xml:space="preserve">was driven by the cost of adjuvant abemaciclib treatment, with cost-offsets due to a reduction in the treatment of metastatic recurrence. </w:t>
      </w:r>
      <w:r w:rsidRPr="00A67E12">
        <w:t>As the modelled reduction in metastatic recurrences may be an overestimate (due to assumptions in the modelling of IDFS and differences in the proportions of events that are metastatic), so too may be the modelled cost-offsets related to metastatic recurrence.</w:t>
      </w:r>
    </w:p>
    <w:p w14:paraId="14C2DC2B" w14:textId="5F9E3A12" w:rsidR="00062CD0" w:rsidRPr="00A67E12" w:rsidRDefault="00062CD0" w:rsidP="00062CD0">
      <w:pPr>
        <w:pStyle w:val="Caption"/>
      </w:pPr>
      <w:bookmarkStart w:id="51" w:name="_Ref122691221"/>
      <w:r w:rsidRPr="008A3BDF">
        <w:t xml:space="preserve">Table </w:t>
      </w:r>
      <w:fldSimple w:instr=" SEQ Table \* ARABIC ">
        <w:r w:rsidR="0001201E">
          <w:rPr>
            <w:noProof/>
          </w:rPr>
          <w:t>14</w:t>
        </w:r>
      </w:fldSimple>
      <w:bookmarkEnd w:id="51"/>
      <w:r w:rsidRPr="008A3BDF">
        <w:t>: Disaggregate costs and QALYs</w:t>
      </w:r>
    </w:p>
    <w:tbl>
      <w:tblPr>
        <w:tblStyle w:val="TableGrid"/>
        <w:tblW w:w="5000" w:type="pct"/>
        <w:tblLayout w:type="fixed"/>
        <w:tblLook w:val="04A0" w:firstRow="1" w:lastRow="0" w:firstColumn="1" w:lastColumn="0" w:noHBand="0" w:noVBand="1"/>
      </w:tblPr>
      <w:tblGrid>
        <w:gridCol w:w="4815"/>
        <w:gridCol w:w="1277"/>
        <w:gridCol w:w="851"/>
        <w:gridCol w:w="1134"/>
        <w:gridCol w:w="940"/>
      </w:tblGrid>
      <w:tr w:rsidR="00062CD0" w:rsidRPr="008A3BDF" w14:paraId="16B4452E" w14:textId="77777777" w:rsidTr="00062CD0">
        <w:tc>
          <w:tcPr>
            <w:tcW w:w="2670" w:type="pct"/>
            <w:tcBorders>
              <w:bottom w:val="single" w:sz="4" w:space="0" w:color="auto"/>
            </w:tcBorders>
            <w:noWrap/>
            <w:hideMark/>
          </w:tcPr>
          <w:p w14:paraId="12851047" w14:textId="77777777" w:rsidR="00062CD0" w:rsidRPr="008A3BDF" w:rsidRDefault="00062CD0" w:rsidP="00062CD0">
            <w:pPr>
              <w:pStyle w:val="TableText0"/>
            </w:pPr>
          </w:p>
        </w:tc>
        <w:tc>
          <w:tcPr>
            <w:tcW w:w="708" w:type="pct"/>
            <w:tcBorders>
              <w:bottom w:val="single" w:sz="4" w:space="0" w:color="auto"/>
            </w:tcBorders>
            <w:noWrap/>
            <w:hideMark/>
          </w:tcPr>
          <w:p w14:paraId="15CE1F2E" w14:textId="77777777" w:rsidR="00062CD0" w:rsidRPr="008A3BDF" w:rsidRDefault="00062CD0" w:rsidP="00062CD0">
            <w:pPr>
              <w:pStyle w:val="TableText0"/>
              <w:jc w:val="center"/>
              <w:rPr>
                <w:b/>
              </w:rPr>
            </w:pPr>
            <w:r w:rsidRPr="008A3BDF">
              <w:rPr>
                <w:b/>
              </w:rPr>
              <w:t>ABE + ET</w:t>
            </w:r>
          </w:p>
        </w:tc>
        <w:tc>
          <w:tcPr>
            <w:tcW w:w="472" w:type="pct"/>
            <w:tcBorders>
              <w:bottom w:val="single" w:sz="4" w:space="0" w:color="auto"/>
            </w:tcBorders>
            <w:noWrap/>
            <w:hideMark/>
          </w:tcPr>
          <w:p w14:paraId="1F8EE1B5" w14:textId="77777777" w:rsidR="00062CD0" w:rsidRPr="008A3BDF" w:rsidRDefault="00062CD0" w:rsidP="00062CD0">
            <w:pPr>
              <w:pStyle w:val="TableText0"/>
              <w:jc w:val="center"/>
              <w:rPr>
                <w:b/>
              </w:rPr>
            </w:pPr>
            <w:r w:rsidRPr="008A3BDF">
              <w:rPr>
                <w:b/>
              </w:rPr>
              <w:t>ET</w:t>
            </w:r>
          </w:p>
        </w:tc>
        <w:tc>
          <w:tcPr>
            <w:tcW w:w="629" w:type="pct"/>
            <w:tcBorders>
              <w:bottom w:val="single" w:sz="4" w:space="0" w:color="auto"/>
            </w:tcBorders>
            <w:noWrap/>
            <w:hideMark/>
          </w:tcPr>
          <w:p w14:paraId="4775A6DC" w14:textId="77777777" w:rsidR="00062CD0" w:rsidRPr="008A3BDF" w:rsidRDefault="00062CD0" w:rsidP="00062CD0">
            <w:pPr>
              <w:pStyle w:val="TableText0"/>
              <w:jc w:val="center"/>
              <w:rPr>
                <w:b/>
              </w:rPr>
            </w:pPr>
            <w:r w:rsidRPr="008A3BDF">
              <w:rPr>
                <w:b/>
              </w:rPr>
              <w:t>Increment</w:t>
            </w:r>
          </w:p>
        </w:tc>
        <w:tc>
          <w:tcPr>
            <w:tcW w:w="521" w:type="pct"/>
            <w:tcBorders>
              <w:bottom w:val="single" w:sz="4" w:space="0" w:color="auto"/>
            </w:tcBorders>
            <w:noWrap/>
            <w:hideMark/>
          </w:tcPr>
          <w:p w14:paraId="078F120E" w14:textId="77777777" w:rsidR="00062CD0" w:rsidRPr="001E1015" w:rsidRDefault="00062CD0" w:rsidP="00062CD0">
            <w:pPr>
              <w:pStyle w:val="TableText0"/>
              <w:jc w:val="center"/>
              <w:rPr>
                <w:b/>
                <w:bCs w:val="0"/>
              </w:rPr>
            </w:pPr>
            <w:r w:rsidRPr="001E1015">
              <w:rPr>
                <w:b/>
                <w:bCs w:val="0"/>
              </w:rPr>
              <w:t>%</w:t>
            </w:r>
          </w:p>
        </w:tc>
      </w:tr>
      <w:tr w:rsidR="00062CD0" w:rsidRPr="008A3BDF" w14:paraId="17C6587A" w14:textId="77777777" w:rsidTr="00062CD0">
        <w:tc>
          <w:tcPr>
            <w:tcW w:w="2670" w:type="pct"/>
            <w:tcBorders>
              <w:bottom w:val="single" w:sz="4" w:space="0" w:color="auto"/>
              <w:right w:val="nil"/>
            </w:tcBorders>
            <w:noWrap/>
            <w:hideMark/>
          </w:tcPr>
          <w:p w14:paraId="1CCEC1FE" w14:textId="77777777" w:rsidR="00062CD0" w:rsidRPr="008A3BDF" w:rsidRDefault="00062CD0" w:rsidP="00062CD0">
            <w:pPr>
              <w:pStyle w:val="TableText0"/>
              <w:rPr>
                <w:b/>
              </w:rPr>
            </w:pPr>
            <w:r w:rsidRPr="008A3BDF">
              <w:rPr>
                <w:b/>
              </w:rPr>
              <w:t>Drug-related costs (pre-metastatic recurrence)</w:t>
            </w:r>
          </w:p>
        </w:tc>
        <w:tc>
          <w:tcPr>
            <w:tcW w:w="708" w:type="pct"/>
            <w:tcBorders>
              <w:left w:val="nil"/>
              <w:bottom w:val="single" w:sz="4" w:space="0" w:color="auto"/>
              <w:right w:val="nil"/>
            </w:tcBorders>
            <w:noWrap/>
            <w:hideMark/>
          </w:tcPr>
          <w:p w14:paraId="42F4DD4D" w14:textId="77777777" w:rsidR="00062CD0" w:rsidRPr="008759DD" w:rsidRDefault="00062CD0" w:rsidP="00062CD0">
            <w:pPr>
              <w:pStyle w:val="TableText0"/>
              <w:jc w:val="right"/>
              <w:rPr>
                <w:b/>
              </w:rPr>
            </w:pPr>
          </w:p>
        </w:tc>
        <w:tc>
          <w:tcPr>
            <w:tcW w:w="472" w:type="pct"/>
            <w:tcBorders>
              <w:left w:val="nil"/>
              <w:bottom w:val="single" w:sz="4" w:space="0" w:color="auto"/>
              <w:right w:val="nil"/>
            </w:tcBorders>
            <w:noWrap/>
            <w:hideMark/>
          </w:tcPr>
          <w:p w14:paraId="46DABD5F" w14:textId="77777777" w:rsidR="00062CD0" w:rsidRPr="008759DD" w:rsidRDefault="00062CD0" w:rsidP="00062CD0">
            <w:pPr>
              <w:pStyle w:val="TableText0"/>
              <w:jc w:val="right"/>
              <w:rPr>
                <w:b/>
              </w:rPr>
            </w:pPr>
          </w:p>
        </w:tc>
        <w:tc>
          <w:tcPr>
            <w:tcW w:w="629" w:type="pct"/>
            <w:tcBorders>
              <w:left w:val="nil"/>
              <w:bottom w:val="single" w:sz="4" w:space="0" w:color="auto"/>
              <w:right w:val="nil"/>
            </w:tcBorders>
            <w:noWrap/>
            <w:hideMark/>
          </w:tcPr>
          <w:p w14:paraId="509FBCA7" w14:textId="77777777" w:rsidR="00062CD0" w:rsidRPr="008759DD" w:rsidRDefault="00062CD0" w:rsidP="00062CD0">
            <w:pPr>
              <w:pStyle w:val="TableText0"/>
              <w:jc w:val="right"/>
              <w:rPr>
                <w:b/>
              </w:rPr>
            </w:pPr>
          </w:p>
        </w:tc>
        <w:tc>
          <w:tcPr>
            <w:tcW w:w="521" w:type="pct"/>
            <w:tcBorders>
              <w:left w:val="nil"/>
              <w:bottom w:val="single" w:sz="4" w:space="0" w:color="auto"/>
            </w:tcBorders>
            <w:noWrap/>
            <w:hideMark/>
          </w:tcPr>
          <w:p w14:paraId="1B153607" w14:textId="77777777" w:rsidR="00062CD0" w:rsidRPr="008759DD" w:rsidRDefault="00062CD0" w:rsidP="00062CD0">
            <w:pPr>
              <w:pStyle w:val="TableText0"/>
              <w:jc w:val="right"/>
              <w:rPr>
                <w:b/>
              </w:rPr>
            </w:pPr>
          </w:p>
        </w:tc>
      </w:tr>
      <w:tr w:rsidR="00062CD0" w:rsidRPr="008A3BDF" w14:paraId="6B2FBB4D" w14:textId="77777777" w:rsidTr="00062CD0">
        <w:tc>
          <w:tcPr>
            <w:tcW w:w="2670" w:type="pct"/>
            <w:tcBorders>
              <w:bottom w:val="nil"/>
            </w:tcBorders>
            <w:noWrap/>
            <w:hideMark/>
          </w:tcPr>
          <w:p w14:paraId="2F3D010F" w14:textId="77777777" w:rsidR="00062CD0" w:rsidRPr="008A3BDF" w:rsidRDefault="00062CD0" w:rsidP="00062CD0">
            <w:pPr>
              <w:pStyle w:val="TableText0"/>
            </w:pPr>
            <w:r w:rsidRPr="008A3BDF">
              <w:t xml:space="preserve">   Adjuvant drug acquisition</w:t>
            </w:r>
          </w:p>
        </w:tc>
        <w:tc>
          <w:tcPr>
            <w:tcW w:w="708" w:type="pct"/>
            <w:tcBorders>
              <w:bottom w:val="nil"/>
            </w:tcBorders>
            <w:noWrap/>
          </w:tcPr>
          <w:p w14:paraId="525E73E4" w14:textId="77777777" w:rsidR="00062CD0" w:rsidRPr="008759DD" w:rsidRDefault="00062CD0" w:rsidP="00062CD0">
            <w:pPr>
              <w:pStyle w:val="TableText0"/>
              <w:jc w:val="right"/>
            </w:pPr>
          </w:p>
        </w:tc>
        <w:tc>
          <w:tcPr>
            <w:tcW w:w="472" w:type="pct"/>
            <w:tcBorders>
              <w:bottom w:val="nil"/>
            </w:tcBorders>
            <w:noWrap/>
          </w:tcPr>
          <w:p w14:paraId="0C90CAB2" w14:textId="77777777" w:rsidR="00062CD0" w:rsidRPr="008759DD" w:rsidRDefault="00062CD0" w:rsidP="00062CD0">
            <w:pPr>
              <w:pStyle w:val="TableText0"/>
              <w:jc w:val="right"/>
            </w:pPr>
          </w:p>
        </w:tc>
        <w:tc>
          <w:tcPr>
            <w:tcW w:w="629" w:type="pct"/>
            <w:tcBorders>
              <w:bottom w:val="nil"/>
            </w:tcBorders>
            <w:noWrap/>
          </w:tcPr>
          <w:p w14:paraId="29BCD27A" w14:textId="77777777" w:rsidR="00062CD0" w:rsidRPr="008759DD" w:rsidRDefault="00062CD0" w:rsidP="00062CD0">
            <w:pPr>
              <w:pStyle w:val="TableText0"/>
              <w:jc w:val="right"/>
            </w:pPr>
          </w:p>
        </w:tc>
        <w:tc>
          <w:tcPr>
            <w:tcW w:w="521" w:type="pct"/>
            <w:tcBorders>
              <w:bottom w:val="nil"/>
            </w:tcBorders>
            <w:noWrap/>
            <w:hideMark/>
          </w:tcPr>
          <w:p w14:paraId="4BE3548E" w14:textId="77777777" w:rsidR="00062CD0" w:rsidRPr="008759DD" w:rsidRDefault="00062CD0" w:rsidP="00062CD0">
            <w:pPr>
              <w:pStyle w:val="TableText0"/>
              <w:jc w:val="right"/>
            </w:pPr>
          </w:p>
        </w:tc>
      </w:tr>
      <w:tr w:rsidR="00062CD0" w:rsidRPr="008A3BDF" w14:paraId="1A2867F2" w14:textId="77777777" w:rsidTr="00062CD0">
        <w:trPr>
          <w:trHeight w:val="183"/>
        </w:trPr>
        <w:tc>
          <w:tcPr>
            <w:tcW w:w="2670" w:type="pct"/>
            <w:tcBorders>
              <w:top w:val="nil"/>
              <w:bottom w:val="nil"/>
            </w:tcBorders>
            <w:noWrap/>
            <w:hideMark/>
          </w:tcPr>
          <w:p w14:paraId="21317282" w14:textId="77777777" w:rsidR="00062CD0" w:rsidRPr="008A3BDF" w:rsidRDefault="00062CD0" w:rsidP="00062CD0">
            <w:pPr>
              <w:pStyle w:val="TableText0"/>
            </w:pPr>
            <w:r w:rsidRPr="008A3BDF">
              <w:t xml:space="preserve">      ABE</w:t>
            </w:r>
          </w:p>
        </w:tc>
        <w:tc>
          <w:tcPr>
            <w:tcW w:w="708" w:type="pct"/>
            <w:tcBorders>
              <w:top w:val="nil"/>
              <w:bottom w:val="nil"/>
            </w:tcBorders>
            <w:noWrap/>
            <w:hideMark/>
          </w:tcPr>
          <w:p w14:paraId="0102B0AF" w14:textId="08F600E6" w:rsidR="00062CD0" w:rsidRPr="008A3BDF" w:rsidRDefault="00062CD0" w:rsidP="001E1015">
            <w:pPr>
              <w:pStyle w:val="TableText0"/>
              <w:jc w:val="center"/>
              <w:rPr>
                <w:highlight w:val="yellow"/>
              </w:rPr>
            </w:pPr>
            <w:r w:rsidRPr="008A3BDF">
              <w:t>$</w:t>
            </w:r>
            <w:r w:rsidR="0013119A" w:rsidRPr="0013119A">
              <w:rPr>
                <w:color w:val="000000"/>
                <w:spacing w:val="48"/>
                <w:shd w:val="solid" w:color="000000" w:fill="000000"/>
                <w:fitText w:val="225" w:id="-1233471228"/>
                <w14:textFill>
                  <w14:solidFill>
                    <w14:srgbClr w14:val="000000">
                      <w14:alpha w14:val="100000"/>
                    </w14:srgbClr>
                  </w14:solidFill>
                </w14:textFill>
              </w:rPr>
              <w:t>||</w:t>
            </w:r>
            <w:r w:rsidR="0013119A" w:rsidRPr="0013119A">
              <w:rPr>
                <w:color w:val="000000"/>
                <w:spacing w:val="2"/>
                <w:shd w:val="solid" w:color="000000" w:fill="000000"/>
                <w:fitText w:val="225" w:id="-1233471228"/>
                <w14:textFill>
                  <w14:solidFill>
                    <w14:srgbClr w14:val="000000">
                      <w14:alpha w14:val="100000"/>
                    </w14:srgbClr>
                  </w14:solidFill>
                </w14:textFill>
              </w:rPr>
              <w:t>|</w:t>
            </w:r>
            <w:r w:rsidR="008759DD" w:rsidRPr="008759DD">
              <w:t xml:space="preserve"> </w:t>
            </w:r>
          </w:p>
        </w:tc>
        <w:tc>
          <w:tcPr>
            <w:tcW w:w="472" w:type="pct"/>
            <w:tcBorders>
              <w:top w:val="nil"/>
              <w:bottom w:val="nil"/>
            </w:tcBorders>
            <w:noWrap/>
            <w:hideMark/>
          </w:tcPr>
          <w:p w14:paraId="5F40D9AD" w14:textId="77777777" w:rsidR="00062CD0" w:rsidRPr="00EC58C1" w:rsidRDefault="00062CD0" w:rsidP="001E1015">
            <w:pPr>
              <w:pStyle w:val="TableText0"/>
              <w:jc w:val="center"/>
            </w:pPr>
          </w:p>
        </w:tc>
        <w:tc>
          <w:tcPr>
            <w:tcW w:w="629" w:type="pct"/>
            <w:tcBorders>
              <w:top w:val="nil"/>
              <w:bottom w:val="nil"/>
            </w:tcBorders>
            <w:noWrap/>
            <w:hideMark/>
          </w:tcPr>
          <w:p w14:paraId="55EBB337" w14:textId="6178140B" w:rsidR="00062CD0" w:rsidRPr="008A3BDF" w:rsidRDefault="00062CD0" w:rsidP="001E1015">
            <w:pPr>
              <w:pStyle w:val="TableText0"/>
              <w:jc w:val="center"/>
            </w:pPr>
            <w:r w:rsidRPr="008A3BDF">
              <w:t>$</w:t>
            </w:r>
            <w:r w:rsidR="0013119A" w:rsidRPr="0013119A">
              <w:rPr>
                <w:color w:val="000000"/>
                <w:spacing w:val="205"/>
                <w:shd w:val="solid" w:color="000000" w:fill="000000"/>
                <w:fitText w:val="291" w:id="-1233471227"/>
                <w14:textFill>
                  <w14:solidFill>
                    <w14:srgbClr w14:val="000000">
                      <w14:alpha w14:val="100000"/>
                    </w14:srgbClr>
                  </w14:solidFill>
                </w14:textFill>
              </w:rPr>
              <w:t>|</w:t>
            </w:r>
            <w:r w:rsidR="0013119A" w:rsidRPr="0013119A">
              <w:rPr>
                <w:color w:val="000000"/>
                <w:spacing w:val="1"/>
                <w:shd w:val="solid" w:color="000000" w:fill="000000"/>
                <w:fitText w:val="291" w:id="-1233471227"/>
                <w14:textFill>
                  <w14:solidFill>
                    <w14:srgbClr w14:val="000000">
                      <w14:alpha w14:val="100000"/>
                    </w14:srgbClr>
                  </w14:solidFill>
                </w14:textFill>
              </w:rPr>
              <w:t>|</w:t>
            </w:r>
            <w:r w:rsidR="008759DD" w:rsidRPr="008759DD">
              <w:t xml:space="preserve"> </w:t>
            </w:r>
          </w:p>
        </w:tc>
        <w:tc>
          <w:tcPr>
            <w:tcW w:w="521" w:type="pct"/>
            <w:tcBorders>
              <w:top w:val="nil"/>
              <w:bottom w:val="nil"/>
            </w:tcBorders>
            <w:noWrap/>
            <w:hideMark/>
          </w:tcPr>
          <w:p w14:paraId="4E472377" w14:textId="77777777" w:rsidR="00062CD0" w:rsidRPr="00F72F58" w:rsidRDefault="00062CD0" w:rsidP="001E1015">
            <w:pPr>
              <w:pStyle w:val="TableText0"/>
              <w:jc w:val="center"/>
              <w:rPr>
                <w:highlight w:val="darkGray"/>
              </w:rPr>
            </w:pPr>
            <w:r w:rsidRPr="00D77CFC">
              <w:t>214%</w:t>
            </w:r>
          </w:p>
        </w:tc>
      </w:tr>
      <w:tr w:rsidR="00062CD0" w:rsidRPr="008A3BDF" w14:paraId="5F5ACDC1" w14:textId="77777777" w:rsidTr="00062CD0">
        <w:tc>
          <w:tcPr>
            <w:tcW w:w="2670" w:type="pct"/>
            <w:tcBorders>
              <w:top w:val="nil"/>
              <w:bottom w:val="single" w:sz="4" w:space="0" w:color="auto"/>
            </w:tcBorders>
            <w:noWrap/>
            <w:hideMark/>
          </w:tcPr>
          <w:p w14:paraId="1B286EFB" w14:textId="77777777" w:rsidR="00062CD0" w:rsidRPr="008A3BDF" w:rsidRDefault="00062CD0" w:rsidP="00062CD0">
            <w:pPr>
              <w:pStyle w:val="TableText0"/>
            </w:pPr>
            <w:r w:rsidRPr="008A3BDF">
              <w:t xml:space="preserve">      ET</w:t>
            </w:r>
          </w:p>
        </w:tc>
        <w:tc>
          <w:tcPr>
            <w:tcW w:w="708" w:type="pct"/>
            <w:tcBorders>
              <w:top w:val="nil"/>
              <w:bottom w:val="single" w:sz="4" w:space="0" w:color="auto"/>
            </w:tcBorders>
            <w:noWrap/>
            <w:hideMark/>
          </w:tcPr>
          <w:p w14:paraId="79365245" w14:textId="461B92EE"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26"/>
                <w14:textFill>
                  <w14:solidFill>
                    <w14:srgbClr w14:val="000000">
                      <w14:alpha w14:val="100000"/>
                    </w14:srgbClr>
                  </w14:solidFill>
                </w14:textFill>
              </w:rPr>
              <w:t>||</w:t>
            </w:r>
            <w:r w:rsidR="0013119A" w:rsidRPr="0013119A">
              <w:rPr>
                <w:color w:val="000000"/>
                <w:spacing w:val="2"/>
                <w:shd w:val="solid" w:color="000000" w:fill="000000"/>
                <w:fitText w:val="225" w:id="-1233471226"/>
                <w14:textFill>
                  <w14:solidFill>
                    <w14:srgbClr w14:val="000000">
                      <w14:alpha w14:val="100000"/>
                    </w14:srgbClr>
                  </w14:solidFill>
                </w14:textFill>
              </w:rPr>
              <w:t>|</w:t>
            </w:r>
            <w:r w:rsidR="008759DD" w:rsidRPr="008759DD">
              <w:t xml:space="preserve"> </w:t>
            </w:r>
          </w:p>
        </w:tc>
        <w:tc>
          <w:tcPr>
            <w:tcW w:w="472" w:type="pct"/>
            <w:tcBorders>
              <w:top w:val="nil"/>
              <w:bottom w:val="single" w:sz="4" w:space="0" w:color="auto"/>
            </w:tcBorders>
            <w:noWrap/>
            <w:hideMark/>
          </w:tcPr>
          <w:p w14:paraId="33FF1F06" w14:textId="77777777" w:rsidR="00062CD0" w:rsidRPr="00EC58C1" w:rsidRDefault="00062CD0" w:rsidP="001E1015">
            <w:pPr>
              <w:pStyle w:val="TableText0"/>
              <w:jc w:val="center"/>
            </w:pPr>
            <w:r w:rsidRPr="00EC58C1">
              <w:t>$496</w:t>
            </w:r>
          </w:p>
        </w:tc>
        <w:tc>
          <w:tcPr>
            <w:tcW w:w="629" w:type="pct"/>
            <w:tcBorders>
              <w:top w:val="nil"/>
              <w:bottom w:val="single" w:sz="4" w:space="0" w:color="auto"/>
            </w:tcBorders>
            <w:noWrap/>
            <w:hideMark/>
          </w:tcPr>
          <w:p w14:paraId="5D55E9B1" w14:textId="0705F3EF" w:rsidR="00062CD0" w:rsidRPr="00B75423" w:rsidRDefault="00062CD0" w:rsidP="001E1015">
            <w:pPr>
              <w:pStyle w:val="TableText0"/>
              <w:jc w:val="center"/>
              <w:rPr>
                <w:highlight w:val="yellow"/>
              </w:rPr>
            </w:pPr>
            <w:r w:rsidRPr="00EC58C1">
              <w:t>$</w:t>
            </w:r>
            <w:r w:rsidR="0013119A" w:rsidRPr="0013119A">
              <w:rPr>
                <w:color w:val="000000"/>
                <w:spacing w:val="205"/>
                <w:shd w:val="solid" w:color="000000" w:fill="000000"/>
                <w:fitText w:val="291" w:id="-1233471225"/>
                <w14:textFill>
                  <w14:solidFill>
                    <w14:srgbClr w14:val="000000">
                      <w14:alpha w14:val="100000"/>
                    </w14:srgbClr>
                  </w14:solidFill>
                </w14:textFill>
              </w:rPr>
              <w:t>|</w:t>
            </w:r>
            <w:r w:rsidR="0013119A" w:rsidRPr="0013119A">
              <w:rPr>
                <w:color w:val="000000"/>
                <w:spacing w:val="1"/>
                <w:shd w:val="solid" w:color="000000" w:fill="000000"/>
                <w:fitText w:val="291" w:id="-1233471225"/>
                <w14:textFill>
                  <w14:solidFill>
                    <w14:srgbClr w14:val="000000">
                      <w14:alpha w14:val="100000"/>
                    </w14:srgbClr>
                  </w14:solidFill>
                </w14:textFill>
              </w:rPr>
              <w:t>|</w:t>
            </w:r>
            <w:r w:rsidR="008759DD" w:rsidRPr="008759DD">
              <w:t xml:space="preserve"> </w:t>
            </w:r>
          </w:p>
        </w:tc>
        <w:tc>
          <w:tcPr>
            <w:tcW w:w="521" w:type="pct"/>
            <w:tcBorders>
              <w:top w:val="nil"/>
              <w:bottom w:val="single" w:sz="4" w:space="0" w:color="auto"/>
            </w:tcBorders>
            <w:noWrap/>
            <w:hideMark/>
          </w:tcPr>
          <w:p w14:paraId="43F31433" w14:textId="77777777" w:rsidR="00062CD0" w:rsidRPr="00F72F58" w:rsidRDefault="00062CD0" w:rsidP="001E1015">
            <w:pPr>
              <w:pStyle w:val="TableText0"/>
              <w:jc w:val="center"/>
            </w:pPr>
            <w:r w:rsidRPr="00F72F58">
              <w:t>1%</w:t>
            </w:r>
          </w:p>
        </w:tc>
      </w:tr>
      <w:tr w:rsidR="00062CD0" w:rsidRPr="008A3BDF" w14:paraId="30C47AE7" w14:textId="77777777" w:rsidTr="00062CD0">
        <w:tc>
          <w:tcPr>
            <w:tcW w:w="2670" w:type="pct"/>
            <w:tcBorders>
              <w:bottom w:val="nil"/>
            </w:tcBorders>
            <w:noWrap/>
            <w:hideMark/>
          </w:tcPr>
          <w:p w14:paraId="39944E2A" w14:textId="77777777" w:rsidR="00062CD0" w:rsidRPr="008A3BDF" w:rsidRDefault="00062CD0" w:rsidP="00062CD0">
            <w:pPr>
              <w:pStyle w:val="TableText0"/>
            </w:pPr>
            <w:r w:rsidRPr="008A3BDF">
              <w:t xml:space="preserve">   Adjuvant treatment-specific monitoring costs</w:t>
            </w:r>
          </w:p>
        </w:tc>
        <w:tc>
          <w:tcPr>
            <w:tcW w:w="708" w:type="pct"/>
            <w:tcBorders>
              <w:bottom w:val="nil"/>
            </w:tcBorders>
            <w:noWrap/>
          </w:tcPr>
          <w:p w14:paraId="09876E10" w14:textId="056459DB"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24"/>
                <w14:textFill>
                  <w14:solidFill>
                    <w14:srgbClr w14:val="000000">
                      <w14:alpha w14:val="100000"/>
                    </w14:srgbClr>
                  </w14:solidFill>
                </w14:textFill>
              </w:rPr>
              <w:t>||</w:t>
            </w:r>
            <w:r w:rsidR="0013119A" w:rsidRPr="0013119A">
              <w:rPr>
                <w:color w:val="000000"/>
                <w:spacing w:val="2"/>
                <w:shd w:val="solid" w:color="000000" w:fill="000000"/>
                <w:fitText w:val="225" w:id="-1233471224"/>
                <w14:textFill>
                  <w14:solidFill>
                    <w14:srgbClr w14:val="000000">
                      <w14:alpha w14:val="100000"/>
                    </w14:srgbClr>
                  </w14:solidFill>
                </w14:textFill>
              </w:rPr>
              <w:t>|</w:t>
            </w:r>
            <w:r w:rsidR="008759DD" w:rsidRPr="008759DD">
              <w:t xml:space="preserve"> </w:t>
            </w:r>
          </w:p>
        </w:tc>
        <w:tc>
          <w:tcPr>
            <w:tcW w:w="472" w:type="pct"/>
            <w:tcBorders>
              <w:bottom w:val="nil"/>
            </w:tcBorders>
            <w:noWrap/>
          </w:tcPr>
          <w:p w14:paraId="2B961642" w14:textId="77777777" w:rsidR="00062CD0" w:rsidRPr="00EC58C1" w:rsidRDefault="00062CD0" w:rsidP="001E1015">
            <w:pPr>
              <w:pStyle w:val="TableText0"/>
              <w:jc w:val="center"/>
            </w:pPr>
            <w:r w:rsidRPr="00EC58C1">
              <w:t>$1,033</w:t>
            </w:r>
          </w:p>
        </w:tc>
        <w:tc>
          <w:tcPr>
            <w:tcW w:w="629" w:type="pct"/>
            <w:tcBorders>
              <w:bottom w:val="nil"/>
            </w:tcBorders>
            <w:noWrap/>
          </w:tcPr>
          <w:p w14:paraId="37E0AF87" w14:textId="27CE2D28" w:rsidR="00062CD0" w:rsidRPr="00B75423" w:rsidRDefault="00062CD0" w:rsidP="001E1015">
            <w:pPr>
              <w:pStyle w:val="TableText0"/>
              <w:jc w:val="center"/>
              <w:rPr>
                <w:highlight w:val="yellow"/>
              </w:rPr>
            </w:pPr>
            <w:r w:rsidRPr="00EC58C1">
              <w:t>$</w:t>
            </w:r>
            <w:r w:rsidR="0013119A" w:rsidRPr="0013119A">
              <w:rPr>
                <w:color w:val="000000"/>
                <w:spacing w:val="205"/>
                <w:shd w:val="solid" w:color="000000" w:fill="000000"/>
                <w:fitText w:val="291" w:id="-1233471223"/>
                <w14:textFill>
                  <w14:solidFill>
                    <w14:srgbClr w14:val="000000">
                      <w14:alpha w14:val="100000"/>
                    </w14:srgbClr>
                  </w14:solidFill>
                </w14:textFill>
              </w:rPr>
              <w:t>|</w:t>
            </w:r>
            <w:r w:rsidR="0013119A" w:rsidRPr="0013119A">
              <w:rPr>
                <w:color w:val="000000"/>
                <w:spacing w:val="1"/>
                <w:shd w:val="solid" w:color="000000" w:fill="000000"/>
                <w:fitText w:val="291" w:id="-1233471223"/>
                <w14:textFill>
                  <w14:solidFill>
                    <w14:srgbClr w14:val="000000">
                      <w14:alpha w14:val="100000"/>
                    </w14:srgbClr>
                  </w14:solidFill>
                </w14:textFill>
              </w:rPr>
              <w:t>|</w:t>
            </w:r>
            <w:r w:rsidR="008759DD" w:rsidRPr="008759DD">
              <w:t xml:space="preserve"> </w:t>
            </w:r>
          </w:p>
        </w:tc>
        <w:tc>
          <w:tcPr>
            <w:tcW w:w="521" w:type="pct"/>
            <w:tcBorders>
              <w:bottom w:val="nil"/>
            </w:tcBorders>
            <w:noWrap/>
            <w:hideMark/>
          </w:tcPr>
          <w:p w14:paraId="41BAA7CF" w14:textId="77777777" w:rsidR="00062CD0" w:rsidRPr="00F72F58" w:rsidRDefault="00062CD0" w:rsidP="001E1015">
            <w:pPr>
              <w:pStyle w:val="TableText0"/>
              <w:jc w:val="center"/>
            </w:pPr>
            <w:r w:rsidRPr="00F72F58">
              <w:t>7%</w:t>
            </w:r>
          </w:p>
        </w:tc>
      </w:tr>
      <w:tr w:rsidR="00062CD0" w:rsidRPr="008A3BDF" w14:paraId="3351140B" w14:textId="77777777" w:rsidTr="00062CD0">
        <w:tc>
          <w:tcPr>
            <w:tcW w:w="2670" w:type="pct"/>
            <w:tcBorders>
              <w:bottom w:val="single" w:sz="4" w:space="0" w:color="auto"/>
            </w:tcBorders>
            <w:noWrap/>
            <w:hideMark/>
          </w:tcPr>
          <w:p w14:paraId="7CABCD6D" w14:textId="77777777" w:rsidR="00062CD0" w:rsidRPr="008A3BDF" w:rsidRDefault="00062CD0" w:rsidP="00062CD0">
            <w:pPr>
              <w:pStyle w:val="TableText0"/>
            </w:pPr>
            <w:r w:rsidRPr="008A3BDF">
              <w:t xml:space="preserve">   Total drug-related costs in NMR</w:t>
            </w:r>
          </w:p>
        </w:tc>
        <w:tc>
          <w:tcPr>
            <w:tcW w:w="708" w:type="pct"/>
            <w:tcBorders>
              <w:bottom w:val="single" w:sz="4" w:space="0" w:color="auto"/>
            </w:tcBorders>
            <w:noWrap/>
            <w:hideMark/>
          </w:tcPr>
          <w:p w14:paraId="65F4C2CF" w14:textId="6191FD7A"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22"/>
                <w14:textFill>
                  <w14:solidFill>
                    <w14:srgbClr w14:val="000000">
                      <w14:alpha w14:val="100000"/>
                    </w14:srgbClr>
                  </w14:solidFill>
                </w14:textFill>
              </w:rPr>
              <w:t>||</w:t>
            </w:r>
            <w:r w:rsidR="0013119A" w:rsidRPr="0013119A">
              <w:rPr>
                <w:color w:val="000000"/>
                <w:spacing w:val="2"/>
                <w:shd w:val="solid" w:color="000000" w:fill="000000"/>
                <w:fitText w:val="225" w:id="-1233471222"/>
                <w14:textFill>
                  <w14:solidFill>
                    <w14:srgbClr w14:val="000000">
                      <w14:alpha w14:val="100000"/>
                    </w14:srgbClr>
                  </w14:solidFill>
                </w14:textFill>
              </w:rPr>
              <w:t>|</w:t>
            </w:r>
            <w:r w:rsidR="008759DD" w:rsidRPr="008759DD">
              <w:t xml:space="preserve"> </w:t>
            </w:r>
          </w:p>
        </w:tc>
        <w:tc>
          <w:tcPr>
            <w:tcW w:w="472" w:type="pct"/>
            <w:tcBorders>
              <w:bottom w:val="single" w:sz="4" w:space="0" w:color="auto"/>
            </w:tcBorders>
            <w:noWrap/>
            <w:hideMark/>
          </w:tcPr>
          <w:p w14:paraId="79E274E9" w14:textId="77777777" w:rsidR="00062CD0" w:rsidRPr="00EC58C1" w:rsidRDefault="00062CD0" w:rsidP="001E1015">
            <w:pPr>
              <w:pStyle w:val="TableText0"/>
              <w:jc w:val="center"/>
            </w:pPr>
            <w:r w:rsidRPr="00EC58C1">
              <w:t>$50</w:t>
            </w:r>
          </w:p>
        </w:tc>
        <w:tc>
          <w:tcPr>
            <w:tcW w:w="629" w:type="pct"/>
            <w:tcBorders>
              <w:bottom w:val="single" w:sz="4" w:space="0" w:color="auto"/>
            </w:tcBorders>
            <w:noWrap/>
            <w:hideMark/>
          </w:tcPr>
          <w:p w14:paraId="7FABF631" w14:textId="16E8A87A"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21"/>
                <w14:textFill>
                  <w14:solidFill>
                    <w14:srgbClr w14:val="000000">
                      <w14:alpha w14:val="100000"/>
                    </w14:srgbClr>
                  </w14:solidFill>
                </w14:textFill>
              </w:rPr>
              <w:t>|||</w:t>
            </w:r>
            <w:r w:rsidR="0013119A" w:rsidRPr="0013119A">
              <w:rPr>
                <w:color w:val="000000"/>
                <w:spacing w:val="3"/>
                <w:shd w:val="solid" w:color="000000" w:fill="000000"/>
                <w:fitText w:val="341" w:id="-1233471221"/>
                <w14:textFill>
                  <w14:solidFill>
                    <w14:srgbClr w14:val="000000">
                      <w14:alpha w14:val="100000"/>
                    </w14:srgbClr>
                  </w14:solidFill>
                </w14:textFill>
              </w:rPr>
              <w:t>|</w:t>
            </w:r>
            <w:r w:rsidR="008759DD" w:rsidRPr="008759DD">
              <w:t xml:space="preserve"> </w:t>
            </w:r>
          </w:p>
        </w:tc>
        <w:tc>
          <w:tcPr>
            <w:tcW w:w="521" w:type="pct"/>
            <w:tcBorders>
              <w:bottom w:val="single" w:sz="4" w:space="0" w:color="auto"/>
            </w:tcBorders>
            <w:noWrap/>
            <w:hideMark/>
          </w:tcPr>
          <w:p w14:paraId="0310B735" w14:textId="77777777" w:rsidR="00062CD0" w:rsidRPr="00F72F58" w:rsidRDefault="00062CD0" w:rsidP="001E1015">
            <w:pPr>
              <w:pStyle w:val="TableText0"/>
              <w:jc w:val="center"/>
            </w:pPr>
            <w:r w:rsidRPr="00F72F58">
              <w:t>−0%</w:t>
            </w:r>
          </w:p>
        </w:tc>
      </w:tr>
      <w:tr w:rsidR="00062CD0" w:rsidRPr="008A3BDF" w14:paraId="0AEB3FB2" w14:textId="77777777" w:rsidTr="00062CD0">
        <w:tc>
          <w:tcPr>
            <w:tcW w:w="2670" w:type="pct"/>
            <w:tcBorders>
              <w:right w:val="nil"/>
            </w:tcBorders>
            <w:noWrap/>
            <w:hideMark/>
          </w:tcPr>
          <w:p w14:paraId="487AAEC8" w14:textId="77777777" w:rsidR="00062CD0" w:rsidRPr="008A3BDF" w:rsidRDefault="00062CD0" w:rsidP="00062CD0">
            <w:pPr>
              <w:pStyle w:val="TableText0"/>
            </w:pPr>
            <w:r w:rsidRPr="008A3BDF">
              <w:t>Disease management costs (pre-metastatic recurrence)</w:t>
            </w:r>
          </w:p>
        </w:tc>
        <w:tc>
          <w:tcPr>
            <w:tcW w:w="708" w:type="pct"/>
            <w:tcBorders>
              <w:left w:val="nil"/>
              <w:right w:val="nil"/>
            </w:tcBorders>
            <w:noWrap/>
            <w:hideMark/>
          </w:tcPr>
          <w:p w14:paraId="259015C2" w14:textId="77777777" w:rsidR="00062CD0" w:rsidRPr="008759DD" w:rsidRDefault="00062CD0" w:rsidP="001E1015">
            <w:pPr>
              <w:pStyle w:val="TableText0"/>
              <w:jc w:val="center"/>
            </w:pPr>
          </w:p>
        </w:tc>
        <w:tc>
          <w:tcPr>
            <w:tcW w:w="472" w:type="pct"/>
            <w:tcBorders>
              <w:left w:val="nil"/>
              <w:right w:val="nil"/>
            </w:tcBorders>
            <w:noWrap/>
            <w:hideMark/>
          </w:tcPr>
          <w:p w14:paraId="239F8AEC" w14:textId="77777777" w:rsidR="00062CD0" w:rsidRPr="008759DD" w:rsidRDefault="00062CD0" w:rsidP="001E1015">
            <w:pPr>
              <w:pStyle w:val="TableText0"/>
              <w:jc w:val="center"/>
            </w:pPr>
          </w:p>
        </w:tc>
        <w:tc>
          <w:tcPr>
            <w:tcW w:w="629" w:type="pct"/>
            <w:tcBorders>
              <w:left w:val="nil"/>
              <w:right w:val="nil"/>
            </w:tcBorders>
            <w:noWrap/>
            <w:hideMark/>
          </w:tcPr>
          <w:p w14:paraId="3AA1323D" w14:textId="77777777" w:rsidR="00062CD0" w:rsidRPr="008759DD" w:rsidRDefault="00062CD0" w:rsidP="001E1015">
            <w:pPr>
              <w:pStyle w:val="TableText0"/>
              <w:jc w:val="center"/>
            </w:pPr>
          </w:p>
        </w:tc>
        <w:tc>
          <w:tcPr>
            <w:tcW w:w="521" w:type="pct"/>
            <w:tcBorders>
              <w:left w:val="nil"/>
            </w:tcBorders>
            <w:noWrap/>
            <w:hideMark/>
          </w:tcPr>
          <w:p w14:paraId="551111F8" w14:textId="77777777" w:rsidR="00062CD0" w:rsidRPr="008759DD" w:rsidRDefault="00062CD0" w:rsidP="001E1015">
            <w:pPr>
              <w:pStyle w:val="TableText0"/>
              <w:jc w:val="center"/>
            </w:pPr>
          </w:p>
        </w:tc>
      </w:tr>
      <w:tr w:rsidR="00062CD0" w:rsidRPr="008A3BDF" w14:paraId="72487E6B" w14:textId="77777777" w:rsidTr="00062CD0">
        <w:tc>
          <w:tcPr>
            <w:tcW w:w="2670" w:type="pct"/>
            <w:tcBorders>
              <w:bottom w:val="single" w:sz="4" w:space="0" w:color="auto"/>
            </w:tcBorders>
            <w:noWrap/>
            <w:hideMark/>
          </w:tcPr>
          <w:p w14:paraId="7DF75904" w14:textId="77777777" w:rsidR="00062CD0" w:rsidRPr="008A3BDF" w:rsidRDefault="00062CD0" w:rsidP="00062CD0">
            <w:pPr>
              <w:pStyle w:val="TableText0"/>
            </w:pPr>
            <w:r w:rsidRPr="008A3BDF">
              <w:t xml:space="preserve">   Invasive disease-free survival</w:t>
            </w:r>
          </w:p>
        </w:tc>
        <w:tc>
          <w:tcPr>
            <w:tcW w:w="708" w:type="pct"/>
            <w:tcBorders>
              <w:bottom w:val="single" w:sz="4" w:space="0" w:color="auto"/>
            </w:tcBorders>
            <w:noWrap/>
            <w:hideMark/>
          </w:tcPr>
          <w:p w14:paraId="151EE7FD" w14:textId="57FEA348"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20"/>
                <w14:textFill>
                  <w14:solidFill>
                    <w14:srgbClr w14:val="000000">
                      <w14:alpha w14:val="100000"/>
                    </w14:srgbClr>
                  </w14:solidFill>
                </w14:textFill>
              </w:rPr>
              <w:t>||</w:t>
            </w:r>
            <w:r w:rsidR="0013119A" w:rsidRPr="0013119A">
              <w:rPr>
                <w:color w:val="000000"/>
                <w:spacing w:val="2"/>
                <w:shd w:val="solid" w:color="000000" w:fill="000000"/>
                <w:fitText w:val="225" w:id="-1233471220"/>
                <w14:textFill>
                  <w14:solidFill>
                    <w14:srgbClr w14:val="000000">
                      <w14:alpha w14:val="100000"/>
                    </w14:srgbClr>
                  </w14:solidFill>
                </w14:textFill>
              </w:rPr>
              <w:t>|</w:t>
            </w:r>
            <w:r w:rsidR="008759DD" w:rsidRPr="008759DD">
              <w:t xml:space="preserve"> </w:t>
            </w:r>
          </w:p>
        </w:tc>
        <w:tc>
          <w:tcPr>
            <w:tcW w:w="472" w:type="pct"/>
            <w:tcBorders>
              <w:bottom w:val="single" w:sz="4" w:space="0" w:color="auto"/>
            </w:tcBorders>
            <w:noWrap/>
            <w:hideMark/>
          </w:tcPr>
          <w:p w14:paraId="5DB6A05D" w14:textId="77777777" w:rsidR="00062CD0" w:rsidRPr="00EC58C1" w:rsidRDefault="00062CD0" w:rsidP="001E1015">
            <w:pPr>
              <w:pStyle w:val="TableText0"/>
              <w:jc w:val="center"/>
            </w:pPr>
            <w:r w:rsidRPr="00EC58C1">
              <w:t>$941</w:t>
            </w:r>
          </w:p>
        </w:tc>
        <w:tc>
          <w:tcPr>
            <w:tcW w:w="629" w:type="pct"/>
            <w:tcBorders>
              <w:bottom w:val="single" w:sz="4" w:space="0" w:color="auto"/>
            </w:tcBorders>
            <w:noWrap/>
            <w:hideMark/>
          </w:tcPr>
          <w:p w14:paraId="4232E641" w14:textId="4002486B" w:rsidR="00062CD0" w:rsidRPr="00B75423" w:rsidRDefault="00062CD0" w:rsidP="001E1015">
            <w:pPr>
              <w:pStyle w:val="TableText0"/>
              <w:jc w:val="center"/>
              <w:rPr>
                <w:highlight w:val="yellow"/>
              </w:rPr>
            </w:pPr>
            <w:r w:rsidRPr="00EC58C1">
              <w:t>$</w:t>
            </w:r>
            <w:r w:rsidR="0013119A" w:rsidRPr="0013119A">
              <w:rPr>
                <w:color w:val="000000"/>
                <w:spacing w:val="205"/>
                <w:shd w:val="solid" w:color="000000" w:fill="000000"/>
                <w:fitText w:val="291" w:id="-1233471219"/>
                <w14:textFill>
                  <w14:solidFill>
                    <w14:srgbClr w14:val="000000">
                      <w14:alpha w14:val="100000"/>
                    </w14:srgbClr>
                  </w14:solidFill>
                </w14:textFill>
              </w:rPr>
              <w:t>|</w:t>
            </w:r>
            <w:r w:rsidR="0013119A" w:rsidRPr="0013119A">
              <w:rPr>
                <w:color w:val="000000"/>
                <w:spacing w:val="1"/>
                <w:shd w:val="solid" w:color="000000" w:fill="000000"/>
                <w:fitText w:val="291" w:id="-1233471219"/>
                <w14:textFill>
                  <w14:solidFill>
                    <w14:srgbClr w14:val="000000">
                      <w14:alpha w14:val="100000"/>
                    </w14:srgbClr>
                  </w14:solidFill>
                </w14:textFill>
              </w:rPr>
              <w:t>|</w:t>
            </w:r>
            <w:r w:rsidR="008759DD" w:rsidRPr="008759DD">
              <w:t xml:space="preserve"> </w:t>
            </w:r>
          </w:p>
        </w:tc>
        <w:tc>
          <w:tcPr>
            <w:tcW w:w="521" w:type="pct"/>
            <w:tcBorders>
              <w:bottom w:val="single" w:sz="4" w:space="0" w:color="auto"/>
            </w:tcBorders>
            <w:noWrap/>
            <w:hideMark/>
          </w:tcPr>
          <w:p w14:paraId="35B8169E" w14:textId="77777777" w:rsidR="00062CD0" w:rsidRPr="00F72F58" w:rsidRDefault="00062CD0" w:rsidP="001E1015">
            <w:pPr>
              <w:pStyle w:val="TableText0"/>
              <w:jc w:val="center"/>
            </w:pPr>
            <w:r w:rsidRPr="00F72F58">
              <w:t>0%</w:t>
            </w:r>
          </w:p>
        </w:tc>
      </w:tr>
      <w:tr w:rsidR="00062CD0" w:rsidRPr="008A3BDF" w14:paraId="5DD2F0BA" w14:textId="77777777" w:rsidTr="00062CD0">
        <w:tc>
          <w:tcPr>
            <w:tcW w:w="2670" w:type="pct"/>
            <w:tcBorders>
              <w:bottom w:val="nil"/>
            </w:tcBorders>
            <w:noWrap/>
            <w:hideMark/>
          </w:tcPr>
          <w:p w14:paraId="6226B299" w14:textId="77777777" w:rsidR="00062CD0" w:rsidRPr="008A3BDF" w:rsidRDefault="00062CD0" w:rsidP="00062CD0">
            <w:pPr>
              <w:pStyle w:val="TableText0"/>
            </w:pPr>
            <w:r w:rsidRPr="008A3BDF">
              <w:t xml:space="preserve">   NMR</w:t>
            </w:r>
          </w:p>
        </w:tc>
        <w:tc>
          <w:tcPr>
            <w:tcW w:w="708" w:type="pct"/>
            <w:tcBorders>
              <w:bottom w:val="nil"/>
            </w:tcBorders>
            <w:noWrap/>
            <w:hideMark/>
          </w:tcPr>
          <w:p w14:paraId="019E8ECC" w14:textId="62CFAA5F"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18"/>
                <w14:textFill>
                  <w14:solidFill>
                    <w14:srgbClr w14:val="000000">
                      <w14:alpha w14:val="100000"/>
                    </w14:srgbClr>
                  </w14:solidFill>
                </w14:textFill>
              </w:rPr>
              <w:t>||</w:t>
            </w:r>
            <w:r w:rsidR="0013119A" w:rsidRPr="0013119A">
              <w:rPr>
                <w:color w:val="000000"/>
                <w:spacing w:val="2"/>
                <w:shd w:val="solid" w:color="000000" w:fill="000000"/>
                <w:fitText w:val="225" w:id="-1233471218"/>
                <w14:textFill>
                  <w14:solidFill>
                    <w14:srgbClr w14:val="000000">
                      <w14:alpha w14:val="100000"/>
                    </w14:srgbClr>
                  </w14:solidFill>
                </w14:textFill>
              </w:rPr>
              <w:t>|</w:t>
            </w:r>
            <w:r w:rsidR="008759DD" w:rsidRPr="008759DD">
              <w:t xml:space="preserve"> </w:t>
            </w:r>
          </w:p>
        </w:tc>
        <w:tc>
          <w:tcPr>
            <w:tcW w:w="472" w:type="pct"/>
            <w:tcBorders>
              <w:bottom w:val="nil"/>
            </w:tcBorders>
            <w:noWrap/>
            <w:hideMark/>
          </w:tcPr>
          <w:p w14:paraId="3AD8DB36" w14:textId="77777777" w:rsidR="00062CD0" w:rsidRPr="00EC58C1" w:rsidRDefault="00062CD0" w:rsidP="001E1015">
            <w:pPr>
              <w:pStyle w:val="TableText0"/>
              <w:jc w:val="center"/>
            </w:pPr>
            <w:r w:rsidRPr="00EC58C1">
              <w:t>$1,492</w:t>
            </w:r>
          </w:p>
        </w:tc>
        <w:tc>
          <w:tcPr>
            <w:tcW w:w="629" w:type="pct"/>
            <w:tcBorders>
              <w:bottom w:val="nil"/>
            </w:tcBorders>
            <w:noWrap/>
            <w:hideMark/>
          </w:tcPr>
          <w:p w14:paraId="2C5E7BD0" w14:textId="04D05177"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17"/>
                <w14:textFill>
                  <w14:solidFill>
                    <w14:srgbClr w14:val="000000">
                      <w14:alpha w14:val="100000"/>
                    </w14:srgbClr>
                  </w14:solidFill>
                </w14:textFill>
              </w:rPr>
              <w:t>|||</w:t>
            </w:r>
            <w:r w:rsidR="0013119A" w:rsidRPr="0013119A">
              <w:rPr>
                <w:color w:val="000000"/>
                <w:spacing w:val="3"/>
                <w:shd w:val="solid" w:color="000000" w:fill="000000"/>
                <w:fitText w:val="341" w:id="-1233471217"/>
                <w14:textFill>
                  <w14:solidFill>
                    <w14:srgbClr w14:val="000000">
                      <w14:alpha w14:val="100000"/>
                    </w14:srgbClr>
                  </w14:solidFill>
                </w14:textFill>
              </w:rPr>
              <w:t>|</w:t>
            </w:r>
            <w:r w:rsidR="008759DD" w:rsidRPr="008759DD">
              <w:t xml:space="preserve"> </w:t>
            </w:r>
          </w:p>
        </w:tc>
        <w:tc>
          <w:tcPr>
            <w:tcW w:w="521" w:type="pct"/>
            <w:tcBorders>
              <w:bottom w:val="nil"/>
            </w:tcBorders>
            <w:noWrap/>
            <w:hideMark/>
          </w:tcPr>
          <w:p w14:paraId="3FC0ADA9" w14:textId="77777777" w:rsidR="00062CD0" w:rsidRPr="00F72F58" w:rsidRDefault="00062CD0" w:rsidP="001E1015">
            <w:pPr>
              <w:pStyle w:val="TableText0"/>
              <w:jc w:val="center"/>
            </w:pPr>
            <w:r w:rsidRPr="00F72F58">
              <w:t>−1%</w:t>
            </w:r>
          </w:p>
        </w:tc>
      </w:tr>
      <w:tr w:rsidR="00062CD0" w:rsidRPr="008A3BDF" w14:paraId="7E7DCCAC" w14:textId="77777777" w:rsidTr="00062CD0">
        <w:tc>
          <w:tcPr>
            <w:tcW w:w="2670" w:type="pct"/>
            <w:tcBorders>
              <w:bottom w:val="single" w:sz="4" w:space="0" w:color="auto"/>
            </w:tcBorders>
            <w:noWrap/>
            <w:hideMark/>
          </w:tcPr>
          <w:p w14:paraId="006A0297" w14:textId="77777777" w:rsidR="00062CD0" w:rsidRPr="008A3BDF" w:rsidRDefault="00062CD0" w:rsidP="00062CD0">
            <w:pPr>
              <w:pStyle w:val="TableText0"/>
            </w:pPr>
            <w:r w:rsidRPr="008A3BDF">
              <w:t xml:space="preserve">   Remission</w:t>
            </w:r>
          </w:p>
        </w:tc>
        <w:tc>
          <w:tcPr>
            <w:tcW w:w="708" w:type="pct"/>
            <w:tcBorders>
              <w:bottom w:val="single" w:sz="4" w:space="0" w:color="auto"/>
            </w:tcBorders>
            <w:noWrap/>
            <w:hideMark/>
          </w:tcPr>
          <w:p w14:paraId="7DF2075C" w14:textId="2DEE45A9"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16"/>
                <w14:textFill>
                  <w14:solidFill>
                    <w14:srgbClr w14:val="000000">
                      <w14:alpha w14:val="100000"/>
                    </w14:srgbClr>
                  </w14:solidFill>
                </w14:textFill>
              </w:rPr>
              <w:t>||</w:t>
            </w:r>
            <w:r w:rsidR="0013119A" w:rsidRPr="0013119A">
              <w:rPr>
                <w:color w:val="000000"/>
                <w:spacing w:val="2"/>
                <w:shd w:val="solid" w:color="000000" w:fill="000000"/>
                <w:fitText w:val="225" w:id="-1233471216"/>
                <w14:textFill>
                  <w14:solidFill>
                    <w14:srgbClr w14:val="000000">
                      <w14:alpha w14:val="100000"/>
                    </w14:srgbClr>
                  </w14:solidFill>
                </w14:textFill>
              </w:rPr>
              <w:t>|</w:t>
            </w:r>
            <w:r w:rsidR="008759DD" w:rsidRPr="008759DD">
              <w:t xml:space="preserve"> </w:t>
            </w:r>
          </w:p>
        </w:tc>
        <w:tc>
          <w:tcPr>
            <w:tcW w:w="472" w:type="pct"/>
            <w:tcBorders>
              <w:bottom w:val="single" w:sz="4" w:space="0" w:color="auto"/>
            </w:tcBorders>
            <w:noWrap/>
            <w:hideMark/>
          </w:tcPr>
          <w:p w14:paraId="49115094" w14:textId="77777777" w:rsidR="00062CD0" w:rsidRPr="00EC58C1" w:rsidRDefault="00062CD0" w:rsidP="001E1015">
            <w:pPr>
              <w:pStyle w:val="TableText0"/>
              <w:jc w:val="center"/>
            </w:pPr>
            <w:r w:rsidRPr="00EC58C1">
              <w:t>$22</w:t>
            </w:r>
          </w:p>
        </w:tc>
        <w:tc>
          <w:tcPr>
            <w:tcW w:w="629" w:type="pct"/>
            <w:tcBorders>
              <w:bottom w:val="single" w:sz="4" w:space="0" w:color="auto"/>
            </w:tcBorders>
            <w:noWrap/>
            <w:hideMark/>
          </w:tcPr>
          <w:p w14:paraId="384D253E" w14:textId="0650514F"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32"/>
                <w14:textFill>
                  <w14:solidFill>
                    <w14:srgbClr w14:val="000000">
                      <w14:alpha w14:val="100000"/>
                    </w14:srgbClr>
                  </w14:solidFill>
                </w14:textFill>
              </w:rPr>
              <w:t>|||</w:t>
            </w:r>
            <w:r w:rsidR="0013119A" w:rsidRPr="0013119A">
              <w:rPr>
                <w:color w:val="000000"/>
                <w:spacing w:val="3"/>
                <w:shd w:val="solid" w:color="000000" w:fill="000000"/>
                <w:fitText w:val="341" w:id="-1233471232"/>
                <w14:textFill>
                  <w14:solidFill>
                    <w14:srgbClr w14:val="000000">
                      <w14:alpha w14:val="100000"/>
                    </w14:srgbClr>
                  </w14:solidFill>
                </w14:textFill>
              </w:rPr>
              <w:t>|</w:t>
            </w:r>
            <w:r w:rsidR="008759DD" w:rsidRPr="008759DD">
              <w:t xml:space="preserve"> </w:t>
            </w:r>
          </w:p>
        </w:tc>
        <w:tc>
          <w:tcPr>
            <w:tcW w:w="521" w:type="pct"/>
            <w:tcBorders>
              <w:bottom w:val="single" w:sz="4" w:space="0" w:color="auto"/>
            </w:tcBorders>
            <w:noWrap/>
            <w:hideMark/>
          </w:tcPr>
          <w:p w14:paraId="029A8F72" w14:textId="77777777" w:rsidR="00062CD0" w:rsidRPr="00F72F58" w:rsidRDefault="00062CD0" w:rsidP="001E1015">
            <w:pPr>
              <w:pStyle w:val="TableText0"/>
              <w:jc w:val="center"/>
            </w:pPr>
            <w:r w:rsidRPr="00F72F58">
              <w:t>−0%</w:t>
            </w:r>
          </w:p>
        </w:tc>
      </w:tr>
      <w:tr w:rsidR="00062CD0" w:rsidRPr="008A3BDF" w14:paraId="27E5C1A2" w14:textId="77777777" w:rsidTr="00062CD0">
        <w:tc>
          <w:tcPr>
            <w:tcW w:w="2670" w:type="pct"/>
            <w:tcBorders>
              <w:bottom w:val="nil"/>
            </w:tcBorders>
            <w:noWrap/>
            <w:hideMark/>
          </w:tcPr>
          <w:p w14:paraId="3B21CE89" w14:textId="77777777" w:rsidR="00062CD0" w:rsidRPr="008A3BDF" w:rsidRDefault="00062CD0" w:rsidP="00062CD0">
            <w:pPr>
              <w:pStyle w:val="TableText0"/>
            </w:pPr>
            <w:r w:rsidRPr="008A3BDF">
              <w:t xml:space="preserve">   Metastatic recurrence (endocrine-resistant) </w:t>
            </w:r>
          </w:p>
        </w:tc>
        <w:tc>
          <w:tcPr>
            <w:tcW w:w="708" w:type="pct"/>
            <w:tcBorders>
              <w:bottom w:val="nil"/>
            </w:tcBorders>
            <w:noWrap/>
            <w:hideMark/>
          </w:tcPr>
          <w:p w14:paraId="1AFD257A" w14:textId="77777777" w:rsidR="00062CD0" w:rsidRPr="008759DD" w:rsidRDefault="00062CD0" w:rsidP="001E1015">
            <w:pPr>
              <w:pStyle w:val="TableText0"/>
              <w:jc w:val="center"/>
            </w:pPr>
          </w:p>
        </w:tc>
        <w:tc>
          <w:tcPr>
            <w:tcW w:w="472" w:type="pct"/>
            <w:tcBorders>
              <w:bottom w:val="nil"/>
            </w:tcBorders>
            <w:noWrap/>
            <w:hideMark/>
          </w:tcPr>
          <w:p w14:paraId="7C938CA3" w14:textId="77777777" w:rsidR="00062CD0" w:rsidRPr="008759DD" w:rsidRDefault="00062CD0" w:rsidP="001E1015">
            <w:pPr>
              <w:pStyle w:val="TableText0"/>
              <w:jc w:val="center"/>
            </w:pPr>
          </w:p>
        </w:tc>
        <w:tc>
          <w:tcPr>
            <w:tcW w:w="629" w:type="pct"/>
            <w:tcBorders>
              <w:bottom w:val="nil"/>
            </w:tcBorders>
            <w:noWrap/>
            <w:hideMark/>
          </w:tcPr>
          <w:p w14:paraId="438748D1" w14:textId="77777777" w:rsidR="00062CD0" w:rsidRPr="008759DD" w:rsidRDefault="00062CD0" w:rsidP="001E1015">
            <w:pPr>
              <w:pStyle w:val="TableText0"/>
              <w:jc w:val="center"/>
            </w:pPr>
          </w:p>
        </w:tc>
        <w:tc>
          <w:tcPr>
            <w:tcW w:w="521" w:type="pct"/>
            <w:tcBorders>
              <w:bottom w:val="nil"/>
            </w:tcBorders>
            <w:noWrap/>
            <w:hideMark/>
          </w:tcPr>
          <w:p w14:paraId="380160A7" w14:textId="77777777" w:rsidR="00062CD0" w:rsidRPr="008759DD" w:rsidRDefault="00062CD0" w:rsidP="001E1015">
            <w:pPr>
              <w:pStyle w:val="TableText0"/>
              <w:jc w:val="center"/>
            </w:pPr>
          </w:p>
        </w:tc>
      </w:tr>
      <w:tr w:rsidR="00062CD0" w:rsidRPr="008A3BDF" w14:paraId="0F6DB743" w14:textId="77777777" w:rsidTr="00062CD0">
        <w:tc>
          <w:tcPr>
            <w:tcW w:w="2670" w:type="pct"/>
            <w:tcBorders>
              <w:top w:val="nil"/>
              <w:bottom w:val="nil"/>
            </w:tcBorders>
            <w:noWrap/>
            <w:hideMark/>
          </w:tcPr>
          <w:p w14:paraId="34422AF6" w14:textId="77777777" w:rsidR="00062CD0" w:rsidRPr="008A3BDF" w:rsidRDefault="00062CD0" w:rsidP="00062CD0">
            <w:pPr>
              <w:pStyle w:val="TableText0"/>
            </w:pPr>
            <w:r w:rsidRPr="008A3BDF">
              <w:t xml:space="preserve">      PFS</w:t>
            </w:r>
          </w:p>
        </w:tc>
        <w:tc>
          <w:tcPr>
            <w:tcW w:w="708" w:type="pct"/>
            <w:tcBorders>
              <w:top w:val="nil"/>
              <w:bottom w:val="nil"/>
            </w:tcBorders>
            <w:noWrap/>
            <w:hideMark/>
          </w:tcPr>
          <w:p w14:paraId="6976E14D" w14:textId="2B3A1BA7" w:rsidR="00062CD0" w:rsidRPr="00B75423" w:rsidRDefault="00062CD0" w:rsidP="001E1015">
            <w:pPr>
              <w:pStyle w:val="TableText0"/>
              <w:jc w:val="center"/>
              <w:rPr>
                <w:i/>
                <w:highlight w:val="yellow"/>
              </w:rPr>
            </w:pPr>
            <w:r w:rsidRPr="00EC58C1">
              <w:t>$</w:t>
            </w:r>
            <w:r w:rsidR="0013119A" w:rsidRPr="0013119A">
              <w:rPr>
                <w:color w:val="000000"/>
                <w:spacing w:val="48"/>
                <w:shd w:val="solid" w:color="000000" w:fill="000000"/>
                <w:fitText w:val="225" w:id="-1233471231"/>
                <w14:textFill>
                  <w14:solidFill>
                    <w14:srgbClr w14:val="000000">
                      <w14:alpha w14:val="100000"/>
                    </w14:srgbClr>
                  </w14:solidFill>
                </w14:textFill>
              </w:rPr>
              <w:t>||</w:t>
            </w:r>
            <w:r w:rsidR="0013119A" w:rsidRPr="0013119A">
              <w:rPr>
                <w:color w:val="000000"/>
                <w:spacing w:val="2"/>
                <w:shd w:val="solid" w:color="000000" w:fill="000000"/>
                <w:fitText w:val="225" w:id="-1233471231"/>
                <w14:textFill>
                  <w14:solidFill>
                    <w14:srgbClr w14:val="000000">
                      <w14:alpha w14:val="100000"/>
                    </w14:srgbClr>
                  </w14:solidFill>
                </w14:textFill>
              </w:rPr>
              <w:t>|</w:t>
            </w:r>
            <w:r w:rsidR="008759DD" w:rsidRPr="008759DD">
              <w:t xml:space="preserve"> </w:t>
            </w:r>
          </w:p>
        </w:tc>
        <w:tc>
          <w:tcPr>
            <w:tcW w:w="472" w:type="pct"/>
            <w:tcBorders>
              <w:top w:val="nil"/>
              <w:bottom w:val="nil"/>
            </w:tcBorders>
            <w:noWrap/>
            <w:hideMark/>
          </w:tcPr>
          <w:p w14:paraId="10AE412F" w14:textId="77777777" w:rsidR="00062CD0" w:rsidRPr="00EC58C1" w:rsidRDefault="00062CD0" w:rsidP="001E1015">
            <w:pPr>
              <w:pStyle w:val="TableText0"/>
              <w:jc w:val="center"/>
              <w:rPr>
                <w:i/>
              </w:rPr>
            </w:pPr>
            <w:r w:rsidRPr="00EC58C1">
              <w:t>$8,987</w:t>
            </w:r>
          </w:p>
        </w:tc>
        <w:tc>
          <w:tcPr>
            <w:tcW w:w="629" w:type="pct"/>
            <w:tcBorders>
              <w:top w:val="nil"/>
              <w:bottom w:val="nil"/>
            </w:tcBorders>
            <w:noWrap/>
            <w:hideMark/>
          </w:tcPr>
          <w:p w14:paraId="0807655F" w14:textId="73ABA582"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30"/>
                <w14:textFill>
                  <w14:solidFill>
                    <w14:srgbClr w14:val="000000">
                      <w14:alpha w14:val="100000"/>
                    </w14:srgbClr>
                  </w14:solidFill>
                </w14:textFill>
              </w:rPr>
              <w:t>|||</w:t>
            </w:r>
            <w:r w:rsidR="0013119A" w:rsidRPr="0013119A">
              <w:rPr>
                <w:color w:val="000000"/>
                <w:spacing w:val="3"/>
                <w:shd w:val="solid" w:color="000000" w:fill="000000"/>
                <w:fitText w:val="341" w:id="-1233471230"/>
                <w14:textFill>
                  <w14:solidFill>
                    <w14:srgbClr w14:val="000000">
                      <w14:alpha w14:val="100000"/>
                    </w14:srgbClr>
                  </w14:solidFill>
                </w14:textFill>
              </w:rPr>
              <w:t>|</w:t>
            </w:r>
            <w:r w:rsidR="008759DD" w:rsidRPr="008759DD">
              <w:t xml:space="preserve"> </w:t>
            </w:r>
          </w:p>
        </w:tc>
        <w:tc>
          <w:tcPr>
            <w:tcW w:w="521" w:type="pct"/>
            <w:tcBorders>
              <w:top w:val="nil"/>
              <w:bottom w:val="nil"/>
            </w:tcBorders>
            <w:noWrap/>
            <w:hideMark/>
          </w:tcPr>
          <w:p w14:paraId="1EC890F5" w14:textId="77777777" w:rsidR="00062CD0" w:rsidRPr="00F72F58" w:rsidRDefault="00062CD0" w:rsidP="001E1015">
            <w:pPr>
              <w:pStyle w:val="TableText0"/>
              <w:jc w:val="center"/>
            </w:pPr>
            <w:r w:rsidRPr="00F72F58">
              <w:t>−49%</w:t>
            </w:r>
          </w:p>
        </w:tc>
      </w:tr>
      <w:tr w:rsidR="00062CD0" w:rsidRPr="008A3BDF" w14:paraId="0357F1EA" w14:textId="77777777" w:rsidTr="00062CD0">
        <w:tc>
          <w:tcPr>
            <w:tcW w:w="2670" w:type="pct"/>
            <w:tcBorders>
              <w:top w:val="nil"/>
              <w:bottom w:val="single" w:sz="4" w:space="0" w:color="auto"/>
            </w:tcBorders>
            <w:noWrap/>
            <w:hideMark/>
          </w:tcPr>
          <w:p w14:paraId="7F1C37EA" w14:textId="77777777" w:rsidR="00062CD0" w:rsidRPr="008A3BDF" w:rsidRDefault="00062CD0" w:rsidP="00062CD0">
            <w:pPr>
              <w:pStyle w:val="TableText0"/>
            </w:pPr>
            <w:r w:rsidRPr="008A3BDF">
              <w:t xml:space="preserve">      PPS</w:t>
            </w:r>
          </w:p>
        </w:tc>
        <w:tc>
          <w:tcPr>
            <w:tcW w:w="708" w:type="pct"/>
            <w:tcBorders>
              <w:top w:val="nil"/>
              <w:bottom w:val="single" w:sz="4" w:space="0" w:color="auto"/>
            </w:tcBorders>
            <w:noWrap/>
            <w:hideMark/>
          </w:tcPr>
          <w:p w14:paraId="7899FD25" w14:textId="33DFAB76" w:rsidR="00062CD0" w:rsidRPr="00B75423" w:rsidRDefault="00062CD0" w:rsidP="001E1015">
            <w:pPr>
              <w:pStyle w:val="TableText0"/>
              <w:jc w:val="center"/>
              <w:rPr>
                <w:i/>
                <w:highlight w:val="yellow"/>
              </w:rPr>
            </w:pPr>
            <w:r w:rsidRPr="00EC58C1">
              <w:t>$</w:t>
            </w:r>
            <w:r w:rsidR="0013119A" w:rsidRPr="0013119A">
              <w:rPr>
                <w:color w:val="000000"/>
                <w:spacing w:val="48"/>
                <w:shd w:val="solid" w:color="000000" w:fill="000000"/>
                <w:fitText w:val="225" w:id="-1233471229"/>
                <w14:textFill>
                  <w14:solidFill>
                    <w14:srgbClr w14:val="000000">
                      <w14:alpha w14:val="100000"/>
                    </w14:srgbClr>
                  </w14:solidFill>
                </w14:textFill>
              </w:rPr>
              <w:t>||</w:t>
            </w:r>
            <w:r w:rsidR="0013119A" w:rsidRPr="0013119A">
              <w:rPr>
                <w:color w:val="000000"/>
                <w:spacing w:val="2"/>
                <w:shd w:val="solid" w:color="000000" w:fill="000000"/>
                <w:fitText w:val="225" w:id="-1233471229"/>
                <w14:textFill>
                  <w14:solidFill>
                    <w14:srgbClr w14:val="000000">
                      <w14:alpha w14:val="100000"/>
                    </w14:srgbClr>
                  </w14:solidFill>
                </w14:textFill>
              </w:rPr>
              <w:t>|</w:t>
            </w:r>
            <w:r w:rsidR="008759DD" w:rsidRPr="008759DD">
              <w:t xml:space="preserve"> </w:t>
            </w:r>
          </w:p>
        </w:tc>
        <w:tc>
          <w:tcPr>
            <w:tcW w:w="472" w:type="pct"/>
            <w:tcBorders>
              <w:top w:val="nil"/>
              <w:bottom w:val="single" w:sz="4" w:space="0" w:color="auto"/>
            </w:tcBorders>
            <w:noWrap/>
            <w:hideMark/>
          </w:tcPr>
          <w:p w14:paraId="46917F6F" w14:textId="77777777" w:rsidR="00062CD0" w:rsidRPr="00EC58C1" w:rsidRDefault="00062CD0" w:rsidP="001E1015">
            <w:pPr>
              <w:pStyle w:val="TableText0"/>
              <w:jc w:val="center"/>
              <w:rPr>
                <w:i/>
              </w:rPr>
            </w:pPr>
            <w:r w:rsidRPr="00EC58C1">
              <w:t>$5,219</w:t>
            </w:r>
          </w:p>
        </w:tc>
        <w:tc>
          <w:tcPr>
            <w:tcW w:w="629" w:type="pct"/>
            <w:tcBorders>
              <w:top w:val="nil"/>
              <w:bottom w:val="single" w:sz="4" w:space="0" w:color="auto"/>
            </w:tcBorders>
            <w:noWrap/>
            <w:hideMark/>
          </w:tcPr>
          <w:p w14:paraId="56D29D10" w14:textId="50CECD32"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28"/>
                <w14:textFill>
                  <w14:solidFill>
                    <w14:srgbClr w14:val="000000">
                      <w14:alpha w14:val="100000"/>
                    </w14:srgbClr>
                  </w14:solidFill>
                </w14:textFill>
              </w:rPr>
              <w:t>|||</w:t>
            </w:r>
            <w:r w:rsidR="0013119A" w:rsidRPr="0013119A">
              <w:rPr>
                <w:color w:val="000000"/>
                <w:spacing w:val="3"/>
                <w:shd w:val="solid" w:color="000000" w:fill="000000"/>
                <w:fitText w:val="341" w:id="-1233471228"/>
                <w14:textFill>
                  <w14:solidFill>
                    <w14:srgbClr w14:val="000000">
                      <w14:alpha w14:val="100000"/>
                    </w14:srgbClr>
                  </w14:solidFill>
                </w14:textFill>
              </w:rPr>
              <w:t>|</w:t>
            </w:r>
            <w:r w:rsidR="008759DD" w:rsidRPr="008759DD">
              <w:t xml:space="preserve"> </w:t>
            </w:r>
          </w:p>
        </w:tc>
        <w:tc>
          <w:tcPr>
            <w:tcW w:w="521" w:type="pct"/>
            <w:tcBorders>
              <w:top w:val="nil"/>
              <w:bottom w:val="single" w:sz="4" w:space="0" w:color="auto"/>
            </w:tcBorders>
            <w:noWrap/>
            <w:hideMark/>
          </w:tcPr>
          <w:p w14:paraId="68E0638C" w14:textId="77777777" w:rsidR="00062CD0" w:rsidRPr="00F72F58" w:rsidRDefault="00062CD0" w:rsidP="001E1015">
            <w:pPr>
              <w:pStyle w:val="TableText0"/>
              <w:jc w:val="center"/>
            </w:pPr>
            <w:r w:rsidRPr="00F72F58">
              <w:t>−9%</w:t>
            </w:r>
          </w:p>
        </w:tc>
      </w:tr>
      <w:tr w:rsidR="00062CD0" w:rsidRPr="00A67E12" w14:paraId="5CC9FF6E" w14:textId="77777777" w:rsidTr="00062CD0">
        <w:tc>
          <w:tcPr>
            <w:tcW w:w="2670" w:type="pct"/>
            <w:tcBorders>
              <w:bottom w:val="nil"/>
            </w:tcBorders>
            <w:noWrap/>
            <w:hideMark/>
          </w:tcPr>
          <w:p w14:paraId="5FE861BE" w14:textId="77777777" w:rsidR="00062CD0" w:rsidRPr="00A67E12" w:rsidRDefault="00062CD0" w:rsidP="00062CD0">
            <w:pPr>
              <w:pStyle w:val="TableText0"/>
            </w:pPr>
            <w:r w:rsidRPr="00A67E12">
              <w:t xml:space="preserve">   Metastatic recurrence (endocrine-sensitive) </w:t>
            </w:r>
          </w:p>
        </w:tc>
        <w:tc>
          <w:tcPr>
            <w:tcW w:w="708" w:type="pct"/>
            <w:tcBorders>
              <w:bottom w:val="nil"/>
            </w:tcBorders>
            <w:noWrap/>
            <w:hideMark/>
          </w:tcPr>
          <w:p w14:paraId="70FA97A7" w14:textId="77777777" w:rsidR="00062CD0" w:rsidRPr="008759DD" w:rsidRDefault="00062CD0" w:rsidP="001E1015">
            <w:pPr>
              <w:pStyle w:val="TableText0"/>
              <w:jc w:val="center"/>
            </w:pPr>
          </w:p>
        </w:tc>
        <w:tc>
          <w:tcPr>
            <w:tcW w:w="472" w:type="pct"/>
            <w:tcBorders>
              <w:bottom w:val="nil"/>
            </w:tcBorders>
            <w:noWrap/>
            <w:hideMark/>
          </w:tcPr>
          <w:p w14:paraId="5898D582" w14:textId="77777777" w:rsidR="00062CD0" w:rsidRPr="008759DD" w:rsidRDefault="00062CD0" w:rsidP="001E1015">
            <w:pPr>
              <w:pStyle w:val="TableText0"/>
              <w:jc w:val="center"/>
            </w:pPr>
          </w:p>
        </w:tc>
        <w:tc>
          <w:tcPr>
            <w:tcW w:w="629" w:type="pct"/>
            <w:tcBorders>
              <w:bottom w:val="nil"/>
            </w:tcBorders>
            <w:noWrap/>
            <w:hideMark/>
          </w:tcPr>
          <w:p w14:paraId="7A43AF2B" w14:textId="77777777" w:rsidR="00062CD0" w:rsidRPr="008759DD" w:rsidRDefault="00062CD0" w:rsidP="001E1015">
            <w:pPr>
              <w:pStyle w:val="TableText0"/>
              <w:jc w:val="center"/>
            </w:pPr>
          </w:p>
        </w:tc>
        <w:tc>
          <w:tcPr>
            <w:tcW w:w="521" w:type="pct"/>
            <w:tcBorders>
              <w:bottom w:val="nil"/>
            </w:tcBorders>
            <w:noWrap/>
            <w:hideMark/>
          </w:tcPr>
          <w:p w14:paraId="11A407C0" w14:textId="77777777" w:rsidR="00062CD0" w:rsidRPr="008759DD" w:rsidRDefault="00062CD0" w:rsidP="001E1015">
            <w:pPr>
              <w:pStyle w:val="TableText0"/>
              <w:jc w:val="center"/>
            </w:pPr>
          </w:p>
        </w:tc>
      </w:tr>
      <w:tr w:rsidR="00062CD0" w:rsidRPr="008A3BDF" w14:paraId="03EE8807" w14:textId="77777777" w:rsidTr="00062CD0">
        <w:tc>
          <w:tcPr>
            <w:tcW w:w="2670" w:type="pct"/>
            <w:tcBorders>
              <w:top w:val="nil"/>
              <w:bottom w:val="nil"/>
            </w:tcBorders>
            <w:noWrap/>
            <w:hideMark/>
          </w:tcPr>
          <w:p w14:paraId="4C58FF05" w14:textId="77777777" w:rsidR="00062CD0" w:rsidRPr="008A3BDF" w:rsidRDefault="00062CD0" w:rsidP="00062CD0">
            <w:pPr>
              <w:pStyle w:val="TableText0"/>
            </w:pPr>
            <w:r w:rsidRPr="008A3BDF">
              <w:t xml:space="preserve">      PFS1</w:t>
            </w:r>
          </w:p>
        </w:tc>
        <w:tc>
          <w:tcPr>
            <w:tcW w:w="708" w:type="pct"/>
            <w:tcBorders>
              <w:top w:val="nil"/>
              <w:bottom w:val="nil"/>
            </w:tcBorders>
            <w:noWrap/>
            <w:hideMark/>
          </w:tcPr>
          <w:p w14:paraId="0D3C376A" w14:textId="7BBF5245" w:rsidR="00062CD0" w:rsidRPr="00B75423" w:rsidRDefault="00062CD0" w:rsidP="001E1015">
            <w:pPr>
              <w:pStyle w:val="TableText0"/>
              <w:jc w:val="center"/>
              <w:rPr>
                <w:i/>
                <w:highlight w:val="yellow"/>
              </w:rPr>
            </w:pPr>
            <w:r w:rsidRPr="00EC58C1">
              <w:t>$</w:t>
            </w:r>
            <w:r w:rsidR="0013119A" w:rsidRPr="0013119A">
              <w:rPr>
                <w:color w:val="000000"/>
                <w:spacing w:val="48"/>
                <w:shd w:val="solid" w:color="000000" w:fill="000000"/>
                <w:fitText w:val="225" w:id="-1233471227"/>
                <w14:textFill>
                  <w14:solidFill>
                    <w14:srgbClr w14:val="000000">
                      <w14:alpha w14:val="100000"/>
                    </w14:srgbClr>
                  </w14:solidFill>
                </w14:textFill>
              </w:rPr>
              <w:t>||</w:t>
            </w:r>
            <w:r w:rsidR="0013119A" w:rsidRPr="0013119A">
              <w:rPr>
                <w:color w:val="000000"/>
                <w:spacing w:val="2"/>
                <w:shd w:val="solid" w:color="000000" w:fill="000000"/>
                <w:fitText w:val="225" w:id="-1233471227"/>
                <w14:textFill>
                  <w14:solidFill>
                    <w14:srgbClr w14:val="000000">
                      <w14:alpha w14:val="100000"/>
                    </w14:srgbClr>
                  </w14:solidFill>
                </w14:textFill>
              </w:rPr>
              <w:t>|</w:t>
            </w:r>
            <w:r w:rsidR="008759DD" w:rsidRPr="008759DD">
              <w:t xml:space="preserve"> </w:t>
            </w:r>
          </w:p>
        </w:tc>
        <w:tc>
          <w:tcPr>
            <w:tcW w:w="472" w:type="pct"/>
            <w:tcBorders>
              <w:top w:val="nil"/>
              <w:bottom w:val="nil"/>
            </w:tcBorders>
            <w:noWrap/>
            <w:hideMark/>
          </w:tcPr>
          <w:p w14:paraId="5A2693C1" w14:textId="77777777" w:rsidR="00062CD0" w:rsidRPr="00EC58C1" w:rsidRDefault="00062CD0" w:rsidP="001E1015">
            <w:pPr>
              <w:pStyle w:val="TableText0"/>
              <w:jc w:val="center"/>
              <w:rPr>
                <w:i/>
              </w:rPr>
            </w:pPr>
            <w:r w:rsidRPr="00EC58C1">
              <w:t>$11,424</w:t>
            </w:r>
          </w:p>
        </w:tc>
        <w:tc>
          <w:tcPr>
            <w:tcW w:w="629" w:type="pct"/>
            <w:tcBorders>
              <w:top w:val="nil"/>
              <w:bottom w:val="nil"/>
            </w:tcBorders>
            <w:noWrap/>
            <w:hideMark/>
          </w:tcPr>
          <w:p w14:paraId="14FF4070" w14:textId="0DDD5730"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26"/>
                <w14:textFill>
                  <w14:solidFill>
                    <w14:srgbClr w14:val="000000">
                      <w14:alpha w14:val="100000"/>
                    </w14:srgbClr>
                  </w14:solidFill>
                </w14:textFill>
              </w:rPr>
              <w:t>|||</w:t>
            </w:r>
            <w:r w:rsidR="0013119A" w:rsidRPr="0013119A">
              <w:rPr>
                <w:color w:val="000000"/>
                <w:spacing w:val="3"/>
                <w:shd w:val="solid" w:color="000000" w:fill="000000"/>
                <w:fitText w:val="341" w:id="-1233471226"/>
                <w14:textFill>
                  <w14:solidFill>
                    <w14:srgbClr w14:val="000000">
                      <w14:alpha w14:val="100000"/>
                    </w14:srgbClr>
                  </w14:solidFill>
                </w14:textFill>
              </w:rPr>
              <w:t>|</w:t>
            </w:r>
            <w:r w:rsidR="008759DD" w:rsidRPr="008759DD">
              <w:t xml:space="preserve"> </w:t>
            </w:r>
          </w:p>
        </w:tc>
        <w:tc>
          <w:tcPr>
            <w:tcW w:w="521" w:type="pct"/>
            <w:tcBorders>
              <w:top w:val="nil"/>
              <w:bottom w:val="nil"/>
            </w:tcBorders>
            <w:noWrap/>
            <w:hideMark/>
          </w:tcPr>
          <w:p w14:paraId="1F57BCB1" w14:textId="77777777" w:rsidR="00062CD0" w:rsidRPr="00F72F58" w:rsidRDefault="00062CD0" w:rsidP="001E1015">
            <w:pPr>
              <w:pStyle w:val="TableText0"/>
              <w:jc w:val="center"/>
            </w:pPr>
            <w:r w:rsidRPr="00F72F58">
              <w:t>−61%</w:t>
            </w:r>
          </w:p>
        </w:tc>
      </w:tr>
      <w:tr w:rsidR="00062CD0" w:rsidRPr="008A3BDF" w14:paraId="5EED9D84" w14:textId="77777777" w:rsidTr="00062CD0">
        <w:tc>
          <w:tcPr>
            <w:tcW w:w="2670" w:type="pct"/>
            <w:tcBorders>
              <w:top w:val="nil"/>
              <w:bottom w:val="nil"/>
            </w:tcBorders>
            <w:noWrap/>
            <w:hideMark/>
          </w:tcPr>
          <w:p w14:paraId="70E53115" w14:textId="77777777" w:rsidR="00062CD0" w:rsidRPr="008A3BDF" w:rsidRDefault="00062CD0" w:rsidP="00062CD0">
            <w:pPr>
              <w:pStyle w:val="TableText0"/>
            </w:pPr>
            <w:r w:rsidRPr="008A3BDF">
              <w:t xml:space="preserve">      PFS2</w:t>
            </w:r>
          </w:p>
        </w:tc>
        <w:tc>
          <w:tcPr>
            <w:tcW w:w="708" w:type="pct"/>
            <w:tcBorders>
              <w:top w:val="nil"/>
              <w:bottom w:val="nil"/>
            </w:tcBorders>
            <w:noWrap/>
            <w:hideMark/>
          </w:tcPr>
          <w:p w14:paraId="2398E9D8" w14:textId="03250BCF" w:rsidR="00062CD0" w:rsidRPr="00B75423" w:rsidRDefault="00062CD0" w:rsidP="001E1015">
            <w:pPr>
              <w:pStyle w:val="TableText0"/>
              <w:jc w:val="center"/>
              <w:rPr>
                <w:i/>
                <w:highlight w:val="yellow"/>
              </w:rPr>
            </w:pPr>
            <w:r w:rsidRPr="00EC58C1">
              <w:t>$</w:t>
            </w:r>
            <w:r w:rsidR="0013119A" w:rsidRPr="0013119A">
              <w:rPr>
                <w:color w:val="000000"/>
                <w:spacing w:val="48"/>
                <w:shd w:val="solid" w:color="000000" w:fill="000000"/>
                <w:fitText w:val="225" w:id="-1233471225"/>
                <w14:textFill>
                  <w14:solidFill>
                    <w14:srgbClr w14:val="000000">
                      <w14:alpha w14:val="100000"/>
                    </w14:srgbClr>
                  </w14:solidFill>
                </w14:textFill>
              </w:rPr>
              <w:t>||</w:t>
            </w:r>
            <w:r w:rsidR="0013119A" w:rsidRPr="0013119A">
              <w:rPr>
                <w:color w:val="000000"/>
                <w:spacing w:val="2"/>
                <w:shd w:val="solid" w:color="000000" w:fill="000000"/>
                <w:fitText w:val="225" w:id="-1233471225"/>
                <w14:textFill>
                  <w14:solidFill>
                    <w14:srgbClr w14:val="000000">
                      <w14:alpha w14:val="100000"/>
                    </w14:srgbClr>
                  </w14:solidFill>
                </w14:textFill>
              </w:rPr>
              <w:t>|</w:t>
            </w:r>
            <w:r w:rsidR="008759DD" w:rsidRPr="008759DD">
              <w:t xml:space="preserve"> </w:t>
            </w:r>
          </w:p>
        </w:tc>
        <w:tc>
          <w:tcPr>
            <w:tcW w:w="472" w:type="pct"/>
            <w:tcBorders>
              <w:top w:val="nil"/>
              <w:bottom w:val="nil"/>
            </w:tcBorders>
            <w:noWrap/>
            <w:hideMark/>
          </w:tcPr>
          <w:p w14:paraId="3C4FB6A5" w14:textId="77777777" w:rsidR="00062CD0" w:rsidRPr="00EC58C1" w:rsidRDefault="00062CD0" w:rsidP="001E1015">
            <w:pPr>
              <w:pStyle w:val="TableText0"/>
              <w:jc w:val="center"/>
              <w:rPr>
                <w:i/>
              </w:rPr>
            </w:pPr>
            <w:r w:rsidRPr="00EC58C1">
              <w:t>$1,929</w:t>
            </w:r>
          </w:p>
        </w:tc>
        <w:tc>
          <w:tcPr>
            <w:tcW w:w="629" w:type="pct"/>
            <w:tcBorders>
              <w:top w:val="nil"/>
              <w:bottom w:val="nil"/>
            </w:tcBorders>
            <w:noWrap/>
            <w:hideMark/>
          </w:tcPr>
          <w:p w14:paraId="591EB41A" w14:textId="203EF104"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24"/>
                <w14:textFill>
                  <w14:solidFill>
                    <w14:srgbClr w14:val="000000">
                      <w14:alpha w14:val="100000"/>
                    </w14:srgbClr>
                  </w14:solidFill>
                </w14:textFill>
              </w:rPr>
              <w:t>|||</w:t>
            </w:r>
            <w:r w:rsidR="0013119A" w:rsidRPr="0013119A">
              <w:rPr>
                <w:color w:val="000000"/>
                <w:spacing w:val="3"/>
                <w:shd w:val="solid" w:color="000000" w:fill="000000"/>
                <w:fitText w:val="341" w:id="-1233471224"/>
                <w14:textFill>
                  <w14:solidFill>
                    <w14:srgbClr w14:val="000000">
                      <w14:alpha w14:val="100000"/>
                    </w14:srgbClr>
                  </w14:solidFill>
                </w14:textFill>
              </w:rPr>
              <w:t>|</w:t>
            </w:r>
            <w:r w:rsidR="008759DD" w:rsidRPr="008759DD">
              <w:t xml:space="preserve"> </w:t>
            </w:r>
          </w:p>
        </w:tc>
        <w:tc>
          <w:tcPr>
            <w:tcW w:w="521" w:type="pct"/>
            <w:tcBorders>
              <w:top w:val="nil"/>
              <w:bottom w:val="nil"/>
            </w:tcBorders>
            <w:noWrap/>
            <w:hideMark/>
          </w:tcPr>
          <w:p w14:paraId="09F03353" w14:textId="77777777" w:rsidR="00062CD0" w:rsidRPr="00F72F58" w:rsidRDefault="00062CD0" w:rsidP="001E1015">
            <w:pPr>
              <w:pStyle w:val="TableText0"/>
              <w:jc w:val="center"/>
            </w:pPr>
            <w:r w:rsidRPr="00F72F58">
              <w:t>−1%</w:t>
            </w:r>
          </w:p>
        </w:tc>
      </w:tr>
      <w:tr w:rsidR="00062CD0" w:rsidRPr="008A3BDF" w14:paraId="5A212703" w14:textId="77777777" w:rsidTr="00062CD0">
        <w:tc>
          <w:tcPr>
            <w:tcW w:w="2670" w:type="pct"/>
            <w:tcBorders>
              <w:top w:val="nil"/>
              <w:bottom w:val="single" w:sz="4" w:space="0" w:color="auto"/>
            </w:tcBorders>
            <w:noWrap/>
            <w:hideMark/>
          </w:tcPr>
          <w:p w14:paraId="5CC0AACA" w14:textId="77777777" w:rsidR="00062CD0" w:rsidRPr="008A3BDF" w:rsidRDefault="00062CD0" w:rsidP="00062CD0">
            <w:pPr>
              <w:pStyle w:val="TableText0"/>
            </w:pPr>
            <w:r w:rsidRPr="008A3BDF">
              <w:t xml:space="preserve">      PPS</w:t>
            </w:r>
          </w:p>
        </w:tc>
        <w:tc>
          <w:tcPr>
            <w:tcW w:w="708" w:type="pct"/>
            <w:tcBorders>
              <w:top w:val="nil"/>
              <w:bottom w:val="single" w:sz="4" w:space="0" w:color="auto"/>
            </w:tcBorders>
            <w:noWrap/>
            <w:hideMark/>
          </w:tcPr>
          <w:p w14:paraId="6664FF6A" w14:textId="174DB4B1" w:rsidR="00062CD0" w:rsidRPr="00B75423" w:rsidRDefault="00062CD0" w:rsidP="001E1015">
            <w:pPr>
              <w:pStyle w:val="TableText0"/>
              <w:jc w:val="center"/>
              <w:rPr>
                <w:i/>
                <w:highlight w:val="yellow"/>
              </w:rPr>
            </w:pPr>
            <w:r w:rsidRPr="00EC58C1">
              <w:t>$</w:t>
            </w:r>
            <w:r w:rsidR="0013119A" w:rsidRPr="0013119A">
              <w:rPr>
                <w:color w:val="000000"/>
                <w:spacing w:val="48"/>
                <w:shd w:val="solid" w:color="000000" w:fill="000000"/>
                <w:fitText w:val="225" w:id="-1233471223"/>
                <w14:textFill>
                  <w14:solidFill>
                    <w14:srgbClr w14:val="000000">
                      <w14:alpha w14:val="100000"/>
                    </w14:srgbClr>
                  </w14:solidFill>
                </w14:textFill>
              </w:rPr>
              <w:t>||</w:t>
            </w:r>
            <w:r w:rsidR="0013119A" w:rsidRPr="0013119A">
              <w:rPr>
                <w:color w:val="000000"/>
                <w:spacing w:val="2"/>
                <w:shd w:val="solid" w:color="000000" w:fill="000000"/>
                <w:fitText w:val="225" w:id="-1233471223"/>
                <w14:textFill>
                  <w14:solidFill>
                    <w14:srgbClr w14:val="000000">
                      <w14:alpha w14:val="100000"/>
                    </w14:srgbClr>
                  </w14:solidFill>
                </w14:textFill>
              </w:rPr>
              <w:t>|</w:t>
            </w:r>
            <w:r w:rsidR="008759DD" w:rsidRPr="008759DD">
              <w:t xml:space="preserve"> </w:t>
            </w:r>
          </w:p>
        </w:tc>
        <w:tc>
          <w:tcPr>
            <w:tcW w:w="472" w:type="pct"/>
            <w:tcBorders>
              <w:top w:val="nil"/>
              <w:bottom w:val="single" w:sz="4" w:space="0" w:color="auto"/>
            </w:tcBorders>
            <w:noWrap/>
            <w:hideMark/>
          </w:tcPr>
          <w:p w14:paraId="4BA78543" w14:textId="77777777" w:rsidR="00062CD0" w:rsidRPr="00EC58C1" w:rsidRDefault="00062CD0" w:rsidP="001E1015">
            <w:pPr>
              <w:pStyle w:val="TableText0"/>
              <w:jc w:val="center"/>
              <w:rPr>
                <w:i/>
              </w:rPr>
            </w:pPr>
            <w:r w:rsidRPr="00EC58C1">
              <w:t>$4,182</w:t>
            </w:r>
          </w:p>
        </w:tc>
        <w:tc>
          <w:tcPr>
            <w:tcW w:w="629" w:type="pct"/>
            <w:tcBorders>
              <w:top w:val="nil"/>
              <w:bottom w:val="single" w:sz="4" w:space="0" w:color="auto"/>
            </w:tcBorders>
            <w:noWrap/>
            <w:hideMark/>
          </w:tcPr>
          <w:p w14:paraId="74B02990" w14:textId="0E23387B" w:rsidR="00062CD0" w:rsidRPr="00B75423" w:rsidRDefault="00062CD0" w:rsidP="001E1015">
            <w:pPr>
              <w:pStyle w:val="TableText0"/>
              <w:jc w:val="center"/>
              <w:rPr>
                <w:highlight w:val="yellow"/>
              </w:rPr>
            </w:pPr>
            <w:r w:rsidRPr="00EC58C1">
              <w:t>$</w:t>
            </w:r>
            <w:r w:rsidR="0013119A" w:rsidRPr="0013119A">
              <w:rPr>
                <w:color w:val="000000"/>
                <w:spacing w:val="205"/>
                <w:shd w:val="solid" w:color="000000" w:fill="000000"/>
                <w:fitText w:val="291" w:id="-1233471222"/>
                <w14:textFill>
                  <w14:solidFill>
                    <w14:srgbClr w14:val="000000">
                      <w14:alpha w14:val="100000"/>
                    </w14:srgbClr>
                  </w14:solidFill>
                </w14:textFill>
              </w:rPr>
              <w:t>|</w:t>
            </w:r>
            <w:r w:rsidR="0013119A" w:rsidRPr="0013119A">
              <w:rPr>
                <w:color w:val="000000"/>
                <w:spacing w:val="1"/>
                <w:shd w:val="solid" w:color="000000" w:fill="000000"/>
                <w:fitText w:val="291" w:id="-1233471222"/>
                <w14:textFill>
                  <w14:solidFill>
                    <w14:srgbClr w14:val="000000">
                      <w14:alpha w14:val="100000"/>
                    </w14:srgbClr>
                  </w14:solidFill>
                </w14:textFill>
              </w:rPr>
              <w:t>|</w:t>
            </w:r>
            <w:r w:rsidR="008759DD" w:rsidRPr="008759DD">
              <w:t xml:space="preserve"> </w:t>
            </w:r>
          </w:p>
        </w:tc>
        <w:tc>
          <w:tcPr>
            <w:tcW w:w="521" w:type="pct"/>
            <w:tcBorders>
              <w:top w:val="nil"/>
              <w:bottom w:val="single" w:sz="4" w:space="0" w:color="auto"/>
            </w:tcBorders>
            <w:noWrap/>
            <w:hideMark/>
          </w:tcPr>
          <w:p w14:paraId="25376B6E" w14:textId="77777777" w:rsidR="00062CD0" w:rsidRPr="00F72F58" w:rsidRDefault="00062CD0" w:rsidP="001E1015">
            <w:pPr>
              <w:pStyle w:val="TableText0"/>
              <w:jc w:val="center"/>
            </w:pPr>
            <w:r w:rsidRPr="00F72F58">
              <w:t>−1%</w:t>
            </w:r>
          </w:p>
        </w:tc>
      </w:tr>
      <w:tr w:rsidR="00062CD0" w:rsidRPr="008A3BDF" w14:paraId="478EA3D8" w14:textId="77777777" w:rsidTr="00062CD0">
        <w:tc>
          <w:tcPr>
            <w:tcW w:w="2670" w:type="pct"/>
            <w:tcBorders>
              <w:bottom w:val="single" w:sz="4" w:space="0" w:color="auto"/>
            </w:tcBorders>
            <w:noWrap/>
            <w:hideMark/>
          </w:tcPr>
          <w:p w14:paraId="44E285F1" w14:textId="77777777" w:rsidR="00062CD0" w:rsidRPr="008A3BDF" w:rsidRDefault="00062CD0" w:rsidP="00062CD0">
            <w:pPr>
              <w:pStyle w:val="TableText0"/>
            </w:pPr>
            <w:r w:rsidRPr="008A3BDF">
              <w:t xml:space="preserve">  Terminal care</w:t>
            </w:r>
          </w:p>
        </w:tc>
        <w:tc>
          <w:tcPr>
            <w:tcW w:w="708" w:type="pct"/>
            <w:tcBorders>
              <w:bottom w:val="single" w:sz="4" w:space="0" w:color="auto"/>
            </w:tcBorders>
            <w:noWrap/>
            <w:hideMark/>
          </w:tcPr>
          <w:p w14:paraId="41393EF3" w14:textId="5E83D790"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21"/>
                <w14:textFill>
                  <w14:solidFill>
                    <w14:srgbClr w14:val="000000">
                      <w14:alpha w14:val="100000"/>
                    </w14:srgbClr>
                  </w14:solidFill>
                </w14:textFill>
              </w:rPr>
              <w:t>||</w:t>
            </w:r>
            <w:r w:rsidR="0013119A" w:rsidRPr="0013119A">
              <w:rPr>
                <w:color w:val="000000"/>
                <w:spacing w:val="2"/>
                <w:shd w:val="solid" w:color="000000" w:fill="000000"/>
                <w:fitText w:val="225" w:id="-1233471221"/>
                <w14:textFill>
                  <w14:solidFill>
                    <w14:srgbClr w14:val="000000">
                      <w14:alpha w14:val="100000"/>
                    </w14:srgbClr>
                  </w14:solidFill>
                </w14:textFill>
              </w:rPr>
              <w:t>|</w:t>
            </w:r>
            <w:r w:rsidR="008759DD" w:rsidRPr="008759DD">
              <w:t xml:space="preserve"> </w:t>
            </w:r>
          </w:p>
        </w:tc>
        <w:tc>
          <w:tcPr>
            <w:tcW w:w="472" w:type="pct"/>
            <w:tcBorders>
              <w:bottom w:val="single" w:sz="4" w:space="0" w:color="auto"/>
            </w:tcBorders>
            <w:noWrap/>
            <w:hideMark/>
          </w:tcPr>
          <w:p w14:paraId="4C30C64B" w14:textId="77777777" w:rsidR="00062CD0" w:rsidRPr="00EC58C1" w:rsidRDefault="00062CD0" w:rsidP="001E1015">
            <w:pPr>
              <w:pStyle w:val="TableText0"/>
              <w:jc w:val="center"/>
            </w:pPr>
            <w:r w:rsidRPr="00EC58C1">
              <w:t>$1,890</w:t>
            </w:r>
          </w:p>
        </w:tc>
        <w:tc>
          <w:tcPr>
            <w:tcW w:w="629" w:type="pct"/>
            <w:tcBorders>
              <w:bottom w:val="single" w:sz="4" w:space="0" w:color="auto"/>
            </w:tcBorders>
            <w:noWrap/>
            <w:hideMark/>
          </w:tcPr>
          <w:p w14:paraId="0634192B" w14:textId="30A8F90B" w:rsidR="00062CD0" w:rsidRPr="00B75423" w:rsidRDefault="00062CD0" w:rsidP="001E1015">
            <w:pPr>
              <w:pStyle w:val="TableText0"/>
              <w:jc w:val="center"/>
              <w:rPr>
                <w:highlight w:val="yellow"/>
              </w:rPr>
            </w:pPr>
            <w:r w:rsidRPr="00EC58C1">
              <w:t>−$</w:t>
            </w:r>
            <w:r w:rsidR="0013119A" w:rsidRPr="0013119A">
              <w:rPr>
                <w:color w:val="000000"/>
                <w:spacing w:val="56"/>
                <w:shd w:val="solid" w:color="000000" w:fill="000000"/>
                <w:fitText w:val="341" w:id="-1233471220"/>
                <w14:textFill>
                  <w14:solidFill>
                    <w14:srgbClr w14:val="000000">
                      <w14:alpha w14:val="100000"/>
                    </w14:srgbClr>
                  </w14:solidFill>
                </w14:textFill>
              </w:rPr>
              <w:t>|||</w:t>
            </w:r>
            <w:r w:rsidR="0013119A" w:rsidRPr="0013119A">
              <w:rPr>
                <w:color w:val="000000"/>
                <w:spacing w:val="3"/>
                <w:shd w:val="solid" w:color="000000" w:fill="000000"/>
                <w:fitText w:val="341" w:id="-1233471220"/>
                <w14:textFill>
                  <w14:solidFill>
                    <w14:srgbClr w14:val="000000">
                      <w14:alpha w14:val="100000"/>
                    </w14:srgbClr>
                  </w14:solidFill>
                </w14:textFill>
              </w:rPr>
              <w:t>|</w:t>
            </w:r>
            <w:r w:rsidR="008759DD" w:rsidRPr="008759DD">
              <w:t xml:space="preserve"> </w:t>
            </w:r>
          </w:p>
        </w:tc>
        <w:tc>
          <w:tcPr>
            <w:tcW w:w="521" w:type="pct"/>
            <w:tcBorders>
              <w:bottom w:val="single" w:sz="4" w:space="0" w:color="auto"/>
            </w:tcBorders>
            <w:noWrap/>
            <w:hideMark/>
          </w:tcPr>
          <w:p w14:paraId="17B64C02" w14:textId="77777777" w:rsidR="00062CD0" w:rsidRPr="00F72F58" w:rsidRDefault="00062CD0" w:rsidP="001E1015">
            <w:pPr>
              <w:pStyle w:val="TableText0"/>
              <w:jc w:val="center"/>
            </w:pPr>
            <w:r w:rsidRPr="00F72F58">
              <w:t>−2%</w:t>
            </w:r>
          </w:p>
        </w:tc>
      </w:tr>
      <w:tr w:rsidR="00062CD0" w:rsidRPr="008A3BDF" w14:paraId="28F31914" w14:textId="77777777" w:rsidTr="00062CD0">
        <w:tc>
          <w:tcPr>
            <w:tcW w:w="2670" w:type="pct"/>
            <w:tcBorders>
              <w:bottom w:val="nil"/>
            </w:tcBorders>
            <w:noWrap/>
            <w:hideMark/>
          </w:tcPr>
          <w:p w14:paraId="46307B5F" w14:textId="77777777" w:rsidR="00062CD0" w:rsidRPr="008A3BDF" w:rsidRDefault="00062CD0" w:rsidP="00062CD0">
            <w:pPr>
              <w:pStyle w:val="TableText0"/>
            </w:pPr>
            <w:r w:rsidRPr="008A3BDF">
              <w:t xml:space="preserve">  Adverse events</w:t>
            </w:r>
          </w:p>
        </w:tc>
        <w:tc>
          <w:tcPr>
            <w:tcW w:w="708" w:type="pct"/>
            <w:tcBorders>
              <w:bottom w:val="nil"/>
            </w:tcBorders>
            <w:noWrap/>
          </w:tcPr>
          <w:p w14:paraId="4CF9C68D" w14:textId="48BEF9A4" w:rsidR="00062CD0" w:rsidRPr="00B75423" w:rsidRDefault="00062CD0" w:rsidP="001E1015">
            <w:pPr>
              <w:pStyle w:val="TableText0"/>
              <w:jc w:val="center"/>
              <w:rPr>
                <w:highlight w:val="yellow"/>
              </w:rPr>
            </w:pPr>
            <w:r w:rsidRPr="00EC58C1">
              <w:t>$</w:t>
            </w:r>
            <w:r w:rsidR="0013119A" w:rsidRPr="0013119A">
              <w:rPr>
                <w:color w:val="000000"/>
                <w:spacing w:val="48"/>
                <w:shd w:val="solid" w:color="000000" w:fill="000000"/>
                <w:fitText w:val="225" w:id="-1233471219"/>
                <w14:textFill>
                  <w14:solidFill>
                    <w14:srgbClr w14:val="000000">
                      <w14:alpha w14:val="100000"/>
                    </w14:srgbClr>
                  </w14:solidFill>
                </w14:textFill>
              </w:rPr>
              <w:t>||</w:t>
            </w:r>
            <w:r w:rsidR="0013119A" w:rsidRPr="0013119A">
              <w:rPr>
                <w:color w:val="000000"/>
                <w:spacing w:val="2"/>
                <w:shd w:val="solid" w:color="000000" w:fill="000000"/>
                <w:fitText w:val="225" w:id="-1233471219"/>
                <w14:textFill>
                  <w14:solidFill>
                    <w14:srgbClr w14:val="000000">
                      <w14:alpha w14:val="100000"/>
                    </w14:srgbClr>
                  </w14:solidFill>
                </w14:textFill>
              </w:rPr>
              <w:t>|</w:t>
            </w:r>
            <w:r w:rsidR="008759DD" w:rsidRPr="008759DD">
              <w:t xml:space="preserve"> </w:t>
            </w:r>
          </w:p>
        </w:tc>
        <w:tc>
          <w:tcPr>
            <w:tcW w:w="472" w:type="pct"/>
            <w:tcBorders>
              <w:bottom w:val="nil"/>
            </w:tcBorders>
            <w:noWrap/>
          </w:tcPr>
          <w:p w14:paraId="2542DD4D" w14:textId="77777777" w:rsidR="00062CD0" w:rsidRPr="00EC58C1" w:rsidRDefault="00062CD0" w:rsidP="001E1015">
            <w:pPr>
              <w:pStyle w:val="TableText0"/>
              <w:jc w:val="center"/>
            </w:pPr>
            <w:r w:rsidRPr="00EC58C1">
              <w:t>$68</w:t>
            </w:r>
          </w:p>
        </w:tc>
        <w:tc>
          <w:tcPr>
            <w:tcW w:w="629" w:type="pct"/>
            <w:tcBorders>
              <w:bottom w:val="nil"/>
            </w:tcBorders>
            <w:noWrap/>
          </w:tcPr>
          <w:p w14:paraId="113090CB" w14:textId="30D85E57" w:rsidR="00062CD0" w:rsidRPr="00B75423" w:rsidRDefault="00062CD0" w:rsidP="001E1015">
            <w:pPr>
              <w:pStyle w:val="TableText0"/>
              <w:jc w:val="center"/>
              <w:rPr>
                <w:highlight w:val="yellow"/>
              </w:rPr>
            </w:pPr>
            <w:r w:rsidRPr="00EC58C1">
              <w:t>$</w:t>
            </w:r>
            <w:r w:rsidR="0013119A" w:rsidRPr="0013119A">
              <w:rPr>
                <w:color w:val="000000"/>
                <w:spacing w:val="205"/>
                <w:shd w:val="solid" w:color="000000" w:fill="000000"/>
                <w:fitText w:val="291" w:id="-1233471218"/>
                <w14:textFill>
                  <w14:solidFill>
                    <w14:srgbClr w14:val="000000">
                      <w14:alpha w14:val="100000"/>
                    </w14:srgbClr>
                  </w14:solidFill>
                </w14:textFill>
              </w:rPr>
              <w:t>|</w:t>
            </w:r>
            <w:r w:rsidR="0013119A" w:rsidRPr="0013119A">
              <w:rPr>
                <w:color w:val="000000"/>
                <w:spacing w:val="1"/>
                <w:shd w:val="solid" w:color="000000" w:fill="000000"/>
                <w:fitText w:val="291" w:id="-1233471218"/>
                <w14:textFill>
                  <w14:solidFill>
                    <w14:srgbClr w14:val="000000">
                      <w14:alpha w14:val="100000"/>
                    </w14:srgbClr>
                  </w14:solidFill>
                </w14:textFill>
              </w:rPr>
              <w:t>|</w:t>
            </w:r>
            <w:r w:rsidR="008759DD" w:rsidRPr="008759DD">
              <w:t xml:space="preserve"> </w:t>
            </w:r>
          </w:p>
        </w:tc>
        <w:tc>
          <w:tcPr>
            <w:tcW w:w="521" w:type="pct"/>
            <w:tcBorders>
              <w:bottom w:val="nil"/>
            </w:tcBorders>
            <w:noWrap/>
            <w:hideMark/>
          </w:tcPr>
          <w:p w14:paraId="0F2F699B" w14:textId="77777777" w:rsidR="00062CD0" w:rsidRPr="00F72F58" w:rsidRDefault="00062CD0" w:rsidP="001E1015">
            <w:pPr>
              <w:pStyle w:val="TableText0"/>
              <w:jc w:val="center"/>
            </w:pPr>
            <w:r w:rsidRPr="00F72F58">
              <w:t>1%</w:t>
            </w:r>
          </w:p>
        </w:tc>
      </w:tr>
      <w:tr w:rsidR="00062CD0" w:rsidRPr="008A3BDF" w14:paraId="7C0F3AD8" w14:textId="77777777" w:rsidTr="00062CD0">
        <w:tc>
          <w:tcPr>
            <w:tcW w:w="2670" w:type="pct"/>
            <w:noWrap/>
            <w:hideMark/>
          </w:tcPr>
          <w:p w14:paraId="1115EFD5" w14:textId="77777777" w:rsidR="00062CD0" w:rsidRPr="008A3BDF" w:rsidRDefault="00062CD0" w:rsidP="00062CD0">
            <w:pPr>
              <w:pStyle w:val="TableText0"/>
              <w:rPr>
                <w:b/>
              </w:rPr>
            </w:pPr>
            <w:r w:rsidRPr="008A3BDF">
              <w:rPr>
                <w:b/>
              </w:rPr>
              <w:t>Total costs</w:t>
            </w:r>
          </w:p>
        </w:tc>
        <w:tc>
          <w:tcPr>
            <w:tcW w:w="708" w:type="pct"/>
            <w:shd w:val="clear" w:color="auto" w:fill="auto"/>
            <w:noWrap/>
            <w:hideMark/>
          </w:tcPr>
          <w:p w14:paraId="119E7082" w14:textId="7B0A8B8E" w:rsidR="00062CD0" w:rsidRPr="008A3BDF" w:rsidRDefault="00062CD0" w:rsidP="001E1015">
            <w:pPr>
              <w:pStyle w:val="TableText0"/>
              <w:jc w:val="center"/>
              <w:rPr>
                <w:b/>
              </w:rPr>
            </w:pPr>
            <w:r w:rsidRPr="008A3BDF">
              <w:rPr>
                <w:b/>
              </w:rPr>
              <w:t>$</w:t>
            </w:r>
            <w:r w:rsidR="0013119A" w:rsidRPr="0013119A">
              <w:rPr>
                <w:b/>
                <w:color w:val="000000"/>
                <w:spacing w:val="191"/>
                <w:shd w:val="solid" w:color="000000" w:fill="000000"/>
                <w:fitText w:val="283" w:id="-1233471217"/>
                <w14:textFill>
                  <w14:solidFill>
                    <w14:srgbClr w14:val="000000">
                      <w14:alpha w14:val="100000"/>
                    </w14:srgbClr>
                  </w14:solidFill>
                </w14:textFill>
              </w:rPr>
              <w:t>|</w:t>
            </w:r>
            <w:r w:rsidR="0013119A" w:rsidRPr="0013119A">
              <w:rPr>
                <w:b/>
                <w:color w:val="000000"/>
                <w:spacing w:val="1"/>
                <w:shd w:val="solid" w:color="000000" w:fill="000000"/>
                <w:fitText w:val="283" w:id="-1233471217"/>
                <w14:textFill>
                  <w14:solidFill>
                    <w14:srgbClr w14:val="000000">
                      <w14:alpha w14:val="100000"/>
                    </w14:srgbClr>
                  </w14:solidFill>
                </w14:textFill>
              </w:rPr>
              <w:t>|</w:t>
            </w:r>
            <w:r w:rsidR="008759DD" w:rsidRPr="008759DD">
              <w:rPr>
                <w:b/>
              </w:rPr>
              <w:t xml:space="preserve"> </w:t>
            </w:r>
          </w:p>
        </w:tc>
        <w:tc>
          <w:tcPr>
            <w:tcW w:w="472" w:type="pct"/>
            <w:shd w:val="clear" w:color="auto" w:fill="auto"/>
            <w:noWrap/>
            <w:hideMark/>
          </w:tcPr>
          <w:p w14:paraId="064EF290" w14:textId="77777777" w:rsidR="00062CD0" w:rsidRPr="00EC58C1" w:rsidRDefault="00062CD0" w:rsidP="001E1015">
            <w:pPr>
              <w:pStyle w:val="TableText0"/>
              <w:jc w:val="center"/>
              <w:rPr>
                <w:b/>
              </w:rPr>
            </w:pPr>
            <w:r w:rsidRPr="00EC58C1">
              <w:rPr>
                <w:b/>
              </w:rPr>
              <w:t>$37,732</w:t>
            </w:r>
          </w:p>
        </w:tc>
        <w:tc>
          <w:tcPr>
            <w:tcW w:w="629" w:type="pct"/>
            <w:noWrap/>
            <w:hideMark/>
          </w:tcPr>
          <w:p w14:paraId="1DBC2ECB" w14:textId="5F6F53DD" w:rsidR="00062CD0" w:rsidRPr="008A3BDF" w:rsidRDefault="00062CD0" w:rsidP="001E1015">
            <w:pPr>
              <w:pStyle w:val="TableText0"/>
              <w:jc w:val="center"/>
              <w:rPr>
                <w:b/>
                <w:highlight w:val="yellow"/>
              </w:rPr>
            </w:pPr>
            <w:r w:rsidRPr="008A3BDF">
              <w:rPr>
                <w:b/>
              </w:rPr>
              <w:t>$</w:t>
            </w:r>
            <w:r w:rsidR="0013119A" w:rsidRPr="0013119A">
              <w:rPr>
                <w:b/>
                <w:color w:val="000000"/>
                <w:spacing w:val="58"/>
                <w:shd w:val="solid" w:color="000000" w:fill="000000"/>
                <w:fitText w:val="358" w:id="-1233471216"/>
                <w14:textFill>
                  <w14:solidFill>
                    <w14:srgbClr w14:val="000000">
                      <w14:alpha w14:val="100000"/>
                    </w14:srgbClr>
                  </w14:solidFill>
                </w14:textFill>
              </w:rPr>
              <w:t>|||</w:t>
            </w:r>
            <w:r w:rsidR="0013119A" w:rsidRPr="0013119A">
              <w:rPr>
                <w:b/>
                <w:color w:val="000000"/>
                <w:spacing w:val="1"/>
                <w:shd w:val="solid" w:color="000000" w:fill="000000"/>
                <w:fitText w:val="358" w:id="-1233471216"/>
                <w14:textFill>
                  <w14:solidFill>
                    <w14:srgbClr w14:val="000000">
                      <w14:alpha w14:val="100000"/>
                    </w14:srgbClr>
                  </w14:solidFill>
                </w14:textFill>
              </w:rPr>
              <w:t>|</w:t>
            </w:r>
            <w:r w:rsidR="008759DD" w:rsidRPr="008759DD">
              <w:rPr>
                <w:b/>
              </w:rPr>
              <w:t xml:space="preserve"> </w:t>
            </w:r>
          </w:p>
        </w:tc>
        <w:tc>
          <w:tcPr>
            <w:tcW w:w="521" w:type="pct"/>
            <w:noWrap/>
            <w:hideMark/>
          </w:tcPr>
          <w:p w14:paraId="575BE93A" w14:textId="77777777" w:rsidR="00062CD0" w:rsidRPr="00F72F58" w:rsidRDefault="00062CD0" w:rsidP="001E1015">
            <w:pPr>
              <w:pStyle w:val="TableText0"/>
              <w:jc w:val="center"/>
              <w:rPr>
                <w:b/>
                <w:highlight w:val="darkGray"/>
              </w:rPr>
            </w:pPr>
            <w:r w:rsidRPr="00D77CFC">
              <w:rPr>
                <w:b/>
              </w:rPr>
              <w:t>100%</w:t>
            </w:r>
          </w:p>
        </w:tc>
      </w:tr>
      <w:tr w:rsidR="00062CD0" w:rsidRPr="008A3BDF" w14:paraId="656AECC0" w14:textId="77777777" w:rsidTr="00062CD0">
        <w:tc>
          <w:tcPr>
            <w:tcW w:w="2670" w:type="pct"/>
            <w:noWrap/>
            <w:vAlign w:val="center"/>
          </w:tcPr>
          <w:p w14:paraId="6F517C6F" w14:textId="77777777" w:rsidR="00062CD0" w:rsidRPr="008A3BDF" w:rsidRDefault="00062CD0" w:rsidP="00062CD0">
            <w:pPr>
              <w:pStyle w:val="TableText0"/>
              <w:rPr>
                <w:b/>
              </w:rPr>
            </w:pPr>
            <w:r w:rsidRPr="008A3BDF">
              <w:rPr>
                <w:b/>
              </w:rPr>
              <w:t>QALYS</w:t>
            </w:r>
          </w:p>
        </w:tc>
        <w:tc>
          <w:tcPr>
            <w:tcW w:w="708" w:type="pct"/>
            <w:noWrap/>
            <w:vAlign w:val="bottom"/>
          </w:tcPr>
          <w:p w14:paraId="241F93DB" w14:textId="77777777" w:rsidR="00062CD0" w:rsidRPr="008759DD" w:rsidRDefault="00062CD0" w:rsidP="001E1015">
            <w:pPr>
              <w:pStyle w:val="TableText0"/>
              <w:jc w:val="center"/>
              <w:rPr>
                <w:b/>
              </w:rPr>
            </w:pPr>
          </w:p>
        </w:tc>
        <w:tc>
          <w:tcPr>
            <w:tcW w:w="472" w:type="pct"/>
            <w:noWrap/>
            <w:vAlign w:val="bottom"/>
          </w:tcPr>
          <w:p w14:paraId="6A77F0D4" w14:textId="77777777" w:rsidR="00062CD0" w:rsidRPr="008759DD" w:rsidRDefault="00062CD0" w:rsidP="001E1015">
            <w:pPr>
              <w:pStyle w:val="TableText0"/>
              <w:jc w:val="center"/>
              <w:rPr>
                <w:b/>
              </w:rPr>
            </w:pPr>
          </w:p>
        </w:tc>
        <w:tc>
          <w:tcPr>
            <w:tcW w:w="629" w:type="pct"/>
            <w:noWrap/>
            <w:vAlign w:val="bottom"/>
          </w:tcPr>
          <w:p w14:paraId="165EDEAB" w14:textId="77777777" w:rsidR="00062CD0" w:rsidRPr="008759DD" w:rsidRDefault="00062CD0" w:rsidP="001E1015">
            <w:pPr>
              <w:pStyle w:val="TableText0"/>
              <w:jc w:val="center"/>
              <w:rPr>
                <w:b/>
              </w:rPr>
            </w:pPr>
          </w:p>
        </w:tc>
        <w:tc>
          <w:tcPr>
            <w:tcW w:w="521" w:type="pct"/>
            <w:noWrap/>
            <w:vAlign w:val="bottom"/>
          </w:tcPr>
          <w:p w14:paraId="5090FDF1" w14:textId="77777777" w:rsidR="00062CD0" w:rsidRPr="008759DD" w:rsidRDefault="00062CD0" w:rsidP="00062CD0">
            <w:pPr>
              <w:pStyle w:val="TableText0"/>
              <w:jc w:val="center"/>
              <w:rPr>
                <w:b/>
              </w:rPr>
            </w:pPr>
          </w:p>
        </w:tc>
      </w:tr>
      <w:tr w:rsidR="00062CD0" w:rsidRPr="008A3BDF" w14:paraId="01E80B80" w14:textId="77777777" w:rsidTr="00062CD0">
        <w:tc>
          <w:tcPr>
            <w:tcW w:w="2670" w:type="pct"/>
            <w:noWrap/>
            <w:vAlign w:val="center"/>
            <w:hideMark/>
          </w:tcPr>
          <w:p w14:paraId="520978A9" w14:textId="77777777" w:rsidR="00062CD0" w:rsidRPr="008A3BDF" w:rsidRDefault="00062CD0" w:rsidP="00062CD0">
            <w:pPr>
              <w:pStyle w:val="TableText0"/>
            </w:pPr>
            <w:r w:rsidRPr="008A3BDF">
              <w:t>Invasive disease-free survival</w:t>
            </w:r>
          </w:p>
        </w:tc>
        <w:tc>
          <w:tcPr>
            <w:tcW w:w="708" w:type="pct"/>
            <w:noWrap/>
            <w:hideMark/>
          </w:tcPr>
          <w:p w14:paraId="5066CF59" w14:textId="77777777" w:rsidR="00062CD0" w:rsidRPr="008A3BDF" w:rsidRDefault="00062CD0" w:rsidP="001E1015">
            <w:pPr>
              <w:pStyle w:val="TableText0"/>
              <w:jc w:val="center"/>
            </w:pPr>
            <w:r w:rsidRPr="008A3BDF">
              <w:t>8.016</w:t>
            </w:r>
          </w:p>
        </w:tc>
        <w:tc>
          <w:tcPr>
            <w:tcW w:w="472" w:type="pct"/>
            <w:noWrap/>
            <w:hideMark/>
          </w:tcPr>
          <w:p w14:paraId="132D6F03" w14:textId="77777777" w:rsidR="00062CD0" w:rsidRPr="008A3BDF" w:rsidRDefault="00062CD0" w:rsidP="001E1015">
            <w:pPr>
              <w:pStyle w:val="TableText0"/>
              <w:jc w:val="center"/>
            </w:pPr>
            <w:r w:rsidRPr="008A3BDF">
              <w:t>7.148</w:t>
            </w:r>
          </w:p>
        </w:tc>
        <w:tc>
          <w:tcPr>
            <w:tcW w:w="629" w:type="pct"/>
            <w:noWrap/>
            <w:hideMark/>
          </w:tcPr>
          <w:p w14:paraId="51088C39" w14:textId="77777777" w:rsidR="00062CD0" w:rsidRPr="008A3BDF" w:rsidRDefault="00062CD0" w:rsidP="001E1015">
            <w:pPr>
              <w:pStyle w:val="TableText0"/>
              <w:jc w:val="center"/>
            </w:pPr>
            <w:r w:rsidRPr="008A3BDF">
              <w:t>0.868</w:t>
            </w:r>
          </w:p>
        </w:tc>
        <w:tc>
          <w:tcPr>
            <w:tcW w:w="521" w:type="pct"/>
            <w:noWrap/>
            <w:hideMark/>
          </w:tcPr>
          <w:p w14:paraId="4FF84125" w14:textId="77777777" w:rsidR="00062CD0" w:rsidRPr="002A6A94" w:rsidRDefault="00062CD0" w:rsidP="00062CD0">
            <w:pPr>
              <w:pStyle w:val="TableText0"/>
              <w:jc w:val="center"/>
            </w:pPr>
            <w:r w:rsidRPr="002A6A94">
              <w:t>199%</w:t>
            </w:r>
          </w:p>
        </w:tc>
      </w:tr>
      <w:tr w:rsidR="00062CD0" w:rsidRPr="008A3BDF" w14:paraId="043D2266" w14:textId="77777777" w:rsidTr="00062CD0">
        <w:tc>
          <w:tcPr>
            <w:tcW w:w="2670" w:type="pct"/>
            <w:noWrap/>
            <w:vAlign w:val="center"/>
            <w:hideMark/>
          </w:tcPr>
          <w:p w14:paraId="3E0DE5EC" w14:textId="77777777" w:rsidR="00062CD0" w:rsidRPr="008A3BDF" w:rsidRDefault="00062CD0" w:rsidP="00062CD0">
            <w:pPr>
              <w:pStyle w:val="TableText0"/>
            </w:pPr>
            <w:r w:rsidRPr="008A3BDF">
              <w:t>Non-Metastatic Recurrence</w:t>
            </w:r>
          </w:p>
        </w:tc>
        <w:tc>
          <w:tcPr>
            <w:tcW w:w="708" w:type="pct"/>
            <w:noWrap/>
            <w:hideMark/>
          </w:tcPr>
          <w:p w14:paraId="363A5FF6" w14:textId="77777777" w:rsidR="00062CD0" w:rsidRPr="008A3BDF" w:rsidRDefault="00062CD0" w:rsidP="001E1015">
            <w:pPr>
              <w:pStyle w:val="TableText0"/>
              <w:jc w:val="center"/>
            </w:pPr>
            <w:r w:rsidRPr="008A3BDF">
              <w:t>0.058</w:t>
            </w:r>
          </w:p>
        </w:tc>
        <w:tc>
          <w:tcPr>
            <w:tcW w:w="472" w:type="pct"/>
            <w:noWrap/>
            <w:hideMark/>
          </w:tcPr>
          <w:p w14:paraId="788026F2" w14:textId="77777777" w:rsidR="00062CD0" w:rsidRPr="008A3BDF" w:rsidRDefault="00062CD0" w:rsidP="001E1015">
            <w:pPr>
              <w:pStyle w:val="TableText0"/>
              <w:jc w:val="center"/>
            </w:pPr>
            <w:r w:rsidRPr="008A3BDF">
              <w:t>0.06</w:t>
            </w:r>
            <w:r>
              <w:t>3</w:t>
            </w:r>
          </w:p>
        </w:tc>
        <w:tc>
          <w:tcPr>
            <w:tcW w:w="629" w:type="pct"/>
            <w:noWrap/>
            <w:hideMark/>
          </w:tcPr>
          <w:p w14:paraId="67631629" w14:textId="77777777" w:rsidR="00062CD0" w:rsidRPr="008A3BDF" w:rsidRDefault="00062CD0" w:rsidP="001E1015">
            <w:pPr>
              <w:pStyle w:val="TableText0"/>
              <w:jc w:val="center"/>
            </w:pPr>
            <w:r w:rsidRPr="008A3BDF">
              <w:t>−0.004</w:t>
            </w:r>
          </w:p>
        </w:tc>
        <w:tc>
          <w:tcPr>
            <w:tcW w:w="521" w:type="pct"/>
            <w:noWrap/>
            <w:hideMark/>
          </w:tcPr>
          <w:p w14:paraId="5F5613A9" w14:textId="77777777" w:rsidR="00062CD0" w:rsidRPr="008A3BDF" w:rsidRDefault="00062CD0" w:rsidP="00062CD0">
            <w:pPr>
              <w:pStyle w:val="TableText0"/>
              <w:jc w:val="center"/>
              <w:rPr>
                <w:i/>
              </w:rPr>
            </w:pPr>
            <w:r w:rsidRPr="008A3BDF">
              <w:t>−1%</w:t>
            </w:r>
          </w:p>
        </w:tc>
      </w:tr>
      <w:tr w:rsidR="00062CD0" w:rsidRPr="008A3BDF" w14:paraId="55FF0930" w14:textId="77777777" w:rsidTr="00062CD0">
        <w:tc>
          <w:tcPr>
            <w:tcW w:w="2670" w:type="pct"/>
            <w:noWrap/>
            <w:vAlign w:val="center"/>
            <w:hideMark/>
          </w:tcPr>
          <w:p w14:paraId="385D5B07" w14:textId="77777777" w:rsidR="00062CD0" w:rsidRPr="008A3BDF" w:rsidRDefault="00062CD0" w:rsidP="00062CD0">
            <w:pPr>
              <w:pStyle w:val="TableText0"/>
            </w:pPr>
            <w:r w:rsidRPr="008A3BDF">
              <w:t>Remission</w:t>
            </w:r>
          </w:p>
        </w:tc>
        <w:tc>
          <w:tcPr>
            <w:tcW w:w="708" w:type="pct"/>
            <w:noWrap/>
            <w:hideMark/>
          </w:tcPr>
          <w:p w14:paraId="7079E951" w14:textId="77777777" w:rsidR="00062CD0" w:rsidRPr="008A3BDF" w:rsidRDefault="00062CD0" w:rsidP="001E1015">
            <w:pPr>
              <w:pStyle w:val="TableText0"/>
              <w:jc w:val="center"/>
            </w:pPr>
            <w:r w:rsidRPr="008A3BDF">
              <w:t>0.387</w:t>
            </w:r>
          </w:p>
        </w:tc>
        <w:tc>
          <w:tcPr>
            <w:tcW w:w="472" w:type="pct"/>
            <w:noWrap/>
            <w:hideMark/>
          </w:tcPr>
          <w:p w14:paraId="0FF8B719" w14:textId="77777777" w:rsidR="00062CD0" w:rsidRPr="008A3BDF" w:rsidRDefault="00062CD0" w:rsidP="001E1015">
            <w:pPr>
              <w:pStyle w:val="TableText0"/>
              <w:jc w:val="center"/>
            </w:pPr>
            <w:r w:rsidRPr="008A3BDF">
              <w:t>0.421</w:t>
            </w:r>
          </w:p>
        </w:tc>
        <w:tc>
          <w:tcPr>
            <w:tcW w:w="629" w:type="pct"/>
            <w:noWrap/>
            <w:hideMark/>
          </w:tcPr>
          <w:p w14:paraId="5394F87F" w14:textId="77777777" w:rsidR="00062CD0" w:rsidRPr="008A3BDF" w:rsidRDefault="00062CD0" w:rsidP="001E1015">
            <w:pPr>
              <w:pStyle w:val="TableText0"/>
              <w:jc w:val="center"/>
            </w:pPr>
            <w:r w:rsidRPr="008A3BDF">
              <w:t>−0.034</w:t>
            </w:r>
          </w:p>
        </w:tc>
        <w:tc>
          <w:tcPr>
            <w:tcW w:w="521" w:type="pct"/>
            <w:noWrap/>
            <w:hideMark/>
          </w:tcPr>
          <w:p w14:paraId="150E05BE" w14:textId="77777777" w:rsidR="00062CD0" w:rsidRPr="008A3BDF" w:rsidRDefault="00062CD0" w:rsidP="00062CD0">
            <w:pPr>
              <w:pStyle w:val="TableText0"/>
              <w:jc w:val="center"/>
            </w:pPr>
            <w:r w:rsidRPr="008A3BDF">
              <w:t>−8%</w:t>
            </w:r>
          </w:p>
        </w:tc>
      </w:tr>
      <w:tr w:rsidR="00062CD0" w:rsidRPr="008A3BDF" w14:paraId="73D6E1D7" w14:textId="77777777" w:rsidTr="00062CD0">
        <w:tc>
          <w:tcPr>
            <w:tcW w:w="2670" w:type="pct"/>
            <w:noWrap/>
            <w:vAlign w:val="center"/>
            <w:hideMark/>
          </w:tcPr>
          <w:p w14:paraId="34105500" w14:textId="77777777" w:rsidR="00062CD0" w:rsidRPr="008A3BDF" w:rsidRDefault="00062CD0" w:rsidP="00062CD0">
            <w:pPr>
              <w:pStyle w:val="TableText0"/>
            </w:pPr>
            <w:r w:rsidRPr="008A3BDF">
              <w:t>Metastatic recurrence (ER-MBC)</w:t>
            </w:r>
          </w:p>
        </w:tc>
        <w:tc>
          <w:tcPr>
            <w:tcW w:w="708" w:type="pct"/>
            <w:noWrap/>
            <w:hideMark/>
          </w:tcPr>
          <w:p w14:paraId="71999D51" w14:textId="77777777" w:rsidR="00062CD0" w:rsidRPr="008759DD" w:rsidRDefault="00062CD0" w:rsidP="001E1015">
            <w:pPr>
              <w:pStyle w:val="TableText0"/>
              <w:jc w:val="center"/>
            </w:pPr>
          </w:p>
        </w:tc>
        <w:tc>
          <w:tcPr>
            <w:tcW w:w="472" w:type="pct"/>
            <w:noWrap/>
            <w:hideMark/>
          </w:tcPr>
          <w:p w14:paraId="2D350EBC" w14:textId="77777777" w:rsidR="00062CD0" w:rsidRPr="008759DD" w:rsidRDefault="00062CD0" w:rsidP="001E1015">
            <w:pPr>
              <w:pStyle w:val="TableText0"/>
              <w:jc w:val="center"/>
            </w:pPr>
          </w:p>
        </w:tc>
        <w:tc>
          <w:tcPr>
            <w:tcW w:w="629" w:type="pct"/>
            <w:noWrap/>
            <w:hideMark/>
          </w:tcPr>
          <w:p w14:paraId="678301C2" w14:textId="77777777" w:rsidR="00062CD0" w:rsidRPr="008759DD" w:rsidRDefault="00062CD0" w:rsidP="001E1015">
            <w:pPr>
              <w:pStyle w:val="TableText0"/>
              <w:jc w:val="center"/>
            </w:pPr>
          </w:p>
        </w:tc>
        <w:tc>
          <w:tcPr>
            <w:tcW w:w="521" w:type="pct"/>
            <w:noWrap/>
            <w:hideMark/>
          </w:tcPr>
          <w:p w14:paraId="27E769E9" w14:textId="77777777" w:rsidR="00062CD0" w:rsidRPr="008759DD" w:rsidRDefault="00062CD0" w:rsidP="00062CD0">
            <w:pPr>
              <w:pStyle w:val="TableText0"/>
              <w:jc w:val="center"/>
            </w:pPr>
          </w:p>
        </w:tc>
      </w:tr>
      <w:tr w:rsidR="00062CD0" w:rsidRPr="008A3BDF" w14:paraId="2CAEE579" w14:textId="77777777" w:rsidTr="00062CD0">
        <w:tc>
          <w:tcPr>
            <w:tcW w:w="2670" w:type="pct"/>
            <w:noWrap/>
            <w:vAlign w:val="center"/>
            <w:hideMark/>
          </w:tcPr>
          <w:p w14:paraId="15A2D8EA" w14:textId="77777777" w:rsidR="00062CD0" w:rsidRPr="008A3BDF" w:rsidRDefault="00062CD0" w:rsidP="00062CD0">
            <w:pPr>
              <w:pStyle w:val="TableText0"/>
            </w:pPr>
            <w:r w:rsidRPr="008A3BDF">
              <w:t xml:space="preserve">   PFS</w:t>
            </w:r>
          </w:p>
        </w:tc>
        <w:tc>
          <w:tcPr>
            <w:tcW w:w="708" w:type="pct"/>
            <w:noWrap/>
            <w:hideMark/>
          </w:tcPr>
          <w:p w14:paraId="23683A63" w14:textId="77777777" w:rsidR="00062CD0" w:rsidRPr="008A3BDF" w:rsidRDefault="00062CD0" w:rsidP="001E1015">
            <w:pPr>
              <w:pStyle w:val="TableText0"/>
              <w:jc w:val="center"/>
            </w:pPr>
            <w:r w:rsidRPr="008A3BDF">
              <w:t>0.119</w:t>
            </w:r>
          </w:p>
        </w:tc>
        <w:tc>
          <w:tcPr>
            <w:tcW w:w="472" w:type="pct"/>
            <w:noWrap/>
            <w:hideMark/>
          </w:tcPr>
          <w:p w14:paraId="7094B656" w14:textId="77777777" w:rsidR="00062CD0" w:rsidRPr="008A3BDF" w:rsidRDefault="00062CD0" w:rsidP="001E1015">
            <w:pPr>
              <w:pStyle w:val="TableText0"/>
              <w:jc w:val="center"/>
            </w:pPr>
            <w:r w:rsidRPr="008A3BDF">
              <w:t>0.282</w:t>
            </w:r>
          </w:p>
        </w:tc>
        <w:tc>
          <w:tcPr>
            <w:tcW w:w="629" w:type="pct"/>
            <w:noWrap/>
            <w:hideMark/>
          </w:tcPr>
          <w:p w14:paraId="1424014C" w14:textId="77777777" w:rsidR="00062CD0" w:rsidRPr="008A3BDF" w:rsidRDefault="00062CD0" w:rsidP="001E1015">
            <w:pPr>
              <w:pStyle w:val="TableText0"/>
              <w:jc w:val="center"/>
            </w:pPr>
            <w:r w:rsidRPr="008A3BDF">
              <w:t>−0.163</w:t>
            </w:r>
          </w:p>
        </w:tc>
        <w:tc>
          <w:tcPr>
            <w:tcW w:w="521" w:type="pct"/>
            <w:noWrap/>
            <w:hideMark/>
          </w:tcPr>
          <w:p w14:paraId="4452846B" w14:textId="77777777" w:rsidR="00062CD0" w:rsidRPr="008A3BDF" w:rsidRDefault="00062CD0" w:rsidP="00062CD0">
            <w:pPr>
              <w:pStyle w:val="TableText0"/>
              <w:jc w:val="center"/>
            </w:pPr>
            <w:r w:rsidRPr="008A3BDF">
              <w:t>−37%</w:t>
            </w:r>
          </w:p>
        </w:tc>
      </w:tr>
      <w:tr w:rsidR="00062CD0" w:rsidRPr="008A3BDF" w14:paraId="62DFBE72" w14:textId="77777777" w:rsidTr="00062CD0">
        <w:tc>
          <w:tcPr>
            <w:tcW w:w="2670" w:type="pct"/>
            <w:noWrap/>
            <w:vAlign w:val="center"/>
            <w:hideMark/>
          </w:tcPr>
          <w:p w14:paraId="4CA61C50" w14:textId="77777777" w:rsidR="00062CD0" w:rsidRPr="008A3BDF" w:rsidRDefault="00062CD0" w:rsidP="00062CD0">
            <w:pPr>
              <w:pStyle w:val="TableText0"/>
            </w:pPr>
            <w:r w:rsidRPr="008A3BDF">
              <w:t xml:space="preserve">   PPS</w:t>
            </w:r>
          </w:p>
        </w:tc>
        <w:tc>
          <w:tcPr>
            <w:tcW w:w="708" w:type="pct"/>
            <w:noWrap/>
            <w:hideMark/>
          </w:tcPr>
          <w:p w14:paraId="1B98FC3C" w14:textId="77777777" w:rsidR="00062CD0" w:rsidRPr="008A3BDF" w:rsidRDefault="00062CD0" w:rsidP="001E1015">
            <w:pPr>
              <w:pStyle w:val="TableText0"/>
              <w:jc w:val="center"/>
            </w:pPr>
            <w:r w:rsidRPr="008A3BDF">
              <w:t>0.155</w:t>
            </w:r>
          </w:p>
        </w:tc>
        <w:tc>
          <w:tcPr>
            <w:tcW w:w="472" w:type="pct"/>
            <w:noWrap/>
            <w:hideMark/>
          </w:tcPr>
          <w:p w14:paraId="57115519" w14:textId="77777777" w:rsidR="00062CD0" w:rsidRPr="008A3BDF" w:rsidRDefault="00062CD0" w:rsidP="001E1015">
            <w:pPr>
              <w:pStyle w:val="TableText0"/>
              <w:jc w:val="center"/>
            </w:pPr>
            <w:r w:rsidRPr="008A3BDF">
              <w:t>0.202</w:t>
            </w:r>
          </w:p>
        </w:tc>
        <w:tc>
          <w:tcPr>
            <w:tcW w:w="629" w:type="pct"/>
            <w:noWrap/>
            <w:hideMark/>
          </w:tcPr>
          <w:p w14:paraId="4EFA8EFA" w14:textId="77777777" w:rsidR="00062CD0" w:rsidRPr="008A3BDF" w:rsidRDefault="00062CD0" w:rsidP="001E1015">
            <w:pPr>
              <w:pStyle w:val="TableText0"/>
              <w:jc w:val="center"/>
            </w:pPr>
            <w:r w:rsidRPr="008A3BDF">
              <w:t>−0.047</w:t>
            </w:r>
          </w:p>
        </w:tc>
        <w:tc>
          <w:tcPr>
            <w:tcW w:w="521" w:type="pct"/>
            <w:noWrap/>
            <w:hideMark/>
          </w:tcPr>
          <w:p w14:paraId="7D4BE010" w14:textId="77777777" w:rsidR="00062CD0" w:rsidRPr="008A3BDF" w:rsidRDefault="00062CD0" w:rsidP="00062CD0">
            <w:pPr>
              <w:pStyle w:val="TableText0"/>
              <w:jc w:val="center"/>
            </w:pPr>
            <w:r w:rsidRPr="008A3BDF">
              <w:t>−11%</w:t>
            </w:r>
          </w:p>
        </w:tc>
      </w:tr>
      <w:tr w:rsidR="00062CD0" w:rsidRPr="008A3BDF" w14:paraId="2487BEBE" w14:textId="77777777" w:rsidTr="00062CD0">
        <w:tc>
          <w:tcPr>
            <w:tcW w:w="2670" w:type="pct"/>
            <w:noWrap/>
            <w:vAlign w:val="center"/>
            <w:hideMark/>
          </w:tcPr>
          <w:p w14:paraId="3C9A0656" w14:textId="77777777" w:rsidR="00062CD0" w:rsidRPr="008A3BDF" w:rsidRDefault="00062CD0" w:rsidP="00062CD0">
            <w:pPr>
              <w:pStyle w:val="TableText0"/>
            </w:pPr>
            <w:r w:rsidRPr="008A3BDF">
              <w:t>Metastatic recurrence (ES-MBC)</w:t>
            </w:r>
          </w:p>
        </w:tc>
        <w:tc>
          <w:tcPr>
            <w:tcW w:w="708" w:type="pct"/>
            <w:noWrap/>
            <w:hideMark/>
          </w:tcPr>
          <w:p w14:paraId="7BF1F2CC" w14:textId="77777777" w:rsidR="00062CD0" w:rsidRPr="008759DD" w:rsidRDefault="00062CD0" w:rsidP="001E1015">
            <w:pPr>
              <w:pStyle w:val="TableText0"/>
              <w:jc w:val="center"/>
            </w:pPr>
          </w:p>
        </w:tc>
        <w:tc>
          <w:tcPr>
            <w:tcW w:w="472" w:type="pct"/>
            <w:noWrap/>
            <w:hideMark/>
          </w:tcPr>
          <w:p w14:paraId="0BFC68FC" w14:textId="77777777" w:rsidR="00062CD0" w:rsidRPr="008759DD" w:rsidRDefault="00062CD0" w:rsidP="001E1015">
            <w:pPr>
              <w:pStyle w:val="TableText0"/>
              <w:jc w:val="center"/>
            </w:pPr>
          </w:p>
        </w:tc>
        <w:tc>
          <w:tcPr>
            <w:tcW w:w="629" w:type="pct"/>
            <w:noWrap/>
            <w:hideMark/>
          </w:tcPr>
          <w:p w14:paraId="6D543C2C" w14:textId="77777777" w:rsidR="00062CD0" w:rsidRPr="008759DD" w:rsidRDefault="00062CD0" w:rsidP="001E1015">
            <w:pPr>
              <w:pStyle w:val="TableText0"/>
              <w:jc w:val="center"/>
            </w:pPr>
          </w:p>
        </w:tc>
        <w:tc>
          <w:tcPr>
            <w:tcW w:w="521" w:type="pct"/>
            <w:noWrap/>
            <w:hideMark/>
          </w:tcPr>
          <w:p w14:paraId="53955FC4" w14:textId="77777777" w:rsidR="00062CD0" w:rsidRPr="008759DD" w:rsidRDefault="00062CD0" w:rsidP="00062CD0">
            <w:pPr>
              <w:pStyle w:val="TableText0"/>
              <w:jc w:val="center"/>
            </w:pPr>
          </w:p>
        </w:tc>
      </w:tr>
      <w:tr w:rsidR="00062CD0" w:rsidRPr="008A3BDF" w14:paraId="4A7F5AE1" w14:textId="77777777" w:rsidTr="00062CD0">
        <w:tc>
          <w:tcPr>
            <w:tcW w:w="2670" w:type="pct"/>
            <w:noWrap/>
            <w:vAlign w:val="center"/>
            <w:hideMark/>
          </w:tcPr>
          <w:p w14:paraId="06AD3F04" w14:textId="77777777" w:rsidR="00062CD0" w:rsidRPr="008A3BDF" w:rsidRDefault="00062CD0" w:rsidP="00062CD0">
            <w:pPr>
              <w:pStyle w:val="TableText0"/>
            </w:pPr>
            <w:r w:rsidRPr="008A3BDF">
              <w:t xml:space="preserve">   PFS1</w:t>
            </w:r>
          </w:p>
        </w:tc>
        <w:tc>
          <w:tcPr>
            <w:tcW w:w="708" w:type="pct"/>
            <w:noWrap/>
            <w:hideMark/>
          </w:tcPr>
          <w:p w14:paraId="3F573493" w14:textId="77777777" w:rsidR="00062CD0" w:rsidRPr="008A3BDF" w:rsidRDefault="00062CD0" w:rsidP="001E1015">
            <w:pPr>
              <w:pStyle w:val="TableText0"/>
              <w:jc w:val="center"/>
            </w:pPr>
            <w:r w:rsidRPr="008A3BDF">
              <w:t>0.223</w:t>
            </w:r>
          </w:p>
        </w:tc>
        <w:tc>
          <w:tcPr>
            <w:tcW w:w="472" w:type="pct"/>
            <w:noWrap/>
            <w:hideMark/>
          </w:tcPr>
          <w:p w14:paraId="0F88C71E" w14:textId="77777777" w:rsidR="00062CD0" w:rsidRPr="008A3BDF" w:rsidRDefault="00062CD0" w:rsidP="001E1015">
            <w:pPr>
              <w:pStyle w:val="TableText0"/>
              <w:jc w:val="center"/>
            </w:pPr>
            <w:r w:rsidRPr="008A3BDF">
              <w:t>0.386</w:t>
            </w:r>
          </w:p>
        </w:tc>
        <w:tc>
          <w:tcPr>
            <w:tcW w:w="629" w:type="pct"/>
            <w:noWrap/>
            <w:hideMark/>
          </w:tcPr>
          <w:p w14:paraId="0D4B89F7" w14:textId="77777777" w:rsidR="00062CD0" w:rsidRPr="008A3BDF" w:rsidRDefault="00062CD0" w:rsidP="001E1015">
            <w:pPr>
              <w:pStyle w:val="TableText0"/>
              <w:jc w:val="center"/>
            </w:pPr>
            <w:r w:rsidRPr="008A3BDF">
              <w:t>−0.163</w:t>
            </w:r>
          </w:p>
        </w:tc>
        <w:tc>
          <w:tcPr>
            <w:tcW w:w="521" w:type="pct"/>
            <w:noWrap/>
            <w:hideMark/>
          </w:tcPr>
          <w:p w14:paraId="25F887D2" w14:textId="77777777" w:rsidR="00062CD0" w:rsidRPr="008A3BDF" w:rsidRDefault="00062CD0" w:rsidP="00062CD0">
            <w:pPr>
              <w:pStyle w:val="TableText0"/>
              <w:jc w:val="center"/>
            </w:pPr>
            <w:r w:rsidRPr="008A3BDF">
              <w:t>−37%</w:t>
            </w:r>
          </w:p>
        </w:tc>
      </w:tr>
      <w:tr w:rsidR="00062CD0" w:rsidRPr="008A3BDF" w14:paraId="2FA46BD6" w14:textId="77777777" w:rsidTr="00062CD0">
        <w:tc>
          <w:tcPr>
            <w:tcW w:w="2670" w:type="pct"/>
            <w:noWrap/>
            <w:vAlign w:val="center"/>
            <w:hideMark/>
          </w:tcPr>
          <w:p w14:paraId="12CE508B" w14:textId="77777777" w:rsidR="00062CD0" w:rsidRPr="008A3BDF" w:rsidRDefault="00062CD0" w:rsidP="00062CD0">
            <w:pPr>
              <w:pStyle w:val="TableText0"/>
            </w:pPr>
            <w:r w:rsidRPr="008A3BDF">
              <w:t xml:space="preserve">   PFS2</w:t>
            </w:r>
          </w:p>
        </w:tc>
        <w:tc>
          <w:tcPr>
            <w:tcW w:w="708" w:type="pct"/>
            <w:noWrap/>
            <w:hideMark/>
          </w:tcPr>
          <w:p w14:paraId="0FF4A011" w14:textId="77777777" w:rsidR="00062CD0" w:rsidRPr="008A3BDF" w:rsidRDefault="00062CD0" w:rsidP="001E1015">
            <w:pPr>
              <w:pStyle w:val="TableText0"/>
              <w:jc w:val="center"/>
            </w:pPr>
            <w:r w:rsidRPr="008A3BDF">
              <w:t>0.189</w:t>
            </w:r>
          </w:p>
        </w:tc>
        <w:tc>
          <w:tcPr>
            <w:tcW w:w="472" w:type="pct"/>
            <w:noWrap/>
            <w:hideMark/>
          </w:tcPr>
          <w:p w14:paraId="36AD6F2A" w14:textId="77777777" w:rsidR="00062CD0" w:rsidRPr="008A3BDF" w:rsidRDefault="00062CD0" w:rsidP="001E1015">
            <w:pPr>
              <w:pStyle w:val="TableText0"/>
              <w:jc w:val="center"/>
            </w:pPr>
            <w:r w:rsidRPr="008A3BDF">
              <w:t>0.200</w:t>
            </w:r>
          </w:p>
        </w:tc>
        <w:tc>
          <w:tcPr>
            <w:tcW w:w="629" w:type="pct"/>
            <w:noWrap/>
            <w:hideMark/>
          </w:tcPr>
          <w:p w14:paraId="368E6092" w14:textId="77777777" w:rsidR="00062CD0" w:rsidRPr="008A3BDF" w:rsidRDefault="00062CD0" w:rsidP="001E1015">
            <w:pPr>
              <w:pStyle w:val="TableText0"/>
              <w:jc w:val="center"/>
            </w:pPr>
            <w:r w:rsidRPr="008A3BDF">
              <w:t>−0.011</w:t>
            </w:r>
          </w:p>
        </w:tc>
        <w:tc>
          <w:tcPr>
            <w:tcW w:w="521" w:type="pct"/>
            <w:noWrap/>
            <w:hideMark/>
          </w:tcPr>
          <w:p w14:paraId="0F1B915E" w14:textId="77777777" w:rsidR="00062CD0" w:rsidRPr="008A3BDF" w:rsidRDefault="00062CD0" w:rsidP="00062CD0">
            <w:pPr>
              <w:pStyle w:val="TableText0"/>
              <w:jc w:val="center"/>
            </w:pPr>
            <w:r w:rsidRPr="008A3BDF">
              <w:t>−3%</w:t>
            </w:r>
          </w:p>
        </w:tc>
      </w:tr>
      <w:tr w:rsidR="00062CD0" w:rsidRPr="008A3BDF" w14:paraId="58B887A1" w14:textId="77777777" w:rsidTr="00062CD0">
        <w:tc>
          <w:tcPr>
            <w:tcW w:w="2670" w:type="pct"/>
            <w:noWrap/>
            <w:vAlign w:val="center"/>
            <w:hideMark/>
          </w:tcPr>
          <w:p w14:paraId="51C9BC6B" w14:textId="77777777" w:rsidR="00062CD0" w:rsidRPr="008A3BDF" w:rsidRDefault="00062CD0" w:rsidP="00062CD0">
            <w:pPr>
              <w:pStyle w:val="TableText0"/>
            </w:pPr>
            <w:r w:rsidRPr="008A3BDF">
              <w:t xml:space="preserve">   PPS</w:t>
            </w:r>
          </w:p>
        </w:tc>
        <w:tc>
          <w:tcPr>
            <w:tcW w:w="708" w:type="pct"/>
            <w:noWrap/>
            <w:hideMark/>
          </w:tcPr>
          <w:p w14:paraId="434E403E" w14:textId="77777777" w:rsidR="00062CD0" w:rsidRPr="008A3BDF" w:rsidRDefault="00062CD0" w:rsidP="001E1015">
            <w:pPr>
              <w:pStyle w:val="TableText0"/>
              <w:jc w:val="center"/>
            </w:pPr>
            <w:r w:rsidRPr="008A3BDF">
              <w:t>0.170</w:t>
            </w:r>
          </w:p>
        </w:tc>
        <w:tc>
          <w:tcPr>
            <w:tcW w:w="472" w:type="pct"/>
            <w:noWrap/>
            <w:hideMark/>
          </w:tcPr>
          <w:p w14:paraId="2C036F87" w14:textId="77777777" w:rsidR="00062CD0" w:rsidRPr="008A3BDF" w:rsidRDefault="00062CD0" w:rsidP="001E1015">
            <w:pPr>
              <w:pStyle w:val="TableText0"/>
              <w:jc w:val="center"/>
            </w:pPr>
            <w:r w:rsidRPr="008A3BDF">
              <w:t>0.179</w:t>
            </w:r>
          </w:p>
        </w:tc>
        <w:tc>
          <w:tcPr>
            <w:tcW w:w="629" w:type="pct"/>
            <w:noWrap/>
            <w:hideMark/>
          </w:tcPr>
          <w:p w14:paraId="1ADA6231" w14:textId="77777777" w:rsidR="00062CD0" w:rsidRPr="008A3BDF" w:rsidRDefault="00062CD0" w:rsidP="001E1015">
            <w:pPr>
              <w:pStyle w:val="TableText0"/>
              <w:jc w:val="center"/>
            </w:pPr>
            <w:r w:rsidRPr="008A3BDF">
              <w:t>−0.009</w:t>
            </w:r>
          </w:p>
        </w:tc>
        <w:tc>
          <w:tcPr>
            <w:tcW w:w="521" w:type="pct"/>
            <w:noWrap/>
            <w:hideMark/>
          </w:tcPr>
          <w:p w14:paraId="46F5A49A" w14:textId="77777777" w:rsidR="00062CD0" w:rsidRPr="008A3BDF" w:rsidRDefault="00062CD0" w:rsidP="00062CD0">
            <w:pPr>
              <w:pStyle w:val="TableText0"/>
              <w:jc w:val="center"/>
            </w:pPr>
            <w:r w:rsidRPr="008A3BDF">
              <w:t>−2%</w:t>
            </w:r>
          </w:p>
        </w:tc>
      </w:tr>
      <w:tr w:rsidR="00062CD0" w:rsidRPr="008A3BDF" w14:paraId="590A90EC" w14:textId="77777777" w:rsidTr="00062CD0">
        <w:tc>
          <w:tcPr>
            <w:tcW w:w="2670" w:type="pct"/>
            <w:noWrap/>
            <w:vAlign w:val="center"/>
            <w:hideMark/>
          </w:tcPr>
          <w:p w14:paraId="3A38039B" w14:textId="77777777" w:rsidR="00062CD0" w:rsidRPr="008A3BDF" w:rsidRDefault="00062CD0" w:rsidP="00062CD0">
            <w:pPr>
              <w:pStyle w:val="TableText0"/>
            </w:pPr>
            <w:r w:rsidRPr="008A3BDF">
              <w:t>Adverse events</w:t>
            </w:r>
          </w:p>
        </w:tc>
        <w:tc>
          <w:tcPr>
            <w:tcW w:w="708" w:type="pct"/>
            <w:noWrap/>
          </w:tcPr>
          <w:p w14:paraId="11EF1C2A" w14:textId="77777777" w:rsidR="00062CD0" w:rsidRPr="008A3BDF" w:rsidRDefault="00062CD0" w:rsidP="001E1015">
            <w:pPr>
              <w:pStyle w:val="TableText0"/>
              <w:jc w:val="center"/>
            </w:pPr>
            <w:r w:rsidRPr="008A3BDF">
              <w:t>−0.001</w:t>
            </w:r>
          </w:p>
        </w:tc>
        <w:tc>
          <w:tcPr>
            <w:tcW w:w="472" w:type="pct"/>
            <w:noWrap/>
          </w:tcPr>
          <w:p w14:paraId="1D183C58" w14:textId="77777777" w:rsidR="00062CD0" w:rsidRPr="008A3BDF" w:rsidRDefault="00062CD0" w:rsidP="001E1015">
            <w:pPr>
              <w:pStyle w:val="TableText0"/>
              <w:jc w:val="center"/>
            </w:pPr>
            <w:r w:rsidRPr="008A3BDF">
              <w:t>−0.000</w:t>
            </w:r>
          </w:p>
        </w:tc>
        <w:tc>
          <w:tcPr>
            <w:tcW w:w="629" w:type="pct"/>
            <w:noWrap/>
          </w:tcPr>
          <w:p w14:paraId="45CFC194" w14:textId="77777777" w:rsidR="00062CD0" w:rsidRPr="008A3BDF" w:rsidRDefault="00062CD0" w:rsidP="001E1015">
            <w:pPr>
              <w:pStyle w:val="TableText0"/>
              <w:jc w:val="center"/>
            </w:pPr>
            <w:r w:rsidRPr="008A3BDF">
              <w:t>−0.000</w:t>
            </w:r>
          </w:p>
        </w:tc>
        <w:tc>
          <w:tcPr>
            <w:tcW w:w="521" w:type="pct"/>
            <w:noWrap/>
          </w:tcPr>
          <w:p w14:paraId="4E421ACA" w14:textId="77777777" w:rsidR="00062CD0" w:rsidRPr="008A3BDF" w:rsidRDefault="00062CD0" w:rsidP="00062CD0">
            <w:pPr>
              <w:pStyle w:val="TableText0"/>
              <w:jc w:val="center"/>
            </w:pPr>
            <w:r w:rsidRPr="008A3BDF">
              <w:t>−0%</w:t>
            </w:r>
          </w:p>
        </w:tc>
      </w:tr>
      <w:tr w:rsidR="00062CD0" w:rsidRPr="008A3BDF" w14:paraId="66238631" w14:textId="77777777" w:rsidTr="00062CD0">
        <w:tc>
          <w:tcPr>
            <w:tcW w:w="2670" w:type="pct"/>
            <w:noWrap/>
            <w:vAlign w:val="center"/>
            <w:hideMark/>
          </w:tcPr>
          <w:p w14:paraId="056689E6" w14:textId="77777777" w:rsidR="00062CD0" w:rsidRPr="008A3BDF" w:rsidRDefault="00062CD0" w:rsidP="00062CD0">
            <w:pPr>
              <w:pStyle w:val="TableText0"/>
              <w:rPr>
                <w:b/>
              </w:rPr>
            </w:pPr>
            <w:r w:rsidRPr="008A3BDF">
              <w:rPr>
                <w:b/>
              </w:rPr>
              <w:t>Total QALYs</w:t>
            </w:r>
          </w:p>
        </w:tc>
        <w:tc>
          <w:tcPr>
            <w:tcW w:w="708" w:type="pct"/>
            <w:noWrap/>
            <w:hideMark/>
          </w:tcPr>
          <w:p w14:paraId="49C50011" w14:textId="77777777" w:rsidR="00062CD0" w:rsidRPr="008A3BDF" w:rsidRDefault="00062CD0" w:rsidP="001E1015">
            <w:pPr>
              <w:pStyle w:val="TableText0"/>
              <w:jc w:val="center"/>
              <w:rPr>
                <w:b/>
              </w:rPr>
            </w:pPr>
            <w:r w:rsidRPr="008A3BDF">
              <w:rPr>
                <w:b/>
              </w:rPr>
              <w:t>9.317</w:t>
            </w:r>
          </w:p>
        </w:tc>
        <w:tc>
          <w:tcPr>
            <w:tcW w:w="472" w:type="pct"/>
            <w:noWrap/>
            <w:hideMark/>
          </w:tcPr>
          <w:p w14:paraId="25A058E7" w14:textId="77777777" w:rsidR="00062CD0" w:rsidRPr="008A3BDF" w:rsidRDefault="00062CD0" w:rsidP="001E1015">
            <w:pPr>
              <w:pStyle w:val="TableText0"/>
              <w:jc w:val="center"/>
              <w:rPr>
                <w:b/>
              </w:rPr>
            </w:pPr>
            <w:r w:rsidRPr="008A3BDF">
              <w:rPr>
                <w:b/>
              </w:rPr>
              <w:t>8.881</w:t>
            </w:r>
          </w:p>
        </w:tc>
        <w:tc>
          <w:tcPr>
            <w:tcW w:w="629" w:type="pct"/>
            <w:noWrap/>
            <w:hideMark/>
          </w:tcPr>
          <w:p w14:paraId="137F6FC3" w14:textId="77777777" w:rsidR="00062CD0" w:rsidRPr="008A3BDF" w:rsidRDefault="00062CD0" w:rsidP="001E1015">
            <w:pPr>
              <w:pStyle w:val="TableText0"/>
              <w:jc w:val="center"/>
              <w:rPr>
                <w:b/>
              </w:rPr>
            </w:pPr>
            <w:r w:rsidRPr="008A3BDF">
              <w:rPr>
                <w:b/>
              </w:rPr>
              <w:t>0.436</w:t>
            </w:r>
          </w:p>
        </w:tc>
        <w:tc>
          <w:tcPr>
            <w:tcW w:w="521" w:type="pct"/>
            <w:noWrap/>
            <w:hideMark/>
          </w:tcPr>
          <w:p w14:paraId="1AEF3727" w14:textId="77777777" w:rsidR="00062CD0" w:rsidRPr="008A3BDF" w:rsidRDefault="00062CD0" w:rsidP="00062CD0">
            <w:pPr>
              <w:pStyle w:val="TableText0"/>
              <w:jc w:val="center"/>
              <w:rPr>
                <w:b/>
              </w:rPr>
            </w:pPr>
            <w:r w:rsidRPr="008A3BDF">
              <w:rPr>
                <w:b/>
              </w:rPr>
              <w:t>100%</w:t>
            </w:r>
          </w:p>
        </w:tc>
      </w:tr>
    </w:tbl>
    <w:p w14:paraId="7BDFFA63" w14:textId="77777777" w:rsidR="00062CD0" w:rsidRPr="008A3BDF" w:rsidRDefault="00062CD0" w:rsidP="00062CD0">
      <w:pPr>
        <w:pStyle w:val="TableFigureFooter"/>
      </w:pPr>
      <w:r w:rsidRPr="008A3BDF">
        <w:t>Source: Table 3−65, p273 of the resubmission and the ‘A6.1_Abemaciclib Section 3 workbook 2022.xlsm’ workbook.</w:t>
      </w:r>
    </w:p>
    <w:p w14:paraId="5A959A14" w14:textId="77777777" w:rsidR="00062CD0" w:rsidRPr="00A67E12" w:rsidRDefault="00062CD0" w:rsidP="00062CD0">
      <w:pPr>
        <w:pStyle w:val="TableFigureFooter"/>
      </w:pPr>
      <w:r w:rsidRPr="008A3BDF">
        <w:t>ABE = abemaciclib; ER-MBC = endocrine-resistant metastatic breast cancer; ES-MBC = endocrine-sensitive metastatic breast cancer; ET= endocrine therapy; ID = invasive disease; IDFS = invasive disease-free survival; LY = life year; MBC = metastatic breast cancer; NMR = non-metastatic recurrence; PFS = progression-free survival; PPS = post-progression survival; QALY = quality-adjusted life year.</w:t>
      </w:r>
      <w:r w:rsidRPr="00A67E12">
        <w:t xml:space="preserve"> </w:t>
      </w:r>
    </w:p>
    <w:p w14:paraId="3844E3AF" w14:textId="56157748" w:rsidR="00062CD0" w:rsidRPr="00A67E12" w:rsidRDefault="00062CD0" w:rsidP="00062CD0">
      <w:pPr>
        <w:pStyle w:val="Caption"/>
      </w:pPr>
      <w:bookmarkStart w:id="52" w:name="_Ref123836650"/>
      <w:r w:rsidRPr="008A3BDF">
        <w:lastRenderedPageBreak/>
        <w:t xml:space="preserve">Figure </w:t>
      </w:r>
      <w:fldSimple w:instr=" SEQ Figure \* ARABIC ">
        <w:r w:rsidR="0001201E">
          <w:rPr>
            <w:noProof/>
          </w:rPr>
          <w:t>11</w:t>
        </w:r>
      </w:fldSimple>
      <w:bookmarkEnd w:id="52"/>
      <w:r w:rsidRPr="008A3BDF">
        <w:t>: Life years gained over the time horizon (undiscounted)</w:t>
      </w:r>
      <w:r w:rsidRPr="00A67E12">
        <w:rPr>
          <w:iCs/>
        </w:rPr>
        <w:t xml:space="preserve"> </w:t>
      </w:r>
    </w:p>
    <w:p w14:paraId="45DF7210" w14:textId="77777777" w:rsidR="00062CD0" w:rsidRPr="008A3BDF" w:rsidRDefault="00062CD0" w:rsidP="00062CD0">
      <w:r w:rsidRPr="008A3BDF">
        <w:rPr>
          <w:noProof/>
        </w:rPr>
        <w:drawing>
          <wp:inline distT="0" distB="0" distL="0" distR="0" wp14:anchorId="7DAFEF9D" wp14:editId="26D707C7">
            <wp:extent cx="5705475" cy="3303032"/>
            <wp:effectExtent l="0" t="0" r="0" b="0"/>
            <wp:docPr id="29" name="Picture 29" descr="Figure 11: Life years gained over the time horizon (undiscoun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11: Life years gained over the time horizon (undiscount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2904" cy="3313122"/>
                    </a:xfrm>
                    <a:prstGeom prst="rect">
                      <a:avLst/>
                    </a:prstGeom>
                    <a:noFill/>
                  </pic:spPr>
                </pic:pic>
              </a:graphicData>
            </a:graphic>
          </wp:inline>
        </w:drawing>
      </w:r>
    </w:p>
    <w:p w14:paraId="2827A036" w14:textId="77777777" w:rsidR="00062CD0" w:rsidRPr="00A67E12" w:rsidRDefault="00062CD0" w:rsidP="00062CD0">
      <w:pPr>
        <w:pStyle w:val="TableFigureFooter"/>
      </w:pPr>
      <w:r w:rsidRPr="00A67E12">
        <w:t>Source: Constructed during the evaluation from the ‘A6.1_Abemaciclib Section 3 workbook 2022.xlsm’ workbook included with the resubmission.</w:t>
      </w:r>
    </w:p>
    <w:p w14:paraId="133A0DA3" w14:textId="77777777" w:rsidR="00062CD0" w:rsidRPr="008A3BDF" w:rsidRDefault="00062CD0" w:rsidP="00062CD0">
      <w:pPr>
        <w:pStyle w:val="TableFigureFooter"/>
      </w:pPr>
      <w:r w:rsidRPr="008A3BDF">
        <w:t xml:space="preserve">ABE = abemaciclib; ET= endocrine therapy; IDFS = invasive disease-free survival; KM = Kaplan-Meier; LY = life year. </w:t>
      </w:r>
    </w:p>
    <w:p w14:paraId="3529EDC6" w14:textId="77777777" w:rsidR="00062CD0" w:rsidRPr="008A3BDF" w:rsidRDefault="00062CD0" w:rsidP="00062CD0">
      <w:pPr>
        <w:pStyle w:val="TableFigureFooter"/>
      </w:pPr>
    </w:p>
    <w:p w14:paraId="24938A51" w14:textId="3EE0D69B" w:rsidR="00062CD0" w:rsidRPr="008A3BDF" w:rsidRDefault="00062CD0" w:rsidP="00062CD0">
      <w:pPr>
        <w:pStyle w:val="3-BodyText"/>
      </w:pPr>
      <w:r w:rsidRPr="008A3BDF">
        <w:t xml:space="preserve">The number of recurrence events and resulting number of recurrences avoided </w:t>
      </w:r>
      <w:r w:rsidR="00733484">
        <w:t>with</w:t>
      </w:r>
      <w:r w:rsidRPr="008A3BDF">
        <w:t xml:space="preserve"> abemaciclib treatment are presented in </w:t>
      </w:r>
      <w:r w:rsidRPr="008A3BDF">
        <w:fldChar w:fldCharType="begin"/>
      </w:r>
      <w:r w:rsidRPr="008A3BDF">
        <w:instrText xml:space="preserve"> REF _Ref123836810 \h </w:instrText>
      </w:r>
      <w:r w:rsidRPr="008A3BDF">
        <w:fldChar w:fldCharType="separate"/>
      </w:r>
      <w:r w:rsidR="0001201E" w:rsidRPr="008A3BDF">
        <w:t xml:space="preserve">Table </w:t>
      </w:r>
      <w:r w:rsidR="0001201E">
        <w:rPr>
          <w:noProof/>
        </w:rPr>
        <w:t>15</w:t>
      </w:r>
      <w:r w:rsidRPr="008A3BDF">
        <w:fldChar w:fldCharType="end"/>
      </w:r>
      <w:r w:rsidRPr="008A3BDF">
        <w:t xml:space="preserve">. Similar to the previous submission, the resubmission’s ICER relies on avoiding metastatic recurrence in 8.2% of patients over the 30-year time horizon (previously 8.1% recurrences were avoided over 40 years). Over the 30-year time horizon, patients treated with abemaciclib received an additional 1.332 life years which equates to 15.9 (133.2/8.4) life years gained per recurrence avoided (previously 38.0) or 16.2 (133.2/8.2) life years gained per metastatic recurrence avoided (previously 25.8). </w:t>
      </w:r>
      <w:r w:rsidRPr="00A67E12">
        <w:t>The PBAC have previously accepted the TDM-1 analysis which modelled 12.9 and 18.9 life years gained per recurrence and metastatic recurrence avoided (para</w:t>
      </w:r>
      <w:r w:rsidR="00DD60A7">
        <w:t>graph</w:t>
      </w:r>
      <w:r w:rsidRPr="00A67E12">
        <w:t xml:space="preserve"> 6.12, Tr</w:t>
      </w:r>
      <w:r w:rsidR="00C5785C">
        <w:t>a</w:t>
      </w:r>
      <w:r w:rsidRPr="00A67E12">
        <w:t>stuzumab emtansine PSD, Nov</w:t>
      </w:r>
      <w:r w:rsidR="00DD60A7">
        <w:t>ember</w:t>
      </w:r>
      <w:r w:rsidRPr="00A67E12">
        <w:t xml:space="preserve"> 2019).</w:t>
      </w:r>
    </w:p>
    <w:p w14:paraId="4B2E008B" w14:textId="733497F3" w:rsidR="00062CD0" w:rsidRPr="008A3BDF" w:rsidRDefault="00062CD0" w:rsidP="00062CD0">
      <w:pPr>
        <w:pStyle w:val="Caption"/>
      </w:pPr>
      <w:bookmarkStart w:id="53" w:name="_Ref123836810"/>
      <w:r w:rsidRPr="008A3BDF">
        <w:lastRenderedPageBreak/>
        <w:t xml:space="preserve">Table </w:t>
      </w:r>
      <w:fldSimple w:instr=" SEQ Table \* ARABIC ">
        <w:r w:rsidR="0001201E">
          <w:rPr>
            <w:noProof/>
          </w:rPr>
          <w:t>15</w:t>
        </w:r>
      </w:fldSimple>
      <w:bookmarkEnd w:id="53"/>
      <w:r w:rsidRPr="008A3BDF">
        <w:t>: Recurrence events (undiscounted)</w:t>
      </w:r>
    </w:p>
    <w:tbl>
      <w:tblPr>
        <w:tblStyle w:val="TableGrid"/>
        <w:tblW w:w="0" w:type="auto"/>
        <w:tblLook w:val="04A0" w:firstRow="1" w:lastRow="0" w:firstColumn="1" w:lastColumn="0" w:noHBand="0" w:noVBand="1"/>
      </w:tblPr>
      <w:tblGrid>
        <w:gridCol w:w="3397"/>
        <w:gridCol w:w="1873"/>
        <w:gridCol w:w="1873"/>
        <w:gridCol w:w="1874"/>
      </w:tblGrid>
      <w:tr w:rsidR="00062CD0" w:rsidRPr="008A3BDF" w14:paraId="667B6F0F" w14:textId="77777777" w:rsidTr="00062CD0">
        <w:tc>
          <w:tcPr>
            <w:tcW w:w="3397" w:type="dxa"/>
          </w:tcPr>
          <w:p w14:paraId="3ED7BA66" w14:textId="77777777" w:rsidR="00062CD0" w:rsidRPr="008A3BDF" w:rsidRDefault="00062CD0" w:rsidP="00062CD0">
            <w:pPr>
              <w:pStyle w:val="TableText0"/>
              <w:rPr>
                <w:b/>
              </w:rPr>
            </w:pPr>
            <w:r w:rsidRPr="008A3BDF">
              <w:rPr>
                <w:b/>
              </w:rPr>
              <w:t>Recurrence event</w:t>
            </w:r>
          </w:p>
        </w:tc>
        <w:tc>
          <w:tcPr>
            <w:tcW w:w="1873" w:type="dxa"/>
          </w:tcPr>
          <w:p w14:paraId="7516B617" w14:textId="77777777" w:rsidR="00062CD0" w:rsidRPr="008A3BDF" w:rsidRDefault="00062CD0" w:rsidP="00062CD0">
            <w:pPr>
              <w:pStyle w:val="TableText0"/>
              <w:jc w:val="center"/>
              <w:rPr>
                <w:b/>
              </w:rPr>
            </w:pPr>
            <w:r w:rsidRPr="008A3BDF">
              <w:rPr>
                <w:b/>
              </w:rPr>
              <w:t>ABE + ET</w:t>
            </w:r>
          </w:p>
        </w:tc>
        <w:tc>
          <w:tcPr>
            <w:tcW w:w="1873" w:type="dxa"/>
          </w:tcPr>
          <w:p w14:paraId="035484CC" w14:textId="77777777" w:rsidR="00062CD0" w:rsidRPr="008A3BDF" w:rsidRDefault="00062CD0" w:rsidP="00062CD0">
            <w:pPr>
              <w:pStyle w:val="TableText0"/>
              <w:jc w:val="center"/>
              <w:rPr>
                <w:b/>
              </w:rPr>
            </w:pPr>
            <w:r w:rsidRPr="008A3BDF">
              <w:rPr>
                <w:b/>
              </w:rPr>
              <w:t>ET</w:t>
            </w:r>
          </w:p>
        </w:tc>
        <w:tc>
          <w:tcPr>
            <w:tcW w:w="1874" w:type="dxa"/>
          </w:tcPr>
          <w:p w14:paraId="5C774413" w14:textId="0C5FECE9" w:rsidR="00062CD0" w:rsidRPr="008A3BDF" w:rsidRDefault="00062CD0" w:rsidP="00062CD0">
            <w:pPr>
              <w:pStyle w:val="TableText0"/>
              <w:jc w:val="center"/>
              <w:rPr>
                <w:b/>
              </w:rPr>
            </w:pPr>
            <w:r w:rsidRPr="008A3BDF">
              <w:rPr>
                <w:b/>
              </w:rPr>
              <w:t>Incremental outcome (per 100 patients)</w:t>
            </w:r>
          </w:p>
        </w:tc>
      </w:tr>
      <w:tr w:rsidR="00062CD0" w:rsidRPr="008A3BDF" w14:paraId="476AE3CD" w14:textId="77777777" w:rsidTr="00062CD0">
        <w:tc>
          <w:tcPr>
            <w:tcW w:w="3397" w:type="dxa"/>
          </w:tcPr>
          <w:p w14:paraId="28608158" w14:textId="4B3A1A03" w:rsidR="00062CD0" w:rsidRPr="008A3BDF" w:rsidRDefault="00062CD0" w:rsidP="00062CD0">
            <w:pPr>
              <w:pStyle w:val="TableText0"/>
            </w:pPr>
            <w:r w:rsidRPr="008A3BDF">
              <w:t>LYG</w:t>
            </w:r>
            <w:r w:rsidR="00E2095B">
              <w:t xml:space="preserve"> (</w:t>
            </w:r>
            <w:r w:rsidR="00270506">
              <w:t>resubmission</w:t>
            </w:r>
            <w:r w:rsidR="00E2095B">
              <w:t xml:space="preserve"> base case)</w:t>
            </w:r>
          </w:p>
        </w:tc>
        <w:tc>
          <w:tcPr>
            <w:tcW w:w="1873" w:type="dxa"/>
            <w:vAlign w:val="center"/>
          </w:tcPr>
          <w:p w14:paraId="194EE037" w14:textId="77777777" w:rsidR="00062CD0" w:rsidRPr="008A3BDF" w:rsidRDefault="00062CD0" w:rsidP="00062CD0">
            <w:pPr>
              <w:pStyle w:val="TableText0"/>
              <w:jc w:val="center"/>
            </w:pPr>
            <w:r w:rsidRPr="008A3BDF">
              <w:t>20.127</w:t>
            </w:r>
          </w:p>
        </w:tc>
        <w:tc>
          <w:tcPr>
            <w:tcW w:w="1873" w:type="dxa"/>
            <w:vAlign w:val="center"/>
          </w:tcPr>
          <w:p w14:paraId="01FC7041" w14:textId="77777777" w:rsidR="00062CD0" w:rsidRPr="008A3BDF" w:rsidRDefault="00062CD0" w:rsidP="00062CD0">
            <w:pPr>
              <w:pStyle w:val="TableText0"/>
              <w:jc w:val="center"/>
            </w:pPr>
            <w:r w:rsidRPr="008A3BDF">
              <w:t>18.795</w:t>
            </w:r>
          </w:p>
        </w:tc>
        <w:tc>
          <w:tcPr>
            <w:tcW w:w="1874" w:type="dxa"/>
            <w:vAlign w:val="center"/>
          </w:tcPr>
          <w:p w14:paraId="4C6B3206" w14:textId="77777777" w:rsidR="00062CD0" w:rsidRPr="008A3BDF" w:rsidRDefault="00062CD0" w:rsidP="00062CD0">
            <w:pPr>
              <w:pStyle w:val="TableText0"/>
              <w:jc w:val="center"/>
            </w:pPr>
            <w:r w:rsidRPr="008A3BDF">
              <w:t xml:space="preserve">1.332 (133.2 per 100 patients) </w:t>
            </w:r>
          </w:p>
        </w:tc>
      </w:tr>
      <w:tr w:rsidR="00062CD0" w:rsidRPr="008A3BDF" w14:paraId="4D52DCAE" w14:textId="77777777" w:rsidTr="00062CD0">
        <w:tc>
          <w:tcPr>
            <w:tcW w:w="3397" w:type="dxa"/>
          </w:tcPr>
          <w:p w14:paraId="6AB21539" w14:textId="0F04CE98" w:rsidR="00062CD0" w:rsidRPr="008A3BDF" w:rsidRDefault="00723A71" w:rsidP="00062CD0">
            <w:pPr>
              <w:pStyle w:val="TableText0"/>
              <w:rPr>
                <w:b/>
              </w:rPr>
            </w:pPr>
            <w:r>
              <w:rPr>
                <w:b/>
              </w:rPr>
              <w:t>Cohort</w:t>
            </w:r>
            <w:r w:rsidR="00062CD0" w:rsidRPr="008A3BDF">
              <w:rPr>
                <w:b/>
              </w:rPr>
              <w:t xml:space="preserve"> 1, monarchE, April 2021 data cut</w:t>
            </w:r>
          </w:p>
        </w:tc>
        <w:tc>
          <w:tcPr>
            <w:tcW w:w="1873" w:type="dxa"/>
            <w:vAlign w:val="center"/>
          </w:tcPr>
          <w:p w14:paraId="4CE51F2C" w14:textId="77777777" w:rsidR="00062CD0" w:rsidRPr="008759DD" w:rsidRDefault="00062CD0" w:rsidP="00062CD0">
            <w:pPr>
              <w:pStyle w:val="TableText0"/>
              <w:jc w:val="center"/>
            </w:pPr>
          </w:p>
        </w:tc>
        <w:tc>
          <w:tcPr>
            <w:tcW w:w="1873" w:type="dxa"/>
            <w:vAlign w:val="center"/>
          </w:tcPr>
          <w:p w14:paraId="0CE9B14E" w14:textId="77777777" w:rsidR="00062CD0" w:rsidRPr="008759DD" w:rsidRDefault="00062CD0" w:rsidP="00062CD0">
            <w:pPr>
              <w:pStyle w:val="TableText0"/>
              <w:jc w:val="center"/>
            </w:pPr>
          </w:p>
        </w:tc>
        <w:tc>
          <w:tcPr>
            <w:tcW w:w="1874" w:type="dxa"/>
            <w:vAlign w:val="center"/>
          </w:tcPr>
          <w:p w14:paraId="7C43BA66" w14:textId="77777777" w:rsidR="00062CD0" w:rsidRPr="008759DD" w:rsidRDefault="00062CD0" w:rsidP="00062CD0">
            <w:pPr>
              <w:pStyle w:val="TableText0"/>
              <w:jc w:val="center"/>
            </w:pPr>
          </w:p>
        </w:tc>
      </w:tr>
      <w:tr w:rsidR="00062CD0" w:rsidRPr="008A3BDF" w14:paraId="5E56E2FF" w14:textId="77777777" w:rsidTr="00062CD0">
        <w:tc>
          <w:tcPr>
            <w:tcW w:w="3397" w:type="dxa"/>
          </w:tcPr>
          <w:p w14:paraId="7EE8E256" w14:textId="77777777" w:rsidR="00062CD0" w:rsidRPr="008A3BDF" w:rsidRDefault="00062CD0" w:rsidP="00062CD0">
            <w:pPr>
              <w:pStyle w:val="TableText0"/>
            </w:pPr>
            <w:r w:rsidRPr="008A3BDF">
              <w:t>Non-metastatic recurrence</w:t>
            </w:r>
          </w:p>
        </w:tc>
        <w:tc>
          <w:tcPr>
            <w:tcW w:w="1873" w:type="dxa"/>
            <w:vAlign w:val="center"/>
          </w:tcPr>
          <w:p w14:paraId="4740095C" w14:textId="77777777" w:rsidR="00062CD0" w:rsidRPr="008A3BDF" w:rsidRDefault="00062CD0" w:rsidP="00062CD0">
            <w:pPr>
              <w:pStyle w:val="TableText0"/>
              <w:jc w:val="center"/>
            </w:pPr>
            <w:r w:rsidRPr="008A3BDF">
              <w:t>2.4%</w:t>
            </w:r>
          </w:p>
        </w:tc>
        <w:tc>
          <w:tcPr>
            <w:tcW w:w="1873" w:type="dxa"/>
            <w:vAlign w:val="center"/>
          </w:tcPr>
          <w:p w14:paraId="7EB3DBAB" w14:textId="77777777" w:rsidR="00062CD0" w:rsidRPr="008A3BDF" w:rsidRDefault="00062CD0" w:rsidP="00062CD0">
            <w:pPr>
              <w:pStyle w:val="TableText0"/>
              <w:jc w:val="center"/>
            </w:pPr>
            <w:r w:rsidRPr="008A3BDF">
              <w:t>3.2%</w:t>
            </w:r>
          </w:p>
        </w:tc>
        <w:tc>
          <w:tcPr>
            <w:tcW w:w="1874" w:type="dxa"/>
            <w:vAlign w:val="center"/>
          </w:tcPr>
          <w:p w14:paraId="54FF39BD" w14:textId="77777777" w:rsidR="00062CD0" w:rsidRPr="008A3BDF" w:rsidRDefault="00062CD0" w:rsidP="00062CD0">
            <w:pPr>
              <w:pStyle w:val="TableText0"/>
              <w:jc w:val="center"/>
            </w:pPr>
            <w:r w:rsidRPr="008A3BDF">
              <w:t>−0.8</w:t>
            </w:r>
          </w:p>
        </w:tc>
      </w:tr>
      <w:tr w:rsidR="00062CD0" w:rsidRPr="008A3BDF" w14:paraId="6E61F2A2" w14:textId="77777777" w:rsidTr="00062CD0">
        <w:tc>
          <w:tcPr>
            <w:tcW w:w="3397" w:type="dxa"/>
          </w:tcPr>
          <w:p w14:paraId="464F3A96" w14:textId="77777777" w:rsidR="00062CD0" w:rsidRPr="008A3BDF" w:rsidRDefault="00062CD0" w:rsidP="00062CD0">
            <w:pPr>
              <w:pStyle w:val="TableText0"/>
            </w:pPr>
            <w:r w:rsidRPr="008A3BDF">
              <w:t>Metastatic recurrence</w:t>
            </w:r>
          </w:p>
        </w:tc>
        <w:tc>
          <w:tcPr>
            <w:tcW w:w="1873" w:type="dxa"/>
            <w:vAlign w:val="center"/>
          </w:tcPr>
          <w:p w14:paraId="6887602F" w14:textId="77777777" w:rsidR="00062CD0" w:rsidRPr="008A3BDF" w:rsidRDefault="00062CD0" w:rsidP="00062CD0">
            <w:pPr>
              <w:pStyle w:val="TableText0"/>
              <w:jc w:val="center"/>
            </w:pPr>
            <w:r w:rsidRPr="008A3BDF">
              <w:t>5.7%</w:t>
            </w:r>
          </w:p>
        </w:tc>
        <w:tc>
          <w:tcPr>
            <w:tcW w:w="1873" w:type="dxa"/>
            <w:vAlign w:val="center"/>
          </w:tcPr>
          <w:p w14:paraId="2C81E728" w14:textId="77777777" w:rsidR="00062CD0" w:rsidRPr="008A3BDF" w:rsidRDefault="00062CD0" w:rsidP="00062CD0">
            <w:pPr>
              <w:pStyle w:val="TableText0"/>
              <w:jc w:val="center"/>
            </w:pPr>
            <w:r w:rsidRPr="008A3BDF">
              <w:t>9.1%</w:t>
            </w:r>
          </w:p>
        </w:tc>
        <w:tc>
          <w:tcPr>
            <w:tcW w:w="1874" w:type="dxa"/>
            <w:vAlign w:val="center"/>
          </w:tcPr>
          <w:p w14:paraId="0E8DBB95" w14:textId="77777777" w:rsidR="00062CD0" w:rsidRPr="008A3BDF" w:rsidRDefault="00062CD0" w:rsidP="00062CD0">
            <w:pPr>
              <w:pStyle w:val="TableText0"/>
              <w:jc w:val="center"/>
            </w:pPr>
            <w:r w:rsidRPr="008A3BDF">
              <w:t>−3.4</w:t>
            </w:r>
          </w:p>
        </w:tc>
      </w:tr>
      <w:tr w:rsidR="00062CD0" w:rsidRPr="008A3BDF" w14:paraId="7DA18CA9" w14:textId="77777777" w:rsidTr="00062CD0">
        <w:tc>
          <w:tcPr>
            <w:tcW w:w="3397" w:type="dxa"/>
          </w:tcPr>
          <w:p w14:paraId="3EA610D6" w14:textId="77777777" w:rsidR="00062CD0" w:rsidRPr="008A3BDF" w:rsidRDefault="00062CD0" w:rsidP="00062CD0">
            <w:pPr>
              <w:pStyle w:val="TableText0"/>
            </w:pPr>
            <w:r w:rsidRPr="008A3BDF">
              <w:t>Any recurrence</w:t>
            </w:r>
          </w:p>
        </w:tc>
        <w:tc>
          <w:tcPr>
            <w:tcW w:w="1873" w:type="dxa"/>
            <w:vAlign w:val="center"/>
          </w:tcPr>
          <w:p w14:paraId="03E0AF72" w14:textId="77777777" w:rsidR="00062CD0" w:rsidRPr="008A3BDF" w:rsidRDefault="00062CD0" w:rsidP="00062CD0">
            <w:pPr>
              <w:pStyle w:val="TableText0"/>
              <w:jc w:val="center"/>
            </w:pPr>
            <w:r w:rsidRPr="008A3BDF">
              <w:t>7.9%</w:t>
            </w:r>
          </w:p>
        </w:tc>
        <w:tc>
          <w:tcPr>
            <w:tcW w:w="1873" w:type="dxa"/>
            <w:vAlign w:val="center"/>
          </w:tcPr>
          <w:p w14:paraId="5DB769C0" w14:textId="77777777" w:rsidR="00062CD0" w:rsidRPr="008A3BDF" w:rsidRDefault="00062CD0" w:rsidP="00062CD0">
            <w:pPr>
              <w:pStyle w:val="TableText0"/>
              <w:jc w:val="center"/>
            </w:pPr>
            <w:r w:rsidRPr="008A3BDF">
              <w:t>12.0%</w:t>
            </w:r>
          </w:p>
        </w:tc>
        <w:tc>
          <w:tcPr>
            <w:tcW w:w="1874" w:type="dxa"/>
            <w:vAlign w:val="center"/>
          </w:tcPr>
          <w:p w14:paraId="6060D393" w14:textId="77777777" w:rsidR="00062CD0" w:rsidRPr="008A3BDF" w:rsidRDefault="00062CD0" w:rsidP="00062CD0">
            <w:pPr>
              <w:pStyle w:val="TableText0"/>
              <w:jc w:val="center"/>
            </w:pPr>
            <w:r w:rsidRPr="008A3BDF">
              <w:t>−4.1</w:t>
            </w:r>
          </w:p>
        </w:tc>
      </w:tr>
      <w:tr w:rsidR="00062CD0" w:rsidRPr="008A3BDF" w14:paraId="56F67116" w14:textId="77777777" w:rsidTr="00062CD0">
        <w:tc>
          <w:tcPr>
            <w:tcW w:w="3397" w:type="dxa"/>
          </w:tcPr>
          <w:p w14:paraId="399E1C91" w14:textId="77777777" w:rsidR="00062CD0" w:rsidRPr="008A3BDF" w:rsidRDefault="00062CD0" w:rsidP="00062CD0">
            <w:pPr>
              <w:pStyle w:val="TableText0"/>
              <w:rPr>
                <w:b/>
              </w:rPr>
            </w:pPr>
            <w:r w:rsidRPr="008A3BDF">
              <w:rPr>
                <w:b/>
              </w:rPr>
              <w:t>Model time horizon (30 years)</w:t>
            </w:r>
          </w:p>
        </w:tc>
        <w:tc>
          <w:tcPr>
            <w:tcW w:w="1873" w:type="dxa"/>
            <w:vAlign w:val="center"/>
          </w:tcPr>
          <w:p w14:paraId="01BAB32F" w14:textId="77777777" w:rsidR="00062CD0" w:rsidRPr="008759DD" w:rsidRDefault="00062CD0" w:rsidP="00062CD0">
            <w:pPr>
              <w:pStyle w:val="TableText0"/>
              <w:jc w:val="center"/>
            </w:pPr>
          </w:p>
        </w:tc>
        <w:tc>
          <w:tcPr>
            <w:tcW w:w="1873" w:type="dxa"/>
            <w:vAlign w:val="center"/>
          </w:tcPr>
          <w:p w14:paraId="7278B0A4" w14:textId="77777777" w:rsidR="00062CD0" w:rsidRPr="008759DD" w:rsidRDefault="00062CD0" w:rsidP="00062CD0">
            <w:pPr>
              <w:pStyle w:val="TableText0"/>
              <w:jc w:val="center"/>
            </w:pPr>
          </w:p>
        </w:tc>
        <w:tc>
          <w:tcPr>
            <w:tcW w:w="1874" w:type="dxa"/>
            <w:vAlign w:val="center"/>
          </w:tcPr>
          <w:p w14:paraId="1B1D87FB" w14:textId="77777777" w:rsidR="00062CD0" w:rsidRPr="008759DD" w:rsidRDefault="00062CD0" w:rsidP="00062CD0">
            <w:pPr>
              <w:pStyle w:val="TableText0"/>
              <w:jc w:val="center"/>
            </w:pPr>
          </w:p>
        </w:tc>
      </w:tr>
      <w:tr w:rsidR="00062CD0" w:rsidRPr="008A3BDF" w14:paraId="62DBABB4" w14:textId="77777777" w:rsidTr="00062CD0">
        <w:tc>
          <w:tcPr>
            <w:tcW w:w="3397" w:type="dxa"/>
          </w:tcPr>
          <w:p w14:paraId="475D4F14" w14:textId="77777777" w:rsidR="00062CD0" w:rsidRPr="008A3BDF" w:rsidRDefault="00062CD0" w:rsidP="00062CD0">
            <w:pPr>
              <w:pStyle w:val="TableText0"/>
            </w:pPr>
            <w:r w:rsidRPr="008A3BDF">
              <w:t>Non-metastatic recurrence</w:t>
            </w:r>
          </w:p>
        </w:tc>
        <w:tc>
          <w:tcPr>
            <w:tcW w:w="1873" w:type="dxa"/>
            <w:vAlign w:val="center"/>
          </w:tcPr>
          <w:p w14:paraId="61AF964B" w14:textId="77777777" w:rsidR="00062CD0" w:rsidRPr="008A3BDF" w:rsidRDefault="00062CD0" w:rsidP="00062CD0">
            <w:pPr>
              <w:pStyle w:val="TableText0"/>
              <w:jc w:val="center"/>
            </w:pPr>
            <w:r w:rsidRPr="008A3BDF">
              <w:t>17.2%</w:t>
            </w:r>
          </w:p>
        </w:tc>
        <w:tc>
          <w:tcPr>
            <w:tcW w:w="1873" w:type="dxa"/>
            <w:vAlign w:val="center"/>
          </w:tcPr>
          <w:p w14:paraId="2825A7E5" w14:textId="77777777" w:rsidR="00062CD0" w:rsidRPr="008A3BDF" w:rsidRDefault="00062CD0" w:rsidP="00062CD0">
            <w:pPr>
              <w:pStyle w:val="TableText0"/>
              <w:jc w:val="center"/>
            </w:pPr>
            <w:r w:rsidRPr="008A3BDF">
              <w:t>17.4%</w:t>
            </w:r>
          </w:p>
        </w:tc>
        <w:tc>
          <w:tcPr>
            <w:tcW w:w="1874" w:type="dxa"/>
            <w:vAlign w:val="center"/>
          </w:tcPr>
          <w:p w14:paraId="47A6BE34" w14:textId="77777777" w:rsidR="00062CD0" w:rsidRPr="008A3BDF" w:rsidRDefault="00062CD0" w:rsidP="00062CD0">
            <w:pPr>
              <w:pStyle w:val="TableText0"/>
              <w:jc w:val="center"/>
            </w:pPr>
            <w:r w:rsidRPr="008A3BDF">
              <w:t>−0.2</w:t>
            </w:r>
          </w:p>
        </w:tc>
      </w:tr>
      <w:tr w:rsidR="00062CD0" w:rsidRPr="008A3BDF" w14:paraId="6765BDE8" w14:textId="77777777" w:rsidTr="00062CD0">
        <w:tc>
          <w:tcPr>
            <w:tcW w:w="3397" w:type="dxa"/>
          </w:tcPr>
          <w:p w14:paraId="2056F7ED" w14:textId="77777777" w:rsidR="00062CD0" w:rsidRPr="008A3BDF" w:rsidRDefault="00062CD0" w:rsidP="00062CD0">
            <w:pPr>
              <w:pStyle w:val="TableText0"/>
            </w:pPr>
            <w:r w:rsidRPr="008A3BDF">
              <w:t>Metastatic recurrence</w:t>
            </w:r>
          </w:p>
        </w:tc>
        <w:tc>
          <w:tcPr>
            <w:tcW w:w="1873" w:type="dxa"/>
            <w:vAlign w:val="center"/>
          </w:tcPr>
          <w:p w14:paraId="43720947" w14:textId="77777777" w:rsidR="00062CD0" w:rsidRPr="008A3BDF" w:rsidRDefault="00062CD0" w:rsidP="00062CD0">
            <w:pPr>
              <w:pStyle w:val="TableText0"/>
              <w:jc w:val="center"/>
            </w:pPr>
            <w:r w:rsidRPr="008A3BDF">
              <w:t>51.1%</w:t>
            </w:r>
          </w:p>
        </w:tc>
        <w:tc>
          <w:tcPr>
            <w:tcW w:w="1873" w:type="dxa"/>
            <w:vAlign w:val="center"/>
          </w:tcPr>
          <w:p w14:paraId="08DABBE4" w14:textId="77777777" w:rsidR="00062CD0" w:rsidRPr="008A3BDF" w:rsidRDefault="00062CD0" w:rsidP="00062CD0">
            <w:pPr>
              <w:pStyle w:val="TableText0"/>
              <w:jc w:val="center"/>
            </w:pPr>
            <w:r w:rsidRPr="008A3BDF">
              <w:t>59.3%</w:t>
            </w:r>
          </w:p>
        </w:tc>
        <w:tc>
          <w:tcPr>
            <w:tcW w:w="1874" w:type="dxa"/>
            <w:vAlign w:val="center"/>
          </w:tcPr>
          <w:p w14:paraId="4A66DE2A" w14:textId="77777777" w:rsidR="00062CD0" w:rsidRPr="008A3BDF" w:rsidRDefault="00062CD0" w:rsidP="00062CD0">
            <w:pPr>
              <w:pStyle w:val="TableText0"/>
              <w:jc w:val="center"/>
            </w:pPr>
            <w:r w:rsidRPr="008A3BDF">
              <w:t>−8.2</w:t>
            </w:r>
          </w:p>
        </w:tc>
      </w:tr>
      <w:tr w:rsidR="00062CD0" w:rsidRPr="008A3BDF" w14:paraId="756F579D" w14:textId="77777777" w:rsidTr="00062CD0">
        <w:tc>
          <w:tcPr>
            <w:tcW w:w="3397" w:type="dxa"/>
          </w:tcPr>
          <w:p w14:paraId="45336684" w14:textId="77777777" w:rsidR="00062CD0" w:rsidRPr="008A3BDF" w:rsidRDefault="00062CD0" w:rsidP="00062CD0">
            <w:pPr>
              <w:pStyle w:val="TableText0"/>
            </w:pPr>
            <w:r w:rsidRPr="008A3BDF">
              <w:t xml:space="preserve">  From IDFS</w:t>
            </w:r>
          </w:p>
        </w:tc>
        <w:tc>
          <w:tcPr>
            <w:tcW w:w="1873" w:type="dxa"/>
            <w:vAlign w:val="center"/>
          </w:tcPr>
          <w:p w14:paraId="5FF0ABBF" w14:textId="77777777" w:rsidR="00062CD0" w:rsidRPr="008A3BDF" w:rsidRDefault="00062CD0" w:rsidP="00062CD0">
            <w:pPr>
              <w:pStyle w:val="TableText0"/>
              <w:jc w:val="center"/>
            </w:pPr>
            <w:r w:rsidRPr="008A3BDF">
              <w:t>41.9%</w:t>
            </w:r>
          </w:p>
        </w:tc>
        <w:tc>
          <w:tcPr>
            <w:tcW w:w="1873" w:type="dxa"/>
            <w:vAlign w:val="center"/>
          </w:tcPr>
          <w:p w14:paraId="2EF99767" w14:textId="77777777" w:rsidR="00062CD0" w:rsidRPr="008A3BDF" w:rsidRDefault="00062CD0" w:rsidP="00062CD0">
            <w:pPr>
              <w:pStyle w:val="TableText0"/>
              <w:jc w:val="center"/>
            </w:pPr>
            <w:r w:rsidRPr="008A3BDF">
              <w:t>50.0%</w:t>
            </w:r>
          </w:p>
        </w:tc>
        <w:tc>
          <w:tcPr>
            <w:tcW w:w="1874" w:type="dxa"/>
            <w:vAlign w:val="center"/>
          </w:tcPr>
          <w:p w14:paraId="38321C2A" w14:textId="77777777" w:rsidR="00062CD0" w:rsidRPr="008A3BDF" w:rsidRDefault="00062CD0" w:rsidP="00062CD0">
            <w:pPr>
              <w:pStyle w:val="TableText0"/>
              <w:jc w:val="center"/>
            </w:pPr>
            <w:r w:rsidRPr="008A3BDF">
              <w:t>−8.1</w:t>
            </w:r>
          </w:p>
        </w:tc>
      </w:tr>
      <w:tr w:rsidR="00062CD0" w:rsidRPr="008A3BDF" w14:paraId="6B037236" w14:textId="77777777" w:rsidTr="00062CD0">
        <w:tc>
          <w:tcPr>
            <w:tcW w:w="3397" w:type="dxa"/>
          </w:tcPr>
          <w:p w14:paraId="4B811281" w14:textId="77777777" w:rsidR="00062CD0" w:rsidRPr="008A3BDF" w:rsidRDefault="00062CD0" w:rsidP="00062CD0">
            <w:pPr>
              <w:pStyle w:val="TableText0"/>
            </w:pPr>
            <w:r w:rsidRPr="008A3BDF">
              <w:t xml:space="preserve">  From Remission</w:t>
            </w:r>
          </w:p>
        </w:tc>
        <w:tc>
          <w:tcPr>
            <w:tcW w:w="1873" w:type="dxa"/>
            <w:vAlign w:val="center"/>
          </w:tcPr>
          <w:p w14:paraId="31AFAB11" w14:textId="77777777" w:rsidR="00062CD0" w:rsidRPr="008A3BDF" w:rsidRDefault="00062CD0" w:rsidP="00062CD0">
            <w:pPr>
              <w:pStyle w:val="TableText0"/>
              <w:jc w:val="center"/>
            </w:pPr>
            <w:r w:rsidRPr="008A3BDF">
              <w:t>9.2%</w:t>
            </w:r>
          </w:p>
        </w:tc>
        <w:tc>
          <w:tcPr>
            <w:tcW w:w="1873" w:type="dxa"/>
            <w:vAlign w:val="center"/>
          </w:tcPr>
          <w:p w14:paraId="3B427A9A" w14:textId="77777777" w:rsidR="00062CD0" w:rsidRPr="008A3BDF" w:rsidRDefault="00062CD0" w:rsidP="00062CD0">
            <w:pPr>
              <w:pStyle w:val="TableText0"/>
              <w:jc w:val="center"/>
            </w:pPr>
            <w:r w:rsidRPr="008A3BDF">
              <w:t>9.7%</w:t>
            </w:r>
          </w:p>
        </w:tc>
        <w:tc>
          <w:tcPr>
            <w:tcW w:w="1874" w:type="dxa"/>
            <w:vAlign w:val="center"/>
          </w:tcPr>
          <w:p w14:paraId="00662E1B" w14:textId="77777777" w:rsidR="00062CD0" w:rsidRPr="008A3BDF" w:rsidRDefault="00062CD0" w:rsidP="00062CD0">
            <w:pPr>
              <w:pStyle w:val="TableText0"/>
              <w:jc w:val="center"/>
            </w:pPr>
            <w:r w:rsidRPr="008A3BDF">
              <w:t>−0.5</w:t>
            </w:r>
          </w:p>
        </w:tc>
      </w:tr>
      <w:tr w:rsidR="00062CD0" w:rsidRPr="008A3BDF" w14:paraId="0CBD4F73" w14:textId="77777777" w:rsidTr="00062CD0">
        <w:tc>
          <w:tcPr>
            <w:tcW w:w="3397" w:type="dxa"/>
          </w:tcPr>
          <w:p w14:paraId="7E41687E" w14:textId="77777777" w:rsidR="00062CD0" w:rsidRPr="008A3BDF" w:rsidRDefault="00062CD0" w:rsidP="00062CD0">
            <w:pPr>
              <w:pStyle w:val="TableText0"/>
            </w:pPr>
            <w:r w:rsidRPr="008A3BDF">
              <w:t xml:space="preserve">Any recurrence </w:t>
            </w:r>
            <w:r w:rsidRPr="008A3BDF">
              <w:rPr>
                <w:vertAlign w:val="superscript"/>
              </w:rPr>
              <w:t>a</w:t>
            </w:r>
          </w:p>
        </w:tc>
        <w:tc>
          <w:tcPr>
            <w:tcW w:w="1873" w:type="dxa"/>
            <w:vAlign w:val="center"/>
          </w:tcPr>
          <w:p w14:paraId="2E52A123" w14:textId="77777777" w:rsidR="00062CD0" w:rsidRPr="008A3BDF" w:rsidRDefault="00062CD0" w:rsidP="00062CD0">
            <w:pPr>
              <w:pStyle w:val="TableText0"/>
              <w:jc w:val="center"/>
            </w:pPr>
            <w:r w:rsidRPr="008A3BDF">
              <w:t>68.3%</w:t>
            </w:r>
          </w:p>
        </w:tc>
        <w:tc>
          <w:tcPr>
            <w:tcW w:w="1873" w:type="dxa"/>
            <w:vAlign w:val="center"/>
          </w:tcPr>
          <w:p w14:paraId="32FC7CD4" w14:textId="77777777" w:rsidR="00062CD0" w:rsidRPr="008A3BDF" w:rsidRDefault="00062CD0" w:rsidP="00062CD0">
            <w:pPr>
              <w:pStyle w:val="TableText0"/>
              <w:jc w:val="center"/>
            </w:pPr>
            <w:r w:rsidRPr="008A3BDF">
              <w:t>76.7%</w:t>
            </w:r>
          </w:p>
        </w:tc>
        <w:tc>
          <w:tcPr>
            <w:tcW w:w="1874" w:type="dxa"/>
            <w:vAlign w:val="center"/>
          </w:tcPr>
          <w:p w14:paraId="1B4DA4F0" w14:textId="77777777" w:rsidR="00062CD0" w:rsidRPr="008A3BDF" w:rsidRDefault="00062CD0" w:rsidP="00062CD0">
            <w:pPr>
              <w:pStyle w:val="TableText0"/>
              <w:jc w:val="center"/>
            </w:pPr>
            <w:r w:rsidRPr="008A3BDF">
              <w:t>−8.4</w:t>
            </w:r>
          </w:p>
        </w:tc>
      </w:tr>
    </w:tbl>
    <w:p w14:paraId="559DB476" w14:textId="77777777" w:rsidR="00062CD0" w:rsidRPr="00A67E12" w:rsidRDefault="00062CD0" w:rsidP="00062CD0">
      <w:pPr>
        <w:pStyle w:val="TableFigureFooter"/>
        <w:keepNext/>
      </w:pPr>
      <w:r w:rsidRPr="00A67E12">
        <w:t>Source: Constructed from the ‘A6.1_Abemaciclib Section 3 workbook 2022.xlsm’ workbook included with the resubmission.</w:t>
      </w:r>
    </w:p>
    <w:p w14:paraId="1E20E9DC" w14:textId="77777777" w:rsidR="00062CD0" w:rsidRPr="008A3BDF" w:rsidRDefault="00062CD0" w:rsidP="00062CD0">
      <w:pPr>
        <w:pStyle w:val="TableFigureFooter"/>
        <w:keepNext/>
      </w:pPr>
      <w:r w:rsidRPr="008A3BDF">
        <w:t>ABE = abemaciclib; ET = endocrine therapy; IDFS = invasive disease-free survival; LYG = lie years gained.</w:t>
      </w:r>
    </w:p>
    <w:p w14:paraId="6FB87256" w14:textId="77777777" w:rsidR="00062CD0" w:rsidRPr="00A67E12" w:rsidRDefault="00062CD0" w:rsidP="00062CD0">
      <w:pPr>
        <w:pStyle w:val="TableFigureFooter"/>
        <w:keepNext/>
      </w:pPr>
      <w:r w:rsidRPr="008A3BDF">
        <w:rPr>
          <w:vertAlign w:val="superscript"/>
        </w:rPr>
        <w:t xml:space="preserve">a </w:t>
      </w:r>
      <w:r w:rsidRPr="008A3BDF">
        <w:t xml:space="preserve">Any recurrence is not the sum of non-metastatic and metastatic recurrences, as patients who experience a non-metastatic recurrence could later develop a metastatic recurrence.  </w:t>
      </w:r>
      <w:r w:rsidRPr="00A67E12">
        <w:t xml:space="preserve"> </w:t>
      </w:r>
    </w:p>
    <w:p w14:paraId="12075025" w14:textId="2B5525F4" w:rsidR="00062CD0" w:rsidRPr="00A67E12" w:rsidRDefault="00062CD0" w:rsidP="00062CD0">
      <w:pPr>
        <w:pStyle w:val="3-BodyText"/>
      </w:pPr>
      <w:r w:rsidRPr="008A3BDF">
        <w:t xml:space="preserve">The results of key sensitivity analyses are summarised in </w:t>
      </w:r>
      <w:r>
        <w:fldChar w:fldCharType="begin"/>
      </w:r>
      <w:r>
        <w:instrText xml:space="preserve"> REF _Ref124180455 \h </w:instrText>
      </w:r>
      <w:r>
        <w:fldChar w:fldCharType="separate"/>
      </w:r>
      <w:r w:rsidR="0001201E">
        <w:t xml:space="preserve">Table </w:t>
      </w:r>
      <w:r w:rsidR="0001201E">
        <w:rPr>
          <w:noProof/>
        </w:rPr>
        <w:t>16</w:t>
      </w:r>
      <w:r>
        <w:fldChar w:fldCharType="end"/>
      </w:r>
      <w:r w:rsidRPr="008A3BDF">
        <w:t xml:space="preserve">. </w:t>
      </w:r>
      <w:r w:rsidRPr="00A67E12">
        <w:t>As noted in the previous evaluation, the resubmission’s economic model is most sensitive to change</w:t>
      </w:r>
      <w:r w:rsidR="00FE54C3" w:rsidRPr="00A67E12">
        <w:t>d</w:t>
      </w:r>
      <w:r w:rsidRPr="00A67E12">
        <w:t xml:space="preserve"> estimates that affect the proportion of patients that transition to the metastatic recurrence health states, including duration of the treatment effect and proportion of IDFS events that are NMR (where the same estimate has been applied across both model arms). The resubmission has not adequately justified the base case values associated with these parameters and thus there is substantial uncertainty surrounding these parameters. Further, the model is sensitive to the proportion of NMR events that are second primary neoplasms. Sensitivity analyses conducted during the evaluation may better reflect the greater number of patients at risk following adjuvant abemaciclib.</w:t>
      </w:r>
    </w:p>
    <w:p w14:paraId="3D9A5B81" w14:textId="5562D1A7" w:rsidR="00062CD0" w:rsidRDefault="00062CD0" w:rsidP="00062CD0">
      <w:pPr>
        <w:pStyle w:val="3-BodyText"/>
      </w:pPr>
      <w:bookmarkStart w:id="54" w:name="_Ref130555318"/>
      <w:r w:rsidRPr="00A67E12">
        <w:t>The resubmission did not present any multivariate analyses</w:t>
      </w:r>
      <w:r w:rsidR="00141E02">
        <w:t>;</w:t>
      </w:r>
      <w:r w:rsidRPr="00A67E12">
        <w:t xml:space="preserve"> these were conducted during the evaluation, varying in a stepped manner on the basis of plausible alternative estimates</w:t>
      </w:r>
      <w:r w:rsidR="00F3054D" w:rsidRPr="00A67E12">
        <w:t>.</w:t>
      </w:r>
      <w:r w:rsidR="006B5793">
        <w:t xml:space="preserve"> </w:t>
      </w:r>
      <w:r w:rsidR="006B5793" w:rsidRPr="00A67E12">
        <w:t xml:space="preserve">The ICER was highly sensitive to cumulative changes in the model (see </w:t>
      </w:r>
      <w:r w:rsidR="006B5793" w:rsidRPr="00A67E12">
        <w:fldChar w:fldCharType="begin"/>
      </w:r>
      <w:r w:rsidR="006B5793" w:rsidRPr="00A67E12">
        <w:instrText xml:space="preserve"> REF _Ref124180455 \h  \* MERGEFORMAT </w:instrText>
      </w:r>
      <w:r w:rsidR="006B5793" w:rsidRPr="00A67E12">
        <w:fldChar w:fldCharType="separate"/>
      </w:r>
      <w:r w:rsidR="0001201E">
        <w:t xml:space="preserve">Table </w:t>
      </w:r>
      <w:r w:rsidR="0001201E">
        <w:rPr>
          <w:noProof/>
        </w:rPr>
        <w:t>16</w:t>
      </w:r>
      <w:r w:rsidR="006B5793" w:rsidRPr="00A67E12">
        <w:fldChar w:fldCharType="end"/>
      </w:r>
      <w:r w:rsidR="006B5793" w:rsidRPr="00A67E12">
        <w:t>).</w:t>
      </w:r>
      <w:r w:rsidR="00F3054D" w:rsidRPr="00A67E12">
        <w:t xml:space="preserve"> The first step includes the correction of errors identified during the evaluation and updating costs to improve the model’s accuracy.</w:t>
      </w:r>
      <w:r w:rsidRPr="00A67E12">
        <w:t xml:space="preserve"> </w:t>
      </w:r>
      <w:r w:rsidR="006B5793" w:rsidRPr="00FA0201">
        <w:t>The second step corrects for</w:t>
      </w:r>
      <w:r w:rsidR="007A4BFC" w:rsidRPr="00FA0201">
        <w:t xml:space="preserve"> poorly fit </w:t>
      </w:r>
      <w:r w:rsidR="006B5793" w:rsidRPr="00FA0201">
        <w:t>hazard spline</w:t>
      </w:r>
      <w:r w:rsidR="007A4BFC" w:rsidRPr="00FA0201">
        <w:t xml:space="preserve"> </w:t>
      </w:r>
      <w:r w:rsidR="006B5793" w:rsidRPr="00FA0201">
        <w:t>(1 or 2 knot)</w:t>
      </w:r>
      <w:r w:rsidR="007A4BFC" w:rsidRPr="00FA0201">
        <w:t xml:space="preserve"> models</w:t>
      </w:r>
      <w:r w:rsidR="006B5793" w:rsidRPr="00FA0201">
        <w:t xml:space="preserve"> </w:t>
      </w:r>
      <w:r w:rsidR="007A4BFC" w:rsidRPr="00FA0201">
        <w:t xml:space="preserve">applied to the ET </w:t>
      </w:r>
      <w:r w:rsidR="00300A40">
        <w:t>time to treatment discontinuation (</w:t>
      </w:r>
      <w:r w:rsidR="007A4BFC" w:rsidRPr="00FA0201">
        <w:t>TTD</w:t>
      </w:r>
      <w:r w:rsidR="00300A40">
        <w:t>)</w:t>
      </w:r>
      <w:r w:rsidR="007A4BFC" w:rsidRPr="00FA0201">
        <w:t xml:space="preserve"> data.</w:t>
      </w:r>
      <w:bookmarkEnd w:id="54"/>
      <w:r w:rsidR="007A4BFC" w:rsidRPr="00FA0201">
        <w:t xml:space="preserve"> </w:t>
      </w:r>
    </w:p>
    <w:p w14:paraId="090D47C7" w14:textId="0CF222DA" w:rsidR="00AF49AA" w:rsidRPr="00EC58C1" w:rsidRDefault="001C702D" w:rsidP="00EC58C1">
      <w:pPr>
        <w:pStyle w:val="3-BodyText"/>
        <w:rPr>
          <w:iCs/>
        </w:rPr>
      </w:pPr>
      <w:r w:rsidRPr="00FA0201">
        <w:rPr>
          <w:iCs/>
        </w:rPr>
        <w:t xml:space="preserve">A respecified base case was proposed by the ESC, which employed treatment waning from Year 4 to Year 7 (changed from Year 7 to Year 28.9 in the submission base case), and patients entering the model at 61.4 years (changed </w:t>
      </w:r>
      <w:r w:rsidRPr="00EC58C1">
        <w:rPr>
          <w:iCs/>
        </w:rPr>
        <w:t xml:space="preserve">from 52.2 years </w:t>
      </w:r>
      <w:r w:rsidRPr="00FA0201">
        <w:rPr>
          <w:iCs/>
        </w:rPr>
        <w:t xml:space="preserve">in the submission base case). This increased the ICER from </w:t>
      </w:r>
      <w:r w:rsidR="008620A9" w:rsidRPr="008620A9">
        <w:rPr>
          <w:iCs/>
        </w:rPr>
        <w:t>$35,000 to &lt; $45,000</w:t>
      </w:r>
      <w:r w:rsidRPr="008620A9">
        <w:rPr>
          <w:iCs/>
        </w:rPr>
        <w:t xml:space="preserve">/QALY gained (submission base case) to </w:t>
      </w:r>
      <w:r w:rsidR="008620A9" w:rsidRPr="008620A9">
        <w:rPr>
          <w:iCs/>
        </w:rPr>
        <w:t>$115,000 to &lt; $135,000</w:t>
      </w:r>
      <w:r w:rsidRPr="008620A9">
        <w:rPr>
          <w:iCs/>
        </w:rPr>
        <w:t>/QALY gained</w:t>
      </w:r>
      <w:r w:rsidR="00276722" w:rsidRPr="008620A9">
        <w:rPr>
          <w:iCs/>
        </w:rPr>
        <w:t xml:space="preserve">, and </w:t>
      </w:r>
      <w:r w:rsidR="008620A9" w:rsidRPr="008620A9">
        <w:rPr>
          <w:iCs/>
        </w:rPr>
        <w:t>$95,000 to &lt; $115,000</w:t>
      </w:r>
      <w:r w:rsidR="00276722" w:rsidRPr="008620A9">
        <w:rPr>
          <w:iCs/>
        </w:rPr>
        <w:t>/QALY gained with updated costs and correction to errors identified during the evaluation</w:t>
      </w:r>
      <w:r w:rsidR="006B5793" w:rsidRPr="008620A9">
        <w:rPr>
          <w:iCs/>
        </w:rPr>
        <w:t xml:space="preserve"> (step 1 and step 2 </w:t>
      </w:r>
      <w:r w:rsidR="002205FF" w:rsidRPr="008620A9">
        <w:rPr>
          <w:iCs/>
        </w:rPr>
        <w:t xml:space="preserve">of the sensitivity analyses presented </w:t>
      </w:r>
      <w:r w:rsidR="006B5793" w:rsidRPr="008620A9">
        <w:rPr>
          <w:iCs/>
        </w:rPr>
        <w:t xml:space="preserve">in </w:t>
      </w:r>
      <w:r w:rsidR="006B5793" w:rsidRPr="008620A9">
        <w:rPr>
          <w:iCs/>
        </w:rPr>
        <w:fldChar w:fldCharType="begin"/>
      </w:r>
      <w:r w:rsidR="006B5793" w:rsidRPr="008620A9">
        <w:rPr>
          <w:iCs/>
        </w:rPr>
        <w:instrText xml:space="preserve"> REF _Ref124180455 \h  \* MERGEFORMAT </w:instrText>
      </w:r>
      <w:r w:rsidR="006B5793" w:rsidRPr="008620A9">
        <w:rPr>
          <w:iCs/>
        </w:rPr>
      </w:r>
      <w:r w:rsidR="006B5793" w:rsidRPr="008620A9">
        <w:rPr>
          <w:iCs/>
        </w:rPr>
        <w:fldChar w:fldCharType="separate"/>
      </w:r>
      <w:r w:rsidR="0001201E" w:rsidRPr="0001201E">
        <w:rPr>
          <w:iCs/>
        </w:rPr>
        <w:t xml:space="preserve">Table </w:t>
      </w:r>
      <w:r w:rsidR="0001201E" w:rsidRPr="0001201E">
        <w:rPr>
          <w:iCs/>
          <w:noProof/>
        </w:rPr>
        <w:t>16</w:t>
      </w:r>
      <w:r w:rsidR="006B5793" w:rsidRPr="008620A9">
        <w:rPr>
          <w:iCs/>
        </w:rPr>
        <w:fldChar w:fldCharType="end"/>
      </w:r>
      <w:r w:rsidR="006B5793" w:rsidRPr="008620A9">
        <w:rPr>
          <w:iCs/>
        </w:rPr>
        <w:t>)</w:t>
      </w:r>
      <w:r w:rsidR="00276722" w:rsidRPr="008620A9">
        <w:rPr>
          <w:iCs/>
        </w:rPr>
        <w:t>.</w:t>
      </w:r>
    </w:p>
    <w:p w14:paraId="65B54950" w14:textId="035DDF6A" w:rsidR="00062CD0" w:rsidRPr="008215FB" w:rsidRDefault="00062CD0" w:rsidP="00062CD0">
      <w:pPr>
        <w:pStyle w:val="Caption"/>
      </w:pPr>
      <w:bookmarkStart w:id="55" w:name="_Ref124180455"/>
      <w:r>
        <w:lastRenderedPageBreak/>
        <w:t xml:space="preserve">Table </w:t>
      </w:r>
      <w:fldSimple w:instr=" SEQ Table \* ARABIC ">
        <w:r w:rsidR="0001201E">
          <w:rPr>
            <w:noProof/>
          </w:rPr>
          <w:t>16</w:t>
        </w:r>
      </w:fldSimple>
      <w:bookmarkEnd w:id="55"/>
      <w:r>
        <w:t>: Results of the key sensitivity analyses</w:t>
      </w:r>
    </w:p>
    <w:tbl>
      <w:tblPr>
        <w:tblStyle w:val="Summarybox1"/>
        <w:tblW w:w="5003" w:type="pct"/>
        <w:tblInd w:w="-5" w:type="dxa"/>
        <w:tblLayout w:type="fixed"/>
        <w:tblLook w:val="04A0" w:firstRow="1" w:lastRow="0" w:firstColumn="1" w:lastColumn="0" w:noHBand="0" w:noVBand="1"/>
      </w:tblPr>
      <w:tblGrid>
        <w:gridCol w:w="4577"/>
        <w:gridCol w:w="1111"/>
        <w:gridCol w:w="1112"/>
        <w:gridCol w:w="1112"/>
        <w:gridCol w:w="1110"/>
      </w:tblGrid>
      <w:tr w:rsidR="00062CD0" w:rsidRPr="00E95DA1" w14:paraId="60BCA6C3" w14:textId="77777777" w:rsidTr="008226A2">
        <w:trPr>
          <w:tblHeader/>
        </w:trPr>
        <w:tc>
          <w:tcPr>
            <w:tcW w:w="2536" w:type="pct"/>
            <w:noWrap/>
            <w:hideMark/>
          </w:tcPr>
          <w:p w14:paraId="76CA8004" w14:textId="77777777" w:rsidR="00062CD0" w:rsidRPr="00E95DA1" w:rsidRDefault="00062CD0" w:rsidP="00062CD0">
            <w:pPr>
              <w:pStyle w:val="TableText0"/>
              <w:keepNext w:val="0"/>
              <w:rPr>
                <w:b/>
                <w:lang w:eastAsia="en-AU"/>
              </w:rPr>
            </w:pPr>
          </w:p>
        </w:tc>
        <w:tc>
          <w:tcPr>
            <w:tcW w:w="616" w:type="pct"/>
            <w:noWrap/>
            <w:vAlign w:val="center"/>
            <w:hideMark/>
          </w:tcPr>
          <w:p w14:paraId="45606E63" w14:textId="77777777" w:rsidR="0065429A" w:rsidRDefault="00062CD0" w:rsidP="00062CD0">
            <w:pPr>
              <w:pStyle w:val="TableText0"/>
              <w:keepNext w:val="0"/>
              <w:jc w:val="center"/>
              <w:rPr>
                <w:b/>
                <w:lang w:eastAsia="en-AU"/>
              </w:rPr>
            </w:pPr>
            <w:r w:rsidRPr="00E95DA1">
              <w:rPr>
                <w:b/>
                <w:lang w:eastAsia="en-AU"/>
              </w:rPr>
              <w:t>Inc.</w:t>
            </w:r>
          </w:p>
          <w:p w14:paraId="519E0041" w14:textId="1370EDC4" w:rsidR="00062CD0" w:rsidRPr="00E95DA1" w:rsidRDefault="00062CD0" w:rsidP="00062CD0">
            <w:pPr>
              <w:pStyle w:val="TableText0"/>
              <w:keepNext w:val="0"/>
              <w:jc w:val="center"/>
              <w:rPr>
                <w:b/>
                <w:lang w:eastAsia="en-AU"/>
              </w:rPr>
            </w:pPr>
            <w:r w:rsidRPr="00E95DA1">
              <w:rPr>
                <w:b/>
                <w:lang w:eastAsia="en-AU"/>
              </w:rPr>
              <w:t>cost</w:t>
            </w:r>
            <w:r w:rsidR="008620A9">
              <w:rPr>
                <w:b/>
                <w:lang w:eastAsia="en-AU"/>
              </w:rPr>
              <w:t xml:space="preserve"> ($)</w:t>
            </w:r>
          </w:p>
        </w:tc>
        <w:tc>
          <w:tcPr>
            <w:tcW w:w="616" w:type="pct"/>
            <w:noWrap/>
            <w:vAlign w:val="center"/>
            <w:hideMark/>
          </w:tcPr>
          <w:p w14:paraId="496EC08C" w14:textId="77777777" w:rsidR="0065429A" w:rsidRDefault="00062CD0" w:rsidP="00062CD0">
            <w:pPr>
              <w:pStyle w:val="TableText0"/>
              <w:keepNext w:val="0"/>
              <w:jc w:val="center"/>
              <w:rPr>
                <w:b/>
                <w:lang w:eastAsia="en-AU"/>
              </w:rPr>
            </w:pPr>
            <w:r w:rsidRPr="00E95DA1">
              <w:rPr>
                <w:b/>
                <w:lang w:eastAsia="en-AU"/>
              </w:rPr>
              <w:t xml:space="preserve">Inc. </w:t>
            </w:r>
          </w:p>
          <w:p w14:paraId="357C9F8C" w14:textId="1F7793D3" w:rsidR="00062CD0" w:rsidRPr="00E95DA1" w:rsidRDefault="00062CD0" w:rsidP="00062CD0">
            <w:pPr>
              <w:pStyle w:val="TableText0"/>
              <w:keepNext w:val="0"/>
              <w:jc w:val="center"/>
              <w:rPr>
                <w:b/>
                <w:lang w:eastAsia="en-AU"/>
              </w:rPr>
            </w:pPr>
            <w:r w:rsidRPr="00E95DA1">
              <w:rPr>
                <w:b/>
                <w:lang w:eastAsia="en-AU"/>
              </w:rPr>
              <w:t>QALYs</w:t>
            </w:r>
          </w:p>
        </w:tc>
        <w:tc>
          <w:tcPr>
            <w:tcW w:w="616" w:type="pct"/>
            <w:noWrap/>
            <w:vAlign w:val="center"/>
            <w:hideMark/>
          </w:tcPr>
          <w:p w14:paraId="090180D9" w14:textId="77777777" w:rsidR="00062CD0" w:rsidRPr="00E95DA1" w:rsidRDefault="00062CD0" w:rsidP="00062CD0">
            <w:pPr>
              <w:pStyle w:val="TableText0"/>
              <w:keepNext w:val="0"/>
              <w:jc w:val="center"/>
              <w:rPr>
                <w:b/>
                <w:lang w:eastAsia="en-AU"/>
              </w:rPr>
            </w:pPr>
            <w:r w:rsidRPr="00E95DA1">
              <w:rPr>
                <w:b/>
                <w:lang w:eastAsia="en-AU"/>
              </w:rPr>
              <w:t>ICER</w:t>
            </w:r>
          </w:p>
        </w:tc>
        <w:tc>
          <w:tcPr>
            <w:tcW w:w="615" w:type="pct"/>
            <w:noWrap/>
            <w:vAlign w:val="center"/>
            <w:hideMark/>
          </w:tcPr>
          <w:p w14:paraId="19B8C725" w14:textId="77777777" w:rsidR="00062CD0" w:rsidRPr="00E95DA1" w:rsidRDefault="00062CD0" w:rsidP="00062CD0">
            <w:pPr>
              <w:pStyle w:val="TableText0"/>
              <w:keepNext w:val="0"/>
              <w:jc w:val="center"/>
              <w:rPr>
                <w:b/>
                <w:lang w:eastAsia="en-AU"/>
              </w:rPr>
            </w:pPr>
            <w:r w:rsidRPr="00E95DA1">
              <w:rPr>
                <w:b/>
                <w:lang w:eastAsia="en-AU"/>
              </w:rPr>
              <w:t>%</w:t>
            </w:r>
          </w:p>
        </w:tc>
      </w:tr>
      <w:tr w:rsidR="00062CD0" w:rsidRPr="00A67E12" w14:paraId="53976BA9" w14:textId="77777777" w:rsidTr="008226A2">
        <w:trPr>
          <w:tblHeader/>
        </w:trPr>
        <w:tc>
          <w:tcPr>
            <w:tcW w:w="2536" w:type="pct"/>
            <w:tcBorders>
              <w:bottom w:val="single" w:sz="4" w:space="0" w:color="auto"/>
            </w:tcBorders>
            <w:noWrap/>
            <w:hideMark/>
          </w:tcPr>
          <w:p w14:paraId="40567C41" w14:textId="77777777" w:rsidR="00062CD0" w:rsidRPr="00A67E12" w:rsidRDefault="00062CD0" w:rsidP="00062CD0">
            <w:pPr>
              <w:pStyle w:val="TableText0"/>
              <w:keepNext w:val="0"/>
              <w:rPr>
                <w:b/>
                <w:lang w:eastAsia="en-AU"/>
              </w:rPr>
            </w:pPr>
            <w:r w:rsidRPr="00A67E12">
              <w:rPr>
                <w:b/>
                <w:lang w:eastAsia="en-AU"/>
              </w:rPr>
              <w:t>Base cas</w:t>
            </w:r>
            <w:r w:rsidRPr="00CD76FC">
              <w:rPr>
                <w:b/>
                <w:lang w:eastAsia="en-AU"/>
              </w:rPr>
              <w:t>e</w:t>
            </w:r>
          </w:p>
        </w:tc>
        <w:tc>
          <w:tcPr>
            <w:tcW w:w="616" w:type="pct"/>
            <w:tcBorders>
              <w:bottom w:val="single" w:sz="4" w:space="0" w:color="auto"/>
            </w:tcBorders>
            <w:noWrap/>
            <w:hideMark/>
          </w:tcPr>
          <w:p w14:paraId="50E9954A" w14:textId="0DF202A5" w:rsidR="00062CD0" w:rsidRPr="008620A9" w:rsidRDefault="0013119A" w:rsidP="00062CD0">
            <w:pPr>
              <w:pStyle w:val="TableText0"/>
              <w:keepNext w:val="0"/>
              <w:jc w:val="right"/>
              <w:rPr>
                <w:b/>
                <w:highlight w:val="darkGray"/>
                <w:lang w:eastAsia="en-AU"/>
              </w:rPr>
            </w:pPr>
            <w:r w:rsidRPr="0013119A">
              <w:rPr>
                <w:b/>
                <w:color w:val="000000"/>
                <w:spacing w:val="83"/>
                <w:shd w:val="solid" w:color="000000" w:fill="000000"/>
                <w:fitText w:val="175" w:id="-1233471232"/>
                <w:lang w:eastAsia="en-AU"/>
                <w14:textFill>
                  <w14:solidFill>
                    <w14:srgbClr w14:val="000000">
                      <w14:alpha w14:val="100000"/>
                    </w14:srgbClr>
                  </w14:solidFill>
                </w14:textFill>
              </w:rPr>
              <w:t>|</w:t>
            </w:r>
            <w:r w:rsidRPr="0013119A">
              <w:rPr>
                <w:b/>
                <w:color w:val="000000"/>
                <w:spacing w:val="1"/>
                <w:shd w:val="solid" w:color="000000" w:fill="000000"/>
                <w:fitText w:val="175" w:id="-1233471232"/>
                <w:lang w:eastAsia="en-AU"/>
                <w14:textFill>
                  <w14:solidFill>
                    <w14:srgbClr w14:val="000000">
                      <w14:alpha w14:val="100000"/>
                    </w14:srgbClr>
                  </w14:solidFill>
                </w14:textFill>
              </w:rPr>
              <w:t>|</w:t>
            </w:r>
            <w:r w:rsidR="008759DD" w:rsidRPr="008759DD">
              <w:rPr>
                <w:b/>
                <w:lang w:eastAsia="en-AU"/>
              </w:rPr>
              <w:t xml:space="preserve"> </w:t>
            </w:r>
          </w:p>
        </w:tc>
        <w:tc>
          <w:tcPr>
            <w:tcW w:w="616" w:type="pct"/>
            <w:tcBorders>
              <w:bottom w:val="single" w:sz="4" w:space="0" w:color="auto"/>
            </w:tcBorders>
            <w:noWrap/>
            <w:hideMark/>
          </w:tcPr>
          <w:p w14:paraId="2C112342" w14:textId="77777777" w:rsidR="00062CD0" w:rsidRPr="00A67E12" w:rsidRDefault="00062CD0" w:rsidP="00062CD0">
            <w:pPr>
              <w:pStyle w:val="TableText0"/>
              <w:keepNext w:val="0"/>
              <w:jc w:val="right"/>
              <w:rPr>
                <w:b/>
                <w:lang w:eastAsia="en-AU"/>
              </w:rPr>
            </w:pPr>
            <w:r w:rsidRPr="00A67E12">
              <w:rPr>
                <w:b/>
                <w:lang w:eastAsia="en-AU"/>
              </w:rPr>
              <w:t>0.436</w:t>
            </w:r>
          </w:p>
        </w:tc>
        <w:tc>
          <w:tcPr>
            <w:tcW w:w="616" w:type="pct"/>
            <w:tcBorders>
              <w:bottom w:val="single" w:sz="4" w:space="0" w:color="auto"/>
            </w:tcBorders>
            <w:noWrap/>
            <w:hideMark/>
          </w:tcPr>
          <w:p w14:paraId="2882599E" w14:textId="5B679609" w:rsidR="00062CD0" w:rsidRPr="008620A9" w:rsidRDefault="0013119A" w:rsidP="00062CD0">
            <w:pPr>
              <w:pStyle w:val="TableText0"/>
              <w:keepNext w:val="0"/>
              <w:jc w:val="right"/>
              <w:rPr>
                <w:b/>
                <w:highlight w:val="darkGray"/>
                <w:lang w:eastAsia="en-AU"/>
              </w:rPr>
            </w:pPr>
            <w:r w:rsidRPr="0013119A">
              <w:rPr>
                <w:b/>
                <w:color w:val="000000"/>
                <w:spacing w:val="183"/>
                <w:shd w:val="solid" w:color="000000" w:fill="000000"/>
                <w:fitText w:val="275" w:id="-1233471231"/>
                <w:lang w:eastAsia="en-AU"/>
                <w14:textFill>
                  <w14:solidFill>
                    <w14:srgbClr w14:val="000000">
                      <w14:alpha w14:val="100000"/>
                    </w14:srgbClr>
                  </w14:solidFill>
                </w14:textFill>
              </w:rPr>
              <w:t>|</w:t>
            </w:r>
            <w:r w:rsidRPr="0013119A">
              <w:rPr>
                <w:b/>
                <w:color w:val="000000"/>
                <w:spacing w:val="1"/>
                <w:shd w:val="solid" w:color="000000" w:fill="000000"/>
                <w:fitText w:val="275" w:id="-1233471231"/>
                <w:lang w:eastAsia="en-AU"/>
                <w14:textFill>
                  <w14:solidFill>
                    <w14:srgbClr w14:val="000000">
                      <w14:alpha w14:val="100000"/>
                    </w14:srgbClr>
                  </w14:solidFill>
                </w14:textFill>
              </w:rPr>
              <w:t>|</w:t>
            </w:r>
            <w:r w:rsidR="008759DD" w:rsidRPr="008759DD">
              <w:rPr>
                <w:b/>
                <w:lang w:eastAsia="en-AU"/>
              </w:rPr>
              <w:t xml:space="preserve"> </w:t>
            </w:r>
            <w:r w:rsidR="008620A9" w:rsidRPr="008620A9">
              <w:rPr>
                <w:bCs w:val="0"/>
                <w:vertAlign w:val="superscript"/>
                <w:lang w:eastAsia="en-AU"/>
              </w:rPr>
              <w:t>1</w:t>
            </w:r>
          </w:p>
        </w:tc>
        <w:tc>
          <w:tcPr>
            <w:tcW w:w="615" w:type="pct"/>
            <w:tcBorders>
              <w:bottom w:val="single" w:sz="4" w:space="0" w:color="auto"/>
            </w:tcBorders>
            <w:noWrap/>
            <w:hideMark/>
          </w:tcPr>
          <w:p w14:paraId="2BB4D68B" w14:textId="77777777" w:rsidR="00062CD0" w:rsidRPr="00A67E12" w:rsidRDefault="00062CD0" w:rsidP="00062CD0">
            <w:pPr>
              <w:pStyle w:val="TableText0"/>
              <w:keepNext w:val="0"/>
              <w:jc w:val="right"/>
              <w:rPr>
                <w:b/>
                <w:lang w:eastAsia="en-AU"/>
              </w:rPr>
            </w:pPr>
          </w:p>
        </w:tc>
      </w:tr>
      <w:tr w:rsidR="00062CD0" w:rsidRPr="00A67E12" w14:paraId="5A9B7AFE" w14:textId="77777777" w:rsidTr="008226A2">
        <w:tc>
          <w:tcPr>
            <w:tcW w:w="2536" w:type="pct"/>
            <w:tcBorders>
              <w:bottom w:val="nil"/>
            </w:tcBorders>
            <w:noWrap/>
            <w:hideMark/>
          </w:tcPr>
          <w:p w14:paraId="730A1213" w14:textId="77777777" w:rsidR="00062CD0" w:rsidRPr="00A67E12" w:rsidRDefault="00062CD0" w:rsidP="00062CD0">
            <w:pPr>
              <w:pStyle w:val="TableText0"/>
              <w:keepNext w:val="0"/>
              <w:rPr>
                <w:lang w:eastAsia="en-AU"/>
              </w:rPr>
            </w:pPr>
            <w:r w:rsidRPr="00A67E12">
              <w:rPr>
                <w:lang w:eastAsia="en-AU"/>
              </w:rPr>
              <w:t>Time horizon (base case: 30 years)</w:t>
            </w:r>
          </w:p>
        </w:tc>
        <w:tc>
          <w:tcPr>
            <w:tcW w:w="616" w:type="pct"/>
            <w:tcBorders>
              <w:bottom w:val="nil"/>
            </w:tcBorders>
            <w:noWrap/>
            <w:hideMark/>
          </w:tcPr>
          <w:p w14:paraId="64646161" w14:textId="77777777" w:rsidR="00062CD0" w:rsidRPr="008759DD" w:rsidRDefault="00062CD0" w:rsidP="00062CD0">
            <w:pPr>
              <w:pStyle w:val="TableText0"/>
              <w:keepNext w:val="0"/>
              <w:jc w:val="right"/>
              <w:rPr>
                <w:lang w:eastAsia="en-AU"/>
              </w:rPr>
            </w:pPr>
          </w:p>
        </w:tc>
        <w:tc>
          <w:tcPr>
            <w:tcW w:w="616" w:type="pct"/>
            <w:tcBorders>
              <w:bottom w:val="nil"/>
            </w:tcBorders>
            <w:noWrap/>
            <w:hideMark/>
          </w:tcPr>
          <w:p w14:paraId="79F8B774" w14:textId="77777777" w:rsidR="00062CD0" w:rsidRPr="008759DD" w:rsidRDefault="00062CD0" w:rsidP="00062CD0">
            <w:pPr>
              <w:pStyle w:val="TableText0"/>
              <w:keepNext w:val="0"/>
              <w:jc w:val="right"/>
              <w:rPr>
                <w:lang w:eastAsia="en-AU"/>
              </w:rPr>
            </w:pPr>
          </w:p>
        </w:tc>
        <w:tc>
          <w:tcPr>
            <w:tcW w:w="616" w:type="pct"/>
            <w:tcBorders>
              <w:bottom w:val="nil"/>
            </w:tcBorders>
            <w:noWrap/>
            <w:hideMark/>
          </w:tcPr>
          <w:p w14:paraId="55A2C896" w14:textId="77777777" w:rsidR="00062CD0" w:rsidRPr="008759DD" w:rsidRDefault="00062CD0" w:rsidP="00062CD0">
            <w:pPr>
              <w:pStyle w:val="TableText0"/>
              <w:keepNext w:val="0"/>
              <w:jc w:val="right"/>
              <w:rPr>
                <w:lang w:eastAsia="en-AU"/>
              </w:rPr>
            </w:pPr>
          </w:p>
        </w:tc>
        <w:tc>
          <w:tcPr>
            <w:tcW w:w="615" w:type="pct"/>
            <w:tcBorders>
              <w:bottom w:val="nil"/>
            </w:tcBorders>
            <w:noWrap/>
            <w:hideMark/>
          </w:tcPr>
          <w:p w14:paraId="60F60E9D" w14:textId="77777777" w:rsidR="00062CD0" w:rsidRPr="008759DD" w:rsidRDefault="00062CD0" w:rsidP="00062CD0">
            <w:pPr>
              <w:pStyle w:val="TableText0"/>
              <w:keepNext w:val="0"/>
              <w:jc w:val="right"/>
              <w:rPr>
                <w:lang w:eastAsia="en-AU"/>
              </w:rPr>
            </w:pPr>
          </w:p>
        </w:tc>
      </w:tr>
      <w:tr w:rsidR="00062CD0" w:rsidRPr="00A67E12" w14:paraId="0CDF64EB" w14:textId="77777777" w:rsidTr="008226A2">
        <w:tc>
          <w:tcPr>
            <w:tcW w:w="2536" w:type="pct"/>
            <w:tcBorders>
              <w:top w:val="nil"/>
              <w:bottom w:val="nil"/>
            </w:tcBorders>
            <w:shd w:val="clear" w:color="auto" w:fill="auto"/>
            <w:noWrap/>
            <w:hideMark/>
          </w:tcPr>
          <w:p w14:paraId="19CA59F0" w14:textId="77777777" w:rsidR="00062CD0" w:rsidRPr="00A67E12" w:rsidRDefault="00062CD0" w:rsidP="007312D6">
            <w:pPr>
              <w:pStyle w:val="TableText0"/>
              <w:keepNext w:val="0"/>
              <w:numPr>
                <w:ilvl w:val="0"/>
                <w:numId w:val="13"/>
              </w:numPr>
              <w:rPr>
                <w:lang w:eastAsia="en-AU"/>
              </w:rPr>
            </w:pPr>
            <w:r w:rsidRPr="00A67E12">
              <w:rPr>
                <w:lang w:eastAsia="en-AU"/>
              </w:rPr>
              <w:t xml:space="preserve">20 years </w:t>
            </w:r>
            <w:r w:rsidRPr="00A67E12">
              <w:rPr>
                <w:b/>
                <w:lang w:eastAsia="en-AU"/>
              </w:rPr>
              <w:t>#5</w:t>
            </w:r>
          </w:p>
        </w:tc>
        <w:tc>
          <w:tcPr>
            <w:tcW w:w="616" w:type="pct"/>
            <w:tcBorders>
              <w:top w:val="nil"/>
              <w:bottom w:val="nil"/>
            </w:tcBorders>
            <w:shd w:val="clear" w:color="auto" w:fill="auto"/>
            <w:noWrap/>
            <w:hideMark/>
          </w:tcPr>
          <w:p w14:paraId="02E902BD" w14:textId="10BF932D" w:rsidR="00062CD0" w:rsidRPr="008620A9" w:rsidRDefault="0013119A" w:rsidP="00062CD0">
            <w:pPr>
              <w:pStyle w:val="TableText0"/>
              <w:keepNext w:val="0"/>
              <w:jc w:val="right"/>
              <w:rPr>
                <w:highlight w:val="darkGray"/>
                <w:lang w:eastAsia="en-AU"/>
              </w:rPr>
            </w:pPr>
            <w:r w:rsidRPr="0013119A">
              <w:rPr>
                <w:rFonts w:hint="eastAsia"/>
                <w:color w:val="000000"/>
                <w:w w:val="20"/>
                <w:shd w:val="solid" w:color="000000" w:fill="000000"/>
                <w:fitText w:val="92" w:id="-1233471230"/>
                <w:lang w:eastAsia="en-AU"/>
                <w14:textFill>
                  <w14:solidFill>
                    <w14:srgbClr w14:val="000000">
                      <w14:alpha w14:val="100000"/>
                    </w14:srgbClr>
                  </w14:solidFill>
                </w14:textFill>
              </w:rPr>
              <w:t xml:space="preserve">　</w:t>
            </w:r>
            <w:r w:rsidRPr="0013119A">
              <w:rPr>
                <w:color w:val="000000"/>
                <w:w w:val="20"/>
                <w:shd w:val="solid" w:color="000000" w:fill="000000"/>
                <w:fitText w:val="92" w:id="-1233471230"/>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30"/>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shd w:val="clear" w:color="auto" w:fill="auto"/>
            <w:noWrap/>
            <w:hideMark/>
          </w:tcPr>
          <w:p w14:paraId="401AC921" w14:textId="77777777" w:rsidR="00062CD0" w:rsidRPr="00A67E12" w:rsidRDefault="00062CD0" w:rsidP="00062CD0">
            <w:pPr>
              <w:pStyle w:val="TableText0"/>
              <w:keepNext w:val="0"/>
              <w:jc w:val="right"/>
              <w:rPr>
                <w:lang w:eastAsia="en-AU"/>
              </w:rPr>
            </w:pPr>
            <w:r w:rsidRPr="00A67E12">
              <w:rPr>
                <w:lang w:eastAsia="en-AU"/>
              </w:rPr>
              <w:t>0.277</w:t>
            </w:r>
          </w:p>
        </w:tc>
        <w:tc>
          <w:tcPr>
            <w:tcW w:w="616" w:type="pct"/>
            <w:tcBorders>
              <w:top w:val="nil"/>
              <w:bottom w:val="nil"/>
            </w:tcBorders>
            <w:shd w:val="clear" w:color="auto" w:fill="auto"/>
            <w:noWrap/>
            <w:hideMark/>
          </w:tcPr>
          <w:p w14:paraId="5EA2C0DE" w14:textId="2B430830" w:rsidR="00062CD0" w:rsidRPr="008620A9" w:rsidRDefault="0013119A" w:rsidP="00062CD0">
            <w:pPr>
              <w:pStyle w:val="TableText0"/>
              <w:keepNext w:val="0"/>
              <w:jc w:val="right"/>
              <w:rPr>
                <w:highlight w:val="darkGray"/>
                <w:lang w:eastAsia="en-AU"/>
              </w:rPr>
            </w:pPr>
            <w:r w:rsidRPr="0013119A">
              <w:rPr>
                <w:color w:val="000000"/>
                <w:spacing w:val="114"/>
                <w:shd w:val="solid" w:color="000000" w:fill="000000"/>
                <w:fitText w:val="200" w:id="-1233471229"/>
                <w:lang w:eastAsia="en-AU"/>
                <w14:textFill>
                  <w14:solidFill>
                    <w14:srgbClr w14:val="000000">
                      <w14:alpha w14:val="100000"/>
                    </w14:srgbClr>
                  </w14:solidFill>
                </w14:textFill>
              </w:rPr>
              <w:t>|</w:t>
            </w:r>
            <w:r w:rsidRPr="0013119A">
              <w:rPr>
                <w:color w:val="000000"/>
                <w:spacing w:val="1"/>
                <w:shd w:val="solid" w:color="000000" w:fill="000000"/>
                <w:fitText w:val="200" w:id="-1233471229"/>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2</w:t>
            </w:r>
          </w:p>
        </w:tc>
        <w:tc>
          <w:tcPr>
            <w:tcW w:w="615" w:type="pct"/>
            <w:tcBorders>
              <w:top w:val="nil"/>
              <w:bottom w:val="nil"/>
            </w:tcBorders>
            <w:shd w:val="clear" w:color="auto" w:fill="auto"/>
            <w:noWrap/>
            <w:hideMark/>
          </w:tcPr>
          <w:p w14:paraId="24CDF93D" w14:textId="77777777" w:rsidR="00062CD0" w:rsidRPr="00A67E12" w:rsidRDefault="00062CD0" w:rsidP="00062CD0">
            <w:pPr>
              <w:pStyle w:val="TableText0"/>
              <w:keepNext w:val="0"/>
              <w:jc w:val="right"/>
              <w:rPr>
                <w:lang w:eastAsia="en-AU"/>
              </w:rPr>
            </w:pPr>
            <w:r w:rsidRPr="00A67E12">
              <w:rPr>
                <w:lang w:eastAsia="en-AU"/>
              </w:rPr>
              <w:t>66%</w:t>
            </w:r>
          </w:p>
        </w:tc>
      </w:tr>
      <w:tr w:rsidR="00062CD0" w:rsidRPr="00A67E12" w14:paraId="5A247669" w14:textId="77777777" w:rsidTr="008226A2">
        <w:tc>
          <w:tcPr>
            <w:tcW w:w="2536" w:type="pct"/>
            <w:tcBorders>
              <w:top w:val="nil"/>
              <w:bottom w:val="nil"/>
            </w:tcBorders>
            <w:noWrap/>
            <w:hideMark/>
          </w:tcPr>
          <w:p w14:paraId="712F30FC" w14:textId="77777777" w:rsidR="00062CD0" w:rsidRPr="00A67E12" w:rsidRDefault="00062CD0" w:rsidP="007312D6">
            <w:pPr>
              <w:pStyle w:val="TableText0"/>
              <w:keepNext w:val="0"/>
              <w:numPr>
                <w:ilvl w:val="0"/>
                <w:numId w:val="13"/>
              </w:numPr>
              <w:rPr>
                <w:lang w:eastAsia="en-AU"/>
              </w:rPr>
            </w:pPr>
            <w:r w:rsidRPr="00A67E12">
              <w:rPr>
                <w:lang w:eastAsia="en-AU"/>
              </w:rPr>
              <w:t>25 years</w:t>
            </w:r>
          </w:p>
        </w:tc>
        <w:tc>
          <w:tcPr>
            <w:tcW w:w="616" w:type="pct"/>
            <w:tcBorders>
              <w:top w:val="nil"/>
              <w:bottom w:val="nil"/>
            </w:tcBorders>
            <w:noWrap/>
            <w:hideMark/>
          </w:tcPr>
          <w:p w14:paraId="3A77146E" w14:textId="2F534DC4" w:rsidR="00062CD0" w:rsidRPr="008620A9" w:rsidRDefault="0013119A" w:rsidP="00062CD0">
            <w:pPr>
              <w:pStyle w:val="TableText0"/>
              <w:keepNext w:val="0"/>
              <w:jc w:val="right"/>
              <w:rPr>
                <w:highlight w:val="darkGray"/>
                <w:lang w:eastAsia="en-AU"/>
              </w:rPr>
            </w:pPr>
            <w:r w:rsidRPr="0013119A">
              <w:rPr>
                <w:rFonts w:hint="eastAsia"/>
                <w:color w:val="000000"/>
                <w:w w:val="20"/>
                <w:shd w:val="solid" w:color="000000" w:fill="000000"/>
                <w:fitText w:val="92" w:id="-1233471228"/>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8"/>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8"/>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hideMark/>
          </w:tcPr>
          <w:p w14:paraId="0557948F" w14:textId="77777777" w:rsidR="00062CD0" w:rsidRPr="00A67E12" w:rsidRDefault="00062CD0" w:rsidP="00062CD0">
            <w:pPr>
              <w:pStyle w:val="TableText0"/>
              <w:keepNext w:val="0"/>
              <w:jc w:val="right"/>
              <w:rPr>
                <w:lang w:eastAsia="en-AU"/>
              </w:rPr>
            </w:pPr>
            <w:r w:rsidRPr="00A67E12">
              <w:rPr>
                <w:lang w:eastAsia="en-AU"/>
              </w:rPr>
              <w:t>0.372</w:t>
            </w:r>
          </w:p>
        </w:tc>
        <w:tc>
          <w:tcPr>
            <w:tcW w:w="616" w:type="pct"/>
            <w:tcBorders>
              <w:top w:val="nil"/>
              <w:bottom w:val="nil"/>
            </w:tcBorders>
            <w:noWrap/>
            <w:hideMark/>
          </w:tcPr>
          <w:p w14:paraId="0BEAE833" w14:textId="669BA08F" w:rsidR="00062CD0" w:rsidRPr="008620A9" w:rsidRDefault="0013119A" w:rsidP="00062CD0">
            <w:pPr>
              <w:pStyle w:val="TableText0"/>
              <w:keepNext w:val="0"/>
              <w:jc w:val="right"/>
              <w:rPr>
                <w:highlight w:val="darkGray"/>
                <w:lang w:eastAsia="en-AU"/>
              </w:rPr>
            </w:pPr>
            <w:r w:rsidRPr="0013119A">
              <w:rPr>
                <w:color w:val="000000"/>
                <w:spacing w:val="114"/>
                <w:shd w:val="solid" w:color="000000" w:fill="000000"/>
                <w:fitText w:val="200" w:id="-1233471227"/>
                <w:lang w:eastAsia="en-AU"/>
                <w14:textFill>
                  <w14:solidFill>
                    <w14:srgbClr w14:val="000000">
                      <w14:alpha w14:val="100000"/>
                    </w14:srgbClr>
                  </w14:solidFill>
                </w14:textFill>
              </w:rPr>
              <w:t>|</w:t>
            </w:r>
            <w:r w:rsidRPr="0013119A">
              <w:rPr>
                <w:color w:val="000000"/>
                <w:spacing w:val="1"/>
                <w:shd w:val="solid" w:color="000000" w:fill="000000"/>
                <w:fitText w:val="200" w:id="-1233471227"/>
                <w:lang w:eastAsia="en-AU"/>
                <w14:textFill>
                  <w14:solidFill>
                    <w14:srgbClr w14:val="000000">
                      <w14:alpha w14:val="100000"/>
                    </w14:srgbClr>
                  </w14:solidFill>
                </w14:textFill>
              </w:rPr>
              <w:t>|</w:t>
            </w:r>
            <w:r w:rsidR="008759DD" w:rsidRPr="008759DD">
              <w:rPr>
                <w:lang w:eastAsia="en-AU"/>
              </w:rPr>
              <w:t xml:space="preserve"> </w:t>
            </w:r>
            <w:r w:rsidR="008620A9" w:rsidRPr="008620A9">
              <w:rPr>
                <w:bCs w:val="0"/>
                <w:vertAlign w:val="superscript"/>
                <w:lang w:eastAsia="en-AU"/>
              </w:rPr>
              <w:t>1</w:t>
            </w:r>
          </w:p>
        </w:tc>
        <w:tc>
          <w:tcPr>
            <w:tcW w:w="615" w:type="pct"/>
            <w:tcBorders>
              <w:top w:val="nil"/>
              <w:bottom w:val="nil"/>
            </w:tcBorders>
            <w:noWrap/>
            <w:hideMark/>
          </w:tcPr>
          <w:p w14:paraId="4DDAB37C" w14:textId="77777777" w:rsidR="00062CD0" w:rsidRPr="00A67E12" w:rsidRDefault="00062CD0" w:rsidP="00062CD0">
            <w:pPr>
              <w:pStyle w:val="TableText0"/>
              <w:keepNext w:val="0"/>
              <w:jc w:val="right"/>
              <w:rPr>
                <w:lang w:eastAsia="en-AU"/>
              </w:rPr>
            </w:pPr>
            <w:r w:rsidRPr="00A67E12">
              <w:rPr>
                <w:lang w:eastAsia="en-AU"/>
              </w:rPr>
              <w:t>19%</w:t>
            </w:r>
          </w:p>
        </w:tc>
      </w:tr>
      <w:tr w:rsidR="00062CD0" w:rsidRPr="00A67E12" w14:paraId="07F48643" w14:textId="77777777" w:rsidTr="008226A2">
        <w:tc>
          <w:tcPr>
            <w:tcW w:w="2536" w:type="pct"/>
            <w:tcBorders>
              <w:top w:val="nil"/>
              <w:bottom w:val="single" w:sz="4" w:space="0" w:color="auto"/>
            </w:tcBorders>
            <w:noWrap/>
          </w:tcPr>
          <w:p w14:paraId="43DF763B" w14:textId="77777777" w:rsidR="00062CD0" w:rsidRPr="00A67E12" w:rsidRDefault="00062CD0" w:rsidP="00062CD0">
            <w:pPr>
              <w:pStyle w:val="TableText0"/>
              <w:keepNext w:val="0"/>
            </w:pPr>
            <w:r w:rsidRPr="00A67E12">
              <w:rPr>
                <w:lang w:eastAsia="en-AU"/>
              </w:rPr>
              <w:t>Age at model entry (base case</w:t>
            </w:r>
            <w:r w:rsidRPr="00EC58C1">
              <w:rPr>
                <w:lang w:eastAsia="en-AU"/>
              </w:rPr>
              <w:t>: 52.2 years),</w:t>
            </w:r>
            <w:r w:rsidRPr="00A67E12">
              <w:rPr>
                <w:lang w:eastAsia="en-AU"/>
              </w:rPr>
              <w:t xml:space="preserve"> 61.4 years </w:t>
            </w:r>
            <w:r w:rsidRPr="00A67E12">
              <w:rPr>
                <w:b/>
                <w:lang w:eastAsia="en-AU"/>
              </w:rPr>
              <w:t>#8</w:t>
            </w:r>
          </w:p>
        </w:tc>
        <w:tc>
          <w:tcPr>
            <w:tcW w:w="616" w:type="pct"/>
            <w:tcBorders>
              <w:top w:val="nil"/>
              <w:bottom w:val="single" w:sz="4" w:space="0" w:color="auto"/>
            </w:tcBorders>
            <w:noWrap/>
          </w:tcPr>
          <w:p w14:paraId="6EC79856" w14:textId="07332BBE" w:rsidR="00062CD0" w:rsidRPr="008620A9" w:rsidRDefault="0013119A" w:rsidP="00062CD0">
            <w:pPr>
              <w:pStyle w:val="TableText0"/>
              <w:keepNext w:val="0"/>
              <w:jc w:val="right"/>
              <w:rPr>
                <w:highlight w:val="darkGray"/>
              </w:rPr>
            </w:pPr>
            <w:r w:rsidRPr="0013119A">
              <w:rPr>
                <w:rFonts w:hint="eastAsia"/>
                <w:color w:val="000000"/>
                <w:w w:val="20"/>
                <w:shd w:val="solid" w:color="000000" w:fill="000000"/>
                <w:fitText w:val="92" w:id="-1233471226"/>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6"/>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6"/>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single" w:sz="4" w:space="0" w:color="auto"/>
            </w:tcBorders>
            <w:noWrap/>
          </w:tcPr>
          <w:p w14:paraId="7A2C1273" w14:textId="21418760" w:rsidR="00062CD0" w:rsidRPr="00A67E12" w:rsidRDefault="00062CD0" w:rsidP="00062CD0">
            <w:pPr>
              <w:pStyle w:val="TableText0"/>
              <w:keepNext w:val="0"/>
              <w:jc w:val="right"/>
            </w:pPr>
            <w:r w:rsidRPr="00A67E12">
              <w:rPr>
                <w:lang w:eastAsia="en-AU"/>
              </w:rPr>
              <w:t>0.3</w:t>
            </w:r>
            <w:r w:rsidR="00CD76FC">
              <w:rPr>
                <w:lang w:eastAsia="en-AU"/>
              </w:rPr>
              <w:t>90</w:t>
            </w:r>
          </w:p>
        </w:tc>
        <w:tc>
          <w:tcPr>
            <w:tcW w:w="616" w:type="pct"/>
            <w:tcBorders>
              <w:top w:val="nil"/>
              <w:bottom w:val="single" w:sz="4" w:space="0" w:color="auto"/>
            </w:tcBorders>
            <w:noWrap/>
          </w:tcPr>
          <w:p w14:paraId="07CCC5AF" w14:textId="2C27FDBC" w:rsidR="00062CD0" w:rsidRPr="008620A9" w:rsidRDefault="0013119A" w:rsidP="00062CD0">
            <w:pPr>
              <w:pStyle w:val="TableText0"/>
              <w:keepNext w:val="0"/>
              <w:jc w:val="right"/>
              <w:rPr>
                <w:highlight w:val="darkGray"/>
              </w:rPr>
            </w:pPr>
            <w:r w:rsidRPr="0013119A">
              <w:rPr>
                <w:color w:val="000000"/>
                <w:spacing w:val="114"/>
                <w:shd w:val="solid" w:color="000000" w:fill="000000"/>
                <w:fitText w:val="200" w:id="-1233471225"/>
                <w:lang w:eastAsia="en-AU"/>
                <w14:textFill>
                  <w14:solidFill>
                    <w14:srgbClr w14:val="000000">
                      <w14:alpha w14:val="100000"/>
                    </w14:srgbClr>
                  </w14:solidFill>
                </w14:textFill>
              </w:rPr>
              <w:t>|</w:t>
            </w:r>
            <w:r w:rsidRPr="0013119A">
              <w:rPr>
                <w:color w:val="000000"/>
                <w:spacing w:val="1"/>
                <w:shd w:val="solid" w:color="000000" w:fill="000000"/>
                <w:fitText w:val="200" w:id="-1233471225"/>
                <w:lang w:eastAsia="en-AU"/>
                <w14:textFill>
                  <w14:solidFill>
                    <w14:srgbClr w14:val="000000">
                      <w14:alpha w14:val="100000"/>
                    </w14:srgbClr>
                  </w14:solidFill>
                </w14:textFill>
              </w:rPr>
              <w:t>|</w:t>
            </w:r>
            <w:r w:rsidR="008759DD" w:rsidRPr="008759DD">
              <w:rPr>
                <w:lang w:eastAsia="en-AU"/>
              </w:rPr>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55C88072" w14:textId="20195CE9" w:rsidR="00062CD0" w:rsidRPr="00A67E12" w:rsidRDefault="00CD76FC" w:rsidP="00062CD0">
            <w:pPr>
              <w:pStyle w:val="TableText0"/>
              <w:keepNext w:val="0"/>
              <w:jc w:val="right"/>
            </w:pPr>
            <w:r>
              <w:rPr>
                <w:lang w:eastAsia="en-AU"/>
              </w:rPr>
              <w:t>21</w:t>
            </w:r>
            <w:r w:rsidR="00062CD0" w:rsidRPr="00A67E12">
              <w:rPr>
                <w:lang w:eastAsia="en-AU"/>
              </w:rPr>
              <w:t>%</w:t>
            </w:r>
          </w:p>
        </w:tc>
      </w:tr>
      <w:tr w:rsidR="00062CD0" w:rsidRPr="00A67E12" w14:paraId="3FBE2503" w14:textId="77777777" w:rsidTr="008226A2">
        <w:tc>
          <w:tcPr>
            <w:tcW w:w="2536" w:type="pct"/>
            <w:tcBorders>
              <w:top w:val="nil"/>
              <w:bottom w:val="single" w:sz="4" w:space="0" w:color="auto"/>
            </w:tcBorders>
            <w:noWrap/>
          </w:tcPr>
          <w:p w14:paraId="4ACF5A95" w14:textId="7FF8CE3E" w:rsidR="00062CD0" w:rsidRPr="00A67E12" w:rsidRDefault="00062CD0" w:rsidP="00062CD0">
            <w:pPr>
              <w:pStyle w:val="TableText0"/>
              <w:keepNext w:val="0"/>
            </w:pPr>
            <w:r w:rsidRPr="00A67E12">
              <w:t xml:space="preserve">Modelled population (base case: </w:t>
            </w:r>
            <w:r w:rsidR="00723A71" w:rsidRPr="00A67E12">
              <w:t>Cohort</w:t>
            </w:r>
            <w:r w:rsidRPr="00A67E12">
              <w:t xml:space="preserve"> 1), ITT</w:t>
            </w:r>
          </w:p>
        </w:tc>
        <w:tc>
          <w:tcPr>
            <w:tcW w:w="616" w:type="pct"/>
            <w:tcBorders>
              <w:top w:val="nil"/>
              <w:bottom w:val="single" w:sz="4" w:space="0" w:color="auto"/>
            </w:tcBorders>
            <w:noWrap/>
          </w:tcPr>
          <w:p w14:paraId="0FD2E059" w14:textId="697DB722" w:rsidR="00062CD0" w:rsidRPr="008620A9" w:rsidRDefault="0013119A" w:rsidP="00062CD0">
            <w:pPr>
              <w:pStyle w:val="TableText0"/>
              <w:keepNext w:val="0"/>
              <w:jc w:val="right"/>
              <w:rPr>
                <w:highlight w:val="darkGray"/>
              </w:rPr>
            </w:pPr>
            <w:r w:rsidRPr="0013119A">
              <w:rPr>
                <w:rFonts w:hint="eastAsia"/>
                <w:color w:val="000000"/>
                <w:w w:val="20"/>
                <w:shd w:val="solid" w:color="000000" w:fill="000000"/>
                <w:fitText w:val="92" w:id="-1233471224"/>
                <w14:textFill>
                  <w14:solidFill>
                    <w14:srgbClr w14:val="000000">
                      <w14:alpha w14:val="100000"/>
                    </w14:srgbClr>
                  </w14:solidFill>
                </w14:textFill>
              </w:rPr>
              <w:t xml:space="preserve">　</w:t>
            </w:r>
            <w:r w:rsidRPr="0013119A">
              <w:rPr>
                <w:color w:val="000000"/>
                <w:w w:val="20"/>
                <w:shd w:val="solid" w:color="000000" w:fill="000000"/>
                <w:fitText w:val="92" w:id="-1233471224"/>
                <w14:textFill>
                  <w14:solidFill>
                    <w14:srgbClr w14:val="000000">
                      <w14:alpha w14:val="100000"/>
                    </w14:srgbClr>
                  </w14:solidFill>
                </w14:textFill>
              </w:rPr>
              <w:t>|</w:t>
            </w:r>
            <w:r w:rsidRPr="0013119A">
              <w:rPr>
                <w:rFonts w:hint="eastAsia"/>
                <w:color w:val="000000"/>
                <w:spacing w:val="5"/>
                <w:w w:val="20"/>
                <w:shd w:val="solid" w:color="000000" w:fill="000000"/>
                <w:fitText w:val="92" w:id="-1233471224"/>
                <w14:textFill>
                  <w14:solidFill>
                    <w14:srgbClr w14:val="000000">
                      <w14:alpha w14:val="100000"/>
                    </w14:srgbClr>
                  </w14:solidFill>
                </w14:textFill>
              </w:rPr>
              <w:t xml:space="preserve">　</w:t>
            </w:r>
            <w:r w:rsidR="008759DD" w:rsidRPr="008759DD">
              <w:t xml:space="preserve"> </w:t>
            </w:r>
          </w:p>
        </w:tc>
        <w:tc>
          <w:tcPr>
            <w:tcW w:w="616" w:type="pct"/>
            <w:tcBorders>
              <w:top w:val="nil"/>
              <w:bottom w:val="single" w:sz="4" w:space="0" w:color="auto"/>
            </w:tcBorders>
            <w:noWrap/>
          </w:tcPr>
          <w:p w14:paraId="27F55E1F" w14:textId="77777777" w:rsidR="00062CD0" w:rsidRPr="00A67E12" w:rsidRDefault="00062CD0" w:rsidP="00062CD0">
            <w:pPr>
              <w:pStyle w:val="TableText0"/>
              <w:keepNext w:val="0"/>
              <w:jc w:val="right"/>
            </w:pPr>
            <w:r w:rsidRPr="00A67E12">
              <w:t>0.391</w:t>
            </w:r>
          </w:p>
        </w:tc>
        <w:tc>
          <w:tcPr>
            <w:tcW w:w="616" w:type="pct"/>
            <w:tcBorders>
              <w:top w:val="nil"/>
              <w:bottom w:val="single" w:sz="4" w:space="0" w:color="auto"/>
            </w:tcBorders>
            <w:noWrap/>
          </w:tcPr>
          <w:p w14:paraId="0B28900D" w14:textId="5D3064A5" w:rsidR="00062CD0" w:rsidRPr="008620A9" w:rsidRDefault="0013119A" w:rsidP="00062CD0">
            <w:pPr>
              <w:pStyle w:val="TableText0"/>
              <w:keepNext w:val="0"/>
              <w:jc w:val="right"/>
              <w:rPr>
                <w:highlight w:val="darkGray"/>
              </w:rPr>
            </w:pPr>
            <w:r w:rsidRPr="0013119A">
              <w:rPr>
                <w:color w:val="000000"/>
                <w:spacing w:val="114"/>
                <w:shd w:val="solid" w:color="000000" w:fill="000000"/>
                <w:fitText w:val="200" w:id="-1233471223"/>
                <w14:textFill>
                  <w14:solidFill>
                    <w14:srgbClr w14:val="000000">
                      <w14:alpha w14:val="100000"/>
                    </w14:srgbClr>
                  </w14:solidFill>
                </w14:textFill>
              </w:rPr>
              <w:t>|</w:t>
            </w:r>
            <w:r w:rsidRPr="0013119A">
              <w:rPr>
                <w:color w:val="000000"/>
                <w:spacing w:val="1"/>
                <w:shd w:val="solid" w:color="000000" w:fill="000000"/>
                <w:fitText w:val="200" w:id="-1233471223"/>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2E2AEC76" w14:textId="77777777" w:rsidR="00062CD0" w:rsidRPr="00A67E12" w:rsidRDefault="00062CD0" w:rsidP="00062CD0">
            <w:pPr>
              <w:pStyle w:val="TableText0"/>
              <w:keepNext w:val="0"/>
              <w:jc w:val="right"/>
            </w:pPr>
            <w:r w:rsidRPr="00A67E12">
              <w:t>13%</w:t>
            </w:r>
          </w:p>
        </w:tc>
      </w:tr>
      <w:tr w:rsidR="00062CD0" w:rsidRPr="00A67E12" w14:paraId="00D956E3" w14:textId="77777777" w:rsidTr="008226A2">
        <w:tc>
          <w:tcPr>
            <w:tcW w:w="2536" w:type="pct"/>
            <w:tcBorders>
              <w:bottom w:val="nil"/>
            </w:tcBorders>
            <w:noWrap/>
            <w:hideMark/>
          </w:tcPr>
          <w:p w14:paraId="7C9EBC21" w14:textId="77777777" w:rsidR="00062CD0" w:rsidRPr="00A67E12" w:rsidRDefault="00062CD0" w:rsidP="00062CD0">
            <w:pPr>
              <w:pStyle w:val="TableText0"/>
              <w:keepNext w:val="0"/>
              <w:rPr>
                <w:lang w:eastAsia="en-AU"/>
              </w:rPr>
            </w:pPr>
            <w:r w:rsidRPr="00A67E12">
              <w:rPr>
                <w:lang w:eastAsia="en-AU"/>
              </w:rPr>
              <w:t>Discount rate (base case: 5% per annum)</w:t>
            </w:r>
          </w:p>
        </w:tc>
        <w:tc>
          <w:tcPr>
            <w:tcW w:w="616" w:type="pct"/>
            <w:tcBorders>
              <w:bottom w:val="nil"/>
            </w:tcBorders>
            <w:noWrap/>
            <w:hideMark/>
          </w:tcPr>
          <w:p w14:paraId="70A4283C" w14:textId="77777777" w:rsidR="00062CD0" w:rsidRPr="008759DD" w:rsidRDefault="00062CD0" w:rsidP="00062CD0">
            <w:pPr>
              <w:pStyle w:val="TableText0"/>
              <w:keepNext w:val="0"/>
              <w:jc w:val="right"/>
              <w:rPr>
                <w:lang w:eastAsia="en-AU"/>
              </w:rPr>
            </w:pPr>
          </w:p>
        </w:tc>
        <w:tc>
          <w:tcPr>
            <w:tcW w:w="616" w:type="pct"/>
            <w:tcBorders>
              <w:bottom w:val="nil"/>
            </w:tcBorders>
            <w:noWrap/>
            <w:hideMark/>
          </w:tcPr>
          <w:p w14:paraId="64A87583" w14:textId="77777777" w:rsidR="00062CD0" w:rsidRPr="008759DD" w:rsidRDefault="00062CD0" w:rsidP="00062CD0">
            <w:pPr>
              <w:pStyle w:val="TableText0"/>
              <w:keepNext w:val="0"/>
              <w:jc w:val="right"/>
              <w:rPr>
                <w:lang w:eastAsia="en-AU"/>
              </w:rPr>
            </w:pPr>
          </w:p>
        </w:tc>
        <w:tc>
          <w:tcPr>
            <w:tcW w:w="616" w:type="pct"/>
            <w:tcBorders>
              <w:bottom w:val="nil"/>
            </w:tcBorders>
            <w:noWrap/>
            <w:hideMark/>
          </w:tcPr>
          <w:p w14:paraId="2DB11C33" w14:textId="77777777" w:rsidR="00062CD0" w:rsidRPr="008759DD" w:rsidRDefault="00062CD0" w:rsidP="00062CD0">
            <w:pPr>
              <w:pStyle w:val="TableText0"/>
              <w:keepNext w:val="0"/>
              <w:jc w:val="right"/>
              <w:rPr>
                <w:lang w:eastAsia="en-AU"/>
              </w:rPr>
            </w:pPr>
          </w:p>
        </w:tc>
        <w:tc>
          <w:tcPr>
            <w:tcW w:w="615" w:type="pct"/>
            <w:tcBorders>
              <w:bottom w:val="nil"/>
            </w:tcBorders>
            <w:noWrap/>
            <w:hideMark/>
          </w:tcPr>
          <w:p w14:paraId="7E93A2CC" w14:textId="77777777" w:rsidR="00062CD0" w:rsidRPr="008759DD" w:rsidRDefault="00062CD0" w:rsidP="00062CD0">
            <w:pPr>
              <w:pStyle w:val="TableText0"/>
              <w:keepNext w:val="0"/>
              <w:jc w:val="right"/>
              <w:rPr>
                <w:lang w:eastAsia="en-AU"/>
              </w:rPr>
            </w:pPr>
          </w:p>
        </w:tc>
      </w:tr>
      <w:tr w:rsidR="00F3054D" w:rsidRPr="00A67E12" w14:paraId="025E6E51" w14:textId="77777777" w:rsidTr="008226A2">
        <w:tc>
          <w:tcPr>
            <w:tcW w:w="2536" w:type="pct"/>
            <w:tcBorders>
              <w:top w:val="nil"/>
              <w:bottom w:val="nil"/>
            </w:tcBorders>
            <w:noWrap/>
          </w:tcPr>
          <w:p w14:paraId="692B4864" w14:textId="2D5C1F17" w:rsidR="00F3054D" w:rsidRPr="00A67E12" w:rsidRDefault="00F3054D" w:rsidP="007312D6">
            <w:pPr>
              <w:pStyle w:val="TableText0"/>
              <w:keepNext w:val="0"/>
              <w:numPr>
                <w:ilvl w:val="0"/>
                <w:numId w:val="13"/>
              </w:numPr>
            </w:pPr>
            <w:r w:rsidRPr="00A67E12">
              <w:t>0%</w:t>
            </w:r>
          </w:p>
        </w:tc>
        <w:tc>
          <w:tcPr>
            <w:tcW w:w="616" w:type="pct"/>
            <w:tcBorders>
              <w:top w:val="nil"/>
              <w:bottom w:val="nil"/>
            </w:tcBorders>
            <w:noWrap/>
          </w:tcPr>
          <w:p w14:paraId="3C8502BD" w14:textId="4FAF76C4"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2"/>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2"/>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2"/>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tcPr>
          <w:p w14:paraId="55C6E167" w14:textId="2E6D5AB2" w:rsidR="00F3054D" w:rsidRPr="00A67E12" w:rsidRDefault="00F3054D" w:rsidP="00F3054D">
            <w:pPr>
              <w:pStyle w:val="TableText0"/>
              <w:keepNext w:val="0"/>
              <w:jc w:val="right"/>
            </w:pPr>
            <w:r w:rsidRPr="00A67E12">
              <w:rPr>
                <w:lang w:eastAsia="en-AU"/>
              </w:rPr>
              <w:t>1.069</w:t>
            </w:r>
          </w:p>
        </w:tc>
        <w:tc>
          <w:tcPr>
            <w:tcW w:w="616" w:type="pct"/>
            <w:tcBorders>
              <w:top w:val="nil"/>
              <w:bottom w:val="nil"/>
            </w:tcBorders>
            <w:noWrap/>
          </w:tcPr>
          <w:p w14:paraId="49C216F7" w14:textId="2702AF92"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1"/>
                <w:lang w:eastAsia="en-AU"/>
                <w14:textFill>
                  <w14:solidFill>
                    <w14:srgbClr w14:val="000000">
                      <w14:alpha w14:val="100000"/>
                    </w14:srgbClr>
                  </w14:solidFill>
                </w14:textFill>
              </w:rPr>
              <w:t>|</w:t>
            </w:r>
            <w:r w:rsidRPr="0013119A">
              <w:rPr>
                <w:color w:val="000000"/>
                <w:spacing w:val="1"/>
                <w:shd w:val="solid" w:color="000000" w:fill="000000"/>
                <w:fitText w:val="200" w:id="-1233471221"/>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3</w:t>
            </w:r>
          </w:p>
        </w:tc>
        <w:tc>
          <w:tcPr>
            <w:tcW w:w="615" w:type="pct"/>
            <w:tcBorders>
              <w:top w:val="nil"/>
              <w:bottom w:val="nil"/>
            </w:tcBorders>
            <w:noWrap/>
          </w:tcPr>
          <w:p w14:paraId="35F7E6CF" w14:textId="281887CB" w:rsidR="00F3054D" w:rsidRPr="00A67E12" w:rsidRDefault="00F3054D" w:rsidP="00F3054D">
            <w:pPr>
              <w:pStyle w:val="TableText0"/>
              <w:keepNext w:val="0"/>
              <w:jc w:val="right"/>
            </w:pPr>
            <w:r w:rsidRPr="00A67E12">
              <w:rPr>
                <w:lang w:eastAsia="en-AU"/>
              </w:rPr>
              <w:t>-83%</w:t>
            </w:r>
          </w:p>
        </w:tc>
      </w:tr>
      <w:tr w:rsidR="00F3054D" w:rsidRPr="00A67E12" w14:paraId="701AB9D9" w14:textId="77777777" w:rsidTr="008226A2">
        <w:tc>
          <w:tcPr>
            <w:tcW w:w="2536" w:type="pct"/>
            <w:tcBorders>
              <w:top w:val="nil"/>
              <w:bottom w:val="single" w:sz="4" w:space="0" w:color="auto"/>
            </w:tcBorders>
            <w:noWrap/>
            <w:hideMark/>
          </w:tcPr>
          <w:p w14:paraId="2CE6EFCC" w14:textId="77777777" w:rsidR="00F3054D" w:rsidRPr="00A67E12" w:rsidRDefault="00F3054D" w:rsidP="007312D6">
            <w:pPr>
              <w:pStyle w:val="TableText0"/>
              <w:keepNext w:val="0"/>
              <w:numPr>
                <w:ilvl w:val="0"/>
                <w:numId w:val="13"/>
              </w:numPr>
              <w:rPr>
                <w:lang w:eastAsia="en-AU"/>
              </w:rPr>
            </w:pPr>
            <w:r w:rsidRPr="00A67E12">
              <w:rPr>
                <w:lang w:eastAsia="en-AU"/>
              </w:rPr>
              <w:t>3.5%</w:t>
            </w:r>
          </w:p>
        </w:tc>
        <w:tc>
          <w:tcPr>
            <w:tcW w:w="616" w:type="pct"/>
            <w:tcBorders>
              <w:top w:val="nil"/>
              <w:bottom w:val="single" w:sz="4" w:space="0" w:color="auto"/>
            </w:tcBorders>
            <w:noWrap/>
            <w:hideMark/>
          </w:tcPr>
          <w:p w14:paraId="328A3AD4" w14:textId="7837A38C"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20"/>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0"/>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0"/>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single" w:sz="4" w:space="0" w:color="auto"/>
            </w:tcBorders>
            <w:noWrap/>
            <w:hideMark/>
          </w:tcPr>
          <w:p w14:paraId="7BFFB48F" w14:textId="77777777" w:rsidR="00F3054D" w:rsidRPr="00A67E12" w:rsidRDefault="00F3054D" w:rsidP="00F3054D">
            <w:pPr>
              <w:pStyle w:val="TableText0"/>
              <w:keepNext w:val="0"/>
              <w:jc w:val="right"/>
              <w:rPr>
                <w:lang w:eastAsia="en-AU"/>
              </w:rPr>
            </w:pPr>
            <w:r w:rsidRPr="00A67E12">
              <w:rPr>
                <w:lang w:eastAsia="en-AU"/>
              </w:rPr>
              <w:t>0.565</w:t>
            </w:r>
          </w:p>
        </w:tc>
        <w:tc>
          <w:tcPr>
            <w:tcW w:w="616" w:type="pct"/>
            <w:tcBorders>
              <w:top w:val="nil"/>
              <w:bottom w:val="single" w:sz="4" w:space="0" w:color="auto"/>
            </w:tcBorders>
            <w:noWrap/>
            <w:hideMark/>
          </w:tcPr>
          <w:p w14:paraId="1BBEDCD5" w14:textId="50950DFE"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19"/>
                <w:lang w:eastAsia="en-AU"/>
                <w14:textFill>
                  <w14:solidFill>
                    <w14:srgbClr w14:val="000000">
                      <w14:alpha w14:val="100000"/>
                    </w14:srgbClr>
                  </w14:solidFill>
                </w14:textFill>
              </w:rPr>
              <w:t>|</w:t>
            </w:r>
            <w:r w:rsidRPr="0013119A">
              <w:rPr>
                <w:color w:val="000000"/>
                <w:spacing w:val="1"/>
                <w:shd w:val="solid" w:color="000000" w:fill="000000"/>
                <w:fitText w:val="200" w:id="-1233471219"/>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4</w:t>
            </w:r>
          </w:p>
        </w:tc>
        <w:tc>
          <w:tcPr>
            <w:tcW w:w="615" w:type="pct"/>
            <w:tcBorders>
              <w:top w:val="nil"/>
              <w:bottom w:val="single" w:sz="4" w:space="0" w:color="auto"/>
            </w:tcBorders>
            <w:noWrap/>
            <w:hideMark/>
          </w:tcPr>
          <w:p w14:paraId="042A9174" w14:textId="383E95EC" w:rsidR="00F3054D" w:rsidRPr="00A67E12" w:rsidRDefault="009E0183" w:rsidP="00F3054D">
            <w:pPr>
              <w:pStyle w:val="TableText0"/>
              <w:keepNext w:val="0"/>
              <w:jc w:val="right"/>
              <w:rPr>
                <w:lang w:eastAsia="en-AU"/>
              </w:rPr>
            </w:pPr>
            <w:r>
              <w:rPr>
                <w:lang w:eastAsia="en-AU"/>
              </w:rPr>
              <w:t>-</w:t>
            </w:r>
            <w:r w:rsidR="00F3054D" w:rsidRPr="00A67E12">
              <w:rPr>
                <w:lang w:eastAsia="en-AU"/>
              </w:rPr>
              <w:t>33%</w:t>
            </w:r>
          </w:p>
        </w:tc>
      </w:tr>
      <w:tr w:rsidR="00F3054D" w:rsidRPr="00A67E12" w14:paraId="28F35625" w14:textId="77777777" w:rsidTr="008226A2">
        <w:tc>
          <w:tcPr>
            <w:tcW w:w="2536" w:type="pct"/>
            <w:tcBorders>
              <w:bottom w:val="nil"/>
            </w:tcBorders>
            <w:noWrap/>
            <w:hideMark/>
          </w:tcPr>
          <w:p w14:paraId="4C58A833" w14:textId="6FE1561F" w:rsidR="00F3054D" w:rsidRPr="00A67E12" w:rsidRDefault="00F3054D" w:rsidP="00F3054D">
            <w:pPr>
              <w:pStyle w:val="TableText0"/>
              <w:keepNext w:val="0"/>
              <w:rPr>
                <w:lang w:eastAsia="en-AU"/>
              </w:rPr>
            </w:pPr>
            <w:r w:rsidRPr="00A67E12">
              <w:rPr>
                <w:lang w:eastAsia="en-AU"/>
              </w:rPr>
              <w:t>IDFS extrapolation (base case: log-logistic</w:t>
            </w:r>
            <w:r w:rsidR="00E44959" w:rsidRPr="00A67E12">
              <w:rPr>
                <w:lang w:eastAsia="en-AU"/>
              </w:rPr>
              <w:t xml:space="preserve"> in both arms)</w:t>
            </w:r>
          </w:p>
        </w:tc>
        <w:tc>
          <w:tcPr>
            <w:tcW w:w="616" w:type="pct"/>
            <w:tcBorders>
              <w:bottom w:val="nil"/>
            </w:tcBorders>
            <w:noWrap/>
            <w:hideMark/>
          </w:tcPr>
          <w:p w14:paraId="00399BCD" w14:textId="77777777" w:rsidR="00F3054D" w:rsidRPr="008759DD" w:rsidRDefault="00F3054D" w:rsidP="00F3054D">
            <w:pPr>
              <w:pStyle w:val="TableText0"/>
              <w:keepNext w:val="0"/>
              <w:jc w:val="right"/>
              <w:rPr>
                <w:lang w:eastAsia="en-AU"/>
              </w:rPr>
            </w:pPr>
          </w:p>
        </w:tc>
        <w:tc>
          <w:tcPr>
            <w:tcW w:w="616" w:type="pct"/>
            <w:tcBorders>
              <w:bottom w:val="nil"/>
            </w:tcBorders>
            <w:noWrap/>
            <w:hideMark/>
          </w:tcPr>
          <w:p w14:paraId="3D1AB0D5" w14:textId="77777777" w:rsidR="00F3054D" w:rsidRPr="008759DD" w:rsidRDefault="00F3054D" w:rsidP="00F3054D">
            <w:pPr>
              <w:pStyle w:val="TableText0"/>
              <w:keepNext w:val="0"/>
              <w:jc w:val="right"/>
              <w:rPr>
                <w:lang w:eastAsia="en-AU"/>
              </w:rPr>
            </w:pPr>
          </w:p>
        </w:tc>
        <w:tc>
          <w:tcPr>
            <w:tcW w:w="616" w:type="pct"/>
            <w:tcBorders>
              <w:bottom w:val="nil"/>
            </w:tcBorders>
            <w:noWrap/>
            <w:hideMark/>
          </w:tcPr>
          <w:p w14:paraId="43FEBF69" w14:textId="77777777" w:rsidR="00F3054D" w:rsidRPr="008759DD" w:rsidRDefault="00F3054D" w:rsidP="00F3054D">
            <w:pPr>
              <w:pStyle w:val="TableText0"/>
              <w:keepNext w:val="0"/>
              <w:jc w:val="right"/>
              <w:rPr>
                <w:lang w:eastAsia="en-AU"/>
              </w:rPr>
            </w:pPr>
          </w:p>
        </w:tc>
        <w:tc>
          <w:tcPr>
            <w:tcW w:w="615" w:type="pct"/>
            <w:tcBorders>
              <w:bottom w:val="nil"/>
            </w:tcBorders>
            <w:noWrap/>
            <w:hideMark/>
          </w:tcPr>
          <w:p w14:paraId="1F01F3D1" w14:textId="77777777" w:rsidR="00F3054D" w:rsidRPr="008759DD" w:rsidRDefault="00F3054D" w:rsidP="00F3054D">
            <w:pPr>
              <w:pStyle w:val="TableText0"/>
              <w:keepNext w:val="0"/>
              <w:jc w:val="right"/>
              <w:rPr>
                <w:lang w:eastAsia="en-AU"/>
              </w:rPr>
            </w:pPr>
          </w:p>
        </w:tc>
      </w:tr>
      <w:tr w:rsidR="00F3054D" w:rsidRPr="00A67E12" w14:paraId="1FB5C263" w14:textId="77777777" w:rsidTr="008226A2">
        <w:tc>
          <w:tcPr>
            <w:tcW w:w="2536" w:type="pct"/>
            <w:tcBorders>
              <w:top w:val="nil"/>
              <w:bottom w:val="nil"/>
            </w:tcBorders>
            <w:noWrap/>
            <w:hideMark/>
          </w:tcPr>
          <w:p w14:paraId="1A3C8C48" w14:textId="75F36A07" w:rsidR="00F3054D" w:rsidRPr="00A67E12" w:rsidRDefault="00F3054D" w:rsidP="007312D6">
            <w:pPr>
              <w:pStyle w:val="TableText0"/>
              <w:keepNext w:val="0"/>
              <w:numPr>
                <w:ilvl w:val="0"/>
                <w:numId w:val="13"/>
              </w:numPr>
              <w:rPr>
                <w:lang w:eastAsia="en-AU"/>
              </w:rPr>
            </w:pPr>
            <w:r w:rsidRPr="00A67E12">
              <w:rPr>
                <w:lang w:eastAsia="en-AU"/>
              </w:rPr>
              <w:t>Dependant Exponential</w:t>
            </w:r>
            <w:r w:rsidR="00E44959" w:rsidRPr="00A67E12">
              <w:rPr>
                <w:lang w:eastAsia="en-AU"/>
              </w:rPr>
              <w:t xml:space="preserve"> (in both arms)</w:t>
            </w:r>
          </w:p>
        </w:tc>
        <w:tc>
          <w:tcPr>
            <w:tcW w:w="616" w:type="pct"/>
            <w:tcBorders>
              <w:top w:val="nil"/>
              <w:bottom w:val="nil"/>
            </w:tcBorders>
            <w:noWrap/>
            <w:hideMark/>
          </w:tcPr>
          <w:p w14:paraId="1FDE5A89" w14:textId="745A9EDF"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18"/>
                <w:lang w:eastAsia="en-AU"/>
                <w14:textFill>
                  <w14:solidFill>
                    <w14:srgbClr w14:val="000000">
                      <w14:alpha w14:val="100000"/>
                    </w14:srgbClr>
                  </w14:solidFill>
                </w14:textFill>
              </w:rPr>
              <w:t xml:space="preserve">　</w:t>
            </w:r>
            <w:r w:rsidRPr="0013119A">
              <w:rPr>
                <w:color w:val="000000"/>
                <w:w w:val="20"/>
                <w:shd w:val="solid" w:color="000000" w:fill="000000"/>
                <w:fitText w:val="92" w:id="-1233471218"/>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18"/>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hideMark/>
          </w:tcPr>
          <w:p w14:paraId="3043EBF9" w14:textId="77777777" w:rsidR="00F3054D" w:rsidRPr="00A67E12" w:rsidRDefault="00F3054D" w:rsidP="00F3054D">
            <w:pPr>
              <w:pStyle w:val="TableText0"/>
              <w:keepNext w:val="0"/>
              <w:jc w:val="right"/>
              <w:rPr>
                <w:lang w:eastAsia="en-AU"/>
              </w:rPr>
            </w:pPr>
            <w:r w:rsidRPr="00A67E12">
              <w:rPr>
                <w:lang w:eastAsia="en-AU"/>
              </w:rPr>
              <w:t>0.525</w:t>
            </w:r>
          </w:p>
        </w:tc>
        <w:tc>
          <w:tcPr>
            <w:tcW w:w="616" w:type="pct"/>
            <w:tcBorders>
              <w:top w:val="nil"/>
              <w:bottom w:val="nil"/>
            </w:tcBorders>
            <w:noWrap/>
            <w:hideMark/>
          </w:tcPr>
          <w:p w14:paraId="38C07DC2" w14:textId="2CD61D18"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17"/>
                <w:lang w:eastAsia="en-AU"/>
                <w14:textFill>
                  <w14:solidFill>
                    <w14:srgbClr w14:val="000000">
                      <w14:alpha w14:val="100000"/>
                    </w14:srgbClr>
                  </w14:solidFill>
                </w14:textFill>
              </w:rPr>
              <w:t>|</w:t>
            </w:r>
            <w:r w:rsidRPr="0013119A">
              <w:rPr>
                <w:color w:val="000000"/>
                <w:spacing w:val="1"/>
                <w:shd w:val="solid" w:color="000000" w:fill="000000"/>
                <w:fitText w:val="200" w:id="-1233471217"/>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5</w:t>
            </w:r>
          </w:p>
        </w:tc>
        <w:tc>
          <w:tcPr>
            <w:tcW w:w="615" w:type="pct"/>
            <w:tcBorders>
              <w:top w:val="nil"/>
              <w:bottom w:val="nil"/>
            </w:tcBorders>
            <w:noWrap/>
            <w:hideMark/>
          </w:tcPr>
          <w:p w14:paraId="4BA54E32" w14:textId="77777777" w:rsidR="00F3054D" w:rsidRPr="00A67E12" w:rsidRDefault="00F3054D" w:rsidP="00F3054D">
            <w:pPr>
              <w:pStyle w:val="TableText0"/>
              <w:keepNext w:val="0"/>
              <w:jc w:val="right"/>
              <w:rPr>
                <w:lang w:eastAsia="en-AU"/>
              </w:rPr>
            </w:pPr>
            <w:r w:rsidRPr="00A67E12">
              <w:rPr>
                <w:lang w:eastAsia="en-AU"/>
              </w:rPr>
              <w:t>-24%</w:t>
            </w:r>
          </w:p>
        </w:tc>
      </w:tr>
      <w:tr w:rsidR="00F3054D" w:rsidRPr="00A67E12" w14:paraId="5A83005B" w14:textId="77777777" w:rsidTr="008226A2">
        <w:tc>
          <w:tcPr>
            <w:tcW w:w="2536" w:type="pct"/>
            <w:tcBorders>
              <w:top w:val="nil"/>
              <w:bottom w:val="nil"/>
            </w:tcBorders>
            <w:noWrap/>
          </w:tcPr>
          <w:p w14:paraId="1AEF0ADC" w14:textId="77777777" w:rsidR="00F3054D" w:rsidRPr="00A67E12" w:rsidRDefault="00F3054D" w:rsidP="007312D6">
            <w:pPr>
              <w:pStyle w:val="TableText0"/>
              <w:keepNext w:val="0"/>
              <w:numPr>
                <w:ilvl w:val="0"/>
                <w:numId w:val="13"/>
              </w:numPr>
            </w:pPr>
            <w:r w:rsidRPr="00A67E12">
              <w:t xml:space="preserve">Independent </w:t>
            </w:r>
            <w:r w:rsidRPr="00A67E12">
              <w:rPr>
                <w:lang w:eastAsia="en-AU"/>
              </w:rPr>
              <w:t>Exponential (in both arms)</w:t>
            </w:r>
          </w:p>
        </w:tc>
        <w:tc>
          <w:tcPr>
            <w:tcW w:w="616" w:type="pct"/>
            <w:tcBorders>
              <w:top w:val="nil"/>
              <w:bottom w:val="nil"/>
            </w:tcBorders>
            <w:noWrap/>
          </w:tcPr>
          <w:p w14:paraId="5F806AEB" w14:textId="74AFDDFF"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16"/>
                <w:lang w:eastAsia="en-AU"/>
                <w14:textFill>
                  <w14:solidFill>
                    <w14:srgbClr w14:val="000000">
                      <w14:alpha w14:val="100000"/>
                    </w14:srgbClr>
                  </w14:solidFill>
                </w14:textFill>
              </w:rPr>
              <w:t xml:space="preserve">　</w:t>
            </w:r>
            <w:r w:rsidRPr="0013119A">
              <w:rPr>
                <w:color w:val="000000"/>
                <w:w w:val="20"/>
                <w:shd w:val="solid" w:color="000000" w:fill="000000"/>
                <w:fitText w:val="92" w:id="-1233471216"/>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16"/>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tcPr>
          <w:p w14:paraId="5C92A0C5" w14:textId="77777777" w:rsidR="00F3054D" w:rsidRPr="00A67E12" w:rsidRDefault="00F3054D" w:rsidP="00F3054D">
            <w:pPr>
              <w:pStyle w:val="TableText0"/>
              <w:keepNext w:val="0"/>
              <w:jc w:val="right"/>
            </w:pPr>
            <w:r w:rsidRPr="00A67E12">
              <w:rPr>
                <w:lang w:eastAsia="en-AU"/>
              </w:rPr>
              <w:t>0.525</w:t>
            </w:r>
          </w:p>
        </w:tc>
        <w:tc>
          <w:tcPr>
            <w:tcW w:w="616" w:type="pct"/>
            <w:tcBorders>
              <w:top w:val="nil"/>
              <w:bottom w:val="nil"/>
            </w:tcBorders>
            <w:noWrap/>
          </w:tcPr>
          <w:p w14:paraId="002E98E3" w14:textId="7989A77A"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32"/>
                <w:lang w:eastAsia="en-AU"/>
                <w14:textFill>
                  <w14:solidFill>
                    <w14:srgbClr w14:val="000000">
                      <w14:alpha w14:val="100000"/>
                    </w14:srgbClr>
                  </w14:solidFill>
                </w14:textFill>
              </w:rPr>
              <w:t>|</w:t>
            </w:r>
            <w:r w:rsidRPr="0013119A">
              <w:rPr>
                <w:color w:val="000000"/>
                <w:spacing w:val="1"/>
                <w:shd w:val="solid" w:color="000000" w:fill="000000"/>
                <w:fitText w:val="200" w:id="-1233471232"/>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5</w:t>
            </w:r>
          </w:p>
        </w:tc>
        <w:tc>
          <w:tcPr>
            <w:tcW w:w="615" w:type="pct"/>
            <w:tcBorders>
              <w:top w:val="nil"/>
              <w:bottom w:val="nil"/>
            </w:tcBorders>
            <w:noWrap/>
          </w:tcPr>
          <w:p w14:paraId="16ABDE7C" w14:textId="77777777" w:rsidR="00F3054D" w:rsidRPr="00A67E12" w:rsidRDefault="00F3054D" w:rsidP="00F3054D">
            <w:pPr>
              <w:pStyle w:val="TableText0"/>
              <w:keepNext w:val="0"/>
              <w:jc w:val="right"/>
            </w:pPr>
            <w:r w:rsidRPr="00A67E12">
              <w:rPr>
                <w:lang w:eastAsia="en-AU"/>
              </w:rPr>
              <w:t>-24%</w:t>
            </w:r>
          </w:p>
        </w:tc>
      </w:tr>
      <w:tr w:rsidR="00F3054D" w:rsidRPr="00A67E12" w14:paraId="41986B10" w14:textId="77777777" w:rsidTr="008226A2">
        <w:tc>
          <w:tcPr>
            <w:tcW w:w="2536" w:type="pct"/>
            <w:tcBorders>
              <w:top w:val="nil"/>
              <w:bottom w:val="nil"/>
            </w:tcBorders>
            <w:noWrap/>
          </w:tcPr>
          <w:p w14:paraId="6EB18BF0" w14:textId="77777777" w:rsidR="00F3054D" w:rsidRPr="00A67E12" w:rsidRDefault="00F3054D" w:rsidP="007312D6">
            <w:pPr>
              <w:pStyle w:val="TableText0"/>
              <w:keepNext w:val="0"/>
              <w:numPr>
                <w:ilvl w:val="0"/>
                <w:numId w:val="13"/>
              </w:numPr>
            </w:pPr>
            <w:r w:rsidRPr="00A67E12">
              <w:t xml:space="preserve">Independent Log-logistic </w:t>
            </w:r>
            <w:r w:rsidRPr="00A67E12">
              <w:rPr>
                <w:lang w:eastAsia="en-AU"/>
              </w:rPr>
              <w:t>(in both arms)</w:t>
            </w:r>
          </w:p>
        </w:tc>
        <w:tc>
          <w:tcPr>
            <w:tcW w:w="616" w:type="pct"/>
            <w:tcBorders>
              <w:top w:val="nil"/>
              <w:bottom w:val="nil"/>
            </w:tcBorders>
            <w:noWrap/>
          </w:tcPr>
          <w:p w14:paraId="2C526349" w14:textId="52961D17"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31"/>
                <w14:textFill>
                  <w14:solidFill>
                    <w14:srgbClr w14:val="000000">
                      <w14:alpha w14:val="100000"/>
                    </w14:srgbClr>
                  </w14:solidFill>
                </w14:textFill>
              </w:rPr>
              <w:t xml:space="preserve">　</w:t>
            </w:r>
            <w:r w:rsidRPr="0013119A">
              <w:rPr>
                <w:color w:val="000000"/>
                <w:w w:val="20"/>
                <w:shd w:val="solid" w:color="000000" w:fill="000000"/>
                <w:fitText w:val="92" w:id="-1233471231"/>
                <w14:textFill>
                  <w14:solidFill>
                    <w14:srgbClr w14:val="000000">
                      <w14:alpha w14:val="100000"/>
                    </w14:srgbClr>
                  </w14:solidFill>
                </w14:textFill>
              </w:rPr>
              <w:t>|</w:t>
            </w:r>
            <w:r w:rsidRPr="0013119A">
              <w:rPr>
                <w:rFonts w:hint="eastAsia"/>
                <w:color w:val="000000"/>
                <w:spacing w:val="5"/>
                <w:w w:val="20"/>
                <w:shd w:val="solid" w:color="000000" w:fill="000000"/>
                <w:fitText w:val="92" w:id="-1233471231"/>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6FB7ACFA" w14:textId="77777777" w:rsidR="00F3054D" w:rsidRPr="00A67E12" w:rsidRDefault="00F3054D" w:rsidP="00F3054D">
            <w:pPr>
              <w:pStyle w:val="TableText0"/>
              <w:keepNext w:val="0"/>
              <w:jc w:val="right"/>
            </w:pPr>
            <w:r w:rsidRPr="00A67E12">
              <w:t>0.629</w:t>
            </w:r>
          </w:p>
        </w:tc>
        <w:tc>
          <w:tcPr>
            <w:tcW w:w="616" w:type="pct"/>
            <w:tcBorders>
              <w:top w:val="nil"/>
              <w:bottom w:val="nil"/>
            </w:tcBorders>
            <w:noWrap/>
          </w:tcPr>
          <w:p w14:paraId="7473DB44" w14:textId="18D8B723"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30"/>
                <w14:textFill>
                  <w14:solidFill>
                    <w14:srgbClr w14:val="000000">
                      <w14:alpha w14:val="100000"/>
                    </w14:srgbClr>
                  </w14:solidFill>
                </w14:textFill>
              </w:rPr>
              <w:t>|</w:t>
            </w:r>
            <w:r w:rsidRPr="0013119A">
              <w:rPr>
                <w:color w:val="000000"/>
                <w:spacing w:val="1"/>
                <w:shd w:val="solid" w:color="000000" w:fill="000000"/>
                <w:fitText w:val="200" w:id="-1233471230"/>
                <w14:textFill>
                  <w14:solidFill>
                    <w14:srgbClr w14:val="000000">
                      <w14:alpha w14:val="100000"/>
                    </w14:srgbClr>
                  </w14:solidFill>
                </w14:textFill>
              </w:rPr>
              <w:t>|</w:t>
            </w:r>
            <w:r w:rsidR="008759DD" w:rsidRPr="008759DD">
              <w:t xml:space="preserve"> </w:t>
            </w:r>
            <w:r w:rsidR="008620A9">
              <w:rPr>
                <w:bCs w:val="0"/>
                <w:vertAlign w:val="superscript"/>
                <w:lang w:eastAsia="en-AU"/>
              </w:rPr>
              <w:t>4</w:t>
            </w:r>
          </w:p>
        </w:tc>
        <w:tc>
          <w:tcPr>
            <w:tcW w:w="615" w:type="pct"/>
            <w:tcBorders>
              <w:top w:val="nil"/>
              <w:bottom w:val="nil"/>
            </w:tcBorders>
            <w:noWrap/>
          </w:tcPr>
          <w:p w14:paraId="1BAFC800" w14:textId="28DFC49D" w:rsidR="00F3054D" w:rsidRPr="00A67E12" w:rsidRDefault="009E0183" w:rsidP="00F3054D">
            <w:pPr>
              <w:pStyle w:val="TableText0"/>
              <w:keepNext w:val="0"/>
              <w:jc w:val="right"/>
            </w:pPr>
            <w:r>
              <w:rPr>
                <w:rFonts w:ascii="Arial" w:hAnsi="Arial" w:cs="Arial"/>
                <w:lang w:eastAsia="en-AU"/>
              </w:rPr>
              <w:t>-</w:t>
            </w:r>
            <w:r w:rsidR="00F3054D" w:rsidRPr="00A67E12">
              <w:rPr>
                <w:lang w:eastAsia="en-AU"/>
              </w:rPr>
              <w:t>33%</w:t>
            </w:r>
          </w:p>
        </w:tc>
      </w:tr>
      <w:tr w:rsidR="00F3054D" w:rsidRPr="00A67E12" w14:paraId="6A6BD380" w14:textId="77777777" w:rsidTr="008226A2">
        <w:tc>
          <w:tcPr>
            <w:tcW w:w="2536" w:type="pct"/>
            <w:tcBorders>
              <w:bottom w:val="nil"/>
            </w:tcBorders>
            <w:noWrap/>
            <w:hideMark/>
          </w:tcPr>
          <w:p w14:paraId="71B01E41" w14:textId="77777777" w:rsidR="00F3054D" w:rsidRPr="00A67E12" w:rsidRDefault="00F3054D" w:rsidP="00F3054D">
            <w:pPr>
              <w:pStyle w:val="TableText0"/>
              <w:keepNext w:val="0"/>
              <w:rPr>
                <w:lang w:eastAsia="en-AU"/>
              </w:rPr>
            </w:pPr>
            <w:r w:rsidRPr="00A67E12">
              <w:rPr>
                <w:lang w:eastAsia="en-AU"/>
              </w:rPr>
              <w:t>Treatment waning (base case: from Year 7 to Year 28.9)</w:t>
            </w:r>
          </w:p>
        </w:tc>
        <w:tc>
          <w:tcPr>
            <w:tcW w:w="616" w:type="pct"/>
            <w:tcBorders>
              <w:bottom w:val="nil"/>
            </w:tcBorders>
            <w:noWrap/>
            <w:hideMark/>
          </w:tcPr>
          <w:p w14:paraId="0C858C11" w14:textId="77777777" w:rsidR="00F3054D" w:rsidRPr="008759DD" w:rsidRDefault="00F3054D" w:rsidP="00F3054D">
            <w:pPr>
              <w:pStyle w:val="TableText0"/>
              <w:keepNext w:val="0"/>
              <w:jc w:val="right"/>
              <w:rPr>
                <w:lang w:eastAsia="en-AU"/>
              </w:rPr>
            </w:pPr>
          </w:p>
        </w:tc>
        <w:tc>
          <w:tcPr>
            <w:tcW w:w="616" w:type="pct"/>
            <w:tcBorders>
              <w:bottom w:val="nil"/>
            </w:tcBorders>
            <w:noWrap/>
            <w:hideMark/>
          </w:tcPr>
          <w:p w14:paraId="7A5B23BE" w14:textId="77777777" w:rsidR="00F3054D" w:rsidRPr="008759DD" w:rsidRDefault="00F3054D" w:rsidP="00F3054D">
            <w:pPr>
              <w:pStyle w:val="TableText0"/>
              <w:keepNext w:val="0"/>
              <w:jc w:val="right"/>
              <w:rPr>
                <w:lang w:eastAsia="en-AU"/>
              </w:rPr>
            </w:pPr>
          </w:p>
        </w:tc>
        <w:tc>
          <w:tcPr>
            <w:tcW w:w="616" w:type="pct"/>
            <w:tcBorders>
              <w:bottom w:val="nil"/>
            </w:tcBorders>
            <w:noWrap/>
            <w:hideMark/>
          </w:tcPr>
          <w:p w14:paraId="15771960" w14:textId="77777777" w:rsidR="00F3054D" w:rsidRPr="008759DD" w:rsidRDefault="00F3054D" w:rsidP="00F3054D">
            <w:pPr>
              <w:pStyle w:val="TableText0"/>
              <w:keepNext w:val="0"/>
              <w:jc w:val="right"/>
              <w:rPr>
                <w:lang w:eastAsia="en-AU"/>
              </w:rPr>
            </w:pPr>
          </w:p>
        </w:tc>
        <w:tc>
          <w:tcPr>
            <w:tcW w:w="615" w:type="pct"/>
            <w:tcBorders>
              <w:bottom w:val="nil"/>
            </w:tcBorders>
            <w:noWrap/>
            <w:hideMark/>
          </w:tcPr>
          <w:p w14:paraId="15153A57" w14:textId="77777777" w:rsidR="00F3054D" w:rsidRPr="008759DD" w:rsidRDefault="00F3054D" w:rsidP="00F3054D">
            <w:pPr>
              <w:pStyle w:val="TableText0"/>
              <w:keepNext w:val="0"/>
              <w:jc w:val="right"/>
              <w:rPr>
                <w:lang w:eastAsia="en-AU"/>
              </w:rPr>
            </w:pPr>
          </w:p>
        </w:tc>
      </w:tr>
      <w:tr w:rsidR="00F3054D" w:rsidRPr="00A67E12" w14:paraId="584C9A68" w14:textId="77777777" w:rsidTr="008226A2">
        <w:tc>
          <w:tcPr>
            <w:tcW w:w="2536" w:type="pct"/>
            <w:tcBorders>
              <w:top w:val="nil"/>
              <w:bottom w:val="nil"/>
            </w:tcBorders>
            <w:noWrap/>
            <w:hideMark/>
          </w:tcPr>
          <w:p w14:paraId="459DC2AC" w14:textId="77777777" w:rsidR="00F3054D" w:rsidRPr="00A67E12" w:rsidRDefault="00F3054D" w:rsidP="007312D6">
            <w:pPr>
              <w:pStyle w:val="TableText0"/>
              <w:keepNext w:val="0"/>
              <w:numPr>
                <w:ilvl w:val="0"/>
                <w:numId w:val="14"/>
              </w:numPr>
              <w:rPr>
                <w:lang w:eastAsia="en-AU"/>
              </w:rPr>
            </w:pPr>
            <w:r w:rsidRPr="00A67E12">
              <w:rPr>
                <w:lang w:eastAsia="en-AU"/>
              </w:rPr>
              <w:t>No waning</w:t>
            </w:r>
          </w:p>
        </w:tc>
        <w:tc>
          <w:tcPr>
            <w:tcW w:w="616" w:type="pct"/>
            <w:tcBorders>
              <w:top w:val="nil"/>
              <w:bottom w:val="nil"/>
            </w:tcBorders>
            <w:noWrap/>
            <w:hideMark/>
          </w:tcPr>
          <w:p w14:paraId="50420CE9" w14:textId="449D0D1E"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29"/>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9"/>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9"/>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hideMark/>
          </w:tcPr>
          <w:p w14:paraId="10F62AFA" w14:textId="77777777" w:rsidR="00F3054D" w:rsidRPr="00A67E12" w:rsidRDefault="00F3054D" w:rsidP="00F3054D">
            <w:pPr>
              <w:pStyle w:val="TableText0"/>
              <w:keepNext w:val="0"/>
              <w:jc w:val="right"/>
              <w:rPr>
                <w:lang w:eastAsia="en-AU"/>
              </w:rPr>
            </w:pPr>
            <w:r w:rsidRPr="00A67E12">
              <w:rPr>
                <w:lang w:eastAsia="en-AU"/>
              </w:rPr>
              <w:t>0.467</w:t>
            </w:r>
          </w:p>
        </w:tc>
        <w:tc>
          <w:tcPr>
            <w:tcW w:w="616" w:type="pct"/>
            <w:tcBorders>
              <w:top w:val="nil"/>
              <w:bottom w:val="nil"/>
            </w:tcBorders>
            <w:noWrap/>
            <w:hideMark/>
          </w:tcPr>
          <w:p w14:paraId="4EDB749D" w14:textId="626D3BEA"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28"/>
                <w:lang w:eastAsia="en-AU"/>
                <w14:textFill>
                  <w14:solidFill>
                    <w14:srgbClr w14:val="000000">
                      <w14:alpha w14:val="100000"/>
                    </w14:srgbClr>
                  </w14:solidFill>
                </w14:textFill>
              </w:rPr>
              <w:t>|</w:t>
            </w:r>
            <w:r w:rsidRPr="0013119A">
              <w:rPr>
                <w:color w:val="000000"/>
                <w:spacing w:val="1"/>
                <w:shd w:val="solid" w:color="000000" w:fill="000000"/>
                <w:fitText w:val="200" w:id="-1233471228"/>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5</w:t>
            </w:r>
          </w:p>
        </w:tc>
        <w:tc>
          <w:tcPr>
            <w:tcW w:w="615" w:type="pct"/>
            <w:tcBorders>
              <w:top w:val="nil"/>
              <w:bottom w:val="nil"/>
            </w:tcBorders>
            <w:noWrap/>
            <w:hideMark/>
          </w:tcPr>
          <w:p w14:paraId="541582ED" w14:textId="628C03C1" w:rsidR="00F3054D" w:rsidRPr="00A67E12" w:rsidRDefault="009E0183" w:rsidP="00F3054D">
            <w:pPr>
              <w:pStyle w:val="TableText0"/>
              <w:keepNext w:val="0"/>
              <w:jc w:val="right"/>
              <w:rPr>
                <w:lang w:eastAsia="en-AU"/>
              </w:rPr>
            </w:pPr>
            <w:r>
              <w:rPr>
                <w:lang w:eastAsia="en-AU"/>
              </w:rPr>
              <w:t>-</w:t>
            </w:r>
            <w:r w:rsidR="00F3054D" w:rsidRPr="00A67E12">
              <w:rPr>
                <w:lang w:eastAsia="en-AU"/>
              </w:rPr>
              <w:t>9%</w:t>
            </w:r>
          </w:p>
        </w:tc>
      </w:tr>
      <w:tr w:rsidR="00F3054D" w:rsidRPr="00A67E12" w14:paraId="44CBEF49" w14:textId="77777777" w:rsidTr="008226A2">
        <w:tc>
          <w:tcPr>
            <w:tcW w:w="2536" w:type="pct"/>
            <w:tcBorders>
              <w:top w:val="nil"/>
              <w:bottom w:val="nil"/>
            </w:tcBorders>
            <w:shd w:val="clear" w:color="auto" w:fill="auto"/>
            <w:noWrap/>
            <w:hideMark/>
          </w:tcPr>
          <w:p w14:paraId="536D4EC2" w14:textId="77777777" w:rsidR="00F3054D" w:rsidRPr="00A67E12" w:rsidRDefault="00F3054D" w:rsidP="007312D6">
            <w:pPr>
              <w:pStyle w:val="TableText0"/>
              <w:keepNext w:val="0"/>
              <w:numPr>
                <w:ilvl w:val="0"/>
                <w:numId w:val="14"/>
              </w:numPr>
              <w:rPr>
                <w:lang w:eastAsia="en-AU"/>
              </w:rPr>
            </w:pPr>
            <w:r w:rsidRPr="00A67E12">
              <w:rPr>
                <w:lang w:eastAsia="en-AU"/>
              </w:rPr>
              <w:t xml:space="preserve">Year 4 to Year 7 </w:t>
            </w:r>
            <w:r w:rsidRPr="00A67E12">
              <w:rPr>
                <w:b/>
                <w:lang w:eastAsia="en-AU"/>
              </w:rPr>
              <w:t>#6</w:t>
            </w:r>
          </w:p>
        </w:tc>
        <w:tc>
          <w:tcPr>
            <w:tcW w:w="616" w:type="pct"/>
            <w:tcBorders>
              <w:top w:val="nil"/>
              <w:bottom w:val="nil"/>
            </w:tcBorders>
            <w:shd w:val="clear" w:color="auto" w:fill="auto"/>
            <w:noWrap/>
            <w:hideMark/>
          </w:tcPr>
          <w:p w14:paraId="23734910" w14:textId="76CA9C99"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27"/>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7"/>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7"/>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shd w:val="clear" w:color="auto" w:fill="auto"/>
            <w:noWrap/>
            <w:hideMark/>
          </w:tcPr>
          <w:p w14:paraId="18C6BA77" w14:textId="77777777" w:rsidR="00F3054D" w:rsidRPr="00A67E12" w:rsidRDefault="00F3054D" w:rsidP="00F3054D">
            <w:pPr>
              <w:pStyle w:val="TableText0"/>
              <w:keepNext w:val="0"/>
              <w:jc w:val="right"/>
              <w:rPr>
                <w:lang w:eastAsia="en-AU"/>
              </w:rPr>
            </w:pPr>
            <w:r w:rsidRPr="00A67E12">
              <w:rPr>
                <w:lang w:eastAsia="en-AU"/>
              </w:rPr>
              <w:t>0.228</w:t>
            </w:r>
          </w:p>
        </w:tc>
        <w:tc>
          <w:tcPr>
            <w:tcW w:w="616" w:type="pct"/>
            <w:tcBorders>
              <w:top w:val="nil"/>
              <w:bottom w:val="nil"/>
            </w:tcBorders>
            <w:shd w:val="clear" w:color="auto" w:fill="auto"/>
            <w:noWrap/>
            <w:hideMark/>
          </w:tcPr>
          <w:p w14:paraId="1AEC1DEE" w14:textId="463350FE"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26"/>
                <w:lang w:eastAsia="en-AU"/>
                <w14:textFill>
                  <w14:solidFill>
                    <w14:srgbClr w14:val="000000">
                      <w14:alpha w14:val="100000"/>
                    </w14:srgbClr>
                  </w14:solidFill>
                </w14:textFill>
              </w:rPr>
              <w:t>|</w:t>
            </w:r>
            <w:r w:rsidRPr="0013119A">
              <w:rPr>
                <w:color w:val="000000"/>
                <w:spacing w:val="1"/>
                <w:shd w:val="solid" w:color="000000" w:fill="000000"/>
                <w:fitText w:val="200" w:id="-1233471226"/>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2</w:t>
            </w:r>
          </w:p>
        </w:tc>
        <w:tc>
          <w:tcPr>
            <w:tcW w:w="615" w:type="pct"/>
            <w:tcBorders>
              <w:top w:val="nil"/>
              <w:bottom w:val="nil"/>
            </w:tcBorders>
            <w:shd w:val="clear" w:color="auto" w:fill="auto"/>
            <w:noWrap/>
            <w:hideMark/>
          </w:tcPr>
          <w:p w14:paraId="6F44FDDD" w14:textId="77777777" w:rsidR="00F3054D" w:rsidRPr="00A67E12" w:rsidRDefault="00F3054D" w:rsidP="00F3054D">
            <w:pPr>
              <w:pStyle w:val="TableText0"/>
              <w:keepNext w:val="0"/>
              <w:jc w:val="right"/>
              <w:rPr>
                <w:lang w:eastAsia="en-AU"/>
              </w:rPr>
            </w:pPr>
            <w:r w:rsidRPr="00A67E12">
              <w:rPr>
                <w:lang w:eastAsia="en-AU"/>
              </w:rPr>
              <w:t>107%</w:t>
            </w:r>
          </w:p>
        </w:tc>
      </w:tr>
      <w:tr w:rsidR="00F3054D" w:rsidRPr="00A67E12" w14:paraId="5E97E1A3" w14:textId="77777777" w:rsidTr="008226A2">
        <w:tc>
          <w:tcPr>
            <w:tcW w:w="2536" w:type="pct"/>
            <w:tcBorders>
              <w:top w:val="nil"/>
              <w:bottom w:val="single" w:sz="4" w:space="0" w:color="auto"/>
            </w:tcBorders>
            <w:noWrap/>
            <w:hideMark/>
          </w:tcPr>
          <w:p w14:paraId="5EA7A1DA" w14:textId="77777777" w:rsidR="00F3054D" w:rsidRPr="00A67E12" w:rsidRDefault="00F3054D" w:rsidP="007312D6">
            <w:pPr>
              <w:pStyle w:val="TableText0"/>
              <w:keepNext w:val="0"/>
              <w:numPr>
                <w:ilvl w:val="0"/>
                <w:numId w:val="14"/>
              </w:numPr>
              <w:rPr>
                <w:lang w:eastAsia="en-AU"/>
              </w:rPr>
            </w:pPr>
            <w:r w:rsidRPr="00A67E12">
              <w:rPr>
                <w:lang w:eastAsia="en-AU"/>
              </w:rPr>
              <w:t>No effect beyond the observed data (month 48)</w:t>
            </w:r>
          </w:p>
        </w:tc>
        <w:tc>
          <w:tcPr>
            <w:tcW w:w="616" w:type="pct"/>
            <w:tcBorders>
              <w:top w:val="nil"/>
              <w:bottom w:val="single" w:sz="4" w:space="0" w:color="auto"/>
            </w:tcBorders>
            <w:noWrap/>
            <w:hideMark/>
          </w:tcPr>
          <w:p w14:paraId="5FF91C55" w14:textId="70D5DCC8"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25"/>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5"/>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5"/>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single" w:sz="4" w:space="0" w:color="auto"/>
            </w:tcBorders>
            <w:noWrap/>
            <w:hideMark/>
          </w:tcPr>
          <w:p w14:paraId="72C0D78C" w14:textId="77777777" w:rsidR="00F3054D" w:rsidRPr="00A67E12" w:rsidRDefault="00F3054D" w:rsidP="00F3054D">
            <w:pPr>
              <w:pStyle w:val="TableText0"/>
              <w:keepNext w:val="0"/>
              <w:jc w:val="right"/>
              <w:rPr>
                <w:lang w:eastAsia="en-AU"/>
              </w:rPr>
            </w:pPr>
            <w:r w:rsidRPr="00A67E12">
              <w:rPr>
                <w:lang w:eastAsia="en-AU"/>
              </w:rPr>
              <w:t>0.140</w:t>
            </w:r>
          </w:p>
        </w:tc>
        <w:tc>
          <w:tcPr>
            <w:tcW w:w="616" w:type="pct"/>
            <w:tcBorders>
              <w:top w:val="nil"/>
              <w:bottom w:val="single" w:sz="4" w:space="0" w:color="auto"/>
            </w:tcBorders>
            <w:noWrap/>
            <w:hideMark/>
          </w:tcPr>
          <w:p w14:paraId="6B19FA90" w14:textId="01896185"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24"/>
                <w:lang w:eastAsia="en-AU"/>
                <w14:textFill>
                  <w14:solidFill>
                    <w14:srgbClr w14:val="000000">
                      <w14:alpha w14:val="100000"/>
                    </w14:srgbClr>
                  </w14:solidFill>
                </w14:textFill>
              </w:rPr>
              <w:t>|</w:t>
            </w:r>
            <w:r w:rsidRPr="0013119A">
              <w:rPr>
                <w:color w:val="000000"/>
                <w:spacing w:val="1"/>
                <w:shd w:val="solid" w:color="000000" w:fill="000000"/>
                <w:fitText w:val="200" w:id="-1233471224"/>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6</w:t>
            </w:r>
          </w:p>
        </w:tc>
        <w:tc>
          <w:tcPr>
            <w:tcW w:w="615" w:type="pct"/>
            <w:tcBorders>
              <w:top w:val="nil"/>
              <w:bottom w:val="single" w:sz="4" w:space="0" w:color="auto"/>
            </w:tcBorders>
            <w:noWrap/>
            <w:hideMark/>
          </w:tcPr>
          <w:p w14:paraId="5EAE44F2" w14:textId="77777777" w:rsidR="00F3054D" w:rsidRPr="00A67E12" w:rsidRDefault="00F3054D" w:rsidP="00F3054D">
            <w:pPr>
              <w:pStyle w:val="TableText0"/>
              <w:keepNext w:val="0"/>
              <w:jc w:val="right"/>
              <w:rPr>
                <w:lang w:eastAsia="en-AU"/>
              </w:rPr>
            </w:pPr>
            <w:r w:rsidRPr="00A67E12">
              <w:rPr>
                <w:lang w:eastAsia="en-AU"/>
              </w:rPr>
              <w:t>244%</w:t>
            </w:r>
          </w:p>
        </w:tc>
      </w:tr>
      <w:tr w:rsidR="00F3054D" w:rsidRPr="00A67E12" w14:paraId="758A54B5" w14:textId="77777777" w:rsidTr="008226A2">
        <w:tc>
          <w:tcPr>
            <w:tcW w:w="2536" w:type="pct"/>
            <w:tcBorders>
              <w:top w:val="nil"/>
              <w:bottom w:val="nil"/>
            </w:tcBorders>
            <w:noWrap/>
          </w:tcPr>
          <w:p w14:paraId="03B80F5F" w14:textId="77777777" w:rsidR="00F3054D" w:rsidRPr="00A67E12" w:rsidRDefault="00F3054D" w:rsidP="00F3054D">
            <w:pPr>
              <w:pStyle w:val="TableText0"/>
              <w:keepNext w:val="0"/>
            </w:pPr>
            <w:r w:rsidRPr="00A67E12">
              <w:rPr>
                <w:lang w:eastAsia="en-AU"/>
              </w:rPr>
              <w:t>Proportion of NMR (base case: ABE+ET: 28%, ET: 26%)</w:t>
            </w:r>
          </w:p>
        </w:tc>
        <w:tc>
          <w:tcPr>
            <w:tcW w:w="616" w:type="pct"/>
            <w:tcBorders>
              <w:top w:val="nil"/>
              <w:bottom w:val="nil"/>
            </w:tcBorders>
            <w:noWrap/>
          </w:tcPr>
          <w:p w14:paraId="47326B3B" w14:textId="77777777" w:rsidR="00F3054D" w:rsidRPr="008759DD" w:rsidRDefault="00F3054D" w:rsidP="00F3054D">
            <w:pPr>
              <w:pStyle w:val="TableText0"/>
              <w:keepNext w:val="0"/>
              <w:jc w:val="right"/>
            </w:pPr>
          </w:p>
        </w:tc>
        <w:tc>
          <w:tcPr>
            <w:tcW w:w="616" w:type="pct"/>
            <w:tcBorders>
              <w:top w:val="nil"/>
              <w:bottom w:val="nil"/>
            </w:tcBorders>
            <w:noWrap/>
          </w:tcPr>
          <w:p w14:paraId="7448875A" w14:textId="77777777" w:rsidR="00F3054D" w:rsidRPr="008759DD" w:rsidRDefault="00F3054D" w:rsidP="00F3054D">
            <w:pPr>
              <w:pStyle w:val="TableText0"/>
              <w:keepNext w:val="0"/>
              <w:jc w:val="right"/>
            </w:pPr>
          </w:p>
        </w:tc>
        <w:tc>
          <w:tcPr>
            <w:tcW w:w="616" w:type="pct"/>
            <w:tcBorders>
              <w:top w:val="nil"/>
              <w:bottom w:val="nil"/>
            </w:tcBorders>
            <w:noWrap/>
          </w:tcPr>
          <w:p w14:paraId="1D7D8E7E" w14:textId="77777777" w:rsidR="00F3054D" w:rsidRPr="008759DD" w:rsidRDefault="00F3054D" w:rsidP="00F3054D">
            <w:pPr>
              <w:pStyle w:val="TableText0"/>
              <w:keepNext w:val="0"/>
              <w:jc w:val="right"/>
            </w:pPr>
          </w:p>
        </w:tc>
        <w:tc>
          <w:tcPr>
            <w:tcW w:w="615" w:type="pct"/>
            <w:tcBorders>
              <w:top w:val="nil"/>
              <w:bottom w:val="nil"/>
            </w:tcBorders>
            <w:noWrap/>
          </w:tcPr>
          <w:p w14:paraId="74D048EB" w14:textId="77777777" w:rsidR="00F3054D" w:rsidRPr="008759DD" w:rsidRDefault="00F3054D" w:rsidP="00F3054D">
            <w:pPr>
              <w:pStyle w:val="TableText0"/>
              <w:keepNext w:val="0"/>
              <w:jc w:val="right"/>
            </w:pPr>
          </w:p>
        </w:tc>
      </w:tr>
      <w:tr w:rsidR="00F3054D" w:rsidRPr="00A67E12" w14:paraId="1C962852" w14:textId="77777777" w:rsidTr="008226A2">
        <w:tc>
          <w:tcPr>
            <w:tcW w:w="2536" w:type="pct"/>
            <w:tcBorders>
              <w:top w:val="nil"/>
              <w:bottom w:val="single" w:sz="4" w:space="0" w:color="auto"/>
            </w:tcBorders>
            <w:noWrap/>
          </w:tcPr>
          <w:p w14:paraId="56E08EFA" w14:textId="77777777" w:rsidR="00F3054D" w:rsidRPr="00A67E12" w:rsidRDefault="00F3054D" w:rsidP="007312D6">
            <w:pPr>
              <w:pStyle w:val="TableText0"/>
              <w:keepNext w:val="0"/>
              <w:numPr>
                <w:ilvl w:val="0"/>
                <w:numId w:val="14"/>
              </w:numPr>
            </w:pPr>
            <w:r w:rsidRPr="00A67E12">
              <w:rPr>
                <w:lang w:eastAsia="en-AU"/>
              </w:rPr>
              <w:t xml:space="preserve">28% (pooled trial data) in ABE + ET and ET </w:t>
            </w:r>
            <w:r w:rsidRPr="00A67E12">
              <w:rPr>
                <w:b/>
                <w:lang w:eastAsia="en-AU"/>
              </w:rPr>
              <w:t>#4</w:t>
            </w:r>
          </w:p>
        </w:tc>
        <w:tc>
          <w:tcPr>
            <w:tcW w:w="616" w:type="pct"/>
            <w:tcBorders>
              <w:top w:val="nil"/>
              <w:bottom w:val="single" w:sz="4" w:space="0" w:color="auto"/>
            </w:tcBorders>
            <w:noWrap/>
          </w:tcPr>
          <w:p w14:paraId="7FD9E3F5" w14:textId="00021F3D"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3"/>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3"/>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3"/>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single" w:sz="4" w:space="0" w:color="auto"/>
            </w:tcBorders>
            <w:noWrap/>
          </w:tcPr>
          <w:p w14:paraId="650B37B8" w14:textId="77777777" w:rsidR="00F3054D" w:rsidRPr="00A67E12" w:rsidRDefault="00F3054D" w:rsidP="00F3054D">
            <w:pPr>
              <w:pStyle w:val="TableText0"/>
              <w:keepNext w:val="0"/>
              <w:jc w:val="right"/>
            </w:pPr>
            <w:r w:rsidRPr="00A67E12">
              <w:rPr>
                <w:lang w:eastAsia="en-AU"/>
              </w:rPr>
              <w:t>0.402</w:t>
            </w:r>
          </w:p>
        </w:tc>
        <w:tc>
          <w:tcPr>
            <w:tcW w:w="616" w:type="pct"/>
            <w:tcBorders>
              <w:top w:val="nil"/>
              <w:bottom w:val="single" w:sz="4" w:space="0" w:color="auto"/>
            </w:tcBorders>
            <w:noWrap/>
          </w:tcPr>
          <w:p w14:paraId="7A6588A6" w14:textId="700B9005"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2"/>
                <w:lang w:eastAsia="en-AU"/>
                <w14:textFill>
                  <w14:solidFill>
                    <w14:srgbClr w14:val="000000">
                      <w14:alpha w14:val="100000"/>
                    </w14:srgbClr>
                  </w14:solidFill>
                </w14:textFill>
              </w:rPr>
              <w:t>|</w:t>
            </w:r>
            <w:r w:rsidRPr="0013119A">
              <w:rPr>
                <w:color w:val="000000"/>
                <w:spacing w:val="1"/>
                <w:shd w:val="solid" w:color="000000" w:fill="000000"/>
                <w:fitText w:val="200" w:id="-1233471222"/>
                <w:lang w:eastAsia="en-AU"/>
                <w14:textFill>
                  <w14:solidFill>
                    <w14:srgbClr w14:val="000000">
                      <w14:alpha w14:val="100000"/>
                    </w14:srgbClr>
                  </w14:solidFill>
                </w14:textFill>
              </w:rPr>
              <w:t>|</w:t>
            </w:r>
            <w:r w:rsidR="008759DD" w:rsidRPr="008759DD">
              <w:rPr>
                <w:lang w:eastAsia="en-AU"/>
              </w:rPr>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24383D58" w14:textId="77777777" w:rsidR="00F3054D" w:rsidRPr="00A67E12" w:rsidRDefault="00F3054D" w:rsidP="00F3054D">
            <w:pPr>
              <w:pStyle w:val="TableText0"/>
              <w:keepNext w:val="0"/>
              <w:jc w:val="right"/>
            </w:pPr>
            <w:r w:rsidRPr="00A67E12">
              <w:rPr>
                <w:lang w:eastAsia="en-AU"/>
              </w:rPr>
              <w:t>11%</w:t>
            </w:r>
          </w:p>
        </w:tc>
      </w:tr>
      <w:tr w:rsidR="00F3054D" w:rsidRPr="00A67E12" w14:paraId="09F818FD" w14:textId="77777777" w:rsidTr="008226A2">
        <w:tc>
          <w:tcPr>
            <w:tcW w:w="2536" w:type="pct"/>
            <w:tcBorders>
              <w:top w:val="single" w:sz="4" w:space="0" w:color="auto"/>
              <w:bottom w:val="nil"/>
            </w:tcBorders>
            <w:noWrap/>
          </w:tcPr>
          <w:p w14:paraId="479592FA" w14:textId="77777777" w:rsidR="00F3054D" w:rsidRPr="00A67E12" w:rsidRDefault="00F3054D" w:rsidP="00F3054D">
            <w:pPr>
              <w:pStyle w:val="TableText0"/>
              <w:keepNext w:val="0"/>
            </w:pPr>
            <w:r w:rsidRPr="00A67E12">
              <w:t>Proportion of NMRs that are second primary neoplasms (base case: 27% in both arms)</w:t>
            </w:r>
          </w:p>
        </w:tc>
        <w:tc>
          <w:tcPr>
            <w:tcW w:w="616" w:type="pct"/>
            <w:tcBorders>
              <w:top w:val="single" w:sz="4" w:space="0" w:color="auto"/>
              <w:bottom w:val="nil"/>
            </w:tcBorders>
            <w:noWrap/>
          </w:tcPr>
          <w:p w14:paraId="50345BB5" w14:textId="77777777" w:rsidR="00F3054D" w:rsidRPr="008759DD" w:rsidRDefault="00F3054D" w:rsidP="00F3054D">
            <w:pPr>
              <w:pStyle w:val="TableText0"/>
              <w:keepNext w:val="0"/>
              <w:jc w:val="right"/>
            </w:pPr>
          </w:p>
        </w:tc>
        <w:tc>
          <w:tcPr>
            <w:tcW w:w="616" w:type="pct"/>
            <w:tcBorders>
              <w:top w:val="single" w:sz="4" w:space="0" w:color="auto"/>
              <w:bottom w:val="nil"/>
            </w:tcBorders>
            <w:noWrap/>
          </w:tcPr>
          <w:p w14:paraId="03AF1543" w14:textId="77777777" w:rsidR="00F3054D" w:rsidRPr="008759DD" w:rsidRDefault="00F3054D" w:rsidP="00F3054D">
            <w:pPr>
              <w:pStyle w:val="TableText0"/>
              <w:keepNext w:val="0"/>
              <w:jc w:val="right"/>
            </w:pPr>
          </w:p>
        </w:tc>
        <w:tc>
          <w:tcPr>
            <w:tcW w:w="616" w:type="pct"/>
            <w:tcBorders>
              <w:top w:val="single" w:sz="4" w:space="0" w:color="auto"/>
              <w:bottom w:val="nil"/>
            </w:tcBorders>
            <w:noWrap/>
          </w:tcPr>
          <w:p w14:paraId="6ECF4B08" w14:textId="77777777" w:rsidR="00F3054D" w:rsidRPr="008759DD" w:rsidRDefault="00F3054D" w:rsidP="00F3054D">
            <w:pPr>
              <w:pStyle w:val="TableText0"/>
              <w:keepNext w:val="0"/>
              <w:jc w:val="right"/>
            </w:pPr>
          </w:p>
        </w:tc>
        <w:tc>
          <w:tcPr>
            <w:tcW w:w="615" w:type="pct"/>
            <w:tcBorders>
              <w:top w:val="single" w:sz="4" w:space="0" w:color="auto"/>
              <w:bottom w:val="nil"/>
            </w:tcBorders>
            <w:noWrap/>
          </w:tcPr>
          <w:p w14:paraId="217E6BBE" w14:textId="77777777" w:rsidR="00F3054D" w:rsidRPr="008759DD" w:rsidRDefault="00F3054D" w:rsidP="00F3054D">
            <w:pPr>
              <w:pStyle w:val="TableText0"/>
              <w:keepNext w:val="0"/>
              <w:jc w:val="right"/>
            </w:pPr>
          </w:p>
        </w:tc>
      </w:tr>
      <w:tr w:rsidR="00F3054D" w:rsidRPr="00A67E12" w14:paraId="327B438D" w14:textId="77777777" w:rsidTr="008226A2">
        <w:tc>
          <w:tcPr>
            <w:tcW w:w="2536" w:type="pct"/>
            <w:tcBorders>
              <w:top w:val="nil"/>
              <w:bottom w:val="nil"/>
            </w:tcBorders>
            <w:noWrap/>
          </w:tcPr>
          <w:p w14:paraId="0DE367E6" w14:textId="77777777" w:rsidR="00F3054D" w:rsidRPr="00A67E12" w:rsidRDefault="00F3054D" w:rsidP="007312D6">
            <w:pPr>
              <w:pStyle w:val="TableText0"/>
              <w:keepNext w:val="0"/>
              <w:numPr>
                <w:ilvl w:val="0"/>
                <w:numId w:val="14"/>
              </w:numPr>
            </w:pPr>
            <w:r w:rsidRPr="00A67E12">
              <w:t>32% in ABE + ET and 23% in ET (ITT trial data)</w:t>
            </w:r>
          </w:p>
        </w:tc>
        <w:tc>
          <w:tcPr>
            <w:tcW w:w="616" w:type="pct"/>
            <w:tcBorders>
              <w:top w:val="nil"/>
              <w:bottom w:val="nil"/>
            </w:tcBorders>
            <w:noWrap/>
          </w:tcPr>
          <w:p w14:paraId="681588B1" w14:textId="3DE082D0"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1"/>
                <w14:textFill>
                  <w14:solidFill>
                    <w14:srgbClr w14:val="000000">
                      <w14:alpha w14:val="100000"/>
                    </w14:srgbClr>
                  </w14:solidFill>
                </w14:textFill>
              </w:rPr>
              <w:t xml:space="preserve">　</w:t>
            </w:r>
            <w:r w:rsidRPr="0013119A">
              <w:rPr>
                <w:color w:val="000000"/>
                <w:w w:val="20"/>
                <w:shd w:val="solid" w:color="000000" w:fill="000000"/>
                <w:fitText w:val="92" w:id="-1233471221"/>
                <w14:textFill>
                  <w14:solidFill>
                    <w14:srgbClr w14:val="000000">
                      <w14:alpha w14:val="100000"/>
                    </w14:srgbClr>
                  </w14:solidFill>
                </w14:textFill>
              </w:rPr>
              <w:t>|</w:t>
            </w:r>
            <w:r w:rsidRPr="0013119A">
              <w:rPr>
                <w:rFonts w:hint="eastAsia"/>
                <w:color w:val="000000"/>
                <w:spacing w:val="5"/>
                <w:w w:val="20"/>
                <w:shd w:val="solid" w:color="000000" w:fill="000000"/>
                <w:fitText w:val="92" w:id="-1233471221"/>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1D29D99A" w14:textId="77777777" w:rsidR="00F3054D" w:rsidRPr="00A67E12" w:rsidRDefault="00F3054D" w:rsidP="00F3054D">
            <w:pPr>
              <w:pStyle w:val="TableText0"/>
              <w:keepNext w:val="0"/>
              <w:jc w:val="right"/>
            </w:pPr>
            <w:r w:rsidRPr="00A67E12">
              <w:t>0.358</w:t>
            </w:r>
          </w:p>
        </w:tc>
        <w:tc>
          <w:tcPr>
            <w:tcW w:w="616" w:type="pct"/>
            <w:tcBorders>
              <w:top w:val="nil"/>
              <w:bottom w:val="nil"/>
            </w:tcBorders>
            <w:noWrap/>
          </w:tcPr>
          <w:p w14:paraId="698DA09D" w14:textId="00BA2BCE"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0"/>
                <w14:textFill>
                  <w14:solidFill>
                    <w14:srgbClr w14:val="000000">
                      <w14:alpha w14:val="100000"/>
                    </w14:srgbClr>
                  </w14:solidFill>
                </w14:textFill>
              </w:rPr>
              <w:t>|</w:t>
            </w:r>
            <w:r w:rsidRPr="0013119A">
              <w:rPr>
                <w:color w:val="000000"/>
                <w:spacing w:val="1"/>
                <w:shd w:val="solid" w:color="000000" w:fill="000000"/>
                <w:fitText w:val="200" w:id="-1233471220"/>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nil"/>
            </w:tcBorders>
            <w:noWrap/>
          </w:tcPr>
          <w:p w14:paraId="7957A5A9" w14:textId="77777777" w:rsidR="00F3054D" w:rsidRPr="00A67E12" w:rsidRDefault="00F3054D" w:rsidP="00F3054D">
            <w:pPr>
              <w:pStyle w:val="TableText0"/>
              <w:keepNext w:val="0"/>
              <w:jc w:val="right"/>
            </w:pPr>
            <w:r w:rsidRPr="00A67E12">
              <w:t>17%</w:t>
            </w:r>
          </w:p>
        </w:tc>
      </w:tr>
      <w:tr w:rsidR="00F3054D" w:rsidRPr="00A67E12" w14:paraId="5E59CBEE" w14:textId="77777777" w:rsidTr="008226A2">
        <w:tc>
          <w:tcPr>
            <w:tcW w:w="2536" w:type="pct"/>
            <w:tcBorders>
              <w:top w:val="nil"/>
              <w:bottom w:val="single" w:sz="4" w:space="0" w:color="auto"/>
            </w:tcBorders>
            <w:noWrap/>
          </w:tcPr>
          <w:p w14:paraId="3DDB3524" w14:textId="77777777" w:rsidR="00F3054D" w:rsidRPr="00A67E12" w:rsidRDefault="00F3054D" w:rsidP="007312D6">
            <w:pPr>
              <w:pStyle w:val="TableText0"/>
              <w:keepNext w:val="0"/>
              <w:numPr>
                <w:ilvl w:val="0"/>
                <w:numId w:val="14"/>
              </w:numPr>
            </w:pPr>
            <w:r w:rsidRPr="00A67E12">
              <w:t xml:space="preserve">30% in ABE + ET and 25% in ET </w:t>
            </w:r>
            <w:r w:rsidRPr="00A67E12">
              <w:rPr>
                <w:b/>
              </w:rPr>
              <w:t>#7</w:t>
            </w:r>
            <w:r w:rsidRPr="00A67E12">
              <w:t xml:space="preserve"> (half the difference observed in the ITT)</w:t>
            </w:r>
          </w:p>
        </w:tc>
        <w:tc>
          <w:tcPr>
            <w:tcW w:w="616" w:type="pct"/>
            <w:tcBorders>
              <w:top w:val="nil"/>
              <w:bottom w:val="single" w:sz="4" w:space="0" w:color="auto"/>
            </w:tcBorders>
            <w:noWrap/>
          </w:tcPr>
          <w:p w14:paraId="1D927368" w14:textId="754DC07C"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19"/>
                <w14:textFill>
                  <w14:solidFill>
                    <w14:srgbClr w14:val="000000">
                      <w14:alpha w14:val="100000"/>
                    </w14:srgbClr>
                  </w14:solidFill>
                </w14:textFill>
              </w:rPr>
              <w:t xml:space="preserve">　</w:t>
            </w:r>
            <w:r w:rsidRPr="0013119A">
              <w:rPr>
                <w:color w:val="000000"/>
                <w:w w:val="20"/>
                <w:shd w:val="solid" w:color="000000" w:fill="000000"/>
                <w:fitText w:val="92" w:id="-1233471219"/>
                <w14:textFill>
                  <w14:solidFill>
                    <w14:srgbClr w14:val="000000">
                      <w14:alpha w14:val="100000"/>
                    </w14:srgbClr>
                  </w14:solidFill>
                </w14:textFill>
              </w:rPr>
              <w:t>|</w:t>
            </w:r>
            <w:r w:rsidRPr="0013119A">
              <w:rPr>
                <w:rFonts w:hint="eastAsia"/>
                <w:color w:val="000000"/>
                <w:spacing w:val="5"/>
                <w:w w:val="20"/>
                <w:shd w:val="solid" w:color="000000" w:fill="000000"/>
                <w:fitText w:val="92" w:id="-1233471219"/>
                <w14:textFill>
                  <w14:solidFill>
                    <w14:srgbClr w14:val="000000">
                      <w14:alpha w14:val="100000"/>
                    </w14:srgbClr>
                  </w14:solidFill>
                </w14:textFill>
              </w:rPr>
              <w:t xml:space="preserve">　</w:t>
            </w:r>
            <w:r w:rsidR="008759DD" w:rsidRPr="008759DD">
              <w:t xml:space="preserve"> </w:t>
            </w:r>
          </w:p>
        </w:tc>
        <w:tc>
          <w:tcPr>
            <w:tcW w:w="616" w:type="pct"/>
            <w:tcBorders>
              <w:top w:val="nil"/>
              <w:bottom w:val="single" w:sz="4" w:space="0" w:color="auto"/>
            </w:tcBorders>
            <w:noWrap/>
          </w:tcPr>
          <w:p w14:paraId="166221A5" w14:textId="77777777" w:rsidR="00F3054D" w:rsidRPr="00A67E12" w:rsidRDefault="00F3054D" w:rsidP="00F3054D">
            <w:pPr>
              <w:pStyle w:val="TableText0"/>
              <w:keepNext w:val="0"/>
              <w:jc w:val="right"/>
            </w:pPr>
            <w:r w:rsidRPr="00A67E12">
              <w:t>0.397</w:t>
            </w:r>
          </w:p>
        </w:tc>
        <w:tc>
          <w:tcPr>
            <w:tcW w:w="616" w:type="pct"/>
            <w:tcBorders>
              <w:top w:val="nil"/>
              <w:bottom w:val="single" w:sz="4" w:space="0" w:color="auto"/>
            </w:tcBorders>
            <w:noWrap/>
          </w:tcPr>
          <w:p w14:paraId="4DB167A5" w14:textId="2DA444D5"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18"/>
                <w14:textFill>
                  <w14:solidFill>
                    <w14:srgbClr w14:val="000000">
                      <w14:alpha w14:val="100000"/>
                    </w14:srgbClr>
                  </w14:solidFill>
                </w14:textFill>
              </w:rPr>
              <w:t>|</w:t>
            </w:r>
            <w:r w:rsidRPr="0013119A">
              <w:rPr>
                <w:color w:val="000000"/>
                <w:spacing w:val="1"/>
                <w:shd w:val="solid" w:color="000000" w:fill="000000"/>
                <w:fitText w:val="200" w:id="-1233471218"/>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29E20154" w14:textId="77777777" w:rsidR="00F3054D" w:rsidRPr="00A67E12" w:rsidRDefault="00F3054D" w:rsidP="00F3054D">
            <w:pPr>
              <w:pStyle w:val="TableText0"/>
              <w:keepNext w:val="0"/>
              <w:jc w:val="right"/>
            </w:pPr>
            <w:r w:rsidRPr="00A67E12">
              <w:t>8%</w:t>
            </w:r>
          </w:p>
        </w:tc>
      </w:tr>
      <w:tr w:rsidR="00F3054D" w:rsidRPr="00A67E12" w14:paraId="1844C470" w14:textId="77777777" w:rsidTr="008226A2">
        <w:trPr>
          <w:trHeight w:val="469"/>
        </w:trPr>
        <w:tc>
          <w:tcPr>
            <w:tcW w:w="2536" w:type="pct"/>
            <w:tcBorders>
              <w:bottom w:val="single" w:sz="4" w:space="0" w:color="auto"/>
            </w:tcBorders>
            <w:noWrap/>
          </w:tcPr>
          <w:p w14:paraId="7C03457A" w14:textId="0A236678" w:rsidR="00F3054D" w:rsidRPr="00A67E12" w:rsidRDefault="00AB5EF1" w:rsidP="00F3054D">
            <w:pPr>
              <w:pStyle w:val="TableText0"/>
              <w:keepNext w:val="0"/>
              <w:rPr>
                <w:lang w:eastAsia="en-AU"/>
              </w:rPr>
            </w:pPr>
            <w:r w:rsidRPr="00A67E12">
              <w:rPr>
                <w:lang w:eastAsia="en-AU"/>
              </w:rPr>
              <w:t xml:space="preserve">ET </w:t>
            </w:r>
            <w:r w:rsidR="00F3054D" w:rsidRPr="00A67E12">
              <w:rPr>
                <w:lang w:eastAsia="en-AU"/>
              </w:rPr>
              <w:t>TTD extrapolation</w:t>
            </w:r>
            <w:r w:rsidR="00E44959" w:rsidRPr="00A67E12">
              <w:rPr>
                <w:lang w:eastAsia="en-AU"/>
              </w:rPr>
              <w:t xml:space="preserve"> in both arms</w:t>
            </w:r>
            <w:r w:rsidR="00F3054D" w:rsidRPr="00A67E12">
              <w:rPr>
                <w:lang w:eastAsia="en-AU"/>
              </w:rPr>
              <w:t xml:space="preserve">, (base case: </w:t>
            </w:r>
            <w:r w:rsidR="00A35BDE" w:rsidRPr="00FA0201">
              <w:rPr>
                <w:iCs/>
                <w:lang w:eastAsia="en-AU"/>
              </w:rPr>
              <w:t xml:space="preserve">Independent models - </w:t>
            </w:r>
            <w:r w:rsidR="00F3054D" w:rsidRPr="00A67E12">
              <w:rPr>
                <w:lang w:eastAsia="en-AU"/>
              </w:rPr>
              <w:t xml:space="preserve">Hazards spline model with two knots), </w:t>
            </w:r>
            <w:r w:rsidR="005B2494" w:rsidRPr="00FA0201">
              <w:rPr>
                <w:iCs/>
                <w:lang w:eastAsia="en-AU"/>
              </w:rPr>
              <w:t xml:space="preserve">Independent models - </w:t>
            </w:r>
            <w:r w:rsidR="00A35BDE" w:rsidRPr="00FA0201">
              <w:rPr>
                <w:iCs/>
                <w:lang w:eastAsia="en-AU"/>
              </w:rPr>
              <w:t>ET intervention</w:t>
            </w:r>
            <w:r w:rsidR="00F3054D" w:rsidRPr="00A67E12">
              <w:rPr>
                <w:lang w:eastAsia="en-AU"/>
              </w:rPr>
              <w:t xml:space="preserve">: log-normal, </w:t>
            </w:r>
            <w:r w:rsidR="00F3054D" w:rsidRPr="00FA0201">
              <w:rPr>
                <w:iCs/>
                <w:lang w:eastAsia="en-AU"/>
              </w:rPr>
              <w:t>ET</w:t>
            </w:r>
            <w:r w:rsidR="00A35BDE" w:rsidRPr="00FA0201">
              <w:rPr>
                <w:iCs/>
                <w:lang w:eastAsia="en-AU"/>
              </w:rPr>
              <w:t xml:space="preserve"> comparator</w:t>
            </w:r>
            <w:r w:rsidR="00F3054D" w:rsidRPr="00A67E12">
              <w:rPr>
                <w:lang w:eastAsia="en-AU"/>
              </w:rPr>
              <w:t xml:space="preserve">: gamma </w:t>
            </w:r>
            <w:r w:rsidR="00F3054D" w:rsidRPr="00A67E12">
              <w:rPr>
                <w:b/>
                <w:lang w:eastAsia="en-AU"/>
              </w:rPr>
              <w:t>#2</w:t>
            </w:r>
          </w:p>
        </w:tc>
        <w:tc>
          <w:tcPr>
            <w:tcW w:w="616" w:type="pct"/>
            <w:tcBorders>
              <w:bottom w:val="single" w:sz="4" w:space="0" w:color="auto"/>
            </w:tcBorders>
            <w:noWrap/>
          </w:tcPr>
          <w:p w14:paraId="248D6450" w14:textId="5F46DA14"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17"/>
                <w:lang w:eastAsia="en-AU"/>
                <w14:textFill>
                  <w14:solidFill>
                    <w14:srgbClr w14:val="000000">
                      <w14:alpha w14:val="100000"/>
                    </w14:srgbClr>
                  </w14:solidFill>
                </w14:textFill>
              </w:rPr>
              <w:t xml:space="preserve">　</w:t>
            </w:r>
            <w:r w:rsidRPr="0013119A">
              <w:rPr>
                <w:color w:val="000000"/>
                <w:w w:val="20"/>
                <w:shd w:val="solid" w:color="000000" w:fill="000000"/>
                <w:fitText w:val="92" w:id="-1233471217"/>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17"/>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bottom w:val="single" w:sz="4" w:space="0" w:color="auto"/>
            </w:tcBorders>
            <w:noWrap/>
          </w:tcPr>
          <w:p w14:paraId="5F4E28CD" w14:textId="77777777" w:rsidR="00F3054D" w:rsidRPr="00A67E12" w:rsidRDefault="00F3054D" w:rsidP="00F3054D">
            <w:pPr>
              <w:pStyle w:val="TableText0"/>
              <w:keepNext w:val="0"/>
              <w:jc w:val="right"/>
              <w:rPr>
                <w:lang w:eastAsia="en-AU"/>
              </w:rPr>
            </w:pPr>
            <w:r w:rsidRPr="00A67E12">
              <w:rPr>
                <w:lang w:eastAsia="en-AU"/>
              </w:rPr>
              <w:t>0.436</w:t>
            </w:r>
          </w:p>
        </w:tc>
        <w:tc>
          <w:tcPr>
            <w:tcW w:w="616" w:type="pct"/>
            <w:tcBorders>
              <w:bottom w:val="single" w:sz="4" w:space="0" w:color="auto"/>
            </w:tcBorders>
            <w:noWrap/>
          </w:tcPr>
          <w:p w14:paraId="54803536" w14:textId="24156577"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16"/>
                <w:lang w:eastAsia="en-AU"/>
                <w14:textFill>
                  <w14:solidFill>
                    <w14:srgbClr w14:val="000000">
                      <w14:alpha w14:val="100000"/>
                    </w14:srgbClr>
                  </w14:solidFill>
                </w14:textFill>
              </w:rPr>
              <w:t>|</w:t>
            </w:r>
            <w:r w:rsidRPr="0013119A">
              <w:rPr>
                <w:color w:val="000000"/>
                <w:spacing w:val="1"/>
                <w:shd w:val="solid" w:color="000000" w:fill="000000"/>
                <w:fitText w:val="200" w:id="-1233471216"/>
                <w:lang w:eastAsia="en-AU"/>
                <w14:textFill>
                  <w14:solidFill>
                    <w14:srgbClr w14:val="000000">
                      <w14:alpha w14:val="100000"/>
                    </w14:srgbClr>
                  </w14:solidFill>
                </w14:textFill>
              </w:rPr>
              <w:t>|</w:t>
            </w:r>
            <w:r w:rsidR="008759DD" w:rsidRPr="008759DD">
              <w:rPr>
                <w:lang w:eastAsia="en-AU"/>
              </w:rPr>
              <w:t xml:space="preserve"> </w:t>
            </w:r>
            <w:r w:rsidR="008620A9">
              <w:rPr>
                <w:bCs w:val="0"/>
                <w:vertAlign w:val="superscript"/>
                <w:lang w:eastAsia="en-AU"/>
              </w:rPr>
              <w:t>5</w:t>
            </w:r>
          </w:p>
        </w:tc>
        <w:tc>
          <w:tcPr>
            <w:tcW w:w="615" w:type="pct"/>
            <w:tcBorders>
              <w:bottom w:val="single" w:sz="4" w:space="0" w:color="auto"/>
            </w:tcBorders>
            <w:noWrap/>
          </w:tcPr>
          <w:p w14:paraId="5586324E" w14:textId="2C8F96F6" w:rsidR="00F3054D" w:rsidRPr="00A67E12" w:rsidRDefault="009E0183" w:rsidP="00F3054D">
            <w:pPr>
              <w:pStyle w:val="TableText0"/>
              <w:keepNext w:val="0"/>
              <w:jc w:val="right"/>
              <w:rPr>
                <w:lang w:eastAsia="en-AU"/>
              </w:rPr>
            </w:pPr>
            <w:r>
              <w:rPr>
                <w:lang w:eastAsia="en-AU"/>
              </w:rPr>
              <w:t>-</w:t>
            </w:r>
            <w:r w:rsidR="00F3054D" w:rsidRPr="00A67E12">
              <w:rPr>
                <w:lang w:eastAsia="en-AU"/>
              </w:rPr>
              <w:t>2%</w:t>
            </w:r>
          </w:p>
        </w:tc>
      </w:tr>
      <w:tr w:rsidR="00F3054D" w:rsidRPr="00A67E12" w14:paraId="28E51229" w14:textId="77777777" w:rsidTr="008226A2">
        <w:tc>
          <w:tcPr>
            <w:tcW w:w="2536" w:type="pct"/>
            <w:tcBorders>
              <w:bottom w:val="single" w:sz="4" w:space="0" w:color="auto"/>
            </w:tcBorders>
            <w:noWrap/>
          </w:tcPr>
          <w:p w14:paraId="2130B7F5" w14:textId="77777777" w:rsidR="00F3054D" w:rsidRPr="00A67E12" w:rsidRDefault="00F3054D" w:rsidP="00F3054D">
            <w:pPr>
              <w:pStyle w:val="TableText0"/>
              <w:keepNext w:val="0"/>
            </w:pPr>
            <w:r w:rsidRPr="00A67E12">
              <w:t xml:space="preserve">Inclusion of ovarian suppression costs associated with patients receiving ET (0.22 per cycle, $270.32) </w:t>
            </w:r>
            <w:r w:rsidRPr="00A67E12">
              <w:rPr>
                <w:b/>
              </w:rPr>
              <w:t>#1</w:t>
            </w:r>
          </w:p>
        </w:tc>
        <w:tc>
          <w:tcPr>
            <w:tcW w:w="616" w:type="pct"/>
            <w:tcBorders>
              <w:bottom w:val="single" w:sz="4" w:space="0" w:color="auto"/>
            </w:tcBorders>
            <w:noWrap/>
          </w:tcPr>
          <w:p w14:paraId="650DFF7A" w14:textId="761ABF4D"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32"/>
                <w14:textFill>
                  <w14:solidFill>
                    <w14:srgbClr w14:val="000000">
                      <w14:alpha w14:val="100000"/>
                    </w14:srgbClr>
                  </w14:solidFill>
                </w14:textFill>
              </w:rPr>
              <w:t xml:space="preserve">　</w:t>
            </w:r>
            <w:r w:rsidRPr="0013119A">
              <w:rPr>
                <w:color w:val="000000"/>
                <w:w w:val="20"/>
                <w:shd w:val="solid" w:color="000000" w:fill="000000"/>
                <w:fitText w:val="92" w:id="-1233471232"/>
                <w14:textFill>
                  <w14:solidFill>
                    <w14:srgbClr w14:val="000000">
                      <w14:alpha w14:val="100000"/>
                    </w14:srgbClr>
                  </w14:solidFill>
                </w14:textFill>
              </w:rPr>
              <w:t>|</w:t>
            </w:r>
            <w:r w:rsidRPr="0013119A">
              <w:rPr>
                <w:rFonts w:hint="eastAsia"/>
                <w:color w:val="000000"/>
                <w:spacing w:val="5"/>
                <w:w w:val="20"/>
                <w:shd w:val="solid" w:color="000000" w:fill="000000"/>
                <w:fitText w:val="92" w:id="-1233471232"/>
                <w14:textFill>
                  <w14:solidFill>
                    <w14:srgbClr w14:val="000000">
                      <w14:alpha w14:val="100000"/>
                    </w14:srgbClr>
                  </w14:solidFill>
                </w14:textFill>
              </w:rPr>
              <w:t xml:space="preserve">　</w:t>
            </w:r>
            <w:r w:rsidR="008759DD" w:rsidRPr="008759DD">
              <w:t xml:space="preserve"> </w:t>
            </w:r>
          </w:p>
        </w:tc>
        <w:tc>
          <w:tcPr>
            <w:tcW w:w="616" w:type="pct"/>
            <w:tcBorders>
              <w:bottom w:val="single" w:sz="4" w:space="0" w:color="auto"/>
            </w:tcBorders>
            <w:noWrap/>
          </w:tcPr>
          <w:p w14:paraId="650EE47A" w14:textId="77777777" w:rsidR="00F3054D" w:rsidRPr="00A67E12" w:rsidRDefault="00F3054D" w:rsidP="00F3054D">
            <w:pPr>
              <w:pStyle w:val="TableText0"/>
              <w:keepNext w:val="0"/>
              <w:jc w:val="right"/>
            </w:pPr>
            <w:r w:rsidRPr="00A67E12">
              <w:t>0.436</w:t>
            </w:r>
          </w:p>
        </w:tc>
        <w:tc>
          <w:tcPr>
            <w:tcW w:w="616" w:type="pct"/>
            <w:tcBorders>
              <w:bottom w:val="single" w:sz="4" w:space="0" w:color="auto"/>
            </w:tcBorders>
            <w:noWrap/>
          </w:tcPr>
          <w:p w14:paraId="07601183" w14:textId="673E21E5"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31"/>
                <w14:textFill>
                  <w14:solidFill>
                    <w14:srgbClr w14:val="000000">
                      <w14:alpha w14:val="100000"/>
                    </w14:srgbClr>
                  </w14:solidFill>
                </w14:textFill>
              </w:rPr>
              <w:t>|</w:t>
            </w:r>
            <w:r w:rsidRPr="0013119A">
              <w:rPr>
                <w:color w:val="000000"/>
                <w:spacing w:val="1"/>
                <w:shd w:val="solid" w:color="000000" w:fill="000000"/>
                <w:fitText w:val="200" w:id="-1233471231"/>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bottom w:val="single" w:sz="4" w:space="0" w:color="auto"/>
            </w:tcBorders>
            <w:noWrap/>
          </w:tcPr>
          <w:p w14:paraId="0B8C855E" w14:textId="77777777" w:rsidR="00F3054D" w:rsidRPr="00A67E12" w:rsidRDefault="00F3054D" w:rsidP="00F3054D">
            <w:pPr>
              <w:pStyle w:val="TableText0"/>
              <w:keepNext w:val="0"/>
              <w:jc w:val="right"/>
            </w:pPr>
            <w:r w:rsidRPr="00A67E12">
              <w:t>2%</w:t>
            </w:r>
          </w:p>
        </w:tc>
      </w:tr>
      <w:tr w:rsidR="00F3054D" w:rsidRPr="00A67E12" w14:paraId="50CBD06B" w14:textId="77777777" w:rsidTr="008226A2">
        <w:tc>
          <w:tcPr>
            <w:tcW w:w="2536" w:type="pct"/>
            <w:tcBorders>
              <w:bottom w:val="nil"/>
            </w:tcBorders>
            <w:noWrap/>
          </w:tcPr>
          <w:p w14:paraId="76F66C68" w14:textId="77777777" w:rsidR="00F3054D" w:rsidRPr="00A67E12" w:rsidRDefault="00F3054D" w:rsidP="00F3054D">
            <w:pPr>
              <w:pStyle w:val="TableText0"/>
              <w:keepNext w:val="0"/>
            </w:pPr>
            <w:r w:rsidRPr="00A67E12">
              <w:t xml:space="preserve">Hospitalisation rate (base case: 0.003 per cycle in ABE + ET, 0.004 per cycle in ET)  </w:t>
            </w:r>
          </w:p>
        </w:tc>
        <w:tc>
          <w:tcPr>
            <w:tcW w:w="616" w:type="pct"/>
            <w:tcBorders>
              <w:bottom w:val="nil"/>
            </w:tcBorders>
            <w:noWrap/>
          </w:tcPr>
          <w:p w14:paraId="66A9D6DA" w14:textId="77777777" w:rsidR="00F3054D" w:rsidRPr="008759DD" w:rsidRDefault="00F3054D" w:rsidP="00F3054D">
            <w:pPr>
              <w:pStyle w:val="TableText0"/>
              <w:keepNext w:val="0"/>
              <w:jc w:val="right"/>
            </w:pPr>
          </w:p>
        </w:tc>
        <w:tc>
          <w:tcPr>
            <w:tcW w:w="616" w:type="pct"/>
            <w:tcBorders>
              <w:bottom w:val="nil"/>
            </w:tcBorders>
            <w:noWrap/>
          </w:tcPr>
          <w:p w14:paraId="1CA459D1" w14:textId="77777777" w:rsidR="00F3054D" w:rsidRPr="008759DD" w:rsidRDefault="00F3054D" w:rsidP="00F3054D">
            <w:pPr>
              <w:pStyle w:val="TableText0"/>
              <w:keepNext w:val="0"/>
              <w:jc w:val="right"/>
            </w:pPr>
          </w:p>
        </w:tc>
        <w:tc>
          <w:tcPr>
            <w:tcW w:w="616" w:type="pct"/>
            <w:tcBorders>
              <w:bottom w:val="nil"/>
            </w:tcBorders>
            <w:noWrap/>
          </w:tcPr>
          <w:p w14:paraId="68165AA0" w14:textId="77777777" w:rsidR="00F3054D" w:rsidRPr="008759DD" w:rsidRDefault="00F3054D" w:rsidP="00F3054D">
            <w:pPr>
              <w:pStyle w:val="TableText0"/>
              <w:keepNext w:val="0"/>
              <w:jc w:val="right"/>
            </w:pPr>
          </w:p>
        </w:tc>
        <w:tc>
          <w:tcPr>
            <w:tcW w:w="615" w:type="pct"/>
            <w:tcBorders>
              <w:bottom w:val="nil"/>
            </w:tcBorders>
            <w:noWrap/>
          </w:tcPr>
          <w:p w14:paraId="3C9F92B4" w14:textId="77777777" w:rsidR="00F3054D" w:rsidRPr="008759DD" w:rsidRDefault="00F3054D" w:rsidP="00F3054D">
            <w:pPr>
              <w:pStyle w:val="TableText0"/>
              <w:keepNext w:val="0"/>
              <w:jc w:val="right"/>
            </w:pPr>
          </w:p>
        </w:tc>
      </w:tr>
      <w:tr w:rsidR="00F3054D" w:rsidRPr="00A67E12" w14:paraId="704638AB" w14:textId="77777777" w:rsidTr="008226A2">
        <w:tc>
          <w:tcPr>
            <w:tcW w:w="2536" w:type="pct"/>
            <w:tcBorders>
              <w:top w:val="nil"/>
              <w:bottom w:val="nil"/>
            </w:tcBorders>
            <w:noWrap/>
          </w:tcPr>
          <w:p w14:paraId="36076839" w14:textId="77777777" w:rsidR="00F3054D" w:rsidRPr="00A67E12" w:rsidRDefault="00F3054D" w:rsidP="00F3054D">
            <w:pPr>
              <w:pStyle w:val="TableText0"/>
              <w:keepNext w:val="0"/>
            </w:pPr>
            <w:r w:rsidRPr="00A67E12">
              <w:t xml:space="preserve">0.002 per cycle in ABE + ET, 0.004 per cycle in ET (correction of error) </w:t>
            </w:r>
            <w:r w:rsidRPr="00A67E12">
              <w:rPr>
                <w:b/>
              </w:rPr>
              <w:t>#1</w:t>
            </w:r>
          </w:p>
        </w:tc>
        <w:tc>
          <w:tcPr>
            <w:tcW w:w="616" w:type="pct"/>
            <w:tcBorders>
              <w:top w:val="nil"/>
              <w:bottom w:val="nil"/>
            </w:tcBorders>
            <w:noWrap/>
          </w:tcPr>
          <w:p w14:paraId="553613E5" w14:textId="41960444"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30"/>
                <w14:textFill>
                  <w14:solidFill>
                    <w14:srgbClr w14:val="000000">
                      <w14:alpha w14:val="100000"/>
                    </w14:srgbClr>
                  </w14:solidFill>
                </w14:textFill>
              </w:rPr>
              <w:t xml:space="preserve">　</w:t>
            </w:r>
            <w:r w:rsidRPr="0013119A">
              <w:rPr>
                <w:color w:val="000000"/>
                <w:w w:val="20"/>
                <w:shd w:val="solid" w:color="000000" w:fill="000000"/>
                <w:fitText w:val="92" w:id="-1233471230"/>
                <w14:textFill>
                  <w14:solidFill>
                    <w14:srgbClr w14:val="000000">
                      <w14:alpha w14:val="100000"/>
                    </w14:srgbClr>
                  </w14:solidFill>
                </w14:textFill>
              </w:rPr>
              <w:t>|</w:t>
            </w:r>
            <w:r w:rsidRPr="0013119A">
              <w:rPr>
                <w:rFonts w:hint="eastAsia"/>
                <w:color w:val="000000"/>
                <w:spacing w:val="5"/>
                <w:w w:val="20"/>
                <w:shd w:val="solid" w:color="000000" w:fill="000000"/>
                <w:fitText w:val="92" w:id="-1233471230"/>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16A61315" w14:textId="77777777" w:rsidR="00F3054D" w:rsidRPr="00A67E12" w:rsidRDefault="00F3054D" w:rsidP="00F3054D">
            <w:pPr>
              <w:pStyle w:val="TableText0"/>
              <w:keepNext w:val="0"/>
              <w:jc w:val="right"/>
            </w:pPr>
            <w:r w:rsidRPr="00A67E12">
              <w:t>0.436</w:t>
            </w:r>
          </w:p>
        </w:tc>
        <w:tc>
          <w:tcPr>
            <w:tcW w:w="616" w:type="pct"/>
            <w:tcBorders>
              <w:top w:val="nil"/>
              <w:bottom w:val="nil"/>
            </w:tcBorders>
            <w:noWrap/>
          </w:tcPr>
          <w:p w14:paraId="7C36CCC4" w14:textId="5BE4AD30"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9"/>
                <w14:textFill>
                  <w14:solidFill>
                    <w14:srgbClr w14:val="000000">
                      <w14:alpha w14:val="100000"/>
                    </w14:srgbClr>
                  </w14:solidFill>
                </w14:textFill>
              </w:rPr>
              <w:t>|</w:t>
            </w:r>
            <w:r w:rsidRPr="0013119A">
              <w:rPr>
                <w:color w:val="000000"/>
                <w:spacing w:val="1"/>
                <w:shd w:val="solid" w:color="000000" w:fill="000000"/>
                <w:fitText w:val="200" w:id="-1233471229"/>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nil"/>
            </w:tcBorders>
            <w:noWrap/>
          </w:tcPr>
          <w:p w14:paraId="5D5A679F" w14:textId="45DA4326" w:rsidR="00F3054D" w:rsidRPr="00A67E12" w:rsidRDefault="009E0183" w:rsidP="00F3054D">
            <w:pPr>
              <w:pStyle w:val="TableText0"/>
              <w:keepNext w:val="0"/>
              <w:jc w:val="right"/>
            </w:pPr>
            <w:r>
              <w:rPr>
                <w:lang w:eastAsia="en-AU"/>
              </w:rPr>
              <w:t>-</w:t>
            </w:r>
            <w:r w:rsidR="00F3054D" w:rsidRPr="00A67E12">
              <w:rPr>
                <w:lang w:eastAsia="en-AU"/>
              </w:rPr>
              <w:t>1%</w:t>
            </w:r>
          </w:p>
        </w:tc>
      </w:tr>
      <w:tr w:rsidR="00F3054D" w:rsidRPr="00A67E12" w14:paraId="472A53E9" w14:textId="77777777" w:rsidTr="008226A2">
        <w:tc>
          <w:tcPr>
            <w:tcW w:w="2536" w:type="pct"/>
            <w:tcBorders>
              <w:bottom w:val="single" w:sz="4" w:space="0" w:color="auto"/>
            </w:tcBorders>
            <w:noWrap/>
          </w:tcPr>
          <w:p w14:paraId="50F8E644" w14:textId="77777777" w:rsidR="00F3054D" w:rsidRPr="00A67E12" w:rsidRDefault="00F3054D" w:rsidP="00F3054D">
            <w:pPr>
              <w:pStyle w:val="TableText0"/>
              <w:keepNext w:val="0"/>
            </w:pPr>
            <w:r w:rsidRPr="00A67E12">
              <w:t xml:space="preserve">Exclusion of one-off fulvestrant costs applied in the MBC setting </w:t>
            </w:r>
            <w:r w:rsidRPr="00A67E12">
              <w:rPr>
                <w:b/>
              </w:rPr>
              <w:t>#1</w:t>
            </w:r>
          </w:p>
        </w:tc>
        <w:tc>
          <w:tcPr>
            <w:tcW w:w="616" w:type="pct"/>
            <w:tcBorders>
              <w:bottom w:val="single" w:sz="4" w:space="0" w:color="auto"/>
            </w:tcBorders>
            <w:noWrap/>
          </w:tcPr>
          <w:p w14:paraId="77A69923" w14:textId="54F6017C"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8"/>
                <w14:textFill>
                  <w14:solidFill>
                    <w14:srgbClr w14:val="000000">
                      <w14:alpha w14:val="100000"/>
                    </w14:srgbClr>
                  </w14:solidFill>
                </w14:textFill>
              </w:rPr>
              <w:t xml:space="preserve">　</w:t>
            </w:r>
            <w:r w:rsidRPr="0013119A">
              <w:rPr>
                <w:color w:val="000000"/>
                <w:w w:val="20"/>
                <w:shd w:val="solid" w:color="000000" w:fill="000000"/>
                <w:fitText w:val="92" w:id="-1233471228"/>
                <w14:textFill>
                  <w14:solidFill>
                    <w14:srgbClr w14:val="000000">
                      <w14:alpha w14:val="100000"/>
                    </w14:srgbClr>
                  </w14:solidFill>
                </w14:textFill>
              </w:rPr>
              <w:t>|</w:t>
            </w:r>
            <w:r w:rsidRPr="0013119A">
              <w:rPr>
                <w:rFonts w:hint="eastAsia"/>
                <w:color w:val="000000"/>
                <w:spacing w:val="5"/>
                <w:w w:val="20"/>
                <w:shd w:val="solid" w:color="000000" w:fill="000000"/>
                <w:fitText w:val="92" w:id="-1233471228"/>
                <w14:textFill>
                  <w14:solidFill>
                    <w14:srgbClr w14:val="000000">
                      <w14:alpha w14:val="100000"/>
                    </w14:srgbClr>
                  </w14:solidFill>
                </w14:textFill>
              </w:rPr>
              <w:t xml:space="preserve">　</w:t>
            </w:r>
            <w:r w:rsidR="008759DD" w:rsidRPr="008759DD">
              <w:t xml:space="preserve"> </w:t>
            </w:r>
          </w:p>
        </w:tc>
        <w:tc>
          <w:tcPr>
            <w:tcW w:w="616" w:type="pct"/>
            <w:tcBorders>
              <w:bottom w:val="single" w:sz="4" w:space="0" w:color="auto"/>
            </w:tcBorders>
            <w:noWrap/>
          </w:tcPr>
          <w:p w14:paraId="4D4DDD22" w14:textId="77777777" w:rsidR="00F3054D" w:rsidRPr="00A67E12" w:rsidRDefault="00F3054D" w:rsidP="00F3054D">
            <w:pPr>
              <w:pStyle w:val="TableText0"/>
              <w:keepNext w:val="0"/>
              <w:jc w:val="right"/>
            </w:pPr>
            <w:r w:rsidRPr="00A67E12">
              <w:t>0.436</w:t>
            </w:r>
          </w:p>
        </w:tc>
        <w:tc>
          <w:tcPr>
            <w:tcW w:w="616" w:type="pct"/>
            <w:tcBorders>
              <w:bottom w:val="single" w:sz="4" w:space="0" w:color="auto"/>
            </w:tcBorders>
            <w:noWrap/>
          </w:tcPr>
          <w:p w14:paraId="3F294049" w14:textId="5C5106C1"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7"/>
                <w14:textFill>
                  <w14:solidFill>
                    <w14:srgbClr w14:val="000000">
                      <w14:alpha w14:val="100000"/>
                    </w14:srgbClr>
                  </w14:solidFill>
                </w14:textFill>
              </w:rPr>
              <w:t>|</w:t>
            </w:r>
            <w:r w:rsidRPr="0013119A">
              <w:rPr>
                <w:color w:val="000000"/>
                <w:spacing w:val="1"/>
                <w:shd w:val="solid" w:color="000000" w:fill="000000"/>
                <w:fitText w:val="200" w:id="-1233471227"/>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bottom w:val="single" w:sz="4" w:space="0" w:color="auto"/>
            </w:tcBorders>
            <w:noWrap/>
          </w:tcPr>
          <w:p w14:paraId="2C940FAE" w14:textId="2C538EDA" w:rsidR="00F3054D" w:rsidRPr="00A67E12" w:rsidRDefault="009E0183" w:rsidP="00F3054D">
            <w:pPr>
              <w:pStyle w:val="TableText0"/>
              <w:keepNext w:val="0"/>
              <w:jc w:val="right"/>
            </w:pPr>
            <w:r>
              <w:t>-</w:t>
            </w:r>
            <w:r w:rsidR="00F3054D" w:rsidRPr="00A67E12">
              <w:t>0%</w:t>
            </w:r>
          </w:p>
        </w:tc>
      </w:tr>
      <w:tr w:rsidR="00F3054D" w:rsidRPr="00A67E12" w14:paraId="6CA0607E" w14:textId="77777777" w:rsidTr="008226A2">
        <w:tc>
          <w:tcPr>
            <w:tcW w:w="2536" w:type="pct"/>
            <w:tcBorders>
              <w:bottom w:val="single" w:sz="4" w:space="0" w:color="auto"/>
            </w:tcBorders>
            <w:noWrap/>
          </w:tcPr>
          <w:p w14:paraId="3DE1F959" w14:textId="77777777" w:rsidR="00F3054D" w:rsidRPr="00A67E12" w:rsidRDefault="00F3054D" w:rsidP="00F3054D">
            <w:pPr>
              <w:pStyle w:val="TableText0"/>
              <w:keepNext w:val="0"/>
              <w:rPr>
                <w:b/>
              </w:rPr>
            </w:pPr>
            <w:r w:rsidRPr="00A67E12">
              <w:t xml:space="preserve">NHCDC component of oncology visit (base case: $463), $81 (Tier 2 2042 Medical Oncology (Consultation) direct ward medical component   </w:t>
            </w:r>
            <w:r w:rsidRPr="00A67E12">
              <w:rPr>
                <w:b/>
              </w:rPr>
              <w:t>#3</w:t>
            </w:r>
          </w:p>
        </w:tc>
        <w:tc>
          <w:tcPr>
            <w:tcW w:w="616" w:type="pct"/>
            <w:tcBorders>
              <w:bottom w:val="single" w:sz="4" w:space="0" w:color="auto"/>
            </w:tcBorders>
            <w:noWrap/>
          </w:tcPr>
          <w:p w14:paraId="21278DCC" w14:textId="6F6D3154"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6"/>
                <w14:textFill>
                  <w14:solidFill>
                    <w14:srgbClr w14:val="000000">
                      <w14:alpha w14:val="100000"/>
                    </w14:srgbClr>
                  </w14:solidFill>
                </w14:textFill>
              </w:rPr>
              <w:t xml:space="preserve">　</w:t>
            </w:r>
            <w:r w:rsidRPr="0013119A">
              <w:rPr>
                <w:color w:val="000000"/>
                <w:w w:val="20"/>
                <w:shd w:val="solid" w:color="000000" w:fill="000000"/>
                <w:fitText w:val="92" w:id="-1233471226"/>
                <w14:textFill>
                  <w14:solidFill>
                    <w14:srgbClr w14:val="000000">
                      <w14:alpha w14:val="100000"/>
                    </w14:srgbClr>
                  </w14:solidFill>
                </w14:textFill>
              </w:rPr>
              <w:t>|</w:t>
            </w:r>
            <w:r w:rsidRPr="0013119A">
              <w:rPr>
                <w:rFonts w:hint="eastAsia"/>
                <w:color w:val="000000"/>
                <w:spacing w:val="5"/>
                <w:w w:val="20"/>
                <w:shd w:val="solid" w:color="000000" w:fill="000000"/>
                <w:fitText w:val="92" w:id="-1233471226"/>
                <w14:textFill>
                  <w14:solidFill>
                    <w14:srgbClr w14:val="000000">
                      <w14:alpha w14:val="100000"/>
                    </w14:srgbClr>
                  </w14:solidFill>
                </w14:textFill>
              </w:rPr>
              <w:t xml:space="preserve">　</w:t>
            </w:r>
            <w:r w:rsidR="008759DD" w:rsidRPr="008759DD">
              <w:t xml:space="preserve"> </w:t>
            </w:r>
          </w:p>
        </w:tc>
        <w:tc>
          <w:tcPr>
            <w:tcW w:w="616" w:type="pct"/>
            <w:tcBorders>
              <w:bottom w:val="single" w:sz="4" w:space="0" w:color="auto"/>
            </w:tcBorders>
            <w:noWrap/>
          </w:tcPr>
          <w:p w14:paraId="05778303" w14:textId="77777777" w:rsidR="00F3054D" w:rsidRPr="00A67E12" w:rsidRDefault="00F3054D" w:rsidP="00F3054D">
            <w:pPr>
              <w:pStyle w:val="TableText0"/>
              <w:keepNext w:val="0"/>
              <w:jc w:val="right"/>
            </w:pPr>
            <w:r w:rsidRPr="00A67E12">
              <w:t>0.436</w:t>
            </w:r>
          </w:p>
        </w:tc>
        <w:tc>
          <w:tcPr>
            <w:tcW w:w="616" w:type="pct"/>
            <w:tcBorders>
              <w:bottom w:val="single" w:sz="4" w:space="0" w:color="auto"/>
            </w:tcBorders>
            <w:noWrap/>
          </w:tcPr>
          <w:p w14:paraId="54E9AA88" w14:textId="36A357A4"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5"/>
                <w14:textFill>
                  <w14:solidFill>
                    <w14:srgbClr w14:val="000000">
                      <w14:alpha w14:val="100000"/>
                    </w14:srgbClr>
                  </w14:solidFill>
                </w14:textFill>
              </w:rPr>
              <w:t>|</w:t>
            </w:r>
            <w:r w:rsidRPr="0013119A">
              <w:rPr>
                <w:color w:val="000000"/>
                <w:spacing w:val="1"/>
                <w:shd w:val="solid" w:color="000000" w:fill="000000"/>
                <w:fitText w:val="200" w:id="-1233471225"/>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bottom w:val="single" w:sz="4" w:space="0" w:color="auto"/>
            </w:tcBorders>
            <w:noWrap/>
          </w:tcPr>
          <w:p w14:paraId="23401633" w14:textId="77777777" w:rsidR="00F3054D" w:rsidRPr="00A67E12" w:rsidRDefault="00F3054D" w:rsidP="00F3054D">
            <w:pPr>
              <w:pStyle w:val="TableText0"/>
              <w:keepNext w:val="0"/>
              <w:jc w:val="right"/>
            </w:pPr>
            <w:r w:rsidRPr="00A67E12">
              <w:t>6%</w:t>
            </w:r>
          </w:p>
        </w:tc>
      </w:tr>
      <w:tr w:rsidR="00F3054D" w:rsidRPr="00A67E12" w14:paraId="410BB65C" w14:textId="77777777" w:rsidTr="008226A2">
        <w:tc>
          <w:tcPr>
            <w:tcW w:w="2536" w:type="pct"/>
            <w:tcBorders>
              <w:bottom w:val="single" w:sz="4" w:space="0" w:color="auto"/>
            </w:tcBorders>
            <w:noWrap/>
          </w:tcPr>
          <w:p w14:paraId="5FA2A3EE" w14:textId="77777777" w:rsidR="00F3054D" w:rsidRPr="00A67E12" w:rsidRDefault="00F3054D" w:rsidP="00F3054D">
            <w:pPr>
              <w:pStyle w:val="TableText0"/>
              <w:keepNext w:val="0"/>
            </w:pPr>
            <w:r w:rsidRPr="00A67E12">
              <w:t xml:space="preserve">Inclusion of electrocardiogram scans in ET-MBC </w:t>
            </w:r>
            <w:r w:rsidRPr="00A67E12">
              <w:rPr>
                <w:b/>
              </w:rPr>
              <w:t>#1</w:t>
            </w:r>
          </w:p>
        </w:tc>
        <w:tc>
          <w:tcPr>
            <w:tcW w:w="616" w:type="pct"/>
            <w:tcBorders>
              <w:bottom w:val="single" w:sz="4" w:space="0" w:color="auto"/>
            </w:tcBorders>
            <w:noWrap/>
          </w:tcPr>
          <w:p w14:paraId="7D77B980" w14:textId="3C7CF3CD"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4"/>
                <w14:textFill>
                  <w14:solidFill>
                    <w14:srgbClr w14:val="000000">
                      <w14:alpha w14:val="100000"/>
                    </w14:srgbClr>
                  </w14:solidFill>
                </w14:textFill>
              </w:rPr>
              <w:t xml:space="preserve">　</w:t>
            </w:r>
            <w:r w:rsidRPr="0013119A">
              <w:rPr>
                <w:color w:val="000000"/>
                <w:w w:val="20"/>
                <w:shd w:val="solid" w:color="000000" w:fill="000000"/>
                <w:fitText w:val="92" w:id="-1233471224"/>
                <w14:textFill>
                  <w14:solidFill>
                    <w14:srgbClr w14:val="000000">
                      <w14:alpha w14:val="100000"/>
                    </w14:srgbClr>
                  </w14:solidFill>
                </w14:textFill>
              </w:rPr>
              <w:t>|</w:t>
            </w:r>
            <w:r w:rsidRPr="0013119A">
              <w:rPr>
                <w:rFonts w:hint="eastAsia"/>
                <w:color w:val="000000"/>
                <w:spacing w:val="5"/>
                <w:w w:val="20"/>
                <w:shd w:val="solid" w:color="000000" w:fill="000000"/>
                <w:fitText w:val="92" w:id="-1233471224"/>
                <w14:textFill>
                  <w14:solidFill>
                    <w14:srgbClr w14:val="000000">
                      <w14:alpha w14:val="100000"/>
                    </w14:srgbClr>
                  </w14:solidFill>
                </w14:textFill>
              </w:rPr>
              <w:t xml:space="preserve">　</w:t>
            </w:r>
            <w:r w:rsidR="008759DD" w:rsidRPr="008759DD">
              <w:t xml:space="preserve"> </w:t>
            </w:r>
          </w:p>
        </w:tc>
        <w:tc>
          <w:tcPr>
            <w:tcW w:w="616" w:type="pct"/>
            <w:tcBorders>
              <w:bottom w:val="single" w:sz="4" w:space="0" w:color="auto"/>
            </w:tcBorders>
            <w:noWrap/>
          </w:tcPr>
          <w:p w14:paraId="75144DBF" w14:textId="77777777" w:rsidR="00F3054D" w:rsidRPr="00A67E12" w:rsidRDefault="00F3054D" w:rsidP="00F3054D">
            <w:pPr>
              <w:pStyle w:val="TableText0"/>
              <w:keepNext w:val="0"/>
              <w:jc w:val="right"/>
            </w:pPr>
            <w:r w:rsidRPr="00A67E12">
              <w:t>0.436</w:t>
            </w:r>
          </w:p>
        </w:tc>
        <w:tc>
          <w:tcPr>
            <w:tcW w:w="616" w:type="pct"/>
            <w:tcBorders>
              <w:bottom w:val="single" w:sz="4" w:space="0" w:color="auto"/>
            </w:tcBorders>
            <w:noWrap/>
          </w:tcPr>
          <w:p w14:paraId="26F7881B" w14:textId="092C7569"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3"/>
                <w14:textFill>
                  <w14:solidFill>
                    <w14:srgbClr w14:val="000000">
                      <w14:alpha w14:val="100000"/>
                    </w14:srgbClr>
                  </w14:solidFill>
                </w14:textFill>
              </w:rPr>
              <w:t>|</w:t>
            </w:r>
            <w:r w:rsidRPr="0013119A">
              <w:rPr>
                <w:color w:val="000000"/>
                <w:spacing w:val="1"/>
                <w:shd w:val="solid" w:color="000000" w:fill="000000"/>
                <w:fitText w:val="200" w:id="-1233471223"/>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bottom w:val="single" w:sz="4" w:space="0" w:color="auto"/>
            </w:tcBorders>
            <w:noWrap/>
          </w:tcPr>
          <w:p w14:paraId="012D470F" w14:textId="2C3EB483" w:rsidR="00F3054D" w:rsidRPr="00A67E12" w:rsidRDefault="009E0183" w:rsidP="00F3054D">
            <w:pPr>
              <w:pStyle w:val="TableText0"/>
              <w:keepNext w:val="0"/>
              <w:jc w:val="right"/>
            </w:pPr>
            <w:r>
              <w:t>-</w:t>
            </w:r>
            <w:r w:rsidR="00F3054D" w:rsidRPr="00A67E12">
              <w:t>0%</w:t>
            </w:r>
          </w:p>
        </w:tc>
      </w:tr>
      <w:tr w:rsidR="00F3054D" w:rsidRPr="00A67E12" w14:paraId="02A75C74" w14:textId="77777777" w:rsidTr="008226A2">
        <w:tc>
          <w:tcPr>
            <w:tcW w:w="2536" w:type="pct"/>
            <w:tcBorders>
              <w:bottom w:val="single" w:sz="4" w:space="0" w:color="auto"/>
            </w:tcBorders>
            <w:noWrap/>
          </w:tcPr>
          <w:p w14:paraId="795FABD4" w14:textId="77777777" w:rsidR="00F3054D" w:rsidRPr="00A67E12" w:rsidRDefault="00F3054D" w:rsidP="00F3054D">
            <w:pPr>
              <w:pStyle w:val="TableText0"/>
              <w:keepNext w:val="0"/>
              <w:rPr>
                <w:b/>
              </w:rPr>
            </w:pPr>
            <w:r w:rsidRPr="00A67E12">
              <w:t xml:space="preserve">Correction of ES-MBC PF2 in ET arm treatment costs (base case: $2,312), $2,253 </w:t>
            </w:r>
            <w:r w:rsidRPr="00A67E12">
              <w:rPr>
                <w:b/>
              </w:rPr>
              <w:t>#1</w:t>
            </w:r>
          </w:p>
        </w:tc>
        <w:tc>
          <w:tcPr>
            <w:tcW w:w="616" w:type="pct"/>
            <w:tcBorders>
              <w:bottom w:val="single" w:sz="4" w:space="0" w:color="auto"/>
            </w:tcBorders>
            <w:noWrap/>
          </w:tcPr>
          <w:p w14:paraId="664FE976" w14:textId="40CE8F5D"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2"/>
                <w14:textFill>
                  <w14:solidFill>
                    <w14:srgbClr w14:val="000000">
                      <w14:alpha w14:val="100000"/>
                    </w14:srgbClr>
                  </w14:solidFill>
                </w14:textFill>
              </w:rPr>
              <w:t xml:space="preserve">　</w:t>
            </w:r>
            <w:r w:rsidRPr="0013119A">
              <w:rPr>
                <w:color w:val="000000"/>
                <w:w w:val="20"/>
                <w:shd w:val="solid" w:color="000000" w:fill="000000"/>
                <w:fitText w:val="92" w:id="-1233471222"/>
                <w14:textFill>
                  <w14:solidFill>
                    <w14:srgbClr w14:val="000000">
                      <w14:alpha w14:val="100000"/>
                    </w14:srgbClr>
                  </w14:solidFill>
                </w14:textFill>
              </w:rPr>
              <w:t>|</w:t>
            </w:r>
            <w:r w:rsidRPr="0013119A">
              <w:rPr>
                <w:rFonts w:hint="eastAsia"/>
                <w:color w:val="000000"/>
                <w:spacing w:val="5"/>
                <w:w w:val="20"/>
                <w:shd w:val="solid" w:color="000000" w:fill="000000"/>
                <w:fitText w:val="92" w:id="-1233471222"/>
                <w14:textFill>
                  <w14:solidFill>
                    <w14:srgbClr w14:val="000000">
                      <w14:alpha w14:val="100000"/>
                    </w14:srgbClr>
                  </w14:solidFill>
                </w14:textFill>
              </w:rPr>
              <w:t xml:space="preserve">　</w:t>
            </w:r>
            <w:r w:rsidR="008759DD" w:rsidRPr="008759DD">
              <w:t xml:space="preserve"> </w:t>
            </w:r>
          </w:p>
        </w:tc>
        <w:tc>
          <w:tcPr>
            <w:tcW w:w="616" w:type="pct"/>
            <w:tcBorders>
              <w:bottom w:val="single" w:sz="4" w:space="0" w:color="auto"/>
            </w:tcBorders>
            <w:noWrap/>
          </w:tcPr>
          <w:p w14:paraId="22BC410A" w14:textId="77777777" w:rsidR="00F3054D" w:rsidRPr="00A67E12" w:rsidRDefault="00F3054D" w:rsidP="00F3054D">
            <w:pPr>
              <w:pStyle w:val="TableText0"/>
              <w:keepNext w:val="0"/>
              <w:jc w:val="right"/>
            </w:pPr>
            <w:r w:rsidRPr="00A67E12">
              <w:t>0.436</w:t>
            </w:r>
          </w:p>
        </w:tc>
        <w:tc>
          <w:tcPr>
            <w:tcW w:w="616" w:type="pct"/>
            <w:tcBorders>
              <w:bottom w:val="single" w:sz="4" w:space="0" w:color="auto"/>
            </w:tcBorders>
            <w:noWrap/>
          </w:tcPr>
          <w:p w14:paraId="2B17E910" w14:textId="589F0CD1"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1"/>
                <w14:textFill>
                  <w14:solidFill>
                    <w14:srgbClr w14:val="000000">
                      <w14:alpha w14:val="100000"/>
                    </w14:srgbClr>
                  </w14:solidFill>
                </w14:textFill>
              </w:rPr>
              <w:t>|</w:t>
            </w:r>
            <w:r w:rsidRPr="0013119A">
              <w:rPr>
                <w:color w:val="000000"/>
                <w:spacing w:val="1"/>
                <w:shd w:val="solid" w:color="000000" w:fill="000000"/>
                <w:fitText w:val="200" w:id="-1233471221"/>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bottom w:val="single" w:sz="4" w:space="0" w:color="auto"/>
            </w:tcBorders>
            <w:noWrap/>
          </w:tcPr>
          <w:p w14:paraId="4F54C8C7" w14:textId="77777777" w:rsidR="00F3054D" w:rsidRPr="00A67E12" w:rsidRDefault="00F3054D" w:rsidP="00F3054D">
            <w:pPr>
              <w:pStyle w:val="TableText0"/>
              <w:keepNext w:val="0"/>
              <w:jc w:val="right"/>
            </w:pPr>
            <w:r w:rsidRPr="00A67E12">
              <w:t>0%</w:t>
            </w:r>
          </w:p>
        </w:tc>
      </w:tr>
      <w:tr w:rsidR="00F3054D" w:rsidRPr="00A67E12" w14:paraId="02B63ED6" w14:textId="77777777" w:rsidTr="008226A2">
        <w:tc>
          <w:tcPr>
            <w:tcW w:w="2536" w:type="pct"/>
            <w:tcBorders>
              <w:bottom w:val="nil"/>
            </w:tcBorders>
            <w:noWrap/>
          </w:tcPr>
          <w:p w14:paraId="69927FAB" w14:textId="77777777" w:rsidR="00F3054D" w:rsidRPr="00A67E12" w:rsidRDefault="00F3054D" w:rsidP="00F3054D">
            <w:pPr>
              <w:pStyle w:val="TableText0"/>
              <w:keepNext w:val="0"/>
              <w:rPr>
                <w:lang w:eastAsia="en-AU"/>
              </w:rPr>
            </w:pPr>
            <w:r w:rsidRPr="00A67E12">
              <w:rPr>
                <w:lang w:eastAsia="en-AU"/>
              </w:rPr>
              <w:t>MBC endocrine resistance</w:t>
            </w:r>
          </w:p>
        </w:tc>
        <w:tc>
          <w:tcPr>
            <w:tcW w:w="616" w:type="pct"/>
            <w:tcBorders>
              <w:bottom w:val="nil"/>
            </w:tcBorders>
            <w:noWrap/>
          </w:tcPr>
          <w:p w14:paraId="34389F70" w14:textId="77777777" w:rsidR="00F3054D" w:rsidRPr="008759DD" w:rsidRDefault="00F3054D" w:rsidP="00F3054D">
            <w:pPr>
              <w:pStyle w:val="TableText0"/>
              <w:keepNext w:val="0"/>
              <w:jc w:val="right"/>
              <w:rPr>
                <w:lang w:eastAsia="en-AU"/>
              </w:rPr>
            </w:pPr>
          </w:p>
        </w:tc>
        <w:tc>
          <w:tcPr>
            <w:tcW w:w="616" w:type="pct"/>
            <w:tcBorders>
              <w:bottom w:val="nil"/>
            </w:tcBorders>
            <w:noWrap/>
          </w:tcPr>
          <w:p w14:paraId="7B494DC5" w14:textId="77777777" w:rsidR="00F3054D" w:rsidRPr="008759DD" w:rsidRDefault="00F3054D" w:rsidP="00F3054D">
            <w:pPr>
              <w:pStyle w:val="TableText0"/>
              <w:keepNext w:val="0"/>
              <w:jc w:val="right"/>
              <w:rPr>
                <w:lang w:eastAsia="en-AU"/>
              </w:rPr>
            </w:pPr>
          </w:p>
        </w:tc>
        <w:tc>
          <w:tcPr>
            <w:tcW w:w="616" w:type="pct"/>
            <w:tcBorders>
              <w:bottom w:val="nil"/>
            </w:tcBorders>
            <w:noWrap/>
          </w:tcPr>
          <w:p w14:paraId="463986B6" w14:textId="77777777" w:rsidR="00F3054D" w:rsidRPr="008759DD" w:rsidRDefault="00F3054D" w:rsidP="00F3054D">
            <w:pPr>
              <w:pStyle w:val="TableText0"/>
              <w:keepNext w:val="0"/>
              <w:jc w:val="right"/>
              <w:rPr>
                <w:lang w:eastAsia="en-AU"/>
              </w:rPr>
            </w:pPr>
          </w:p>
        </w:tc>
        <w:tc>
          <w:tcPr>
            <w:tcW w:w="615" w:type="pct"/>
            <w:tcBorders>
              <w:bottom w:val="nil"/>
            </w:tcBorders>
            <w:noWrap/>
          </w:tcPr>
          <w:p w14:paraId="27F1CF9B" w14:textId="77777777" w:rsidR="00F3054D" w:rsidRPr="008759DD" w:rsidRDefault="00F3054D" w:rsidP="00F3054D">
            <w:pPr>
              <w:pStyle w:val="TableText0"/>
              <w:keepNext w:val="0"/>
              <w:jc w:val="right"/>
              <w:rPr>
                <w:lang w:eastAsia="en-AU"/>
              </w:rPr>
            </w:pPr>
          </w:p>
        </w:tc>
      </w:tr>
      <w:tr w:rsidR="00F3054D" w:rsidRPr="00A67E12" w14:paraId="5EB1B80F" w14:textId="77777777" w:rsidTr="008226A2">
        <w:tc>
          <w:tcPr>
            <w:tcW w:w="2536" w:type="pct"/>
            <w:tcBorders>
              <w:top w:val="nil"/>
              <w:bottom w:val="nil"/>
            </w:tcBorders>
            <w:noWrap/>
          </w:tcPr>
          <w:p w14:paraId="24953CD5" w14:textId="77777777" w:rsidR="00F3054D" w:rsidRPr="00A67E12" w:rsidRDefault="00F3054D" w:rsidP="007312D6">
            <w:pPr>
              <w:pStyle w:val="TableText0"/>
              <w:keepNext w:val="0"/>
              <w:numPr>
                <w:ilvl w:val="0"/>
                <w:numId w:val="14"/>
              </w:numPr>
              <w:rPr>
                <w:lang w:eastAsia="en-AU"/>
              </w:rPr>
            </w:pPr>
            <w:r w:rsidRPr="00A67E12">
              <w:rPr>
                <w:lang w:eastAsia="en-AU"/>
              </w:rPr>
              <w:t>All ES-MBC</w:t>
            </w:r>
          </w:p>
        </w:tc>
        <w:tc>
          <w:tcPr>
            <w:tcW w:w="616" w:type="pct"/>
            <w:tcBorders>
              <w:top w:val="nil"/>
              <w:bottom w:val="nil"/>
            </w:tcBorders>
            <w:noWrap/>
          </w:tcPr>
          <w:p w14:paraId="0C4B8DDA" w14:textId="42ADF40A"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20"/>
                <w:lang w:eastAsia="en-AU"/>
                <w14:textFill>
                  <w14:solidFill>
                    <w14:srgbClr w14:val="000000">
                      <w14:alpha w14:val="100000"/>
                    </w14:srgbClr>
                  </w14:solidFill>
                </w14:textFill>
              </w:rPr>
              <w:t xml:space="preserve">　</w:t>
            </w:r>
            <w:r w:rsidRPr="0013119A">
              <w:rPr>
                <w:color w:val="000000"/>
                <w:w w:val="20"/>
                <w:shd w:val="solid" w:color="000000" w:fill="000000"/>
                <w:fitText w:val="92" w:id="-1233471220"/>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20"/>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nil"/>
            </w:tcBorders>
            <w:noWrap/>
          </w:tcPr>
          <w:p w14:paraId="498D9FD7" w14:textId="77777777" w:rsidR="00F3054D" w:rsidRPr="00A67E12" w:rsidRDefault="00F3054D" w:rsidP="00F3054D">
            <w:pPr>
              <w:pStyle w:val="TableText0"/>
              <w:keepNext w:val="0"/>
              <w:jc w:val="right"/>
              <w:rPr>
                <w:lang w:eastAsia="en-AU"/>
              </w:rPr>
            </w:pPr>
            <w:r w:rsidRPr="00A67E12">
              <w:rPr>
                <w:lang w:eastAsia="en-AU"/>
              </w:rPr>
              <w:t>0.328</w:t>
            </w:r>
          </w:p>
        </w:tc>
        <w:tc>
          <w:tcPr>
            <w:tcW w:w="616" w:type="pct"/>
            <w:tcBorders>
              <w:top w:val="nil"/>
              <w:bottom w:val="nil"/>
            </w:tcBorders>
            <w:noWrap/>
          </w:tcPr>
          <w:p w14:paraId="5939C50F" w14:textId="0F274044"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19"/>
                <w:lang w:eastAsia="en-AU"/>
                <w14:textFill>
                  <w14:solidFill>
                    <w14:srgbClr w14:val="000000">
                      <w14:alpha w14:val="100000"/>
                    </w14:srgbClr>
                  </w14:solidFill>
                </w14:textFill>
              </w:rPr>
              <w:t>|</w:t>
            </w:r>
            <w:r w:rsidRPr="0013119A">
              <w:rPr>
                <w:color w:val="000000"/>
                <w:spacing w:val="1"/>
                <w:shd w:val="solid" w:color="000000" w:fill="000000"/>
                <w:fitText w:val="200" w:id="-1233471219"/>
                <w:lang w:eastAsia="en-AU"/>
                <w14:textFill>
                  <w14:solidFill>
                    <w14:srgbClr w14:val="000000">
                      <w14:alpha w14:val="100000"/>
                    </w14:srgbClr>
                  </w14:solidFill>
                </w14:textFill>
              </w:rPr>
              <w:t>|</w:t>
            </w:r>
            <w:r w:rsidR="008759DD" w:rsidRPr="008759DD">
              <w:rPr>
                <w:lang w:eastAsia="en-AU"/>
              </w:rPr>
              <w:t xml:space="preserve"> </w:t>
            </w:r>
            <w:r w:rsidR="008620A9" w:rsidRPr="008620A9">
              <w:rPr>
                <w:bCs w:val="0"/>
                <w:vertAlign w:val="superscript"/>
                <w:lang w:eastAsia="en-AU"/>
              </w:rPr>
              <w:t>1</w:t>
            </w:r>
          </w:p>
        </w:tc>
        <w:tc>
          <w:tcPr>
            <w:tcW w:w="615" w:type="pct"/>
            <w:tcBorders>
              <w:top w:val="nil"/>
              <w:bottom w:val="nil"/>
            </w:tcBorders>
            <w:noWrap/>
          </w:tcPr>
          <w:p w14:paraId="1849B501" w14:textId="77777777" w:rsidR="00F3054D" w:rsidRPr="00A67E12" w:rsidRDefault="00F3054D" w:rsidP="00F3054D">
            <w:pPr>
              <w:pStyle w:val="TableText0"/>
              <w:keepNext w:val="0"/>
              <w:jc w:val="right"/>
              <w:rPr>
                <w:lang w:eastAsia="en-AU"/>
              </w:rPr>
            </w:pPr>
            <w:r w:rsidRPr="00A67E12">
              <w:rPr>
                <w:lang w:eastAsia="en-AU"/>
              </w:rPr>
              <w:t>11%</w:t>
            </w:r>
          </w:p>
        </w:tc>
      </w:tr>
      <w:tr w:rsidR="00F3054D" w:rsidRPr="00A67E12" w14:paraId="0049937C" w14:textId="77777777" w:rsidTr="008226A2">
        <w:tc>
          <w:tcPr>
            <w:tcW w:w="2536" w:type="pct"/>
            <w:tcBorders>
              <w:top w:val="nil"/>
              <w:bottom w:val="single" w:sz="4" w:space="0" w:color="auto"/>
            </w:tcBorders>
            <w:noWrap/>
          </w:tcPr>
          <w:p w14:paraId="62EF0957" w14:textId="77777777" w:rsidR="00F3054D" w:rsidRPr="00A67E12" w:rsidRDefault="00F3054D" w:rsidP="007312D6">
            <w:pPr>
              <w:pStyle w:val="TableText0"/>
              <w:keepNext w:val="0"/>
              <w:numPr>
                <w:ilvl w:val="0"/>
                <w:numId w:val="14"/>
              </w:numPr>
              <w:rPr>
                <w:lang w:eastAsia="en-AU"/>
              </w:rPr>
            </w:pPr>
            <w:r w:rsidRPr="00A67E12">
              <w:rPr>
                <w:lang w:eastAsia="en-AU"/>
              </w:rPr>
              <w:t>All ER-MBC</w:t>
            </w:r>
          </w:p>
        </w:tc>
        <w:tc>
          <w:tcPr>
            <w:tcW w:w="616" w:type="pct"/>
            <w:tcBorders>
              <w:top w:val="nil"/>
              <w:bottom w:val="single" w:sz="4" w:space="0" w:color="auto"/>
            </w:tcBorders>
            <w:noWrap/>
          </w:tcPr>
          <w:p w14:paraId="07462C0B" w14:textId="55EF9FAF" w:rsidR="00F3054D" w:rsidRPr="008620A9" w:rsidRDefault="0013119A" w:rsidP="00F3054D">
            <w:pPr>
              <w:pStyle w:val="TableText0"/>
              <w:keepNext w:val="0"/>
              <w:jc w:val="right"/>
              <w:rPr>
                <w:highlight w:val="darkGray"/>
                <w:lang w:eastAsia="en-AU"/>
              </w:rPr>
            </w:pPr>
            <w:r w:rsidRPr="0013119A">
              <w:rPr>
                <w:rFonts w:hint="eastAsia"/>
                <w:color w:val="000000"/>
                <w:w w:val="20"/>
                <w:shd w:val="solid" w:color="000000" w:fill="000000"/>
                <w:fitText w:val="92" w:id="-1233471218"/>
                <w:lang w:eastAsia="en-AU"/>
                <w14:textFill>
                  <w14:solidFill>
                    <w14:srgbClr w14:val="000000">
                      <w14:alpha w14:val="100000"/>
                    </w14:srgbClr>
                  </w14:solidFill>
                </w14:textFill>
              </w:rPr>
              <w:t xml:space="preserve">　</w:t>
            </w:r>
            <w:r w:rsidRPr="0013119A">
              <w:rPr>
                <w:color w:val="000000"/>
                <w:w w:val="20"/>
                <w:shd w:val="solid" w:color="000000" w:fill="000000"/>
                <w:fitText w:val="92" w:id="-1233471218"/>
                <w:lang w:eastAsia="en-AU"/>
                <w14:textFill>
                  <w14:solidFill>
                    <w14:srgbClr w14:val="000000">
                      <w14:alpha w14:val="100000"/>
                    </w14:srgbClr>
                  </w14:solidFill>
                </w14:textFill>
              </w:rPr>
              <w:t>|</w:t>
            </w:r>
            <w:r w:rsidRPr="0013119A">
              <w:rPr>
                <w:rFonts w:hint="eastAsia"/>
                <w:color w:val="000000"/>
                <w:spacing w:val="5"/>
                <w:w w:val="20"/>
                <w:shd w:val="solid" w:color="000000" w:fill="000000"/>
                <w:fitText w:val="92" w:id="-1233471218"/>
                <w:lang w:eastAsia="en-AU"/>
                <w14:textFill>
                  <w14:solidFill>
                    <w14:srgbClr w14:val="000000">
                      <w14:alpha w14:val="100000"/>
                    </w14:srgbClr>
                  </w14:solidFill>
                </w14:textFill>
              </w:rPr>
              <w:t xml:space="preserve">　</w:t>
            </w:r>
            <w:r w:rsidR="008759DD" w:rsidRPr="008759DD">
              <w:rPr>
                <w:lang w:eastAsia="en-AU"/>
              </w:rPr>
              <w:t xml:space="preserve"> </w:t>
            </w:r>
          </w:p>
        </w:tc>
        <w:tc>
          <w:tcPr>
            <w:tcW w:w="616" w:type="pct"/>
            <w:tcBorders>
              <w:top w:val="nil"/>
              <w:bottom w:val="single" w:sz="4" w:space="0" w:color="auto"/>
            </w:tcBorders>
            <w:noWrap/>
          </w:tcPr>
          <w:p w14:paraId="2A1468E1" w14:textId="77777777" w:rsidR="00F3054D" w:rsidRPr="00A67E12" w:rsidRDefault="00F3054D" w:rsidP="00F3054D">
            <w:pPr>
              <w:pStyle w:val="TableText0"/>
              <w:keepNext w:val="0"/>
              <w:jc w:val="right"/>
              <w:rPr>
                <w:lang w:eastAsia="en-AU"/>
              </w:rPr>
            </w:pPr>
            <w:r w:rsidRPr="00A67E12">
              <w:rPr>
                <w:lang w:eastAsia="en-AU"/>
              </w:rPr>
              <w:t>0.430</w:t>
            </w:r>
          </w:p>
        </w:tc>
        <w:tc>
          <w:tcPr>
            <w:tcW w:w="616" w:type="pct"/>
            <w:tcBorders>
              <w:top w:val="nil"/>
              <w:bottom w:val="single" w:sz="4" w:space="0" w:color="auto"/>
            </w:tcBorders>
            <w:noWrap/>
          </w:tcPr>
          <w:p w14:paraId="6C085322" w14:textId="6C8883F3" w:rsidR="00F3054D" w:rsidRPr="008620A9" w:rsidRDefault="0013119A" w:rsidP="00F3054D">
            <w:pPr>
              <w:pStyle w:val="TableText0"/>
              <w:keepNext w:val="0"/>
              <w:jc w:val="right"/>
              <w:rPr>
                <w:highlight w:val="darkGray"/>
                <w:lang w:eastAsia="en-AU"/>
              </w:rPr>
            </w:pPr>
            <w:r w:rsidRPr="0013119A">
              <w:rPr>
                <w:color w:val="000000"/>
                <w:spacing w:val="114"/>
                <w:shd w:val="solid" w:color="000000" w:fill="000000"/>
                <w:fitText w:val="200" w:id="-1233471217"/>
                <w:lang w:eastAsia="en-AU"/>
                <w14:textFill>
                  <w14:solidFill>
                    <w14:srgbClr w14:val="000000">
                      <w14:alpha w14:val="100000"/>
                    </w14:srgbClr>
                  </w14:solidFill>
                </w14:textFill>
              </w:rPr>
              <w:t>|</w:t>
            </w:r>
            <w:r w:rsidRPr="0013119A">
              <w:rPr>
                <w:color w:val="000000"/>
                <w:spacing w:val="1"/>
                <w:shd w:val="solid" w:color="000000" w:fill="000000"/>
                <w:fitText w:val="200" w:id="-1233471217"/>
                <w:lang w:eastAsia="en-AU"/>
                <w14:textFill>
                  <w14:solidFill>
                    <w14:srgbClr w14:val="000000">
                      <w14:alpha w14:val="100000"/>
                    </w14:srgbClr>
                  </w14:solidFill>
                </w14:textFill>
              </w:rPr>
              <w:t>|</w:t>
            </w:r>
            <w:r w:rsidR="008759DD" w:rsidRPr="008759DD">
              <w:rPr>
                <w:lang w:eastAsia="en-AU"/>
              </w:rPr>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166A1F90" w14:textId="77777777" w:rsidR="00F3054D" w:rsidRPr="00A67E12" w:rsidRDefault="00F3054D" w:rsidP="00F3054D">
            <w:pPr>
              <w:pStyle w:val="TableText0"/>
              <w:keepNext w:val="0"/>
              <w:jc w:val="right"/>
              <w:rPr>
                <w:lang w:eastAsia="en-AU"/>
              </w:rPr>
            </w:pPr>
            <w:r w:rsidRPr="00A67E12">
              <w:rPr>
                <w:lang w:eastAsia="en-AU"/>
              </w:rPr>
              <w:t>13%</w:t>
            </w:r>
          </w:p>
        </w:tc>
      </w:tr>
      <w:tr w:rsidR="00F3054D" w:rsidRPr="00A67E12" w14:paraId="455AEED2" w14:textId="77777777" w:rsidTr="008226A2">
        <w:tc>
          <w:tcPr>
            <w:tcW w:w="2536" w:type="pct"/>
            <w:tcBorders>
              <w:top w:val="nil"/>
              <w:bottom w:val="single" w:sz="4" w:space="0" w:color="auto"/>
            </w:tcBorders>
            <w:noWrap/>
          </w:tcPr>
          <w:p w14:paraId="21ABAA0E" w14:textId="06A0511F" w:rsidR="00F3054D" w:rsidRPr="00A67E12" w:rsidRDefault="00794957" w:rsidP="00F3054D">
            <w:pPr>
              <w:pStyle w:val="TableText0"/>
              <w:keepNext w:val="0"/>
            </w:pPr>
            <w:r w:rsidRPr="00A67E12">
              <w:t xml:space="preserve">Metastatic CDKI use in the ABE + ET arm (base case 0%), </w:t>
            </w:r>
            <w:r w:rsidR="00F3054D" w:rsidRPr="00A67E12">
              <w:t xml:space="preserve">15% in ET-MBC, 10% ES-MBC, CDKI pay-off altered </w:t>
            </w:r>
            <w:r w:rsidR="00F3054D" w:rsidRPr="00A67E12">
              <w:rPr>
                <w:vertAlign w:val="superscript"/>
              </w:rPr>
              <w:t>a,b</w:t>
            </w:r>
          </w:p>
        </w:tc>
        <w:tc>
          <w:tcPr>
            <w:tcW w:w="616" w:type="pct"/>
            <w:tcBorders>
              <w:top w:val="nil"/>
              <w:bottom w:val="single" w:sz="4" w:space="0" w:color="auto"/>
            </w:tcBorders>
            <w:noWrap/>
          </w:tcPr>
          <w:p w14:paraId="51A7A2CB" w14:textId="4C531756"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16"/>
                <w14:textFill>
                  <w14:solidFill>
                    <w14:srgbClr w14:val="000000">
                      <w14:alpha w14:val="100000"/>
                    </w14:srgbClr>
                  </w14:solidFill>
                </w14:textFill>
              </w:rPr>
              <w:t xml:space="preserve">　</w:t>
            </w:r>
            <w:r w:rsidRPr="0013119A">
              <w:rPr>
                <w:color w:val="000000"/>
                <w:w w:val="20"/>
                <w:shd w:val="solid" w:color="000000" w:fill="000000"/>
                <w:fitText w:val="92" w:id="-1233471216"/>
                <w14:textFill>
                  <w14:solidFill>
                    <w14:srgbClr w14:val="000000">
                      <w14:alpha w14:val="100000"/>
                    </w14:srgbClr>
                  </w14:solidFill>
                </w14:textFill>
              </w:rPr>
              <w:t>|</w:t>
            </w:r>
            <w:r w:rsidRPr="0013119A">
              <w:rPr>
                <w:rFonts w:hint="eastAsia"/>
                <w:color w:val="000000"/>
                <w:spacing w:val="5"/>
                <w:w w:val="20"/>
                <w:shd w:val="solid" w:color="000000" w:fill="000000"/>
                <w:fitText w:val="92" w:id="-1233471216"/>
                <w14:textFill>
                  <w14:solidFill>
                    <w14:srgbClr w14:val="000000">
                      <w14:alpha w14:val="100000"/>
                    </w14:srgbClr>
                  </w14:solidFill>
                </w14:textFill>
              </w:rPr>
              <w:t xml:space="preserve">　</w:t>
            </w:r>
            <w:r w:rsidR="008759DD" w:rsidRPr="008759DD">
              <w:t xml:space="preserve"> </w:t>
            </w:r>
          </w:p>
        </w:tc>
        <w:tc>
          <w:tcPr>
            <w:tcW w:w="616" w:type="pct"/>
            <w:tcBorders>
              <w:top w:val="nil"/>
              <w:bottom w:val="single" w:sz="4" w:space="0" w:color="auto"/>
            </w:tcBorders>
            <w:noWrap/>
          </w:tcPr>
          <w:p w14:paraId="271D2774" w14:textId="77777777" w:rsidR="00F3054D" w:rsidRPr="00A67E12" w:rsidRDefault="00F3054D" w:rsidP="00F3054D">
            <w:pPr>
              <w:pStyle w:val="TableText0"/>
              <w:keepNext w:val="0"/>
              <w:jc w:val="right"/>
            </w:pPr>
            <w:r w:rsidRPr="00A67E12">
              <w:t>0.433</w:t>
            </w:r>
          </w:p>
        </w:tc>
        <w:tc>
          <w:tcPr>
            <w:tcW w:w="616" w:type="pct"/>
            <w:tcBorders>
              <w:top w:val="nil"/>
              <w:bottom w:val="single" w:sz="4" w:space="0" w:color="auto"/>
            </w:tcBorders>
            <w:noWrap/>
          </w:tcPr>
          <w:p w14:paraId="247F6196" w14:textId="74C51187"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32"/>
                <w14:textFill>
                  <w14:solidFill>
                    <w14:srgbClr w14:val="000000">
                      <w14:alpha w14:val="100000"/>
                    </w14:srgbClr>
                  </w14:solidFill>
                </w14:textFill>
              </w:rPr>
              <w:t>|</w:t>
            </w:r>
            <w:r w:rsidRPr="0013119A">
              <w:rPr>
                <w:color w:val="000000"/>
                <w:spacing w:val="1"/>
                <w:shd w:val="solid" w:color="000000" w:fill="000000"/>
                <w:fitText w:val="200" w:id="-1233471232"/>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45CF862B" w14:textId="77777777" w:rsidR="00F3054D" w:rsidRPr="00A67E12" w:rsidRDefault="00F3054D" w:rsidP="00F3054D">
            <w:pPr>
              <w:pStyle w:val="TableText0"/>
              <w:keepNext w:val="0"/>
              <w:jc w:val="right"/>
            </w:pPr>
            <w:r w:rsidRPr="00A67E12">
              <w:t>8%</w:t>
            </w:r>
          </w:p>
        </w:tc>
      </w:tr>
      <w:tr w:rsidR="00F3054D" w:rsidRPr="00A67E12" w14:paraId="3930AED6" w14:textId="77777777" w:rsidTr="008226A2">
        <w:tc>
          <w:tcPr>
            <w:tcW w:w="2536" w:type="pct"/>
            <w:tcBorders>
              <w:top w:val="nil"/>
              <w:bottom w:val="nil"/>
            </w:tcBorders>
            <w:noWrap/>
          </w:tcPr>
          <w:p w14:paraId="4C88C7E7" w14:textId="5FB69CDC" w:rsidR="00F3054D" w:rsidRPr="00A67E12" w:rsidRDefault="00F3054D" w:rsidP="00F3054D">
            <w:pPr>
              <w:pStyle w:val="TableText0"/>
              <w:keepNext w:val="0"/>
              <w:rPr>
                <w:b/>
              </w:rPr>
            </w:pPr>
            <w:r w:rsidRPr="00A67E12">
              <w:rPr>
                <w:b/>
              </w:rPr>
              <w:t xml:space="preserve">Multivariate </w:t>
            </w:r>
            <w:r w:rsidR="000F6AA6">
              <w:rPr>
                <w:b/>
              </w:rPr>
              <w:t>a</w:t>
            </w:r>
            <w:r w:rsidRPr="00A67E12">
              <w:rPr>
                <w:b/>
              </w:rPr>
              <w:t>nalyses</w:t>
            </w:r>
            <w:r w:rsidR="000F6AA6">
              <w:rPr>
                <w:b/>
              </w:rPr>
              <w:t xml:space="preserve"> </w:t>
            </w:r>
            <w:r w:rsidR="000F6AA6" w:rsidRPr="00FA0201">
              <w:rPr>
                <w:iCs/>
              </w:rPr>
              <w:t>conducted during the evaluation</w:t>
            </w:r>
          </w:p>
        </w:tc>
        <w:tc>
          <w:tcPr>
            <w:tcW w:w="616" w:type="pct"/>
            <w:tcBorders>
              <w:top w:val="nil"/>
              <w:bottom w:val="nil"/>
            </w:tcBorders>
            <w:noWrap/>
          </w:tcPr>
          <w:p w14:paraId="3669CC0D" w14:textId="77777777" w:rsidR="00F3054D" w:rsidRPr="008759DD" w:rsidRDefault="00F3054D" w:rsidP="00F3054D">
            <w:pPr>
              <w:pStyle w:val="TableText0"/>
              <w:keepNext w:val="0"/>
              <w:jc w:val="right"/>
            </w:pPr>
          </w:p>
        </w:tc>
        <w:tc>
          <w:tcPr>
            <w:tcW w:w="616" w:type="pct"/>
            <w:tcBorders>
              <w:top w:val="nil"/>
              <w:bottom w:val="nil"/>
            </w:tcBorders>
            <w:noWrap/>
          </w:tcPr>
          <w:p w14:paraId="13C5CE1D" w14:textId="77777777" w:rsidR="00F3054D" w:rsidRPr="008759DD" w:rsidRDefault="00F3054D" w:rsidP="00F3054D">
            <w:pPr>
              <w:pStyle w:val="TableText0"/>
              <w:keepNext w:val="0"/>
              <w:jc w:val="right"/>
            </w:pPr>
          </w:p>
        </w:tc>
        <w:tc>
          <w:tcPr>
            <w:tcW w:w="616" w:type="pct"/>
            <w:tcBorders>
              <w:top w:val="nil"/>
              <w:bottom w:val="nil"/>
            </w:tcBorders>
            <w:noWrap/>
          </w:tcPr>
          <w:p w14:paraId="2680FBA3" w14:textId="77777777" w:rsidR="00F3054D" w:rsidRPr="008759DD" w:rsidRDefault="00F3054D" w:rsidP="00F3054D">
            <w:pPr>
              <w:pStyle w:val="TableText0"/>
              <w:keepNext w:val="0"/>
              <w:jc w:val="right"/>
            </w:pPr>
          </w:p>
        </w:tc>
        <w:tc>
          <w:tcPr>
            <w:tcW w:w="615" w:type="pct"/>
            <w:tcBorders>
              <w:top w:val="nil"/>
              <w:bottom w:val="nil"/>
            </w:tcBorders>
            <w:noWrap/>
          </w:tcPr>
          <w:p w14:paraId="3D427288" w14:textId="77777777" w:rsidR="00F3054D" w:rsidRPr="008759DD" w:rsidRDefault="00F3054D" w:rsidP="00F3054D">
            <w:pPr>
              <w:pStyle w:val="TableText0"/>
              <w:keepNext w:val="0"/>
              <w:jc w:val="right"/>
            </w:pPr>
          </w:p>
        </w:tc>
      </w:tr>
      <w:tr w:rsidR="00F3054D" w:rsidRPr="00A67E12" w14:paraId="5FF16F2B" w14:textId="77777777" w:rsidTr="008620A9">
        <w:tc>
          <w:tcPr>
            <w:tcW w:w="2536" w:type="pct"/>
            <w:tcBorders>
              <w:top w:val="nil"/>
              <w:bottom w:val="single" w:sz="4" w:space="0" w:color="auto"/>
            </w:tcBorders>
            <w:noWrap/>
          </w:tcPr>
          <w:p w14:paraId="1BB02302" w14:textId="77777777" w:rsidR="00F3054D" w:rsidRPr="00A67E12" w:rsidRDefault="00F3054D" w:rsidP="00F3054D">
            <w:pPr>
              <w:pStyle w:val="TableText0"/>
              <w:keepNext w:val="0"/>
            </w:pPr>
            <w:r w:rsidRPr="00A67E12">
              <w:t>#1</w:t>
            </w:r>
          </w:p>
        </w:tc>
        <w:tc>
          <w:tcPr>
            <w:tcW w:w="616" w:type="pct"/>
            <w:tcBorders>
              <w:top w:val="nil"/>
              <w:bottom w:val="single" w:sz="4" w:space="0" w:color="auto"/>
            </w:tcBorders>
            <w:noWrap/>
          </w:tcPr>
          <w:p w14:paraId="4F3BC058" w14:textId="70C40656"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31"/>
                <w14:textFill>
                  <w14:solidFill>
                    <w14:srgbClr w14:val="000000">
                      <w14:alpha w14:val="100000"/>
                    </w14:srgbClr>
                  </w14:solidFill>
                </w14:textFill>
              </w:rPr>
              <w:t xml:space="preserve">　</w:t>
            </w:r>
            <w:r w:rsidRPr="0013119A">
              <w:rPr>
                <w:color w:val="000000"/>
                <w:w w:val="20"/>
                <w:shd w:val="solid" w:color="000000" w:fill="000000"/>
                <w:fitText w:val="92" w:id="-1233471231"/>
                <w14:textFill>
                  <w14:solidFill>
                    <w14:srgbClr w14:val="000000">
                      <w14:alpha w14:val="100000"/>
                    </w14:srgbClr>
                  </w14:solidFill>
                </w14:textFill>
              </w:rPr>
              <w:t>|</w:t>
            </w:r>
            <w:r w:rsidRPr="0013119A">
              <w:rPr>
                <w:rFonts w:hint="eastAsia"/>
                <w:color w:val="000000"/>
                <w:spacing w:val="5"/>
                <w:w w:val="20"/>
                <w:shd w:val="solid" w:color="000000" w:fill="000000"/>
                <w:fitText w:val="92" w:id="-1233471231"/>
                <w14:textFill>
                  <w14:solidFill>
                    <w14:srgbClr w14:val="000000">
                      <w14:alpha w14:val="100000"/>
                    </w14:srgbClr>
                  </w14:solidFill>
                </w14:textFill>
              </w:rPr>
              <w:t xml:space="preserve">　</w:t>
            </w:r>
            <w:r w:rsidR="008759DD" w:rsidRPr="008759DD">
              <w:t xml:space="preserve"> </w:t>
            </w:r>
          </w:p>
        </w:tc>
        <w:tc>
          <w:tcPr>
            <w:tcW w:w="616" w:type="pct"/>
            <w:tcBorders>
              <w:top w:val="nil"/>
              <w:bottom w:val="single" w:sz="4" w:space="0" w:color="auto"/>
            </w:tcBorders>
            <w:noWrap/>
          </w:tcPr>
          <w:p w14:paraId="424EC7C9" w14:textId="77777777" w:rsidR="00F3054D" w:rsidRPr="00A67E12" w:rsidRDefault="00F3054D" w:rsidP="00F3054D">
            <w:pPr>
              <w:pStyle w:val="TableText0"/>
              <w:keepNext w:val="0"/>
              <w:jc w:val="right"/>
            </w:pPr>
            <w:r w:rsidRPr="00A67E12">
              <w:t>0.436</w:t>
            </w:r>
          </w:p>
        </w:tc>
        <w:tc>
          <w:tcPr>
            <w:tcW w:w="616" w:type="pct"/>
            <w:tcBorders>
              <w:top w:val="nil"/>
              <w:bottom w:val="single" w:sz="4" w:space="0" w:color="auto"/>
            </w:tcBorders>
            <w:noWrap/>
          </w:tcPr>
          <w:p w14:paraId="63533F5C" w14:textId="2739C4D7"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30"/>
                <w14:textFill>
                  <w14:solidFill>
                    <w14:srgbClr w14:val="000000">
                      <w14:alpha w14:val="100000"/>
                    </w14:srgbClr>
                  </w14:solidFill>
                </w14:textFill>
              </w:rPr>
              <w:t>|</w:t>
            </w:r>
            <w:r w:rsidRPr="0013119A">
              <w:rPr>
                <w:color w:val="000000"/>
                <w:spacing w:val="1"/>
                <w:shd w:val="solid" w:color="000000" w:fill="000000"/>
                <w:fitText w:val="200" w:id="-1233471230"/>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single" w:sz="4" w:space="0" w:color="auto"/>
            </w:tcBorders>
            <w:noWrap/>
          </w:tcPr>
          <w:p w14:paraId="0BB2A85B" w14:textId="77777777" w:rsidR="00F3054D" w:rsidRPr="00A67E12" w:rsidRDefault="00F3054D" w:rsidP="00F3054D">
            <w:pPr>
              <w:pStyle w:val="TableText0"/>
              <w:keepNext w:val="0"/>
              <w:jc w:val="right"/>
            </w:pPr>
            <w:r w:rsidRPr="00A67E12">
              <w:t>1%</w:t>
            </w:r>
          </w:p>
        </w:tc>
      </w:tr>
      <w:tr w:rsidR="00F3054D" w:rsidRPr="00A67E12" w14:paraId="2C6315C9" w14:textId="77777777" w:rsidTr="008620A9">
        <w:tc>
          <w:tcPr>
            <w:tcW w:w="2536" w:type="pct"/>
            <w:tcBorders>
              <w:top w:val="single" w:sz="4" w:space="0" w:color="auto"/>
              <w:bottom w:val="nil"/>
            </w:tcBorders>
            <w:noWrap/>
          </w:tcPr>
          <w:p w14:paraId="4C42A2BB" w14:textId="77777777" w:rsidR="00F3054D" w:rsidRPr="00A67E12" w:rsidRDefault="00F3054D" w:rsidP="00F3054D">
            <w:pPr>
              <w:pStyle w:val="TableText0"/>
              <w:keepNext w:val="0"/>
            </w:pPr>
            <w:r w:rsidRPr="00A67E12">
              <w:t>#1, #2</w:t>
            </w:r>
          </w:p>
        </w:tc>
        <w:tc>
          <w:tcPr>
            <w:tcW w:w="616" w:type="pct"/>
            <w:tcBorders>
              <w:top w:val="single" w:sz="4" w:space="0" w:color="auto"/>
              <w:bottom w:val="nil"/>
            </w:tcBorders>
            <w:noWrap/>
          </w:tcPr>
          <w:p w14:paraId="3369BF2B" w14:textId="32487D0B"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9"/>
                <w14:textFill>
                  <w14:solidFill>
                    <w14:srgbClr w14:val="000000">
                      <w14:alpha w14:val="100000"/>
                    </w14:srgbClr>
                  </w14:solidFill>
                </w14:textFill>
              </w:rPr>
              <w:t xml:space="preserve">　</w:t>
            </w:r>
            <w:r w:rsidRPr="0013119A">
              <w:rPr>
                <w:color w:val="000000"/>
                <w:w w:val="20"/>
                <w:shd w:val="solid" w:color="000000" w:fill="000000"/>
                <w:fitText w:val="92" w:id="-1233471229"/>
                <w14:textFill>
                  <w14:solidFill>
                    <w14:srgbClr w14:val="000000">
                      <w14:alpha w14:val="100000"/>
                    </w14:srgbClr>
                  </w14:solidFill>
                </w14:textFill>
              </w:rPr>
              <w:t>|</w:t>
            </w:r>
            <w:r w:rsidRPr="0013119A">
              <w:rPr>
                <w:rFonts w:hint="eastAsia"/>
                <w:color w:val="000000"/>
                <w:spacing w:val="5"/>
                <w:w w:val="20"/>
                <w:shd w:val="solid" w:color="000000" w:fill="000000"/>
                <w:fitText w:val="92" w:id="-1233471229"/>
                <w14:textFill>
                  <w14:solidFill>
                    <w14:srgbClr w14:val="000000">
                      <w14:alpha w14:val="100000"/>
                    </w14:srgbClr>
                  </w14:solidFill>
                </w14:textFill>
              </w:rPr>
              <w:t xml:space="preserve">　</w:t>
            </w:r>
            <w:r w:rsidR="008759DD" w:rsidRPr="008759DD">
              <w:t xml:space="preserve"> </w:t>
            </w:r>
          </w:p>
        </w:tc>
        <w:tc>
          <w:tcPr>
            <w:tcW w:w="616" w:type="pct"/>
            <w:tcBorders>
              <w:top w:val="single" w:sz="4" w:space="0" w:color="auto"/>
              <w:bottom w:val="nil"/>
            </w:tcBorders>
            <w:noWrap/>
          </w:tcPr>
          <w:p w14:paraId="7AD7A949" w14:textId="77777777" w:rsidR="00F3054D" w:rsidRPr="00A67E12" w:rsidRDefault="00F3054D" w:rsidP="00F3054D">
            <w:pPr>
              <w:pStyle w:val="TableText0"/>
              <w:keepNext w:val="0"/>
              <w:jc w:val="right"/>
            </w:pPr>
            <w:r w:rsidRPr="00A67E12">
              <w:t>0.436</w:t>
            </w:r>
          </w:p>
        </w:tc>
        <w:tc>
          <w:tcPr>
            <w:tcW w:w="616" w:type="pct"/>
            <w:tcBorders>
              <w:top w:val="single" w:sz="4" w:space="0" w:color="auto"/>
              <w:bottom w:val="nil"/>
            </w:tcBorders>
            <w:noWrap/>
          </w:tcPr>
          <w:p w14:paraId="3E865F77" w14:textId="632476B0"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8"/>
                <w14:textFill>
                  <w14:solidFill>
                    <w14:srgbClr w14:val="000000">
                      <w14:alpha w14:val="100000"/>
                    </w14:srgbClr>
                  </w14:solidFill>
                </w14:textFill>
              </w:rPr>
              <w:t>|</w:t>
            </w:r>
            <w:r w:rsidRPr="0013119A">
              <w:rPr>
                <w:color w:val="000000"/>
                <w:spacing w:val="1"/>
                <w:shd w:val="solid" w:color="000000" w:fill="000000"/>
                <w:fitText w:val="200" w:id="-1233471228"/>
                <w14:textFill>
                  <w14:solidFill>
                    <w14:srgbClr w14:val="000000">
                      <w14:alpha w14:val="100000"/>
                    </w14:srgbClr>
                  </w14:solidFill>
                </w14:textFill>
              </w:rPr>
              <w:t>|</w:t>
            </w:r>
            <w:r w:rsidR="008759DD" w:rsidRPr="008759DD">
              <w:t xml:space="preserve"> </w:t>
            </w:r>
            <w:r w:rsidR="008620A9">
              <w:rPr>
                <w:bCs w:val="0"/>
                <w:vertAlign w:val="superscript"/>
                <w:lang w:eastAsia="en-AU"/>
              </w:rPr>
              <w:t>5</w:t>
            </w:r>
          </w:p>
        </w:tc>
        <w:tc>
          <w:tcPr>
            <w:tcW w:w="615" w:type="pct"/>
            <w:tcBorders>
              <w:top w:val="single" w:sz="4" w:space="0" w:color="auto"/>
              <w:bottom w:val="nil"/>
            </w:tcBorders>
            <w:noWrap/>
          </w:tcPr>
          <w:p w14:paraId="44091B24" w14:textId="77777777" w:rsidR="00F3054D" w:rsidRPr="00A67E12" w:rsidRDefault="00F3054D" w:rsidP="00F3054D">
            <w:pPr>
              <w:pStyle w:val="TableText0"/>
              <w:keepNext w:val="0"/>
              <w:jc w:val="right"/>
            </w:pPr>
            <w:r w:rsidRPr="00A67E12">
              <w:t>-3%</w:t>
            </w:r>
          </w:p>
        </w:tc>
      </w:tr>
      <w:tr w:rsidR="00F3054D" w:rsidRPr="00A67E12" w14:paraId="7E06848E" w14:textId="77777777" w:rsidTr="008226A2">
        <w:tc>
          <w:tcPr>
            <w:tcW w:w="2536" w:type="pct"/>
            <w:tcBorders>
              <w:top w:val="nil"/>
              <w:bottom w:val="nil"/>
            </w:tcBorders>
            <w:noWrap/>
          </w:tcPr>
          <w:p w14:paraId="70479476" w14:textId="77777777" w:rsidR="00F3054D" w:rsidRPr="00A67E12" w:rsidRDefault="00F3054D" w:rsidP="00F3054D">
            <w:pPr>
              <w:pStyle w:val="TableText0"/>
              <w:keepNext w:val="0"/>
            </w:pPr>
            <w:r w:rsidRPr="00A67E12">
              <w:lastRenderedPageBreak/>
              <w:t>#1, #2, #3</w:t>
            </w:r>
          </w:p>
        </w:tc>
        <w:tc>
          <w:tcPr>
            <w:tcW w:w="616" w:type="pct"/>
            <w:tcBorders>
              <w:top w:val="nil"/>
              <w:bottom w:val="nil"/>
            </w:tcBorders>
            <w:noWrap/>
          </w:tcPr>
          <w:p w14:paraId="051767E9" w14:textId="1B2F3FE5"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7"/>
                <w14:textFill>
                  <w14:solidFill>
                    <w14:srgbClr w14:val="000000">
                      <w14:alpha w14:val="100000"/>
                    </w14:srgbClr>
                  </w14:solidFill>
                </w14:textFill>
              </w:rPr>
              <w:t xml:space="preserve">　</w:t>
            </w:r>
            <w:r w:rsidRPr="0013119A">
              <w:rPr>
                <w:color w:val="000000"/>
                <w:w w:val="20"/>
                <w:shd w:val="solid" w:color="000000" w:fill="000000"/>
                <w:fitText w:val="92" w:id="-1233471227"/>
                <w14:textFill>
                  <w14:solidFill>
                    <w14:srgbClr w14:val="000000">
                      <w14:alpha w14:val="100000"/>
                    </w14:srgbClr>
                  </w14:solidFill>
                </w14:textFill>
              </w:rPr>
              <w:t>|</w:t>
            </w:r>
            <w:r w:rsidRPr="0013119A">
              <w:rPr>
                <w:rFonts w:hint="eastAsia"/>
                <w:color w:val="000000"/>
                <w:spacing w:val="5"/>
                <w:w w:val="20"/>
                <w:shd w:val="solid" w:color="000000" w:fill="000000"/>
                <w:fitText w:val="92" w:id="-1233471227"/>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6DF9FEA1" w14:textId="77777777" w:rsidR="00F3054D" w:rsidRPr="00A67E12" w:rsidRDefault="00F3054D" w:rsidP="00F3054D">
            <w:pPr>
              <w:pStyle w:val="TableText0"/>
              <w:keepNext w:val="0"/>
              <w:jc w:val="right"/>
            </w:pPr>
            <w:r w:rsidRPr="00A67E12">
              <w:t>0.436</w:t>
            </w:r>
          </w:p>
        </w:tc>
        <w:tc>
          <w:tcPr>
            <w:tcW w:w="616" w:type="pct"/>
            <w:tcBorders>
              <w:top w:val="nil"/>
              <w:bottom w:val="nil"/>
            </w:tcBorders>
            <w:noWrap/>
          </w:tcPr>
          <w:p w14:paraId="2AAA4E0A" w14:textId="52FBBA34"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1226"/>
                <w14:textFill>
                  <w14:solidFill>
                    <w14:srgbClr w14:val="000000">
                      <w14:alpha w14:val="100000"/>
                    </w14:srgbClr>
                  </w14:solidFill>
                </w14:textFill>
              </w:rPr>
              <w:t>|</w:t>
            </w:r>
            <w:r w:rsidRPr="0013119A">
              <w:rPr>
                <w:color w:val="000000"/>
                <w:spacing w:val="1"/>
                <w:shd w:val="solid" w:color="000000" w:fill="000000"/>
                <w:fitText w:val="200" w:id="-1233471226"/>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nil"/>
            </w:tcBorders>
            <w:noWrap/>
          </w:tcPr>
          <w:p w14:paraId="6280B0AB" w14:textId="77777777" w:rsidR="00F3054D" w:rsidRPr="00A67E12" w:rsidRDefault="00F3054D" w:rsidP="00F3054D">
            <w:pPr>
              <w:pStyle w:val="TableText0"/>
              <w:keepNext w:val="0"/>
              <w:jc w:val="right"/>
            </w:pPr>
            <w:r w:rsidRPr="00A67E12">
              <w:t>3%</w:t>
            </w:r>
          </w:p>
        </w:tc>
      </w:tr>
      <w:tr w:rsidR="00F3054D" w:rsidRPr="00A67E12" w14:paraId="79C08F78" w14:textId="77777777" w:rsidTr="008226A2">
        <w:tc>
          <w:tcPr>
            <w:tcW w:w="2536" w:type="pct"/>
            <w:tcBorders>
              <w:top w:val="nil"/>
              <w:bottom w:val="nil"/>
            </w:tcBorders>
            <w:noWrap/>
          </w:tcPr>
          <w:p w14:paraId="5B184621" w14:textId="77777777" w:rsidR="00F3054D" w:rsidRPr="00A67E12" w:rsidRDefault="00F3054D" w:rsidP="00F3054D">
            <w:pPr>
              <w:pStyle w:val="TableText0"/>
              <w:keepNext w:val="0"/>
            </w:pPr>
            <w:r w:rsidRPr="00A67E12">
              <w:t>#1, #2, #3, #4</w:t>
            </w:r>
          </w:p>
        </w:tc>
        <w:tc>
          <w:tcPr>
            <w:tcW w:w="616" w:type="pct"/>
            <w:tcBorders>
              <w:top w:val="nil"/>
              <w:bottom w:val="nil"/>
            </w:tcBorders>
            <w:noWrap/>
          </w:tcPr>
          <w:p w14:paraId="4D473448" w14:textId="17F42B73"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1225"/>
                <w14:textFill>
                  <w14:solidFill>
                    <w14:srgbClr w14:val="000000">
                      <w14:alpha w14:val="100000"/>
                    </w14:srgbClr>
                  </w14:solidFill>
                </w14:textFill>
              </w:rPr>
              <w:t xml:space="preserve">　</w:t>
            </w:r>
            <w:r w:rsidRPr="0013119A">
              <w:rPr>
                <w:color w:val="000000"/>
                <w:w w:val="20"/>
                <w:shd w:val="solid" w:color="000000" w:fill="000000"/>
                <w:fitText w:val="92" w:id="-1233471225"/>
                <w14:textFill>
                  <w14:solidFill>
                    <w14:srgbClr w14:val="000000">
                      <w14:alpha w14:val="100000"/>
                    </w14:srgbClr>
                  </w14:solidFill>
                </w14:textFill>
              </w:rPr>
              <w:t>|</w:t>
            </w:r>
            <w:r w:rsidRPr="0013119A">
              <w:rPr>
                <w:rFonts w:hint="eastAsia"/>
                <w:color w:val="000000"/>
                <w:spacing w:val="5"/>
                <w:w w:val="20"/>
                <w:shd w:val="solid" w:color="000000" w:fill="000000"/>
                <w:fitText w:val="92" w:id="-1233471225"/>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3FAD9542" w14:textId="77777777" w:rsidR="00F3054D" w:rsidRPr="00A67E12" w:rsidRDefault="00F3054D" w:rsidP="00F3054D">
            <w:pPr>
              <w:pStyle w:val="TableText0"/>
              <w:keepNext w:val="0"/>
              <w:jc w:val="right"/>
            </w:pPr>
            <w:r w:rsidRPr="00A67E12">
              <w:t>0.402</w:t>
            </w:r>
          </w:p>
        </w:tc>
        <w:tc>
          <w:tcPr>
            <w:tcW w:w="616" w:type="pct"/>
            <w:tcBorders>
              <w:top w:val="nil"/>
              <w:bottom w:val="nil"/>
            </w:tcBorders>
            <w:noWrap/>
          </w:tcPr>
          <w:p w14:paraId="0143DC6C" w14:textId="26642B34"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0976"/>
                <w14:textFill>
                  <w14:solidFill>
                    <w14:srgbClr w14:val="000000">
                      <w14:alpha w14:val="100000"/>
                    </w14:srgbClr>
                  </w14:solidFill>
                </w14:textFill>
              </w:rPr>
              <w:t>|</w:t>
            </w:r>
            <w:r w:rsidRPr="0013119A">
              <w:rPr>
                <w:color w:val="000000"/>
                <w:spacing w:val="1"/>
                <w:shd w:val="solid" w:color="000000" w:fill="000000"/>
                <w:fitText w:val="200" w:id="-1233470976"/>
                <w14:textFill>
                  <w14:solidFill>
                    <w14:srgbClr w14:val="000000">
                      <w14:alpha w14:val="100000"/>
                    </w14:srgbClr>
                  </w14:solidFill>
                </w14:textFill>
              </w:rPr>
              <w:t>|</w:t>
            </w:r>
            <w:r w:rsidR="008759DD" w:rsidRPr="008759DD">
              <w:t xml:space="preserve"> </w:t>
            </w:r>
            <w:r w:rsidR="008620A9" w:rsidRPr="008620A9">
              <w:rPr>
                <w:bCs w:val="0"/>
                <w:vertAlign w:val="superscript"/>
                <w:lang w:eastAsia="en-AU"/>
              </w:rPr>
              <w:t>1</w:t>
            </w:r>
          </w:p>
        </w:tc>
        <w:tc>
          <w:tcPr>
            <w:tcW w:w="615" w:type="pct"/>
            <w:tcBorders>
              <w:top w:val="nil"/>
              <w:bottom w:val="nil"/>
            </w:tcBorders>
            <w:noWrap/>
          </w:tcPr>
          <w:p w14:paraId="236BCDBD" w14:textId="77777777" w:rsidR="00F3054D" w:rsidRPr="00A67E12" w:rsidRDefault="00F3054D" w:rsidP="00F3054D">
            <w:pPr>
              <w:pStyle w:val="TableText0"/>
              <w:keepNext w:val="0"/>
              <w:jc w:val="right"/>
            </w:pPr>
            <w:r w:rsidRPr="00A67E12">
              <w:t>14%</w:t>
            </w:r>
          </w:p>
        </w:tc>
      </w:tr>
      <w:tr w:rsidR="00F3054D" w:rsidRPr="00A67E12" w14:paraId="15FDA820" w14:textId="77777777" w:rsidTr="008226A2">
        <w:tc>
          <w:tcPr>
            <w:tcW w:w="2536" w:type="pct"/>
            <w:tcBorders>
              <w:top w:val="nil"/>
              <w:bottom w:val="nil"/>
            </w:tcBorders>
            <w:noWrap/>
          </w:tcPr>
          <w:p w14:paraId="6B4CE2B1" w14:textId="77777777" w:rsidR="00F3054D" w:rsidRPr="00A67E12" w:rsidRDefault="00F3054D" w:rsidP="00F3054D">
            <w:pPr>
              <w:pStyle w:val="TableText0"/>
              <w:keepNext w:val="0"/>
            </w:pPr>
            <w:r w:rsidRPr="00A67E12">
              <w:t>#1, #2, #3, #4, #5</w:t>
            </w:r>
          </w:p>
        </w:tc>
        <w:tc>
          <w:tcPr>
            <w:tcW w:w="616" w:type="pct"/>
            <w:tcBorders>
              <w:top w:val="nil"/>
              <w:bottom w:val="nil"/>
            </w:tcBorders>
            <w:noWrap/>
          </w:tcPr>
          <w:p w14:paraId="7FA19EB4" w14:textId="2FD48F7B"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0975"/>
                <w14:textFill>
                  <w14:solidFill>
                    <w14:srgbClr w14:val="000000">
                      <w14:alpha w14:val="100000"/>
                    </w14:srgbClr>
                  </w14:solidFill>
                </w14:textFill>
              </w:rPr>
              <w:t xml:space="preserve">　</w:t>
            </w:r>
            <w:r w:rsidRPr="0013119A">
              <w:rPr>
                <w:color w:val="000000"/>
                <w:w w:val="20"/>
                <w:shd w:val="solid" w:color="000000" w:fill="000000"/>
                <w:fitText w:val="92" w:id="-1233470975"/>
                <w14:textFill>
                  <w14:solidFill>
                    <w14:srgbClr w14:val="000000">
                      <w14:alpha w14:val="100000"/>
                    </w14:srgbClr>
                  </w14:solidFill>
                </w14:textFill>
              </w:rPr>
              <w:t>|</w:t>
            </w:r>
            <w:r w:rsidRPr="0013119A">
              <w:rPr>
                <w:rFonts w:hint="eastAsia"/>
                <w:color w:val="000000"/>
                <w:spacing w:val="5"/>
                <w:w w:val="20"/>
                <w:shd w:val="solid" w:color="000000" w:fill="000000"/>
                <w:fitText w:val="92" w:id="-1233470975"/>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765249B6" w14:textId="77777777" w:rsidR="00F3054D" w:rsidRPr="00A67E12" w:rsidRDefault="00F3054D" w:rsidP="00F3054D">
            <w:pPr>
              <w:pStyle w:val="TableText0"/>
              <w:keepNext w:val="0"/>
              <w:jc w:val="right"/>
            </w:pPr>
            <w:r w:rsidRPr="00A67E12">
              <w:t>0.253</w:t>
            </w:r>
          </w:p>
        </w:tc>
        <w:tc>
          <w:tcPr>
            <w:tcW w:w="616" w:type="pct"/>
            <w:tcBorders>
              <w:top w:val="nil"/>
              <w:bottom w:val="nil"/>
            </w:tcBorders>
            <w:noWrap/>
          </w:tcPr>
          <w:p w14:paraId="4DE2C1BA" w14:textId="2DC86681"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0974"/>
                <w14:textFill>
                  <w14:solidFill>
                    <w14:srgbClr w14:val="000000">
                      <w14:alpha w14:val="100000"/>
                    </w14:srgbClr>
                  </w14:solidFill>
                </w14:textFill>
              </w:rPr>
              <w:t>|</w:t>
            </w:r>
            <w:r w:rsidRPr="0013119A">
              <w:rPr>
                <w:color w:val="000000"/>
                <w:spacing w:val="1"/>
                <w:shd w:val="solid" w:color="000000" w:fill="000000"/>
                <w:fitText w:val="200" w:id="-1233470974"/>
                <w14:textFill>
                  <w14:solidFill>
                    <w14:srgbClr w14:val="000000">
                      <w14:alpha w14:val="100000"/>
                    </w14:srgbClr>
                  </w14:solidFill>
                </w14:textFill>
              </w:rPr>
              <w:t>|</w:t>
            </w:r>
            <w:r w:rsidR="008759DD" w:rsidRPr="008759DD">
              <w:t xml:space="preserve"> </w:t>
            </w:r>
            <w:r w:rsidR="008620A9">
              <w:rPr>
                <w:bCs w:val="0"/>
                <w:vertAlign w:val="superscript"/>
                <w:lang w:eastAsia="en-AU"/>
              </w:rPr>
              <w:t>2</w:t>
            </w:r>
          </w:p>
        </w:tc>
        <w:tc>
          <w:tcPr>
            <w:tcW w:w="615" w:type="pct"/>
            <w:tcBorders>
              <w:top w:val="nil"/>
              <w:bottom w:val="nil"/>
            </w:tcBorders>
            <w:noWrap/>
          </w:tcPr>
          <w:p w14:paraId="0F2EEB18" w14:textId="77777777" w:rsidR="00F3054D" w:rsidRPr="00A67E12" w:rsidRDefault="00F3054D" w:rsidP="00F3054D">
            <w:pPr>
              <w:pStyle w:val="TableText0"/>
              <w:keepNext w:val="0"/>
              <w:jc w:val="right"/>
            </w:pPr>
            <w:r w:rsidRPr="00A67E12">
              <w:t>90%</w:t>
            </w:r>
          </w:p>
        </w:tc>
      </w:tr>
      <w:tr w:rsidR="00F3054D" w:rsidRPr="00A67E12" w14:paraId="6D9F03AF" w14:textId="77777777" w:rsidTr="008226A2">
        <w:tc>
          <w:tcPr>
            <w:tcW w:w="2536" w:type="pct"/>
            <w:tcBorders>
              <w:top w:val="nil"/>
              <w:bottom w:val="nil"/>
            </w:tcBorders>
            <w:noWrap/>
          </w:tcPr>
          <w:p w14:paraId="3F279423" w14:textId="77777777" w:rsidR="00F3054D" w:rsidRPr="00A67E12" w:rsidRDefault="00F3054D" w:rsidP="00F3054D">
            <w:pPr>
              <w:pStyle w:val="TableText0"/>
              <w:keepNext w:val="0"/>
            </w:pPr>
            <w:r w:rsidRPr="00A67E12">
              <w:t>#1, #2, #3, #4, #5, #6</w:t>
            </w:r>
          </w:p>
        </w:tc>
        <w:tc>
          <w:tcPr>
            <w:tcW w:w="616" w:type="pct"/>
            <w:tcBorders>
              <w:top w:val="nil"/>
              <w:bottom w:val="nil"/>
            </w:tcBorders>
            <w:noWrap/>
          </w:tcPr>
          <w:p w14:paraId="6C6AEB9D" w14:textId="63622656"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0973"/>
                <w14:textFill>
                  <w14:solidFill>
                    <w14:srgbClr w14:val="000000">
                      <w14:alpha w14:val="100000"/>
                    </w14:srgbClr>
                  </w14:solidFill>
                </w14:textFill>
              </w:rPr>
              <w:t xml:space="preserve">　</w:t>
            </w:r>
            <w:r w:rsidRPr="0013119A">
              <w:rPr>
                <w:color w:val="000000"/>
                <w:w w:val="20"/>
                <w:shd w:val="solid" w:color="000000" w:fill="000000"/>
                <w:fitText w:val="92" w:id="-1233470973"/>
                <w14:textFill>
                  <w14:solidFill>
                    <w14:srgbClr w14:val="000000">
                      <w14:alpha w14:val="100000"/>
                    </w14:srgbClr>
                  </w14:solidFill>
                </w14:textFill>
              </w:rPr>
              <w:t>|</w:t>
            </w:r>
            <w:r w:rsidRPr="0013119A">
              <w:rPr>
                <w:rFonts w:hint="eastAsia"/>
                <w:color w:val="000000"/>
                <w:spacing w:val="5"/>
                <w:w w:val="20"/>
                <w:shd w:val="solid" w:color="000000" w:fill="000000"/>
                <w:fitText w:val="92" w:id="-1233470973"/>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5CDDCB43" w14:textId="77777777" w:rsidR="00F3054D" w:rsidRPr="00A67E12" w:rsidRDefault="00F3054D" w:rsidP="00F3054D">
            <w:pPr>
              <w:pStyle w:val="TableText0"/>
              <w:keepNext w:val="0"/>
              <w:jc w:val="right"/>
            </w:pPr>
            <w:r w:rsidRPr="00A67E12">
              <w:t>0.135</w:t>
            </w:r>
          </w:p>
        </w:tc>
        <w:tc>
          <w:tcPr>
            <w:tcW w:w="616" w:type="pct"/>
            <w:tcBorders>
              <w:top w:val="nil"/>
              <w:bottom w:val="nil"/>
            </w:tcBorders>
            <w:noWrap/>
          </w:tcPr>
          <w:p w14:paraId="43CBB277" w14:textId="40E5D199"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0972"/>
                <w14:textFill>
                  <w14:solidFill>
                    <w14:srgbClr w14:val="000000">
                      <w14:alpha w14:val="100000"/>
                    </w14:srgbClr>
                  </w14:solidFill>
                </w14:textFill>
              </w:rPr>
              <w:t>|</w:t>
            </w:r>
            <w:r w:rsidRPr="0013119A">
              <w:rPr>
                <w:color w:val="000000"/>
                <w:spacing w:val="1"/>
                <w:shd w:val="solid" w:color="000000" w:fill="000000"/>
                <w:fitText w:val="200" w:id="-1233470972"/>
                <w14:textFill>
                  <w14:solidFill>
                    <w14:srgbClr w14:val="000000">
                      <w14:alpha w14:val="100000"/>
                    </w14:srgbClr>
                  </w14:solidFill>
                </w14:textFill>
              </w:rPr>
              <w:t>|</w:t>
            </w:r>
            <w:r w:rsidR="008759DD" w:rsidRPr="008759DD">
              <w:t xml:space="preserve"> </w:t>
            </w:r>
            <w:r w:rsidR="008620A9">
              <w:rPr>
                <w:bCs w:val="0"/>
                <w:vertAlign w:val="superscript"/>
                <w:lang w:eastAsia="en-AU"/>
              </w:rPr>
              <w:t>7</w:t>
            </w:r>
          </w:p>
        </w:tc>
        <w:tc>
          <w:tcPr>
            <w:tcW w:w="615" w:type="pct"/>
            <w:tcBorders>
              <w:top w:val="nil"/>
              <w:bottom w:val="nil"/>
            </w:tcBorders>
            <w:noWrap/>
          </w:tcPr>
          <w:p w14:paraId="788A52FF" w14:textId="77777777" w:rsidR="00F3054D" w:rsidRPr="00A67E12" w:rsidRDefault="00F3054D" w:rsidP="00F3054D">
            <w:pPr>
              <w:pStyle w:val="TableText0"/>
              <w:keepNext w:val="0"/>
              <w:jc w:val="right"/>
            </w:pPr>
            <w:r w:rsidRPr="00A67E12">
              <w:t>282%</w:t>
            </w:r>
          </w:p>
        </w:tc>
      </w:tr>
      <w:tr w:rsidR="00F3054D" w:rsidRPr="00A67E12" w14:paraId="68D76D62" w14:textId="77777777" w:rsidTr="008226A2">
        <w:tc>
          <w:tcPr>
            <w:tcW w:w="2536" w:type="pct"/>
            <w:tcBorders>
              <w:top w:val="nil"/>
              <w:bottom w:val="nil"/>
            </w:tcBorders>
            <w:noWrap/>
          </w:tcPr>
          <w:p w14:paraId="085D44F1" w14:textId="77777777" w:rsidR="00F3054D" w:rsidRPr="00A67E12" w:rsidRDefault="00F3054D" w:rsidP="00F3054D">
            <w:pPr>
              <w:pStyle w:val="TableText0"/>
              <w:keepNext w:val="0"/>
            </w:pPr>
            <w:r w:rsidRPr="00A67E12">
              <w:t>#1, #2, #3, #4, #5, #6, #7</w:t>
            </w:r>
          </w:p>
        </w:tc>
        <w:tc>
          <w:tcPr>
            <w:tcW w:w="616" w:type="pct"/>
            <w:tcBorders>
              <w:top w:val="nil"/>
              <w:bottom w:val="nil"/>
            </w:tcBorders>
            <w:noWrap/>
          </w:tcPr>
          <w:p w14:paraId="7D2A8878" w14:textId="2B4581F7"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0971"/>
                <w14:textFill>
                  <w14:solidFill>
                    <w14:srgbClr w14:val="000000">
                      <w14:alpha w14:val="100000"/>
                    </w14:srgbClr>
                  </w14:solidFill>
                </w14:textFill>
              </w:rPr>
              <w:t xml:space="preserve">　</w:t>
            </w:r>
            <w:r w:rsidRPr="0013119A">
              <w:rPr>
                <w:color w:val="000000"/>
                <w:w w:val="20"/>
                <w:shd w:val="solid" w:color="000000" w:fill="000000"/>
                <w:fitText w:val="92" w:id="-1233470971"/>
                <w14:textFill>
                  <w14:solidFill>
                    <w14:srgbClr w14:val="000000">
                      <w14:alpha w14:val="100000"/>
                    </w14:srgbClr>
                  </w14:solidFill>
                </w14:textFill>
              </w:rPr>
              <w:t>|</w:t>
            </w:r>
            <w:r w:rsidRPr="0013119A">
              <w:rPr>
                <w:rFonts w:hint="eastAsia"/>
                <w:color w:val="000000"/>
                <w:spacing w:val="5"/>
                <w:w w:val="20"/>
                <w:shd w:val="solid" w:color="000000" w:fill="000000"/>
                <w:fitText w:val="92" w:id="-1233470971"/>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63C26944" w14:textId="77777777" w:rsidR="00F3054D" w:rsidRPr="00A67E12" w:rsidRDefault="00F3054D" w:rsidP="00F3054D">
            <w:pPr>
              <w:pStyle w:val="TableText0"/>
              <w:keepNext w:val="0"/>
              <w:jc w:val="right"/>
            </w:pPr>
            <w:r w:rsidRPr="00A67E12">
              <w:t>0.101</w:t>
            </w:r>
          </w:p>
        </w:tc>
        <w:tc>
          <w:tcPr>
            <w:tcW w:w="616" w:type="pct"/>
            <w:tcBorders>
              <w:top w:val="nil"/>
              <w:bottom w:val="nil"/>
            </w:tcBorders>
            <w:noWrap/>
          </w:tcPr>
          <w:p w14:paraId="344D3157" w14:textId="10FF4F81"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0970"/>
                <w14:textFill>
                  <w14:solidFill>
                    <w14:srgbClr w14:val="000000">
                      <w14:alpha w14:val="100000"/>
                    </w14:srgbClr>
                  </w14:solidFill>
                </w14:textFill>
              </w:rPr>
              <w:t>|</w:t>
            </w:r>
            <w:r w:rsidRPr="0013119A">
              <w:rPr>
                <w:color w:val="000000"/>
                <w:spacing w:val="1"/>
                <w:shd w:val="solid" w:color="000000" w:fill="000000"/>
                <w:fitText w:val="200" w:id="-1233470970"/>
                <w14:textFill>
                  <w14:solidFill>
                    <w14:srgbClr w14:val="000000">
                      <w14:alpha w14:val="100000"/>
                    </w14:srgbClr>
                  </w14:solidFill>
                </w14:textFill>
              </w:rPr>
              <w:t>|</w:t>
            </w:r>
            <w:r w:rsidR="008759DD" w:rsidRPr="008759DD">
              <w:t xml:space="preserve"> </w:t>
            </w:r>
            <w:r w:rsidR="008620A9">
              <w:rPr>
                <w:bCs w:val="0"/>
                <w:vertAlign w:val="superscript"/>
                <w:lang w:eastAsia="en-AU"/>
              </w:rPr>
              <w:t>8</w:t>
            </w:r>
          </w:p>
        </w:tc>
        <w:tc>
          <w:tcPr>
            <w:tcW w:w="615" w:type="pct"/>
            <w:tcBorders>
              <w:top w:val="nil"/>
              <w:bottom w:val="nil"/>
            </w:tcBorders>
            <w:noWrap/>
          </w:tcPr>
          <w:p w14:paraId="106AB611" w14:textId="77777777" w:rsidR="00F3054D" w:rsidRPr="00A67E12" w:rsidRDefault="00F3054D" w:rsidP="00F3054D">
            <w:pPr>
              <w:pStyle w:val="TableText0"/>
              <w:keepNext w:val="0"/>
              <w:jc w:val="right"/>
            </w:pPr>
            <w:r w:rsidRPr="00A67E12">
              <w:t>404%</w:t>
            </w:r>
          </w:p>
        </w:tc>
      </w:tr>
      <w:tr w:rsidR="00F3054D" w:rsidRPr="00A67E12" w14:paraId="17BB7DFE" w14:textId="77777777" w:rsidTr="008226A2">
        <w:tc>
          <w:tcPr>
            <w:tcW w:w="2536" w:type="pct"/>
            <w:tcBorders>
              <w:top w:val="nil"/>
              <w:bottom w:val="nil"/>
            </w:tcBorders>
            <w:noWrap/>
          </w:tcPr>
          <w:p w14:paraId="2B8C462F" w14:textId="77777777" w:rsidR="00F3054D" w:rsidRPr="00A67E12" w:rsidRDefault="00F3054D" w:rsidP="00F3054D">
            <w:pPr>
              <w:pStyle w:val="TableText0"/>
              <w:keepNext w:val="0"/>
            </w:pPr>
            <w:r w:rsidRPr="00A67E12">
              <w:t>#1, #2, #3, #4, #5, #6, #7, #8</w:t>
            </w:r>
          </w:p>
        </w:tc>
        <w:tc>
          <w:tcPr>
            <w:tcW w:w="616" w:type="pct"/>
            <w:tcBorders>
              <w:top w:val="nil"/>
              <w:bottom w:val="nil"/>
            </w:tcBorders>
            <w:noWrap/>
          </w:tcPr>
          <w:p w14:paraId="3F6D3D09" w14:textId="5F3425C2" w:rsidR="00F3054D" w:rsidRPr="008620A9" w:rsidRDefault="0013119A" w:rsidP="00F3054D">
            <w:pPr>
              <w:pStyle w:val="TableText0"/>
              <w:keepNext w:val="0"/>
              <w:jc w:val="right"/>
              <w:rPr>
                <w:highlight w:val="darkGray"/>
              </w:rPr>
            </w:pPr>
            <w:r w:rsidRPr="0013119A">
              <w:rPr>
                <w:rFonts w:hint="eastAsia"/>
                <w:color w:val="000000"/>
                <w:w w:val="20"/>
                <w:shd w:val="solid" w:color="000000" w:fill="000000"/>
                <w:fitText w:val="92" w:id="-1233470969"/>
                <w14:textFill>
                  <w14:solidFill>
                    <w14:srgbClr w14:val="000000">
                      <w14:alpha w14:val="100000"/>
                    </w14:srgbClr>
                  </w14:solidFill>
                </w14:textFill>
              </w:rPr>
              <w:t xml:space="preserve">　</w:t>
            </w:r>
            <w:r w:rsidRPr="0013119A">
              <w:rPr>
                <w:color w:val="000000"/>
                <w:w w:val="20"/>
                <w:shd w:val="solid" w:color="000000" w:fill="000000"/>
                <w:fitText w:val="92" w:id="-1233470969"/>
                <w14:textFill>
                  <w14:solidFill>
                    <w14:srgbClr w14:val="000000">
                      <w14:alpha w14:val="100000"/>
                    </w14:srgbClr>
                  </w14:solidFill>
                </w14:textFill>
              </w:rPr>
              <w:t>|</w:t>
            </w:r>
            <w:r w:rsidRPr="0013119A">
              <w:rPr>
                <w:rFonts w:hint="eastAsia"/>
                <w:color w:val="000000"/>
                <w:spacing w:val="5"/>
                <w:w w:val="20"/>
                <w:shd w:val="solid" w:color="000000" w:fill="000000"/>
                <w:fitText w:val="92" w:id="-1233470969"/>
                <w14:textFill>
                  <w14:solidFill>
                    <w14:srgbClr w14:val="000000">
                      <w14:alpha w14:val="100000"/>
                    </w14:srgbClr>
                  </w14:solidFill>
                </w14:textFill>
              </w:rPr>
              <w:t xml:space="preserve">　</w:t>
            </w:r>
            <w:r w:rsidR="008759DD" w:rsidRPr="008759DD">
              <w:t xml:space="preserve"> </w:t>
            </w:r>
          </w:p>
        </w:tc>
        <w:tc>
          <w:tcPr>
            <w:tcW w:w="616" w:type="pct"/>
            <w:tcBorders>
              <w:top w:val="nil"/>
              <w:bottom w:val="nil"/>
            </w:tcBorders>
            <w:noWrap/>
          </w:tcPr>
          <w:p w14:paraId="5CCB5271" w14:textId="6D166032" w:rsidR="00F3054D" w:rsidRPr="00A67E12" w:rsidRDefault="00F3054D" w:rsidP="00F3054D">
            <w:pPr>
              <w:pStyle w:val="TableText0"/>
              <w:keepNext w:val="0"/>
              <w:jc w:val="right"/>
            </w:pPr>
            <w:r w:rsidRPr="00A67E12">
              <w:t>0.</w:t>
            </w:r>
            <w:r w:rsidR="00874C62">
              <w:t>1</w:t>
            </w:r>
            <w:r w:rsidRPr="00A67E12">
              <w:t>0</w:t>
            </w:r>
          </w:p>
        </w:tc>
        <w:tc>
          <w:tcPr>
            <w:tcW w:w="616" w:type="pct"/>
            <w:tcBorders>
              <w:top w:val="nil"/>
              <w:bottom w:val="nil"/>
            </w:tcBorders>
            <w:noWrap/>
          </w:tcPr>
          <w:p w14:paraId="7F26A086" w14:textId="4B9A105C" w:rsidR="00F3054D" w:rsidRPr="008620A9" w:rsidRDefault="0013119A" w:rsidP="00F3054D">
            <w:pPr>
              <w:pStyle w:val="TableText0"/>
              <w:keepNext w:val="0"/>
              <w:jc w:val="right"/>
              <w:rPr>
                <w:highlight w:val="darkGray"/>
              </w:rPr>
            </w:pPr>
            <w:r w:rsidRPr="0013119A">
              <w:rPr>
                <w:color w:val="000000"/>
                <w:spacing w:val="114"/>
                <w:shd w:val="solid" w:color="000000" w:fill="000000"/>
                <w:fitText w:val="200" w:id="-1233470968"/>
                <w14:textFill>
                  <w14:solidFill>
                    <w14:srgbClr w14:val="000000">
                      <w14:alpha w14:val="100000"/>
                    </w14:srgbClr>
                  </w14:solidFill>
                </w14:textFill>
              </w:rPr>
              <w:t>|</w:t>
            </w:r>
            <w:r w:rsidRPr="0013119A">
              <w:rPr>
                <w:color w:val="000000"/>
                <w:spacing w:val="1"/>
                <w:shd w:val="solid" w:color="000000" w:fill="000000"/>
                <w:fitText w:val="200" w:id="-1233470968"/>
                <w14:textFill>
                  <w14:solidFill>
                    <w14:srgbClr w14:val="000000">
                      <w14:alpha w14:val="100000"/>
                    </w14:srgbClr>
                  </w14:solidFill>
                </w14:textFill>
              </w:rPr>
              <w:t>|</w:t>
            </w:r>
            <w:r w:rsidR="008759DD" w:rsidRPr="008759DD">
              <w:t xml:space="preserve"> </w:t>
            </w:r>
            <w:r w:rsidR="008620A9">
              <w:rPr>
                <w:bCs w:val="0"/>
                <w:vertAlign w:val="superscript"/>
                <w:lang w:eastAsia="en-AU"/>
              </w:rPr>
              <w:t>8</w:t>
            </w:r>
          </w:p>
        </w:tc>
        <w:tc>
          <w:tcPr>
            <w:tcW w:w="615" w:type="pct"/>
            <w:tcBorders>
              <w:top w:val="nil"/>
              <w:bottom w:val="nil"/>
            </w:tcBorders>
            <w:noWrap/>
          </w:tcPr>
          <w:p w14:paraId="07E92EF7" w14:textId="46C65880" w:rsidR="00F3054D" w:rsidRPr="00A67E12" w:rsidRDefault="00874C62" w:rsidP="00F3054D">
            <w:pPr>
              <w:pStyle w:val="TableText0"/>
              <w:keepNext w:val="0"/>
              <w:jc w:val="right"/>
            </w:pPr>
            <w:r>
              <w:t>420</w:t>
            </w:r>
            <w:r w:rsidR="00F3054D" w:rsidRPr="00A67E12">
              <w:t>%</w:t>
            </w:r>
          </w:p>
        </w:tc>
      </w:tr>
      <w:tr w:rsidR="00AF49AA" w:rsidRPr="00A67E12" w14:paraId="5A4D3C79" w14:textId="77777777" w:rsidTr="008226A2">
        <w:tc>
          <w:tcPr>
            <w:tcW w:w="2536" w:type="pct"/>
            <w:tcBorders>
              <w:top w:val="nil"/>
              <w:bottom w:val="nil"/>
            </w:tcBorders>
            <w:noWrap/>
          </w:tcPr>
          <w:p w14:paraId="3DE196A4" w14:textId="7D06F405" w:rsidR="00AF49AA" w:rsidRPr="00FA0201" w:rsidRDefault="00276722" w:rsidP="00AF49AA">
            <w:pPr>
              <w:pStyle w:val="TableText0"/>
              <w:keepNext w:val="0"/>
              <w:rPr>
                <w:iCs/>
              </w:rPr>
            </w:pPr>
            <w:r w:rsidRPr="00FA0201">
              <w:rPr>
                <w:iCs/>
              </w:rPr>
              <w:t>Multivariate analysis</w:t>
            </w:r>
            <w:r w:rsidR="00AF49AA" w:rsidRPr="00FA0201">
              <w:rPr>
                <w:iCs/>
              </w:rPr>
              <w:t>, as proposed by ESC:</w:t>
            </w:r>
          </w:p>
          <w:p w14:paraId="72EC0F89" w14:textId="77777777" w:rsidR="003C4D7A" w:rsidRPr="00FA0201" w:rsidRDefault="00AF49AA" w:rsidP="007312D6">
            <w:pPr>
              <w:pStyle w:val="TableText0"/>
              <w:keepNext w:val="0"/>
              <w:numPr>
                <w:ilvl w:val="0"/>
                <w:numId w:val="13"/>
              </w:numPr>
              <w:rPr>
                <w:iCs/>
              </w:rPr>
            </w:pPr>
            <w:r w:rsidRPr="00FA0201">
              <w:rPr>
                <w:iCs/>
              </w:rPr>
              <w:t xml:space="preserve">Treatment waning: Year 4 to Year 7 </w:t>
            </w:r>
            <w:r w:rsidRPr="00FA0201">
              <w:rPr>
                <w:b/>
                <w:iCs/>
              </w:rPr>
              <w:t>#6</w:t>
            </w:r>
            <w:r w:rsidRPr="00FA0201">
              <w:rPr>
                <w:iCs/>
              </w:rPr>
              <w:t>, AND</w:t>
            </w:r>
          </w:p>
          <w:p w14:paraId="508E117D" w14:textId="52DC9279" w:rsidR="00AF49AA" w:rsidRPr="003C4D7A" w:rsidRDefault="00AF49AA" w:rsidP="007312D6">
            <w:pPr>
              <w:pStyle w:val="TableText0"/>
              <w:keepNext w:val="0"/>
              <w:numPr>
                <w:ilvl w:val="0"/>
                <w:numId w:val="13"/>
              </w:numPr>
              <w:rPr>
                <w:i/>
                <w:iCs/>
              </w:rPr>
            </w:pPr>
            <w:r w:rsidRPr="00FA0201">
              <w:rPr>
                <w:iCs/>
              </w:rPr>
              <w:t>Age at model entry:</w:t>
            </w:r>
            <w:r>
              <w:t xml:space="preserve"> </w:t>
            </w:r>
            <w:r w:rsidRPr="00FA0201">
              <w:rPr>
                <w:iCs/>
                <w:lang w:eastAsia="en-AU"/>
              </w:rPr>
              <w:t xml:space="preserve">61.4 years </w:t>
            </w:r>
            <w:r w:rsidRPr="00FA0201">
              <w:rPr>
                <w:b/>
                <w:iCs/>
                <w:lang w:eastAsia="en-AU"/>
              </w:rPr>
              <w:t>#8</w:t>
            </w:r>
          </w:p>
        </w:tc>
        <w:tc>
          <w:tcPr>
            <w:tcW w:w="616" w:type="pct"/>
            <w:tcBorders>
              <w:top w:val="nil"/>
              <w:bottom w:val="nil"/>
            </w:tcBorders>
            <w:noWrap/>
          </w:tcPr>
          <w:p w14:paraId="7541CCF6" w14:textId="6D4EE2D0" w:rsidR="00AF49AA" w:rsidRPr="008620A9" w:rsidRDefault="0013119A" w:rsidP="00AF49AA">
            <w:pPr>
              <w:pStyle w:val="TableText0"/>
              <w:keepNext w:val="0"/>
              <w:jc w:val="right"/>
              <w:rPr>
                <w:highlight w:val="darkGray"/>
              </w:rPr>
            </w:pPr>
            <w:r w:rsidRPr="0013119A">
              <w:rPr>
                <w:rFonts w:hint="eastAsia"/>
                <w:bCs w:val="0"/>
                <w:iCs/>
                <w:color w:val="000000"/>
                <w:w w:val="20"/>
                <w:shd w:val="solid" w:color="000000" w:fill="000000"/>
                <w:fitText w:val="92" w:id="-1233470967"/>
                <w14:textFill>
                  <w14:solidFill>
                    <w14:srgbClr w14:val="000000">
                      <w14:alpha w14:val="100000"/>
                    </w14:srgbClr>
                  </w14:solidFill>
                </w14:textFill>
              </w:rPr>
              <w:t xml:space="preserve">　</w:t>
            </w:r>
            <w:r w:rsidRPr="0013119A">
              <w:rPr>
                <w:bCs w:val="0"/>
                <w:iCs/>
                <w:color w:val="000000"/>
                <w:w w:val="20"/>
                <w:shd w:val="solid" w:color="000000" w:fill="000000"/>
                <w:fitText w:val="92" w:id="-1233470967"/>
                <w14:textFill>
                  <w14:solidFill>
                    <w14:srgbClr w14:val="000000">
                      <w14:alpha w14:val="100000"/>
                    </w14:srgbClr>
                  </w14:solidFill>
                </w14:textFill>
              </w:rPr>
              <w:t>|</w:t>
            </w:r>
            <w:r w:rsidRPr="0013119A">
              <w:rPr>
                <w:rFonts w:hint="eastAsia"/>
                <w:bCs w:val="0"/>
                <w:iCs/>
                <w:color w:val="000000"/>
                <w:spacing w:val="5"/>
                <w:w w:val="20"/>
                <w:shd w:val="solid" w:color="000000" w:fill="000000"/>
                <w:fitText w:val="92" w:id="-1233470967"/>
                <w14:textFill>
                  <w14:solidFill>
                    <w14:srgbClr w14:val="000000">
                      <w14:alpha w14:val="100000"/>
                    </w14:srgbClr>
                  </w14:solidFill>
                </w14:textFill>
              </w:rPr>
              <w:t xml:space="preserve">　</w:t>
            </w:r>
            <w:r w:rsidR="008759DD" w:rsidRPr="008759DD">
              <w:rPr>
                <w:bCs w:val="0"/>
                <w:iCs/>
              </w:rPr>
              <w:t xml:space="preserve"> </w:t>
            </w:r>
          </w:p>
        </w:tc>
        <w:tc>
          <w:tcPr>
            <w:tcW w:w="616" w:type="pct"/>
            <w:tcBorders>
              <w:top w:val="nil"/>
              <w:bottom w:val="nil"/>
            </w:tcBorders>
            <w:noWrap/>
          </w:tcPr>
          <w:p w14:paraId="7860F06D" w14:textId="26815CAC" w:rsidR="00AF49AA" w:rsidRPr="00A67E12" w:rsidRDefault="00AF49AA" w:rsidP="00AF49AA">
            <w:pPr>
              <w:pStyle w:val="TableText0"/>
              <w:keepNext w:val="0"/>
              <w:jc w:val="right"/>
            </w:pPr>
            <w:r w:rsidRPr="00FA0201">
              <w:rPr>
                <w:bCs w:val="0"/>
                <w:iCs/>
              </w:rPr>
              <w:t>0.156</w:t>
            </w:r>
          </w:p>
        </w:tc>
        <w:tc>
          <w:tcPr>
            <w:tcW w:w="616" w:type="pct"/>
            <w:tcBorders>
              <w:top w:val="nil"/>
              <w:bottom w:val="nil"/>
            </w:tcBorders>
            <w:noWrap/>
          </w:tcPr>
          <w:p w14:paraId="39F47790" w14:textId="4D7B21E2" w:rsidR="00AF49AA" w:rsidRPr="008620A9" w:rsidRDefault="0013119A" w:rsidP="00AF49AA">
            <w:pPr>
              <w:pStyle w:val="TableText0"/>
              <w:keepNext w:val="0"/>
              <w:jc w:val="right"/>
              <w:rPr>
                <w:highlight w:val="darkGray"/>
              </w:rPr>
            </w:pPr>
            <w:r w:rsidRPr="0013119A">
              <w:rPr>
                <w:bCs w:val="0"/>
                <w:iCs/>
                <w:color w:val="000000"/>
                <w:spacing w:val="114"/>
                <w:shd w:val="solid" w:color="000000" w:fill="000000"/>
                <w:fitText w:val="200" w:id="-1233470966"/>
                <w14:textFill>
                  <w14:solidFill>
                    <w14:srgbClr w14:val="000000">
                      <w14:alpha w14:val="100000"/>
                    </w14:srgbClr>
                  </w14:solidFill>
                </w14:textFill>
              </w:rPr>
              <w:t>|</w:t>
            </w:r>
            <w:r w:rsidRPr="0013119A">
              <w:rPr>
                <w:bCs w:val="0"/>
                <w:iCs/>
                <w:color w:val="000000"/>
                <w:spacing w:val="1"/>
                <w:shd w:val="solid" w:color="000000" w:fill="000000"/>
                <w:fitText w:val="200" w:id="-1233470966"/>
                <w14:textFill>
                  <w14:solidFill>
                    <w14:srgbClr w14:val="000000">
                      <w14:alpha w14:val="100000"/>
                    </w14:srgbClr>
                  </w14:solidFill>
                </w14:textFill>
              </w:rPr>
              <w:t>|</w:t>
            </w:r>
            <w:r w:rsidR="008759DD" w:rsidRPr="008759DD">
              <w:rPr>
                <w:bCs w:val="0"/>
                <w:iCs/>
              </w:rPr>
              <w:t xml:space="preserve"> </w:t>
            </w:r>
            <w:r w:rsidR="008620A9">
              <w:rPr>
                <w:bCs w:val="0"/>
                <w:vertAlign w:val="superscript"/>
                <w:lang w:eastAsia="en-AU"/>
              </w:rPr>
              <w:t>6</w:t>
            </w:r>
          </w:p>
        </w:tc>
        <w:tc>
          <w:tcPr>
            <w:tcW w:w="615" w:type="pct"/>
            <w:tcBorders>
              <w:top w:val="nil"/>
              <w:bottom w:val="nil"/>
            </w:tcBorders>
            <w:noWrap/>
          </w:tcPr>
          <w:p w14:paraId="729BB3CA" w14:textId="0D1F4724" w:rsidR="00AF49AA" w:rsidRDefault="00AF49AA" w:rsidP="00AF49AA">
            <w:pPr>
              <w:pStyle w:val="TableText0"/>
              <w:keepNext w:val="0"/>
              <w:jc w:val="right"/>
            </w:pPr>
            <w:r w:rsidRPr="00FA0201">
              <w:rPr>
                <w:bCs w:val="0"/>
                <w:iCs/>
              </w:rPr>
              <w:t>22</w:t>
            </w:r>
            <w:r w:rsidR="00901E0D" w:rsidRPr="00FA0201">
              <w:rPr>
                <w:bCs w:val="0"/>
                <w:iCs/>
              </w:rPr>
              <w:t>4</w:t>
            </w:r>
            <w:r w:rsidRPr="00FA0201">
              <w:rPr>
                <w:bCs w:val="0"/>
                <w:iCs/>
              </w:rPr>
              <w:t>%</w:t>
            </w:r>
          </w:p>
        </w:tc>
      </w:tr>
      <w:tr w:rsidR="003C4D7A" w:rsidRPr="00FA0201" w14:paraId="0754DD54" w14:textId="77777777" w:rsidTr="008620A9">
        <w:tc>
          <w:tcPr>
            <w:tcW w:w="2536" w:type="pct"/>
            <w:tcBorders>
              <w:top w:val="nil"/>
              <w:bottom w:val="single" w:sz="4" w:space="0" w:color="auto"/>
            </w:tcBorders>
            <w:noWrap/>
          </w:tcPr>
          <w:p w14:paraId="35F3159C" w14:textId="6B43B4A5" w:rsidR="003C4D7A" w:rsidRPr="00FA0201" w:rsidRDefault="003C4D7A" w:rsidP="003C4D7A">
            <w:pPr>
              <w:pStyle w:val="TableText0"/>
              <w:keepNext w:val="0"/>
              <w:rPr>
                <w:iCs/>
              </w:rPr>
            </w:pPr>
            <w:r w:rsidRPr="00FA0201">
              <w:rPr>
                <w:iCs/>
              </w:rPr>
              <w:t>Revised base case, as proposed by ESC</w:t>
            </w:r>
            <w:r w:rsidR="00276722" w:rsidRPr="00FA0201">
              <w:rPr>
                <w:iCs/>
              </w:rPr>
              <w:t xml:space="preserve"> with correction</w:t>
            </w:r>
            <w:r w:rsidR="002205FF" w:rsidRPr="00FA0201">
              <w:rPr>
                <w:iCs/>
              </w:rPr>
              <w:t>s</w:t>
            </w:r>
            <w:r w:rsidR="00276722" w:rsidRPr="00FA0201">
              <w:rPr>
                <w:iCs/>
              </w:rPr>
              <w:t xml:space="preserve"> to errors and updated costs</w:t>
            </w:r>
            <w:r w:rsidRPr="00FA0201">
              <w:rPr>
                <w:iCs/>
              </w:rPr>
              <w:t>:</w:t>
            </w:r>
          </w:p>
          <w:p w14:paraId="73C38BA4" w14:textId="2FD0F675" w:rsidR="003C4D7A" w:rsidRPr="00FA0201" w:rsidRDefault="003C4D7A" w:rsidP="007312D6">
            <w:pPr>
              <w:pStyle w:val="TableText0"/>
              <w:keepNext w:val="0"/>
              <w:numPr>
                <w:ilvl w:val="0"/>
                <w:numId w:val="13"/>
              </w:numPr>
              <w:rPr>
                <w:iCs/>
              </w:rPr>
            </w:pPr>
            <w:r w:rsidRPr="00FA0201">
              <w:rPr>
                <w:iCs/>
              </w:rPr>
              <w:t xml:space="preserve">Treatment waning: Year 4 to Year 7 </w:t>
            </w:r>
            <w:r w:rsidRPr="00FA0201">
              <w:rPr>
                <w:b/>
                <w:iCs/>
              </w:rPr>
              <w:t>#6</w:t>
            </w:r>
            <w:r w:rsidRPr="00FA0201">
              <w:rPr>
                <w:iCs/>
              </w:rPr>
              <w:t xml:space="preserve">, </w:t>
            </w:r>
          </w:p>
          <w:p w14:paraId="68131B70" w14:textId="77777777" w:rsidR="003C4D7A" w:rsidRPr="00FA0201" w:rsidRDefault="003C4D7A" w:rsidP="007312D6">
            <w:pPr>
              <w:pStyle w:val="TableText0"/>
              <w:keepNext w:val="0"/>
              <w:numPr>
                <w:ilvl w:val="0"/>
                <w:numId w:val="13"/>
              </w:numPr>
              <w:rPr>
                <w:b/>
                <w:iCs/>
              </w:rPr>
            </w:pPr>
            <w:r w:rsidRPr="00FA0201">
              <w:rPr>
                <w:iCs/>
              </w:rPr>
              <w:t>Age at model entry:</w:t>
            </w:r>
            <w:r w:rsidRPr="00FA0201">
              <w:t xml:space="preserve"> </w:t>
            </w:r>
            <w:r w:rsidRPr="00FA0201">
              <w:rPr>
                <w:iCs/>
                <w:lang w:eastAsia="en-AU"/>
              </w:rPr>
              <w:t xml:space="preserve">61.4 years </w:t>
            </w:r>
            <w:r w:rsidRPr="00FA0201">
              <w:rPr>
                <w:b/>
                <w:iCs/>
                <w:lang w:eastAsia="en-AU"/>
              </w:rPr>
              <w:t>#8</w:t>
            </w:r>
          </w:p>
          <w:p w14:paraId="7F66488A" w14:textId="40108AA1" w:rsidR="003C4D7A" w:rsidRPr="00FA0201" w:rsidRDefault="003C4D7A" w:rsidP="007312D6">
            <w:pPr>
              <w:pStyle w:val="TableText0"/>
              <w:keepNext w:val="0"/>
              <w:numPr>
                <w:ilvl w:val="0"/>
                <w:numId w:val="13"/>
              </w:numPr>
              <w:rPr>
                <w:iCs/>
              </w:rPr>
            </w:pPr>
            <w:r w:rsidRPr="00FA0201">
              <w:rPr>
                <w:iCs/>
              </w:rPr>
              <w:t xml:space="preserve">Correction of errors identified during the evaluation and updating costs to improve the model’s accuracy </w:t>
            </w:r>
            <w:r w:rsidRPr="00FA0201">
              <w:rPr>
                <w:b/>
                <w:iCs/>
              </w:rPr>
              <w:t>#1</w:t>
            </w:r>
          </w:p>
          <w:p w14:paraId="554C1880" w14:textId="13B52073" w:rsidR="003C4D7A" w:rsidRPr="00FA0201" w:rsidRDefault="005B2494" w:rsidP="007312D6">
            <w:pPr>
              <w:pStyle w:val="TableText0"/>
              <w:keepNext w:val="0"/>
              <w:numPr>
                <w:ilvl w:val="0"/>
                <w:numId w:val="13"/>
              </w:numPr>
              <w:rPr>
                <w:iCs/>
              </w:rPr>
            </w:pPr>
            <w:r w:rsidRPr="00FA0201">
              <w:rPr>
                <w:iCs/>
                <w:lang w:eastAsia="en-AU"/>
              </w:rPr>
              <w:t xml:space="preserve">ET TTD extrapolation in both arms, (base case: Independent models - Hazards spline model with two knots), Independent models - ET intervention: log-normal, ET comparator: gamma </w:t>
            </w:r>
            <w:r w:rsidRPr="00FA0201">
              <w:rPr>
                <w:b/>
                <w:bCs w:val="0"/>
                <w:iCs/>
                <w:lang w:eastAsia="en-AU"/>
              </w:rPr>
              <w:t>#2</w:t>
            </w:r>
          </w:p>
        </w:tc>
        <w:tc>
          <w:tcPr>
            <w:tcW w:w="616" w:type="pct"/>
            <w:tcBorders>
              <w:top w:val="nil"/>
              <w:bottom w:val="single" w:sz="4" w:space="0" w:color="auto"/>
            </w:tcBorders>
            <w:noWrap/>
          </w:tcPr>
          <w:p w14:paraId="6354CA01" w14:textId="469D916D" w:rsidR="003C4D7A" w:rsidRPr="008620A9" w:rsidRDefault="0013119A" w:rsidP="00AF49AA">
            <w:pPr>
              <w:pStyle w:val="TableText0"/>
              <w:keepNext w:val="0"/>
              <w:jc w:val="right"/>
              <w:rPr>
                <w:bCs w:val="0"/>
                <w:iCs/>
                <w:highlight w:val="darkGray"/>
              </w:rPr>
            </w:pPr>
            <w:r w:rsidRPr="0013119A">
              <w:rPr>
                <w:rFonts w:hint="eastAsia"/>
                <w:bCs w:val="0"/>
                <w:iCs/>
                <w:color w:val="000000"/>
                <w:w w:val="20"/>
                <w:shd w:val="solid" w:color="000000" w:fill="000000"/>
                <w:fitText w:val="92" w:id="-1233470965"/>
                <w14:textFill>
                  <w14:solidFill>
                    <w14:srgbClr w14:val="000000">
                      <w14:alpha w14:val="100000"/>
                    </w14:srgbClr>
                  </w14:solidFill>
                </w14:textFill>
              </w:rPr>
              <w:t xml:space="preserve">　</w:t>
            </w:r>
            <w:r w:rsidRPr="0013119A">
              <w:rPr>
                <w:bCs w:val="0"/>
                <w:iCs/>
                <w:color w:val="000000"/>
                <w:w w:val="20"/>
                <w:shd w:val="solid" w:color="000000" w:fill="000000"/>
                <w:fitText w:val="92" w:id="-1233470965"/>
                <w14:textFill>
                  <w14:solidFill>
                    <w14:srgbClr w14:val="000000">
                      <w14:alpha w14:val="100000"/>
                    </w14:srgbClr>
                  </w14:solidFill>
                </w14:textFill>
              </w:rPr>
              <w:t>|</w:t>
            </w:r>
            <w:r w:rsidRPr="0013119A">
              <w:rPr>
                <w:rFonts w:hint="eastAsia"/>
                <w:bCs w:val="0"/>
                <w:iCs/>
                <w:color w:val="000000"/>
                <w:spacing w:val="5"/>
                <w:w w:val="20"/>
                <w:shd w:val="solid" w:color="000000" w:fill="000000"/>
                <w:fitText w:val="92" w:id="-1233470965"/>
                <w14:textFill>
                  <w14:solidFill>
                    <w14:srgbClr w14:val="000000">
                      <w14:alpha w14:val="100000"/>
                    </w14:srgbClr>
                  </w14:solidFill>
                </w14:textFill>
              </w:rPr>
              <w:t xml:space="preserve">　</w:t>
            </w:r>
            <w:r w:rsidR="008759DD" w:rsidRPr="008759DD">
              <w:rPr>
                <w:bCs w:val="0"/>
                <w:iCs/>
              </w:rPr>
              <w:t xml:space="preserve"> </w:t>
            </w:r>
          </w:p>
        </w:tc>
        <w:tc>
          <w:tcPr>
            <w:tcW w:w="616" w:type="pct"/>
            <w:tcBorders>
              <w:top w:val="nil"/>
              <w:bottom w:val="single" w:sz="4" w:space="0" w:color="auto"/>
            </w:tcBorders>
            <w:noWrap/>
          </w:tcPr>
          <w:p w14:paraId="46D66A98" w14:textId="22B0FD62" w:rsidR="003C4D7A" w:rsidRPr="00FA0201" w:rsidRDefault="006421F4" w:rsidP="00AF49AA">
            <w:pPr>
              <w:pStyle w:val="TableText0"/>
              <w:keepNext w:val="0"/>
              <w:jc w:val="right"/>
              <w:rPr>
                <w:bCs w:val="0"/>
                <w:iCs/>
              </w:rPr>
            </w:pPr>
            <w:r w:rsidRPr="00FA0201">
              <w:rPr>
                <w:bCs w:val="0"/>
                <w:iCs/>
              </w:rPr>
              <w:t>0.156</w:t>
            </w:r>
          </w:p>
        </w:tc>
        <w:tc>
          <w:tcPr>
            <w:tcW w:w="616" w:type="pct"/>
            <w:tcBorders>
              <w:top w:val="nil"/>
              <w:bottom w:val="single" w:sz="4" w:space="0" w:color="auto"/>
            </w:tcBorders>
            <w:noWrap/>
          </w:tcPr>
          <w:p w14:paraId="2AC42814" w14:textId="6B46DCBE" w:rsidR="003C4D7A" w:rsidRPr="008620A9" w:rsidRDefault="0013119A" w:rsidP="00AF49AA">
            <w:pPr>
              <w:pStyle w:val="TableText0"/>
              <w:keepNext w:val="0"/>
              <w:jc w:val="right"/>
              <w:rPr>
                <w:bCs w:val="0"/>
                <w:iCs/>
                <w:highlight w:val="darkGray"/>
              </w:rPr>
            </w:pPr>
            <w:r w:rsidRPr="0013119A">
              <w:rPr>
                <w:bCs w:val="0"/>
                <w:iCs/>
                <w:color w:val="000000"/>
                <w:spacing w:val="114"/>
                <w:shd w:val="solid" w:color="000000" w:fill="000000"/>
                <w:fitText w:val="200" w:id="-1233470964"/>
                <w14:textFill>
                  <w14:solidFill>
                    <w14:srgbClr w14:val="000000">
                      <w14:alpha w14:val="100000"/>
                    </w14:srgbClr>
                  </w14:solidFill>
                </w14:textFill>
              </w:rPr>
              <w:t>|</w:t>
            </w:r>
            <w:r w:rsidRPr="0013119A">
              <w:rPr>
                <w:bCs w:val="0"/>
                <w:iCs/>
                <w:color w:val="000000"/>
                <w:spacing w:val="1"/>
                <w:shd w:val="solid" w:color="000000" w:fill="000000"/>
                <w:fitText w:val="200" w:id="-1233470964"/>
                <w14:textFill>
                  <w14:solidFill>
                    <w14:srgbClr w14:val="000000">
                      <w14:alpha w14:val="100000"/>
                    </w14:srgbClr>
                  </w14:solidFill>
                </w14:textFill>
              </w:rPr>
              <w:t>|</w:t>
            </w:r>
            <w:r w:rsidR="008759DD" w:rsidRPr="008759DD">
              <w:rPr>
                <w:bCs w:val="0"/>
                <w:iCs/>
              </w:rPr>
              <w:t xml:space="preserve"> </w:t>
            </w:r>
            <w:r w:rsidR="008620A9">
              <w:rPr>
                <w:bCs w:val="0"/>
                <w:vertAlign w:val="superscript"/>
                <w:lang w:eastAsia="en-AU"/>
              </w:rPr>
              <w:t>9</w:t>
            </w:r>
          </w:p>
        </w:tc>
        <w:tc>
          <w:tcPr>
            <w:tcW w:w="615" w:type="pct"/>
            <w:tcBorders>
              <w:top w:val="nil"/>
              <w:bottom w:val="single" w:sz="4" w:space="0" w:color="auto"/>
            </w:tcBorders>
            <w:noWrap/>
          </w:tcPr>
          <w:p w14:paraId="42425F75" w14:textId="64B215C2" w:rsidR="003C4D7A" w:rsidRPr="00FA0201" w:rsidRDefault="006421F4" w:rsidP="00AF49AA">
            <w:pPr>
              <w:pStyle w:val="TableText0"/>
              <w:keepNext w:val="0"/>
              <w:jc w:val="right"/>
              <w:rPr>
                <w:bCs w:val="0"/>
                <w:iCs/>
              </w:rPr>
            </w:pPr>
            <w:r w:rsidRPr="00FA0201">
              <w:rPr>
                <w:bCs w:val="0"/>
                <w:iCs/>
              </w:rPr>
              <w:t>216%</w:t>
            </w:r>
          </w:p>
        </w:tc>
      </w:tr>
    </w:tbl>
    <w:p w14:paraId="0EDD3EF6" w14:textId="77777777" w:rsidR="00062CD0" w:rsidRPr="00A67E12" w:rsidRDefault="00062CD0" w:rsidP="00062CD0">
      <w:pPr>
        <w:pStyle w:val="TableFigureFooter"/>
      </w:pPr>
      <w:r w:rsidRPr="00A67E12">
        <w:t xml:space="preserve">Source: Constructed during the evaluation from the ‘A6.1_Abemaciclib Section 3 workbook 2022.xlsm’ workbook included with the resubmission. </w:t>
      </w:r>
    </w:p>
    <w:p w14:paraId="58C513FF" w14:textId="77777777" w:rsidR="00062CD0" w:rsidRDefault="00062CD0" w:rsidP="00062CD0">
      <w:pPr>
        <w:pStyle w:val="TableFigureFooter"/>
      </w:pPr>
      <w:r>
        <w:t xml:space="preserve">ABE = abemaciclib; CAP = capecitabine; CDKI = </w:t>
      </w:r>
      <w:r w:rsidRPr="00A36478">
        <w:t>cyclin-dependent kinases 4 and 6 inhibitors</w:t>
      </w:r>
      <w:r>
        <w:t>; ECG = electrocardiogram; ER-MBC = endocrine-resistant metastatic breast cancer; ES-MBC = endocrine-sensitive metastatic breast cancer; ET = endocrine therapy; EXE = exemestane; EXE + EVE = exemestane and everolimus; FUL = fulvestrant; ICER = incremental cost-effectiveness; IDFS = invasive disease-free survival; LY = life years; MBC = metastatic breast cancer; NMR = non-metastatic recurrence; NSAI = n</w:t>
      </w:r>
      <w:r w:rsidRPr="00A36478">
        <w:t>on-steroidal aromatase inhibitor</w:t>
      </w:r>
      <w:r>
        <w:t>; OS = overall survival; PFS = progression-free survival; PPS = post-progression survival; QALY = quality-adjusted life year; TMX = tamoxifen; TTD = time to treatment discontinuation.</w:t>
      </w:r>
    </w:p>
    <w:p w14:paraId="1B9CF30F" w14:textId="77777777" w:rsidR="00062CD0" w:rsidRDefault="00062CD0" w:rsidP="00062CD0">
      <w:pPr>
        <w:pStyle w:val="TableFigureFooter"/>
      </w:pPr>
      <w:r>
        <w:rPr>
          <w:vertAlign w:val="superscript"/>
        </w:rPr>
        <w:t xml:space="preserve">a </w:t>
      </w:r>
      <w:r>
        <w:t>The remaining patients proportionally distributed to other treatment options in the ET arm according to base case proportions.</w:t>
      </w:r>
    </w:p>
    <w:p w14:paraId="6F253C9F" w14:textId="07295F18" w:rsidR="00062CD0" w:rsidRDefault="00062CD0" w:rsidP="008620A9">
      <w:pPr>
        <w:pStyle w:val="TableFigureFooter"/>
        <w:spacing w:after="0"/>
      </w:pPr>
      <w:r>
        <w:rPr>
          <w:vertAlign w:val="superscript"/>
        </w:rPr>
        <w:t xml:space="preserve">b </w:t>
      </w:r>
      <w:r>
        <w:t>CDKI pay-off was altered in the intervention arm of the metastatic setting such that the life years gained and time on treatment was the same as FUL (alone) for ET-MBC and NSAI (alone) for ES-MBC.</w:t>
      </w:r>
    </w:p>
    <w:p w14:paraId="491A481A" w14:textId="77777777" w:rsidR="008620A9" w:rsidRDefault="008620A9" w:rsidP="008620A9">
      <w:pPr>
        <w:rPr>
          <w:rFonts w:ascii="Arial Narrow" w:hAnsi="Arial Narrow"/>
          <w:i/>
          <w:sz w:val="18"/>
          <w:szCs w:val="18"/>
        </w:rPr>
      </w:pPr>
      <w:r>
        <w:rPr>
          <w:rFonts w:ascii="Arial Narrow" w:hAnsi="Arial Narrow"/>
          <w:i/>
          <w:sz w:val="18"/>
          <w:szCs w:val="18"/>
        </w:rPr>
        <w:t xml:space="preserve">The redacted values correspond to the following ranges: </w:t>
      </w:r>
    </w:p>
    <w:p w14:paraId="104CE677" w14:textId="0C02FE82" w:rsidR="008620A9" w:rsidRDefault="008620A9" w:rsidP="008620A9">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8620A9">
        <w:rPr>
          <w:rFonts w:ascii="Arial Narrow" w:hAnsi="Arial Narrow"/>
          <w:i/>
          <w:sz w:val="18"/>
          <w:szCs w:val="18"/>
        </w:rPr>
        <w:t>$35,000 to &lt; $45,000</w:t>
      </w:r>
    </w:p>
    <w:p w14:paraId="71320E9C" w14:textId="43FF6734" w:rsidR="008620A9" w:rsidRDefault="008620A9" w:rsidP="008620A9">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8620A9">
        <w:rPr>
          <w:rFonts w:ascii="Arial Narrow" w:hAnsi="Arial Narrow"/>
          <w:i/>
          <w:sz w:val="18"/>
          <w:szCs w:val="18"/>
        </w:rPr>
        <w:t>$55,000 to &lt; $75,000</w:t>
      </w:r>
    </w:p>
    <w:p w14:paraId="28677D65" w14:textId="3A893513" w:rsidR="008620A9" w:rsidRDefault="008620A9" w:rsidP="008620A9">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8620A9">
        <w:rPr>
          <w:rFonts w:ascii="Arial Narrow" w:hAnsi="Arial Narrow"/>
          <w:i/>
          <w:sz w:val="18"/>
          <w:szCs w:val="18"/>
        </w:rPr>
        <w:t>$5,000 to &lt; $15,000</w:t>
      </w:r>
    </w:p>
    <w:p w14:paraId="254255F3" w14:textId="2E63BF7C" w:rsidR="008620A9" w:rsidRDefault="008620A9" w:rsidP="008620A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620A9">
        <w:rPr>
          <w:rFonts w:ascii="Arial Narrow" w:hAnsi="Arial Narrow"/>
          <w:i/>
          <w:sz w:val="18"/>
          <w:szCs w:val="18"/>
        </w:rPr>
        <w:t>$15,000 to &lt; $25,000</w:t>
      </w:r>
    </w:p>
    <w:p w14:paraId="7CE7FEF9" w14:textId="2B92E57F" w:rsidR="008620A9" w:rsidRDefault="008620A9" w:rsidP="008620A9">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620A9">
        <w:rPr>
          <w:rFonts w:ascii="Arial Narrow" w:hAnsi="Arial Narrow"/>
          <w:i/>
          <w:sz w:val="18"/>
          <w:szCs w:val="18"/>
        </w:rPr>
        <w:t>$25,000 to &lt; $35,000</w:t>
      </w:r>
    </w:p>
    <w:p w14:paraId="2E1DE4F3" w14:textId="5E7605F1" w:rsidR="008620A9" w:rsidRDefault="008620A9" w:rsidP="008620A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620A9">
        <w:rPr>
          <w:rFonts w:ascii="Arial Narrow" w:hAnsi="Arial Narrow"/>
          <w:i/>
          <w:sz w:val="18"/>
          <w:szCs w:val="18"/>
        </w:rPr>
        <w:t>$115,000 to &lt; $135,000</w:t>
      </w:r>
    </w:p>
    <w:p w14:paraId="121AB0E4" w14:textId="22DFBA88" w:rsidR="008620A9" w:rsidRDefault="008620A9" w:rsidP="008620A9">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620A9">
        <w:rPr>
          <w:rFonts w:ascii="Arial Narrow" w:hAnsi="Arial Narrow"/>
          <w:i/>
          <w:sz w:val="18"/>
          <w:szCs w:val="18"/>
        </w:rPr>
        <w:t>$135,000 to &lt; $155,000</w:t>
      </w:r>
    </w:p>
    <w:p w14:paraId="2500D1D4" w14:textId="62BE4B38" w:rsidR="008620A9" w:rsidRDefault="008620A9" w:rsidP="008620A9">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620A9">
        <w:rPr>
          <w:rFonts w:ascii="Arial Narrow" w:hAnsi="Arial Narrow"/>
          <w:i/>
          <w:sz w:val="18"/>
          <w:szCs w:val="18"/>
        </w:rPr>
        <w:t>$155,000 to &lt; $255,000</w:t>
      </w:r>
    </w:p>
    <w:p w14:paraId="5931DABB" w14:textId="34181067" w:rsidR="008620A9" w:rsidRPr="008620A9" w:rsidRDefault="008620A9" w:rsidP="008620A9">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8620A9">
        <w:rPr>
          <w:rFonts w:ascii="Arial Narrow" w:hAnsi="Arial Narrow"/>
          <w:i/>
          <w:sz w:val="18"/>
          <w:szCs w:val="18"/>
        </w:rPr>
        <w:t>$95,000 to &lt; $115,000</w:t>
      </w:r>
    </w:p>
    <w:p w14:paraId="11D4218A" w14:textId="033A0DCA" w:rsidR="00445270" w:rsidRDefault="00300A40" w:rsidP="00300A40">
      <w:pPr>
        <w:pStyle w:val="3-BodyText"/>
      </w:pPr>
      <w:bookmarkStart w:id="56" w:name="_Toc22897646"/>
      <w:bookmarkStart w:id="57" w:name="_Toc107927632"/>
      <w:bookmarkStart w:id="58" w:name="_Toc124940309"/>
      <w:bookmarkStart w:id="59" w:name="_Toc22897650"/>
      <w:bookmarkEnd w:id="40"/>
      <w:r>
        <w:t xml:space="preserve">The pre-PBAC response provided an updated economic model with corrections to errors </w:t>
      </w:r>
      <w:r w:rsidR="00BF3102">
        <w:t>related to the</w:t>
      </w:r>
      <w:r>
        <w:t xml:space="preserve"> </w:t>
      </w:r>
      <w:r w:rsidRPr="009047A6">
        <w:t xml:space="preserve">formula selecting TTD extrapolations for ET </w:t>
      </w:r>
      <w:r>
        <w:t xml:space="preserve">and </w:t>
      </w:r>
      <w:r w:rsidRPr="009047A6">
        <w:t xml:space="preserve">age-adjusted utility </w:t>
      </w:r>
      <w:r w:rsidR="00674EC6">
        <w:t>calculations</w:t>
      </w:r>
      <w:r>
        <w:t>.</w:t>
      </w:r>
      <w:r w:rsidR="008E12CD">
        <w:t xml:space="preserve"> The</w:t>
      </w:r>
      <w:r w:rsidR="00674EC6">
        <w:t xml:space="preserve"> results of the</w:t>
      </w:r>
      <w:r w:rsidR="008E12CD">
        <w:t xml:space="preserve"> economic model </w:t>
      </w:r>
      <w:r w:rsidR="00674EC6">
        <w:t xml:space="preserve">provided in the pre-PBAC response are </w:t>
      </w:r>
      <w:r w:rsidR="004E3AE8">
        <w:t>shown</w:t>
      </w:r>
      <w:r w:rsidR="00674EC6">
        <w:t xml:space="preserve"> in </w:t>
      </w:r>
      <w:r w:rsidR="00674EC6">
        <w:fldChar w:fldCharType="begin"/>
      </w:r>
      <w:r w:rsidR="00674EC6">
        <w:instrText xml:space="preserve"> REF _Ref130213706 \h </w:instrText>
      </w:r>
      <w:r w:rsidR="00674EC6">
        <w:fldChar w:fldCharType="separate"/>
      </w:r>
      <w:r w:rsidR="0001201E" w:rsidRPr="008A3BDF">
        <w:rPr>
          <w:noProof/>
        </w:rPr>
        <w:t xml:space="preserve">Table </w:t>
      </w:r>
      <w:r w:rsidR="0001201E">
        <w:rPr>
          <w:noProof/>
        </w:rPr>
        <w:t>17</w:t>
      </w:r>
      <w:r w:rsidR="00674EC6">
        <w:fldChar w:fldCharType="end"/>
      </w:r>
      <w:r w:rsidR="00BF3102">
        <w:t xml:space="preserve">. </w:t>
      </w:r>
    </w:p>
    <w:p w14:paraId="1F0FAC57" w14:textId="1D4D26BE" w:rsidR="008E12CD" w:rsidRPr="008A3BDF" w:rsidRDefault="008E12CD" w:rsidP="00EC58C1">
      <w:pPr>
        <w:pStyle w:val="Caption"/>
        <w:rPr>
          <w:noProof/>
        </w:rPr>
      </w:pPr>
      <w:bookmarkStart w:id="60" w:name="_Ref130213706"/>
      <w:r w:rsidRPr="008A3BDF">
        <w:rPr>
          <w:noProof/>
        </w:rPr>
        <w:lastRenderedPageBreak/>
        <w:t xml:space="preserve">Table </w:t>
      </w:r>
      <w:r>
        <w:rPr>
          <w:noProof/>
        </w:rPr>
        <w:fldChar w:fldCharType="begin"/>
      </w:r>
      <w:r>
        <w:rPr>
          <w:noProof/>
        </w:rPr>
        <w:instrText xml:space="preserve"> SEQ Table \* ARABIC </w:instrText>
      </w:r>
      <w:r>
        <w:rPr>
          <w:noProof/>
        </w:rPr>
        <w:fldChar w:fldCharType="separate"/>
      </w:r>
      <w:r w:rsidR="0001201E">
        <w:rPr>
          <w:noProof/>
        </w:rPr>
        <w:t>17</w:t>
      </w:r>
      <w:r>
        <w:rPr>
          <w:noProof/>
        </w:rPr>
        <w:fldChar w:fldCharType="end"/>
      </w:r>
      <w:bookmarkEnd w:id="60"/>
      <w:r w:rsidRPr="008E12CD">
        <w:rPr>
          <w:noProof/>
        </w:rPr>
        <w:t>: Results of the economic evaluation</w:t>
      </w:r>
      <w:r>
        <w:rPr>
          <w:noProof/>
        </w:rPr>
        <w:t xml:space="preserve"> based on the economic model provided in the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46"/>
        <w:gridCol w:w="1729"/>
        <w:gridCol w:w="1729"/>
        <w:gridCol w:w="1713"/>
      </w:tblGrid>
      <w:tr w:rsidR="008E12CD" w:rsidRPr="008A3BDF" w14:paraId="454564BC" w14:textId="77777777" w:rsidTr="008E12CD">
        <w:trPr>
          <w:tblHeader/>
        </w:trPr>
        <w:tc>
          <w:tcPr>
            <w:tcW w:w="2132" w:type="pct"/>
            <w:tcBorders>
              <w:bottom w:val="single" w:sz="4" w:space="0" w:color="auto"/>
            </w:tcBorders>
            <w:vAlign w:val="center"/>
          </w:tcPr>
          <w:p w14:paraId="3753521C" w14:textId="77777777" w:rsidR="008E12CD" w:rsidRPr="008A3BDF" w:rsidRDefault="008E12CD" w:rsidP="00EC58C1">
            <w:pPr>
              <w:pStyle w:val="In-tableHeading"/>
              <w:rPr>
                <w:lang w:val="en-AU"/>
              </w:rPr>
            </w:pPr>
          </w:p>
        </w:tc>
        <w:tc>
          <w:tcPr>
            <w:tcW w:w="2868" w:type="pct"/>
            <w:gridSpan w:val="3"/>
            <w:tcBorders>
              <w:bottom w:val="single" w:sz="4" w:space="0" w:color="auto"/>
            </w:tcBorders>
            <w:vAlign w:val="center"/>
          </w:tcPr>
          <w:p w14:paraId="16DA06D9" w14:textId="16075DEE" w:rsidR="008E12CD" w:rsidRPr="008A3BDF" w:rsidRDefault="004800E7" w:rsidP="00EC58C1">
            <w:pPr>
              <w:pStyle w:val="In-tableHeading"/>
              <w:jc w:val="center"/>
              <w:rPr>
                <w:lang w:val="en-AU"/>
              </w:rPr>
            </w:pPr>
            <w:r>
              <w:rPr>
                <w:lang w:val="en-AU"/>
              </w:rPr>
              <w:t>Pre-PBAC response</w:t>
            </w:r>
          </w:p>
        </w:tc>
      </w:tr>
      <w:tr w:rsidR="008E12CD" w:rsidRPr="008A3BDF" w14:paraId="2FDAEA5B" w14:textId="77777777" w:rsidTr="008E12CD">
        <w:trPr>
          <w:tblHeader/>
        </w:trPr>
        <w:tc>
          <w:tcPr>
            <w:tcW w:w="2132" w:type="pct"/>
            <w:tcBorders>
              <w:bottom w:val="single" w:sz="4" w:space="0" w:color="auto"/>
            </w:tcBorders>
            <w:vAlign w:val="center"/>
          </w:tcPr>
          <w:p w14:paraId="12365917" w14:textId="77777777" w:rsidR="008E12CD" w:rsidRPr="008A3BDF" w:rsidRDefault="008E12CD" w:rsidP="00EC58C1">
            <w:pPr>
              <w:pStyle w:val="In-tableHeading"/>
              <w:rPr>
                <w:lang w:val="en-AU"/>
              </w:rPr>
            </w:pPr>
          </w:p>
        </w:tc>
        <w:tc>
          <w:tcPr>
            <w:tcW w:w="959" w:type="pct"/>
            <w:tcBorders>
              <w:bottom w:val="single" w:sz="4" w:space="0" w:color="auto"/>
            </w:tcBorders>
            <w:vAlign w:val="center"/>
          </w:tcPr>
          <w:p w14:paraId="1E0C331C" w14:textId="77777777" w:rsidR="008E12CD" w:rsidRPr="008A3BDF" w:rsidRDefault="008E12CD" w:rsidP="00EC58C1">
            <w:pPr>
              <w:pStyle w:val="In-tableHeading"/>
              <w:jc w:val="center"/>
              <w:rPr>
                <w:lang w:val="en-AU"/>
              </w:rPr>
            </w:pPr>
            <w:r w:rsidRPr="008A3BDF">
              <w:rPr>
                <w:lang w:val="en-AU"/>
              </w:rPr>
              <w:t>ABE + ET</w:t>
            </w:r>
          </w:p>
        </w:tc>
        <w:tc>
          <w:tcPr>
            <w:tcW w:w="959" w:type="pct"/>
            <w:tcBorders>
              <w:bottom w:val="single" w:sz="4" w:space="0" w:color="auto"/>
            </w:tcBorders>
            <w:vAlign w:val="center"/>
          </w:tcPr>
          <w:p w14:paraId="551172B7" w14:textId="77777777" w:rsidR="008E12CD" w:rsidRPr="008A3BDF" w:rsidRDefault="008E12CD" w:rsidP="00EC58C1">
            <w:pPr>
              <w:pStyle w:val="In-tableHeading"/>
              <w:jc w:val="center"/>
              <w:rPr>
                <w:lang w:val="en-AU"/>
              </w:rPr>
            </w:pPr>
            <w:r w:rsidRPr="008A3BDF">
              <w:rPr>
                <w:lang w:val="en-AU"/>
              </w:rPr>
              <w:t>ET</w:t>
            </w:r>
          </w:p>
        </w:tc>
        <w:tc>
          <w:tcPr>
            <w:tcW w:w="951" w:type="pct"/>
            <w:tcBorders>
              <w:bottom w:val="single" w:sz="4" w:space="0" w:color="auto"/>
            </w:tcBorders>
            <w:vAlign w:val="center"/>
          </w:tcPr>
          <w:p w14:paraId="196AC381" w14:textId="77777777" w:rsidR="008E12CD" w:rsidRPr="008A3BDF" w:rsidRDefault="008E12CD" w:rsidP="00EC58C1">
            <w:pPr>
              <w:pStyle w:val="In-tableHeading"/>
              <w:jc w:val="center"/>
              <w:rPr>
                <w:lang w:val="en-AU"/>
              </w:rPr>
            </w:pPr>
            <w:r w:rsidRPr="008A3BDF">
              <w:rPr>
                <w:lang w:val="en-AU"/>
              </w:rPr>
              <w:t>Increment</w:t>
            </w:r>
          </w:p>
        </w:tc>
      </w:tr>
      <w:tr w:rsidR="008E12CD" w:rsidRPr="008A3BDF" w14:paraId="5EB9966B" w14:textId="77777777" w:rsidTr="008E12CD">
        <w:tc>
          <w:tcPr>
            <w:tcW w:w="2132" w:type="pct"/>
            <w:tcBorders>
              <w:bottom w:val="nil"/>
            </w:tcBorders>
            <w:vAlign w:val="center"/>
          </w:tcPr>
          <w:p w14:paraId="7C5D6B43" w14:textId="77777777" w:rsidR="008E12CD" w:rsidRPr="008A3BDF" w:rsidRDefault="008E12CD" w:rsidP="00EC58C1">
            <w:pPr>
              <w:pStyle w:val="TableText0"/>
              <w:rPr>
                <w:rFonts w:ascii="Times" w:hAnsi="Times"/>
              </w:rPr>
            </w:pPr>
            <w:r w:rsidRPr="008A3BDF">
              <w:t>Costs</w:t>
            </w:r>
          </w:p>
        </w:tc>
        <w:tc>
          <w:tcPr>
            <w:tcW w:w="959" w:type="pct"/>
            <w:tcBorders>
              <w:bottom w:val="nil"/>
            </w:tcBorders>
            <w:vAlign w:val="center"/>
          </w:tcPr>
          <w:p w14:paraId="5DDB07CB" w14:textId="7FF51865" w:rsidR="008E12CD" w:rsidRPr="004800E7" w:rsidRDefault="004800E7" w:rsidP="00EC58C1">
            <w:pPr>
              <w:pStyle w:val="TableText0"/>
              <w:jc w:val="center"/>
              <w:rPr>
                <w:bCs w:val="0"/>
                <w:iCs/>
              </w:rPr>
            </w:pPr>
            <w:r w:rsidRPr="004800E7">
              <w:rPr>
                <w:bCs w:val="0"/>
                <w:iCs/>
              </w:rPr>
              <w:t>$</w:t>
            </w:r>
            <w:r w:rsidR="0013119A" w:rsidRPr="0013119A">
              <w:rPr>
                <w:bCs w:val="0"/>
                <w:iCs/>
                <w:color w:val="000000"/>
                <w:shd w:val="solid" w:color="000000" w:fill="000000"/>
                <w14:textFill>
                  <w14:solidFill>
                    <w14:srgbClr w14:val="000000">
                      <w14:alpha w14:val="100000"/>
                    </w14:srgbClr>
                  </w14:solidFill>
                </w14:textFill>
              </w:rPr>
              <w:t>|</w:t>
            </w:r>
            <w:r w:rsidR="008759DD" w:rsidRPr="008759DD">
              <w:rPr>
                <w:bCs w:val="0"/>
                <w:iCs/>
              </w:rPr>
              <w:t xml:space="preserve"> </w:t>
            </w:r>
          </w:p>
        </w:tc>
        <w:tc>
          <w:tcPr>
            <w:tcW w:w="959" w:type="pct"/>
            <w:tcBorders>
              <w:bottom w:val="nil"/>
            </w:tcBorders>
            <w:vAlign w:val="center"/>
          </w:tcPr>
          <w:p w14:paraId="36C6DE73" w14:textId="381F7601" w:rsidR="008E12CD" w:rsidRPr="004800E7" w:rsidRDefault="004800E7" w:rsidP="00EC58C1">
            <w:pPr>
              <w:pStyle w:val="TableText0"/>
              <w:jc w:val="center"/>
              <w:rPr>
                <w:bCs w:val="0"/>
                <w:iCs/>
              </w:rPr>
            </w:pPr>
            <w:r w:rsidRPr="00EC58C1">
              <w:rPr>
                <w:bCs w:val="0"/>
                <w:iCs/>
              </w:rPr>
              <w:t>$42,482</w:t>
            </w:r>
          </w:p>
        </w:tc>
        <w:tc>
          <w:tcPr>
            <w:tcW w:w="951" w:type="pct"/>
            <w:tcBorders>
              <w:bottom w:val="nil"/>
            </w:tcBorders>
            <w:vAlign w:val="center"/>
          </w:tcPr>
          <w:p w14:paraId="0650A43E" w14:textId="4C1427C3" w:rsidR="008E12CD" w:rsidRPr="004800E7" w:rsidRDefault="004800E7" w:rsidP="00EC58C1">
            <w:pPr>
              <w:pStyle w:val="TableText0"/>
              <w:jc w:val="center"/>
              <w:rPr>
                <w:bCs w:val="0"/>
                <w:iCs/>
              </w:rPr>
            </w:pPr>
            <w:r w:rsidRPr="004800E7">
              <w:rPr>
                <w:bCs w:val="0"/>
                <w:iCs/>
              </w:rPr>
              <w:t>$</w:t>
            </w:r>
            <w:r w:rsidR="0013119A" w:rsidRPr="0013119A">
              <w:rPr>
                <w:bCs w:val="0"/>
                <w:iCs/>
                <w:color w:val="000000"/>
                <w:shd w:val="solid" w:color="000000" w:fill="000000"/>
                <w14:textFill>
                  <w14:solidFill>
                    <w14:srgbClr w14:val="000000">
                      <w14:alpha w14:val="100000"/>
                    </w14:srgbClr>
                  </w14:solidFill>
                </w14:textFill>
              </w:rPr>
              <w:t>|</w:t>
            </w:r>
            <w:r w:rsidR="008759DD" w:rsidRPr="008759DD">
              <w:rPr>
                <w:bCs w:val="0"/>
                <w:iCs/>
              </w:rPr>
              <w:t xml:space="preserve"> </w:t>
            </w:r>
          </w:p>
        </w:tc>
      </w:tr>
      <w:tr w:rsidR="008E12CD" w:rsidRPr="008A3BDF" w14:paraId="73588C7E" w14:textId="77777777" w:rsidTr="008E12CD">
        <w:tc>
          <w:tcPr>
            <w:tcW w:w="2132" w:type="pct"/>
            <w:tcBorders>
              <w:bottom w:val="single" w:sz="4" w:space="0" w:color="auto"/>
            </w:tcBorders>
            <w:vAlign w:val="center"/>
          </w:tcPr>
          <w:p w14:paraId="10CC740B" w14:textId="77777777" w:rsidR="008E12CD" w:rsidRPr="008A3BDF" w:rsidRDefault="008E12CD" w:rsidP="00EC58C1">
            <w:pPr>
              <w:pStyle w:val="TableText0"/>
            </w:pPr>
            <w:r w:rsidRPr="008A3BDF">
              <w:t>QALYs</w:t>
            </w:r>
          </w:p>
        </w:tc>
        <w:tc>
          <w:tcPr>
            <w:tcW w:w="959" w:type="pct"/>
            <w:tcBorders>
              <w:bottom w:val="single" w:sz="4" w:space="0" w:color="auto"/>
            </w:tcBorders>
            <w:vAlign w:val="center"/>
          </w:tcPr>
          <w:p w14:paraId="41F18A7C" w14:textId="7B2BFA67" w:rsidR="008E12CD" w:rsidRPr="004800E7" w:rsidRDefault="004800E7" w:rsidP="00EC58C1">
            <w:pPr>
              <w:pStyle w:val="TableText0"/>
              <w:jc w:val="center"/>
              <w:rPr>
                <w:bCs w:val="0"/>
                <w:iCs/>
              </w:rPr>
            </w:pPr>
            <w:r w:rsidRPr="004800E7">
              <w:rPr>
                <w:bCs w:val="0"/>
                <w:iCs/>
              </w:rPr>
              <w:t>9.317</w:t>
            </w:r>
          </w:p>
        </w:tc>
        <w:tc>
          <w:tcPr>
            <w:tcW w:w="959" w:type="pct"/>
            <w:tcBorders>
              <w:bottom w:val="single" w:sz="4" w:space="0" w:color="auto"/>
            </w:tcBorders>
            <w:vAlign w:val="center"/>
          </w:tcPr>
          <w:p w14:paraId="6A5A935B" w14:textId="6B27D390" w:rsidR="008E12CD" w:rsidRPr="004800E7" w:rsidRDefault="004800E7" w:rsidP="00EC58C1">
            <w:pPr>
              <w:pStyle w:val="TableText0"/>
              <w:jc w:val="center"/>
              <w:rPr>
                <w:bCs w:val="0"/>
                <w:iCs/>
              </w:rPr>
            </w:pPr>
            <w:r w:rsidRPr="004800E7">
              <w:rPr>
                <w:bCs w:val="0"/>
                <w:iCs/>
              </w:rPr>
              <w:t>8.881</w:t>
            </w:r>
          </w:p>
        </w:tc>
        <w:tc>
          <w:tcPr>
            <w:tcW w:w="951" w:type="pct"/>
            <w:tcBorders>
              <w:bottom w:val="single" w:sz="4" w:space="0" w:color="auto"/>
            </w:tcBorders>
            <w:vAlign w:val="center"/>
          </w:tcPr>
          <w:p w14:paraId="2FD401DF" w14:textId="53D28E23" w:rsidR="008E12CD" w:rsidRPr="004800E7" w:rsidRDefault="004800E7" w:rsidP="00EC58C1">
            <w:pPr>
              <w:pStyle w:val="TableText0"/>
              <w:jc w:val="center"/>
              <w:rPr>
                <w:bCs w:val="0"/>
                <w:iCs/>
              </w:rPr>
            </w:pPr>
            <w:r w:rsidRPr="004800E7">
              <w:rPr>
                <w:bCs w:val="0"/>
                <w:iCs/>
              </w:rPr>
              <w:t>0.436</w:t>
            </w:r>
          </w:p>
        </w:tc>
      </w:tr>
      <w:tr w:rsidR="008E12CD" w:rsidRPr="008A3BDF" w14:paraId="391A7A1D" w14:textId="77777777" w:rsidTr="008E12CD">
        <w:tc>
          <w:tcPr>
            <w:tcW w:w="2132" w:type="pct"/>
            <w:tcBorders>
              <w:bottom w:val="single" w:sz="4" w:space="0" w:color="auto"/>
              <w:right w:val="nil"/>
            </w:tcBorders>
            <w:vAlign w:val="center"/>
          </w:tcPr>
          <w:p w14:paraId="2712BEBA" w14:textId="77777777" w:rsidR="008E12CD" w:rsidRPr="008A3BDF" w:rsidRDefault="008E12CD" w:rsidP="00EC58C1">
            <w:pPr>
              <w:pStyle w:val="TableText0"/>
              <w:rPr>
                <w:rFonts w:ascii="Times" w:hAnsi="Times"/>
                <w:b/>
              </w:rPr>
            </w:pPr>
            <w:r w:rsidRPr="008A3BDF">
              <w:rPr>
                <w:b/>
              </w:rPr>
              <w:t>Incremental cost per additional QALY gained</w:t>
            </w:r>
          </w:p>
        </w:tc>
        <w:tc>
          <w:tcPr>
            <w:tcW w:w="959" w:type="pct"/>
            <w:tcBorders>
              <w:left w:val="single" w:sz="4" w:space="0" w:color="auto"/>
              <w:bottom w:val="single" w:sz="4" w:space="0" w:color="auto"/>
              <w:right w:val="nil"/>
            </w:tcBorders>
            <w:vAlign w:val="center"/>
          </w:tcPr>
          <w:p w14:paraId="1A45CD67" w14:textId="77777777" w:rsidR="008E12CD" w:rsidRPr="004800E7" w:rsidRDefault="008E12CD" w:rsidP="00EC58C1">
            <w:pPr>
              <w:pStyle w:val="TableText0"/>
              <w:jc w:val="center"/>
              <w:rPr>
                <w:bCs w:val="0"/>
                <w:iCs/>
              </w:rPr>
            </w:pPr>
          </w:p>
        </w:tc>
        <w:tc>
          <w:tcPr>
            <w:tcW w:w="959" w:type="pct"/>
            <w:tcBorders>
              <w:left w:val="nil"/>
              <w:bottom w:val="single" w:sz="4" w:space="0" w:color="auto"/>
            </w:tcBorders>
            <w:vAlign w:val="center"/>
          </w:tcPr>
          <w:p w14:paraId="02E5B7B2" w14:textId="77777777" w:rsidR="008E12CD" w:rsidRPr="004800E7" w:rsidRDefault="008E12CD" w:rsidP="00EC58C1">
            <w:pPr>
              <w:pStyle w:val="TableText0"/>
              <w:jc w:val="center"/>
              <w:rPr>
                <w:bCs w:val="0"/>
                <w:iCs/>
              </w:rPr>
            </w:pPr>
          </w:p>
        </w:tc>
        <w:tc>
          <w:tcPr>
            <w:tcW w:w="951" w:type="pct"/>
            <w:tcBorders>
              <w:bottom w:val="single" w:sz="4" w:space="0" w:color="auto"/>
            </w:tcBorders>
            <w:vAlign w:val="center"/>
          </w:tcPr>
          <w:p w14:paraId="41C4E1E2" w14:textId="0BAE4ACA" w:rsidR="008E12CD" w:rsidRPr="004800E7" w:rsidRDefault="004800E7" w:rsidP="00EC58C1">
            <w:pPr>
              <w:pStyle w:val="TableText0"/>
              <w:jc w:val="center"/>
              <w:rPr>
                <w:bCs w:val="0"/>
                <w:iCs/>
              </w:rPr>
            </w:pPr>
            <w:r w:rsidRPr="004800E7">
              <w:rPr>
                <w:bCs w:val="0"/>
                <w:iCs/>
              </w:rPr>
              <w:t>$</w:t>
            </w:r>
            <w:r w:rsidR="0013119A" w:rsidRPr="0013119A">
              <w:rPr>
                <w:bCs w:val="0"/>
                <w:iCs/>
                <w:color w:val="000000"/>
                <w:shd w:val="solid" w:color="000000" w:fill="000000"/>
                <w14:textFill>
                  <w14:solidFill>
                    <w14:srgbClr w14:val="000000">
                      <w14:alpha w14:val="100000"/>
                    </w14:srgbClr>
                  </w14:solidFill>
                </w14:textFill>
              </w:rPr>
              <w:t>|</w:t>
            </w:r>
            <w:r w:rsidR="008759DD" w:rsidRPr="008759DD">
              <w:rPr>
                <w:bCs w:val="0"/>
                <w:iCs/>
              </w:rPr>
              <w:t xml:space="preserve"> </w:t>
            </w:r>
            <w:r w:rsidR="008620A9" w:rsidRPr="008620A9">
              <w:rPr>
                <w:bCs w:val="0"/>
                <w:iCs/>
                <w:vertAlign w:val="superscript"/>
              </w:rPr>
              <w:t>1</w:t>
            </w:r>
          </w:p>
        </w:tc>
      </w:tr>
    </w:tbl>
    <w:p w14:paraId="5E5D62F1" w14:textId="60B58834" w:rsidR="008E12CD" w:rsidRDefault="008E12CD" w:rsidP="00EC58C1">
      <w:pPr>
        <w:pStyle w:val="TableFigureFooter"/>
        <w:keepNext/>
      </w:pPr>
      <w:r w:rsidRPr="008A3BDF">
        <w:t>ABE = abemaciclib;</w:t>
      </w:r>
      <w:r>
        <w:t xml:space="preserve"> ET = endocrine therapy; </w:t>
      </w:r>
      <w:r w:rsidRPr="008A3BDF">
        <w:t>QALY = quality-adjusted life year.</w:t>
      </w:r>
    </w:p>
    <w:p w14:paraId="2F37254F" w14:textId="522B840B" w:rsidR="00550247" w:rsidRDefault="00550247" w:rsidP="00EC58C1">
      <w:pPr>
        <w:pStyle w:val="TableFigureFooter"/>
        <w:keepNext/>
        <w:spacing w:after="0"/>
      </w:pPr>
      <w:r>
        <w:t>Note: As the revised economic model was provided subsequent to the time of evaluation, the revisions to the model provided in the pre-PBAC response could not be validate</w:t>
      </w:r>
      <w:r w:rsidR="00985677">
        <w:t>d.</w:t>
      </w:r>
    </w:p>
    <w:p w14:paraId="3A1725D1" w14:textId="77777777" w:rsidR="008620A9" w:rsidRDefault="008620A9" w:rsidP="00EC58C1">
      <w:pPr>
        <w:keepNext/>
        <w:rPr>
          <w:rFonts w:ascii="Arial Narrow" w:hAnsi="Arial Narrow"/>
          <w:i/>
          <w:sz w:val="18"/>
          <w:szCs w:val="18"/>
        </w:rPr>
      </w:pPr>
      <w:r>
        <w:rPr>
          <w:rFonts w:ascii="Arial Narrow" w:hAnsi="Arial Narrow"/>
          <w:i/>
          <w:sz w:val="18"/>
          <w:szCs w:val="18"/>
        </w:rPr>
        <w:t xml:space="preserve">The redacted values correspond to the following ranges: </w:t>
      </w:r>
    </w:p>
    <w:p w14:paraId="6A75890A" w14:textId="4587A3DB" w:rsidR="008620A9" w:rsidRPr="008620A9" w:rsidRDefault="008620A9" w:rsidP="008620A9">
      <w:pPr>
        <w:spacing w:after="120"/>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8620A9">
        <w:rPr>
          <w:rFonts w:ascii="Arial Narrow" w:hAnsi="Arial Narrow"/>
          <w:i/>
          <w:sz w:val="18"/>
          <w:szCs w:val="18"/>
        </w:rPr>
        <w:t>$25,000 to &lt; $35,000</w:t>
      </w:r>
    </w:p>
    <w:p w14:paraId="22CCC1ED" w14:textId="4E74A0EA" w:rsidR="00344F90" w:rsidRDefault="00344F90" w:rsidP="00EF4D6E">
      <w:pPr>
        <w:pStyle w:val="3-BodyText"/>
      </w:pPr>
      <w:r>
        <w:t xml:space="preserve">The PBAC noted that with the updated economic model provided by the sponsor in the pre-PBAC response the revised base case, as proposed by ESC, resulted in an ICER of </w:t>
      </w:r>
      <w:r w:rsidR="00EF4D6E" w:rsidRPr="00EF4D6E">
        <w:t>$75,000 to &lt; $95,000</w:t>
      </w:r>
      <w:r>
        <w:t xml:space="preserve">. </w:t>
      </w:r>
    </w:p>
    <w:p w14:paraId="2BEB2CAA" w14:textId="3A69EDFA" w:rsidR="00DC40F5" w:rsidRDefault="00DC40F5" w:rsidP="00062CD0">
      <w:pPr>
        <w:pStyle w:val="4-SubsectionHeading"/>
      </w:pPr>
      <w:r>
        <w:t xml:space="preserve">Abemaciclib </w:t>
      </w:r>
      <w:r w:rsidRPr="002C2775">
        <w:t>cost/patient/course</w:t>
      </w:r>
      <w:bookmarkStart w:id="61" w:name="_Ref104805102"/>
      <w:bookmarkEnd w:id="56"/>
      <w:bookmarkEnd w:id="57"/>
      <w:bookmarkEnd w:id="58"/>
    </w:p>
    <w:p w14:paraId="670EBA97" w14:textId="3EA50FC9" w:rsidR="00062CD0" w:rsidRPr="00062CD0" w:rsidRDefault="00062CD0" w:rsidP="00062CD0">
      <w:pPr>
        <w:pStyle w:val="3-BodyText"/>
      </w:pPr>
      <w:r>
        <w:t xml:space="preserve">The per patient cost of abemaciclib + ET and ET alone used in the monarchE trial, the economic model, and the financial analysis, are presented in </w:t>
      </w:r>
      <w:r>
        <w:fldChar w:fldCharType="begin"/>
      </w:r>
      <w:r>
        <w:instrText xml:space="preserve"> REF _Ref124182839 \h </w:instrText>
      </w:r>
      <w:r>
        <w:fldChar w:fldCharType="separate"/>
      </w:r>
      <w:r w:rsidR="0001201E">
        <w:t xml:space="preserve">Table </w:t>
      </w:r>
      <w:r w:rsidR="0001201E">
        <w:rPr>
          <w:noProof/>
        </w:rPr>
        <w:t>18</w:t>
      </w:r>
      <w:r>
        <w:fldChar w:fldCharType="end"/>
      </w:r>
      <w:r>
        <w:t>.</w:t>
      </w:r>
      <w:r w:rsidR="003F1E80">
        <w:t xml:space="preserve"> </w:t>
      </w:r>
      <w:r w:rsidR="003F1E80" w:rsidRPr="00FA0201">
        <w:rPr>
          <w:iCs/>
        </w:rPr>
        <w:t xml:space="preserve">The ESC noted the </w:t>
      </w:r>
      <w:r w:rsidR="00CE5639" w:rsidRPr="00FA0201">
        <w:rPr>
          <w:iCs/>
        </w:rPr>
        <w:t>cost/patient/course was substantially higher in the financial estimates compared with the economic model due to the assumed longer treatment duration. The ESC considered the treatment duration assumed for the financial estimates to be overestimated</w:t>
      </w:r>
      <w:r w:rsidR="00AF49AA" w:rsidRPr="00FA0201">
        <w:rPr>
          <w:iCs/>
        </w:rPr>
        <w:t xml:space="preserve"> (see paragraph </w:t>
      </w:r>
      <w:r w:rsidR="00AF49AA" w:rsidRPr="00FA0201">
        <w:rPr>
          <w:iCs/>
        </w:rPr>
        <w:fldChar w:fldCharType="begin"/>
      </w:r>
      <w:r w:rsidR="00AF49AA" w:rsidRPr="00FA0201">
        <w:rPr>
          <w:iCs/>
        </w:rPr>
        <w:instrText xml:space="preserve"> REF _Ref127777052 \r \h </w:instrText>
      </w:r>
      <w:r w:rsidR="00AF49AA" w:rsidRPr="00FA0201">
        <w:rPr>
          <w:iCs/>
        </w:rPr>
      </w:r>
      <w:r w:rsidR="00AF49AA" w:rsidRPr="00FA0201">
        <w:rPr>
          <w:iCs/>
        </w:rPr>
        <w:fldChar w:fldCharType="separate"/>
      </w:r>
      <w:r w:rsidR="0001201E">
        <w:rPr>
          <w:iCs/>
        </w:rPr>
        <w:t>6.59</w:t>
      </w:r>
      <w:r w:rsidR="00AF49AA" w:rsidRPr="00FA0201">
        <w:rPr>
          <w:iCs/>
        </w:rPr>
        <w:fldChar w:fldCharType="end"/>
      </w:r>
      <w:r w:rsidR="00AF49AA" w:rsidRPr="00FA0201">
        <w:rPr>
          <w:iCs/>
        </w:rPr>
        <w:t>)</w:t>
      </w:r>
      <w:r w:rsidR="00CE5639" w:rsidRPr="00FA0201">
        <w:rPr>
          <w:iCs/>
        </w:rPr>
        <w:t>.</w:t>
      </w:r>
    </w:p>
    <w:p w14:paraId="5259FEB9" w14:textId="59C32A64" w:rsidR="00330C76" w:rsidRPr="00BB732D" w:rsidRDefault="00330C76" w:rsidP="00330C76">
      <w:pPr>
        <w:pStyle w:val="Caption"/>
        <w:rPr>
          <w:rStyle w:val="CommentReference"/>
          <w:b/>
          <w:szCs w:val="24"/>
        </w:rPr>
      </w:pPr>
      <w:bookmarkStart w:id="62" w:name="_Ref124182839"/>
      <w:bookmarkStart w:id="63" w:name="_Ref124182835"/>
      <w:bookmarkEnd w:id="61"/>
      <w:r>
        <w:t xml:space="preserve">Table </w:t>
      </w:r>
      <w:fldSimple w:instr=" SEQ Table \* ARABIC ">
        <w:r w:rsidR="0001201E">
          <w:rPr>
            <w:noProof/>
          </w:rPr>
          <w:t>18</w:t>
        </w:r>
      </w:fldSimple>
      <w:bookmarkEnd w:id="62"/>
      <w:r>
        <w:t>:</w:t>
      </w:r>
      <w:r w:rsidRPr="00BB732D">
        <w:rPr>
          <w:rStyle w:val="CommentReference"/>
          <w:b/>
          <w:szCs w:val="24"/>
        </w:rPr>
        <w:t xml:space="preserve"> Drug cost per patient for </w:t>
      </w:r>
      <w:r>
        <w:rPr>
          <w:rStyle w:val="CommentReference"/>
          <w:b/>
          <w:szCs w:val="24"/>
        </w:rPr>
        <w:t xml:space="preserve">ABE + ET </w:t>
      </w:r>
      <w:r w:rsidRPr="00BB732D">
        <w:rPr>
          <w:rStyle w:val="CommentReference"/>
          <w:b/>
          <w:szCs w:val="24"/>
        </w:rPr>
        <w:t xml:space="preserve">and </w:t>
      </w:r>
      <w:r>
        <w:rPr>
          <w:rStyle w:val="CommentReference"/>
          <w:b/>
          <w:szCs w:val="24"/>
        </w:rPr>
        <w:t>E</w:t>
      </w:r>
      <w:r w:rsidR="00356FC8">
        <w:rPr>
          <w:rStyle w:val="CommentReference"/>
          <w:b/>
          <w:szCs w:val="24"/>
        </w:rPr>
        <w:t>T</w:t>
      </w:r>
      <w:r>
        <w:rPr>
          <w:rStyle w:val="CommentReference"/>
          <w:b/>
          <w:szCs w:val="24"/>
        </w:rPr>
        <w:t xml:space="preserve"> alone</w:t>
      </w:r>
      <w:bookmarkEnd w:id="63"/>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8"/>
        <w:gridCol w:w="1275"/>
        <w:gridCol w:w="1560"/>
        <w:gridCol w:w="1273"/>
        <w:gridCol w:w="995"/>
        <w:gridCol w:w="1059"/>
        <w:gridCol w:w="1257"/>
      </w:tblGrid>
      <w:tr w:rsidR="00330C76" w:rsidRPr="00E2771E" w14:paraId="0BA4622C" w14:textId="77777777" w:rsidTr="00062CD0">
        <w:trPr>
          <w:cantSplit/>
          <w:tblHeader/>
          <w:jc w:val="center"/>
        </w:trPr>
        <w:tc>
          <w:tcPr>
            <w:tcW w:w="868" w:type="pct"/>
            <w:shd w:val="clear" w:color="auto" w:fill="auto"/>
            <w:vAlign w:val="center"/>
          </w:tcPr>
          <w:p w14:paraId="618DE110" w14:textId="77777777" w:rsidR="00330C76" w:rsidRPr="00E2771E" w:rsidRDefault="00330C76" w:rsidP="00F111F2">
            <w:pPr>
              <w:pStyle w:val="In-tableHeading"/>
              <w:jc w:val="center"/>
            </w:pPr>
          </w:p>
        </w:tc>
        <w:tc>
          <w:tcPr>
            <w:tcW w:w="710" w:type="pct"/>
            <w:shd w:val="clear" w:color="auto" w:fill="auto"/>
          </w:tcPr>
          <w:p w14:paraId="1B000532" w14:textId="77777777" w:rsidR="00330C76" w:rsidRDefault="00330C76" w:rsidP="00F111F2">
            <w:pPr>
              <w:pStyle w:val="In-tableHeading"/>
              <w:jc w:val="center"/>
            </w:pPr>
            <w:r w:rsidRPr="00955446">
              <w:t>ABE + ET</w:t>
            </w:r>
          </w:p>
          <w:p w14:paraId="6AD41598" w14:textId="77777777" w:rsidR="00330C76" w:rsidRPr="00F65EAA" w:rsidRDefault="00330C76" w:rsidP="00F111F2">
            <w:pPr>
              <w:pStyle w:val="In-tableHeading"/>
              <w:jc w:val="center"/>
            </w:pPr>
            <w:r>
              <w:t>monarchE</w:t>
            </w:r>
          </w:p>
        </w:tc>
        <w:tc>
          <w:tcPr>
            <w:tcW w:w="869" w:type="pct"/>
            <w:shd w:val="clear" w:color="auto" w:fill="auto"/>
          </w:tcPr>
          <w:p w14:paraId="654D5E87" w14:textId="77777777" w:rsidR="00330C76" w:rsidRDefault="00330C76" w:rsidP="00F111F2">
            <w:pPr>
              <w:pStyle w:val="In-tableHeading"/>
              <w:jc w:val="center"/>
            </w:pPr>
            <w:r w:rsidRPr="00955446">
              <w:t>ABE + ET</w:t>
            </w:r>
            <w:r>
              <w:t xml:space="preserve"> </w:t>
            </w:r>
          </w:p>
          <w:p w14:paraId="64305A0D" w14:textId="77777777" w:rsidR="00330C76" w:rsidRPr="00E2771E" w:rsidRDefault="00330C76" w:rsidP="00F111F2">
            <w:pPr>
              <w:pStyle w:val="In-tableHeading"/>
              <w:jc w:val="center"/>
            </w:pPr>
            <w:r>
              <w:t>Model</w:t>
            </w:r>
          </w:p>
        </w:tc>
        <w:tc>
          <w:tcPr>
            <w:tcW w:w="709" w:type="pct"/>
            <w:shd w:val="clear" w:color="auto" w:fill="auto"/>
          </w:tcPr>
          <w:p w14:paraId="2DFB8BFA" w14:textId="77777777" w:rsidR="00330C76" w:rsidRDefault="00330C76" w:rsidP="00F111F2">
            <w:pPr>
              <w:pStyle w:val="In-tableHeading"/>
              <w:jc w:val="center"/>
            </w:pPr>
            <w:r w:rsidRPr="00955446">
              <w:t>ABE + ET</w:t>
            </w:r>
          </w:p>
          <w:p w14:paraId="2635B4D6" w14:textId="77777777" w:rsidR="00330C76" w:rsidRPr="00E2771E" w:rsidRDefault="00330C76" w:rsidP="00F111F2">
            <w:pPr>
              <w:pStyle w:val="In-tableHeading"/>
              <w:jc w:val="center"/>
            </w:pPr>
            <w:r>
              <w:t>Financial estimates</w:t>
            </w:r>
          </w:p>
        </w:tc>
        <w:tc>
          <w:tcPr>
            <w:tcW w:w="554" w:type="pct"/>
            <w:shd w:val="clear" w:color="auto" w:fill="auto"/>
          </w:tcPr>
          <w:p w14:paraId="7567465D" w14:textId="77777777" w:rsidR="00330C76" w:rsidRDefault="00330C76" w:rsidP="00F111F2">
            <w:pPr>
              <w:pStyle w:val="In-tableHeading"/>
              <w:jc w:val="center"/>
            </w:pPr>
            <w:r w:rsidRPr="00955446">
              <w:t>ET</w:t>
            </w:r>
          </w:p>
          <w:p w14:paraId="160348B6" w14:textId="77777777" w:rsidR="00330C76" w:rsidRPr="00E2771E" w:rsidRDefault="00330C76" w:rsidP="00F111F2">
            <w:pPr>
              <w:pStyle w:val="In-tableHeading"/>
              <w:jc w:val="center"/>
            </w:pPr>
            <w:r>
              <w:t>monarchE</w:t>
            </w:r>
          </w:p>
        </w:tc>
        <w:tc>
          <w:tcPr>
            <w:tcW w:w="590" w:type="pct"/>
            <w:shd w:val="clear" w:color="auto" w:fill="auto"/>
          </w:tcPr>
          <w:p w14:paraId="17092963" w14:textId="77777777" w:rsidR="00330C76" w:rsidRDefault="00330C76" w:rsidP="00F111F2">
            <w:pPr>
              <w:pStyle w:val="In-tableHeading"/>
              <w:jc w:val="center"/>
            </w:pPr>
            <w:r w:rsidRPr="00955446">
              <w:t>ET</w:t>
            </w:r>
            <w:r>
              <w:t xml:space="preserve"> </w:t>
            </w:r>
          </w:p>
          <w:p w14:paraId="55858871" w14:textId="77777777" w:rsidR="00330C76" w:rsidRPr="00E2771E" w:rsidRDefault="00330C76" w:rsidP="00F111F2">
            <w:pPr>
              <w:pStyle w:val="In-tableHeading"/>
              <w:jc w:val="center"/>
            </w:pPr>
            <w:r>
              <w:t>Model</w:t>
            </w:r>
          </w:p>
        </w:tc>
        <w:tc>
          <w:tcPr>
            <w:tcW w:w="701" w:type="pct"/>
          </w:tcPr>
          <w:p w14:paraId="7ED029D8" w14:textId="77777777" w:rsidR="00330C76" w:rsidRDefault="00330C76" w:rsidP="00F111F2">
            <w:pPr>
              <w:pStyle w:val="In-tableHeading"/>
              <w:jc w:val="center"/>
            </w:pPr>
            <w:r w:rsidRPr="00955446">
              <w:t>ET</w:t>
            </w:r>
          </w:p>
          <w:p w14:paraId="12E238A9" w14:textId="77777777" w:rsidR="00330C76" w:rsidRDefault="00330C76" w:rsidP="00F111F2">
            <w:pPr>
              <w:pStyle w:val="In-tableHeading"/>
              <w:jc w:val="center"/>
            </w:pPr>
            <w:r>
              <w:t>Financial estimates</w:t>
            </w:r>
          </w:p>
        </w:tc>
      </w:tr>
      <w:tr w:rsidR="00062CD0" w:rsidRPr="00E2771E" w14:paraId="01B49EC3" w14:textId="77777777" w:rsidTr="00062CD0">
        <w:trPr>
          <w:cantSplit/>
          <w:jc w:val="center"/>
        </w:trPr>
        <w:tc>
          <w:tcPr>
            <w:tcW w:w="868" w:type="pct"/>
            <w:shd w:val="clear" w:color="auto" w:fill="auto"/>
            <w:vAlign w:val="center"/>
          </w:tcPr>
          <w:p w14:paraId="3C56DCFE" w14:textId="77777777" w:rsidR="00062CD0" w:rsidRDefault="00062CD0" w:rsidP="00062CD0">
            <w:pPr>
              <w:pStyle w:val="TableText0"/>
              <w:rPr>
                <w:lang w:val="en-US"/>
              </w:rPr>
            </w:pPr>
            <w:r w:rsidRPr="001F5BDA">
              <w:rPr>
                <w:lang w:val="en-US"/>
              </w:rPr>
              <w:t>Mean duration</w:t>
            </w:r>
          </w:p>
          <w:p w14:paraId="6B68E027" w14:textId="77777777" w:rsidR="00062CD0" w:rsidRPr="001F5BDA" w:rsidRDefault="00062CD0" w:rsidP="00062CD0">
            <w:pPr>
              <w:pStyle w:val="TableText0"/>
              <w:rPr>
                <w:lang w:val="en-US"/>
              </w:rPr>
            </w:pPr>
            <w:r>
              <w:rPr>
                <w:lang w:val="en-US"/>
              </w:rPr>
              <w:t>(28-day cycles)</w:t>
            </w:r>
          </w:p>
        </w:tc>
        <w:tc>
          <w:tcPr>
            <w:tcW w:w="710" w:type="pct"/>
            <w:shd w:val="clear" w:color="auto" w:fill="auto"/>
            <w:vAlign w:val="center"/>
          </w:tcPr>
          <w:p w14:paraId="316C16E1" w14:textId="77777777" w:rsidR="00062CD0" w:rsidRPr="00E620C0" w:rsidRDefault="00062CD0" w:rsidP="00062CD0">
            <w:pPr>
              <w:pStyle w:val="TableText0"/>
              <w:jc w:val="center"/>
              <w:rPr>
                <w:vertAlign w:val="superscript"/>
                <w:lang w:val="en-US"/>
              </w:rPr>
            </w:pPr>
            <w:r w:rsidRPr="00BC1124">
              <w:rPr>
                <w:lang w:val="en-US"/>
              </w:rPr>
              <w:t>ABE: 20.68</w:t>
            </w:r>
            <w:r>
              <w:rPr>
                <w:vertAlign w:val="superscript"/>
                <w:lang w:val="en-US"/>
              </w:rPr>
              <w:t>a</w:t>
            </w:r>
          </w:p>
          <w:p w14:paraId="1AB67FFF" w14:textId="77777777" w:rsidR="00062CD0" w:rsidRPr="00E620C0" w:rsidRDefault="00062CD0" w:rsidP="00062CD0">
            <w:pPr>
              <w:pStyle w:val="TableText0"/>
              <w:jc w:val="center"/>
              <w:rPr>
                <w:b/>
                <w:vertAlign w:val="superscript"/>
                <w:lang w:val="en-US"/>
              </w:rPr>
            </w:pPr>
            <w:r w:rsidRPr="00BC1124">
              <w:rPr>
                <w:lang w:val="en-US"/>
              </w:rPr>
              <w:t>ET: 22.75</w:t>
            </w:r>
            <w:r>
              <w:rPr>
                <w:vertAlign w:val="superscript"/>
                <w:lang w:val="en-US"/>
              </w:rPr>
              <w:t>b</w:t>
            </w:r>
          </w:p>
        </w:tc>
        <w:tc>
          <w:tcPr>
            <w:tcW w:w="869" w:type="pct"/>
            <w:shd w:val="clear" w:color="auto" w:fill="auto"/>
            <w:vAlign w:val="center"/>
          </w:tcPr>
          <w:p w14:paraId="20E8DC8D" w14:textId="0AD835FA" w:rsidR="00062CD0" w:rsidRPr="00452722" w:rsidRDefault="00062CD0" w:rsidP="00062CD0">
            <w:pPr>
              <w:pStyle w:val="TableText0"/>
              <w:jc w:val="center"/>
              <w:rPr>
                <w:lang w:val="en-US"/>
              </w:rPr>
            </w:pPr>
            <w:r w:rsidRPr="00452722">
              <w:rPr>
                <w:lang w:val="en-US"/>
              </w:rPr>
              <w:t>ABE: 21.1</w:t>
            </w:r>
          </w:p>
          <w:p w14:paraId="66590D56" w14:textId="52DE606B" w:rsidR="00062CD0" w:rsidRPr="00695FD4" w:rsidRDefault="00062CD0" w:rsidP="00062CD0">
            <w:pPr>
              <w:pStyle w:val="TableText0"/>
              <w:jc w:val="center"/>
              <w:rPr>
                <w:b/>
                <w:vertAlign w:val="superscript"/>
                <w:lang w:val="en-US"/>
              </w:rPr>
            </w:pPr>
            <w:r w:rsidRPr="00452722">
              <w:rPr>
                <w:lang w:val="en-US"/>
              </w:rPr>
              <w:t>ET: 28.55</w:t>
            </w:r>
            <w:r w:rsidR="00695FD4">
              <w:rPr>
                <w:vertAlign w:val="superscript"/>
                <w:lang w:val="en-US"/>
              </w:rPr>
              <w:t>c</w:t>
            </w:r>
          </w:p>
        </w:tc>
        <w:tc>
          <w:tcPr>
            <w:tcW w:w="709" w:type="pct"/>
            <w:shd w:val="clear" w:color="auto" w:fill="auto"/>
            <w:vAlign w:val="center"/>
          </w:tcPr>
          <w:p w14:paraId="016182D3" w14:textId="77777777" w:rsidR="00062CD0" w:rsidRDefault="00062CD0" w:rsidP="00062CD0">
            <w:pPr>
              <w:pStyle w:val="TableText0"/>
              <w:jc w:val="center"/>
              <w:rPr>
                <w:lang w:val="en-US"/>
              </w:rPr>
            </w:pPr>
            <w:r>
              <w:rPr>
                <w:lang w:val="en-US"/>
              </w:rPr>
              <w:t xml:space="preserve">ABE: </w:t>
            </w:r>
            <w:r w:rsidRPr="00214486">
              <w:rPr>
                <w:lang w:val="en-US"/>
              </w:rPr>
              <w:t>26.08</w:t>
            </w:r>
          </w:p>
          <w:p w14:paraId="14E47F51" w14:textId="77777777" w:rsidR="00062CD0" w:rsidRPr="00214486" w:rsidRDefault="00062CD0" w:rsidP="00062CD0">
            <w:pPr>
              <w:pStyle w:val="TableText0"/>
              <w:jc w:val="center"/>
              <w:rPr>
                <w:lang w:val="en-US"/>
              </w:rPr>
            </w:pPr>
            <w:r>
              <w:rPr>
                <w:lang w:val="en-US"/>
              </w:rPr>
              <w:t>ET: NE</w:t>
            </w:r>
          </w:p>
        </w:tc>
        <w:tc>
          <w:tcPr>
            <w:tcW w:w="554" w:type="pct"/>
            <w:shd w:val="clear" w:color="auto" w:fill="auto"/>
            <w:vAlign w:val="center"/>
          </w:tcPr>
          <w:p w14:paraId="1CF515C7" w14:textId="2B1B5535" w:rsidR="00062CD0" w:rsidRPr="00695FD4" w:rsidRDefault="00062CD0" w:rsidP="00062CD0">
            <w:pPr>
              <w:pStyle w:val="TableText0"/>
              <w:jc w:val="center"/>
              <w:rPr>
                <w:vertAlign w:val="superscript"/>
                <w:lang w:val="en-US"/>
              </w:rPr>
            </w:pPr>
            <w:r w:rsidRPr="00BC1124">
              <w:rPr>
                <w:lang w:val="en-US"/>
              </w:rPr>
              <w:t>ET: 23.30</w:t>
            </w:r>
            <w:r w:rsidR="00695FD4">
              <w:rPr>
                <w:vertAlign w:val="superscript"/>
                <w:lang w:val="en-US"/>
              </w:rPr>
              <w:t>d</w:t>
            </w:r>
          </w:p>
        </w:tc>
        <w:tc>
          <w:tcPr>
            <w:tcW w:w="590" w:type="pct"/>
            <w:shd w:val="clear" w:color="auto" w:fill="auto"/>
            <w:vAlign w:val="center"/>
          </w:tcPr>
          <w:p w14:paraId="01513FFC" w14:textId="56A6AA41" w:rsidR="00062CD0" w:rsidRPr="00695FD4" w:rsidRDefault="00062CD0" w:rsidP="00062CD0">
            <w:pPr>
              <w:pStyle w:val="TableText0"/>
              <w:jc w:val="center"/>
              <w:rPr>
                <w:b/>
                <w:vertAlign w:val="superscript"/>
                <w:lang w:val="en-US"/>
              </w:rPr>
            </w:pPr>
            <w:r w:rsidRPr="00452722">
              <w:rPr>
                <w:lang w:val="en-US"/>
              </w:rPr>
              <w:t>22.62</w:t>
            </w:r>
            <w:r w:rsidR="00695FD4">
              <w:rPr>
                <w:vertAlign w:val="superscript"/>
                <w:lang w:val="en-US"/>
              </w:rPr>
              <w:t>c</w:t>
            </w:r>
          </w:p>
        </w:tc>
        <w:tc>
          <w:tcPr>
            <w:tcW w:w="701" w:type="pct"/>
            <w:vAlign w:val="center"/>
          </w:tcPr>
          <w:p w14:paraId="251069B9" w14:textId="35EB02EB" w:rsidR="00062CD0" w:rsidRPr="00C66E80" w:rsidRDefault="00062CD0" w:rsidP="00062CD0">
            <w:pPr>
              <w:pStyle w:val="TableText0"/>
              <w:jc w:val="center"/>
              <w:rPr>
                <w:lang w:val="en-US"/>
              </w:rPr>
            </w:pPr>
            <w:r>
              <w:rPr>
                <w:lang w:val="en-US"/>
              </w:rPr>
              <w:t>NE</w:t>
            </w:r>
          </w:p>
        </w:tc>
      </w:tr>
      <w:tr w:rsidR="00062CD0" w:rsidRPr="00E2771E" w14:paraId="123B5AA5" w14:textId="77777777" w:rsidTr="00062CD0">
        <w:trPr>
          <w:cantSplit/>
          <w:jc w:val="center"/>
        </w:trPr>
        <w:tc>
          <w:tcPr>
            <w:tcW w:w="868" w:type="pct"/>
            <w:shd w:val="clear" w:color="auto" w:fill="auto"/>
            <w:vAlign w:val="center"/>
          </w:tcPr>
          <w:p w14:paraId="093B5D2F" w14:textId="77777777" w:rsidR="00062CD0" w:rsidRPr="00E2771E" w:rsidRDefault="00062CD0" w:rsidP="00062CD0">
            <w:pPr>
              <w:pStyle w:val="TableText0"/>
              <w:rPr>
                <w:lang w:val="en-US"/>
              </w:rPr>
            </w:pPr>
            <w:r>
              <w:rPr>
                <w:lang w:val="en-US"/>
              </w:rPr>
              <w:t>Cost/patient/28-day cycle ($)</w:t>
            </w:r>
          </w:p>
        </w:tc>
        <w:tc>
          <w:tcPr>
            <w:tcW w:w="710" w:type="pct"/>
            <w:shd w:val="clear" w:color="auto" w:fill="auto"/>
            <w:vAlign w:val="center"/>
          </w:tcPr>
          <w:p w14:paraId="45728C59" w14:textId="68A04E90" w:rsidR="00062CD0" w:rsidRDefault="00062CD0" w:rsidP="00062CD0">
            <w:pPr>
              <w:pStyle w:val="TableText0"/>
              <w:jc w:val="center"/>
              <w:rPr>
                <w:lang w:val="en-US"/>
              </w:rPr>
            </w:pPr>
            <w:r>
              <w:rPr>
                <w:lang w:val="en-US"/>
              </w:rPr>
              <w:t xml:space="preserve">ABE: </w:t>
            </w:r>
            <w:r w:rsidRPr="00A047AE">
              <w:rPr>
                <w:lang w:val="en-US"/>
              </w:rPr>
              <w:t>$</w:t>
            </w:r>
            <w:r w:rsidR="0013119A" w:rsidRPr="0013119A">
              <w:rPr>
                <w:color w:val="000000"/>
                <w:spacing w:val="62"/>
                <w:shd w:val="solid" w:color="000000" w:fill="000000"/>
                <w:fitText w:val="358" w:id="-1233470963"/>
                <w:lang w:val="en-US"/>
                <w14:textFill>
                  <w14:solidFill>
                    <w14:srgbClr w14:val="000000">
                      <w14:alpha w14:val="100000"/>
                    </w14:srgbClr>
                  </w14:solidFill>
                </w14:textFill>
              </w:rPr>
              <w:t>|||</w:t>
            </w:r>
            <w:r w:rsidR="0013119A" w:rsidRPr="0013119A">
              <w:rPr>
                <w:color w:val="000000"/>
                <w:spacing w:val="2"/>
                <w:shd w:val="solid" w:color="000000" w:fill="000000"/>
                <w:fitText w:val="358" w:id="-1233470963"/>
                <w:lang w:val="en-US"/>
                <w14:textFill>
                  <w14:solidFill>
                    <w14:srgbClr w14:val="000000">
                      <w14:alpha w14:val="100000"/>
                    </w14:srgbClr>
                  </w14:solidFill>
                </w14:textFill>
              </w:rPr>
              <w:t>|</w:t>
            </w:r>
            <w:r w:rsidR="008759DD" w:rsidRPr="008759DD">
              <w:rPr>
                <w:lang w:val="en-US"/>
              </w:rPr>
              <w:t xml:space="preserve"> </w:t>
            </w:r>
          </w:p>
          <w:p w14:paraId="567F0C9C" w14:textId="77777777" w:rsidR="00062CD0" w:rsidRPr="00E2771E" w:rsidRDefault="00062CD0" w:rsidP="00062CD0">
            <w:pPr>
              <w:pStyle w:val="TableText0"/>
              <w:jc w:val="center"/>
              <w:rPr>
                <w:lang w:val="en-US"/>
              </w:rPr>
            </w:pPr>
            <w:r w:rsidRPr="00EC58C1">
              <w:rPr>
                <w:lang w:val="en-US"/>
              </w:rPr>
              <w:t>ET: $22.46</w:t>
            </w:r>
          </w:p>
        </w:tc>
        <w:tc>
          <w:tcPr>
            <w:tcW w:w="869" w:type="pct"/>
            <w:shd w:val="clear" w:color="auto" w:fill="auto"/>
            <w:vAlign w:val="center"/>
          </w:tcPr>
          <w:p w14:paraId="6374CA51" w14:textId="6F1D1C01" w:rsidR="00062CD0" w:rsidRDefault="00062CD0" w:rsidP="00062CD0">
            <w:pPr>
              <w:pStyle w:val="TableText0"/>
              <w:jc w:val="center"/>
              <w:rPr>
                <w:lang w:val="en-US"/>
              </w:rPr>
            </w:pPr>
            <w:r>
              <w:rPr>
                <w:lang w:val="en-US"/>
              </w:rPr>
              <w:t>ABE: $</w:t>
            </w:r>
            <w:r w:rsidR="0013119A" w:rsidRPr="0013119A">
              <w:rPr>
                <w:color w:val="000000"/>
                <w:spacing w:val="44"/>
                <w:shd w:val="solid" w:color="000000" w:fill="000000"/>
                <w:fitText w:val="216" w:id="-1233470962"/>
                <w:lang w:val="en-US"/>
                <w14:textFill>
                  <w14:solidFill>
                    <w14:srgbClr w14:val="000000">
                      <w14:alpha w14:val="100000"/>
                    </w14:srgbClr>
                  </w14:solidFill>
                </w14:textFill>
              </w:rPr>
              <w:t>||</w:t>
            </w:r>
            <w:r w:rsidR="0013119A" w:rsidRPr="0013119A">
              <w:rPr>
                <w:color w:val="000000"/>
                <w:spacing w:val="1"/>
                <w:shd w:val="solid" w:color="000000" w:fill="000000"/>
                <w:fitText w:val="216" w:id="-1233470962"/>
                <w:lang w:val="en-US"/>
                <w14:textFill>
                  <w14:solidFill>
                    <w14:srgbClr w14:val="000000">
                      <w14:alpha w14:val="100000"/>
                    </w14:srgbClr>
                  </w14:solidFill>
                </w14:textFill>
              </w:rPr>
              <w:t>|</w:t>
            </w:r>
            <w:r w:rsidR="008759DD" w:rsidRPr="008759DD">
              <w:rPr>
                <w:lang w:val="en-US"/>
              </w:rPr>
              <w:t xml:space="preserve"> </w:t>
            </w:r>
          </w:p>
          <w:p w14:paraId="6313A8DE" w14:textId="1282621D" w:rsidR="00062CD0" w:rsidRPr="00E2771E" w:rsidRDefault="00062CD0" w:rsidP="00062CD0">
            <w:pPr>
              <w:pStyle w:val="TableText0"/>
              <w:jc w:val="center"/>
              <w:rPr>
                <w:lang w:val="en-US"/>
              </w:rPr>
            </w:pPr>
            <w:r w:rsidRPr="00EC58C1">
              <w:rPr>
                <w:lang w:val="en-US"/>
              </w:rPr>
              <w:t>ET: $22</w:t>
            </w:r>
          </w:p>
        </w:tc>
        <w:tc>
          <w:tcPr>
            <w:tcW w:w="709" w:type="pct"/>
            <w:shd w:val="clear" w:color="auto" w:fill="auto"/>
            <w:vAlign w:val="center"/>
          </w:tcPr>
          <w:p w14:paraId="04423195" w14:textId="763557E4" w:rsidR="00062CD0" w:rsidRDefault="00062CD0" w:rsidP="00062CD0">
            <w:pPr>
              <w:pStyle w:val="TableText0"/>
              <w:jc w:val="center"/>
              <w:rPr>
                <w:lang w:val="en-US"/>
              </w:rPr>
            </w:pPr>
            <w:r>
              <w:rPr>
                <w:lang w:val="en-US"/>
              </w:rPr>
              <w:t xml:space="preserve">ABE: </w:t>
            </w:r>
            <w:r w:rsidRPr="00A047AE">
              <w:rPr>
                <w:lang w:val="en-US"/>
              </w:rPr>
              <w:t>$</w:t>
            </w:r>
            <w:r w:rsidR="0013119A" w:rsidRPr="0013119A">
              <w:rPr>
                <w:color w:val="000000"/>
                <w:spacing w:val="62"/>
                <w:shd w:val="solid" w:color="000000" w:fill="000000"/>
                <w:fitText w:val="358" w:id="-1233470961"/>
                <w:lang w:val="en-US"/>
                <w14:textFill>
                  <w14:solidFill>
                    <w14:srgbClr w14:val="000000">
                      <w14:alpha w14:val="100000"/>
                    </w14:srgbClr>
                  </w14:solidFill>
                </w14:textFill>
              </w:rPr>
              <w:t>|||</w:t>
            </w:r>
            <w:r w:rsidR="0013119A" w:rsidRPr="0013119A">
              <w:rPr>
                <w:color w:val="000000"/>
                <w:spacing w:val="2"/>
                <w:shd w:val="solid" w:color="000000" w:fill="000000"/>
                <w:fitText w:val="358" w:id="-1233470961"/>
                <w:lang w:val="en-US"/>
                <w14:textFill>
                  <w14:solidFill>
                    <w14:srgbClr w14:val="000000">
                      <w14:alpha w14:val="100000"/>
                    </w14:srgbClr>
                  </w14:solidFill>
                </w14:textFill>
              </w:rPr>
              <w:t>|</w:t>
            </w:r>
            <w:r w:rsidR="008759DD" w:rsidRPr="008759DD">
              <w:rPr>
                <w:lang w:val="en-US"/>
              </w:rPr>
              <w:t xml:space="preserve"> </w:t>
            </w:r>
          </w:p>
          <w:p w14:paraId="7A74C7F0" w14:textId="77777777" w:rsidR="00062CD0" w:rsidRPr="00E2771E" w:rsidRDefault="00062CD0" w:rsidP="00062CD0">
            <w:pPr>
              <w:pStyle w:val="TableText0"/>
              <w:jc w:val="center"/>
              <w:rPr>
                <w:lang w:val="en-US"/>
              </w:rPr>
            </w:pPr>
            <w:r>
              <w:rPr>
                <w:lang w:val="en-US"/>
              </w:rPr>
              <w:t>ET: NE</w:t>
            </w:r>
          </w:p>
        </w:tc>
        <w:tc>
          <w:tcPr>
            <w:tcW w:w="554" w:type="pct"/>
            <w:shd w:val="clear" w:color="auto" w:fill="auto"/>
            <w:vAlign w:val="center"/>
          </w:tcPr>
          <w:p w14:paraId="6D2745D6" w14:textId="1EF0E61C" w:rsidR="00062CD0" w:rsidRPr="00EC58C1" w:rsidRDefault="00062CD0" w:rsidP="00062CD0">
            <w:pPr>
              <w:pStyle w:val="TableText0"/>
              <w:jc w:val="center"/>
              <w:rPr>
                <w:lang w:val="en-US"/>
              </w:rPr>
            </w:pPr>
            <w:r w:rsidRPr="00EC58C1">
              <w:rPr>
                <w:lang w:val="en-US"/>
              </w:rPr>
              <w:t>ET: $22.46</w:t>
            </w:r>
          </w:p>
        </w:tc>
        <w:tc>
          <w:tcPr>
            <w:tcW w:w="590" w:type="pct"/>
            <w:shd w:val="clear" w:color="auto" w:fill="auto"/>
            <w:vAlign w:val="center"/>
          </w:tcPr>
          <w:p w14:paraId="16AF0221" w14:textId="0BD986DD" w:rsidR="00062CD0" w:rsidRPr="00EC58C1" w:rsidRDefault="00062CD0" w:rsidP="00062CD0">
            <w:pPr>
              <w:pStyle w:val="TableText0"/>
              <w:jc w:val="center"/>
              <w:rPr>
                <w:lang w:val="en-US"/>
              </w:rPr>
            </w:pPr>
            <w:r w:rsidRPr="00EC58C1">
              <w:rPr>
                <w:lang w:val="en-US"/>
              </w:rPr>
              <w:t>$22</w:t>
            </w:r>
          </w:p>
        </w:tc>
        <w:tc>
          <w:tcPr>
            <w:tcW w:w="701" w:type="pct"/>
            <w:vAlign w:val="center"/>
          </w:tcPr>
          <w:p w14:paraId="52F1684E" w14:textId="13DBCE83" w:rsidR="00062CD0" w:rsidRPr="00E2771E" w:rsidRDefault="00062CD0" w:rsidP="00062CD0">
            <w:pPr>
              <w:pStyle w:val="TableText0"/>
              <w:jc w:val="center"/>
              <w:rPr>
                <w:lang w:val="en-US"/>
              </w:rPr>
            </w:pPr>
            <w:r>
              <w:rPr>
                <w:lang w:val="en-US"/>
              </w:rPr>
              <w:t>NE</w:t>
            </w:r>
          </w:p>
        </w:tc>
      </w:tr>
      <w:tr w:rsidR="00062CD0" w:rsidRPr="00E2771E" w14:paraId="695AFFFC" w14:textId="77777777" w:rsidTr="00062CD0">
        <w:trPr>
          <w:cantSplit/>
          <w:jc w:val="center"/>
        </w:trPr>
        <w:tc>
          <w:tcPr>
            <w:tcW w:w="868" w:type="pct"/>
            <w:shd w:val="clear" w:color="auto" w:fill="auto"/>
            <w:vAlign w:val="center"/>
          </w:tcPr>
          <w:p w14:paraId="0A112B69" w14:textId="26AE9C3D" w:rsidR="00062CD0" w:rsidRPr="00E2771E" w:rsidRDefault="00062CD0" w:rsidP="00062CD0">
            <w:pPr>
              <w:pStyle w:val="TableText0"/>
              <w:rPr>
                <w:lang w:val="en-US"/>
              </w:rPr>
            </w:pPr>
            <w:r>
              <w:rPr>
                <w:lang w:val="en-US"/>
              </w:rPr>
              <w:t>Cost/patient/course($)</w:t>
            </w:r>
          </w:p>
        </w:tc>
        <w:tc>
          <w:tcPr>
            <w:tcW w:w="710" w:type="pct"/>
            <w:shd w:val="clear" w:color="auto" w:fill="auto"/>
            <w:vAlign w:val="center"/>
          </w:tcPr>
          <w:p w14:paraId="4FBB08DA" w14:textId="7EE8E426" w:rsidR="00062CD0" w:rsidRDefault="00062CD0" w:rsidP="00062CD0">
            <w:pPr>
              <w:pStyle w:val="TableText0"/>
              <w:jc w:val="center"/>
              <w:rPr>
                <w:lang w:val="en-US"/>
              </w:rPr>
            </w:pPr>
            <w:r>
              <w:rPr>
                <w:lang w:val="en-US"/>
              </w:rPr>
              <w:t>ABE: $</w:t>
            </w:r>
            <w:r w:rsidR="0013119A" w:rsidRPr="0013119A">
              <w:rPr>
                <w:color w:val="000000"/>
                <w:spacing w:val="62"/>
                <w:shd w:val="solid" w:color="000000" w:fill="000000"/>
                <w:fitText w:val="358" w:id="-1233470960"/>
                <w:lang w:val="en-US"/>
                <w14:textFill>
                  <w14:solidFill>
                    <w14:srgbClr w14:val="000000">
                      <w14:alpha w14:val="100000"/>
                    </w14:srgbClr>
                  </w14:solidFill>
                </w14:textFill>
              </w:rPr>
              <w:t>|||</w:t>
            </w:r>
            <w:r w:rsidR="0013119A" w:rsidRPr="0013119A">
              <w:rPr>
                <w:color w:val="000000"/>
                <w:spacing w:val="2"/>
                <w:shd w:val="solid" w:color="000000" w:fill="000000"/>
                <w:fitText w:val="358" w:id="-1233470960"/>
                <w:lang w:val="en-US"/>
                <w14:textFill>
                  <w14:solidFill>
                    <w14:srgbClr w14:val="000000">
                      <w14:alpha w14:val="100000"/>
                    </w14:srgbClr>
                  </w14:solidFill>
                </w14:textFill>
              </w:rPr>
              <w:t>|</w:t>
            </w:r>
            <w:r w:rsidR="008759DD" w:rsidRPr="008759DD">
              <w:rPr>
                <w:lang w:val="en-US"/>
              </w:rPr>
              <w:t xml:space="preserve"> </w:t>
            </w:r>
          </w:p>
          <w:p w14:paraId="554F6564" w14:textId="77777777" w:rsidR="00062CD0" w:rsidRPr="00E2771E" w:rsidRDefault="00062CD0" w:rsidP="00062CD0">
            <w:pPr>
              <w:pStyle w:val="TableText0"/>
              <w:jc w:val="center"/>
              <w:rPr>
                <w:lang w:val="en-US"/>
              </w:rPr>
            </w:pPr>
            <w:r w:rsidRPr="00EC58C1">
              <w:rPr>
                <w:lang w:val="en-US"/>
              </w:rPr>
              <w:t>ET: $511</w:t>
            </w:r>
          </w:p>
        </w:tc>
        <w:tc>
          <w:tcPr>
            <w:tcW w:w="869" w:type="pct"/>
            <w:shd w:val="clear" w:color="auto" w:fill="auto"/>
            <w:vAlign w:val="center"/>
          </w:tcPr>
          <w:p w14:paraId="2EFAC076" w14:textId="7C47DC64" w:rsidR="00062CD0" w:rsidRDefault="00062CD0" w:rsidP="00062CD0">
            <w:pPr>
              <w:pStyle w:val="TableText0"/>
              <w:jc w:val="center"/>
              <w:rPr>
                <w:lang w:val="en-US"/>
              </w:rPr>
            </w:pPr>
            <w:r>
              <w:rPr>
                <w:lang w:val="en-US"/>
              </w:rPr>
              <w:t>ABE: $</w:t>
            </w:r>
            <w:r w:rsidR="0013119A" w:rsidRPr="0013119A">
              <w:rPr>
                <w:color w:val="000000"/>
                <w:spacing w:val="44"/>
                <w:shd w:val="solid" w:color="000000" w:fill="000000"/>
                <w:fitText w:val="216" w:id="-1233470976"/>
                <w:lang w:val="en-US"/>
                <w14:textFill>
                  <w14:solidFill>
                    <w14:srgbClr w14:val="000000">
                      <w14:alpha w14:val="100000"/>
                    </w14:srgbClr>
                  </w14:solidFill>
                </w14:textFill>
              </w:rPr>
              <w:t>||</w:t>
            </w:r>
            <w:r w:rsidR="0013119A" w:rsidRPr="0013119A">
              <w:rPr>
                <w:color w:val="000000"/>
                <w:spacing w:val="1"/>
                <w:shd w:val="solid" w:color="000000" w:fill="000000"/>
                <w:fitText w:val="216" w:id="-1233470976"/>
                <w:lang w:val="en-US"/>
                <w14:textFill>
                  <w14:solidFill>
                    <w14:srgbClr w14:val="000000">
                      <w14:alpha w14:val="100000"/>
                    </w14:srgbClr>
                  </w14:solidFill>
                </w14:textFill>
              </w:rPr>
              <w:t>|</w:t>
            </w:r>
            <w:r w:rsidR="008759DD" w:rsidRPr="008759DD">
              <w:rPr>
                <w:lang w:val="en-US"/>
              </w:rPr>
              <w:t xml:space="preserve"> </w:t>
            </w:r>
          </w:p>
          <w:p w14:paraId="61F19122" w14:textId="5D45B2C7" w:rsidR="00062CD0" w:rsidRPr="00E2771E" w:rsidRDefault="00062CD0" w:rsidP="00062CD0">
            <w:pPr>
              <w:pStyle w:val="TableText0"/>
              <w:jc w:val="center"/>
              <w:rPr>
                <w:lang w:val="en-US"/>
              </w:rPr>
            </w:pPr>
            <w:r w:rsidRPr="00EC58C1">
              <w:rPr>
                <w:lang w:val="en-US"/>
              </w:rPr>
              <w:t>ET: $641</w:t>
            </w:r>
          </w:p>
        </w:tc>
        <w:tc>
          <w:tcPr>
            <w:tcW w:w="709" w:type="pct"/>
            <w:shd w:val="clear" w:color="auto" w:fill="auto"/>
            <w:vAlign w:val="center"/>
          </w:tcPr>
          <w:p w14:paraId="0B599D19" w14:textId="4A14D705" w:rsidR="00062CD0" w:rsidRDefault="00062CD0" w:rsidP="00062CD0">
            <w:pPr>
              <w:pStyle w:val="TableText0"/>
              <w:jc w:val="center"/>
              <w:rPr>
                <w:lang w:val="en-US"/>
              </w:rPr>
            </w:pPr>
            <w:r>
              <w:rPr>
                <w:lang w:val="en-US"/>
              </w:rPr>
              <w:t xml:space="preserve">ABE: </w:t>
            </w:r>
            <w:r w:rsidRPr="00A047AE">
              <w:rPr>
                <w:lang w:val="en-US"/>
              </w:rPr>
              <w:t>$</w:t>
            </w:r>
            <w:r w:rsidR="0013119A" w:rsidRPr="0013119A">
              <w:rPr>
                <w:color w:val="000000"/>
                <w:spacing w:val="62"/>
                <w:shd w:val="solid" w:color="000000" w:fill="000000"/>
                <w:fitText w:val="358" w:id="-1233470975"/>
                <w:lang w:val="en-US"/>
                <w14:textFill>
                  <w14:solidFill>
                    <w14:srgbClr w14:val="000000">
                      <w14:alpha w14:val="100000"/>
                    </w14:srgbClr>
                  </w14:solidFill>
                </w14:textFill>
              </w:rPr>
              <w:t>|||</w:t>
            </w:r>
            <w:r w:rsidR="0013119A" w:rsidRPr="0013119A">
              <w:rPr>
                <w:color w:val="000000"/>
                <w:spacing w:val="2"/>
                <w:shd w:val="solid" w:color="000000" w:fill="000000"/>
                <w:fitText w:val="358" w:id="-1233470975"/>
                <w:lang w:val="en-US"/>
                <w14:textFill>
                  <w14:solidFill>
                    <w14:srgbClr w14:val="000000">
                      <w14:alpha w14:val="100000"/>
                    </w14:srgbClr>
                  </w14:solidFill>
                </w14:textFill>
              </w:rPr>
              <w:t>|</w:t>
            </w:r>
            <w:r w:rsidR="008759DD" w:rsidRPr="008759DD">
              <w:rPr>
                <w:lang w:val="en-US"/>
              </w:rPr>
              <w:t xml:space="preserve"> </w:t>
            </w:r>
          </w:p>
          <w:p w14:paraId="07EC7019" w14:textId="77777777" w:rsidR="00062CD0" w:rsidRPr="00E2771E" w:rsidRDefault="00062CD0" w:rsidP="00062CD0">
            <w:pPr>
              <w:pStyle w:val="TableText0"/>
              <w:jc w:val="center"/>
              <w:rPr>
                <w:lang w:val="en-US"/>
              </w:rPr>
            </w:pPr>
            <w:r>
              <w:rPr>
                <w:lang w:val="en-US"/>
              </w:rPr>
              <w:t>ET: NE</w:t>
            </w:r>
          </w:p>
        </w:tc>
        <w:tc>
          <w:tcPr>
            <w:tcW w:w="554" w:type="pct"/>
            <w:shd w:val="clear" w:color="auto" w:fill="auto"/>
            <w:vAlign w:val="center"/>
          </w:tcPr>
          <w:p w14:paraId="14952269" w14:textId="4EF16D0A" w:rsidR="00062CD0" w:rsidRPr="00EC58C1" w:rsidRDefault="00062CD0" w:rsidP="00062CD0">
            <w:pPr>
              <w:pStyle w:val="TableText0"/>
              <w:jc w:val="center"/>
              <w:rPr>
                <w:lang w:val="en-US"/>
              </w:rPr>
            </w:pPr>
            <w:r w:rsidRPr="00EC58C1">
              <w:rPr>
                <w:lang w:val="en-US"/>
              </w:rPr>
              <w:t>ET: $523</w:t>
            </w:r>
          </w:p>
        </w:tc>
        <w:tc>
          <w:tcPr>
            <w:tcW w:w="590" w:type="pct"/>
            <w:shd w:val="clear" w:color="auto" w:fill="auto"/>
            <w:vAlign w:val="center"/>
          </w:tcPr>
          <w:p w14:paraId="3855D9E1" w14:textId="34C75EBB" w:rsidR="00062CD0" w:rsidRPr="00EC58C1" w:rsidRDefault="00062CD0" w:rsidP="00062CD0">
            <w:pPr>
              <w:pStyle w:val="TableText0"/>
              <w:jc w:val="center"/>
              <w:rPr>
                <w:lang w:val="en-US"/>
              </w:rPr>
            </w:pPr>
            <w:r w:rsidRPr="00EC58C1">
              <w:rPr>
                <w:lang w:val="en-US"/>
              </w:rPr>
              <w:t>$508</w:t>
            </w:r>
          </w:p>
        </w:tc>
        <w:tc>
          <w:tcPr>
            <w:tcW w:w="701" w:type="pct"/>
            <w:vAlign w:val="center"/>
          </w:tcPr>
          <w:p w14:paraId="50946E5F" w14:textId="728E2299" w:rsidR="00062CD0" w:rsidRPr="00E2771E" w:rsidRDefault="00062CD0" w:rsidP="00062CD0">
            <w:pPr>
              <w:pStyle w:val="TableText0"/>
              <w:jc w:val="center"/>
              <w:rPr>
                <w:lang w:val="en-US"/>
              </w:rPr>
            </w:pPr>
            <w:r>
              <w:rPr>
                <w:lang w:val="en-US"/>
              </w:rPr>
              <w:t>NE</w:t>
            </w:r>
          </w:p>
        </w:tc>
      </w:tr>
    </w:tbl>
    <w:p w14:paraId="631B5FB4" w14:textId="77777777" w:rsidR="00330C76" w:rsidRPr="00BC1124" w:rsidRDefault="00330C76" w:rsidP="00330C76">
      <w:pPr>
        <w:pStyle w:val="FooterTableFigure"/>
      </w:pPr>
      <w:r w:rsidRPr="00BC1124">
        <w:t>Source: Constructed during the evaluation</w:t>
      </w:r>
      <w:r>
        <w:t>, based on Tables on pp37-40 of “</w:t>
      </w:r>
      <w:r w:rsidRPr="00BC1124">
        <w:t xml:space="preserve">A2.16 monarchE_AFU2 (July 2022) Statistical tables </w:t>
      </w:r>
      <w:r>
        <w:t>–</w:t>
      </w:r>
      <w:r w:rsidRPr="00BC1124">
        <w:t xml:space="preserve"> CONFIDENTIAL</w:t>
      </w:r>
      <w:r>
        <w:t>”,</w:t>
      </w:r>
      <w:r w:rsidRPr="00BC1124">
        <w:t xml:space="preserve"> </w:t>
      </w:r>
      <w:r>
        <w:t>“</w:t>
      </w:r>
      <w:r w:rsidRPr="00BC1124">
        <w:t>A6.1_Abemaciclib Section 3 Workbook 2022</w:t>
      </w:r>
      <w:r>
        <w:t>” Excel workbook, and “</w:t>
      </w:r>
      <w:r w:rsidRPr="00BC1124">
        <w:t>A7.1_Cost and utilisation model abemaciclib EBC 2022</w:t>
      </w:r>
      <w:r>
        <w:t>” Excel workbook</w:t>
      </w:r>
    </w:p>
    <w:p w14:paraId="2C337194" w14:textId="77777777" w:rsidR="00330C76" w:rsidRPr="00BC1124" w:rsidRDefault="00330C76" w:rsidP="00330C76">
      <w:pPr>
        <w:pStyle w:val="FooterTableFigure"/>
      </w:pPr>
      <w:r w:rsidRPr="00BC1124">
        <w:t>ABE = abemaciclib; ET = endocrine therapy; NE = not estimated</w:t>
      </w:r>
    </w:p>
    <w:p w14:paraId="4C9917E7" w14:textId="77777777" w:rsidR="00330C76" w:rsidRPr="00BC1124" w:rsidRDefault="00330C76" w:rsidP="00330C76">
      <w:pPr>
        <w:pStyle w:val="FooterTableFigure"/>
      </w:pPr>
      <w:r w:rsidRPr="00BC1124">
        <w:rPr>
          <w:vertAlign w:val="superscript"/>
        </w:rPr>
        <w:t>a</w:t>
      </w:r>
      <w:r w:rsidRPr="00BC1124">
        <w:t xml:space="preserve"> Mean duration of treatment </w:t>
      </w:r>
      <w:r w:rsidRPr="00EC58C1">
        <w:t>was 82.70 weeks</w:t>
      </w:r>
      <w:r w:rsidRPr="00BC1124">
        <w:t xml:space="preserve"> at the July 2022 data cut.</w:t>
      </w:r>
    </w:p>
    <w:p w14:paraId="2836CA4B" w14:textId="77777777" w:rsidR="00330C76" w:rsidRPr="00BC1124" w:rsidRDefault="00330C76" w:rsidP="00330C76">
      <w:pPr>
        <w:pStyle w:val="FooterTableFigure"/>
      </w:pPr>
      <w:r w:rsidRPr="00BC1124">
        <w:rPr>
          <w:vertAlign w:val="superscript"/>
        </w:rPr>
        <w:t>b</w:t>
      </w:r>
      <w:r w:rsidRPr="00BC1124">
        <w:t xml:space="preserve"> Mean duration of treatment was 91.01 weeks at the July 2022 data cut.</w:t>
      </w:r>
    </w:p>
    <w:p w14:paraId="58FB5CC3" w14:textId="574DD972" w:rsidR="00330C76" w:rsidRDefault="00330C76" w:rsidP="00330C76">
      <w:pPr>
        <w:pStyle w:val="FooterTableFigure"/>
      </w:pPr>
      <w:r w:rsidRPr="00BC1124">
        <w:rPr>
          <w:vertAlign w:val="superscript"/>
        </w:rPr>
        <w:t>c</w:t>
      </w:r>
      <w:r w:rsidRPr="00BC1124">
        <w:t xml:space="preserve"> </w:t>
      </w:r>
      <w:r w:rsidR="00695FD4" w:rsidRPr="00695FD4">
        <w:t>The ET TTD extrapolations in both arms appeared to be erroneous, however as the incremental difference is small this does not substantially affect the ICER.</w:t>
      </w:r>
    </w:p>
    <w:p w14:paraId="42AB139B" w14:textId="609BD051" w:rsidR="00695FD4" w:rsidRPr="00695FD4" w:rsidRDefault="00695FD4" w:rsidP="00330C76">
      <w:pPr>
        <w:pStyle w:val="FooterTableFigure"/>
      </w:pPr>
      <w:r>
        <w:rPr>
          <w:vertAlign w:val="superscript"/>
        </w:rPr>
        <w:t>d</w:t>
      </w:r>
      <w:r w:rsidRPr="00A67E12">
        <w:t xml:space="preserve"> </w:t>
      </w:r>
      <w:r w:rsidRPr="00BC1124">
        <w:t>Mean duration of treatment was 93.18 weeks at the July 2022 data cut.</w:t>
      </w:r>
    </w:p>
    <w:p w14:paraId="3B3C18F8" w14:textId="70BF2E2F" w:rsidR="00DC40F5" w:rsidRPr="00C9624D" w:rsidRDefault="00DC40F5" w:rsidP="001B173C">
      <w:pPr>
        <w:pStyle w:val="4-SubsectionHeading"/>
      </w:pPr>
      <w:bookmarkStart w:id="64" w:name="_Toc22897647"/>
      <w:bookmarkStart w:id="65" w:name="_Toc107927633"/>
      <w:bookmarkStart w:id="66" w:name="_Toc124940310"/>
      <w:r w:rsidRPr="00C9624D">
        <w:t>Estimated PBS usage &amp; financial implications</w:t>
      </w:r>
      <w:bookmarkEnd w:id="64"/>
      <w:bookmarkEnd w:id="65"/>
      <w:bookmarkEnd w:id="66"/>
    </w:p>
    <w:p w14:paraId="206F9402" w14:textId="77777777" w:rsidR="006351EB" w:rsidRDefault="00431D2C" w:rsidP="00431D2C">
      <w:pPr>
        <w:pStyle w:val="3-BodyText"/>
      </w:pPr>
      <w:r>
        <w:t xml:space="preserve">This resubmission </w:t>
      </w:r>
      <w:r w:rsidR="006351EB">
        <w:t>was not</w:t>
      </w:r>
      <w:r>
        <w:t xml:space="preserve"> considered by DUSC. </w:t>
      </w:r>
    </w:p>
    <w:p w14:paraId="3720D3FE" w14:textId="25B4B424" w:rsidR="00431D2C" w:rsidRPr="00A67E12" w:rsidRDefault="00431D2C" w:rsidP="00431D2C">
      <w:pPr>
        <w:pStyle w:val="3-BodyText"/>
      </w:pPr>
      <w:r>
        <w:t xml:space="preserve">As in the previous submission, an epidemiological approach was taken to </w:t>
      </w:r>
      <w:r w:rsidRPr="008C0850">
        <w:t>estimate the financial impact of the proposed listing of</w:t>
      </w:r>
      <w:r>
        <w:t xml:space="preserve"> abemaciclib. </w:t>
      </w:r>
    </w:p>
    <w:p w14:paraId="01719576" w14:textId="0A433694" w:rsidR="00431D2C" w:rsidRPr="00C06E88" w:rsidRDefault="00431D2C" w:rsidP="00431D2C">
      <w:pPr>
        <w:pStyle w:val="3-BodyText"/>
      </w:pPr>
      <w:r>
        <w:t xml:space="preserve">In the resubmission, the assumptions and inputs used in the previous submission have been mostly retained. </w:t>
      </w:r>
      <w:r w:rsidRPr="00C06E88">
        <w:t xml:space="preserve">The key inputs in the financial analysis are summarised in the </w:t>
      </w:r>
      <w:r w:rsidRPr="00C06E88">
        <w:fldChar w:fldCharType="begin"/>
      </w:r>
      <w:r w:rsidRPr="00C06E88">
        <w:instrText xml:space="preserve"> REF _Ref104805262 \h  \* MERGEFORMAT </w:instrText>
      </w:r>
      <w:r w:rsidRPr="00C06E88">
        <w:fldChar w:fldCharType="separate"/>
      </w:r>
      <w:r w:rsidR="0001201E">
        <w:t>Table 19</w:t>
      </w:r>
      <w:r w:rsidRPr="00C06E88">
        <w:fldChar w:fldCharType="end"/>
      </w:r>
      <w:r w:rsidRPr="00C06E88">
        <w:t xml:space="preserve"> below.</w:t>
      </w:r>
      <w:r w:rsidRPr="00A67E12">
        <w:t xml:space="preserve"> </w:t>
      </w:r>
    </w:p>
    <w:p w14:paraId="7D7F8FB4" w14:textId="62A46851" w:rsidR="00431D2C" w:rsidRPr="007925DF" w:rsidRDefault="00431D2C" w:rsidP="00087A4C">
      <w:pPr>
        <w:pStyle w:val="Caption"/>
        <w:keepNext w:val="0"/>
        <w:rPr>
          <w:rStyle w:val="CommentReference"/>
          <w:b/>
          <w:szCs w:val="24"/>
        </w:rPr>
      </w:pPr>
      <w:bookmarkStart w:id="67" w:name="_Ref104805262"/>
      <w:r>
        <w:lastRenderedPageBreak/>
        <w:t xml:space="preserve">Table </w:t>
      </w:r>
      <w:fldSimple w:instr=" SEQ Table \* ARABIC ">
        <w:r w:rsidR="0001201E">
          <w:rPr>
            <w:noProof/>
          </w:rPr>
          <w:t>19</w:t>
        </w:r>
      </w:fldSimple>
      <w:bookmarkEnd w:id="67"/>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607"/>
        <w:gridCol w:w="2003"/>
        <w:gridCol w:w="3569"/>
      </w:tblGrid>
      <w:tr w:rsidR="00431D2C" w:rsidRPr="00914C77" w14:paraId="4493DE7B" w14:textId="77777777" w:rsidTr="00927EF8">
        <w:trPr>
          <w:tblHeader/>
        </w:trPr>
        <w:tc>
          <w:tcPr>
            <w:tcW w:w="1838" w:type="dxa"/>
            <w:vAlign w:val="center"/>
          </w:tcPr>
          <w:p w14:paraId="21B8E34E" w14:textId="77777777" w:rsidR="00431D2C" w:rsidRPr="00914C77" w:rsidRDefault="00431D2C" w:rsidP="00087A4C">
            <w:pPr>
              <w:pStyle w:val="In-tableHeading"/>
              <w:keepNext w:val="0"/>
              <w:jc w:val="center"/>
            </w:pPr>
            <w:r w:rsidRPr="00914C77">
              <w:t>Data</w:t>
            </w:r>
          </w:p>
        </w:tc>
        <w:tc>
          <w:tcPr>
            <w:tcW w:w="3610" w:type="dxa"/>
            <w:gridSpan w:val="2"/>
            <w:vAlign w:val="center"/>
          </w:tcPr>
          <w:p w14:paraId="4CF4F08A" w14:textId="77777777" w:rsidR="00431D2C" w:rsidRPr="00914C77" w:rsidRDefault="00431D2C" w:rsidP="00087A4C">
            <w:pPr>
              <w:pStyle w:val="In-tableHeading"/>
              <w:keepNext w:val="0"/>
              <w:jc w:val="center"/>
            </w:pPr>
            <w:r w:rsidRPr="00914C77">
              <w:t>Value</w:t>
            </w:r>
            <w:r>
              <w:t xml:space="preserve"> applied, and </w:t>
            </w:r>
            <w:r w:rsidRPr="00914C77">
              <w:t>Source</w:t>
            </w:r>
          </w:p>
        </w:tc>
        <w:tc>
          <w:tcPr>
            <w:tcW w:w="3569" w:type="dxa"/>
            <w:vAlign w:val="center"/>
          </w:tcPr>
          <w:p w14:paraId="6BBCC9BA" w14:textId="77777777" w:rsidR="00431D2C" w:rsidRPr="00914C77" w:rsidRDefault="00431D2C" w:rsidP="00087A4C">
            <w:pPr>
              <w:pStyle w:val="In-tableHeading"/>
              <w:keepNext w:val="0"/>
              <w:jc w:val="center"/>
            </w:pPr>
            <w:r w:rsidRPr="00914C77">
              <w:t>Comment</w:t>
            </w:r>
          </w:p>
        </w:tc>
      </w:tr>
      <w:tr w:rsidR="00431D2C" w14:paraId="3C7B7B64" w14:textId="77777777" w:rsidTr="00927EF8">
        <w:tc>
          <w:tcPr>
            <w:tcW w:w="9017" w:type="dxa"/>
            <w:gridSpan w:val="4"/>
            <w:vAlign w:val="center"/>
          </w:tcPr>
          <w:p w14:paraId="77CADC89" w14:textId="77777777" w:rsidR="00431D2C" w:rsidRPr="00914C77" w:rsidRDefault="00431D2C" w:rsidP="00087A4C">
            <w:pPr>
              <w:pStyle w:val="In-tableHeading"/>
              <w:keepNext w:val="0"/>
            </w:pPr>
            <w:r w:rsidRPr="00914C77">
              <w:t>Eligible population</w:t>
            </w:r>
          </w:p>
        </w:tc>
      </w:tr>
      <w:tr w:rsidR="00431D2C" w:rsidRPr="00FA0201" w14:paraId="3A7367D6" w14:textId="77777777" w:rsidTr="00927EF8">
        <w:tc>
          <w:tcPr>
            <w:tcW w:w="1838" w:type="dxa"/>
            <w:shd w:val="clear" w:color="auto" w:fill="B8CCE4" w:themeFill="accent1" w:themeFillTint="66"/>
            <w:vAlign w:val="center"/>
          </w:tcPr>
          <w:p w14:paraId="68397C79" w14:textId="77777777" w:rsidR="00431D2C" w:rsidRPr="00FA0201" w:rsidRDefault="00431D2C" w:rsidP="00087A4C">
            <w:pPr>
              <w:pStyle w:val="TableText0"/>
              <w:keepNext w:val="0"/>
            </w:pPr>
            <w:r w:rsidRPr="00FA0201">
              <w:t>Incidence of breast cancer</w:t>
            </w:r>
          </w:p>
          <w:p w14:paraId="0069234D" w14:textId="77777777" w:rsidR="00431D2C" w:rsidRPr="00FA0201" w:rsidRDefault="00431D2C" w:rsidP="00087A4C">
            <w:pPr>
              <w:pStyle w:val="TableText0"/>
              <w:keepNext w:val="0"/>
            </w:pPr>
          </w:p>
        </w:tc>
        <w:tc>
          <w:tcPr>
            <w:tcW w:w="3610" w:type="dxa"/>
            <w:gridSpan w:val="2"/>
            <w:shd w:val="clear" w:color="auto" w:fill="B8CCE4" w:themeFill="accent1" w:themeFillTint="66"/>
            <w:vAlign w:val="center"/>
          </w:tcPr>
          <w:p w14:paraId="5C7BDF51" w14:textId="77777777" w:rsidR="00431D2C" w:rsidRPr="00FA0201" w:rsidRDefault="00431D2C" w:rsidP="00087A4C">
            <w:pPr>
              <w:pStyle w:val="TableText0"/>
              <w:keepNext w:val="0"/>
            </w:pPr>
            <w:r w:rsidRPr="00FA0201">
              <w:t>21,159 in Year 1 of listing, increasing to 24,955 in Year 6</w:t>
            </w:r>
          </w:p>
          <w:p w14:paraId="173315EC" w14:textId="77777777" w:rsidR="00431D2C" w:rsidRPr="00FA0201" w:rsidRDefault="00431D2C" w:rsidP="00087A4C">
            <w:pPr>
              <w:pStyle w:val="TableText0"/>
              <w:keepNext w:val="0"/>
            </w:pPr>
            <w:r w:rsidRPr="00FA0201">
              <w:t>(BreastScreen Australia monitoring report, AIHW 2020, assuming a linear projection applying an annual growth rate of 3.36%.)</w:t>
            </w:r>
          </w:p>
        </w:tc>
        <w:tc>
          <w:tcPr>
            <w:tcW w:w="3569" w:type="dxa"/>
            <w:vAlign w:val="center"/>
          </w:tcPr>
          <w:p w14:paraId="1DDCCB63" w14:textId="4A519655" w:rsidR="00431D2C" w:rsidRPr="00FA0201" w:rsidRDefault="00087A4C" w:rsidP="00087A4C">
            <w:pPr>
              <w:pStyle w:val="TableText0"/>
              <w:keepNext w:val="0"/>
              <w:rPr>
                <w:iCs/>
              </w:rPr>
            </w:pPr>
            <w:r w:rsidRPr="00FA0201">
              <w:rPr>
                <w:iCs/>
              </w:rPr>
              <w:t>Appropriate data source</w:t>
            </w:r>
          </w:p>
        </w:tc>
      </w:tr>
      <w:tr w:rsidR="00431D2C" w:rsidRPr="00A67E12" w14:paraId="10768392" w14:textId="77777777" w:rsidTr="00927EF8">
        <w:tc>
          <w:tcPr>
            <w:tcW w:w="1838" w:type="dxa"/>
            <w:vAlign w:val="center"/>
          </w:tcPr>
          <w:p w14:paraId="78635288" w14:textId="77777777" w:rsidR="00431D2C" w:rsidRPr="00A67E12" w:rsidRDefault="00431D2C" w:rsidP="00087A4C">
            <w:pPr>
              <w:pStyle w:val="TableText0"/>
              <w:keepNext w:val="0"/>
            </w:pPr>
            <w:r w:rsidRPr="00A67E12">
              <w:t>Proportion of EBC (including inflammatory breast cancer)</w:t>
            </w:r>
          </w:p>
        </w:tc>
        <w:tc>
          <w:tcPr>
            <w:tcW w:w="3610" w:type="dxa"/>
            <w:gridSpan w:val="2"/>
            <w:vAlign w:val="center"/>
          </w:tcPr>
          <w:p w14:paraId="15622ACA" w14:textId="77777777" w:rsidR="00431D2C" w:rsidRPr="00A67E12" w:rsidRDefault="00431D2C" w:rsidP="00087A4C">
            <w:pPr>
              <w:pStyle w:val="TableText0"/>
              <w:keepNext w:val="0"/>
            </w:pPr>
            <w:r w:rsidRPr="00A67E12">
              <w:t>100%</w:t>
            </w:r>
          </w:p>
          <w:p w14:paraId="721032C3" w14:textId="77777777" w:rsidR="00431D2C" w:rsidRPr="00A67E12" w:rsidRDefault="00431D2C" w:rsidP="00087A4C">
            <w:pPr>
              <w:pStyle w:val="TableText0"/>
              <w:keepNext w:val="0"/>
            </w:pPr>
            <w:r w:rsidRPr="00A67E12">
              <w:t>(Abemaciclib PSD, March 2022 PBAC meeting)</w:t>
            </w:r>
          </w:p>
        </w:tc>
        <w:tc>
          <w:tcPr>
            <w:tcW w:w="3569" w:type="dxa"/>
            <w:vAlign w:val="center"/>
          </w:tcPr>
          <w:p w14:paraId="7278698F" w14:textId="77777777" w:rsidR="00431D2C" w:rsidRPr="00A67E12" w:rsidRDefault="00431D2C" w:rsidP="00087A4C">
            <w:pPr>
              <w:pStyle w:val="TableText0"/>
              <w:keepNext w:val="0"/>
            </w:pPr>
            <w:r w:rsidRPr="00A67E12">
              <w:t xml:space="preserve">The inclusion of inflammatory breast cancer (i.e. 2% sourced from National Breast Cancer Centre 2007) in the financial estimates is in line with the proposed PBS listing.  </w:t>
            </w:r>
          </w:p>
        </w:tc>
      </w:tr>
      <w:tr w:rsidR="00431D2C" w:rsidRPr="00A67E12" w14:paraId="4E3F4EF0" w14:textId="77777777" w:rsidTr="00927EF8">
        <w:tc>
          <w:tcPr>
            <w:tcW w:w="1838" w:type="dxa"/>
            <w:shd w:val="clear" w:color="auto" w:fill="B8CCE4" w:themeFill="accent1" w:themeFillTint="66"/>
            <w:vAlign w:val="center"/>
          </w:tcPr>
          <w:p w14:paraId="2DA22BD1" w14:textId="77777777" w:rsidR="00431D2C" w:rsidRPr="00A67E12" w:rsidRDefault="00431D2C" w:rsidP="00087A4C">
            <w:pPr>
              <w:pStyle w:val="TableText0"/>
              <w:keepNext w:val="0"/>
            </w:pPr>
            <w:r w:rsidRPr="00A67E12">
              <w:t>% incident breast cancer cases of Stage 1-3</w:t>
            </w:r>
          </w:p>
        </w:tc>
        <w:tc>
          <w:tcPr>
            <w:tcW w:w="3610" w:type="dxa"/>
            <w:gridSpan w:val="2"/>
            <w:shd w:val="clear" w:color="auto" w:fill="B8CCE4" w:themeFill="accent1" w:themeFillTint="66"/>
            <w:vAlign w:val="center"/>
          </w:tcPr>
          <w:p w14:paraId="4177B81C" w14:textId="77777777" w:rsidR="00431D2C" w:rsidRPr="00A67E12" w:rsidRDefault="00431D2C" w:rsidP="00087A4C">
            <w:pPr>
              <w:pStyle w:val="TableText0"/>
              <w:keepNext w:val="0"/>
            </w:pPr>
            <w:r w:rsidRPr="00A67E12">
              <w:t>95.3%</w:t>
            </w:r>
          </w:p>
          <w:p w14:paraId="28DED314" w14:textId="77777777" w:rsidR="00431D2C" w:rsidRPr="00A67E12" w:rsidRDefault="00431D2C" w:rsidP="00087A4C">
            <w:pPr>
              <w:pStyle w:val="TableText0"/>
              <w:keepNext w:val="0"/>
            </w:pPr>
            <w:r w:rsidRPr="00A67E12">
              <w:t>NCCI data on distribution of cancer stage (2018)</w:t>
            </w:r>
          </w:p>
        </w:tc>
        <w:tc>
          <w:tcPr>
            <w:tcW w:w="3569" w:type="dxa"/>
            <w:shd w:val="clear" w:color="auto" w:fill="B8CCE4" w:themeFill="accent1" w:themeFillTint="66"/>
            <w:vAlign w:val="center"/>
          </w:tcPr>
          <w:p w14:paraId="075475FE" w14:textId="77777777" w:rsidR="00431D2C" w:rsidRPr="00A67E12" w:rsidRDefault="00431D2C" w:rsidP="00087A4C">
            <w:pPr>
              <w:pStyle w:val="TableText0"/>
              <w:keepNext w:val="0"/>
            </w:pPr>
            <w:r w:rsidRPr="00A67E12">
              <w:t>Appropriate data source</w:t>
            </w:r>
          </w:p>
        </w:tc>
      </w:tr>
      <w:tr w:rsidR="00431D2C" w14:paraId="55EF2447" w14:textId="77777777" w:rsidTr="00927EF8">
        <w:tc>
          <w:tcPr>
            <w:tcW w:w="1838" w:type="dxa"/>
            <w:shd w:val="clear" w:color="auto" w:fill="B8CCE4" w:themeFill="accent1" w:themeFillTint="66"/>
            <w:vAlign w:val="center"/>
          </w:tcPr>
          <w:p w14:paraId="6DC439D5" w14:textId="77777777" w:rsidR="00431D2C" w:rsidRPr="007E653E" w:rsidRDefault="00431D2C" w:rsidP="00087A4C">
            <w:pPr>
              <w:pStyle w:val="TableText0"/>
              <w:keepNext w:val="0"/>
            </w:pPr>
            <w:r w:rsidRPr="00F463BF">
              <w:t>% HR+/HER2-</w:t>
            </w:r>
          </w:p>
        </w:tc>
        <w:tc>
          <w:tcPr>
            <w:tcW w:w="3610" w:type="dxa"/>
            <w:gridSpan w:val="2"/>
            <w:shd w:val="clear" w:color="auto" w:fill="B8CCE4" w:themeFill="accent1" w:themeFillTint="66"/>
            <w:vAlign w:val="center"/>
          </w:tcPr>
          <w:p w14:paraId="1BEB88C2" w14:textId="77777777" w:rsidR="00431D2C" w:rsidRDefault="00431D2C" w:rsidP="00087A4C">
            <w:pPr>
              <w:pStyle w:val="TableText0"/>
              <w:keepNext w:val="0"/>
            </w:pPr>
            <w:r w:rsidRPr="00F463BF">
              <w:t>70%</w:t>
            </w:r>
          </w:p>
          <w:p w14:paraId="35EA2F01" w14:textId="77777777" w:rsidR="00431D2C" w:rsidRDefault="00431D2C" w:rsidP="00087A4C">
            <w:pPr>
              <w:pStyle w:val="TableText0"/>
              <w:keepNext w:val="0"/>
              <w:shd w:val="clear" w:color="auto" w:fill="B8CCE4" w:themeFill="accent1" w:themeFillTint="66"/>
            </w:pPr>
            <w:r w:rsidRPr="00C46DB7">
              <w:t>Everolimus PSD, March 2013 PBAC meeting</w:t>
            </w:r>
          </w:p>
          <w:p w14:paraId="7419F980" w14:textId="77777777" w:rsidR="00431D2C" w:rsidRDefault="00431D2C" w:rsidP="00087A4C">
            <w:pPr>
              <w:pStyle w:val="TableText0"/>
              <w:keepNext w:val="0"/>
            </w:pPr>
            <w:r>
              <w:t>Nelson et.al. 2022</w:t>
            </w:r>
          </w:p>
        </w:tc>
        <w:tc>
          <w:tcPr>
            <w:tcW w:w="3569" w:type="dxa"/>
            <w:shd w:val="clear" w:color="auto" w:fill="B8CCE4" w:themeFill="accent1" w:themeFillTint="66"/>
            <w:vAlign w:val="center"/>
          </w:tcPr>
          <w:p w14:paraId="23858FEC" w14:textId="77777777" w:rsidR="00431D2C" w:rsidRPr="007E653E" w:rsidRDefault="00431D2C" w:rsidP="00087A4C">
            <w:pPr>
              <w:pStyle w:val="TableText0"/>
              <w:keepNext w:val="0"/>
            </w:pPr>
            <w:r w:rsidRPr="00A67E12">
              <w:t>Reasonable estimate</w:t>
            </w:r>
          </w:p>
        </w:tc>
      </w:tr>
      <w:tr w:rsidR="00431D2C" w14:paraId="425593A0" w14:textId="77777777" w:rsidTr="00927EF8">
        <w:tc>
          <w:tcPr>
            <w:tcW w:w="1838" w:type="dxa"/>
            <w:shd w:val="clear" w:color="auto" w:fill="B8CCE4" w:themeFill="accent1" w:themeFillTint="66"/>
            <w:vAlign w:val="center"/>
          </w:tcPr>
          <w:p w14:paraId="524FA5F0" w14:textId="77777777" w:rsidR="00431D2C" w:rsidRPr="007E653E" w:rsidRDefault="00431D2C" w:rsidP="00087A4C">
            <w:pPr>
              <w:pStyle w:val="TableText0"/>
              <w:keepNext w:val="0"/>
            </w:pPr>
            <w:r>
              <w:t>% node-positive EBC</w:t>
            </w:r>
          </w:p>
        </w:tc>
        <w:tc>
          <w:tcPr>
            <w:tcW w:w="1607" w:type="dxa"/>
            <w:shd w:val="clear" w:color="auto" w:fill="B8CCE4" w:themeFill="accent1" w:themeFillTint="66"/>
            <w:vAlign w:val="center"/>
          </w:tcPr>
          <w:p w14:paraId="549DC27A" w14:textId="77777777" w:rsidR="00431D2C" w:rsidRPr="007E653E" w:rsidRDefault="00431D2C" w:rsidP="00087A4C">
            <w:pPr>
              <w:pStyle w:val="TableText0"/>
              <w:keepNext w:val="0"/>
            </w:pPr>
            <w:r>
              <w:t xml:space="preserve">24.6% </w:t>
            </w:r>
          </w:p>
        </w:tc>
        <w:tc>
          <w:tcPr>
            <w:tcW w:w="2003" w:type="dxa"/>
            <w:vMerge w:val="restart"/>
            <w:shd w:val="clear" w:color="auto" w:fill="auto"/>
            <w:vAlign w:val="center"/>
          </w:tcPr>
          <w:p w14:paraId="433A9770" w14:textId="77777777" w:rsidR="00431D2C" w:rsidRDefault="00431D2C" w:rsidP="00087A4C">
            <w:pPr>
              <w:pStyle w:val="TableText0"/>
              <w:keepNext w:val="0"/>
              <w:shd w:val="clear" w:color="auto" w:fill="B8CCE4" w:themeFill="accent1" w:themeFillTint="66"/>
            </w:pPr>
            <w:r>
              <w:t>US SEER Registries Research Data</w:t>
            </w:r>
          </w:p>
          <w:p w14:paraId="39D08AB7" w14:textId="77777777" w:rsidR="00431D2C" w:rsidRPr="007E653E" w:rsidRDefault="00431D2C" w:rsidP="00087A4C">
            <w:pPr>
              <w:pStyle w:val="TableText0"/>
              <w:keepNext w:val="0"/>
            </w:pPr>
            <w:r>
              <w:t>Nelson et.al. 2022</w:t>
            </w:r>
          </w:p>
        </w:tc>
        <w:tc>
          <w:tcPr>
            <w:tcW w:w="3569" w:type="dxa"/>
            <w:vMerge w:val="restart"/>
            <w:vAlign w:val="center"/>
          </w:tcPr>
          <w:p w14:paraId="10665EF5" w14:textId="77777777" w:rsidR="00431D2C" w:rsidRPr="007E653E" w:rsidRDefault="00431D2C" w:rsidP="00087A4C">
            <w:pPr>
              <w:pStyle w:val="TableText0"/>
              <w:keepNext w:val="0"/>
            </w:pPr>
            <w:r w:rsidRPr="00A67E12">
              <w:rPr>
                <w:bCs w:val="0"/>
              </w:rPr>
              <w:t>The estimates appeared reasonable and were supported by the recently published study (Nelson et.al. 2022).</w:t>
            </w:r>
          </w:p>
        </w:tc>
      </w:tr>
      <w:tr w:rsidR="00431D2C" w14:paraId="6C0E04F2" w14:textId="77777777" w:rsidTr="00927EF8">
        <w:tc>
          <w:tcPr>
            <w:tcW w:w="1838" w:type="dxa"/>
            <w:shd w:val="clear" w:color="auto" w:fill="B8CCE4" w:themeFill="accent1" w:themeFillTint="66"/>
            <w:vAlign w:val="center"/>
          </w:tcPr>
          <w:p w14:paraId="680D4AEC" w14:textId="77777777" w:rsidR="00431D2C" w:rsidRPr="007E653E" w:rsidRDefault="00431D2C" w:rsidP="00087A4C">
            <w:pPr>
              <w:pStyle w:val="TableText0"/>
              <w:keepNext w:val="0"/>
            </w:pPr>
            <w:r w:rsidRPr="0001788C">
              <w:t>% meeting high risk criteria</w:t>
            </w:r>
          </w:p>
        </w:tc>
        <w:tc>
          <w:tcPr>
            <w:tcW w:w="1607" w:type="dxa"/>
            <w:shd w:val="clear" w:color="auto" w:fill="B8CCE4" w:themeFill="accent1" w:themeFillTint="66"/>
            <w:vAlign w:val="center"/>
          </w:tcPr>
          <w:p w14:paraId="61002BDB" w14:textId="77777777" w:rsidR="00431D2C" w:rsidRPr="007E653E" w:rsidRDefault="00431D2C" w:rsidP="00087A4C">
            <w:pPr>
              <w:pStyle w:val="TableText0"/>
              <w:keepNext w:val="0"/>
            </w:pPr>
            <w:r>
              <w:t xml:space="preserve">48.8% </w:t>
            </w:r>
          </w:p>
        </w:tc>
        <w:tc>
          <w:tcPr>
            <w:tcW w:w="2003" w:type="dxa"/>
            <w:vMerge/>
            <w:shd w:val="clear" w:color="auto" w:fill="auto"/>
            <w:vAlign w:val="center"/>
          </w:tcPr>
          <w:p w14:paraId="5E9F4E84" w14:textId="77777777" w:rsidR="00431D2C" w:rsidRPr="007E653E" w:rsidRDefault="00431D2C" w:rsidP="00087A4C">
            <w:pPr>
              <w:pStyle w:val="TableText0"/>
              <w:keepNext w:val="0"/>
            </w:pPr>
          </w:p>
        </w:tc>
        <w:tc>
          <w:tcPr>
            <w:tcW w:w="3569" w:type="dxa"/>
            <w:vMerge/>
            <w:vAlign w:val="center"/>
          </w:tcPr>
          <w:p w14:paraId="2094159E" w14:textId="77777777" w:rsidR="00431D2C" w:rsidRPr="007E653E" w:rsidRDefault="00431D2C" w:rsidP="00087A4C">
            <w:pPr>
              <w:pStyle w:val="TableText0"/>
              <w:keepNext w:val="0"/>
            </w:pPr>
          </w:p>
        </w:tc>
      </w:tr>
      <w:tr w:rsidR="00431D2C" w14:paraId="5FEA8295" w14:textId="77777777" w:rsidTr="00927EF8">
        <w:tc>
          <w:tcPr>
            <w:tcW w:w="1838" w:type="dxa"/>
            <w:shd w:val="clear" w:color="auto" w:fill="B8CCE4" w:themeFill="accent1" w:themeFillTint="66"/>
            <w:vAlign w:val="center"/>
          </w:tcPr>
          <w:p w14:paraId="70E09ABE" w14:textId="77777777" w:rsidR="00431D2C" w:rsidRPr="007E653E" w:rsidRDefault="00431D2C" w:rsidP="00087A4C">
            <w:pPr>
              <w:pStyle w:val="TableText0"/>
              <w:keepNext w:val="0"/>
            </w:pPr>
            <w:r w:rsidRPr="00101AC1">
              <w:t>Uptake rate abemaciclib</w:t>
            </w:r>
          </w:p>
        </w:tc>
        <w:tc>
          <w:tcPr>
            <w:tcW w:w="3610" w:type="dxa"/>
            <w:gridSpan w:val="2"/>
            <w:shd w:val="clear" w:color="auto" w:fill="B8CCE4" w:themeFill="accent1" w:themeFillTint="66"/>
            <w:vAlign w:val="center"/>
          </w:tcPr>
          <w:p w14:paraId="739D5B57" w14:textId="6EA429BA" w:rsidR="00431D2C" w:rsidRDefault="0013119A" w:rsidP="00087A4C">
            <w:pPr>
              <w:pStyle w:val="TableText0"/>
              <w:keepNext w:val="0"/>
            </w:pPr>
            <w:r w:rsidRPr="0013119A">
              <w:rPr>
                <w:color w:val="000000"/>
                <w:spacing w:val="37"/>
                <w:shd w:val="solid" w:color="000000" w:fill="000000"/>
                <w:fitText w:val="441" w:id="-1233470974"/>
                <w14:textFill>
                  <w14:solidFill>
                    <w14:srgbClr w14:val="000000">
                      <w14:alpha w14:val="100000"/>
                    </w14:srgbClr>
                  </w14:solidFill>
                </w14:textFill>
              </w:rPr>
              <w:t>|||||</w:t>
            </w:r>
            <w:r w:rsidRPr="0013119A">
              <w:rPr>
                <w:color w:val="000000"/>
                <w:spacing w:val="1"/>
                <w:shd w:val="solid" w:color="000000" w:fill="000000"/>
                <w:fitText w:val="441" w:id="-1233470974"/>
                <w14:textFill>
                  <w14:solidFill>
                    <w14:srgbClr w14:val="000000">
                      <w14:alpha w14:val="100000"/>
                    </w14:srgbClr>
                  </w14:solidFill>
                </w14:textFill>
              </w:rPr>
              <w:t>|</w:t>
            </w:r>
            <w:r w:rsidR="008759DD" w:rsidRPr="008759DD">
              <w:t xml:space="preserve"> </w:t>
            </w:r>
            <w:r w:rsidR="00431D2C" w:rsidRPr="00101AC1">
              <w:t xml:space="preserve">% in Year 1, increasing to </w:t>
            </w:r>
            <w:r w:rsidRPr="0013119A">
              <w:rPr>
                <w:color w:val="000000"/>
                <w:spacing w:val="35"/>
                <w:shd w:val="solid" w:color="000000" w:fill="000000"/>
                <w:fitText w:val="432" w:id="-1233470973"/>
                <w14:textFill>
                  <w14:solidFill>
                    <w14:srgbClr w14:val="000000">
                      <w14:alpha w14:val="100000"/>
                    </w14:srgbClr>
                  </w14:solidFill>
                </w14:textFill>
              </w:rPr>
              <w:t>|||||</w:t>
            </w:r>
            <w:r w:rsidRPr="0013119A">
              <w:rPr>
                <w:color w:val="000000"/>
                <w:spacing w:val="2"/>
                <w:shd w:val="solid" w:color="000000" w:fill="000000"/>
                <w:fitText w:val="432" w:id="-1233470973"/>
                <w14:textFill>
                  <w14:solidFill>
                    <w14:srgbClr w14:val="000000">
                      <w14:alpha w14:val="100000"/>
                    </w14:srgbClr>
                  </w14:solidFill>
                </w14:textFill>
              </w:rPr>
              <w:t>|</w:t>
            </w:r>
            <w:r w:rsidR="008759DD" w:rsidRPr="008759DD">
              <w:t xml:space="preserve"> </w:t>
            </w:r>
            <w:r w:rsidR="00431D2C" w:rsidRPr="00101AC1">
              <w:t>% in Years 3-6</w:t>
            </w:r>
          </w:p>
          <w:p w14:paraId="76C5FD3B" w14:textId="77777777" w:rsidR="00431D2C" w:rsidRPr="007E653E" w:rsidRDefault="00431D2C" w:rsidP="00087A4C">
            <w:pPr>
              <w:pStyle w:val="TableText0"/>
              <w:keepNext w:val="0"/>
            </w:pPr>
            <w:r>
              <w:t>(Previous PBAC advice on the uptake of t</w:t>
            </w:r>
            <w:r w:rsidRPr="00C045A7">
              <w:t>rastuzumab emtansine</w:t>
            </w:r>
            <w:r>
              <w:t xml:space="preserve"> (PSD, November 2019 PBAC meeting)</w:t>
            </w:r>
          </w:p>
        </w:tc>
        <w:tc>
          <w:tcPr>
            <w:tcW w:w="3569" w:type="dxa"/>
            <w:vMerge w:val="restart"/>
            <w:vAlign w:val="center"/>
          </w:tcPr>
          <w:p w14:paraId="2490BE8A" w14:textId="77777777" w:rsidR="00431D2C" w:rsidRPr="007E653E" w:rsidRDefault="00431D2C" w:rsidP="00087A4C">
            <w:pPr>
              <w:pStyle w:val="TableText0"/>
              <w:keepNext w:val="0"/>
            </w:pPr>
            <w:r w:rsidRPr="00A67E12">
              <w:rPr>
                <w:bCs w:val="0"/>
              </w:rPr>
              <w:t>These inputs remained unchanged from the original submission. This is not in line with the DUSC advice that a reduction to the assumed uptake and compliance rates, and duration of therapy should be considered. The resubmission did not provide sufficient evidence to support these assumptions (other than expert opinion).</w:t>
            </w:r>
            <w:r w:rsidRPr="00A67E12">
              <w:t xml:space="preserve">  </w:t>
            </w:r>
          </w:p>
        </w:tc>
      </w:tr>
      <w:tr w:rsidR="00431D2C" w14:paraId="254A86BF" w14:textId="77777777" w:rsidTr="00927EF8">
        <w:tc>
          <w:tcPr>
            <w:tcW w:w="1838" w:type="dxa"/>
            <w:shd w:val="clear" w:color="auto" w:fill="B8CCE4" w:themeFill="accent1" w:themeFillTint="66"/>
            <w:vAlign w:val="center"/>
          </w:tcPr>
          <w:p w14:paraId="42A06EC9" w14:textId="77777777" w:rsidR="00431D2C" w:rsidRPr="007E653E" w:rsidRDefault="00431D2C" w:rsidP="00087A4C">
            <w:pPr>
              <w:pStyle w:val="TableText0"/>
              <w:keepNext w:val="0"/>
            </w:pPr>
            <w:r w:rsidRPr="00E24309">
              <w:t>Treatment duration</w:t>
            </w:r>
          </w:p>
        </w:tc>
        <w:tc>
          <w:tcPr>
            <w:tcW w:w="3610" w:type="dxa"/>
            <w:gridSpan w:val="2"/>
            <w:shd w:val="clear" w:color="auto" w:fill="B8CCE4" w:themeFill="accent1" w:themeFillTint="66"/>
            <w:vAlign w:val="center"/>
          </w:tcPr>
          <w:p w14:paraId="1FC6FB00" w14:textId="77777777" w:rsidR="00431D2C" w:rsidRDefault="00431D2C" w:rsidP="00087A4C">
            <w:pPr>
              <w:pStyle w:val="TableText0"/>
              <w:keepNext w:val="0"/>
            </w:pPr>
            <w:r w:rsidRPr="00E24309">
              <w:t>2 years</w:t>
            </w:r>
          </w:p>
          <w:p w14:paraId="2F97EAA5" w14:textId="77777777" w:rsidR="00431D2C" w:rsidRPr="007E653E" w:rsidRDefault="00431D2C" w:rsidP="00087A4C">
            <w:pPr>
              <w:pStyle w:val="TableText0"/>
              <w:keepNext w:val="0"/>
            </w:pPr>
            <w:r>
              <w:t xml:space="preserve">(Median treatment duration in monarchE clinical trial </w:t>
            </w:r>
            <w:r w:rsidRPr="00E30A98">
              <w:t>23.8 months)</w:t>
            </w:r>
          </w:p>
        </w:tc>
        <w:tc>
          <w:tcPr>
            <w:tcW w:w="3569" w:type="dxa"/>
            <w:vMerge/>
            <w:vAlign w:val="center"/>
          </w:tcPr>
          <w:p w14:paraId="721185E5" w14:textId="77777777" w:rsidR="00431D2C" w:rsidRPr="007E653E" w:rsidRDefault="00431D2C" w:rsidP="00087A4C">
            <w:pPr>
              <w:pStyle w:val="TableText0"/>
              <w:keepNext w:val="0"/>
            </w:pPr>
          </w:p>
        </w:tc>
      </w:tr>
      <w:tr w:rsidR="00431D2C" w14:paraId="6A37B6C5" w14:textId="77777777" w:rsidTr="00927EF8">
        <w:tc>
          <w:tcPr>
            <w:tcW w:w="1838" w:type="dxa"/>
            <w:shd w:val="clear" w:color="auto" w:fill="B8CCE4" w:themeFill="accent1" w:themeFillTint="66"/>
            <w:vAlign w:val="center"/>
          </w:tcPr>
          <w:p w14:paraId="37201E3C" w14:textId="77777777" w:rsidR="00431D2C" w:rsidRPr="007E653E" w:rsidRDefault="00431D2C" w:rsidP="00087A4C">
            <w:pPr>
              <w:pStyle w:val="TableText0"/>
              <w:keepNext w:val="0"/>
            </w:pPr>
            <w:r w:rsidRPr="00E66BA8">
              <w:t>Compliance</w:t>
            </w:r>
          </w:p>
        </w:tc>
        <w:tc>
          <w:tcPr>
            <w:tcW w:w="3610" w:type="dxa"/>
            <w:gridSpan w:val="2"/>
            <w:shd w:val="clear" w:color="auto" w:fill="B8CCE4" w:themeFill="accent1" w:themeFillTint="66"/>
            <w:vAlign w:val="center"/>
          </w:tcPr>
          <w:p w14:paraId="6634BD42" w14:textId="77777777" w:rsidR="00431D2C" w:rsidRDefault="00431D2C" w:rsidP="00087A4C">
            <w:pPr>
              <w:pStyle w:val="TableText0"/>
              <w:keepNext w:val="0"/>
            </w:pPr>
            <w:r w:rsidRPr="00E66BA8">
              <w:t>100%</w:t>
            </w:r>
          </w:p>
          <w:p w14:paraId="104D8889" w14:textId="77777777" w:rsidR="00431D2C" w:rsidRPr="007E653E" w:rsidRDefault="00431D2C" w:rsidP="00087A4C">
            <w:pPr>
              <w:pStyle w:val="TableText0"/>
              <w:keepNext w:val="0"/>
            </w:pPr>
            <w:r>
              <w:t xml:space="preserve">(Compliance rate in </w:t>
            </w:r>
            <w:r w:rsidRPr="00CB3C6D">
              <w:t xml:space="preserve">AFU1 </w:t>
            </w:r>
            <w:r>
              <w:t>data-cut in monarchE is 98.9%)</w:t>
            </w:r>
          </w:p>
        </w:tc>
        <w:tc>
          <w:tcPr>
            <w:tcW w:w="3569" w:type="dxa"/>
            <w:vMerge/>
            <w:vAlign w:val="center"/>
          </w:tcPr>
          <w:p w14:paraId="097BB768" w14:textId="77777777" w:rsidR="00431D2C" w:rsidRPr="007E653E" w:rsidRDefault="00431D2C" w:rsidP="00087A4C">
            <w:pPr>
              <w:pStyle w:val="TableText0"/>
              <w:keepNext w:val="0"/>
            </w:pPr>
          </w:p>
        </w:tc>
      </w:tr>
      <w:tr w:rsidR="00431D2C" w14:paraId="54587CD7" w14:textId="77777777" w:rsidTr="00927EF8">
        <w:tc>
          <w:tcPr>
            <w:tcW w:w="1838" w:type="dxa"/>
            <w:shd w:val="clear" w:color="auto" w:fill="B8CCE4" w:themeFill="accent1" w:themeFillTint="66"/>
            <w:vAlign w:val="center"/>
          </w:tcPr>
          <w:p w14:paraId="766B80ED" w14:textId="77777777" w:rsidR="00431D2C" w:rsidRPr="007E653E" w:rsidRDefault="00431D2C" w:rsidP="00087A4C">
            <w:pPr>
              <w:pStyle w:val="TableText0"/>
              <w:keepNext w:val="0"/>
            </w:pPr>
            <w:r w:rsidRPr="00947AF6">
              <w:t>Utilisation across abemaciclib dose forms (150mg vs. 100mg vs. 50mg)</w:t>
            </w:r>
          </w:p>
        </w:tc>
        <w:tc>
          <w:tcPr>
            <w:tcW w:w="3610" w:type="dxa"/>
            <w:gridSpan w:val="2"/>
            <w:vAlign w:val="center"/>
          </w:tcPr>
          <w:p w14:paraId="153DEA61" w14:textId="77777777" w:rsidR="00431D2C" w:rsidRDefault="00431D2C" w:rsidP="00087A4C">
            <w:pPr>
              <w:pStyle w:val="TableText0"/>
              <w:keepNext w:val="0"/>
              <w:rPr>
                <w:color w:val="000000" w:themeColor="text1"/>
              </w:rPr>
            </w:pPr>
            <w:r>
              <w:rPr>
                <w:color w:val="000000" w:themeColor="text1"/>
              </w:rPr>
              <w:t xml:space="preserve">50.1%:37.9%:12.0% </w:t>
            </w:r>
          </w:p>
          <w:p w14:paraId="03553C78" w14:textId="77777777" w:rsidR="00431D2C" w:rsidRPr="007E653E" w:rsidRDefault="00431D2C" w:rsidP="00087A4C">
            <w:pPr>
              <w:pStyle w:val="TableText0"/>
              <w:keepNext w:val="0"/>
            </w:pPr>
            <w:r w:rsidRPr="002353F2">
              <w:rPr>
                <w:bCs w:val="0"/>
                <w:shd w:val="clear" w:color="auto" w:fill="B8CCE4" w:themeFill="accent1" w:themeFillTint="66"/>
                <w:lang w:val="en-US"/>
              </w:rPr>
              <w:t>PBS script data for abemaciclib relating to locally advanced or metastatic HR+/HER2- breast cancer</w:t>
            </w:r>
          </w:p>
        </w:tc>
        <w:tc>
          <w:tcPr>
            <w:tcW w:w="3569" w:type="dxa"/>
            <w:vAlign w:val="center"/>
          </w:tcPr>
          <w:p w14:paraId="77FD8807" w14:textId="77777777" w:rsidR="00431D2C" w:rsidRPr="007E653E" w:rsidRDefault="00431D2C" w:rsidP="00087A4C">
            <w:pPr>
              <w:pStyle w:val="TableText0"/>
              <w:keepNext w:val="0"/>
            </w:pPr>
            <w:r w:rsidRPr="00A67E12">
              <w:rPr>
                <w:bCs w:val="0"/>
              </w:rPr>
              <w:t>The resubmission updated the distribution of various abemaciclib doses (the period information not specified). The change in dose distribution of abemaciclib would not affect the results given the proposed flat pricing.</w:t>
            </w:r>
          </w:p>
        </w:tc>
      </w:tr>
      <w:tr w:rsidR="00431D2C" w14:paraId="61EFEBDB" w14:textId="77777777" w:rsidTr="00927EF8">
        <w:tc>
          <w:tcPr>
            <w:tcW w:w="1838" w:type="dxa"/>
            <w:vAlign w:val="center"/>
          </w:tcPr>
          <w:p w14:paraId="61BA1E18" w14:textId="77777777" w:rsidR="00431D2C" w:rsidRPr="007E653E" w:rsidRDefault="00431D2C" w:rsidP="00087A4C">
            <w:pPr>
              <w:pStyle w:val="TableText0"/>
              <w:keepNext w:val="0"/>
            </w:pPr>
            <w:r w:rsidRPr="00947AF6">
              <w:t>Abemaciclib (150mg, 100mg, or 50mg, 56 tablets)</w:t>
            </w:r>
          </w:p>
        </w:tc>
        <w:tc>
          <w:tcPr>
            <w:tcW w:w="3610" w:type="dxa"/>
            <w:gridSpan w:val="2"/>
            <w:vAlign w:val="center"/>
          </w:tcPr>
          <w:p w14:paraId="3C215E54" w14:textId="2E8FBD27" w:rsidR="00431D2C" w:rsidRDefault="00431D2C" w:rsidP="00087A4C">
            <w:pPr>
              <w:pStyle w:val="TableText0"/>
              <w:keepNext w:val="0"/>
            </w:pPr>
            <w:r>
              <w:t>$</w:t>
            </w:r>
            <w:r w:rsidR="0013119A" w:rsidRPr="0013119A">
              <w:rPr>
                <w:color w:val="000000"/>
                <w:spacing w:val="37"/>
                <w:shd w:val="solid" w:color="000000" w:fill="000000"/>
                <w:fitText w:val="441" w:id="-1233470972"/>
                <w14:textFill>
                  <w14:solidFill>
                    <w14:srgbClr w14:val="000000">
                      <w14:alpha w14:val="100000"/>
                    </w14:srgbClr>
                  </w14:solidFill>
                </w14:textFill>
              </w:rPr>
              <w:t>|||||</w:t>
            </w:r>
            <w:r w:rsidR="0013119A" w:rsidRPr="0013119A">
              <w:rPr>
                <w:color w:val="000000"/>
                <w:spacing w:val="1"/>
                <w:shd w:val="solid" w:color="000000" w:fill="000000"/>
                <w:fitText w:val="441" w:id="-1233470972"/>
                <w14:textFill>
                  <w14:solidFill>
                    <w14:srgbClr w14:val="000000">
                      <w14:alpha w14:val="100000"/>
                    </w14:srgbClr>
                  </w14:solidFill>
                </w14:textFill>
              </w:rPr>
              <w:t>|</w:t>
            </w:r>
            <w:r w:rsidR="008759DD" w:rsidRPr="008759DD">
              <w:t xml:space="preserve"> </w:t>
            </w:r>
          </w:p>
          <w:p w14:paraId="672C8DA9" w14:textId="77777777" w:rsidR="00431D2C" w:rsidRDefault="00431D2C" w:rsidP="00087A4C">
            <w:pPr>
              <w:pStyle w:val="TableText0"/>
              <w:keepNext w:val="0"/>
            </w:pPr>
            <w:r>
              <w:t>(flat pricing)</w:t>
            </w:r>
          </w:p>
          <w:p w14:paraId="334381BC" w14:textId="77777777" w:rsidR="00431D2C" w:rsidRPr="007E653E" w:rsidRDefault="00431D2C" w:rsidP="00087A4C">
            <w:pPr>
              <w:pStyle w:val="TableText0"/>
              <w:keepNext w:val="0"/>
            </w:pPr>
            <w:r>
              <w:t>Requested effective DPMQ</w:t>
            </w:r>
          </w:p>
        </w:tc>
        <w:tc>
          <w:tcPr>
            <w:tcW w:w="3569" w:type="dxa"/>
            <w:vAlign w:val="center"/>
          </w:tcPr>
          <w:p w14:paraId="3FD4CE02" w14:textId="77777777" w:rsidR="00431D2C" w:rsidRPr="007E653E" w:rsidRDefault="00431D2C" w:rsidP="00087A4C">
            <w:pPr>
              <w:pStyle w:val="TableText0"/>
              <w:keepNext w:val="0"/>
            </w:pPr>
            <w:r w:rsidRPr="00A67E12">
              <w:t>Appropriate</w:t>
            </w:r>
          </w:p>
        </w:tc>
      </w:tr>
      <w:tr w:rsidR="00431D2C" w14:paraId="307CFB1C" w14:textId="77777777" w:rsidTr="00927EF8">
        <w:tc>
          <w:tcPr>
            <w:tcW w:w="1838" w:type="dxa"/>
            <w:vMerge w:val="restart"/>
            <w:vAlign w:val="center"/>
          </w:tcPr>
          <w:p w14:paraId="4C381530" w14:textId="77777777" w:rsidR="00431D2C" w:rsidRPr="007E653E" w:rsidRDefault="00431D2C" w:rsidP="00087A4C">
            <w:pPr>
              <w:pStyle w:val="TableText0"/>
              <w:keepNext w:val="0"/>
            </w:pPr>
            <w:r w:rsidRPr="00947AF6">
              <w:t>Patient co-payment</w:t>
            </w:r>
          </w:p>
        </w:tc>
        <w:tc>
          <w:tcPr>
            <w:tcW w:w="1607" w:type="dxa"/>
            <w:vAlign w:val="center"/>
          </w:tcPr>
          <w:p w14:paraId="1E91AA1B" w14:textId="77777777" w:rsidR="00431D2C" w:rsidRPr="00652924" w:rsidRDefault="00431D2C" w:rsidP="00087A4C">
            <w:pPr>
              <w:pStyle w:val="TableText0"/>
              <w:keepNext w:val="0"/>
              <w:rPr>
                <w:lang w:val="en-US"/>
              </w:rPr>
            </w:pPr>
            <w:r w:rsidRPr="005D7D65">
              <w:rPr>
                <w:lang w:val="en-US"/>
              </w:rPr>
              <w:t>PBS</w:t>
            </w:r>
            <w:r>
              <w:rPr>
                <w:lang w:val="en-US"/>
              </w:rPr>
              <w:t>/</w:t>
            </w:r>
            <w:r w:rsidRPr="005D7D65">
              <w:rPr>
                <w:lang w:val="en-US"/>
              </w:rPr>
              <w:t xml:space="preserve"> RPBS</w:t>
            </w:r>
            <w:r>
              <w:rPr>
                <w:lang w:val="en-US"/>
              </w:rPr>
              <w:t xml:space="preserve"> split: </w:t>
            </w:r>
            <w:r w:rsidRPr="005D7D65">
              <w:rPr>
                <w:lang w:val="en-US"/>
              </w:rPr>
              <w:t>99.6%</w:t>
            </w:r>
            <w:r>
              <w:rPr>
                <w:lang w:val="en-US"/>
              </w:rPr>
              <w:t>:</w:t>
            </w:r>
            <w:r w:rsidRPr="005D7D65">
              <w:rPr>
                <w:lang w:val="en-US"/>
              </w:rPr>
              <w:t>0.4%</w:t>
            </w:r>
          </w:p>
        </w:tc>
        <w:tc>
          <w:tcPr>
            <w:tcW w:w="2003" w:type="dxa"/>
            <w:vMerge w:val="restart"/>
            <w:vAlign w:val="center"/>
          </w:tcPr>
          <w:p w14:paraId="55379537" w14:textId="77777777" w:rsidR="00431D2C" w:rsidRPr="007E653E" w:rsidRDefault="00431D2C" w:rsidP="00087A4C">
            <w:pPr>
              <w:pStyle w:val="TableText0"/>
              <w:keepNext w:val="0"/>
            </w:pPr>
            <w:r w:rsidRPr="005D7D65">
              <w:rPr>
                <w:lang w:val="en-US"/>
              </w:rPr>
              <w:t>Medicare data on trastuzumab for early HER2+ breast cancer in 2021</w:t>
            </w:r>
          </w:p>
        </w:tc>
        <w:tc>
          <w:tcPr>
            <w:tcW w:w="3569" w:type="dxa"/>
            <w:vMerge w:val="restart"/>
            <w:vAlign w:val="center"/>
          </w:tcPr>
          <w:p w14:paraId="50643CCA" w14:textId="77777777" w:rsidR="00431D2C" w:rsidRPr="007E653E" w:rsidRDefault="00431D2C" w:rsidP="00087A4C">
            <w:pPr>
              <w:pStyle w:val="TableText0"/>
              <w:keepNext w:val="0"/>
            </w:pPr>
            <w:r w:rsidRPr="00A67E12">
              <w:rPr>
                <w:bCs w:val="0"/>
              </w:rPr>
              <w:t>These sources for PBS/RPBS split and patient co-payment calculation was reasonable. It is noted that patient co-payments have changed since 1 January 2023</w:t>
            </w:r>
            <w:r w:rsidRPr="00A67E12">
              <w:rPr>
                <w:bCs w:val="0"/>
                <w:vertAlign w:val="superscript"/>
              </w:rPr>
              <w:t>a</w:t>
            </w:r>
            <w:r w:rsidRPr="00A67E12">
              <w:rPr>
                <w:bCs w:val="0"/>
              </w:rPr>
              <w:t>. This, however, has a minimal impact on the financial estimates.</w:t>
            </w:r>
          </w:p>
        </w:tc>
      </w:tr>
      <w:tr w:rsidR="00431D2C" w14:paraId="474143C8" w14:textId="77777777" w:rsidTr="00927EF8">
        <w:tc>
          <w:tcPr>
            <w:tcW w:w="1838" w:type="dxa"/>
            <w:vMerge/>
            <w:vAlign w:val="center"/>
          </w:tcPr>
          <w:p w14:paraId="45BA1FF6" w14:textId="77777777" w:rsidR="00431D2C" w:rsidRPr="00947AF6" w:rsidRDefault="00431D2C" w:rsidP="00087A4C">
            <w:pPr>
              <w:pStyle w:val="TableText0"/>
              <w:keepNext w:val="0"/>
            </w:pPr>
          </w:p>
        </w:tc>
        <w:tc>
          <w:tcPr>
            <w:tcW w:w="1607" w:type="dxa"/>
            <w:vAlign w:val="center"/>
          </w:tcPr>
          <w:p w14:paraId="10690274" w14:textId="77777777" w:rsidR="00431D2C" w:rsidRPr="005D7D65" w:rsidRDefault="00431D2C" w:rsidP="00087A4C">
            <w:pPr>
              <w:pStyle w:val="TableText0"/>
              <w:keepNext w:val="0"/>
              <w:rPr>
                <w:lang w:val="en-US"/>
              </w:rPr>
            </w:pPr>
            <w:r w:rsidRPr="005D7D65">
              <w:rPr>
                <w:lang w:val="en-US"/>
              </w:rPr>
              <w:t>PBS: $</w:t>
            </w:r>
            <w:r>
              <w:rPr>
                <w:lang w:val="en-US"/>
              </w:rPr>
              <w:t>30</w:t>
            </w:r>
            <w:r w:rsidRPr="005D7D65">
              <w:rPr>
                <w:lang w:val="en-US"/>
              </w:rPr>
              <w:t>.</w:t>
            </w:r>
            <w:r>
              <w:rPr>
                <w:lang w:val="en-US"/>
              </w:rPr>
              <w:t>65</w:t>
            </w:r>
            <w:r w:rsidRPr="005D7D65">
              <w:rPr>
                <w:lang w:val="en-US"/>
              </w:rPr>
              <w:t xml:space="preserve"> </w:t>
            </w:r>
          </w:p>
          <w:p w14:paraId="278FC6B4" w14:textId="77777777" w:rsidR="00431D2C" w:rsidRDefault="00431D2C" w:rsidP="00087A4C">
            <w:pPr>
              <w:pStyle w:val="TableText0"/>
              <w:keepNext w:val="0"/>
              <w:rPr>
                <w:lang w:val="en-US"/>
              </w:rPr>
            </w:pPr>
            <w:r w:rsidRPr="005D7D65">
              <w:rPr>
                <w:lang w:val="en-US"/>
              </w:rPr>
              <w:t>RPBS: $6.</w:t>
            </w:r>
            <w:r>
              <w:rPr>
                <w:lang w:val="en-US"/>
              </w:rPr>
              <w:t>74</w:t>
            </w:r>
            <w:r w:rsidRPr="005D7D65">
              <w:rPr>
                <w:lang w:val="en-US"/>
              </w:rPr>
              <w:t xml:space="preserve"> </w:t>
            </w:r>
          </w:p>
          <w:p w14:paraId="51C6A176" w14:textId="77777777" w:rsidR="00431D2C" w:rsidRPr="005D7D65" w:rsidRDefault="00431D2C" w:rsidP="00087A4C">
            <w:pPr>
              <w:pStyle w:val="TableText0"/>
              <w:keepNext w:val="0"/>
              <w:rPr>
                <w:lang w:val="en-US"/>
              </w:rPr>
            </w:pPr>
          </w:p>
        </w:tc>
        <w:tc>
          <w:tcPr>
            <w:tcW w:w="2003" w:type="dxa"/>
            <w:vMerge/>
            <w:vAlign w:val="center"/>
          </w:tcPr>
          <w:p w14:paraId="4C2CFCF0" w14:textId="77777777" w:rsidR="00431D2C" w:rsidRPr="005D7D65" w:rsidRDefault="00431D2C" w:rsidP="00087A4C">
            <w:pPr>
              <w:pStyle w:val="TableText0"/>
              <w:keepNext w:val="0"/>
              <w:rPr>
                <w:lang w:val="en-US"/>
              </w:rPr>
            </w:pPr>
          </w:p>
        </w:tc>
        <w:tc>
          <w:tcPr>
            <w:tcW w:w="3569" w:type="dxa"/>
            <w:vMerge/>
            <w:vAlign w:val="center"/>
          </w:tcPr>
          <w:p w14:paraId="74F0718E" w14:textId="77777777" w:rsidR="00431D2C" w:rsidRDefault="00431D2C" w:rsidP="00087A4C">
            <w:pPr>
              <w:pStyle w:val="TableText0"/>
              <w:keepNext w:val="0"/>
              <w:rPr>
                <w:i/>
              </w:rPr>
            </w:pPr>
          </w:p>
        </w:tc>
      </w:tr>
    </w:tbl>
    <w:p w14:paraId="2DD2186A" w14:textId="77777777" w:rsidR="00431D2C" w:rsidRDefault="00431D2C" w:rsidP="00087A4C">
      <w:pPr>
        <w:pStyle w:val="FooterTableFigure"/>
      </w:pPr>
      <w:r>
        <w:t>Source:</w:t>
      </w:r>
      <w:r w:rsidRPr="00FB0EB6">
        <w:t xml:space="preserve"> Information provided in Section 4.1, pp2</w:t>
      </w:r>
      <w:r>
        <w:t>84</w:t>
      </w:r>
      <w:r w:rsidRPr="00FB0EB6">
        <w:t>-2</w:t>
      </w:r>
      <w:r>
        <w:t>88</w:t>
      </w:r>
      <w:r w:rsidRPr="00FB0EB6">
        <w:t xml:space="preserve"> of the </w:t>
      </w:r>
      <w:r>
        <w:t>re</w:t>
      </w:r>
      <w:r w:rsidRPr="00FB0EB6">
        <w:t>submission</w:t>
      </w:r>
      <w:r>
        <w:t xml:space="preserve"> </w:t>
      </w:r>
    </w:p>
    <w:p w14:paraId="6FFF5C4B" w14:textId="77777777" w:rsidR="00431D2C" w:rsidRDefault="00431D2C" w:rsidP="00087A4C">
      <w:pPr>
        <w:pStyle w:val="FooterTableFigure"/>
      </w:pPr>
      <w:r>
        <w:t xml:space="preserve">AFU = </w:t>
      </w:r>
      <w:r w:rsidRPr="00E30A98">
        <w:t>additional follow up analysis</w:t>
      </w:r>
      <w:r>
        <w:t>;</w:t>
      </w:r>
      <w:r w:rsidRPr="00E30A98">
        <w:t xml:space="preserve"> </w:t>
      </w:r>
      <w:r w:rsidRPr="00FB0EB6">
        <w:t xml:space="preserve">AIHW = Australian Institute of Health and Welfare; </w:t>
      </w:r>
      <w:r w:rsidRPr="005604D7">
        <w:t xml:space="preserve">DUSC = Drug Utilisation Sub-committee; </w:t>
      </w:r>
      <w:r>
        <w:t xml:space="preserve">DPMQ = dispensed price for maximum quantity; EBC = early breast cancer; </w:t>
      </w:r>
      <w:r w:rsidRPr="00FB0EB6">
        <w:t>HER2+ = human epidermal growth factor receptor 2 positive; HER2- = human epidermal growth factor receptor 2 negative; HR+ = hormone receptor positive; NCCI = National Cancer Control Indicators, PBAC = Pharmaceutical Benefits Advisory Committee; PBS = Pharmaceutical Benefits Scheme; PSD = public summary document; RPBS = Repatriation Pharmaceutical Benefits Scheme; SEER = Surveillance, Epidemiology and End Results</w:t>
      </w:r>
    </w:p>
    <w:p w14:paraId="32849585" w14:textId="77777777" w:rsidR="00431D2C" w:rsidRPr="00A67E12" w:rsidRDefault="00431D2C" w:rsidP="00087A4C">
      <w:pPr>
        <w:pStyle w:val="FooterTableFigure"/>
      </w:pPr>
      <w:r w:rsidRPr="00A67E12">
        <w:rPr>
          <w:rStyle w:val="CommentReference"/>
          <w:b w:val="0"/>
          <w:bCs/>
          <w:iCs/>
          <w:sz w:val="16"/>
          <w:shd w:val="clear" w:color="auto" w:fill="B8CCE4" w:themeFill="accent1" w:themeFillTint="66"/>
        </w:rPr>
        <w:t>Blue shading</w:t>
      </w:r>
      <w:r w:rsidRPr="00A67E12">
        <w:rPr>
          <w:rStyle w:val="CommentReference"/>
          <w:b w:val="0"/>
          <w:bCs/>
          <w:iCs/>
          <w:sz w:val="16"/>
        </w:rPr>
        <w:t xml:space="preserve"> </w:t>
      </w:r>
      <w:r w:rsidRPr="00A67E12">
        <w:t>indicates data previously seen by the PBAC.</w:t>
      </w:r>
    </w:p>
    <w:p w14:paraId="2368D4ED" w14:textId="77777777" w:rsidR="00431D2C" w:rsidRPr="00A67E12" w:rsidRDefault="00431D2C" w:rsidP="00087A4C">
      <w:pPr>
        <w:pStyle w:val="FooterTableFigure"/>
      </w:pPr>
      <w:r w:rsidRPr="00A67E12">
        <w:rPr>
          <w:vertAlign w:val="superscript"/>
        </w:rPr>
        <w:t xml:space="preserve">a </w:t>
      </w:r>
      <w:r w:rsidRPr="00A67E12">
        <w:t>Reduction in general patient co-payment from $42.50 to $30.00 and increase in concessional patient co-payment from $6.80 to $7.30.</w:t>
      </w:r>
    </w:p>
    <w:p w14:paraId="07BD5820" w14:textId="4787CDBB" w:rsidR="00431D2C" w:rsidRPr="00541EE3" w:rsidRDefault="00431D2C" w:rsidP="00431D2C">
      <w:pPr>
        <w:pStyle w:val="3-BodyText"/>
      </w:pPr>
      <w:r w:rsidRPr="00541EE3">
        <w:lastRenderedPageBreak/>
        <w:t xml:space="preserve">The resubmission’s estimate for use and financial impacts of listing abemaciclib are summarised in </w:t>
      </w:r>
      <w:r w:rsidRPr="00541EE3">
        <w:fldChar w:fldCharType="begin"/>
      </w:r>
      <w:r w:rsidRPr="00541EE3">
        <w:instrText xml:space="preserve"> REF _Ref104805295 \h  \* MERGEFORMAT </w:instrText>
      </w:r>
      <w:r w:rsidRPr="00541EE3">
        <w:fldChar w:fldCharType="separate"/>
      </w:r>
      <w:r w:rsidR="0001201E">
        <w:t>Table 20</w:t>
      </w:r>
      <w:r w:rsidRPr="00541EE3">
        <w:fldChar w:fldCharType="end"/>
      </w:r>
      <w:r w:rsidRPr="00541EE3">
        <w:t xml:space="preserve">. </w:t>
      </w:r>
    </w:p>
    <w:p w14:paraId="05EA76CE" w14:textId="56BBB73D" w:rsidR="00431D2C" w:rsidRPr="00606FBA" w:rsidRDefault="00431D2C" w:rsidP="00431D2C">
      <w:pPr>
        <w:pStyle w:val="Caption"/>
      </w:pPr>
      <w:bookmarkStart w:id="68" w:name="_Ref104805295"/>
      <w:r>
        <w:t xml:space="preserve">Table </w:t>
      </w:r>
      <w:fldSimple w:instr=" SEQ Table \* ARABIC ">
        <w:r w:rsidR="0001201E">
          <w:rPr>
            <w:noProof/>
          </w:rPr>
          <w:t>20</w:t>
        </w:r>
      </w:fldSimple>
      <w:bookmarkEnd w:id="68"/>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134"/>
        <w:gridCol w:w="992"/>
        <w:gridCol w:w="1035"/>
        <w:gridCol w:w="1102"/>
        <w:gridCol w:w="1102"/>
        <w:gridCol w:w="1105"/>
      </w:tblGrid>
      <w:tr w:rsidR="00431D2C" w:rsidRPr="00D1078F" w14:paraId="2AE6149B" w14:textId="77777777" w:rsidTr="00F111F2">
        <w:trPr>
          <w:tblHeader/>
        </w:trPr>
        <w:tc>
          <w:tcPr>
            <w:tcW w:w="1412" w:type="pct"/>
            <w:shd w:val="clear" w:color="auto" w:fill="auto"/>
            <w:vAlign w:val="center"/>
          </w:tcPr>
          <w:p w14:paraId="0EDC72A3" w14:textId="77777777" w:rsidR="00431D2C" w:rsidRPr="003639A6" w:rsidRDefault="00431D2C" w:rsidP="00F111F2">
            <w:pPr>
              <w:pStyle w:val="In-tableHeading"/>
              <w:jc w:val="center"/>
            </w:pPr>
          </w:p>
        </w:tc>
        <w:tc>
          <w:tcPr>
            <w:tcW w:w="629" w:type="pct"/>
            <w:shd w:val="clear" w:color="auto" w:fill="auto"/>
            <w:vAlign w:val="center"/>
          </w:tcPr>
          <w:p w14:paraId="3A269ABA" w14:textId="77777777" w:rsidR="00431D2C" w:rsidRPr="00D1078F" w:rsidRDefault="00431D2C" w:rsidP="00F111F2">
            <w:pPr>
              <w:pStyle w:val="In-tableHeading"/>
              <w:jc w:val="center"/>
            </w:pPr>
            <w:r w:rsidRPr="00D1078F">
              <w:t>Year 1</w:t>
            </w:r>
          </w:p>
        </w:tc>
        <w:tc>
          <w:tcPr>
            <w:tcW w:w="550" w:type="pct"/>
            <w:shd w:val="clear" w:color="auto" w:fill="auto"/>
            <w:vAlign w:val="center"/>
          </w:tcPr>
          <w:p w14:paraId="760A9E4B" w14:textId="77777777" w:rsidR="00431D2C" w:rsidRPr="00D1078F" w:rsidRDefault="00431D2C" w:rsidP="00F111F2">
            <w:pPr>
              <w:pStyle w:val="In-tableHeading"/>
              <w:jc w:val="center"/>
            </w:pPr>
            <w:r w:rsidRPr="00D1078F">
              <w:t>Year 2</w:t>
            </w:r>
          </w:p>
        </w:tc>
        <w:tc>
          <w:tcPr>
            <w:tcW w:w="574" w:type="pct"/>
            <w:shd w:val="clear" w:color="auto" w:fill="auto"/>
            <w:vAlign w:val="center"/>
          </w:tcPr>
          <w:p w14:paraId="1067A374" w14:textId="77777777" w:rsidR="00431D2C" w:rsidRPr="00D1078F" w:rsidRDefault="00431D2C" w:rsidP="00F111F2">
            <w:pPr>
              <w:pStyle w:val="In-tableHeading"/>
              <w:jc w:val="center"/>
            </w:pPr>
            <w:r w:rsidRPr="00D1078F">
              <w:t>Year 3</w:t>
            </w:r>
          </w:p>
        </w:tc>
        <w:tc>
          <w:tcPr>
            <w:tcW w:w="611" w:type="pct"/>
            <w:shd w:val="clear" w:color="auto" w:fill="auto"/>
            <w:vAlign w:val="center"/>
          </w:tcPr>
          <w:p w14:paraId="72F64485" w14:textId="77777777" w:rsidR="00431D2C" w:rsidRPr="00D1078F" w:rsidRDefault="00431D2C" w:rsidP="00F111F2">
            <w:pPr>
              <w:pStyle w:val="In-tableHeading"/>
              <w:jc w:val="center"/>
            </w:pPr>
            <w:r w:rsidRPr="00D1078F">
              <w:t>Year 4</w:t>
            </w:r>
          </w:p>
        </w:tc>
        <w:tc>
          <w:tcPr>
            <w:tcW w:w="611" w:type="pct"/>
            <w:shd w:val="clear" w:color="auto" w:fill="auto"/>
            <w:vAlign w:val="center"/>
          </w:tcPr>
          <w:p w14:paraId="6CAFA909" w14:textId="77777777" w:rsidR="00431D2C" w:rsidRPr="00D1078F" w:rsidRDefault="00431D2C" w:rsidP="00F111F2">
            <w:pPr>
              <w:pStyle w:val="In-tableHeading"/>
              <w:jc w:val="center"/>
            </w:pPr>
            <w:r w:rsidRPr="00D1078F">
              <w:t>Year 5</w:t>
            </w:r>
          </w:p>
        </w:tc>
        <w:tc>
          <w:tcPr>
            <w:tcW w:w="613" w:type="pct"/>
          </w:tcPr>
          <w:p w14:paraId="29F4AEE3" w14:textId="77777777" w:rsidR="00431D2C" w:rsidRPr="00D1078F" w:rsidRDefault="00431D2C" w:rsidP="00F111F2">
            <w:pPr>
              <w:pStyle w:val="In-tableHeading"/>
              <w:jc w:val="center"/>
            </w:pPr>
            <w:r w:rsidRPr="00D1078F">
              <w:t>Year 6</w:t>
            </w:r>
          </w:p>
        </w:tc>
      </w:tr>
      <w:tr w:rsidR="00431D2C" w:rsidRPr="00D1078F" w14:paraId="46C3BBAE" w14:textId="77777777" w:rsidTr="00F111F2">
        <w:tc>
          <w:tcPr>
            <w:tcW w:w="5000" w:type="pct"/>
            <w:gridSpan w:val="7"/>
            <w:shd w:val="clear" w:color="auto" w:fill="auto"/>
            <w:vAlign w:val="center"/>
          </w:tcPr>
          <w:p w14:paraId="57B1457D" w14:textId="77777777" w:rsidR="00431D2C" w:rsidRPr="00D1078F" w:rsidRDefault="00431D2C" w:rsidP="00F111F2">
            <w:pPr>
              <w:pStyle w:val="In-tableHeading"/>
              <w:rPr>
                <w:bCs/>
                <w:color w:val="000000"/>
              </w:rPr>
            </w:pPr>
            <w:r w:rsidRPr="00D1078F">
              <w:rPr>
                <w:bCs/>
                <w:color w:val="000000"/>
              </w:rPr>
              <w:t>Estimated extent of use</w:t>
            </w:r>
          </w:p>
        </w:tc>
      </w:tr>
      <w:tr w:rsidR="00431D2C" w:rsidRPr="003639A6" w14:paraId="47650D01" w14:textId="77777777" w:rsidTr="00F111F2">
        <w:tc>
          <w:tcPr>
            <w:tcW w:w="1412" w:type="pct"/>
            <w:shd w:val="clear" w:color="auto" w:fill="auto"/>
            <w:vAlign w:val="center"/>
          </w:tcPr>
          <w:p w14:paraId="5E03D1EF" w14:textId="77777777" w:rsidR="00431D2C" w:rsidRPr="003639A6" w:rsidRDefault="00431D2C" w:rsidP="00F111F2">
            <w:pPr>
              <w:pStyle w:val="TableText0"/>
              <w:rPr>
                <w:rFonts w:ascii="Times" w:hAnsi="Times"/>
              </w:rPr>
            </w:pPr>
            <w:r w:rsidRPr="003639A6">
              <w:t>Number of patients treated</w:t>
            </w:r>
            <w:r w:rsidRPr="003639A6">
              <w:rPr>
                <w:vertAlign w:val="superscript"/>
              </w:rPr>
              <w:t>a</w:t>
            </w:r>
          </w:p>
        </w:tc>
        <w:tc>
          <w:tcPr>
            <w:tcW w:w="629" w:type="pct"/>
            <w:shd w:val="clear" w:color="auto" w:fill="auto"/>
          </w:tcPr>
          <w:p w14:paraId="5399A1DA" w14:textId="77A83149" w:rsidR="00431D2C" w:rsidRPr="00EF4D6E" w:rsidRDefault="0013119A" w:rsidP="00F111F2">
            <w:pPr>
              <w:pStyle w:val="TableText0"/>
              <w:jc w:val="center"/>
              <w:rPr>
                <w:color w:val="000000"/>
                <w:highlight w:val="darkGray"/>
              </w:rPr>
            </w:pPr>
            <w:r w:rsidRPr="0013119A">
              <w:rPr>
                <w:color w:val="000000"/>
                <w:spacing w:val="44"/>
                <w:shd w:val="solid" w:color="000000" w:fill="000000"/>
                <w:fitText w:val="216" w:id="-1233470971"/>
                <w14:textFill>
                  <w14:solidFill>
                    <w14:srgbClr w14:val="000000">
                      <w14:alpha w14:val="100000"/>
                    </w14:srgbClr>
                  </w14:solidFill>
                </w14:textFill>
              </w:rPr>
              <w:t>||</w:t>
            </w:r>
            <w:r w:rsidRPr="0013119A">
              <w:rPr>
                <w:color w:val="000000"/>
                <w:spacing w:val="1"/>
                <w:shd w:val="solid" w:color="000000" w:fill="000000"/>
                <w:fitText w:val="216" w:id="-1233470971"/>
                <w14:textFill>
                  <w14:solidFill>
                    <w14:srgbClr w14:val="000000">
                      <w14:alpha w14:val="100000"/>
                    </w14:srgbClr>
                  </w14:solidFill>
                </w14:textFill>
              </w:rPr>
              <w:t>|</w:t>
            </w:r>
            <w:r w:rsidR="008759DD" w:rsidRPr="008759DD">
              <w:t xml:space="preserve"> </w:t>
            </w:r>
            <w:r w:rsidR="00EF4D6E" w:rsidRPr="00EF4D6E">
              <w:rPr>
                <w:vertAlign w:val="superscript"/>
              </w:rPr>
              <w:t>1</w:t>
            </w:r>
          </w:p>
        </w:tc>
        <w:tc>
          <w:tcPr>
            <w:tcW w:w="550" w:type="pct"/>
            <w:shd w:val="clear" w:color="auto" w:fill="auto"/>
          </w:tcPr>
          <w:p w14:paraId="47E314D7" w14:textId="59342D23" w:rsidR="00431D2C" w:rsidRPr="00EF4D6E" w:rsidRDefault="0013119A" w:rsidP="00F111F2">
            <w:pPr>
              <w:pStyle w:val="TableText0"/>
              <w:jc w:val="center"/>
              <w:rPr>
                <w:color w:val="000000"/>
                <w:highlight w:val="darkGray"/>
              </w:rPr>
            </w:pPr>
            <w:r w:rsidRPr="0013119A">
              <w:rPr>
                <w:color w:val="000000"/>
                <w:spacing w:val="214"/>
                <w:shd w:val="solid" w:color="000000" w:fill="000000"/>
                <w:fitText w:val="300" w:id="-1233470970"/>
                <w14:textFill>
                  <w14:solidFill>
                    <w14:srgbClr w14:val="000000">
                      <w14:alpha w14:val="100000"/>
                    </w14:srgbClr>
                  </w14:solidFill>
                </w14:textFill>
              </w:rPr>
              <w:t>|</w:t>
            </w:r>
            <w:r w:rsidRPr="0013119A">
              <w:rPr>
                <w:color w:val="000000"/>
                <w:spacing w:val="1"/>
                <w:shd w:val="solid" w:color="000000" w:fill="000000"/>
                <w:fitText w:val="300" w:id="-1233470970"/>
                <w14:textFill>
                  <w14:solidFill>
                    <w14:srgbClr w14:val="000000">
                      <w14:alpha w14:val="100000"/>
                    </w14:srgbClr>
                  </w14:solidFill>
                </w14:textFill>
              </w:rPr>
              <w:t>|</w:t>
            </w:r>
            <w:r w:rsidR="008759DD" w:rsidRPr="008759DD">
              <w:t xml:space="preserve"> </w:t>
            </w:r>
            <w:r w:rsidR="00EF4D6E" w:rsidRPr="00EF4D6E">
              <w:rPr>
                <w:vertAlign w:val="superscript"/>
              </w:rPr>
              <w:t>1</w:t>
            </w:r>
          </w:p>
        </w:tc>
        <w:tc>
          <w:tcPr>
            <w:tcW w:w="574" w:type="pct"/>
            <w:shd w:val="clear" w:color="auto" w:fill="auto"/>
          </w:tcPr>
          <w:p w14:paraId="6DA3647A" w14:textId="6E09173E" w:rsidR="00431D2C" w:rsidRPr="00EF4D6E" w:rsidRDefault="0013119A" w:rsidP="00F111F2">
            <w:pPr>
              <w:pStyle w:val="TableText0"/>
              <w:jc w:val="center"/>
              <w:rPr>
                <w:color w:val="000000"/>
                <w:highlight w:val="darkGray"/>
              </w:rPr>
            </w:pPr>
            <w:r w:rsidRPr="0013119A">
              <w:rPr>
                <w:color w:val="000000"/>
                <w:spacing w:val="180"/>
                <w:shd w:val="solid" w:color="000000" w:fill="000000"/>
                <w:fitText w:val="266" w:id="-1233470969"/>
                <w14:textFill>
                  <w14:solidFill>
                    <w14:srgbClr w14:val="000000">
                      <w14:alpha w14:val="100000"/>
                    </w14:srgbClr>
                  </w14:solidFill>
                </w14:textFill>
              </w:rPr>
              <w:t>|</w:t>
            </w:r>
            <w:r w:rsidRPr="0013119A">
              <w:rPr>
                <w:color w:val="000000"/>
                <w:spacing w:val="1"/>
                <w:shd w:val="solid" w:color="000000" w:fill="000000"/>
                <w:fitText w:val="266" w:id="-1233470969"/>
                <w14:textFill>
                  <w14:solidFill>
                    <w14:srgbClr w14:val="000000">
                      <w14:alpha w14:val="100000"/>
                    </w14:srgbClr>
                  </w14:solidFill>
                </w14:textFill>
              </w:rPr>
              <w:t>|</w:t>
            </w:r>
            <w:r w:rsidR="008759DD" w:rsidRPr="008759DD">
              <w:t xml:space="preserve"> </w:t>
            </w:r>
            <w:r w:rsidR="00EF4D6E" w:rsidRPr="00EF4D6E">
              <w:rPr>
                <w:vertAlign w:val="superscript"/>
              </w:rPr>
              <w:t>1</w:t>
            </w:r>
          </w:p>
        </w:tc>
        <w:tc>
          <w:tcPr>
            <w:tcW w:w="611" w:type="pct"/>
            <w:shd w:val="clear" w:color="auto" w:fill="auto"/>
          </w:tcPr>
          <w:p w14:paraId="30529D7F" w14:textId="558DCEF7" w:rsidR="00431D2C" w:rsidRPr="00EF4D6E" w:rsidRDefault="0013119A" w:rsidP="00F111F2">
            <w:pPr>
              <w:pStyle w:val="TableText0"/>
              <w:jc w:val="center"/>
              <w:rPr>
                <w:color w:val="000000"/>
                <w:highlight w:val="darkGray"/>
              </w:rPr>
            </w:pPr>
            <w:r w:rsidRPr="0013119A">
              <w:rPr>
                <w:color w:val="000000"/>
                <w:spacing w:val="52"/>
                <w:shd w:val="solid" w:color="000000" w:fill="000000"/>
                <w:fitText w:val="233" w:id="-1233470968"/>
                <w14:textFill>
                  <w14:solidFill>
                    <w14:srgbClr w14:val="000000">
                      <w14:alpha w14:val="100000"/>
                    </w14:srgbClr>
                  </w14:solidFill>
                </w14:textFill>
              </w:rPr>
              <w:t>||</w:t>
            </w:r>
            <w:r w:rsidRPr="0013119A">
              <w:rPr>
                <w:color w:val="000000"/>
                <w:spacing w:val="2"/>
                <w:shd w:val="solid" w:color="000000" w:fill="000000"/>
                <w:fitText w:val="233" w:id="-1233470968"/>
                <w14:textFill>
                  <w14:solidFill>
                    <w14:srgbClr w14:val="000000">
                      <w14:alpha w14:val="100000"/>
                    </w14:srgbClr>
                  </w14:solidFill>
                </w14:textFill>
              </w:rPr>
              <w:t>|</w:t>
            </w:r>
            <w:r w:rsidR="008759DD" w:rsidRPr="008759DD">
              <w:t xml:space="preserve"> </w:t>
            </w:r>
            <w:r w:rsidR="00EF4D6E" w:rsidRPr="00EF4D6E">
              <w:rPr>
                <w:vertAlign w:val="superscript"/>
              </w:rPr>
              <w:t>1</w:t>
            </w:r>
          </w:p>
        </w:tc>
        <w:tc>
          <w:tcPr>
            <w:tcW w:w="611" w:type="pct"/>
            <w:shd w:val="clear" w:color="auto" w:fill="auto"/>
          </w:tcPr>
          <w:p w14:paraId="6C70F0AB" w14:textId="030CA3CE" w:rsidR="00431D2C" w:rsidRPr="00EF4D6E" w:rsidRDefault="0013119A" w:rsidP="00F111F2">
            <w:pPr>
              <w:pStyle w:val="TableText0"/>
              <w:jc w:val="center"/>
              <w:rPr>
                <w:color w:val="000000"/>
                <w:highlight w:val="darkGray"/>
              </w:rPr>
            </w:pPr>
            <w:r w:rsidRPr="0013119A">
              <w:rPr>
                <w:color w:val="000000"/>
                <w:spacing w:val="52"/>
                <w:shd w:val="solid" w:color="000000" w:fill="000000"/>
                <w:fitText w:val="233" w:id="-1233470967"/>
                <w14:textFill>
                  <w14:solidFill>
                    <w14:srgbClr w14:val="000000">
                      <w14:alpha w14:val="100000"/>
                    </w14:srgbClr>
                  </w14:solidFill>
                </w14:textFill>
              </w:rPr>
              <w:t>||</w:t>
            </w:r>
            <w:r w:rsidRPr="0013119A">
              <w:rPr>
                <w:color w:val="000000"/>
                <w:spacing w:val="2"/>
                <w:shd w:val="solid" w:color="000000" w:fill="000000"/>
                <w:fitText w:val="233" w:id="-1233470967"/>
                <w14:textFill>
                  <w14:solidFill>
                    <w14:srgbClr w14:val="000000">
                      <w14:alpha w14:val="100000"/>
                    </w14:srgbClr>
                  </w14:solidFill>
                </w14:textFill>
              </w:rPr>
              <w:t>|</w:t>
            </w:r>
            <w:r w:rsidR="008759DD" w:rsidRPr="008759DD">
              <w:t xml:space="preserve"> </w:t>
            </w:r>
            <w:r w:rsidR="00EF4D6E" w:rsidRPr="00EF4D6E">
              <w:rPr>
                <w:vertAlign w:val="superscript"/>
              </w:rPr>
              <w:t>1</w:t>
            </w:r>
          </w:p>
        </w:tc>
        <w:tc>
          <w:tcPr>
            <w:tcW w:w="613" w:type="pct"/>
          </w:tcPr>
          <w:p w14:paraId="43CDC0AA" w14:textId="27E6A81A" w:rsidR="00431D2C" w:rsidRPr="00EF4D6E" w:rsidRDefault="0013119A" w:rsidP="00F111F2">
            <w:pPr>
              <w:pStyle w:val="TableText0"/>
              <w:jc w:val="center"/>
              <w:rPr>
                <w:color w:val="000000"/>
                <w:highlight w:val="darkGray"/>
              </w:rPr>
            </w:pPr>
            <w:r w:rsidRPr="0013119A">
              <w:rPr>
                <w:color w:val="000000"/>
                <w:spacing w:val="155"/>
                <w:shd w:val="solid" w:color="000000" w:fill="000000"/>
                <w:fitText w:val="241" w:id="-1233470966"/>
                <w14:textFill>
                  <w14:solidFill>
                    <w14:srgbClr w14:val="000000">
                      <w14:alpha w14:val="100000"/>
                    </w14:srgbClr>
                  </w14:solidFill>
                </w14:textFill>
              </w:rPr>
              <w:t>|</w:t>
            </w:r>
            <w:r w:rsidRPr="0013119A">
              <w:rPr>
                <w:color w:val="000000"/>
                <w:spacing w:val="1"/>
                <w:shd w:val="solid" w:color="000000" w:fill="000000"/>
                <w:fitText w:val="241" w:id="-1233470966"/>
                <w14:textFill>
                  <w14:solidFill>
                    <w14:srgbClr w14:val="000000">
                      <w14:alpha w14:val="100000"/>
                    </w14:srgbClr>
                  </w14:solidFill>
                </w14:textFill>
              </w:rPr>
              <w:t>|</w:t>
            </w:r>
            <w:r w:rsidR="008759DD" w:rsidRPr="008759DD">
              <w:t xml:space="preserve"> </w:t>
            </w:r>
            <w:r w:rsidR="00EF4D6E" w:rsidRPr="00EF4D6E">
              <w:rPr>
                <w:vertAlign w:val="superscript"/>
              </w:rPr>
              <w:t>1</w:t>
            </w:r>
          </w:p>
        </w:tc>
      </w:tr>
      <w:tr w:rsidR="00431D2C" w:rsidRPr="003639A6" w14:paraId="146A1150" w14:textId="77777777" w:rsidTr="00F111F2">
        <w:tc>
          <w:tcPr>
            <w:tcW w:w="1412" w:type="pct"/>
            <w:shd w:val="clear" w:color="auto" w:fill="auto"/>
            <w:vAlign w:val="center"/>
          </w:tcPr>
          <w:p w14:paraId="0AB0B1A3" w14:textId="77777777" w:rsidR="00431D2C" w:rsidRPr="003639A6" w:rsidRDefault="00431D2C" w:rsidP="00F111F2">
            <w:pPr>
              <w:pStyle w:val="TableText0"/>
              <w:rPr>
                <w:rFonts w:ascii="Times" w:hAnsi="Times"/>
              </w:rPr>
            </w:pPr>
            <w:r w:rsidRPr="003639A6">
              <w:t xml:space="preserve">Number of </w:t>
            </w:r>
            <w:r>
              <w:t>scripts</w:t>
            </w:r>
            <w:r w:rsidRPr="003639A6">
              <w:t xml:space="preserve"> dispensed</w:t>
            </w:r>
            <w:r w:rsidRPr="00541EE3">
              <w:rPr>
                <w:vertAlign w:val="superscript"/>
              </w:rPr>
              <w:t>b</w:t>
            </w:r>
          </w:p>
        </w:tc>
        <w:tc>
          <w:tcPr>
            <w:tcW w:w="629" w:type="pct"/>
            <w:shd w:val="clear" w:color="auto" w:fill="auto"/>
          </w:tcPr>
          <w:p w14:paraId="379B7EA0" w14:textId="40B432BB" w:rsidR="00431D2C" w:rsidRPr="00EF4D6E" w:rsidRDefault="0013119A" w:rsidP="00F111F2">
            <w:pPr>
              <w:pStyle w:val="TableText0"/>
              <w:jc w:val="center"/>
              <w:rPr>
                <w:color w:val="000000"/>
                <w:highlight w:val="darkGray"/>
              </w:rPr>
            </w:pPr>
            <w:r w:rsidRPr="0013119A">
              <w:rPr>
                <w:color w:val="000000"/>
                <w:spacing w:val="44"/>
                <w:shd w:val="solid" w:color="000000" w:fill="000000"/>
                <w:fitText w:val="216" w:id="-1233470965"/>
                <w14:textFill>
                  <w14:solidFill>
                    <w14:srgbClr w14:val="000000">
                      <w14:alpha w14:val="100000"/>
                    </w14:srgbClr>
                  </w14:solidFill>
                </w14:textFill>
              </w:rPr>
              <w:t>||</w:t>
            </w:r>
            <w:r w:rsidRPr="0013119A">
              <w:rPr>
                <w:color w:val="000000"/>
                <w:spacing w:val="1"/>
                <w:shd w:val="solid" w:color="000000" w:fill="000000"/>
                <w:fitText w:val="216" w:id="-1233470965"/>
                <w14:textFill>
                  <w14:solidFill>
                    <w14:srgbClr w14:val="000000">
                      <w14:alpha w14:val="100000"/>
                    </w14:srgbClr>
                  </w14:solidFill>
                </w14:textFill>
              </w:rPr>
              <w:t>|</w:t>
            </w:r>
            <w:r w:rsidR="008759DD" w:rsidRPr="008759DD">
              <w:t xml:space="preserve"> </w:t>
            </w:r>
            <w:r w:rsidR="00EF4D6E">
              <w:rPr>
                <w:vertAlign w:val="superscript"/>
              </w:rPr>
              <w:t>2</w:t>
            </w:r>
          </w:p>
        </w:tc>
        <w:tc>
          <w:tcPr>
            <w:tcW w:w="550" w:type="pct"/>
            <w:shd w:val="clear" w:color="auto" w:fill="auto"/>
          </w:tcPr>
          <w:p w14:paraId="635593BE" w14:textId="3230007A" w:rsidR="00431D2C" w:rsidRPr="00EF4D6E" w:rsidRDefault="0013119A" w:rsidP="00F111F2">
            <w:pPr>
              <w:pStyle w:val="TableText0"/>
              <w:jc w:val="center"/>
              <w:rPr>
                <w:color w:val="000000"/>
                <w:highlight w:val="darkGray"/>
              </w:rPr>
            </w:pPr>
            <w:r w:rsidRPr="0013119A">
              <w:rPr>
                <w:color w:val="000000"/>
                <w:spacing w:val="214"/>
                <w:shd w:val="solid" w:color="000000" w:fill="000000"/>
                <w:fitText w:val="300" w:id="-1233470964"/>
                <w14:textFill>
                  <w14:solidFill>
                    <w14:srgbClr w14:val="000000">
                      <w14:alpha w14:val="100000"/>
                    </w14:srgbClr>
                  </w14:solidFill>
                </w14:textFill>
              </w:rPr>
              <w:t>|</w:t>
            </w:r>
            <w:r w:rsidRPr="0013119A">
              <w:rPr>
                <w:color w:val="000000"/>
                <w:spacing w:val="1"/>
                <w:shd w:val="solid" w:color="000000" w:fill="000000"/>
                <w:fitText w:val="300" w:id="-1233470964"/>
                <w14:textFill>
                  <w14:solidFill>
                    <w14:srgbClr w14:val="000000">
                      <w14:alpha w14:val="100000"/>
                    </w14:srgbClr>
                  </w14:solidFill>
                </w14:textFill>
              </w:rPr>
              <w:t>|</w:t>
            </w:r>
            <w:r w:rsidR="008759DD" w:rsidRPr="008759DD">
              <w:t xml:space="preserve"> </w:t>
            </w:r>
            <w:r w:rsidR="00ED4598">
              <w:rPr>
                <w:vertAlign w:val="superscript"/>
              </w:rPr>
              <w:t>5</w:t>
            </w:r>
          </w:p>
        </w:tc>
        <w:tc>
          <w:tcPr>
            <w:tcW w:w="574" w:type="pct"/>
            <w:shd w:val="clear" w:color="auto" w:fill="auto"/>
          </w:tcPr>
          <w:p w14:paraId="6511D522" w14:textId="180F6675" w:rsidR="00431D2C" w:rsidRPr="00EF4D6E" w:rsidRDefault="0013119A" w:rsidP="00F111F2">
            <w:pPr>
              <w:pStyle w:val="TableText0"/>
              <w:jc w:val="center"/>
              <w:rPr>
                <w:color w:val="000000"/>
                <w:highlight w:val="darkGray"/>
              </w:rPr>
            </w:pPr>
            <w:r w:rsidRPr="0013119A">
              <w:rPr>
                <w:color w:val="000000"/>
                <w:spacing w:val="180"/>
                <w:shd w:val="solid" w:color="000000" w:fill="000000"/>
                <w:fitText w:val="266" w:id="-1233470963"/>
                <w14:textFill>
                  <w14:solidFill>
                    <w14:srgbClr w14:val="000000">
                      <w14:alpha w14:val="100000"/>
                    </w14:srgbClr>
                  </w14:solidFill>
                </w14:textFill>
              </w:rPr>
              <w:t>|</w:t>
            </w:r>
            <w:r w:rsidRPr="0013119A">
              <w:rPr>
                <w:color w:val="000000"/>
                <w:spacing w:val="1"/>
                <w:shd w:val="solid" w:color="000000" w:fill="000000"/>
                <w:fitText w:val="266" w:id="-1233470963"/>
                <w14:textFill>
                  <w14:solidFill>
                    <w14:srgbClr w14:val="000000">
                      <w14:alpha w14:val="100000"/>
                    </w14:srgbClr>
                  </w14:solidFill>
                </w14:textFill>
              </w:rPr>
              <w:t>|</w:t>
            </w:r>
            <w:r w:rsidR="008759DD" w:rsidRPr="008759DD">
              <w:t xml:space="preserve"> </w:t>
            </w:r>
            <w:r w:rsidR="00ED4598">
              <w:rPr>
                <w:vertAlign w:val="superscript"/>
              </w:rPr>
              <w:t>8</w:t>
            </w:r>
          </w:p>
        </w:tc>
        <w:tc>
          <w:tcPr>
            <w:tcW w:w="611" w:type="pct"/>
            <w:shd w:val="clear" w:color="auto" w:fill="auto"/>
          </w:tcPr>
          <w:p w14:paraId="782A75E1" w14:textId="592F6097" w:rsidR="00431D2C" w:rsidRPr="00EF4D6E" w:rsidRDefault="0013119A" w:rsidP="00F111F2">
            <w:pPr>
              <w:pStyle w:val="TableText0"/>
              <w:jc w:val="center"/>
              <w:rPr>
                <w:color w:val="000000"/>
                <w:highlight w:val="darkGray"/>
              </w:rPr>
            </w:pPr>
            <w:r w:rsidRPr="0013119A">
              <w:rPr>
                <w:color w:val="000000"/>
                <w:spacing w:val="52"/>
                <w:shd w:val="solid" w:color="000000" w:fill="000000"/>
                <w:fitText w:val="233" w:id="-1233470962"/>
                <w14:textFill>
                  <w14:solidFill>
                    <w14:srgbClr w14:val="000000">
                      <w14:alpha w14:val="100000"/>
                    </w14:srgbClr>
                  </w14:solidFill>
                </w14:textFill>
              </w:rPr>
              <w:t>||</w:t>
            </w:r>
            <w:r w:rsidRPr="0013119A">
              <w:rPr>
                <w:color w:val="000000"/>
                <w:spacing w:val="2"/>
                <w:shd w:val="solid" w:color="000000" w:fill="000000"/>
                <w:fitText w:val="233" w:id="-1233470962"/>
                <w14:textFill>
                  <w14:solidFill>
                    <w14:srgbClr w14:val="000000">
                      <w14:alpha w14:val="100000"/>
                    </w14:srgbClr>
                  </w14:solidFill>
                </w14:textFill>
              </w:rPr>
              <w:t>|</w:t>
            </w:r>
            <w:r w:rsidR="008759DD" w:rsidRPr="008759DD">
              <w:t xml:space="preserve"> </w:t>
            </w:r>
            <w:r w:rsidR="00ED4598">
              <w:rPr>
                <w:vertAlign w:val="superscript"/>
              </w:rPr>
              <w:t>8</w:t>
            </w:r>
          </w:p>
        </w:tc>
        <w:tc>
          <w:tcPr>
            <w:tcW w:w="611" w:type="pct"/>
            <w:shd w:val="clear" w:color="auto" w:fill="auto"/>
          </w:tcPr>
          <w:p w14:paraId="0FF93499" w14:textId="19AD873B" w:rsidR="00431D2C" w:rsidRPr="00EF4D6E" w:rsidRDefault="0013119A" w:rsidP="00F111F2">
            <w:pPr>
              <w:pStyle w:val="TableText0"/>
              <w:jc w:val="center"/>
              <w:rPr>
                <w:color w:val="000000"/>
                <w:highlight w:val="darkGray"/>
              </w:rPr>
            </w:pPr>
            <w:r w:rsidRPr="0013119A">
              <w:rPr>
                <w:color w:val="000000"/>
                <w:spacing w:val="105"/>
                <w:shd w:val="solid" w:color="000000" w:fill="000000"/>
                <w:fitText w:val="191" w:id="-1233470961"/>
                <w14:textFill>
                  <w14:solidFill>
                    <w14:srgbClr w14:val="000000">
                      <w14:alpha w14:val="100000"/>
                    </w14:srgbClr>
                  </w14:solidFill>
                </w14:textFill>
              </w:rPr>
              <w:t>|</w:t>
            </w:r>
            <w:r w:rsidRPr="0013119A">
              <w:rPr>
                <w:color w:val="000000"/>
                <w:spacing w:val="1"/>
                <w:shd w:val="solid" w:color="000000" w:fill="000000"/>
                <w:fitText w:val="191" w:id="-1233470961"/>
                <w14:textFill>
                  <w14:solidFill>
                    <w14:srgbClr w14:val="000000">
                      <w14:alpha w14:val="100000"/>
                    </w14:srgbClr>
                  </w14:solidFill>
                </w14:textFill>
              </w:rPr>
              <w:t>|</w:t>
            </w:r>
            <w:r w:rsidR="008759DD" w:rsidRPr="008759DD">
              <w:t xml:space="preserve"> </w:t>
            </w:r>
            <w:r w:rsidR="00ED4598">
              <w:rPr>
                <w:vertAlign w:val="superscript"/>
              </w:rPr>
              <w:t>8</w:t>
            </w:r>
            <w:r w:rsidRPr="0013119A">
              <w:rPr>
                <w:color w:val="000000"/>
                <w:spacing w:val="54"/>
                <w:shd w:val="solid" w:color="000000" w:fill="000000"/>
                <w:fitText w:val="333" w:id="-1233470960"/>
                <w14:textFill>
                  <w14:solidFill>
                    <w14:srgbClr w14:val="000000">
                      <w14:alpha w14:val="100000"/>
                    </w14:srgbClr>
                  </w14:solidFill>
                </w14:textFill>
              </w:rPr>
              <w:t>|||</w:t>
            </w:r>
            <w:r w:rsidRPr="0013119A">
              <w:rPr>
                <w:color w:val="000000"/>
                <w:spacing w:val="1"/>
                <w:shd w:val="solid" w:color="000000" w:fill="000000"/>
                <w:fitText w:val="333" w:id="-1233470960"/>
                <w14:textFill>
                  <w14:solidFill>
                    <w14:srgbClr w14:val="000000">
                      <w14:alpha w14:val="100000"/>
                    </w14:srgbClr>
                  </w14:solidFill>
                </w14:textFill>
              </w:rPr>
              <w:t>|</w:t>
            </w:r>
            <w:r w:rsidR="008759DD" w:rsidRPr="008759DD">
              <w:t xml:space="preserve"> </w:t>
            </w:r>
            <w:r w:rsidR="00202EF4" w:rsidRPr="00202EF4">
              <w:t xml:space="preserve"> </w:t>
            </w:r>
          </w:p>
        </w:tc>
        <w:tc>
          <w:tcPr>
            <w:tcW w:w="613" w:type="pct"/>
          </w:tcPr>
          <w:p w14:paraId="66638ECC" w14:textId="4A84B58B" w:rsidR="00431D2C" w:rsidRPr="00EF4D6E" w:rsidRDefault="0013119A" w:rsidP="00F111F2">
            <w:pPr>
              <w:pStyle w:val="TableText0"/>
              <w:jc w:val="center"/>
              <w:rPr>
                <w:color w:val="000000"/>
                <w:highlight w:val="darkGray"/>
              </w:rPr>
            </w:pPr>
            <w:r w:rsidRPr="0013119A">
              <w:rPr>
                <w:color w:val="000000"/>
                <w:spacing w:val="155"/>
                <w:shd w:val="solid" w:color="000000" w:fill="000000"/>
                <w:fitText w:val="241" w:id="-1233470976"/>
                <w14:textFill>
                  <w14:solidFill>
                    <w14:srgbClr w14:val="000000">
                      <w14:alpha w14:val="100000"/>
                    </w14:srgbClr>
                  </w14:solidFill>
                </w14:textFill>
              </w:rPr>
              <w:t>|</w:t>
            </w:r>
            <w:r w:rsidRPr="0013119A">
              <w:rPr>
                <w:color w:val="000000"/>
                <w:spacing w:val="1"/>
                <w:shd w:val="solid" w:color="000000" w:fill="000000"/>
                <w:fitText w:val="241" w:id="-1233470976"/>
                <w14:textFill>
                  <w14:solidFill>
                    <w14:srgbClr w14:val="000000">
                      <w14:alpha w14:val="100000"/>
                    </w14:srgbClr>
                  </w14:solidFill>
                </w14:textFill>
              </w:rPr>
              <w:t>|</w:t>
            </w:r>
            <w:r w:rsidR="008759DD" w:rsidRPr="008759DD">
              <w:t xml:space="preserve"> </w:t>
            </w:r>
            <w:r w:rsidR="00ED4598">
              <w:rPr>
                <w:vertAlign w:val="superscript"/>
              </w:rPr>
              <w:t>8</w:t>
            </w:r>
          </w:p>
        </w:tc>
      </w:tr>
      <w:tr w:rsidR="00431D2C" w:rsidRPr="00D1078F" w14:paraId="22304741" w14:textId="77777777" w:rsidTr="00F111F2">
        <w:tc>
          <w:tcPr>
            <w:tcW w:w="5000" w:type="pct"/>
            <w:gridSpan w:val="7"/>
            <w:shd w:val="clear" w:color="auto" w:fill="auto"/>
            <w:vAlign w:val="center"/>
          </w:tcPr>
          <w:p w14:paraId="4426DE70" w14:textId="77777777" w:rsidR="00431D2C" w:rsidRPr="00D1078F" w:rsidRDefault="00431D2C" w:rsidP="00F111F2">
            <w:pPr>
              <w:pStyle w:val="In-tableHeading"/>
            </w:pPr>
            <w:r w:rsidRPr="00D1078F">
              <w:t xml:space="preserve">Estimated </w:t>
            </w:r>
            <w:r>
              <w:t>financial implications of abemaciclib</w:t>
            </w:r>
          </w:p>
        </w:tc>
      </w:tr>
      <w:tr w:rsidR="00431D2C" w:rsidRPr="003639A6" w14:paraId="79A74F04" w14:textId="77777777" w:rsidTr="00F111F2">
        <w:tc>
          <w:tcPr>
            <w:tcW w:w="1412" w:type="pct"/>
            <w:shd w:val="clear" w:color="auto" w:fill="auto"/>
            <w:vAlign w:val="center"/>
          </w:tcPr>
          <w:p w14:paraId="312A56EA" w14:textId="77777777" w:rsidR="00431D2C" w:rsidRDefault="00431D2C" w:rsidP="00F111F2">
            <w:pPr>
              <w:pStyle w:val="TableText0"/>
              <w:rPr>
                <w:sz w:val="19"/>
                <w:szCs w:val="19"/>
              </w:rPr>
            </w:pPr>
            <w:r>
              <w:rPr>
                <w:sz w:val="19"/>
                <w:szCs w:val="19"/>
              </w:rPr>
              <w:t xml:space="preserve">Cost to PBS/RPBS less </w:t>
            </w:r>
          </w:p>
          <w:p w14:paraId="405521BB" w14:textId="21690AF7" w:rsidR="00431D2C" w:rsidRDefault="00431D2C" w:rsidP="00F111F2">
            <w:pPr>
              <w:pStyle w:val="TableText0"/>
              <w:rPr>
                <w:sz w:val="19"/>
                <w:szCs w:val="19"/>
              </w:rPr>
            </w:pPr>
            <w:r>
              <w:rPr>
                <w:sz w:val="19"/>
                <w:szCs w:val="19"/>
              </w:rPr>
              <w:t>co-payments</w:t>
            </w:r>
            <w:r w:rsidR="00EF4D6E">
              <w:rPr>
                <w:sz w:val="19"/>
                <w:szCs w:val="19"/>
              </w:rPr>
              <w:t xml:space="preserve"> ($)</w:t>
            </w:r>
          </w:p>
        </w:tc>
        <w:tc>
          <w:tcPr>
            <w:tcW w:w="629" w:type="pct"/>
            <w:shd w:val="clear" w:color="auto" w:fill="auto"/>
          </w:tcPr>
          <w:p w14:paraId="1CFBCACB" w14:textId="01DCA9B7" w:rsidR="00431D2C" w:rsidRPr="00EF4D6E" w:rsidRDefault="0013119A" w:rsidP="00F111F2">
            <w:pPr>
              <w:pStyle w:val="TableText0"/>
              <w:jc w:val="center"/>
              <w:rPr>
                <w:highlight w:val="darkGray"/>
              </w:rPr>
            </w:pPr>
            <w:r w:rsidRPr="0013119A">
              <w:rPr>
                <w:color w:val="000000"/>
                <w:spacing w:val="44"/>
                <w:shd w:val="solid" w:color="000000" w:fill="000000"/>
                <w:fitText w:val="216" w:id="-1233470975"/>
                <w14:textFill>
                  <w14:solidFill>
                    <w14:srgbClr w14:val="000000">
                      <w14:alpha w14:val="100000"/>
                    </w14:srgbClr>
                  </w14:solidFill>
                </w14:textFill>
              </w:rPr>
              <w:t>||</w:t>
            </w:r>
            <w:r w:rsidRPr="0013119A">
              <w:rPr>
                <w:color w:val="000000"/>
                <w:spacing w:val="1"/>
                <w:shd w:val="solid" w:color="000000" w:fill="000000"/>
                <w:fitText w:val="216" w:id="-1233470975"/>
                <w14:textFill>
                  <w14:solidFill>
                    <w14:srgbClr w14:val="000000">
                      <w14:alpha w14:val="100000"/>
                    </w14:srgbClr>
                  </w14:solidFill>
                </w14:textFill>
              </w:rPr>
              <w:t>|</w:t>
            </w:r>
            <w:r w:rsidR="008759DD" w:rsidRPr="008759DD">
              <w:t xml:space="preserve"> </w:t>
            </w:r>
            <w:r w:rsidR="00EF4D6E">
              <w:rPr>
                <w:vertAlign w:val="superscript"/>
              </w:rPr>
              <w:t>3</w:t>
            </w:r>
          </w:p>
        </w:tc>
        <w:tc>
          <w:tcPr>
            <w:tcW w:w="550" w:type="pct"/>
            <w:shd w:val="clear" w:color="auto" w:fill="auto"/>
          </w:tcPr>
          <w:p w14:paraId="029F88A5" w14:textId="54A9FAE8"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74"/>
                <w14:textFill>
                  <w14:solidFill>
                    <w14:srgbClr w14:val="000000">
                      <w14:alpha w14:val="100000"/>
                    </w14:srgbClr>
                  </w14:solidFill>
                </w14:textFill>
              </w:rPr>
              <w:t>|</w:t>
            </w:r>
            <w:r w:rsidRPr="0013119A">
              <w:rPr>
                <w:color w:val="000000"/>
                <w:spacing w:val="1"/>
                <w:shd w:val="solid" w:color="000000" w:fill="000000"/>
                <w:fitText w:val="300" w:id="-1233470974"/>
                <w14:textFill>
                  <w14:solidFill>
                    <w14:srgbClr w14:val="000000">
                      <w14:alpha w14:val="100000"/>
                    </w14:srgbClr>
                  </w14:solidFill>
                </w14:textFill>
              </w:rPr>
              <w:t>|</w:t>
            </w:r>
            <w:r w:rsidR="008759DD" w:rsidRPr="008759DD">
              <w:t xml:space="preserve"> </w:t>
            </w:r>
            <w:r w:rsidR="00ED4598">
              <w:rPr>
                <w:vertAlign w:val="superscript"/>
              </w:rPr>
              <w:t>6</w:t>
            </w:r>
          </w:p>
        </w:tc>
        <w:tc>
          <w:tcPr>
            <w:tcW w:w="574" w:type="pct"/>
            <w:shd w:val="clear" w:color="auto" w:fill="auto"/>
          </w:tcPr>
          <w:p w14:paraId="3D49CC93" w14:textId="3F8499E0"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73"/>
                <w14:textFill>
                  <w14:solidFill>
                    <w14:srgbClr w14:val="000000">
                      <w14:alpha w14:val="100000"/>
                    </w14:srgbClr>
                  </w14:solidFill>
                </w14:textFill>
              </w:rPr>
              <w:t>|</w:t>
            </w:r>
            <w:r w:rsidRPr="0013119A">
              <w:rPr>
                <w:color w:val="000000"/>
                <w:spacing w:val="1"/>
                <w:shd w:val="solid" w:color="000000" w:fill="000000"/>
                <w:fitText w:val="266" w:id="-1233470973"/>
                <w14:textFill>
                  <w14:solidFill>
                    <w14:srgbClr w14:val="000000">
                      <w14:alpha w14:val="100000"/>
                    </w14:srgbClr>
                  </w14:solidFill>
                </w14:textFill>
              </w:rPr>
              <w:t>|</w:t>
            </w:r>
            <w:r w:rsidR="008759DD" w:rsidRPr="008759DD">
              <w:t xml:space="preserve"> </w:t>
            </w:r>
            <w:r w:rsidR="00ED4598">
              <w:rPr>
                <w:vertAlign w:val="superscript"/>
              </w:rPr>
              <w:t>7</w:t>
            </w:r>
          </w:p>
        </w:tc>
        <w:tc>
          <w:tcPr>
            <w:tcW w:w="611" w:type="pct"/>
            <w:shd w:val="clear" w:color="auto" w:fill="auto"/>
          </w:tcPr>
          <w:p w14:paraId="533A0ACE" w14:textId="662ED4FD"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2"/>
                <w14:textFill>
                  <w14:solidFill>
                    <w14:srgbClr w14:val="000000">
                      <w14:alpha w14:val="100000"/>
                    </w14:srgbClr>
                  </w14:solidFill>
                </w14:textFill>
              </w:rPr>
              <w:t>||</w:t>
            </w:r>
            <w:r w:rsidRPr="0013119A">
              <w:rPr>
                <w:color w:val="000000"/>
                <w:spacing w:val="2"/>
                <w:shd w:val="solid" w:color="000000" w:fill="000000"/>
                <w:fitText w:val="233" w:id="-1233470972"/>
                <w14:textFill>
                  <w14:solidFill>
                    <w14:srgbClr w14:val="000000">
                      <w14:alpha w14:val="100000"/>
                    </w14:srgbClr>
                  </w14:solidFill>
                </w14:textFill>
              </w:rPr>
              <w:t>|</w:t>
            </w:r>
            <w:r w:rsidR="008759DD" w:rsidRPr="008759DD">
              <w:t xml:space="preserve"> </w:t>
            </w:r>
            <w:r w:rsidR="00ED4598">
              <w:rPr>
                <w:vertAlign w:val="superscript"/>
              </w:rPr>
              <w:t>9</w:t>
            </w:r>
          </w:p>
        </w:tc>
        <w:tc>
          <w:tcPr>
            <w:tcW w:w="611" w:type="pct"/>
            <w:shd w:val="clear" w:color="auto" w:fill="auto"/>
          </w:tcPr>
          <w:p w14:paraId="74BD64CA" w14:textId="2FC9895B"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1"/>
                <w14:textFill>
                  <w14:solidFill>
                    <w14:srgbClr w14:val="000000">
                      <w14:alpha w14:val="100000"/>
                    </w14:srgbClr>
                  </w14:solidFill>
                </w14:textFill>
              </w:rPr>
              <w:t>||</w:t>
            </w:r>
            <w:r w:rsidRPr="0013119A">
              <w:rPr>
                <w:color w:val="000000"/>
                <w:spacing w:val="2"/>
                <w:shd w:val="solid" w:color="000000" w:fill="000000"/>
                <w:fitText w:val="233" w:id="-1233470971"/>
                <w14:textFill>
                  <w14:solidFill>
                    <w14:srgbClr w14:val="000000">
                      <w14:alpha w14:val="100000"/>
                    </w14:srgbClr>
                  </w14:solidFill>
                </w14:textFill>
              </w:rPr>
              <w:t>|</w:t>
            </w:r>
            <w:r w:rsidR="008759DD" w:rsidRPr="008759DD">
              <w:t xml:space="preserve"> </w:t>
            </w:r>
            <w:r w:rsidR="00ED4598">
              <w:rPr>
                <w:vertAlign w:val="superscript"/>
              </w:rPr>
              <w:t>9</w:t>
            </w:r>
          </w:p>
        </w:tc>
        <w:tc>
          <w:tcPr>
            <w:tcW w:w="613" w:type="pct"/>
          </w:tcPr>
          <w:p w14:paraId="20D07F10" w14:textId="7ADAAB46"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70"/>
                <w14:textFill>
                  <w14:solidFill>
                    <w14:srgbClr w14:val="000000">
                      <w14:alpha w14:val="100000"/>
                    </w14:srgbClr>
                  </w14:solidFill>
                </w14:textFill>
              </w:rPr>
              <w:t>|</w:t>
            </w:r>
            <w:r w:rsidRPr="0013119A">
              <w:rPr>
                <w:color w:val="000000"/>
                <w:spacing w:val="1"/>
                <w:shd w:val="solid" w:color="000000" w:fill="000000"/>
                <w:fitText w:val="241" w:id="-1233470970"/>
                <w14:textFill>
                  <w14:solidFill>
                    <w14:srgbClr w14:val="000000">
                      <w14:alpha w14:val="100000"/>
                    </w14:srgbClr>
                  </w14:solidFill>
                </w14:textFill>
              </w:rPr>
              <w:t>|</w:t>
            </w:r>
            <w:r w:rsidR="008759DD" w:rsidRPr="008759DD">
              <w:t xml:space="preserve"> </w:t>
            </w:r>
            <w:r w:rsidR="00ED4598">
              <w:rPr>
                <w:vertAlign w:val="superscript"/>
              </w:rPr>
              <w:t>9</w:t>
            </w:r>
          </w:p>
        </w:tc>
      </w:tr>
      <w:tr w:rsidR="00431D2C" w:rsidRPr="003639A6" w14:paraId="6F9EEDA3" w14:textId="77777777" w:rsidTr="00F111F2">
        <w:tc>
          <w:tcPr>
            <w:tcW w:w="5000" w:type="pct"/>
            <w:gridSpan w:val="7"/>
            <w:shd w:val="clear" w:color="auto" w:fill="auto"/>
            <w:vAlign w:val="center"/>
          </w:tcPr>
          <w:p w14:paraId="228F543A" w14:textId="77777777" w:rsidR="00431D2C" w:rsidRPr="00B91ABA" w:rsidRDefault="00431D2C" w:rsidP="00F111F2">
            <w:pPr>
              <w:pStyle w:val="TableText0"/>
              <w:rPr>
                <w:b/>
              </w:rPr>
            </w:pPr>
            <w:r w:rsidRPr="00B91ABA">
              <w:rPr>
                <w:b/>
              </w:rPr>
              <w:t>Estimated financial implications for other medicines</w:t>
            </w:r>
          </w:p>
        </w:tc>
      </w:tr>
      <w:tr w:rsidR="00431D2C" w:rsidRPr="003639A6" w14:paraId="70B3AF08" w14:textId="77777777" w:rsidTr="00F111F2">
        <w:tc>
          <w:tcPr>
            <w:tcW w:w="1412" w:type="pct"/>
            <w:shd w:val="clear" w:color="auto" w:fill="auto"/>
            <w:vAlign w:val="center"/>
          </w:tcPr>
          <w:p w14:paraId="3F0F8BBD" w14:textId="4EF14891" w:rsidR="00431D2C" w:rsidRDefault="00431D2C" w:rsidP="00F111F2">
            <w:pPr>
              <w:pStyle w:val="TableText0"/>
              <w:rPr>
                <w:sz w:val="19"/>
                <w:szCs w:val="19"/>
              </w:rPr>
            </w:pPr>
            <w:r>
              <w:rPr>
                <w:sz w:val="19"/>
                <w:szCs w:val="19"/>
              </w:rPr>
              <w:t>Cost to PBS/RPBS less co-payments</w:t>
            </w:r>
            <w:r w:rsidR="00EF4D6E">
              <w:rPr>
                <w:sz w:val="19"/>
                <w:szCs w:val="19"/>
              </w:rPr>
              <w:t xml:space="preserve"> ($)</w:t>
            </w:r>
          </w:p>
        </w:tc>
        <w:tc>
          <w:tcPr>
            <w:tcW w:w="629" w:type="pct"/>
            <w:shd w:val="clear" w:color="auto" w:fill="auto"/>
            <w:vAlign w:val="center"/>
          </w:tcPr>
          <w:p w14:paraId="52709F83" w14:textId="2D70B23D" w:rsidR="00431D2C" w:rsidRPr="00EF4D6E" w:rsidRDefault="0013119A" w:rsidP="00F111F2">
            <w:pPr>
              <w:pStyle w:val="TableText0"/>
              <w:jc w:val="center"/>
              <w:rPr>
                <w:highlight w:val="darkGray"/>
              </w:rPr>
            </w:pPr>
            <w:r w:rsidRPr="0013119A">
              <w:rPr>
                <w:color w:val="000000"/>
                <w:spacing w:val="44"/>
                <w:shd w:val="solid" w:color="000000" w:fill="000000"/>
                <w:fitText w:val="216" w:id="-1233470969"/>
                <w14:textFill>
                  <w14:solidFill>
                    <w14:srgbClr w14:val="000000">
                      <w14:alpha w14:val="100000"/>
                    </w14:srgbClr>
                  </w14:solidFill>
                </w14:textFill>
              </w:rPr>
              <w:t>||</w:t>
            </w:r>
            <w:r w:rsidRPr="0013119A">
              <w:rPr>
                <w:color w:val="000000"/>
                <w:spacing w:val="1"/>
                <w:shd w:val="solid" w:color="000000" w:fill="000000"/>
                <w:fitText w:val="216" w:id="-1233470969"/>
                <w14:textFill>
                  <w14:solidFill>
                    <w14:srgbClr w14:val="000000">
                      <w14:alpha w14:val="100000"/>
                    </w14:srgbClr>
                  </w14:solidFill>
                </w14:textFill>
              </w:rPr>
              <w:t>|</w:t>
            </w:r>
            <w:r w:rsidR="008759DD" w:rsidRPr="008759DD">
              <w:t xml:space="preserve"> </w:t>
            </w:r>
            <w:r w:rsidR="00EF4D6E">
              <w:rPr>
                <w:vertAlign w:val="superscript"/>
              </w:rPr>
              <w:t>4</w:t>
            </w:r>
          </w:p>
        </w:tc>
        <w:tc>
          <w:tcPr>
            <w:tcW w:w="550" w:type="pct"/>
            <w:shd w:val="clear" w:color="auto" w:fill="auto"/>
            <w:vAlign w:val="center"/>
          </w:tcPr>
          <w:p w14:paraId="45A433DD" w14:textId="62570033"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68"/>
                <w14:textFill>
                  <w14:solidFill>
                    <w14:srgbClr w14:val="000000">
                      <w14:alpha w14:val="100000"/>
                    </w14:srgbClr>
                  </w14:solidFill>
                </w14:textFill>
              </w:rPr>
              <w:t>|</w:t>
            </w:r>
            <w:r w:rsidRPr="0013119A">
              <w:rPr>
                <w:color w:val="000000"/>
                <w:spacing w:val="1"/>
                <w:shd w:val="solid" w:color="000000" w:fill="000000"/>
                <w:fitText w:val="300" w:id="-1233470968"/>
                <w14:textFill>
                  <w14:solidFill>
                    <w14:srgbClr w14:val="000000">
                      <w14:alpha w14:val="100000"/>
                    </w14:srgbClr>
                  </w14:solidFill>
                </w14:textFill>
              </w:rPr>
              <w:t>|</w:t>
            </w:r>
            <w:r w:rsidR="008759DD" w:rsidRPr="008759DD">
              <w:t xml:space="preserve"> </w:t>
            </w:r>
            <w:r w:rsidR="00EF4D6E">
              <w:rPr>
                <w:vertAlign w:val="superscript"/>
              </w:rPr>
              <w:t>4</w:t>
            </w:r>
          </w:p>
        </w:tc>
        <w:tc>
          <w:tcPr>
            <w:tcW w:w="574" w:type="pct"/>
            <w:shd w:val="clear" w:color="auto" w:fill="auto"/>
            <w:vAlign w:val="center"/>
          </w:tcPr>
          <w:p w14:paraId="476685DE" w14:textId="1D3B0F8D"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67"/>
                <w14:textFill>
                  <w14:solidFill>
                    <w14:srgbClr w14:val="000000">
                      <w14:alpha w14:val="100000"/>
                    </w14:srgbClr>
                  </w14:solidFill>
                </w14:textFill>
              </w:rPr>
              <w:t>|</w:t>
            </w:r>
            <w:r w:rsidRPr="0013119A">
              <w:rPr>
                <w:color w:val="000000"/>
                <w:spacing w:val="1"/>
                <w:shd w:val="solid" w:color="000000" w:fill="000000"/>
                <w:fitText w:val="266" w:id="-1233470967"/>
                <w14:textFill>
                  <w14:solidFill>
                    <w14:srgbClr w14:val="000000">
                      <w14:alpha w14:val="100000"/>
                    </w14:srgbClr>
                  </w14:solidFill>
                </w14:textFill>
              </w:rPr>
              <w:t>|</w:t>
            </w:r>
            <w:r w:rsidR="008759DD" w:rsidRPr="008759DD">
              <w:t xml:space="preserve"> </w:t>
            </w:r>
            <w:r w:rsidR="00EF4D6E">
              <w:rPr>
                <w:vertAlign w:val="superscript"/>
              </w:rPr>
              <w:t>4</w:t>
            </w:r>
          </w:p>
        </w:tc>
        <w:tc>
          <w:tcPr>
            <w:tcW w:w="611" w:type="pct"/>
            <w:shd w:val="clear" w:color="auto" w:fill="auto"/>
            <w:vAlign w:val="center"/>
          </w:tcPr>
          <w:p w14:paraId="432A74A8" w14:textId="1C64A1A7" w:rsidR="00431D2C" w:rsidRPr="00EF4D6E" w:rsidRDefault="0013119A" w:rsidP="00F111F2">
            <w:pPr>
              <w:pStyle w:val="TableText0"/>
              <w:jc w:val="center"/>
              <w:rPr>
                <w:highlight w:val="darkGray"/>
              </w:rPr>
            </w:pPr>
            <w:r w:rsidRPr="0013119A">
              <w:rPr>
                <w:color w:val="000000"/>
                <w:spacing w:val="52"/>
                <w:shd w:val="solid" w:color="000000" w:fill="000000"/>
                <w:fitText w:val="233" w:id="-1233470966"/>
                <w14:textFill>
                  <w14:solidFill>
                    <w14:srgbClr w14:val="000000">
                      <w14:alpha w14:val="100000"/>
                    </w14:srgbClr>
                  </w14:solidFill>
                </w14:textFill>
              </w:rPr>
              <w:t>||</w:t>
            </w:r>
            <w:r w:rsidRPr="0013119A">
              <w:rPr>
                <w:color w:val="000000"/>
                <w:spacing w:val="2"/>
                <w:shd w:val="solid" w:color="000000" w:fill="000000"/>
                <w:fitText w:val="233" w:id="-1233470966"/>
                <w14:textFill>
                  <w14:solidFill>
                    <w14:srgbClr w14:val="000000">
                      <w14:alpha w14:val="100000"/>
                    </w14:srgbClr>
                  </w14:solidFill>
                </w14:textFill>
              </w:rPr>
              <w:t>|</w:t>
            </w:r>
            <w:r w:rsidR="008759DD" w:rsidRPr="008759DD">
              <w:t xml:space="preserve"> </w:t>
            </w:r>
            <w:r w:rsidR="00EF4D6E">
              <w:rPr>
                <w:vertAlign w:val="superscript"/>
              </w:rPr>
              <w:t>4</w:t>
            </w:r>
          </w:p>
        </w:tc>
        <w:tc>
          <w:tcPr>
            <w:tcW w:w="611" w:type="pct"/>
            <w:shd w:val="clear" w:color="auto" w:fill="auto"/>
            <w:vAlign w:val="center"/>
          </w:tcPr>
          <w:p w14:paraId="4ECA3728" w14:textId="3209164F" w:rsidR="00431D2C" w:rsidRPr="00EF4D6E" w:rsidRDefault="0013119A" w:rsidP="00F111F2">
            <w:pPr>
              <w:pStyle w:val="TableText0"/>
              <w:jc w:val="center"/>
              <w:rPr>
                <w:highlight w:val="darkGray"/>
              </w:rPr>
            </w:pPr>
            <w:r w:rsidRPr="0013119A">
              <w:rPr>
                <w:color w:val="000000"/>
                <w:spacing w:val="52"/>
                <w:shd w:val="solid" w:color="000000" w:fill="000000"/>
                <w:fitText w:val="233" w:id="-1233470965"/>
                <w14:textFill>
                  <w14:solidFill>
                    <w14:srgbClr w14:val="000000">
                      <w14:alpha w14:val="100000"/>
                    </w14:srgbClr>
                  </w14:solidFill>
                </w14:textFill>
              </w:rPr>
              <w:t>||</w:t>
            </w:r>
            <w:r w:rsidRPr="0013119A">
              <w:rPr>
                <w:color w:val="000000"/>
                <w:spacing w:val="2"/>
                <w:shd w:val="solid" w:color="000000" w:fill="000000"/>
                <w:fitText w:val="233" w:id="-1233470965"/>
                <w14:textFill>
                  <w14:solidFill>
                    <w14:srgbClr w14:val="000000">
                      <w14:alpha w14:val="100000"/>
                    </w14:srgbClr>
                  </w14:solidFill>
                </w14:textFill>
              </w:rPr>
              <w:t>|</w:t>
            </w:r>
            <w:r w:rsidR="008759DD" w:rsidRPr="008759DD">
              <w:t xml:space="preserve"> </w:t>
            </w:r>
            <w:r w:rsidR="00EF4D6E">
              <w:rPr>
                <w:vertAlign w:val="superscript"/>
              </w:rPr>
              <w:t>4</w:t>
            </w:r>
          </w:p>
        </w:tc>
        <w:tc>
          <w:tcPr>
            <w:tcW w:w="613" w:type="pct"/>
            <w:vAlign w:val="center"/>
          </w:tcPr>
          <w:p w14:paraId="3EB2E979" w14:textId="7EB58BEA"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64"/>
                <w14:textFill>
                  <w14:solidFill>
                    <w14:srgbClr w14:val="000000">
                      <w14:alpha w14:val="100000"/>
                    </w14:srgbClr>
                  </w14:solidFill>
                </w14:textFill>
              </w:rPr>
              <w:t>|</w:t>
            </w:r>
            <w:r w:rsidRPr="0013119A">
              <w:rPr>
                <w:color w:val="000000"/>
                <w:spacing w:val="1"/>
                <w:shd w:val="solid" w:color="000000" w:fill="000000"/>
                <w:fitText w:val="241" w:id="-1233470964"/>
                <w14:textFill>
                  <w14:solidFill>
                    <w14:srgbClr w14:val="000000">
                      <w14:alpha w14:val="100000"/>
                    </w14:srgbClr>
                  </w14:solidFill>
                </w14:textFill>
              </w:rPr>
              <w:t>|</w:t>
            </w:r>
            <w:r w:rsidR="008759DD" w:rsidRPr="008759DD">
              <w:t xml:space="preserve"> </w:t>
            </w:r>
            <w:r w:rsidR="00EF4D6E">
              <w:rPr>
                <w:vertAlign w:val="superscript"/>
              </w:rPr>
              <w:t>4</w:t>
            </w:r>
          </w:p>
        </w:tc>
      </w:tr>
      <w:tr w:rsidR="00431D2C" w:rsidRPr="00FC22AB" w14:paraId="3D0B0046" w14:textId="77777777" w:rsidTr="00F111F2">
        <w:tc>
          <w:tcPr>
            <w:tcW w:w="5000" w:type="pct"/>
            <w:gridSpan w:val="7"/>
            <w:shd w:val="clear" w:color="auto" w:fill="auto"/>
            <w:vAlign w:val="center"/>
          </w:tcPr>
          <w:p w14:paraId="384EAB36" w14:textId="77777777" w:rsidR="00431D2C" w:rsidRPr="00FC22AB" w:rsidRDefault="00431D2C" w:rsidP="00F111F2">
            <w:pPr>
              <w:pStyle w:val="In-tableHeading"/>
            </w:pPr>
            <w:r w:rsidRPr="00FC22AB">
              <w:t>Net financial implications</w:t>
            </w:r>
            <w:r w:rsidRPr="00FC22AB">
              <w:rPr>
                <w:color w:val="4BACC6" w:themeColor="accent5"/>
              </w:rPr>
              <w:t xml:space="preserve"> </w:t>
            </w:r>
          </w:p>
        </w:tc>
      </w:tr>
      <w:tr w:rsidR="00431D2C" w:rsidRPr="003639A6" w14:paraId="007A41E2" w14:textId="77777777" w:rsidTr="00F111F2">
        <w:tc>
          <w:tcPr>
            <w:tcW w:w="1412" w:type="pct"/>
            <w:shd w:val="clear" w:color="auto" w:fill="auto"/>
            <w:vAlign w:val="center"/>
          </w:tcPr>
          <w:p w14:paraId="6A16461C" w14:textId="29099406" w:rsidR="00431D2C" w:rsidRDefault="00431D2C" w:rsidP="00F111F2">
            <w:pPr>
              <w:pStyle w:val="TableText0"/>
              <w:rPr>
                <w:sz w:val="19"/>
                <w:szCs w:val="19"/>
              </w:rPr>
            </w:pPr>
            <w:r>
              <w:rPr>
                <w:sz w:val="19"/>
                <w:szCs w:val="19"/>
              </w:rPr>
              <w:t>Net cost to PBS/RPBS</w:t>
            </w:r>
            <w:r w:rsidR="00EF4D6E">
              <w:rPr>
                <w:sz w:val="19"/>
                <w:szCs w:val="19"/>
              </w:rPr>
              <w:t xml:space="preserve"> ($)</w:t>
            </w:r>
          </w:p>
        </w:tc>
        <w:tc>
          <w:tcPr>
            <w:tcW w:w="629" w:type="pct"/>
            <w:shd w:val="clear" w:color="auto" w:fill="auto"/>
          </w:tcPr>
          <w:p w14:paraId="738C815A" w14:textId="746B8D44" w:rsidR="00431D2C" w:rsidRPr="00EF4D6E" w:rsidRDefault="0013119A" w:rsidP="00F111F2">
            <w:pPr>
              <w:pStyle w:val="TableText0"/>
              <w:jc w:val="center"/>
              <w:rPr>
                <w:highlight w:val="darkGray"/>
              </w:rPr>
            </w:pPr>
            <w:r w:rsidRPr="0013119A">
              <w:rPr>
                <w:color w:val="000000"/>
                <w:spacing w:val="44"/>
                <w:shd w:val="solid" w:color="000000" w:fill="000000"/>
                <w:fitText w:val="216" w:id="-1233470963"/>
                <w14:textFill>
                  <w14:solidFill>
                    <w14:srgbClr w14:val="000000">
                      <w14:alpha w14:val="100000"/>
                    </w14:srgbClr>
                  </w14:solidFill>
                </w14:textFill>
              </w:rPr>
              <w:t>||</w:t>
            </w:r>
            <w:r w:rsidRPr="0013119A">
              <w:rPr>
                <w:color w:val="000000"/>
                <w:spacing w:val="1"/>
                <w:shd w:val="solid" w:color="000000" w:fill="000000"/>
                <w:fitText w:val="216" w:id="-1233470963"/>
                <w14:textFill>
                  <w14:solidFill>
                    <w14:srgbClr w14:val="000000">
                      <w14:alpha w14:val="100000"/>
                    </w14:srgbClr>
                  </w14:solidFill>
                </w14:textFill>
              </w:rPr>
              <w:t>|</w:t>
            </w:r>
            <w:r w:rsidR="008759DD" w:rsidRPr="008759DD">
              <w:t xml:space="preserve"> </w:t>
            </w:r>
            <w:r w:rsidR="00EF4D6E">
              <w:rPr>
                <w:vertAlign w:val="superscript"/>
              </w:rPr>
              <w:t>3</w:t>
            </w:r>
          </w:p>
        </w:tc>
        <w:tc>
          <w:tcPr>
            <w:tcW w:w="550" w:type="pct"/>
            <w:shd w:val="clear" w:color="auto" w:fill="auto"/>
          </w:tcPr>
          <w:p w14:paraId="704B4A16" w14:textId="3CE5CD51"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62"/>
                <w14:textFill>
                  <w14:solidFill>
                    <w14:srgbClr w14:val="000000">
                      <w14:alpha w14:val="100000"/>
                    </w14:srgbClr>
                  </w14:solidFill>
                </w14:textFill>
              </w:rPr>
              <w:t>|</w:t>
            </w:r>
            <w:r w:rsidRPr="0013119A">
              <w:rPr>
                <w:color w:val="000000"/>
                <w:spacing w:val="1"/>
                <w:shd w:val="solid" w:color="000000" w:fill="000000"/>
                <w:fitText w:val="300" w:id="-1233470962"/>
                <w14:textFill>
                  <w14:solidFill>
                    <w14:srgbClr w14:val="000000">
                      <w14:alpha w14:val="100000"/>
                    </w14:srgbClr>
                  </w14:solidFill>
                </w14:textFill>
              </w:rPr>
              <w:t>|</w:t>
            </w:r>
            <w:r w:rsidR="008759DD" w:rsidRPr="008759DD">
              <w:t xml:space="preserve"> </w:t>
            </w:r>
            <w:r w:rsidR="00ED4598">
              <w:rPr>
                <w:vertAlign w:val="superscript"/>
              </w:rPr>
              <w:t>6</w:t>
            </w:r>
          </w:p>
        </w:tc>
        <w:tc>
          <w:tcPr>
            <w:tcW w:w="574" w:type="pct"/>
            <w:shd w:val="clear" w:color="auto" w:fill="auto"/>
          </w:tcPr>
          <w:p w14:paraId="13661984" w14:textId="7A7635D1"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61"/>
                <w14:textFill>
                  <w14:solidFill>
                    <w14:srgbClr w14:val="000000">
                      <w14:alpha w14:val="100000"/>
                    </w14:srgbClr>
                  </w14:solidFill>
                </w14:textFill>
              </w:rPr>
              <w:t>|</w:t>
            </w:r>
            <w:r w:rsidRPr="0013119A">
              <w:rPr>
                <w:color w:val="000000"/>
                <w:spacing w:val="1"/>
                <w:shd w:val="solid" w:color="000000" w:fill="000000"/>
                <w:fitText w:val="266" w:id="-1233470961"/>
                <w14:textFill>
                  <w14:solidFill>
                    <w14:srgbClr w14:val="000000">
                      <w14:alpha w14:val="100000"/>
                    </w14:srgbClr>
                  </w14:solidFill>
                </w14:textFill>
              </w:rPr>
              <w:t>|</w:t>
            </w:r>
            <w:r w:rsidR="008759DD" w:rsidRPr="008759DD">
              <w:t xml:space="preserve"> </w:t>
            </w:r>
            <w:r w:rsidR="00ED4598">
              <w:rPr>
                <w:vertAlign w:val="superscript"/>
              </w:rPr>
              <w:t>7</w:t>
            </w:r>
          </w:p>
        </w:tc>
        <w:tc>
          <w:tcPr>
            <w:tcW w:w="611" w:type="pct"/>
            <w:shd w:val="clear" w:color="auto" w:fill="auto"/>
          </w:tcPr>
          <w:p w14:paraId="4EEDA99B" w14:textId="1D506092" w:rsidR="00431D2C" w:rsidRPr="00EF4D6E" w:rsidRDefault="0013119A" w:rsidP="00F111F2">
            <w:pPr>
              <w:pStyle w:val="TableText0"/>
              <w:jc w:val="center"/>
              <w:rPr>
                <w:highlight w:val="darkGray"/>
              </w:rPr>
            </w:pPr>
            <w:r w:rsidRPr="0013119A">
              <w:rPr>
                <w:color w:val="000000"/>
                <w:spacing w:val="52"/>
                <w:shd w:val="solid" w:color="000000" w:fill="000000"/>
                <w:fitText w:val="233" w:id="-1233470960"/>
                <w14:textFill>
                  <w14:solidFill>
                    <w14:srgbClr w14:val="000000">
                      <w14:alpha w14:val="100000"/>
                    </w14:srgbClr>
                  </w14:solidFill>
                </w14:textFill>
              </w:rPr>
              <w:t>||</w:t>
            </w:r>
            <w:r w:rsidRPr="0013119A">
              <w:rPr>
                <w:color w:val="000000"/>
                <w:spacing w:val="2"/>
                <w:shd w:val="solid" w:color="000000" w:fill="000000"/>
                <w:fitText w:val="233" w:id="-1233470960"/>
                <w14:textFill>
                  <w14:solidFill>
                    <w14:srgbClr w14:val="000000">
                      <w14:alpha w14:val="100000"/>
                    </w14:srgbClr>
                  </w14:solidFill>
                </w14:textFill>
              </w:rPr>
              <w:t>|</w:t>
            </w:r>
            <w:r w:rsidR="008759DD" w:rsidRPr="008759DD">
              <w:t xml:space="preserve"> </w:t>
            </w:r>
            <w:r w:rsidR="00ED4598">
              <w:rPr>
                <w:vertAlign w:val="superscript"/>
              </w:rPr>
              <w:t>9</w:t>
            </w:r>
          </w:p>
        </w:tc>
        <w:tc>
          <w:tcPr>
            <w:tcW w:w="611" w:type="pct"/>
            <w:shd w:val="clear" w:color="auto" w:fill="auto"/>
          </w:tcPr>
          <w:p w14:paraId="0E90722F" w14:textId="064296DB"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6"/>
                <w14:textFill>
                  <w14:solidFill>
                    <w14:srgbClr w14:val="000000">
                      <w14:alpha w14:val="100000"/>
                    </w14:srgbClr>
                  </w14:solidFill>
                </w14:textFill>
              </w:rPr>
              <w:t>||</w:t>
            </w:r>
            <w:r w:rsidRPr="0013119A">
              <w:rPr>
                <w:color w:val="000000"/>
                <w:spacing w:val="2"/>
                <w:shd w:val="solid" w:color="000000" w:fill="000000"/>
                <w:fitText w:val="233" w:id="-1233470976"/>
                <w14:textFill>
                  <w14:solidFill>
                    <w14:srgbClr w14:val="000000">
                      <w14:alpha w14:val="100000"/>
                    </w14:srgbClr>
                  </w14:solidFill>
                </w14:textFill>
              </w:rPr>
              <w:t>|</w:t>
            </w:r>
            <w:r w:rsidR="008759DD" w:rsidRPr="008759DD">
              <w:t xml:space="preserve"> </w:t>
            </w:r>
            <w:r w:rsidR="00ED4598">
              <w:rPr>
                <w:vertAlign w:val="superscript"/>
              </w:rPr>
              <w:t>9</w:t>
            </w:r>
          </w:p>
        </w:tc>
        <w:tc>
          <w:tcPr>
            <w:tcW w:w="613" w:type="pct"/>
          </w:tcPr>
          <w:p w14:paraId="56792481" w14:textId="0AC70B6A"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75"/>
                <w14:textFill>
                  <w14:solidFill>
                    <w14:srgbClr w14:val="000000">
                      <w14:alpha w14:val="100000"/>
                    </w14:srgbClr>
                  </w14:solidFill>
                </w14:textFill>
              </w:rPr>
              <w:t>|</w:t>
            </w:r>
            <w:r w:rsidRPr="0013119A">
              <w:rPr>
                <w:color w:val="000000"/>
                <w:spacing w:val="1"/>
                <w:shd w:val="solid" w:color="000000" w:fill="000000"/>
                <w:fitText w:val="241" w:id="-1233470975"/>
                <w14:textFill>
                  <w14:solidFill>
                    <w14:srgbClr w14:val="000000">
                      <w14:alpha w14:val="100000"/>
                    </w14:srgbClr>
                  </w14:solidFill>
                </w14:textFill>
              </w:rPr>
              <w:t>|</w:t>
            </w:r>
            <w:r w:rsidR="008759DD" w:rsidRPr="008759DD">
              <w:t xml:space="preserve"> </w:t>
            </w:r>
            <w:r w:rsidR="00ED4598">
              <w:rPr>
                <w:vertAlign w:val="superscript"/>
              </w:rPr>
              <w:t>9</w:t>
            </w:r>
          </w:p>
        </w:tc>
      </w:tr>
      <w:tr w:rsidR="00431D2C" w:rsidRPr="003639A6" w14:paraId="4F976155" w14:textId="77777777" w:rsidTr="00F111F2">
        <w:tc>
          <w:tcPr>
            <w:tcW w:w="1412" w:type="pct"/>
            <w:shd w:val="clear" w:color="auto" w:fill="auto"/>
            <w:vAlign w:val="center"/>
          </w:tcPr>
          <w:p w14:paraId="6D3E267C" w14:textId="555A3DA2" w:rsidR="00431D2C" w:rsidRPr="003639A6" w:rsidRDefault="00431D2C" w:rsidP="00F111F2">
            <w:pPr>
              <w:pStyle w:val="TableText0"/>
              <w:rPr>
                <w:rFonts w:ascii="Times" w:hAnsi="Times"/>
              </w:rPr>
            </w:pPr>
            <w:r>
              <w:rPr>
                <w:sz w:val="19"/>
                <w:szCs w:val="19"/>
              </w:rPr>
              <w:t>Net cost to</w:t>
            </w:r>
            <w:r w:rsidRPr="003639A6">
              <w:rPr>
                <w:sz w:val="19"/>
                <w:szCs w:val="19"/>
              </w:rPr>
              <w:t xml:space="preserve"> MBS</w:t>
            </w:r>
            <w:r w:rsidR="00EF4D6E">
              <w:rPr>
                <w:sz w:val="19"/>
                <w:szCs w:val="19"/>
              </w:rPr>
              <w:t xml:space="preserve"> ($)</w:t>
            </w:r>
          </w:p>
        </w:tc>
        <w:tc>
          <w:tcPr>
            <w:tcW w:w="629" w:type="pct"/>
            <w:shd w:val="clear" w:color="auto" w:fill="auto"/>
            <w:vAlign w:val="center"/>
          </w:tcPr>
          <w:p w14:paraId="04574369" w14:textId="228A473B" w:rsidR="00431D2C" w:rsidRPr="00EF4D6E" w:rsidRDefault="0013119A" w:rsidP="00F111F2">
            <w:pPr>
              <w:pStyle w:val="TableText0"/>
              <w:jc w:val="center"/>
              <w:rPr>
                <w:highlight w:val="darkGray"/>
              </w:rPr>
            </w:pPr>
            <w:r w:rsidRPr="0013119A">
              <w:rPr>
                <w:color w:val="000000"/>
                <w:spacing w:val="44"/>
                <w:shd w:val="solid" w:color="000000" w:fill="000000"/>
                <w:fitText w:val="216" w:id="-1233470974"/>
                <w14:textFill>
                  <w14:solidFill>
                    <w14:srgbClr w14:val="000000">
                      <w14:alpha w14:val="100000"/>
                    </w14:srgbClr>
                  </w14:solidFill>
                </w14:textFill>
              </w:rPr>
              <w:t>||</w:t>
            </w:r>
            <w:r w:rsidRPr="0013119A">
              <w:rPr>
                <w:color w:val="000000"/>
                <w:spacing w:val="1"/>
                <w:shd w:val="solid" w:color="000000" w:fill="000000"/>
                <w:fitText w:val="216" w:id="-1233470974"/>
                <w14:textFill>
                  <w14:solidFill>
                    <w14:srgbClr w14:val="000000">
                      <w14:alpha w14:val="100000"/>
                    </w14:srgbClr>
                  </w14:solidFill>
                </w14:textFill>
              </w:rPr>
              <w:t>|</w:t>
            </w:r>
            <w:r w:rsidR="008759DD" w:rsidRPr="008759DD">
              <w:t xml:space="preserve"> </w:t>
            </w:r>
            <w:r w:rsidR="00EF4D6E">
              <w:rPr>
                <w:vertAlign w:val="superscript"/>
              </w:rPr>
              <w:t>4</w:t>
            </w:r>
          </w:p>
        </w:tc>
        <w:tc>
          <w:tcPr>
            <w:tcW w:w="550" w:type="pct"/>
            <w:shd w:val="clear" w:color="auto" w:fill="auto"/>
            <w:vAlign w:val="center"/>
          </w:tcPr>
          <w:p w14:paraId="22C1C26D" w14:textId="5A0E6731"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73"/>
                <w14:textFill>
                  <w14:solidFill>
                    <w14:srgbClr w14:val="000000">
                      <w14:alpha w14:val="100000"/>
                    </w14:srgbClr>
                  </w14:solidFill>
                </w14:textFill>
              </w:rPr>
              <w:t>|</w:t>
            </w:r>
            <w:r w:rsidRPr="0013119A">
              <w:rPr>
                <w:color w:val="000000"/>
                <w:spacing w:val="1"/>
                <w:shd w:val="solid" w:color="000000" w:fill="000000"/>
                <w:fitText w:val="300" w:id="-1233470973"/>
                <w14:textFill>
                  <w14:solidFill>
                    <w14:srgbClr w14:val="000000">
                      <w14:alpha w14:val="100000"/>
                    </w14:srgbClr>
                  </w14:solidFill>
                </w14:textFill>
              </w:rPr>
              <w:t>|</w:t>
            </w:r>
            <w:r w:rsidR="008759DD" w:rsidRPr="008759DD">
              <w:t xml:space="preserve"> </w:t>
            </w:r>
            <w:r w:rsidR="00EF4D6E">
              <w:rPr>
                <w:vertAlign w:val="superscript"/>
              </w:rPr>
              <w:t>4</w:t>
            </w:r>
          </w:p>
        </w:tc>
        <w:tc>
          <w:tcPr>
            <w:tcW w:w="574" w:type="pct"/>
            <w:shd w:val="clear" w:color="auto" w:fill="auto"/>
            <w:vAlign w:val="center"/>
          </w:tcPr>
          <w:p w14:paraId="7E4C9AAC" w14:textId="3E8EE987"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72"/>
                <w14:textFill>
                  <w14:solidFill>
                    <w14:srgbClr w14:val="000000">
                      <w14:alpha w14:val="100000"/>
                    </w14:srgbClr>
                  </w14:solidFill>
                </w14:textFill>
              </w:rPr>
              <w:t>|</w:t>
            </w:r>
            <w:r w:rsidRPr="0013119A">
              <w:rPr>
                <w:color w:val="000000"/>
                <w:spacing w:val="1"/>
                <w:shd w:val="solid" w:color="000000" w:fill="000000"/>
                <w:fitText w:val="266" w:id="-1233470972"/>
                <w14:textFill>
                  <w14:solidFill>
                    <w14:srgbClr w14:val="000000">
                      <w14:alpha w14:val="100000"/>
                    </w14:srgbClr>
                  </w14:solidFill>
                </w14:textFill>
              </w:rPr>
              <w:t>|</w:t>
            </w:r>
            <w:r w:rsidR="008759DD" w:rsidRPr="008759DD">
              <w:t xml:space="preserve"> </w:t>
            </w:r>
            <w:r w:rsidR="00EF4D6E">
              <w:rPr>
                <w:vertAlign w:val="superscript"/>
              </w:rPr>
              <w:t>4</w:t>
            </w:r>
          </w:p>
        </w:tc>
        <w:tc>
          <w:tcPr>
            <w:tcW w:w="611" w:type="pct"/>
            <w:shd w:val="clear" w:color="auto" w:fill="auto"/>
            <w:vAlign w:val="center"/>
          </w:tcPr>
          <w:p w14:paraId="5BD6B8D6" w14:textId="02E5E2BD"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1"/>
                <w14:textFill>
                  <w14:solidFill>
                    <w14:srgbClr w14:val="000000">
                      <w14:alpha w14:val="100000"/>
                    </w14:srgbClr>
                  </w14:solidFill>
                </w14:textFill>
              </w:rPr>
              <w:t>||</w:t>
            </w:r>
            <w:r w:rsidRPr="0013119A">
              <w:rPr>
                <w:color w:val="000000"/>
                <w:spacing w:val="2"/>
                <w:shd w:val="solid" w:color="000000" w:fill="000000"/>
                <w:fitText w:val="233" w:id="-1233470971"/>
                <w14:textFill>
                  <w14:solidFill>
                    <w14:srgbClr w14:val="000000">
                      <w14:alpha w14:val="100000"/>
                    </w14:srgbClr>
                  </w14:solidFill>
                </w14:textFill>
              </w:rPr>
              <w:t>|</w:t>
            </w:r>
            <w:r w:rsidR="008759DD" w:rsidRPr="008759DD">
              <w:t xml:space="preserve"> </w:t>
            </w:r>
            <w:r w:rsidR="00EF4D6E">
              <w:rPr>
                <w:vertAlign w:val="superscript"/>
              </w:rPr>
              <w:t>4</w:t>
            </w:r>
          </w:p>
        </w:tc>
        <w:tc>
          <w:tcPr>
            <w:tcW w:w="611" w:type="pct"/>
            <w:shd w:val="clear" w:color="auto" w:fill="auto"/>
            <w:vAlign w:val="center"/>
          </w:tcPr>
          <w:p w14:paraId="577DC96D" w14:textId="2889AB98"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0"/>
                <w14:textFill>
                  <w14:solidFill>
                    <w14:srgbClr w14:val="000000">
                      <w14:alpha w14:val="100000"/>
                    </w14:srgbClr>
                  </w14:solidFill>
                </w14:textFill>
              </w:rPr>
              <w:t>||</w:t>
            </w:r>
            <w:r w:rsidRPr="0013119A">
              <w:rPr>
                <w:color w:val="000000"/>
                <w:spacing w:val="2"/>
                <w:shd w:val="solid" w:color="000000" w:fill="000000"/>
                <w:fitText w:val="233" w:id="-1233470970"/>
                <w14:textFill>
                  <w14:solidFill>
                    <w14:srgbClr w14:val="000000">
                      <w14:alpha w14:val="100000"/>
                    </w14:srgbClr>
                  </w14:solidFill>
                </w14:textFill>
              </w:rPr>
              <w:t>|</w:t>
            </w:r>
            <w:r w:rsidR="008759DD" w:rsidRPr="008759DD">
              <w:t xml:space="preserve"> </w:t>
            </w:r>
            <w:r w:rsidR="00EF4D6E">
              <w:rPr>
                <w:vertAlign w:val="superscript"/>
              </w:rPr>
              <w:t>4</w:t>
            </w:r>
          </w:p>
        </w:tc>
        <w:tc>
          <w:tcPr>
            <w:tcW w:w="613" w:type="pct"/>
            <w:vAlign w:val="center"/>
          </w:tcPr>
          <w:p w14:paraId="0FA532B7" w14:textId="5B090141"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69"/>
                <w14:textFill>
                  <w14:solidFill>
                    <w14:srgbClr w14:val="000000">
                      <w14:alpha w14:val="100000"/>
                    </w14:srgbClr>
                  </w14:solidFill>
                </w14:textFill>
              </w:rPr>
              <w:t>|</w:t>
            </w:r>
            <w:r w:rsidRPr="0013119A">
              <w:rPr>
                <w:color w:val="000000"/>
                <w:spacing w:val="1"/>
                <w:shd w:val="solid" w:color="000000" w:fill="000000"/>
                <w:fitText w:val="241" w:id="-1233470969"/>
                <w14:textFill>
                  <w14:solidFill>
                    <w14:srgbClr w14:val="000000">
                      <w14:alpha w14:val="100000"/>
                    </w14:srgbClr>
                  </w14:solidFill>
                </w14:textFill>
              </w:rPr>
              <w:t>|</w:t>
            </w:r>
            <w:r w:rsidR="008759DD" w:rsidRPr="008759DD">
              <w:t xml:space="preserve"> </w:t>
            </w:r>
            <w:r w:rsidR="00EF4D6E">
              <w:rPr>
                <w:vertAlign w:val="superscript"/>
              </w:rPr>
              <w:t>4</w:t>
            </w:r>
          </w:p>
        </w:tc>
      </w:tr>
      <w:tr w:rsidR="00431D2C" w:rsidRPr="003639A6" w14:paraId="7D625355" w14:textId="77777777" w:rsidTr="00F111F2">
        <w:tc>
          <w:tcPr>
            <w:tcW w:w="1412" w:type="pct"/>
            <w:shd w:val="clear" w:color="auto" w:fill="auto"/>
            <w:vAlign w:val="center"/>
          </w:tcPr>
          <w:p w14:paraId="7D7DE553" w14:textId="621ECD7E" w:rsidR="00431D2C" w:rsidRPr="003639A6" w:rsidRDefault="00431D2C" w:rsidP="00F111F2">
            <w:pPr>
              <w:pStyle w:val="TableText0"/>
              <w:rPr>
                <w:sz w:val="19"/>
                <w:szCs w:val="19"/>
              </w:rPr>
            </w:pPr>
            <w:r>
              <w:rPr>
                <w:sz w:val="19"/>
                <w:szCs w:val="19"/>
              </w:rPr>
              <w:t>Net cost to PBS/RPBS/MBS</w:t>
            </w:r>
            <w:r w:rsidR="00EF4D6E">
              <w:rPr>
                <w:sz w:val="19"/>
                <w:szCs w:val="19"/>
              </w:rPr>
              <w:t xml:space="preserve"> ($)</w:t>
            </w:r>
          </w:p>
        </w:tc>
        <w:tc>
          <w:tcPr>
            <w:tcW w:w="629" w:type="pct"/>
            <w:shd w:val="clear" w:color="auto" w:fill="auto"/>
          </w:tcPr>
          <w:p w14:paraId="61D38D1F" w14:textId="5B122905" w:rsidR="00431D2C" w:rsidRPr="00EF4D6E" w:rsidRDefault="0013119A" w:rsidP="00F111F2">
            <w:pPr>
              <w:pStyle w:val="TableText0"/>
              <w:jc w:val="center"/>
              <w:rPr>
                <w:highlight w:val="darkGray"/>
              </w:rPr>
            </w:pPr>
            <w:r w:rsidRPr="0013119A">
              <w:rPr>
                <w:color w:val="000000"/>
                <w:spacing w:val="44"/>
                <w:shd w:val="solid" w:color="000000" w:fill="000000"/>
                <w:fitText w:val="216" w:id="-1233470968"/>
                <w14:textFill>
                  <w14:solidFill>
                    <w14:srgbClr w14:val="000000">
                      <w14:alpha w14:val="100000"/>
                    </w14:srgbClr>
                  </w14:solidFill>
                </w14:textFill>
              </w:rPr>
              <w:t>||</w:t>
            </w:r>
            <w:r w:rsidRPr="0013119A">
              <w:rPr>
                <w:color w:val="000000"/>
                <w:spacing w:val="1"/>
                <w:shd w:val="solid" w:color="000000" w:fill="000000"/>
                <w:fitText w:val="216" w:id="-1233470968"/>
                <w14:textFill>
                  <w14:solidFill>
                    <w14:srgbClr w14:val="000000">
                      <w14:alpha w14:val="100000"/>
                    </w14:srgbClr>
                  </w14:solidFill>
                </w14:textFill>
              </w:rPr>
              <w:t>|</w:t>
            </w:r>
            <w:r w:rsidR="008759DD" w:rsidRPr="008759DD">
              <w:t xml:space="preserve"> </w:t>
            </w:r>
            <w:r w:rsidR="00EF4D6E">
              <w:rPr>
                <w:vertAlign w:val="superscript"/>
              </w:rPr>
              <w:t>3</w:t>
            </w:r>
          </w:p>
        </w:tc>
        <w:tc>
          <w:tcPr>
            <w:tcW w:w="550" w:type="pct"/>
            <w:shd w:val="clear" w:color="auto" w:fill="auto"/>
          </w:tcPr>
          <w:p w14:paraId="0BD9D4BA" w14:textId="2AD45BFF"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67"/>
                <w14:textFill>
                  <w14:solidFill>
                    <w14:srgbClr w14:val="000000">
                      <w14:alpha w14:val="100000"/>
                    </w14:srgbClr>
                  </w14:solidFill>
                </w14:textFill>
              </w:rPr>
              <w:t>|</w:t>
            </w:r>
            <w:r w:rsidRPr="0013119A">
              <w:rPr>
                <w:color w:val="000000"/>
                <w:spacing w:val="1"/>
                <w:shd w:val="solid" w:color="000000" w:fill="000000"/>
                <w:fitText w:val="300" w:id="-1233470967"/>
                <w14:textFill>
                  <w14:solidFill>
                    <w14:srgbClr w14:val="000000">
                      <w14:alpha w14:val="100000"/>
                    </w14:srgbClr>
                  </w14:solidFill>
                </w14:textFill>
              </w:rPr>
              <w:t>|</w:t>
            </w:r>
            <w:r w:rsidR="008759DD" w:rsidRPr="008759DD">
              <w:t xml:space="preserve"> </w:t>
            </w:r>
            <w:r w:rsidR="00ED4598">
              <w:rPr>
                <w:vertAlign w:val="superscript"/>
              </w:rPr>
              <w:t>6</w:t>
            </w:r>
          </w:p>
        </w:tc>
        <w:tc>
          <w:tcPr>
            <w:tcW w:w="574" w:type="pct"/>
            <w:shd w:val="clear" w:color="auto" w:fill="auto"/>
          </w:tcPr>
          <w:p w14:paraId="3EC29DB7" w14:textId="568CF1D7"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66"/>
                <w14:textFill>
                  <w14:solidFill>
                    <w14:srgbClr w14:val="000000">
                      <w14:alpha w14:val="100000"/>
                    </w14:srgbClr>
                  </w14:solidFill>
                </w14:textFill>
              </w:rPr>
              <w:t>|</w:t>
            </w:r>
            <w:r w:rsidRPr="0013119A">
              <w:rPr>
                <w:color w:val="000000"/>
                <w:spacing w:val="1"/>
                <w:shd w:val="solid" w:color="000000" w:fill="000000"/>
                <w:fitText w:val="266" w:id="-1233470966"/>
                <w14:textFill>
                  <w14:solidFill>
                    <w14:srgbClr w14:val="000000">
                      <w14:alpha w14:val="100000"/>
                    </w14:srgbClr>
                  </w14:solidFill>
                </w14:textFill>
              </w:rPr>
              <w:t>|</w:t>
            </w:r>
            <w:r w:rsidR="008759DD" w:rsidRPr="008759DD">
              <w:t xml:space="preserve"> </w:t>
            </w:r>
            <w:r w:rsidR="00ED4598">
              <w:rPr>
                <w:vertAlign w:val="superscript"/>
              </w:rPr>
              <w:t>7</w:t>
            </w:r>
          </w:p>
        </w:tc>
        <w:tc>
          <w:tcPr>
            <w:tcW w:w="611" w:type="pct"/>
            <w:shd w:val="clear" w:color="auto" w:fill="auto"/>
          </w:tcPr>
          <w:p w14:paraId="4B294D85" w14:textId="075259A7" w:rsidR="00431D2C" w:rsidRPr="00EF4D6E" w:rsidRDefault="0013119A" w:rsidP="00F111F2">
            <w:pPr>
              <w:pStyle w:val="TableText0"/>
              <w:jc w:val="center"/>
              <w:rPr>
                <w:highlight w:val="darkGray"/>
              </w:rPr>
            </w:pPr>
            <w:r w:rsidRPr="0013119A">
              <w:rPr>
                <w:color w:val="000000"/>
                <w:spacing w:val="52"/>
                <w:shd w:val="solid" w:color="000000" w:fill="000000"/>
                <w:fitText w:val="233" w:id="-1233470965"/>
                <w14:textFill>
                  <w14:solidFill>
                    <w14:srgbClr w14:val="000000">
                      <w14:alpha w14:val="100000"/>
                    </w14:srgbClr>
                  </w14:solidFill>
                </w14:textFill>
              </w:rPr>
              <w:t>||</w:t>
            </w:r>
            <w:r w:rsidRPr="0013119A">
              <w:rPr>
                <w:color w:val="000000"/>
                <w:spacing w:val="2"/>
                <w:shd w:val="solid" w:color="000000" w:fill="000000"/>
                <w:fitText w:val="233" w:id="-1233470965"/>
                <w14:textFill>
                  <w14:solidFill>
                    <w14:srgbClr w14:val="000000">
                      <w14:alpha w14:val="100000"/>
                    </w14:srgbClr>
                  </w14:solidFill>
                </w14:textFill>
              </w:rPr>
              <w:t>|</w:t>
            </w:r>
            <w:r w:rsidR="008759DD" w:rsidRPr="008759DD">
              <w:t xml:space="preserve"> </w:t>
            </w:r>
            <w:r w:rsidR="00ED4598">
              <w:rPr>
                <w:vertAlign w:val="superscript"/>
              </w:rPr>
              <w:t>9</w:t>
            </w:r>
          </w:p>
        </w:tc>
        <w:tc>
          <w:tcPr>
            <w:tcW w:w="611" w:type="pct"/>
            <w:shd w:val="clear" w:color="auto" w:fill="auto"/>
          </w:tcPr>
          <w:p w14:paraId="0A8FD191" w14:textId="24DA6616" w:rsidR="00431D2C" w:rsidRPr="00EF4D6E" w:rsidRDefault="0013119A" w:rsidP="00F111F2">
            <w:pPr>
              <w:pStyle w:val="TableText0"/>
              <w:jc w:val="center"/>
              <w:rPr>
                <w:highlight w:val="darkGray"/>
              </w:rPr>
            </w:pPr>
            <w:r w:rsidRPr="0013119A">
              <w:rPr>
                <w:color w:val="000000"/>
                <w:spacing w:val="52"/>
                <w:shd w:val="solid" w:color="000000" w:fill="000000"/>
                <w:fitText w:val="233" w:id="-1233470964"/>
                <w14:textFill>
                  <w14:solidFill>
                    <w14:srgbClr w14:val="000000">
                      <w14:alpha w14:val="100000"/>
                    </w14:srgbClr>
                  </w14:solidFill>
                </w14:textFill>
              </w:rPr>
              <w:t>||</w:t>
            </w:r>
            <w:r w:rsidRPr="0013119A">
              <w:rPr>
                <w:color w:val="000000"/>
                <w:spacing w:val="2"/>
                <w:shd w:val="solid" w:color="000000" w:fill="000000"/>
                <w:fitText w:val="233" w:id="-1233470964"/>
                <w14:textFill>
                  <w14:solidFill>
                    <w14:srgbClr w14:val="000000">
                      <w14:alpha w14:val="100000"/>
                    </w14:srgbClr>
                  </w14:solidFill>
                </w14:textFill>
              </w:rPr>
              <w:t>|</w:t>
            </w:r>
            <w:r w:rsidR="008759DD" w:rsidRPr="008759DD">
              <w:t xml:space="preserve"> </w:t>
            </w:r>
            <w:r w:rsidR="00ED4598">
              <w:rPr>
                <w:vertAlign w:val="superscript"/>
              </w:rPr>
              <w:t>9</w:t>
            </w:r>
          </w:p>
        </w:tc>
        <w:tc>
          <w:tcPr>
            <w:tcW w:w="613" w:type="pct"/>
          </w:tcPr>
          <w:p w14:paraId="4A6770E1" w14:textId="23A1E9B7"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63"/>
                <w14:textFill>
                  <w14:solidFill>
                    <w14:srgbClr w14:val="000000">
                      <w14:alpha w14:val="100000"/>
                    </w14:srgbClr>
                  </w14:solidFill>
                </w14:textFill>
              </w:rPr>
              <w:t>|</w:t>
            </w:r>
            <w:r w:rsidRPr="0013119A">
              <w:rPr>
                <w:color w:val="000000"/>
                <w:spacing w:val="1"/>
                <w:shd w:val="solid" w:color="000000" w:fill="000000"/>
                <w:fitText w:val="241" w:id="-1233470963"/>
                <w14:textFill>
                  <w14:solidFill>
                    <w14:srgbClr w14:val="000000">
                      <w14:alpha w14:val="100000"/>
                    </w14:srgbClr>
                  </w14:solidFill>
                </w14:textFill>
              </w:rPr>
              <w:t>|</w:t>
            </w:r>
            <w:r w:rsidR="008759DD" w:rsidRPr="008759DD">
              <w:t xml:space="preserve"> </w:t>
            </w:r>
            <w:r w:rsidR="00ED4598">
              <w:rPr>
                <w:vertAlign w:val="superscript"/>
              </w:rPr>
              <w:t>9</w:t>
            </w:r>
          </w:p>
        </w:tc>
      </w:tr>
      <w:tr w:rsidR="00431D2C" w:rsidRPr="003639A6" w14:paraId="3B00563D" w14:textId="77777777" w:rsidTr="00F111F2">
        <w:tc>
          <w:tcPr>
            <w:tcW w:w="5000" w:type="pct"/>
            <w:gridSpan w:val="7"/>
            <w:shd w:val="clear" w:color="auto" w:fill="B8CCE4" w:themeFill="accent1" w:themeFillTint="66"/>
            <w:vAlign w:val="center"/>
          </w:tcPr>
          <w:p w14:paraId="4023DDCA" w14:textId="77777777" w:rsidR="00431D2C" w:rsidRPr="000902D9" w:rsidRDefault="00431D2C" w:rsidP="00F111F2">
            <w:pPr>
              <w:pStyle w:val="In-tableHeading"/>
            </w:pPr>
            <w:r>
              <w:t>Previous submission (considered at the March 2022 PBAC meeting)</w:t>
            </w:r>
          </w:p>
        </w:tc>
      </w:tr>
      <w:tr w:rsidR="00431D2C" w:rsidRPr="003639A6" w14:paraId="2CF5F8CB" w14:textId="77777777" w:rsidTr="00F111F2">
        <w:tc>
          <w:tcPr>
            <w:tcW w:w="1412" w:type="pct"/>
            <w:shd w:val="clear" w:color="auto" w:fill="B8CCE4" w:themeFill="accent1" w:themeFillTint="66"/>
            <w:vAlign w:val="center"/>
          </w:tcPr>
          <w:p w14:paraId="16F9436B" w14:textId="38693949" w:rsidR="00431D2C" w:rsidRDefault="00431D2C" w:rsidP="00F111F2">
            <w:pPr>
              <w:pStyle w:val="TableText0"/>
              <w:rPr>
                <w:sz w:val="19"/>
                <w:szCs w:val="19"/>
              </w:rPr>
            </w:pPr>
            <w:r>
              <w:rPr>
                <w:sz w:val="19"/>
                <w:szCs w:val="19"/>
              </w:rPr>
              <w:t>Net cost to PBS/RPBS</w:t>
            </w:r>
            <w:r w:rsidR="00EF4D6E">
              <w:rPr>
                <w:sz w:val="19"/>
                <w:szCs w:val="19"/>
              </w:rPr>
              <w:t xml:space="preserve"> ($)</w:t>
            </w:r>
          </w:p>
        </w:tc>
        <w:tc>
          <w:tcPr>
            <w:tcW w:w="629" w:type="pct"/>
            <w:shd w:val="clear" w:color="auto" w:fill="B8CCE4" w:themeFill="accent1" w:themeFillTint="66"/>
          </w:tcPr>
          <w:p w14:paraId="739C30DE" w14:textId="7E46FFD6" w:rsidR="00431D2C" w:rsidRPr="00EF4D6E" w:rsidRDefault="0013119A" w:rsidP="00F111F2">
            <w:pPr>
              <w:pStyle w:val="TableText0"/>
              <w:jc w:val="center"/>
              <w:rPr>
                <w:highlight w:val="darkGray"/>
              </w:rPr>
            </w:pPr>
            <w:r w:rsidRPr="0013119A">
              <w:rPr>
                <w:color w:val="000000"/>
                <w:spacing w:val="44"/>
                <w:shd w:val="solid" w:color="000000" w:fill="000000"/>
                <w:fitText w:val="216" w:id="-1233470962"/>
                <w14:textFill>
                  <w14:solidFill>
                    <w14:srgbClr w14:val="000000">
                      <w14:alpha w14:val="100000"/>
                    </w14:srgbClr>
                  </w14:solidFill>
                </w14:textFill>
              </w:rPr>
              <w:t>||</w:t>
            </w:r>
            <w:r w:rsidRPr="0013119A">
              <w:rPr>
                <w:color w:val="000000"/>
                <w:spacing w:val="1"/>
                <w:shd w:val="solid" w:color="000000" w:fill="000000"/>
                <w:fitText w:val="216" w:id="-1233470962"/>
                <w14:textFill>
                  <w14:solidFill>
                    <w14:srgbClr w14:val="000000">
                      <w14:alpha w14:val="100000"/>
                    </w14:srgbClr>
                  </w14:solidFill>
                </w14:textFill>
              </w:rPr>
              <w:t>|</w:t>
            </w:r>
            <w:r w:rsidR="008759DD" w:rsidRPr="008759DD">
              <w:t xml:space="preserve"> </w:t>
            </w:r>
            <w:r w:rsidR="00EF4D6E">
              <w:rPr>
                <w:vertAlign w:val="superscript"/>
              </w:rPr>
              <w:t>3</w:t>
            </w:r>
          </w:p>
        </w:tc>
        <w:tc>
          <w:tcPr>
            <w:tcW w:w="550" w:type="pct"/>
            <w:shd w:val="clear" w:color="auto" w:fill="B8CCE4" w:themeFill="accent1" w:themeFillTint="66"/>
          </w:tcPr>
          <w:p w14:paraId="4A0B9C0D" w14:textId="148E8D41" w:rsidR="00431D2C" w:rsidRPr="00EF4D6E" w:rsidRDefault="0013119A" w:rsidP="00F111F2">
            <w:pPr>
              <w:pStyle w:val="TableText0"/>
              <w:jc w:val="center"/>
              <w:rPr>
                <w:highlight w:val="darkGray"/>
              </w:rPr>
            </w:pPr>
            <w:r w:rsidRPr="0013119A">
              <w:rPr>
                <w:color w:val="000000"/>
                <w:spacing w:val="214"/>
                <w:shd w:val="solid" w:color="000000" w:fill="000000"/>
                <w:fitText w:val="300" w:id="-1233470961"/>
                <w14:textFill>
                  <w14:solidFill>
                    <w14:srgbClr w14:val="000000">
                      <w14:alpha w14:val="100000"/>
                    </w14:srgbClr>
                  </w14:solidFill>
                </w14:textFill>
              </w:rPr>
              <w:t>|</w:t>
            </w:r>
            <w:r w:rsidRPr="0013119A">
              <w:rPr>
                <w:color w:val="000000"/>
                <w:spacing w:val="1"/>
                <w:shd w:val="solid" w:color="000000" w:fill="000000"/>
                <w:fitText w:val="300" w:id="-1233470961"/>
                <w14:textFill>
                  <w14:solidFill>
                    <w14:srgbClr w14:val="000000">
                      <w14:alpha w14:val="100000"/>
                    </w14:srgbClr>
                  </w14:solidFill>
                </w14:textFill>
              </w:rPr>
              <w:t>|</w:t>
            </w:r>
            <w:r w:rsidR="008759DD" w:rsidRPr="008759DD">
              <w:t xml:space="preserve"> </w:t>
            </w:r>
            <w:r w:rsidR="00ED4598">
              <w:rPr>
                <w:vertAlign w:val="superscript"/>
              </w:rPr>
              <w:t>7</w:t>
            </w:r>
          </w:p>
        </w:tc>
        <w:tc>
          <w:tcPr>
            <w:tcW w:w="574" w:type="pct"/>
            <w:shd w:val="clear" w:color="auto" w:fill="B8CCE4" w:themeFill="accent1" w:themeFillTint="66"/>
          </w:tcPr>
          <w:p w14:paraId="3A6E6BAD" w14:textId="11B6A0A6" w:rsidR="00431D2C" w:rsidRPr="00EF4D6E" w:rsidRDefault="0013119A" w:rsidP="00F111F2">
            <w:pPr>
              <w:pStyle w:val="TableText0"/>
              <w:jc w:val="center"/>
              <w:rPr>
                <w:highlight w:val="darkGray"/>
              </w:rPr>
            </w:pPr>
            <w:r w:rsidRPr="0013119A">
              <w:rPr>
                <w:color w:val="000000"/>
                <w:spacing w:val="180"/>
                <w:shd w:val="solid" w:color="000000" w:fill="000000"/>
                <w:fitText w:val="266" w:id="-1233470960"/>
                <w14:textFill>
                  <w14:solidFill>
                    <w14:srgbClr w14:val="000000">
                      <w14:alpha w14:val="100000"/>
                    </w14:srgbClr>
                  </w14:solidFill>
                </w14:textFill>
              </w:rPr>
              <w:t>|</w:t>
            </w:r>
            <w:r w:rsidRPr="0013119A">
              <w:rPr>
                <w:color w:val="000000"/>
                <w:spacing w:val="1"/>
                <w:shd w:val="solid" w:color="000000" w:fill="000000"/>
                <w:fitText w:val="266" w:id="-1233470960"/>
                <w14:textFill>
                  <w14:solidFill>
                    <w14:srgbClr w14:val="000000">
                      <w14:alpha w14:val="100000"/>
                    </w14:srgbClr>
                  </w14:solidFill>
                </w14:textFill>
              </w:rPr>
              <w:t>|</w:t>
            </w:r>
            <w:r w:rsidR="008759DD" w:rsidRPr="008759DD">
              <w:t xml:space="preserve"> </w:t>
            </w:r>
            <w:r w:rsidR="00ED4598">
              <w:rPr>
                <w:vertAlign w:val="superscript"/>
              </w:rPr>
              <w:t>7</w:t>
            </w:r>
          </w:p>
        </w:tc>
        <w:tc>
          <w:tcPr>
            <w:tcW w:w="611" w:type="pct"/>
            <w:shd w:val="clear" w:color="auto" w:fill="B8CCE4" w:themeFill="accent1" w:themeFillTint="66"/>
          </w:tcPr>
          <w:p w14:paraId="3925943B" w14:textId="219ED0BF"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6"/>
                <w14:textFill>
                  <w14:solidFill>
                    <w14:srgbClr w14:val="000000">
                      <w14:alpha w14:val="100000"/>
                    </w14:srgbClr>
                  </w14:solidFill>
                </w14:textFill>
              </w:rPr>
              <w:t>||</w:t>
            </w:r>
            <w:r w:rsidRPr="0013119A">
              <w:rPr>
                <w:color w:val="000000"/>
                <w:spacing w:val="2"/>
                <w:shd w:val="solid" w:color="000000" w:fill="000000"/>
                <w:fitText w:val="233" w:id="-1233470976"/>
                <w14:textFill>
                  <w14:solidFill>
                    <w14:srgbClr w14:val="000000">
                      <w14:alpha w14:val="100000"/>
                    </w14:srgbClr>
                  </w14:solidFill>
                </w14:textFill>
              </w:rPr>
              <w:t>|</w:t>
            </w:r>
            <w:r w:rsidR="008759DD" w:rsidRPr="008759DD">
              <w:t xml:space="preserve"> </w:t>
            </w:r>
            <w:r w:rsidR="00ED4598">
              <w:rPr>
                <w:vertAlign w:val="superscript"/>
              </w:rPr>
              <w:t>9</w:t>
            </w:r>
          </w:p>
        </w:tc>
        <w:tc>
          <w:tcPr>
            <w:tcW w:w="611" w:type="pct"/>
            <w:shd w:val="clear" w:color="auto" w:fill="B8CCE4" w:themeFill="accent1" w:themeFillTint="66"/>
          </w:tcPr>
          <w:p w14:paraId="71B460BD" w14:textId="553126A4" w:rsidR="00431D2C" w:rsidRPr="00EF4D6E" w:rsidRDefault="0013119A" w:rsidP="00F111F2">
            <w:pPr>
              <w:pStyle w:val="TableText0"/>
              <w:jc w:val="center"/>
              <w:rPr>
                <w:highlight w:val="darkGray"/>
              </w:rPr>
            </w:pPr>
            <w:r w:rsidRPr="0013119A">
              <w:rPr>
                <w:color w:val="000000"/>
                <w:spacing w:val="52"/>
                <w:shd w:val="solid" w:color="000000" w:fill="000000"/>
                <w:fitText w:val="233" w:id="-1233470975"/>
                <w14:textFill>
                  <w14:solidFill>
                    <w14:srgbClr w14:val="000000">
                      <w14:alpha w14:val="100000"/>
                    </w14:srgbClr>
                  </w14:solidFill>
                </w14:textFill>
              </w:rPr>
              <w:t>||</w:t>
            </w:r>
            <w:r w:rsidRPr="0013119A">
              <w:rPr>
                <w:color w:val="000000"/>
                <w:spacing w:val="2"/>
                <w:shd w:val="solid" w:color="000000" w:fill="000000"/>
                <w:fitText w:val="233" w:id="-1233470975"/>
                <w14:textFill>
                  <w14:solidFill>
                    <w14:srgbClr w14:val="000000">
                      <w14:alpha w14:val="100000"/>
                    </w14:srgbClr>
                  </w14:solidFill>
                </w14:textFill>
              </w:rPr>
              <w:t>|</w:t>
            </w:r>
            <w:r w:rsidR="008759DD" w:rsidRPr="008759DD">
              <w:t xml:space="preserve"> </w:t>
            </w:r>
            <w:r w:rsidR="00ED4598">
              <w:rPr>
                <w:vertAlign w:val="superscript"/>
              </w:rPr>
              <w:t>9</w:t>
            </w:r>
          </w:p>
        </w:tc>
        <w:tc>
          <w:tcPr>
            <w:tcW w:w="613" w:type="pct"/>
            <w:shd w:val="clear" w:color="auto" w:fill="B8CCE4" w:themeFill="accent1" w:themeFillTint="66"/>
          </w:tcPr>
          <w:p w14:paraId="2FF0338A" w14:textId="0163855F" w:rsidR="00431D2C" w:rsidRPr="00EF4D6E" w:rsidRDefault="0013119A" w:rsidP="00F111F2">
            <w:pPr>
              <w:pStyle w:val="TableText0"/>
              <w:jc w:val="center"/>
              <w:rPr>
                <w:highlight w:val="darkGray"/>
              </w:rPr>
            </w:pPr>
            <w:r w:rsidRPr="0013119A">
              <w:rPr>
                <w:color w:val="000000"/>
                <w:spacing w:val="155"/>
                <w:shd w:val="solid" w:color="000000" w:fill="000000"/>
                <w:fitText w:val="241" w:id="-1233470974"/>
                <w14:textFill>
                  <w14:solidFill>
                    <w14:srgbClr w14:val="000000">
                      <w14:alpha w14:val="100000"/>
                    </w14:srgbClr>
                  </w14:solidFill>
                </w14:textFill>
              </w:rPr>
              <w:t>|</w:t>
            </w:r>
            <w:r w:rsidRPr="0013119A">
              <w:rPr>
                <w:color w:val="000000"/>
                <w:spacing w:val="1"/>
                <w:shd w:val="solid" w:color="000000" w:fill="000000"/>
                <w:fitText w:val="241" w:id="-1233470974"/>
                <w14:textFill>
                  <w14:solidFill>
                    <w14:srgbClr w14:val="000000">
                      <w14:alpha w14:val="100000"/>
                    </w14:srgbClr>
                  </w14:solidFill>
                </w14:textFill>
              </w:rPr>
              <w:t>|</w:t>
            </w:r>
            <w:r w:rsidR="008759DD" w:rsidRPr="008759DD">
              <w:t xml:space="preserve"> </w:t>
            </w:r>
            <w:r w:rsidR="00ED4598">
              <w:rPr>
                <w:vertAlign w:val="superscript"/>
              </w:rPr>
              <w:t>9</w:t>
            </w:r>
          </w:p>
        </w:tc>
      </w:tr>
    </w:tbl>
    <w:p w14:paraId="73565E68" w14:textId="77777777" w:rsidR="00431D2C" w:rsidRDefault="00431D2C" w:rsidP="00431D2C">
      <w:pPr>
        <w:pStyle w:val="FooterTableFigure"/>
        <w:rPr>
          <w:rStyle w:val="CommentReference"/>
        </w:rPr>
      </w:pPr>
      <w:r>
        <w:t xml:space="preserve">Source: </w:t>
      </w:r>
      <w:r w:rsidRPr="005E2BC7">
        <w:t>Table</w:t>
      </w:r>
      <w:r>
        <w:t>s</w:t>
      </w:r>
      <w:r w:rsidRPr="005E2BC7">
        <w:t xml:space="preserve"> 4</w:t>
      </w:r>
      <w:r>
        <w:t xml:space="preserve">-3, </w:t>
      </w:r>
      <w:r w:rsidRPr="005E2BC7">
        <w:t>p2</w:t>
      </w:r>
      <w:r>
        <w:t>89, Table</w:t>
      </w:r>
      <w:r w:rsidRPr="005E2BC7">
        <w:t xml:space="preserve"> </w:t>
      </w:r>
      <w:r>
        <w:t>4-4, p291, and Table 4-6</w:t>
      </w:r>
      <w:r w:rsidRPr="005E2BC7">
        <w:t>, p2</w:t>
      </w:r>
      <w:r>
        <w:t>91</w:t>
      </w:r>
      <w:r w:rsidRPr="005E2BC7">
        <w:t>, of the submission</w:t>
      </w:r>
    </w:p>
    <w:p w14:paraId="5370B3BE" w14:textId="77777777" w:rsidR="00431D2C" w:rsidRPr="00A67E12" w:rsidRDefault="00431D2C" w:rsidP="00431D2C">
      <w:pPr>
        <w:pStyle w:val="FooterTableFigure"/>
      </w:pPr>
      <w:r w:rsidRPr="00A67E12">
        <w:rPr>
          <w:rStyle w:val="CommentReference"/>
          <w:b w:val="0"/>
          <w:bCs/>
          <w:iCs/>
          <w:sz w:val="16"/>
          <w:shd w:val="clear" w:color="auto" w:fill="B8CCE4" w:themeFill="accent1" w:themeFillTint="66"/>
        </w:rPr>
        <w:t>Blue shading</w:t>
      </w:r>
      <w:r w:rsidRPr="00A67E12">
        <w:rPr>
          <w:rStyle w:val="CommentReference"/>
          <w:b w:val="0"/>
          <w:bCs/>
          <w:iCs/>
          <w:sz w:val="16"/>
        </w:rPr>
        <w:t xml:space="preserve"> </w:t>
      </w:r>
      <w:r w:rsidRPr="00A67E12">
        <w:t>indicates data previously seen by the PBAC.</w:t>
      </w:r>
    </w:p>
    <w:p w14:paraId="25AC5285" w14:textId="77777777" w:rsidR="00431D2C" w:rsidRDefault="00431D2C" w:rsidP="00431D2C">
      <w:pPr>
        <w:pStyle w:val="FooterTableFigure"/>
      </w:pPr>
      <w:r w:rsidRPr="003639A6">
        <w:rPr>
          <w:vertAlign w:val="superscript"/>
        </w:rPr>
        <w:t>a</w:t>
      </w:r>
      <w:r>
        <w:t xml:space="preserve"> </w:t>
      </w:r>
      <w:r w:rsidRPr="00013A41">
        <w:t>From Year 2, the number of treated patients includes patients who initiate abemaciclib therapy in the previous year and continue on their second year of treatment</w:t>
      </w:r>
    </w:p>
    <w:p w14:paraId="5EE691A1" w14:textId="6E67616D" w:rsidR="00431D2C" w:rsidRDefault="00431D2C" w:rsidP="00EF4D6E">
      <w:pPr>
        <w:pStyle w:val="FooterTableFigure"/>
        <w:spacing w:after="0"/>
      </w:pPr>
      <w:r w:rsidRPr="00013A41">
        <w:rPr>
          <w:vertAlign w:val="superscript"/>
        </w:rPr>
        <w:t>b</w:t>
      </w:r>
      <w:r>
        <w:t xml:space="preserve"> </w:t>
      </w:r>
      <w:r w:rsidRPr="003639A6">
        <w:t xml:space="preserve">Assuming </w:t>
      </w:r>
      <w:r>
        <w:t xml:space="preserve">13.04 (=365.25/28) scripts per patient </w:t>
      </w:r>
      <w:r w:rsidRPr="003639A6">
        <w:t>per year as estimated by the submission.</w:t>
      </w:r>
    </w:p>
    <w:p w14:paraId="261739F6" w14:textId="77777777" w:rsidR="00EF4D6E" w:rsidRDefault="00EF4D6E" w:rsidP="00EF4D6E">
      <w:pPr>
        <w:rPr>
          <w:rFonts w:ascii="Arial Narrow" w:hAnsi="Arial Narrow"/>
          <w:i/>
          <w:sz w:val="18"/>
          <w:szCs w:val="18"/>
        </w:rPr>
      </w:pPr>
      <w:r>
        <w:rPr>
          <w:rFonts w:ascii="Arial Narrow" w:hAnsi="Arial Narrow"/>
          <w:i/>
          <w:sz w:val="18"/>
          <w:szCs w:val="18"/>
        </w:rPr>
        <w:t xml:space="preserve">The redacted values correspond to the following ranges: </w:t>
      </w:r>
    </w:p>
    <w:p w14:paraId="64174A90" w14:textId="4DFD49C1" w:rsidR="00EF4D6E" w:rsidRDefault="00EF4D6E" w:rsidP="00EF4D6E">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EF4D6E">
        <w:rPr>
          <w:rFonts w:ascii="Arial Narrow" w:hAnsi="Arial Narrow"/>
          <w:i/>
          <w:sz w:val="18"/>
          <w:szCs w:val="18"/>
        </w:rPr>
        <w:t>500 to &lt; 5,000</w:t>
      </w:r>
    </w:p>
    <w:p w14:paraId="6C9458FE" w14:textId="2F6BA4BF" w:rsidR="00EF4D6E" w:rsidRDefault="00EF4D6E" w:rsidP="00EF4D6E">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EF4D6E">
        <w:rPr>
          <w:rFonts w:ascii="Arial Narrow" w:hAnsi="Arial Narrow"/>
          <w:i/>
          <w:sz w:val="18"/>
          <w:szCs w:val="18"/>
        </w:rPr>
        <w:t>10,000 to &lt; 20,000</w:t>
      </w:r>
    </w:p>
    <w:p w14:paraId="1226EA95" w14:textId="5FC05977" w:rsidR="00EF4D6E" w:rsidRDefault="00EF4D6E" w:rsidP="00EF4D6E">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EF4D6E">
        <w:rPr>
          <w:rFonts w:ascii="Arial Narrow" w:hAnsi="Arial Narrow"/>
          <w:i/>
          <w:sz w:val="18"/>
          <w:szCs w:val="18"/>
        </w:rPr>
        <w:t>$20 million to &lt; $30 million</w:t>
      </w:r>
    </w:p>
    <w:p w14:paraId="7A021597" w14:textId="529D7CCC" w:rsidR="00EF4D6E" w:rsidRDefault="00EF4D6E" w:rsidP="00EF4D6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D4598" w:rsidRPr="00ED4598">
        <w:rPr>
          <w:rFonts w:ascii="Arial Narrow" w:hAnsi="Arial Narrow"/>
          <w:i/>
          <w:sz w:val="18"/>
          <w:szCs w:val="18"/>
        </w:rPr>
        <w:t>$0 to &lt; $10 million</w:t>
      </w:r>
    </w:p>
    <w:p w14:paraId="3D033C4A" w14:textId="1CD0C06A" w:rsidR="00EF4D6E" w:rsidRDefault="00EF4D6E" w:rsidP="00EF4D6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ED4598" w:rsidRPr="00ED4598">
        <w:rPr>
          <w:rFonts w:ascii="Arial Narrow" w:hAnsi="Arial Narrow"/>
          <w:i/>
          <w:sz w:val="18"/>
          <w:szCs w:val="18"/>
        </w:rPr>
        <w:t>30,000 to &lt; 40,000</w:t>
      </w:r>
    </w:p>
    <w:p w14:paraId="707C4AD5" w14:textId="009235E6" w:rsidR="00EF4D6E" w:rsidRPr="00ED4598" w:rsidRDefault="00EF4D6E" w:rsidP="00ED4598">
      <w:pPr>
        <w:ind w:right="150"/>
        <w:rPr>
          <w:rFonts w:ascii="Arial" w:hAnsi="Arial"/>
          <w:color w:val="333333"/>
          <w:sz w:val="21"/>
          <w:szCs w:val="21"/>
        </w:rPr>
      </w:pPr>
      <w:r>
        <w:rPr>
          <w:rFonts w:ascii="Arial Narrow" w:hAnsi="Arial Narrow"/>
          <w:i/>
          <w:sz w:val="18"/>
          <w:szCs w:val="18"/>
          <w:vertAlign w:val="superscript"/>
        </w:rPr>
        <w:t>6</w:t>
      </w:r>
      <w:r>
        <w:rPr>
          <w:rFonts w:ascii="Arial Narrow" w:hAnsi="Arial Narrow"/>
          <w:i/>
          <w:sz w:val="18"/>
          <w:szCs w:val="18"/>
        </w:rPr>
        <w:t xml:space="preserve"> </w:t>
      </w:r>
      <w:r w:rsidR="00ED4598" w:rsidRPr="00ED4598">
        <w:rPr>
          <w:rFonts w:ascii="Arial Narrow" w:hAnsi="Arial Narrow"/>
          <w:i/>
          <w:sz w:val="18"/>
          <w:szCs w:val="18"/>
        </w:rPr>
        <w:t>$50 million to &lt; $60 million</w:t>
      </w:r>
    </w:p>
    <w:p w14:paraId="182A65B5" w14:textId="08925F02" w:rsidR="00EF4D6E" w:rsidRDefault="00EF4D6E" w:rsidP="00EF4D6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D4598" w:rsidRPr="00ED4598">
        <w:rPr>
          <w:rFonts w:ascii="Arial Narrow" w:hAnsi="Arial Narrow"/>
          <w:i/>
          <w:sz w:val="18"/>
          <w:szCs w:val="18"/>
        </w:rPr>
        <w:t>$60 million to &lt; $70 million</w:t>
      </w:r>
    </w:p>
    <w:p w14:paraId="0F117FD9" w14:textId="05663C0C" w:rsidR="00EF4D6E" w:rsidRDefault="00EF4D6E" w:rsidP="00ED459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ED4598" w:rsidRPr="00ED4598">
        <w:rPr>
          <w:rFonts w:ascii="Arial Narrow" w:hAnsi="Arial Narrow"/>
          <w:i/>
          <w:sz w:val="18"/>
          <w:szCs w:val="18"/>
        </w:rPr>
        <w:t>40,000 to &lt; 50,000</w:t>
      </w:r>
    </w:p>
    <w:p w14:paraId="48341295" w14:textId="12AC103F" w:rsidR="00ED4598" w:rsidRPr="00EF4D6E" w:rsidRDefault="00ED4598" w:rsidP="00EF4D6E">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ED4598">
        <w:rPr>
          <w:rFonts w:ascii="Arial Narrow" w:hAnsi="Arial Narrow"/>
          <w:i/>
          <w:sz w:val="18"/>
          <w:szCs w:val="18"/>
        </w:rPr>
        <w:t>$70 million to &lt; $80 million</w:t>
      </w:r>
    </w:p>
    <w:p w14:paraId="4E6DBB1C" w14:textId="29723E89" w:rsidR="00431D2C" w:rsidRPr="008D0B2A" w:rsidRDefault="00431D2C" w:rsidP="00ED4598">
      <w:pPr>
        <w:pStyle w:val="3-BodyText"/>
      </w:pPr>
      <w:r w:rsidRPr="008D0B2A">
        <w:t xml:space="preserve">The total cost to the PBS/RPBS of listing abemaciclib was estimated to be </w:t>
      </w:r>
      <w:r w:rsidR="00ED4598" w:rsidRPr="00ED4598">
        <w:t>$70 million to &lt; $80 million</w:t>
      </w:r>
      <w:r w:rsidR="00ED4598">
        <w:t xml:space="preserve"> </w:t>
      </w:r>
      <w:r w:rsidRPr="008D0B2A">
        <w:t xml:space="preserve">in Year 6, and a total of </w:t>
      </w:r>
      <w:r w:rsidR="00ED4598" w:rsidRPr="00ED4598">
        <w:t>$300 million to &lt; $400 million</w:t>
      </w:r>
      <w:r w:rsidR="00ED4598">
        <w:t xml:space="preserve"> </w:t>
      </w:r>
      <w:r w:rsidRPr="008D0B2A">
        <w:t xml:space="preserve">in the first 6 years of listing. </w:t>
      </w:r>
      <w:r w:rsidRPr="00A67E12">
        <w:t xml:space="preserve">This estimate is approximately </w:t>
      </w:r>
      <w:r w:rsidR="00ED4598" w:rsidRPr="00ED4598">
        <w:t>$10 million to &lt; $20 million</w:t>
      </w:r>
      <w:r w:rsidR="00ED4598">
        <w:t xml:space="preserve"> </w:t>
      </w:r>
      <w:r w:rsidRPr="00A67E12">
        <w:t xml:space="preserve">lower than the estimate presented in the previous submission (which was </w:t>
      </w:r>
      <w:r w:rsidR="00ED4598" w:rsidRPr="00ED4598">
        <w:t>$300 million to &lt; $400 million</w:t>
      </w:r>
      <w:r w:rsidR="00ED4598">
        <w:t xml:space="preserve"> </w:t>
      </w:r>
      <w:r w:rsidRPr="00A67E12">
        <w:t>for the first 6 years of listing).</w:t>
      </w:r>
      <w:r w:rsidRPr="008D0B2A">
        <w:t xml:space="preserve"> </w:t>
      </w:r>
    </w:p>
    <w:p w14:paraId="7424FE2E" w14:textId="1C47CA5C" w:rsidR="005B406E" w:rsidRDefault="00431D2C" w:rsidP="00A4500F">
      <w:pPr>
        <w:pStyle w:val="3-BodyText"/>
      </w:pPr>
      <w:r w:rsidRPr="00A67E12">
        <w:t>When the previous submission was considered, the DUSC considered that the uptake of abemaciclib, the abemaciclib treatment duration and the compliance rate were overestimated. In addition, the DUSC noted that the financial analysis did not account for the costs for management of AEs, which resulted in an underestimate of the net costs to the PBS/RPBS and to the MBS due to an increased number of AEs with abemaciclib + ET compared to ET alone (</w:t>
      </w:r>
      <w:r w:rsidR="00356FC8">
        <w:t>p</w:t>
      </w:r>
      <w:r w:rsidRPr="00A67E12">
        <w:t>ara</w:t>
      </w:r>
      <w:r w:rsidR="00356FC8">
        <w:t>graph</w:t>
      </w:r>
      <w:r w:rsidRPr="00A67E12">
        <w:t xml:space="preserve"> 6.57, Abemaciclib PSD, March 2022). The DUSC advised that changes to the inputs and structure of the model used to derive the utilisation and financial estimates should be considered</w:t>
      </w:r>
      <w:r w:rsidR="005B406E">
        <w:t>; however, t</w:t>
      </w:r>
      <w:r w:rsidR="005B406E" w:rsidRPr="00A67E12">
        <w:t>he financial analysis in the resubmission did not change the inputs</w:t>
      </w:r>
      <w:r w:rsidRPr="00A67E12">
        <w:t>. The</w:t>
      </w:r>
      <w:r w:rsidR="005B406E">
        <w:t xml:space="preserve"> </w:t>
      </w:r>
      <w:r w:rsidR="005B406E" w:rsidRPr="00FA0201">
        <w:rPr>
          <w:iCs/>
        </w:rPr>
        <w:t>proposed changes from DUSC</w:t>
      </w:r>
      <w:r w:rsidRPr="00A67E12">
        <w:t xml:space="preserve"> included</w:t>
      </w:r>
      <w:r w:rsidR="005B406E">
        <w:t>:</w:t>
      </w:r>
      <w:r w:rsidRPr="00A67E12">
        <w:t xml:space="preserve"> </w:t>
      </w:r>
    </w:p>
    <w:p w14:paraId="26484D81" w14:textId="14470806" w:rsidR="005B406E" w:rsidRPr="00FA0201" w:rsidRDefault="005B406E" w:rsidP="007312D6">
      <w:pPr>
        <w:pStyle w:val="3-BodyText"/>
        <w:numPr>
          <w:ilvl w:val="0"/>
          <w:numId w:val="14"/>
        </w:numPr>
        <w:ind w:left="993" w:hanging="284"/>
        <w:rPr>
          <w:iCs/>
        </w:rPr>
      </w:pPr>
      <w:r>
        <w:lastRenderedPageBreak/>
        <w:t>A</w:t>
      </w:r>
      <w:r w:rsidR="00431D2C" w:rsidRPr="00A67E12">
        <w:t xml:space="preserve"> reduction to the </w:t>
      </w:r>
      <w:r w:rsidR="001E74E1">
        <w:t xml:space="preserve">(i) </w:t>
      </w:r>
      <w:r w:rsidR="00431D2C" w:rsidRPr="00A67E12">
        <w:t xml:space="preserve">uptake and </w:t>
      </w:r>
      <w:r w:rsidR="001E74E1">
        <w:t xml:space="preserve">(ii) </w:t>
      </w:r>
      <w:r w:rsidR="00431D2C" w:rsidRPr="00A67E12">
        <w:t>compliance rates</w:t>
      </w:r>
      <w:r>
        <w:t>.</w:t>
      </w:r>
      <w:r w:rsidR="00431D2C" w:rsidRPr="00A67E12">
        <w:t xml:space="preserve"> </w:t>
      </w:r>
      <w:r w:rsidRPr="00FA0201">
        <w:rPr>
          <w:iCs/>
        </w:rPr>
        <w:t>The PSCR stated that</w:t>
      </w:r>
      <w:r w:rsidR="001E74E1" w:rsidRPr="00FA0201">
        <w:rPr>
          <w:iCs/>
        </w:rPr>
        <w:t xml:space="preserve"> the high</w:t>
      </w:r>
      <w:r w:rsidRPr="00FA0201">
        <w:rPr>
          <w:iCs/>
        </w:rPr>
        <w:t xml:space="preserve"> </w:t>
      </w:r>
      <w:r w:rsidR="001E74E1" w:rsidRPr="00FA0201">
        <w:rPr>
          <w:iCs/>
        </w:rPr>
        <w:t xml:space="preserve">uptake of abemaciclib was justified by the high uptake observed in the </w:t>
      </w:r>
      <w:r w:rsidR="00DE009A">
        <w:rPr>
          <w:iCs/>
        </w:rPr>
        <w:t>PFP</w:t>
      </w:r>
      <w:r w:rsidR="001E74E1" w:rsidRPr="00FA0201">
        <w:rPr>
          <w:iCs/>
        </w:rPr>
        <w:t xml:space="preserve"> operating since September 2022</w:t>
      </w:r>
      <w:r w:rsidR="00EF1352" w:rsidRPr="00FA0201">
        <w:rPr>
          <w:iCs/>
        </w:rPr>
        <w:t>, and that a 100% compliance rate was justified by the</w:t>
      </w:r>
      <w:r w:rsidR="00F04B57" w:rsidRPr="00FA0201">
        <w:rPr>
          <w:iCs/>
        </w:rPr>
        <w:t xml:space="preserve"> high compliance for the</w:t>
      </w:r>
      <w:r w:rsidR="00EF1352" w:rsidRPr="00FA0201">
        <w:rPr>
          <w:iCs/>
        </w:rPr>
        <w:t xml:space="preserve"> AFU2 data-cut in monarchE)</w:t>
      </w:r>
      <w:r w:rsidR="001E74E1" w:rsidRPr="00FA0201">
        <w:rPr>
          <w:iCs/>
        </w:rPr>
        <w:t xml:space="preserve">. </w:t>
      </w:r>
      <w:r w:rsidRPr="00FA0201">
        <w:rPr>
          <w:iCs/>
        </w:rPr>
        <w:t xml:space="preserve"> </w:t>
      </w:r>
    </w:p>
    <w:p w14:paraId="1A7105D6" w14:textId="136FC65A" w:rsidR="005B406E" w:rsidRPr="00FA0201" w:rsidRDefault="005B406E" w:rsidP="007312D6">
      <w:pPr>
        <w:pStyle w:val="3-BodyText"/>
        <w:numPr>
          <w:ilvl w:val="0"/>
          <w:numId w:val="14"/>
        </w:numPr>
        <w:ind w:left="993" w:hanging="284"/>
        <w:rPr>
          <w:iCs/>
        </w:rPr>
      </w:pPr>
      <w:r w:rsidRPr="00FA0201">
        <w:rPr>
          <w:iCs/>
        </w:rPr>
        <w:t xml:space="preserve">A reduction </w:t>
      </w:r>
      <w:r w:rsidR="00F04B57" w:rsidRPr="00FA0201">
        <w:rPr>
          <w:iCs/>
        </w:rPr>
        <w:t>to</w:t>
      </w:r>
      <w:r>
        <w:t xml:space="preserve"> </w:t>
      </w:r>
      <w:r w:rsidR="00431D2C" w:rsidRPr="00A67E12">
        <w:t>the duration of therapy</w:t>
      </w:r>
      <w:r>
        <w:t>.</w:t>
      </w:r>
      <w:r w:rsidR="00431D2C" w:rsidRPr="00A67E12">
        <w:t xml:space="preserve"> </w:t>
      </w:r>
      <w:r w:rsidRPr="00FA0201">
        <w:rPr>
          <w:iCs/>
        </w:rPr>
        <w:t>The PSCR stated that</w:t>
      </w:r>
      <w:r w:rsidR="00F04B57" w:rsidRPr="00F04B57">
        <w:rPr>
          <w:rFonts w:cstheme="minorHAnsi"/>
        </w:rPr>
        <w:t xml:space="preserve"> </w:t>
      </w:r>
      <w:r w:rsidR="00F04B57" w:rsidRPr="00FA0201">
        <w:rPr>
          <w:rFonts w:cstheme="minorHAnsi"/>
          <w:iCs/>
        </w:rPr>
        <w:t>abemaciclib treatment is administered in combination with endocrine therapy with curative intent for two years</w:t>
      </w:r>
      <w:r w:rsidR="00F36AB2" w:rsidRPr="00FA0201">
        <w:rPr>
          <w:rFonts w:cstheme="minorHAnsi"/>
          <w:iCs/>
        </w:rPr>
        <w:t>,</w:t>
      </w:r>
      <w:r w:rsidR="00F04B57" w:rsidRPr="00FA0201">
        <w:rPr>
          <w:rFonts w:cstheme="minorHAnsi"/>
          <w:iCs/>
        </w:rPr>
        <w:t xml:space="preserve"> and the duration of therapy of 24 months is supported by </w:t>
      </w:r>
      <w:r w:rsidR="00DD6FDC" w:rsidRPr="00FA0201">
        <w:rPr>
          <w:rFonts w:cstheme="minorHAnsi"/>
          <w:iCs/>
        </w:rPr>
        <w:t xml:space="preserve">the </w:t>
      </w:r>
      <w:r w:rsidR="00F04B57" w:rsidRPr="00FA0201">
        <w:rPr>
          <w:rFonts w:cstheme="minorHAnsi"/>
          <w:iCs/>
        </w:rPr>
        <w:t>AFU2</w:t>
      </w:r>
      <w:r w:rsidR="00DD6FDC" w:rsidRPr="00FA0201">
        <w:rPr>
          <w:rFonts w:cstheme="minorHAnsi"/>
          <w:iCs/>
        </w:rPr>
        <w:t xml:space="preserve"> data cut where </w:t>
      </w:r>
      <w:r w:rsidR="00F04B57" w:rsidRPr="00FA0201">
        <w:rPr>
          <w:rFonts w:cstheme="minorHAnsi"/>
          <w:iCs/>
        </w:rPr>
        <w:t xml:space="preserve">the median duration of </w:t>
      </w:r>
      <w:r w:rsidR="00DD6FDC" w:rsidRPr="00FA0201">
        <w:rPr>
          <w:rFonts w:cstheme="minorHAnsi"/>
          <w:iCs/>
        </w:rPr>
        <w:t>therapy</w:t>
      </w:r>
      <w:r w:rsidR="00F04B57" w:rsidRPr="00FA0201">
        <w:rPr>
          <w:rFonts w:cstheme="minorHAnsi"/>
          <w:iCs/>
        </w:rPr>
        <w:t xml:space="preserve"> was 24 months.</w:t>
      </w:r>
      <w:r w:rsidR="001A1538" w:rsidRPr="00FA0201">
        <w:rPr>
          <w:rFonts w:cstheme="minorHAnsi"/>
          <w:iCs/>
        </w:rPr>
        <w:t xml:space="preserve"> </w:t>
      </w:r>
    </w:p>
    <w:p w14:paraId="1BC52C07" w14:textId="3D860014" w:rsidR="005B406E" w:rsidRDefault="005B406E" w:rsidP="007312D6">
      <w:pPr>
        <w:pStyle w:val="3-BodyText"/>
        <w:numPr>
          <w:ilvl w:val="0"/>
          <w:numId w:val="14"/>
        </w:numPr>
        <w:ind w:left="993" w:hanging="284"/>
      </w:pPr>
      <w:r>
        <w:t>A</w:t>
      </w:r>
      <w:r w:rsidR="00431D2C" w:rsidRPr="00A67E12">
        <w:t xml:space="preserve"> review of the costs used for </w:t>
      </w:r>
      <w:r w:rsidR="001E74E1">
        <w:t xml:space="preserve">(i) </w:t>
      </w:r>
      <w:r w:rsidR="00431D2C" w:rsidRPr="00A67E12">
        <w:t xml:space="preserve">metastatic recurrence and </w:t>
      </w:r>
      <w:r w:rsidR="001E74E1">
        <w:t xml:space="preserve">(ii) </w:t>
      </w:r>
      <w:r w:rsidR="00431D2C" w:rsidRPr="00A67E12">
        <w:t>AEs.</w:t>
      </w:r>
    </w:p>
    <w:p w14:paraId="38B97B47" w14:textId="7BF1BA67" w:rsidR="00DD6FDC" w:rsidRPr="00FA0201" w:rsidRDefault="005B406E" w:rsidP="00F35092">
      <w:pPr>
        <w:pStyle w:val="3-BodyText"/>
        <w:rPr>
          <w:iCs/>
        </w:rPr>
      </w:pPr>
      <w:bookmarkStart w:id="69" w:name="_Ref127777052"/>
      <w:r w:rsidRPr="00FA0201">
        <w:rPr>
          <w:iCs/>
        </w:rPr>
        <w:t>The ESC</w:t>
      </w:r>
      <w:r w:rsidR="00D83F15" w:rsidRPr="00FA0201">
        <w:rPr>
          <w:iCs/>
        </w:rPr>
        <w:t xml:space="preserve"> </w:t>
      </w:r>
      <w:r w:rsidR="001A1538" w:rsidRPr="00FA0201">
        <w:rPr>
          <w:iCs/>
        </w:rPr>
        <w:t>considered</w:t>
      </w:r>
      <w:r w:rsidR="00D83F15" w:rsidRPr="00FA0201">
        <w:rPr>
          <w:iCs/>
        </w:rPr>
        <w:t xml:space="preserve"> uncertainty </w:t>
      </w:r>
      <w:r w:rsidR="001A1538" w:rsidRPr="00FA0201">
        <w:rPr>
          <w:iCs/>
        </w:rPr>
        <w:t>remained regarding the</w:t>
      </w:r>
      <w:r w:rsidR="00D83F15" w:rsidRPr="00FA0201">
        <w:rPr>
          <w:iCs/>
        </w:rPr>
        <w:t xml:space="preserve"> estimat</w:t>
      </w:r>
      <w:r w:rsidR="001A1538" w:rsidRPr="00FA0201">
        <w:rPr>
          <w:iCs/>
        </w:rPr>
        <w:t>ed use in a clinical setting</w:t>
      </w:r>
      <w:r w:rsidR="00D83F15" w:rsidRPr="00FA0201">
        <w:rPr>
          <w:iCs/>
        </w:rPr>
        <w:t xml:space="preserve">. The ESC </w:t>
      </w:r>
      <w:r w:rsidRPr="00FA0201">
        <w:rPr>
          <w:iCs/>
        </w:rPr>
        <w:t>considered that</w:t>
      </w:r>
      <w:r w:rsidR="00DD6FDC" w:rsidRPr="00FA0201">
        <w:rPr>
          <w:iCs/>
        </w:rPr>
        <w:t>:</w:t>
      </w:r>
      <w:bookmarkEnd w:id="69"/>
      <w:r w:rsidR="00EF1352" w:rsidRPr="00FA0201">
        <w:rPr>
          <w:iCs/>
        </w:rPr>
        <w:t xml:space="preserve"> </w:t>
      </w:r>
    </w:p>
    <w:p w14:paraId="0809C8F6" w14:textId="661B8078" w:rsidR="00DD6FDC" w:rsidRPr="00FA0201" w:rsidRDefault="00DD6FDC" w:rsidP="007312D6">
      <w:pPr>
        <w:pStyle w:val="3-BodyText"/>
        <w:numPr>
          <w:ilvl w:val="0"/>
          <w:numId w:val="20"/>
        </w:numPr>
        <w:ind w:left="993" w:hanging="284"/>
        <w:rPr>
          <w:iCs/>
        </w:rPr>
      </w:pPr>
      <w:r w:rsidRPr="00FA0201">
        <w:rPr>
          <w:iCs/>
        </w:rPr>
        <w:t>S</w:t>
      </w:r>
      <w:r w:rsidR="00EF1352" w:rsidRPr="00FA0201">
        <w:rPr>
          <w:iCs/>
        </w:rPr>
        <w:t xml:space="preserve">ufficient evidence was not provided to justify </w:t>
      </w:r>
      <w:r w:rsidR="001E74E1" w:rsidRPr="00FA0201">
        <w:rPr>
          <w:iCs/>
        </w:rPr>
        <w:t>the proposed</w:t>
      </w:r>
      <w:r w:rsidR="00EF1352" w:rsidRPr="00FA0201">
        <w:rPr>
          <w:iCs/>
        </w:rPr>
        <w:t xml:space="preserve"> high</w:t>
      </w:r>
      <w:r w:rsidR="001E74E1" w:rsidRPr="00FA0201">
        <w:rPr>
          <w:iCs/>
        </w:rPr>
        <w:t xml:space="preserve"> uptake rates</w:t>
      </w:r>
      <w:r w:rsidR="00EF1352" w:rsidRPr="00FA0201">
        <w:rPr>
          <w:iCs/>
        </w:rPr>
        <w:t>;</w:t>
      </w:r>
    </w:p>
    <w:p w14:paraId="26B2A798" w14:textId="77777777" w:rsidR="00DD6FDC" w:rsidRPr="00FA0201" w:rsidRDefault="00DD6FDC" w:rsidP="007312D6">
      <w:pPr>
        <w:pStyle w:val="3-BodyText"/>
        <w:numPr>
          <w:ilvl w:val="0"/>
          <w:numId w:val="20"/>
        </w:numPr>
        <w:ind w:left="993" w:hanging="284"/>
        <w:rPr>
          <w:iCs/>
        </w:rPr>
      </w:pPr>
      <w:r w:rsidRPr="00FA0201">
        <w:rPr>
          <w:iCs/>
        </w:rPr>
        <w:t>T</w:t>
      </w:r>
      <w:r w:rsidR="00F04B57" w:rsidRPr="00FA0201">
        <w:rPr>
          <w:iCs/>
        </w:rPr>
        <w:t>he proposed 100% compliance rate was unrealistic;</w:t>
      </w:r>
    </w:p>
    <w:p w14:paraId="1B29B87B" w14:textId="77026522" w:rsidR="00DD6FDC" w:rsidRPr="00FA0201" w:rsidRDefault="00DD6FDC" w:rsidP="007312D6">
      <w:pPr>
        <w:pStyle w:val="3-BodyText"/>
        <w:numPr>
          <w:ilvl w:val="0"/>
          <w:numId w:val="20"/>
        </w:numPr>
        <w:ind w:left="993" w:hanging="284"/>
        <w:rPr>
          <w:iCs/>
        </w:rPr>
      </w:pPr>
      <w:r w:rsidRPr="00FA0201">
        <w:rPr>
          <w:iCs/>
        </w:rPr>
        <w:t>T</w:t>
      </w:r>
      <w:r w:rsidR="00F04B57" w:rsidRPr="00FA0201">
        <w:rPr>
          <w:iCs/>
        </w:rPr>
        <w:t xml:space="preserve">he </w:t>
      </w:r>
      <w:r w:rsidRPr="00FA0201">
        <w:rPr>
          <w:iCs/>
        </w:rPr>
        <w:t xml:space="preserve">median duration of therapy </w:t>
      </w:r>
      <w:r w:rsidR="001A1538" w:rsidRPr="00FA0201">
        <w:rPr>
          <w:rFonts w:cstheme="minorHAnsi"/>
          <w:iCs/>
        </w:rPr>
        <w:t>of 24 months indicates that 50% of patients completed the 24 month course and that the appropriate measure is the mean. Further, use</w:t>
      </w:r>
      <w:r w:rsidR="001A1538" w:rsidRPr="00FA0201">
        <w:rPr>
          <w:iCs/>
        </w:rPr>
        <w:t xml:space="preserve"> </w:t>
      </w:r>
      <w:r w:rsidRPr="00FA0201">
        <w:rPr>
          <w:iCs/>
        </w:rPr>
        <w:t xml:space="preserve">in a heavily controlled trial </w:t>
      </w:r>
      <w:r w:rsidR="00D83F15" w:rsidRPr="00FA0201">
        <w:rPr>
          <w:iCs/>
        </w:rPr>
        <w:t>may</w:t>
      </w:r>
      <w:r w:rsidRPr="00FA0201">
        <w:rPr>
          <w:iCs/>
        </w:rPr>
        <w:t xml:space="preserve"> not reflect real-world usage;</w:t>
      </w:r>
      <w:r w:rsidR="007F376E" w:rsidRPr="00FA0201">
        <w:rPr>
          <w:iCs/>
        </w:rPr>
        <w:t xml:space="preserve"> and</w:t>
      </w:r>
    </w:p>
    <w:p w14:paraId="60E421AC" w14:textId="5149D516" w:rsidR="00A4500F" w:rsidRDefault="00D83F15" w:rsidP="007312D6">
      <w:pPr>
        <w:pStyle w:val="3-BodyText"/>
        <w:numPr>
          <w:ilvl w:val="0"/>
          <w:numId w:val="20"/>
        </w:numPr>
        <w:ind w:left="993" w:hanging="284"/>
        <w:rPr>
          <w:iCs/>
        </w:rPr>
      </w:pPr>
      <w:r w:rsidRPr="00FA0201">
        <w:rPr>
          <w:iCs/>
        </w:rPr>
        <w:t xml:space="preserve">There </w:t>
      </w:r>
      <w:r w:rsidR="002D4751" w:rsidRPr="00FA0201">
        <w:rPr>
          <w:iCs/>
        </w:rPr>
        <w:t>are likely to be</w:t>
      </w:r>
      <w:r w:rsidRPr="00FA0201">
        <w:rPr>
          <w:iCs/>
        </w:rPr>
        <w:t xml:space="preserve"> cost</w:t>
      </w:r>
      <w:r w:rsidR="002D4751" w:rsidRPr="00FA0201">
        <w:rPr>
          <w:iCs/>
        </w:rPr>
        <w:t xml:space="preserve"> </w:t>
      </w:r>
      <w:r w:rsidR="00402A08" w:rsidRPr="00FA0201">
        <w:rPr>
          <w:iCs/>
        </w:rPr>
        <w:t>savings</w:t>
      </w:r>
      <w:r w:rsidRPr="00FA0201">
        <w:rPr>
          <w:iCs/>
        </w:rPr>
        <w:t xml:space="preserve"> associated with </w:t>
      </w:r>
      <w:r w:rsidR="002D4751" w:rsidRPr="00FA0201">
        <w:rPr>
          <w:iCs/>
        </w:rPr>
        <w:t xml:space="preserve">delayed or prevented </w:t>
      </w:r>
      <w:r w:rsidRPr="00FA0201">
        <w:rPr>
          <w:iCs/>
        </w:rPr>
        <w:t xml:space="preserve">metastatic recurrence and </w:t>
      </w:r>
      <w:r w:rsidR="00402A08" w:rsidRPr="00FA0201">
        <w:rPr>
          <w:iCs/>
        </w:rPr>
        <w:t xml:space="preserve">increased costs associated with </w:t>
      </w:r>
      <w:r w:rsidRPr="00FA0201">
        <w:rPr>
          <w:iCs/>
        </w:rPr>
        <w:t>managing AEs.</w:t>
      </w:r>
    </w:p>
    <w:p w14:paraId="18808915" w14:textId="72362311" w:rsidR="008C22F9" w:rsidRPr="00FA0201" w:rsidRDefault="008C22F9" w:rsidP="009E0183">
      <w:pPr>
        <w:pStyle w:val="3-BodyText"/>
        <w:numPr>
          <w:ilvl w:val="0"/>
          <w:numId w:val="0"/>
        </w:numPr>
        <w:ind w:left="709"/>
        <w:rPr>
          <w:iCs/>
        </w:rPr>
      </w:pPr>
      <w:r>
        <w:rPr>
          <w:iCs/>
        </w:rPr>
        <w:t xml:space="preserve">The pre-PBAC response maintained that the uptake rates </w:t>
      </w:r>
      <w:r w:rsidR="007A251E">
        <w:rPr>
          <w:iCs/>
        </w:rPr>
        <w:t xml:space="preserve">assumed </w:t>
      </w:r>
      <w:r>
        <w:rPr>
          <w:iCs/>
        </w:rPr>
        <w:t xml:space="preserve">for abemaciclib </w:t>
      </w:r>
      <w:r w:rsidR="007A251E">
        <w:rPr>
          <w:iCs/>
        </w:rPr>
        <w:t xml:space="preserve">in the resubmission </w:t>
      </w:r>
      <w:r>
        <w:rPr>
          <w:iCs/>
        </w:rPr>
        <w:t xml:space="preserve">were appropriate and </w:t>
      </w:r>
      <w:r w:rsidRPr="00DE009A">
        <w:rPr>
          <w:iCs/>
        </w:rPr>
        <w:t>reiterat</w:t>
      </w:r>
      <w:r>
        <w:rPr>
          <w:iCs/>
        </w:rPr>
        <w:t>ed</w:t>
      </w:r>
      <w:r w:rsidRPr="00DE009A">
        <w:rPr>
          <w:iCs/>
        </w:rPr>
        <w:t xml:space="preserve"> that </w:t>
      </w:r>
      <w:r w:rsidR="007A35C7">
        <w:rPr>
          <w:iCs/>
        </w:rPr>
        <w:t xml:space="preserve">the rates </w:t>
      </w:r>
      <w:r w:rsidRPr="00DE009A">
        <w:rPr>
          <w:iCs/>
        </w:rPr>
        <w:t xml:space="preserve">reflect </w:t>
      </w:r>
      <w:r w:rsidRPr="00DE009A">
        <w:rPr>
          <w:rFonts w:cstheme="minorHAnsi"/>
        </w:rPr>
        <w:t>the unmet clinical need</w:t>
      </w:r>
      <w:r w:rsidR="007A251E">
        <w:rPr>
          <w:rFonts w:cstheme="minorHAnsi"/>
        </w:rPr>
        <w:t xml:space="preserve"> </w:t>
      </w:r>
      <w:r w:rsidR="007A35C7">
        <w:rPr>
          <w:rFonts w:cstheme="minorHAnsi"/>
        </w:rPr>
        <w:t>seen in th</w:t>
      </w:r>
      <w:r w:rsidR="00985677">
        <w:rPr>
          <w:rFonts w:cstheme="minorHAnsi"/>
        </w:rPr>
        <w:t>is</w:t>
      </w:r>
      <w:r w:rsidR="007A35C7">
        <w:rPr>
          <w:rFonts w:cstheme="minorHAnsi"/>
        </w:rPr>
        <w:t xml:space="preserve"> patient population </w:t>
      </w:r>
      <w:r w:rsidR="007A251E">
        <w:rPr>
          <w:rFonts w:cstheme="minorHAnsi"/>
        </w:rPr>
        <w:t>and</w:t>
      </w:r>
      <w:r w:rsidRPr="00DE009A">
        <w:rPr>
          <w:rFonts w:cstheme="minorHAnsi"/>
        </w:rPr>
        <w:t xml:space="preserve"> align</w:t>
      </w:r>
      <w:r w:rsidR="007A35C7">
        <w:rPr>
          <w:rFonts w:cstheme="minorHAnsi"/>
        </w:rPr>
        <w:t>s</w:t>
      </w:r>
      <w:r w:rsidRPr="00DE009A">
        <w:rPr>
          <w:rFonts w:cstheme="minorHAnsi"/>
        </w:rPr>
        <w:t xml:space="preserve"> with clinical opinion and the uptake seen in the PFP.</w:t>
      </w:r>
      <w:r w:rsidR="007A251E">
        <w:rPr>
          <w:rFonts w:cstheme="minorHAnsi"/>
        </w:rPr>
        <w:t xml:space="preserve"> The pre-PBAC response</w:t>
      </w:r>
      <w:r w:rsidR="00492D82">
        <w:rPr>
          <w:rFonts w:cstheme="minorHAnsi"/>
        </w:rPr>
        <w:t xml:space="preserve"> </w:t>
      </w:r>
      <w:r w:rsidR="007A251E">
        <w:rPr>
          <w:rFonts w:cstheme="minorHAnsi"/>
        </w:rPr>
        <w:t xml:space="preserve">also maintained the </w:t>
      </w:r>
      <w:r w:rsidR="00DD4418">
        <w:rPr>
          <w:rFonts w:cstheme="minorHAnsi"/>
        </w:rPr>
        <w:t xml:space="preserve">duration of therapy </w:t>
      </w:r>
      <w:r w:rsidR="007A251E">
        <w:rPr>
          <w:rFonts w:cstheme="minorHAnsi"/>
        </w:rPr>
        <w:t xml:space="preserve">and compliance </w:t>
      </w:r>
      <w:r w:rsidR="00DD4418">
        <w:rPr>
          <w:rFonts w:cstheme="minorHAnsi"/>
        </w:rPr>
        <w:t xml:space="preserve">rate </w:t>
      </w:r>
      <w:r w:rsidR="007A251E">
        <w:rPr>
          <w:rFonts w:cstheme="minorHAnsi"/>
        </w:rPr>
        <w:t xml:space="preserve">assumed in the resubmission and reiterated that these assumptions were supported by the </w:t>
      </w:r>
      <w:r w:rsidR="007A251E" w:rsidRPr="2EEAD85D">
        <w:t xml:space="preserve">treatment duration and drug exposure </w:t>
      </w:r>
      <w:r w:rsidR="007A251E">
        <w:t xml:space="preserve">reported in the </w:t>
      </w:r>
      <w:r w:rsidR="007A251E">
        <w:rPr>
          <w:rFonts w:cstheme="minorHAnsi"/>
        </w:rPr>
        <w:t>monarchE clinical trial</w:t>
      </w:r>
      <w:r w:rsidR="004A24C0">
        <w:rPr>
          <w:rFonts w:cstheme="minorHAnsi"/>
        </w:rPr>
        <w:t xml:space="preserve"> and reflected the likely utilisation of a potentially curative treatment in a high risk population.</w:t>
      </w:r>
    </w:p>
    <w:p w14:paraId="05F800FB" w14:textId="311BB43A" w:rsidR="00A4500F" w:rsidRPr="00A67E12" w:rsidRDefault="00A4500F" w:rsidP="00A4500F">
      <w:pPr>
        <w:pStyle w:val="3-BodyText"/>
      </w:pPr>
      <w:r w:rsidRPr="00A67E12">
        <w:t xml:space="preserve">The sensitivity analyses performed during evaluation </w:t>
      </w:r>
      <w:r w:rsidR="001A1538">
        <w:t>are</w:t>
      </w:r>
      <w:r w:rsidRPr="00A67E12">
        <w:t xml:space="preserve"> presented in </w:t>
      </w:r>
      <w:r w:rsidRPr="00A67E12">
        <w:fldChar w:fldCharType="begin"/>
      </w:r>
      <w:r w:rsidRPr="00A67E12">
        <w:instrText xml:space="preserve"> REF _Ref124779890 \h </w:instrText>
      </w:r>
      <w:r w:rsidRPr="00A67E12">
        <w:fldChar w:fldCharType="separate"/>
      </w:r>
      <w:r w:rsidR="0001201E" w:rsidRPr="00A67E12">
        <w:t xml:space="preserve">Table </w:t>
      </w:r>
      <w:r w:rsidR="0001201E">
        <w:rPr>
          <w:noProof/>
        </w:rPr>
        <w:t>21</w:t>
      </w:r>
      <w:r w:rsidRPr="00A67E12">
        <w:fldChar w:fldCharType="end"/>
      </w:r>
      <w:r w:rsidRPr="00A67E12">
        <w:t xml:space="preserve">, which include the revisions for the incident patients in 2023 – 2028, uptake rates as advised by DUSC, and the mean duration of </w:t>
      </w:r>
      <w:r w:rsidRPr="00EC58C1">
        <w:t>treatment (82.7 weeks),</w:t>
      </w:r>
      <w:r w:rsidRPr="00A67E12">
        <w:t xml:space="preserve"> which accounted for the compliance. The cumulative effect of these changes is a 45% decrease in the financial impact to the PBS/RPBS in the first six years of listing.</w:t>
      </w:r>
    </w:p>
    <w:p w14:paraId="164A47AC" w14:textId="0F3D2D2B" w:rsidR="00A4500F" w:rsidRPr="00A67E12" w:rsidRDefault="00A4500F" w:rsidP="00381464">
      <w:pPr>
        <w:pStyle w:val="Caption"/>
      </w:pPr>
      <w:bookmarkStart w:id="70" w:name="_Ref124779890"/>
      <w:r w:rsidRPr="00A67E12">
        <w:lastRenderedPageBreak/>
        <w:t xml:space="preserve">Table </w:t>
      </w:r>
      <w:fldSimple w:instr=" SEQ Table \* ARABIC ">
        <w:r w:rsidR="0001201E">
          <w:rPr>
            <w:noProof/>
          </w:rPr>
          <w:t>21</w:t>
        </w:r>
      </w:fldSimple>
      <w:bookmarkEnd w:id="70"/>
      <w:r w:rsidRPr="00A67E12">
        <w:t>:</w:t>
      </w:r>
      <w:r w:rsidRPr="00A67E12">
        <w:rPr>
          <w:rStyle w:val="CommentReference"/>
          <w:b/>
          <w:szCs w:val="24"/>
        </w:rPr>
        <w:t xml:space="preserve"> </w:t>
      </w:r>
      <w:r w:rsidRPr="00A67E12">
        <w:t>Uncertainty analyses: net financial impacts to the PBS/RPBS (performed during the evaluation)</w:t>
      </w:r>
    </w:p>
    <w:tbl>
      <w:tblPr>
        <w:tblStyle w:val="TableGrid"/>
        <w:tblW w:w="5000" w:type="pct"/>
        <w:tblLayout w:type="fixed"/>
        <w:tblLook w:val="04A0" w:firstRow="1" w:lastRow="0" w:firstColumn="1" w:lastColumn="0" w:noHBand="0" w:noVBand="1"/>
      </w:tblPr>
      <w:tblGrid>
        <w:gridCol w:w="1397"/>
        <w:gridCol w:w="1129"/>
        <w:gridCol w:w="1129"/>
        <w:gridCol w:w="1127"/>
        <w:gridCol w:w="1142"/>
        <w:gridCol w:w="1129"/>
        <w:gridCol w:w="1129"/>
        <w:gridCol w:w="835"/>
      </w:tblGrid>
      <w:tr w:rsidR="00A4500F" w:rsidRPr="00A67E12" w14:paraId="78473625" w14:textId="77777777" w:rsidTr="00B5602A">
        <w:tc>
          <w:tcPr>
            <w:tcW w:w="775" w:type="pct"/>
          </w:tcPr>
          <w:p w14:paraId="3AAC4496" w14:textId="77777777" w:rsidR="00A4500F" w:rsidRPr="00A67E12" w:rsidRDefault="00A4500F" w:rsidP="00381464">
            <w:pPr>
              <w:keepNext/>
              <w:jc w:val="left"/>
              <w:rPr>
                <w:rFonts w:ascii="Arial Narrow" w:hAnsi="Arial Narrow" w:cs="Times New Roman"/>
                <w:b/>
                <w:sz w:val="20"/>
                <w:szCs w:val="20"/>
              </w:rPr>
            </w:pPr>
            <w:r w:rsidRPr="00A67E12">
              <w:rPr>
                <w:rFonts w:ascii="Arial Narrow" w:hAnsi="Arial Narrow" w:cs="Times New Roman"/>
                <w:b/>
                <w:sz w:val="20"/>
                <w:szCs w:val="20"/>
              </w:rPr>
              <w:t>Assumption</w:t>
            </w:r>
          </w:p>
        </w:tc>
        <w:tc>
          <w:tcPr>
            <w:tcW w:w="626" w:type="pct"/>
          </w:tcPr>
          <w:p w14:paraId="7DD003AF"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1</w:t>
            </w:r>
          </w:p>
        </w:tc>
        <w:tc>
          <w:tcPr>
            <w:tcW w:w="626" w:type="pct"/>
          </w:tcPr>
          <w:p w14:paraId="302A3E92"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2</w:t>
            </w:r>
          </w:p>
        </w:tc>
        <w:tc>
          <w:tcPr>
            <w:tcW w:w="625" w:type="pct"/>
          </w:tcPr>
          <w:p w14:paraId="5FAF3364"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3</w:t>
            </w:r>
          </w:p>
        </w:tc>
        <w:tc>
          <w:tcPr>
            <w:tcW w:w="633" w:type="pct"/>
          </w:tcPr>
          <w:p w14:paraId="5F5360B0"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4</w:t>
            </w:r>
          </w:p>
        </w:tc>
        <w:tc>
          <w:tcPr>
            <w:tcW w:w="626" w:type="pct"/>
          </w:tcPr>
          <w:p w14:paraId="1CB12638"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5</w:t>
            </w:r>
          </w:p>
        </w:tc>
        <w:tc>
          <w:tcPr>
            <w:tcW w:w="626" w:type="pct"/>
          </w:tcPr>
          <w:p w14:paraId="5313E37F" w14:textId="77777777" w:rsidR="00A4500F" w:rsidRPr="00A67E12" w:rsidRDefault="00A4500F" w:rsidP="00381464">
            <w:pPr>
              <w:keepNext/>
              <w:jc w:val="center"/>
              <w:rPr>
                <w:rFonts w:ascii="Arial Narrow" w:hAnsi="Arial Narrow" w:cs="Times New Roman"/>
                <w:b/>
                <w:sz w:val="20"/>
                <w:szCs w:val="20"/>
              </w:rPr>
            </w:pPr>
            <w:r w:rsidRPr="00A67E12">
              <w:rPr>
                <w:rFonts w:ascii="Arial Narrow" w:hAnsi="Arial Narrow" w:cs="Times New Roman"/>
                <w:b/>
                <w:sz w:val="20"/>
                <w:szCs w:val="20"/>
              </w:rPr>
              <w:t>Year 6</w:t>
            </w:r>
          </w:p>
        </w:tc>
        <w:tc>
          <w:tcPr>
            <w:tcW w:w="463" w:type="pct"/>
          </w:tcPr>
          <w:p w14:paraId="3D0B5EF8" w14:textId="77777777" w:rsidR="00A4500F" w:rsidRPr="00A67E12" w:rsidRDefault="00A4500F" w:rsidP="00381464">
            <w:pPr>
              <w:keepNext/>
              <w:ind w:left="-113" w:right="-113"/>
              <w:jc w:val="center"/>
              <w:rPr>
                <w:rFonts w:ascii="Arial Narrow" w:hAnsi="Arial Narrow" w:cs="Times New Roman"/>
                <w:b/>
                <w:sz w:val="20"/>
                <w:szCs w:val="20"/>
              </w:rPr>
            </w:pPr>
            <w:r w:rsidRPr="00A67E12">
              <w:rPr>
                <w:rFonts w:ascii="Arial Narrow" w:hAnsi="Arial Narrow" w:cs="Times New Roman"/>
                <w:b/>
                <w:sz w:val="20"/>
                <w:szCs w:val="20"/>
              </w:rPr>
              <w:t>% change over 6 yrs</w:t>
            </w:r>
          </w:p>
        </w:tc>
      </w:tr>
      <w:tr w:rsidR="00A4500F" w:rsidRPr="00A67E12" w14:paraId="414B94DD" w14:textId="77777777" w:rsidTr="00B5602A">
        <w:tc>
          <w:tcPr>
            <w:tcW w:w="775" w:type="pct"/>
          </w:tcPr>
          <w:p w14:paraId="5EF5126A" w14:textId="77777777" w:rsidR="00A4500F" w:rsidRPr="00A67E12" w:rsidRDefault="00A4500F" w:rsidP="00381464">
            <w:pPr>
              <w:keepNext/>
              <w:jc w:val="left"/>
              <w:rPr>
                <w:rFonts w:ascii="Arial Narrow" w:hAnsi="Arial Narrow" w:cs="Times New Roman"/>
                <w:sz w:val="20"/>
                <w:szCs w:val="20"/>
              </w:rPr>
            </w:pPr>
            <w:r w:rsidRPr="00A67E12">
              <w:rPr>
                <w:rFonts w:ascii="Arial Narrow" w:hAnsi="Arial Narrow" w:cs="Times New Roman"/>
                <w:sz w:val="20"/>
                <w:szCs w:val="20"/>
              </w:rPr>
              <w:t>Base case</w:t>
            </w:r>
          </w:p>
        </w:tc>
        <w:tc>
          <w:tcPr>
            <w:tcW w:w="626" w:type="pct"/>
            <w:vAlign w:val="center"/>
          </w:tcPr>
          <w:p w14:paraId="7AD058C7" w14:textId="5EABF44E"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3"/>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3"/>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25EAB631" w14:textId="2B4B95B9"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5" w:type="pct"/>
            <w:vAlign w:val="center"/>
          </w:tcPr>
          <w:p w14:paraId="385C3EDB" w14:textId="57CD6A44"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33" w:type="pct"/>
            <w:vAlign w:val="center"/>
          </w:tcPr>
          <w:p w14:paraId="45E43538" w14:textId="36F1F0DC"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70"/>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70"/>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70"/>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626" w:type="pct"/>
            <w:vAlign w:val="center"/>
          </w:tcPr>
          <w:p w14:paraId="5EDA8121" w14:textId="2A16FCF4"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9"/>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9"/>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9"/>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626" w:type="pct"/>
            <w:vAlign w:val="center"/>
          </w:tcPr>
          <w:p w14:paraId="7F98BC61" w14:textId="40EB43B8"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8"/>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8"/>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8"/>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463" w:type="pct"/>
          </w:tcPr>
          <w:p w14:paraId="217FDCF0" w14:textId="77777777" w:rsidR="00A4500F" w:rsidRPr="00A67E12" w:rsidRDefault="00A4500F" w:rsidP="00381464">
            <w:pPr>
              <w:keepNext/>
              <w:jc w:val="center"/>
              <w:rPr>
                <w:rFonts w:ascii="Arial Narrow" w:hAnsi="Arial Narrow" w:cs="Times New Roman"/>
                <w:sz w:val="19"/>
                <w:szCs w:val="19"/>
              </w:rPr>
            </w:pPr>
          </w:p>
        </w:tc>
      </w:tr>
      <w:tr w:rsidR="00A4500F" w:rsidRPr="00A67E12" w14:paraId="4CA56CF9" w14:textId="77777777" w:rsidTr="00B5602A">
        <w:tc>
          <w:tcPr>
            <w:tcW w:w="5000" w:type="pct"/>
            <w:gridSpan w:val="8"/>
          </w:tcPr>
          <w:p w14:paraId="0B9ACC89" w14:textId="1C4C2BDC" w:rsidR="00A4500F" w:rsidRPr="00A67E12" w:rsidRDefault="00A4500F" w:rsidP="00381464">
            <w:pPr>
              <w:keepNext/>
              <w:rPr>
                <w:rFonts w:ascii="Arial Narrow" w:hAnsi="Arial Narrow" w:cs="Times New Roman"/>
                <w:b/>
                <w:sz w:val="19"/>
                <w:szCs w:val="19"/>
              </w:rPr>
            </w:pPr>
            <w:r w:rsidRPr="00A67E12">
              <w:rPr>
                <w:rFonts w:ascii="Arial Narrow" w:hAnsi="Arial Narrow" w:cs="Times New Roman"/>
                <w:b/>
                <w:sz w:val="19"/>
                <w:szCs w:val="19"/>
              </w:rPr>
              <w:t>SA.1: Number of incident patients in Years 2023-2028 (base case: Years 2022-2027)</w:t>
            </w:r>
          </w:p>
        </w:tc>
      </w:tr>
      <w:tr w:rsidR="00A4500F" w:rsidRPr="00A67E12" w14:paraId="60B7F4FE" w14:textId="77777777" w:rsidTr="00B5602A">
        <w:tc>
          <w:tcPr>
            <w:tcW w:w="775" w:type="pct"/>
          </w:tcPr>
          <w:p w14:paraId="0152780F" w14:textId="77777777" w:rsidR="00A4500F" w:rsidRPr="00A67E12" w:rsidRDefault="00A4500F" w:rsidP="00381464">
            <w:pPr>
              <w:keepNext/>
              <w:jc w:val="left"/>
              <w:rPr>
                <w:rFonts w:ascii="Arial Narrow" w:hAnsi="Arial Narrow" w:cs="Times New Roman"/>
                <w:sz w:val="20"/>
                <w:szCs w:val="20"/>
              </w:rPr>
            </w:pPr>
            <w:r w:rsidRPr="00A67E12">
              <w:rPr>
                <w:rFonts w:ascii="Arial Narrow" w:hAnsi="Arial Narrow" w:cs="Times New Roman"/>
                <w:sz w:val="20"/>
                <w:szCs w:val="20"/>
              </w:rPr>
              <w:t>21,869 in 2023, increasing up to 25,793 in 2028 (annual growth rate of 3.36%)</w:t>
            </w:r>
          </w:p>
        </w:tc>
        <w:tc>
          <w:tcPr>
            <w:tcW w:w="626" w:type="pct"/>
            <w:vAlign w:val="center"/>
          </w:tcPr>
          <w:p w14:paraId="53D484A1" w14:textId="603B8C61"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7"/>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7"/>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7"/>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1AF102A3" w14:textId="673300B3"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6"/>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6"/>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6"/>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25" w:type="pct"/>
            <w:vAlign w:val="center"/>
          </w:tcPr>
          <w:p w14:paraId="2AFEE69B" w14:textId="66BCE816"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5"/>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5"/>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5"/>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33" w:type="pct"/>
            <w:vAlign w:val="center"/>
          </w:tcPr>
          <w:p w14:paraId="0FE1956A" w14:textId="1D358BF2"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64"/>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64"/>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64"/>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626" w:type="pct"/>
            <w:vAlign w:val="center"/>
          </w:tcPr>
          <w:p w14:paraId="5C2DB376" w14:textId="36991838"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3"/>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3"/>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626" w:type="pct"/>
            <w:vAlign w:val="center"/>
          </w:tcPr>
          <w:p w14:paraId="604A994C" w14:textId="1C2AD4D0"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6</w:t>
            </w:r>
          </w:p>
        </w:tc>
        <w:tc>
          <w:tcPr>
            <w:tcW w:w="463" w:type="pct"/>
            <w:vAlign w:val="center"/>
          </w:tcPr>
          <w:p w14:paraId="28E7D3E0" w14:textId="77777777" w:rsidR="00A4500F" w:rsidRPr="00A67E12" w:rsidRDefault="00A4500F" w:rsidP="00381464">
            <w:pPr>
              <w:keepNext/>
              <w:jc w:val="center"/>
              <w:rPr>
                <w:rFonts w:ascii="Arial Narrow" w:hAnsi="Arial Narrow" w:cs="Times New Roman"/>
                <w:sz w:val="19"/>
                <w:szCs w:val="19"/>
                <w:highlight w:val="yellow"/>
              </w:rPr>
            </w:pPr>
            <w:r w:rsidRPr="00A67E12">
              <w:rPr>
                <w:rFonts w:ascii="Arial Narrow" w:hAnsi="Arial Narrow"/>
                <w:sz w:val="19"/>
                <w:szCs w:val="19"/>
              </w:rPr>
              <w:t>3.4%</w:t>
            </w:r>
          </w:p>
        </w:tc>
      </w:tr>
      <w:tr w:rsidR="00A4500F" w:rsidRPr="00A67E12" w14:paraId="569123B3" w14:textId="77777777" w:rsidTr="00B5602A">
        <w:tc>
          <w:tcPr>
            <w:tcW w:w="5000" w:type="pct"/>
            <w:gridSpan w:val="8"/>
          </w:tcPr>
          <w:p w14:paraId="0C3E8C18" w14:textId="352AE0A5" w:rsidR="00A4500F" w:rsidRPr="00A67E12" w:rsidRDefault="00A4500F" w:rsidP="00381464">
            <w:pPr>
              <w:keepNext/>
              <w:rPr>
                <w:rFonts w:ascii="Arial Narrow" w:hAnsi="Arial Narrow" w:cs="Times New Roman"/>
                <w:b/>
                <w:sz w:val="19"/>
                <w:szCs w:val="19"/>
              </w:rPr>
            </w:pPr>
            <w:r w:rsidRPr="00A67E12">
              <w:rPr>
                <w:rFonts w:ascii="Arial Narrow" w:hAnsi="Arial Narrow" w:cs="Times New Roman"/>
                <w:b/>
                <w:sz w:val="19"/>
                <w:szCs w:val="19"/>
              </w:rPr>
              <w:t xml:space="preserve">SA.2: Uptake of abemaciclib (base case: </w:t>
            </w:r>
            <w:r w:rsidR="0013119A" w:rsidRPr="00927EF8">
              <w:rPr>
                <w:rFonts w:ascii="Arial Narrow" w:hAnsi="Arial Narrow" w:cs="Times New Roman"/>
                <w:b/>
                <w:color w:val="000000"/>
                <w:spacing w:val="20"/>
                <w:sz w:val="19"/>
                <w:szCs w:val="19"/>
                <w:shd w:val="solid" w:color="000000" w:fill="000000"/>
                <w:fitText w:val="429" w:id="-1233470961"/>
                <w14:textFill>
                  <w14:solidFill>
                    <w14:srgbClr w14:val="000000">
                      <w14:alpha w14:val="100000"/>
                    </w14:srgbClr>
                  </w14:solidFill>
                </w14:textFill>
              </w:rPr>
              <w:t>||| ||</w:t>
            </w:r>
            <w:r w:rsidR="0013119A" w:rsidRPr="00927EF8">
              <w:rPr>
                <w:rFonts w:ascii="Arial Narrow" w:hAnsi="Arial Narrow" w:cs="Times New Roman"/>
                <w:b/>
                <w:color w:val="000000"/>
                <w:spacing w:val="4"/>
                <w:sz w:val="19"/>
                <w:szCs w:val="19"/>
                <w:shd w:val="solid" w:color="000000" w:fill="000000"/>
                <w:fitText w:val="429" w:id="-1233470961"/>
                <w14:textFill>
                  <w14:solidFill>
                    <w14:srgbClr w14:val="000000">
                      <w14:alpha w14:val="100000"/>
                    </w14:srgbClr>
                  </w14:solidFill>
                </w14:textFill>
              </w:rPr>
              <w:t>|</w:t>
            </w:r>
            <w:r w:rsidR="008759DD" w:rsidRPr="008759DD">
              <w:rPr>
                <w:rFonts w:ascii="Arial Narrow" w:hAnsi="Arial Narrow" w:cs="Times New Roman"/>
                <w:b/>
                <w:sz w:val="19"/>
                <w:szCs w:val="19"/>
              </w:rPr>
              <w:t xml:space="preserve"> </w:t>
            </w:r>
            <w:r w:rsidRPr="00A67E12">
              <w:rPr>
                <w:rFonts w:ascii="Arial Narrow" w:hAnsi="Arial Narrow" w:cs="Times New Roman"/>
                <w:b/>
                <w:sz w:val="19"/>
                <w:szCs w:val="19"/>
              </w:rPr>
              <w:t xml:space="preserve">% in Year 1, </w:t>
            </w:r>
            <w:r w:rsidR="0013119A" w:rsidRPr="00927EF8">
              <w:rPr>
                <w:rFonts w:ascii="Arial Narrow" w:hAnsi="Arial Narrow" w:cs="Times New Roman"/>
                <w:b/>
                <w:color w:val="000000"/>
                <w:spacing w:val="11"/>
                <w:sz w:val="19"/>
                <w:szCs w:val="19"/>
                <w:shd w:val="solid" w:color="000000" w:fill="000000"/>
                <w:fitText w:val="429" w:id="-1233470960"/>
                <w14:textFill>
                  <w14:solidFill>
                    <w14:srgbClr w14:val="000000">
                      <w14:alpha w14:val="100000"/>
                    </w14:srgbClr>
                  </w14:solidFill>
                </w14:textFill>
              </w:rPr>
              <w:t>|||  ||</w:t>
            </w:r>
            <w:r w:rsidR="0013119A" w:rsidRPr="00927EF8">
              <w:rPr>
                <w:rFonts w:ascii="Arial Narrow" w:hAnsi="Arial Narrow" w:cs="Times New Roman"/>
                <w:b/>
                <w:color w:val="000000"/>
                <w:spacing w:val="4"/>
                <w:sz w:val="19"/>
                <w:szCs w:val="19"/>
                <w:shd w:val="solid" w:color="000000" w:fill="000000"/>
                <w:fitText w:val="429" w:id="-1233470960"/>
                <w14:textFill>
                  <w14:solidFill>
                    <w14:srgbClr w14:val="000000">
                      <w14:alpha w14:val="100000"/>
                    </w14:srgbClr>
                  </w14:solidFill>
                </w14:textFill>
              </w:rPr>
              <w:t>|</w:t>
            </w:r>
            <w:r w:rsidR="008759DD" w:rsidRPr="008759DD">
              <w:rPr>
                <w:rFonts w:ascii="Arial Narrow" w:hAnsi="Arial Narrow" w:cs="Times New Roman"/>
                <w:b/>
                <w:sz w:val="19"/>
                <w:szCs w:val="19"/>
              </w:rPr>
              <w:t xml:space="preserve"> </w:t>
            </w:r>
            <w:r w:rsidRPr="00A67E12">
              <w:rPr>
                <w:rFonts w:ascii="Arial Narrow" w:hAnsi="Arial Narrow" w:cs="Times New Roman"/>
                <w:b/>
                <w:sz w:val="19"/>
                <w:szCs w:val="19"/>
              </w:rPr>
              <w:t xml:space="preserve">% in Year 2 and </w:t>
            </w:r>
            <w:r w:rsidR="0013119A" w:rsidRPr="00927EF8">
              <w:rPr>
                <w:rFonts w:ascii="Arial Narrow" w:hAnsi="Arial Narrow" w:cs="Times New Roman"/>
                <w:b/>
                <w:color w:val="000000"/>
                <w:spacing w:val="11"/>
                <w:sz w:val="19"/>
                <w:szCs w:val="19"/>
                <w:shd w:val="solid" w:color="000000" w:fill="000000"/>
                <w:fitText w:val="430" w:id="-1233470976"/>
                <w14:textFill>
                  <w14:solidFill>
                    <w14:srgbClr w14:val="000000">
                      <w14:alpha w14:val="100000"/>
                    </w14:srgbClr>
                  </w14:solidFill>
                </w14:textFill>
              </w:rPr>
              <w:t>|||  ||</w:t>
            </w:r>
            <w:r w:rsidR="0013119A" w:rsidRPr="00927EF8">
              <w:rPr>
                <w:rFonts w:ascii="Arial Narrow" w:hAnsi="Arial Narrow" w:cs="Times New Roman"/>
                <w:b/>
                <w:color w:val="000000"/>
                <w:spacing w:val="5"/>
                <w:sz w:val="19"/>
                <w:szCs w:val="19"/>
                <w:shd w:val="solid" w:color="000000" w:fill="000000"/>
                <w:fitText w:val="430" w:id="-1233470976"/>
                <w14:textFill>
                  <w14:solidFill>
                    <w14:srgbClr w14:val="000000">
                      <w14:alpha w14:val="100000"/>
                    </w14:srgbClr>
                  </w14:solidFill>
                </w14:textFill>
              </w:rPr>
              <w:t>|</w:t>
            </w:r>
            <w:r w:rsidR="008759DD" w:rsidRPr="008759DD">
              <w:rPr>
                <w:rFonts w:ascii="Arial Narrow" w:hAnsi="Arial Narrow" w:cs="Times New Roman"/>
                <w:b/>
                <w:sz w:val="19"/>
                <w:szCs w:val="19"/>
              </w:rPr>
              <w:t xml:space="preserve"> </w:t>
            </w:r>
            <w:r w:rsidRPr="00A67E12">
              <w:rPr>
                <w:rFonts w:ascii="Arial Narrow" w:hAnsi="Arial Narrow" w:cs="Times New Roman"/>
                <w:b/>
                <w:sz w:val="19"/>
                <w:szCs w:val="19"/>
              </w:rPr>
              <w:t>% in Years 3-6)</w:t>
            </w:r>
          </w:p>
        </w:tc>
      </w:tr>
      <w:tr w:rsidR="00A4500F" w:rsidRPr="00A67E12" w14:paraId="439D18B6" w14:textId="77777777" w:rsidTr="00B5602A">
        <w:tc>
          <w:tcPr>
            <w:tcW w:w="775" w:type="pct"/>
          </w:tcPr>
          <w:p w14:paraId="19135F99" w14:textId="0E7E0BD2" w:rsidR="00A4500F" w:rsidRPr="00A67E12" w:rsidRDefault="0013119A" w:rsidP="00381464">
            <w:pPr>
              <w:keepNext/>
              <w:jc w:val="left"/>
              <w:rPr>
                <w:rFonts w:ascii="Arial Narrow" w:hAnsi="Arial Narrow" w:cs="Times New Roman"/>
                <w:sz w:val="20"/>
                <w:szCs w:val="20"/>
              </w:rPr>
            </w:pPr>
            <w:r w:rsidRPr="0013119A">
              <w:rPr>
                <w:rFonts w:ascii="Arial Narrow" w:hAnsi="Arial Narrow" w:cs="Times New Roman"/>
                <w:color w:val="000000"/>
                <w:spacing w:val="37"/>
                <w:sz w:val="20"/>
                <w:szCs w:val="20"/>
                <w:shd w:val="solid" w:color="000000" w:fill="000000"/>
                <w:fitText w:val="441" w:id="-1233470975"/>
                <w14:textFill>
                  <w14:solidFill>
                    <w14:srgbClr w14:val="000000">
                      <w14:alpha w14:val="100000"/>
                    </w14:srgbClr>
                  </w14:solidFill>
                </w14:textFill>
              </w:rPr>
              <w:t>|||||</w:t>
            </w:r>
            <w:r w:rsidRPr="0013119A">
              <w:rPr>
                <w:rFonts w:ascii="Arial Narrow" w:hAnsi="Arial Narrow" w:cs="Times New Roman"/>
                <w:color w:val="000000"/>
                <w:spacing w:val="1"/>
                <w:sz w:val="20"/>
                <w:szCs w:val="20"/>
                <w:shd w:val="solid" w:color="000000" w:fill="000000"/>
                <w:fitText w:val="441" w:id="-1233470975"/>
                <w14:textFill>
                  <w14:solidFill>
                    <w14:srgbClr w14:val="000000">
                      <w14:alpha w14:val="100000"/>
                    </w14:srgbClr>
                  </w14:solidFill>
                </w14:textFill>
              </w:rPr>
              <w:t>|</w:t>
            </w:r>
            <w:r w:rsidR="008759DD" w:rsidRPr="008759DD">
              <w:rPr>
                <w:rFonts w:ascii="Arial Narrow" w:hAnsi="Arial Narrow" w:cs="Times New Roman"/>
                <w:sz w:val="20"/>
                <w:szCs w:val="20"/>
              </w:rPr>
              <w:t xml:space="preserve"> </w:t>
            </w:r>
            <w:r w:rsidR="00A4500F" w:rsidRPr="00A67E12">
              <w:rPr>
                <w:rFonts w:ascii="Arial Narrow" w:hAnsi="Arial Narrow" w:cs="Times New Roman"/>
                <w:sz w:val="20"/>
                <w:szCs w:val="20"/>
              </w:rPr>
              <w:t xml:space="preserve">% in Year 1, increasing by </w:t>
            </w:r>
            <w:r w:rsidRPr="0013119A">
              <w:rPr>
                <w:rFonts w:ascii="Arial Narrow" w:hAnsi="Arial Narrow" w:cs="Times New Roman"/>
                <w:color w:val="000000"/>
                <w:spacing w:val="37"/>
                <w:sz w:val="20"/>
                <w:szCs w:val="20"/>
                <w:shd w:val="solid" w:color="000000" w:fill="000000"/>
                <w:fitText w:val="441" w:id="-1233470974"/>
                <w14:textFill>
                  <w14:solidFill>
                    <w14:srgbClr w14:val="000000">
                      <w14:alpha w14:val="100000"/>
                    </w14:srgbClr>
                  </w14:solidFill>
                </w14:textFill>
              </w:rPr>
              <w:t>|||||</w:t>
            </w:r>
            <w:r w:rsidRPr="0013119A">
              <w:rPr>
                <w:rFonts w:ascii="Arial Narrow" w:hAnsi="Arial Narrow" w:cs="Times New Roman"/>
                <w:color w:val="000000"/>
                <w:spacing w:val="1"/>
                <w:sz w:val="20"/>
                <w:szCs w:val="20"/>
                <w:shd w:val="solid" w:color="000000" w:fill="000000"/>
                <w:fitText w:val="441" w:id="-1233470974"/>
                <w14:textFill>
                  <w14:solidFill>
                    <w14:srgbClr w14:val="000000">
                      <w14:alpha w14:val="100000"/>
                    </w14:srgbClr>
                  </w14:solidFill>
                </w14:textFill>
              </w:rPr>
              <w:t>|</w:t>
            </w:r>
            <w:r w:rsidR="008759DD" w:rsidRPr="008759DD">
              <w:rPr>
                <w:rFonts w:ascii="Arial Narrow" w:hAnsi="Arial Narrow" w:cs="Times New Roman"/>
                <w:sz w:val="20"/>
                <w:szCs w:val="20"/>
              </w:rPr>
              <w:t xml:space="preserve"> </w:t>
            </w:r>
            <w:r w:rsidR="00A4500F" w:rsidRPr="00A67E12">
              <w:rPr>
                <w:rFonts w:ascii="Arial Narrow" w:hAnsi="Arial Narrow" w:cs="Times New Roman"/>
                <w:sz w:val="20"/>
                <w:szCs w:val="20"/>
              </w:rPr>
              <w:t xml:space="preserve">% per year up to </w:t>
            </w:r>
            <w:r w:rsidRPr="0013119A">
              <w:rPr>
                <w:rFonts w:ascii="Arial Narrow" w:hAnsi="Arial Narrow" w:cs="Times New Roman"/>
                <w:color w:val="000000"/>
                <w:spacing w:val="37"/>
                <w:sz w:val="20"/>
                <w:szCs w:val="20"/>
                <w:shd w:val="solid" w:color="000000" w:fill="000000"/>
                <w:fitText w:val="441" w:id="-1233470973"/>
                <w14:textFill>
                  <w14:solidFill>
                    <w14:srgbClr w14:val="000000">
                      <w14:alpha w14:val="100000"/>
                    </w14:srgbClr>
                  </w14:solidFill>
                </w14:textFill>
              </w:rPr>
              <w:t>|||||</w:t>
            </w:r>
            <w:r w:rsidRPr="0013119A">
              <w:rPr>
                <w:rFonts w:ascii="Arial Narrow" w:hAnsi="Arial Narrow" w:cs="Times New Roman"/>
                <w:color w:val="000000"/>
                <w:spacing w:val="1"/>
                <w:sz w:val="20"/>
                <w:szCs w:val="20"/>
                <w:shd w:val="solid" w:color="000000" w:fill="000000"/>
                <w:fitText w:val="441" w:id="-1233470973"/>
                <w14:textFill>
                  <w14:solidFill>
                    <w14:srgbClr w14:val="000000">
                      <w14:alpha w14:val="100000"/>
                    </w14:srgbClr>
                  </w14:solidFill>
                </w14:textFill>
              </w:rPr>
              <w:t>|</w:t>
            </w:r>
            <w:r w:rsidR="008759DD" w:rsidRPr="008759DD">
              <w:rPr>
                <w:rFonts w:ascii="Arial Narrow" w:hAnsi="Arial Narrow" w:cs="Times New Roman"/>
                <w:sz w:val="20"/>
                <w:szCs w:val="20"/>
              </w:rPr>
              <w:t xml:space="preserve"> </w:t>
            </w:r>
            <w:r w:rsidR="00A4500F" w:rsidRPr="00A67E12">
              <w:rPr>
                <w:rFonts w:ascii="Arial Narrow" w:hAnsi="Arial Narrow" w:cs="Times New Roman"/>
                <w:sz w:val="20"/>
                <w:szCs w:val="20"/>
              </w:rPr>
              <w:t>% in Year 6 (as suggested by the DUSC)</w:t>
            </w:r>
          </w:p>
        </w:tc>
        <w:tc>
          <w:tcPr>
            <w:tcW w:w="626" w:type="pct"/>
            <w:vAlign w:val="center"/>
          </w:tcPr>
          <w:p w14:paraId="174734B2" w14:textId="6DD2D3E0"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21BD486A" w14:textId="1F22C04E"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5" w:type="pct"/>
            <w:vAlign w:val="center"/>
          </w:tcPr>
          <w:p w14:paraId="758FC360" w14:textId="3A1B31C8"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0"/>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0"/>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0"/>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33" w:type="pct"/>
            <w:vAlign w:val="center"/>
          </w:tcPr>
          <w:p w14:paraId="274734E9" w14:textId="4BCCFA96"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69"/>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69"/>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69"/>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6" w:type="pct"/>
            <w:vAlign w:val="center"/>
          </w:tcPr>
          <w:p w14:paraId="71C58C02" w14:textId="01A15B6A"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8"/>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8"/>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8"/>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6" w:type="pct"/>
            <w:vAlign w:val="center"/>
          </w:tcPr>
          <w:p w14:paraId="42991FDD" w14:textId="3A1324FC"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7"/>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7"/>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7"/>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463" w:type="pct"/>
            <w:vAlign w:val="center"/>
          </w:tcPr>
          <w:p w14:paraId="076833EF" w14:textId="77777777" w:rsidR="00A4500F" w:rsidRPr="00A67E12" w:rsidRDefault="00A4500F" w:rsidP="00381464">
            <w:pPr>
              <w:keepNext/>
              <w:jc w:val="center"/>
              <w:rPr>
                <w:rFonts w:ascii="Arial Narrow" w:hAnsi="Arial Narrow" w:cs="Times New Roman"/>
                <w:sz w:val="19"/>
                <w:szCs w:val="19"/>
                <w:highlight w:val="yellow"/>
              </w:rPr>
            </w:pPr>
            <w:r w:rsidRPr="00A67E12">
              <w:rPr>
                <w:rFonts w:ascii="Arial Narrow" w:hAnsi="Arial Narrow"/>
                <w:sz w:val="19"/>
                <w:szCs w:val="19"/>
              </w:rPr>
              <w:t>-27.8%</w:t>
            </w:r>
          </w:p>
        </w:tc>
      </w:tr>
      <w:tr w:rsidR="00A4500F" w:rsidRPr="00A67E12" w14:paraId="68294FC2" w14:textId="77777777" w:rsidTr="00B5602A">
        <w:tc>
          <w:tcPr>
            <w:tcW w:w="5000" w:type="pct"/>
            <w:gridSpan w:val="8"/>
          </w:tcPr>
          <w:p w14:paraId="7CC9E37E" w14:textId="77777777" w:rsidR="00A4500F" w:rsidRPr="00A67E12" w:rsidRDefault="00A4500F" w:rsidP="00381464">
            <w:pPr>
              <w:keepNext/>
              <w:rPr>
                <w:rFonts w:ascii="Arial Narrow" w:hAnsi="Arial Narrow" w:cs="Times New Roman"/>
                <w:b/>
                <w:sz w:val="19"/>
                <w:szCs w:val="19"/>
              </w:rPr>
            </w:pPr>
            <w:r w:rsidRPr="00A67E12">
              <w:rPr>
                <w:rFonts w:ascii="Arial Narrow" w:hAnsi="Arial Narrow" w:cs="Times New Roman"/>
                <w:b/>
                <w:sz w:val="19"/>
                <w:szCs w:val="19"/>
              </w:rPr>
              <w:t>SA.3: Treatment duration of abemaciclib (base case: 24 months)</w:t>
            </w:r>
          </w:p>
        </w:tc>
      </w:tr>
      <w:tr w:rsidR="00A4500F" w:rsidRPr="00A67E12" w14:paraId="5D2C3B2D" w14:textId="77777777" w:rsidTr="00B5602A">
        <w:tc>
          <w:tcPr>
            <w:tcW w:w="775" w:type="pct"/>
          </w:tcPr>
          <w:p w14:paraId="13E5B067" w14:textId="77777777" w:rsidR="00A4500F" w:rsidRPr="00A67E12" w:rsidRDefault="00A4500F" w:rsidP="00381464">
            <w:pPr>
              <w:keepNext/>
              <w:jc w:val="left"/>
              <w:rPr>
                <w:rFonts w:ascii="Arial Narrow" w:hAnsi="Arial Narrow" w:cs="Times New Roman"/>
                <w:sz w:val="20"/>
                <w:szCs w:val="20"/>
                <w:vertAlign w:val="superscript"/>
              </w:rPr>
            </w:pPr>
            <w:r w:rsidRPr="00EC58C1">
              <w:rPr>
                <w:rFonts w:ascii="Arial Narrow" w:hAnsi="Arial Narrow" w:cs="Times New Roman"/>
                <w:sz w:val="20"/>
                <w:szCs w:val="20"/>
              </w:rPr>
              <w:t>82.7 weeks</w:t>
            </w:r>
            <w:r w:rsidRPr="00A67E12">
              <w:rPr>
                <w:rFonts w:ascii="Arial Narrow" w:hAnsi="Arial Narrow" w:cs="Times New Roman"/>
                <w:sz w:val="20"/>
                <w:szCs w:val="20"/>
              </w:rPr>
              <w:t xml:space="preserve"> (mean DoT in monarchE)</w:t>
            </w:r>
          </w:p>
        </w:tc>
        <w:tc>
          <w:tcPr>
            <w:tcW w:w="626" w:type="pct"/>
            <w:vAlign w:val="center"/>
          </w:tcPr>
          <w:p w14:paraId="6DAD1A9C" w14:textId="0D7366B2"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6"/>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6"/>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6"/>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24E2BF8B" w14:textId="60AE0884"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5"/>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5"/>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5"/>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5" w:type="pct"/>
            <w:vAlign w:val="center"/>
          </w:tcPr>
          <w:p w14:paraId="29DB0E7D" w14:textId="24B7AE95"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4"/>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4"/>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4"/>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33" w:type="pct"/>
            <w:vAlign w:val="center"/>
          </w:tcPr>
          <w:p w14:paraId="53C7A6D4" w14:textId="2F06EEE2"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63"/>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63"/>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6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6" w:type="pct"/>
            <w:vAlign w:val="center"/>
          </w:tcPr>
          <w:p w14:paraId="2D57EF8E" w14:textId="3A824CDD"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6" w:type="pct"/>
            <w:vAlign w:val="center"/>
          </w:tcPr>
          <w:p w14:paraId="218DDA94" w14:textId="1D51BFED"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463" w:type="pct"/>
            <w:shd w:val="clear" w:color="auto" w:fill="auto"/>
            <w:vAlign w:val="center"/>
          </w:tcPr>
          <w:p w14:paraId="5A0717E3" w14:textId="77777777" w:rsidR="00A4500F" w:rsidRPr="00A67E12" w:rsidRDefault="00A4500F" w:rsidP="00381464">
            <w:pPr>
              <w:keepNext/>
              <w:jc w:val="right"/>
              <w:rPr>
                <w:rFonts w:ascii="Arial Narrow" w:hAnsi="Arial Narrow" w:cs="Times New Roman"/>
                <w:sz w:val="19"/>
                <w:szCs w:val="19"/>
                <w:highlight w:val="yellow"/>
              </w:rPr>
            </w:pPr>
            <w:r w:rsidRPr="00A67E12">
              <w:rPr>
                <w:rFonts w:ascii="Arial Narrow" w:hAnsi="Arial Narrow"/>
                <w:sz w:val="19"/>
                <w:szCs w:val="19"/>
              </w:rPr>
              <w:t>-18.6%</w:t>
            </w:r>
          </w:p>
        </w:tc>
      </w:tr>
      <w:tr w:rsidR="00A4500F" w:rsidRPr="00A67E12" w14:paraId="2FEE7862" w14:textId="77777777" w:rsidTr="00B5602A">
        <w:tc>
          <w:tcPr>
            <w:tcW w:w="5000" w:type="pct"/>
            <w:gridSpan w:val="8"/>
          </w:tcPr>
          <w:p w14:paraId="04E713C7" w14:textId="38082F4E" w:rsidR="00A4500F" w:rsidRPr="00A67E12" w:rsidRDefault="00A4500F" w:rsidP="00381464">
            <w:pPr>
              <w:keepNext/>
              <w:rPr>
                <w:rFonts w:ascii="Arial Narrow" w:hAnsi="Arial Narrow" w:cs="Times New Roman"/>
                <w:b/>
                <w:sz w:val="19"/>
                <w:szCs w:val="19"/>
                <w:vertAlign w:val="superscript"/>
              </w:rPr>
            </w:pPr>
            <w:r w:rsidRPr="00A67E12">
              <w:rPr>
                <w:rFonts w:ascii="Arial Narrow" w:hAnsi="Arial Narrow" w:cs="Times New Roman"/>
                <w:b/>
                <w:sz w:val="19"/>
                <w:szCs w:val="19"/>
              </w:rPr>
              <w:t>SA.4: Compliance rate (base case: 100%)</w:t>
            </w:r>
          </w:p>
        </w:tc>
      </w:tr>
      <w:tr w:rsidR="00A4500F" w:rsidRPr="00A67E12" w14:paraId="06ABE54C" w14:textId="77777777" w:rsidTr="00B5602A">
        <w:tc>
          <w:tcPr>
            <w:tcW w:w="775" w:type="pct"/>
          </w:tcPr>
          <w:p w14:paraId="6A8D1F31" w14:textId="77777777" w:rsidR="00A4500F" w:rsidRPr="00A67E12" w:rsidRDefault="00A4500F" w:rsidP="00381464">
            <w:pPr>
              <w:keepNext/>
              <w:ind w:right="-57"/>
              <w:jc w:val="left"/>
              <w:rPr>
                <w:rFonts w:ascii="Arial Narrow" w:hAnsi="Arial Narrow" w:cs="Times New Roman"/>
                <w:sz w:val="20"/>
                <w:szCs w:val="20"/>
              </w:rPr>
            </w:pPr>
            <w:r w:rsidRPr="00A67E12">
              <w:rPr>
                <w:rFonts w:ascii="Arial Narrow" w:hAnsi="Arial Narrow" w:cs="Times New Roman"/>
                <w:sz w:val="20"/>
                <w:szCs w:val="20"/>
              </w:rPr>
              <w:t>90% (arbitrary assumption)</w:t>
            </w:r>
          </w:p>
        </w:tc>
        <w:tc>
          <w:tcPr>
            <w:tcW w:w="626" w:type="pct"/>
            <w:vAlign w:val="center"/>
          </w:tcPr>
          <w:p w14:paraId="42F2819A" w14:textId="5EF2E129"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0"/>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0"/>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0"/>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6C62D2E0" w14:textId="1B57DD93"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6"/>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6"/>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6"/>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5" w:type="pct"/>
            <w:vAlign w:val="center"/>
          </w:tcPr>
          <w:p w14:paraId="2640C4BA" w14:textId="51D13739"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5"/>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5"/>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5"/>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33" w:type="pct"/>
            <w:vAlign w:val="center"/>
          </w:tcPr>
          <w:p w14:paraId="1DC7D609" w14:textId="3BDBBC25"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74"/>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74"/>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74"/>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26" w:type="pct"/>
            <w:vAlign w:val="center"/>
          </w:tcPr>
          <w:p w14:paraId="166ACF2B" w14:textId="3C98B1C7"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3"/>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3"/>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626" w:type="pct"/>
            <w:vAlign w:val="center"/>
          </w:tcPr>
          <w:p w14:paraId="1A9A6B6E" w14:textId="086E078D"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3</w:t>
            </w:r>
          </w:p>
        </w:tc>
        <w:tc>
          <w:tcPr>
            <w:tcW w:w="463" w:type="pct"/>
            <w:vAlign w:val="center"/>
          </w:tcPr>
          <w:p w14:paraId="31182764" w14:textId="77777777" w:rsidR="00A4500F" w:rsidRPr="00A67E12" w:rsidRDefault="00A4500F" w:rsidP="00381464">
            <w:pPr>
              <w:keepNext/>
              <w:jc w:val="center"/>
              <w:rPr>
                <w:rFonts w:ascii="Arial Narrow" w:hAnsi="Arial Narrow"/>
                <w:sz w:val="19"/>
                <w:szCs w:val="19"/>
                <w:highlight w:val="yellow"/>
              </w:rPr>
            </w:pPr>
            <w:r w:rsidRPr="00A67E12">
              <w:rPr>
                <w:rFonts w:ascii="Arial Narrow" w:hAnsi="Arial Narrow"/>
                <w:sz w:val="19"/>
                <w:szCs w:val="19"/>
              </w:rPr>
              <w:t>-10.0%</w:t>
            </w:r>
          </w:p>
        </w:tc>
      </w:tr>
      <w:tr w:rsidR="00A4500F" w:rsidRPr="00A67E12" w14:paraId="07815750" w14:textId="77777777" w:rsidTr="00B5602A">
        <w:tc>
          <w:tcPr>
            <w:tcW w:w="5000" w:type="pct"/>
            <w:gridSpan w:val="8"/>
            <w:vAlign w:val="center"/>
          </w:tcPr>
          <w:p w14:paraId="0B885068" w14:textId="77777777" w:rsidR="00A4500F" w:rsidRPr="00A67E12" w:rsidRDefault="00A4500F" w:rsidP="00381464">
            <w:pPr>
              <w:keepNext/>
              <w:jc w:val="left"/>
              <w:rPr>
                <w:rFonts w:ascii="Arial Narrow" w:hAnsi="Arial Narrow"/>
                <w:sz w:val="19"/>
                <w:szCs w:val="19"/>
              </w:rPr>
            </w:pPr>
            <w:r w:rsidRPr="00A67E12">
              <w:rPr>
                <w:rFonts w:ascii="Arial Narrow" w:hAnsi="Arial Narrow"/>
                <w:sz w:val="19"/>
                <w:szCs w:val="19"/>
              </w:rPr>
              <w:t xml:space="preserve">Multivariate analyses </w:t>
            </w:r>
          </w:p>
        </w:tc>
      </w:tr>
      <w:tr w:rsidR="00A4500F" w:rsidRPr="00A67E12" w14:paraId="7A4F155B" w14:textId="77777777" w:rsidTr="00B5602A">
        <w:tc>
          <w:tcPr>
            <w:tcW w:w="775" w:type="pct"/>
          </w:tcPr>
          <w:p w14:paraId="07FF4E04" w14:textId="77777777" w:rsidR="00A4500F" w:rsidRPr="00A67E12" w:rsidRDefault="00A4500F" w:rsidP="00381464">
            <w:pPr>
              <w:keepNext/>
              <w:ind w:right="-57"/>
              <w:jc w:val="left"/>
              <w:rPr>
                <w:rFonts w:ascii="Arial Narrow" w:hAnsi="Arial Narrow" w:cs="Times New Roman"/>
                <w:sz w:val="20"/>
                <w:szCs w:val="20"/>
              </w:rPr>
            </w:pPr>
            <w:r w:rsidRPr="00A67E12">
              <w:rPr>
                <w:rFonts w:ascii="Arial Narrow" w:hAnsi="Arial Narrow"/>
                <w:sz w:val="19"/>
                <w:szCs w:val="19"/>
              </w:rPr>
              <w:t>(#1, #2)</w:t>
            </w:r>
          </w:p>
        </w:tc>
        <w:tc>
          <w:tcPr>
            <w:tcW w:w="626" w:type="pct"/>
          </w:tcPr>
          <w:p w14:paraId="68609A89" w14:textId="63B12EAF"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tcPr>
          <w:p w14:paraId="5D15649E" w14:textId="595E543B"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0"/>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0"/>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0"/>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5" w:type="pct"/>
          </w:tcPr>
          <w:p w14:paraId="18C1DBFD" w14:textId="49C79318"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9"/>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9"/>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9"/>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33" w:type="pct"/>
          </w:tcPr>
          <w:p w14:paraId="60214389" w14:textId="4DB27189"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68"/>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68"/>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68"/>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6" w:type="pct"/>
          </w:tcPr>
          <w:p w14:paraId="7728DBAC" w14:textId="48DF46A7"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7"/>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7"/>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7"/>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626" w:type="pct"/>
          </w:tcPr>
          <w:p w14:paraId="75804DD1" w14:textId="0D035900"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6"/>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6"/>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6"/>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2</w:t>
            </w:r>
          </w:p>
        </w:tc>
        <w:tc>
          <w:tcPr>
            <w:tcW w:w="463" w:type="pct"/>
          </w:tcPr>
          <w:p w14:paraId="56364056" w14:textId="77777777" w:rsidR="00A4500F" w:rsidRPr="00A67E12" w:rsidRDefault="00A4500F" w:rsidP="00381464">
            <w:pPr>
              <w:keepNext/>
              <w:jc w:val="center"/>
              <w:rPr>
                <w:rFonts w:ascii="Arial Narrow" w:hAnsi="Arial Narrow"/>
                <w:sz w:val="19"/>
                <w:szCs w:val="19"/>
              </w:rPr>
            </w:pPr>
            <w:r w:rsidRPr="00A67E12">
              <w:rPr>
                <w:rFonts w:ascii="Arial Narrow" w:hAnsi="Arial Narrow"/>
                <w:sz w:val="19"/>
                <w:szCs w:val="19"/>
              </w:rPr>
              <w:t>-25.4%</w:t>
            </w:r>
          </w:p>
        </w:tc>
      </w:tr>
      <w:tr w:rsidR="00A4500F" w:rsidRPr="00A67E12" w14:paraId="32B6099F" w14:textId="77777777" w:rsidTr="00B5602A">
        <w:tc>
          <w:tcPr>
            <w:tcW w:w="775" w:type="pct"/>
          </w:tcPr>
          <w:p w14:paraId="46F33666" w14:textId="77777777" w:rsidR="00A4500F" w:rsidRPr="00A67E12" w:rsidRDefault="00A4500F" w:rsidP="00381464">
            <w:pPr>
              <w:keepNext/>
              <w:ind w:right="-57"/>
              <w:jc w:val="left"/>
              <w:rPr>
                <w:rFonts w:ascii="Arial Narrow" w:hAnsi="Arial Narrow"/>
                <w:sz w:val="19"/>
                <w:szCs w:val="19"/>
              </w:rPr>
            </w:pPr>
            <w:r w:rsidRPr="00A67E12">
              <w:rPr>
                <w:rFonts w:ascii="Arial Narrow" w:hAnsi="Arial Narrow"/>
                <w:sz w:val="19"/>
                <w:szCs w:val="19"/>
              </w:rPr>
              <w:t>(#1, #2, #3)</w:t>
            </w:r>
          </w:p>
        </w:tc>
        <w:tc>
          <w:tcPr>
            <w:tcW w:w="626" w:type="pct"/>
            <w:vAlign w:val="center"/>
          </w:tcPr>
          <w:p w14:paraId="7B7AC815" w14:textId="1A382745"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5"/>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5"/>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5"/>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vAlign w:val="center"/>
          </w:tcPr>
          <w:p w14:paraId="305AD673" w14:textId="6F25A26C"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4"/>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4"/>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4"/>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25" w:type="pct"/>
            <w:vAlign w:val="center"/>
          </w:tcPr>
          <w:p w14:paraId="27E1C754" w14:textId="0433D485"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3"/>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3"/>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33" w:type="pct"/>
            <w:vAlign w:val="center"/>
          </w:tcPr>
          <w:p w14:paraId="1BA8BB48" w14:textId="0C18F666"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62"/>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62"/>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6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6" w:type="pct"/>
            <w:vAlign w:val="center"/>
          </w:tcPr>
          <w:p w14:paraId="332583DC" w14:textId="3428E01B"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626" w:type="pct"/>
            <w:vAlign w:val="center"/>
          </w:tcPr>
          <w:p w14:paraId="41406C6F" w14:textId="5E9C707A"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60"/>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60"/>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60"/>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463" w:type="pct"/>
            <w:vAlign w:val="center"/>
          </w:tcPr>
          <w:p w14:paraId="5F8CAC2C" w14:textId="77777777" w:rsidR="00A4500F" w:rsidRPr="00A67E12" w:rsidRDefault="00A4500F" w:rsidP="00381464">
            <w:pPr>
              <w:keepNext/>
              <w:jc w:val="center"/>
              <w:rPr>
                <w:rFonts w:ascii="Arial Narrow" w:hAnsi="Arial Narrow"/>
                <w:sz w:val="19"/>
                <w:szCs w:val="19"/>
              </w:rPr>
            </w:pPr>
            <w:r w:rsidRPr="00A67E12">
              <w:rPr>
                <w:rFonts w:ascii="Arial Narrow" w:hAnsi="Arial Narrow"/>
                <w:sz w:val="19"/>
                <w:szCs w:val="19"/>
              </w:rPr>
              <w:t>-39.2%</w:t>
            </w:r>
          </w:p>
        </w:tc>
      </w:tr>
      <w:tr w:rsidR="00A4500F" w:rsidRPr="00A67E12" w14:paraId="7F032814" w14:textId="77777777" w:rsidTr="00B5602A">
        <w:tc>
          <w:tcPr>
            <w:tcW w:w="775" w:type="pct"/>
          </w:tcPr>
          <w:p w14:paraId="0C9BF959" w14:textId="77777777" w:rsidR="00A4500F" w:rsidRPr="00A67E12" w:rsidRDefault="00A4500F" w:rsidP="00381464">
            <w:pPr>
              <w:keepNext/>
              <w:ind w:right="-57"/>
              <w:jc w:val="left"/>
              <w:rPr>
                <w:rFonts w:ascii="Arial Narrow" w:hAnsi="Arial Narrow"/>
                <w:sz w:val="19"/>
                <w:szCs w:val="19"/>
              </w:rPr>
            </w:pPr>
            <w:r w:rsidRPr="00A67E12">
              <w:rPr>
                <w:rFonts w:ascii="Arial Narrow" w:hAnsi="Arial Narrow"/>
                <w:sz w:val="19"/>
                <w:szCs w:val="19"/>
              </w:rPr>
              <w:t>(#1, #2, #3, #4)</w:t>
            </w:r>
          </w:p>
        </w:tc>
        <w:tc>
          <w:tcPr>
            <w:tcW w:w="626" w:type="pct"/>
          </w:tcPr>
          <w:p w14:paraId="56B983FA" w14:textId="3BC30573"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6"/>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6"/>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6"/>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sidRPr="00381464">
              <w:rPr>
                <w:rFonts w:ascii="Arial Narrow" w:hAnsi="Arial Narrow"/>
                <w:sz w:val="19"/>
                <w:szCs w:val="19"/>
                <w:vertAlign w:val="superscript"/>
              </w:rPr>
              <w:t>1</w:t>
            </w:r>
          </w:p>
        </w:tc>
        <w:tc>
          <w:tcPr>
            <w:tcW w:w="626" w:type="pct"/>
          </w:tcPr>
          <w:p w14:paraId="2608F3F3" w14:textId="0826125F"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5"/>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5"/>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5"/>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25" w:type="pct"/>
          </w:tcPr>
          <w:p w14:paraId="40837ADB" w14:textId="2736BC95"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4"/>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4"/>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4"/>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33" w:type="pct"/>
          </w:tcPr>
          <w:p w14:paraId="0F0D0BA3" w14:textId="2B0DD16F"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3"/>
                <w:sz w:val="19"/>
                <w:szCs w:val="19"/>
                <w:shd w:val="solid" w:color="000000" w:fill="000000"/>
                <w:fitText w:val="99" w:id="-1233470973"/>
                <w14:textFill>
                  <w14:solidFill>
                    <w14:srgbClr w14:val="000000">
                      <w14:alpha w14:val="100000"/>
                    </w14:srgbClr>
                  </w14:solidFill>
                </w14:textFill>
              </w:rPr>
              <w:t xml:space="preserve">　</w:t>
            </w:r>
            <w:r w:rsidRPr="0013119A">
              <w:rPr>
                <w:rFonts w:ascii="Arial Narrow" w:hAnsi="Arial Narrow"/>
                <w:color w:val="000000"/>
                <w:w w:val="23"/>
                <w:sz w:val="19"/>
                <w:szCs w:val="19"/>
                <w:shd w:val="solid" w:color="000000" w:fill="000000"/>
                <w:fitText w:val="99" w:id="-1233470973"/>
                <w14:textFill>
                  <w14:solidFill>
                    <w14:srgbClr w14:val="000000">
                      <w14:alpha w14:val="100000"/>
                    </w14:srgbClr>
                  </w14:solidFill>
                </w14:textFill>
              </w:rPr>
              <w:t>|</w:t>
            </w:r>
            <w:r w:rsidRPr="0013119A">
              <w:rPr>
                <w:rFonts w:ascii="Arial Narrow" w:hAnsi="Arial Narrow" w:hint="eastAsia"/>
                <w:color w:val="000000"/>
                <w:spacing w:val="3"/>
                <w:w w:val="23"/>
                <w:sz w:val="19"/>
                <w:szCs w:val="19"/>
                <w:shd w:val="solid" w:color="000000" w:fill="000000"/>
                <w:fitText w:val="99" w:id="-1233470973"/>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26" w:type="pct"/>
          </w:tcPr>
          <w:p w14:paraId="02842B29" w14:textId="755B829D"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2"/>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2"/>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2"/>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5</w:t>
            </w:r>
          </w:p>
        </w:tc>
        <w:tc>
          <w:tcPr>
            <w:tcW w:w="626" w:type="pct"/>
          </w:tcPr>
          <w:p w14:paraId="23786730" w14:textId="53CA4A8F" w:rsidR="00A4500F" w:rsidRPr="00381464" w:rsidRDefault="0013119A" w:rsidP="00381464">
            <w:pPr>
              <w:keepNext/>
              <w:jc w:val="right"/>
              <w:rPr>
                <w:rFonts w:ascii="Arial Narrow" w:hAnsi="Arial Narrow"/>
                <w:sz w:val="19"/>
                <w:szCs w:val="19"/>
                <w:highlight w:val="darkGray"/>
              </w:rPr>
            </w:pPr>
            <w:r w:rsidRPr="0013119A">
              <w:rPr>
                <w:rFonts w:ascii="Arial Narrow" w:hAnsi="Arial Narrow" w:hint="eastAsia"/>
                <w:color w:val="000000"/>
                <w:w w:val="29"/>
                <w:sz w:val="19"/>
                <w:szCs w:val="19"/>
                <w:shd w:val="solid" w:color="000000" w:fill="000000"/>
                <w:fitText w:val="125" w:id="-1233470971"/>
                <w14:textFill>
                  <w14:solidFill>
                    <w14:srgbClr w14:val="000000">
                      <w14:alpha w14:val="100000"/>
                    </w14:srgbClr>
                  </w14:solidFill>
                </w14:textFill>
              </w:rPr>
              <w:t xml:space="preserve">　</w:t>
            </w:r>
            <w:r w:rsidRPr="0013119A">
              <w:rPr>
                <w:rFonts w:ascii="Arial Narrow" w:hAnsi="Arial Narrow"/>
                <w:color w:val="000000"/>
                <w:w w:val="29"/>
                <w:sz w:val="19"/>
                <w:szCs w:val="19"/>
                <w:shd w:val="solid" w:color="000000" w:fill="000000"/>
                <w:fitText w:val="125" w:id="-1233470971"/>
                <w14:textFill>
                  <w14:solidFill>
                    <w14:srgbClr w14:val="000000">
                      <w14:alpha w14:val="100000"/>
                    </w14:srgbClr>
                  </w14:solidFill>
                </w14:textFill>
              </w:rPr>
              <w:t>|</w:t>
            </w:r>
            <w:r w:rsidRPr="0013119A">
              <w:rPr>
                <w:rFonts w:ascii="Arial Narrow" w:hAnsi="Arial Narrow" w:hint="eastAsia"/>
                <w:color w:val="000000"/>
                <w:spacing w:val="3"/>
                <w:w w:val="29"/>
                <w:sz w:val="19"/>
                <w:szCs w:val="19"/>
                <w:shd w:val="solid" w:color="000000" w:fill="000000"/>
                <w:fitText w:val="125" w:id="-1233470971"/>
                <w14:textFill>
                  <w14:solidFill>
                    <w14:srgbClr w14:val="000000">
                      <w14:alpha w14:val="100000"/>
                    </w14:srgbClr>
                  </w14:solidFill>
                </w14:textFill>
              </w:rPr>
              <w:t xml:space="preserve">　</w:t>
            </w:r>
            <w:r w:rsidR="008759DD" w:rsidRPr="008759DD">
              <w:rPr>
                <w:rFonts w:ascii="Arial Narrow" w:hAnsi="Arial Narrow"/>
                <w:sz w:val="19"/>
                <w:szCs w:val="19"/>
              </w:rPr>
              <w:t xml:space="preserve"> </w:t>
            </w:r>
            <w:r w:rsidR="00381464">
              <w:rPr>
                <w:rFonts w:ascii="Arial Narrow" w:hAnsi="Arial Narrow"/>
                <w:sz w:val="19"/>
                <w:szCs w:val="19"/>
                <w:vertAlign w:val="superscript"/>
              </w:rPr>
              <w:t>4</w:t>
            </w:r>
          </w:p>
        </w:tc>
        <w:tc>
          <w:tcPr>
            <w:tcW w:w="463" w:type="pct"/>
            <w:vAlign w:val="center"/>
          </w:tcPr>
          <w:p w14:paraId="5D1B651E" w14:textId="77777777" w:rsidR="00A4500F" w:rsidRPr="00A67E12" w:rsidRDefault="00A4500F" w:rsidP="00381464">
            <w:pPr>
              <w:keepNext/>
              <w:jc w:val="center"/>
              <w:rPr>
                <w:rFonts w:ascii="Arial Narrow" w:hAnsi="Arial Narrow"/>
                <w:sz w:val="19"/>
                <w:szCs w:val="19"/>
              </w:rPr>
            </w:pPr>
            <w:r w:rsidRPr="00A67E12">
              <w:rPr>
                <w:rFonts w:ascii="Arial Narrow" w:hAnsi="Arial Narrow"/>
                <w:sz w:val="19"/>
                <w:szCs w:val="19"/>
              </w:rPr>
              <w:t>-45.2%</w:t>
            </w:r>
          </w:p>
        </w:tc>
      </w:tr>
    </w:tbl>
    <w:p w14:paraId="372594F5" w14:textId="77777777" w:rsidR="00A4500F" w:rsidRPr="00A67E12" w:rsidRDefault="00A4500F" w:rsidP="00381464">
      <w:pPr>
        <w:keepNext/>
        <w:spacing w:after="120"/>
        <w:contextualSpacing/>
        <w:rPr>
          <w:rFonts w:ascii="Arial Narrow" w:hAnsi="Arial Narrow"/>
          <w:snapToGrid w:val="0"/>
          <w:sz w:val="18"/>
          <w:szCs w:val="22"/>
        </w:rPr>
      </w:pPr>
      <w:r w:rsidRPr="003502C5">
        <w:rPr>
          <w:rFonts w:ascii="Arial Narrow" w:hAnsi="Arial Narrow"/>
          <w:snapToGrid w:val="0"/>
          <w:sz w:val="18"/>
          <w:szCs w:val="22"/>
        </w:rPr>
        <w:t xml:space="preserve">Source: </w:t>
      </w:r>
      <w:r w:rsidRPr="00A67E12">
        <w:rPr>
          <w:rFonts w:ascii="Arial Narrow" w:hAnsi="Arial Narrow"/>
          <w:snapToGrid w:val="0"/>
          <w:sz w:val="18"/>
          <w:szCs w:val="22"/>
        </w:rPr>
        <w:t xml:space="preserve">Compiled during evaluation using </w:t>
      </w:r>
      <w:r w:rsidRPr="003502C5">
        <w:rPr>
          <w:rFonts w:ascii="Arial Narrow" w:hAnsi="Arial Narrow"/>
          <w:snapToGrid w:val="0"/>
          <w:sz w:val="18"/>
          <w:szCs w:val="22"/>
        </w:rPr>
        <w:t>“</w:t>
      </w:r>
      <w:r w:rsidRPr="00A67E12">
        <w:rPr>
          <w:rFonts w:ascii="Arial Narrow" w:hAnsi="Arial Narrow"/>
          <w:snapToGrid w:val="0"/>
          <w:sz w:val="18"/>
          <w:szCs w:val="22"/>
        </w:rPr>
        <w:t xml:space="preserve">A7.1_Cost and utilisation model abemaciclib EBC 2022” Excel workbook. </w:t>
      </w:r>
    </w:p>
    <w:p w14:paraId="62AFF10B" w14:textId="759312C8" w:rsidR="00431D2C" w:rsidRDefault="00A4500F" w:rsidP="00381464">
      <w:pPr>
        <w:keepNext/>
        <w:spacing w:after="120"/>
        <w:contextualSpacing/>
        <w:rPr>
          <w:rFonts w:ascii="Arial Narrow" w:hAnsi="Arial Narrow"/>
          <w:snapToGrid w:val="0"/>
          <w:sz w:val="18"/>
          <w:szCs w:val="22"/>
        </w:rPr>
      </w:pPr>
      <w:r w:rsidRPr="00A67E12">
        <w:rPr>
          <w:rFonts w:ascii="Arial Narrow" w:hAnsi="Arial Narrow"/>
          <w:snapToGrid w:val="0"/>
          <w:sz w:val="18"/>
          <w:szCs w:val="22"/>
        </w:rPr>
        <w:t>DoT = duration of treatment; DUSC = Drug Utilisation Sub-Committee; SA = sensitivity analysis</w:t>
      </w:r>
    </w:p>
    <w:p w14:paraId="2AC50178" w14:textId="77777777" w:rsidR="00381464" w:rsidRDefault="00381464" w:rsidP="00381464">
      <w:pPr>
        <w:keepNext/>
        <w:rPr>
          <w:rFonts w:ascii="Arial Narrow" w:hAnsi="Arial Narrow"/>
          <w:i/>
          <w:sz w:val="18"/>
          <w:szCs w:val="18"/>
        </w:rPr>
      </w:pPr>
      <w:r>
        <w:rPr>
          <w:rFonts w:ascii="Arial Narrow" w:hAnsi="Arial Narrow"/>
          <w:i/>
          <w:sz w:val="18"/>
          <w:szCs w:val="18"/>
        </w:rPr>
        <w:t xml:space="preserve">The redacted values correspond to the following ranges: </w:t>
      </w:r>
    </w:p>
    <w:p w14:paraId="62D62ADD" w14:textId="46BC91E6" w:rsidR="00381464" w:rsidRDefault="00381464" w:rsidP="00381464">
      <w:pPr>
        <w:keepNext/>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00842866" w:rsidRPr="00EF4D6E">
        <w:rPr>
          <w:rFonts w:ascii="Arial Narrow" w:hAnsi="Arial Narrow"/>
          <w:i/>
          <w:sz w:val="18"/>
          <w:szCs w:val="18"/>
        </w:rPr>
        <w:t xml:space="preserve">$20 million to &lt; $30 million </w:t>
      </w:r>
      <w:r w:rsidR="00842866">
        <w:rPr>
          <w:rFonts w:ascii="Arial Narrow" w:hAnsi="Arial Narrow"/>
          <w:i/>
          <w:sz w:val="18"/>
          <w:szCs w:val="18"/>
        </w:rPr>
        <w:t xml:space="preserve"> </w:t>
      </w:r>
    </w:p>
    <w:p w14:paraId="4D374B0F" w14:textId="4B5AE463" w:rsidR="00381464" w:rsidRDefault="00381464" w:rsidP="00381464">
      <w:pPr>
        <w:keepNext/>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00842866" w:rsidRPr="00ED4598">
        <w:rPr>
          <w:rFonts w:ascii="Arial Narrow" w:hAnsi="Arial Narrow"/>
          <w:i/>
          <w:sz w:val="18"/>
          <w:szCs w:val="18"/>
        </w:rPr>
        <w:t>$50 million to &lt; $60 million</w:t>
      </w:r>
    </w:p>
    <w:p w14:paraId="5D475211" w14:textId="1D0420A4" w:rsidR="00381464" w:rsidRDefault="00381464" w:rsidP="00381464">
      <w:pPr>
        <w:keepNext/>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842866" w:rsidRPr="00ED4598">
        <w:rPr>
          <w:rFonts w:ascii="Arial Narrow" w:hAnsi="Arial Narrow"/>
          <w:i/>
          <w:sz w:val="18"/>
          <w:szCs w:val="18"/>
        </w:rPr>
        <w:t>$60 million to &lt; $70 million</w:t>
      </w:r>
    </w:p>
    <w:p w14:paraId="14244B4B" w14:textId="26D563F5" w:rsidR="00381464" w:rsidRDefault="00381464" w:rsidP="00381464">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42866" w:rsidRPr="00842866">
        <w:rPr>
          <w:rFonts w:ascii="Arial Narrow" w:hAnsi="Arial Narrow"/>
          <w:i/>
          <w:sz w:val="18"/>
          <w:szCs w:val="18"/>
        </w:rPr>
        <w:t>$40 million to &lt; $50 million</w:t>
      </w:r>
    </w:p>
    <w:p w14:paraId="4F692C0D" w14:textId="33EC42F6" w:rsidR="00381464" w:rsidRDefault="00381464" w:rsidP="00381464">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42866" w:rsidRPr="00842866">
        <w:rPr>
          <w:rFonts w:ascii="Arial Narrow" w:hAnsi="Arial Narrow"/>
          <w:i/>
          <w:sz w:val="18"/>
          <w:szCs w:val="18"/>
        </w:rPr>
        <w:t>$30 million to &lt; $40 million</w:t>
      </w:r>
    </w:p>
    <w:p w14:paraId="10CBC438" w14:textId="247961EA" w:rsidR="00381464" w:rsidRPr="00ED4598" w:rsidRDefault="00381464" w:rsidP="00842866">
      <w:pPr>
        <w:keepNext/>
        <w:spacing w:after="120"/>
        <w:ind w:right="150"/>
        <w:rPr>
          <w:rFonts w:ascii="Arial" w:hAnsi="Arial"/>
          <w:color w:val="333333"/>
          <w:sz w:val="21"/>
          <w:szCs w:val="21"/>
        </w:rPr>
      </w:pPr>
      <w:r>
        <w:rPr>
          <w:rFonts w:ascii="Arial Narrow" w:hAnsi="Arial Narrow"/>
          <w:i/>
          <w:sz w:val="18"/>
          <w:szCs w:val="18"/>
          <w:vertAlign w:val="superscript"/>
        </w:rPr>
        <w:t>6</w:t>
      </w:r>
      <w:r>
        <w:rPr>
          <w:rFonts w:ascii="Arial Narrow" w:hAnsi="Arial Narrow"/>
          <w:i/>
          <w:sz w:val="18"/>
          <w:szCs w:val="18"/>
        </w:rPr>
        <w:t xml:space="preserve"> </w:t>
      </w:r>
      <w:r w:rsidR="00842866" w:rsidRPr="00ED4598">
        <w:rPr>
          <w:rFonts w:ascii="Arial Narrow" w:hAnsi="Arial Narrow"/>
          <w:i/>
          <w:sz w:val="18"/>
          <w:szCs w:val="18"/>
        </w:rPr>
        <w:t>$70 million to &lt; $80 million</w:t>
      </w:r>
    </w:p>
    <w:p w14:paraId="206F1D9C" w14:textId="1938A69F" w:rsidR="00251B9B" w:rsidRPr="00227A2B" w:rsidRDefault="00251B9B" w:rsidP="00251B9B">
      <w:pPr>
        <w:pStyle w:val="3-BodyText"/>
      </w:pPr>
      <w:bookmarkStart w:id="71" w:name="_Toc22897648"/>
      <w:bookmarkStart w:id="72" w:name="_Toc107927634"/>
      <w:bookmarkStart w:id="73" w:name="_Toc124940311"/>
      <w:r w:rsidRPr="00A67E12">
        <w:t>The PBAC previously noted that there was significant risk in use outside the proposed restriction to patients with lower risk of recurrence than seen in the monarchE trial (</w:t>
      </w:r>
      <w:r>
        <w:t>p</w:t>
      </w:r>
      <w:r w:rsidRPr="00A67E12">
        <w:t>ara</w:t>
      </w:r>
      <w:r>
        <w:t>graph</w:t>
      </w:r>
      <w:r w:rsidRPr="00A67E12">
        <w:t xml:space="preserve"> 7.14, Abemaciclib PSD, March 2022). This issue has not been addressed in the resubmission. </w:t>
      </w:r>
      <w:r w:rsidRPr="00FA0201">
        <w:rPr>
          <w:iCs/>
        </w:rPr>
        <w:t xml:space="preserve">However, the PSCR stated that the risk of use outside the target population is ameliorated by an appropriate definition of high risk of recurrence in the proposed restriction. </w:t>
      </w:r>
      <w:r>
        <w:rPr>
          <w:iCs/>
        </w:rPr>
        <w:t>While the</w:t>
      </w:r>
      <w:r w:rsidRPr="00FA0201">
        <w:rPr>
          <w:iCs/>
        </w:rPr>
        <w:t xml:space="preserve"> ESC considered this </w:t>
      </w:r>
      <w:r>
        <w:rPr>
          <w:iCs/>
        </w:rPr>
        <w:t>was likely to</w:t>
      </w:r>
      <w:r w:rsidRPr="00FA0201">
        <w:rPr>
          <w:iCs/>
        </w:rPr>
        <w:t xml:space="preserve"> be reasonable</w:t>
      </w:r>
      <w:r>
        <w:rPr>
          <w:iCs/>
        </w:rPr>
        <w:t xml:space="preserve">, the PBAC maintained there remained a risk of use outside the proposed restriction, especially among a younger patient population that exhibit some but not all of the proposed clinical criteria that define a high risk of recurrence. </w:t>
      </w:r>
      <w:r>
        <w:t>Therefore, the PBAC considered that a risk sharing arrangement (RSA) would be required to manage the risk of utilisation outside the proposed restriction.</w:t>
      </w:r>
    </w:p>
    <w:p w14:paraId="49F9D5C5" w14:textId="6DDBBB22" w:rsidR="00431D2C" w:rsidRPr="00C9624D" w:rsidRDefault="00431D2C" w:rsidP="00431D2C">
      <w:pPr>
        <w:pStyle w:val="4-SubsectionHeading"/>
      </w:pPr>
      <w:r w:rsidRPr="00C9624D">
        <w:lastRenderedPageBreak/>
        <w:t>Quality Use of Medicines</w:t>
      </w:r>
      <w:bookmarkEnd w:id="71"/>
      <w:bookmarkEnd w:id="72"/>
      <w:bookmarkEnd w:id="73"/>
    </w:p>
    <w:p w14:paraId="108ACFB2" w14:textId="50F53AD0" w:rsidR="00431D2C" w:rsidRDefault="00431D2C" w:rsidP="00431D2C">
      <w:pPr>
        <w:pStyle w:val="3-BodyText"/>
      </w:pPr>
      <w:r w:rsidRPr="009A6197">
        <w:t>The activities</w:t>
      </w:r>
      <w:r>
        <w:t xml:space="preserve"> outlined in the resubmission</w:t>
      </w:r>
      <w:r w:rsidRPr="009A6197">
        <w:t xml:space="preserve"> to promote safe and effective use of abemaciclib in clinical practice </w:t>
      </w:r>
      <w:r>
        <w:t>included</w:t>
      </w:r>
      <w:r w:rsidRPr="009A6197">
        <w:t xml:space="preserve"> online </w:t>
      </w:r>
      <w:r>
        <w:t xml:space="preserve">medical </w:t>
      </w:r>
      <w:r w:rsidRPr="009A6197">
        <w:t xml:space="preserve">education modules, scientific meetings, </w:t>
      </w:r>
      <w:r>
        <w:t xml:space="preserve">health education </w:t>
      </w:r>
      <w:r w:rsidRPr="009A6197">
        <w:t xml:space="preserve">symposia, and </w:t>
      </w:r>
      <w:r>
        <w:t xml:space="preserve">conferences. </w:t>
      </w:r>
      <w:r w:rsidRPr="00A67E12">
        <w:t>These remained unchanged from the previous submission and</w:t>
      </w:r>
      <w:r w:rsidR="00356FC8">
        <w:t xml:space="preserve"> </w:t>
      </w:r>
      <w:r w:rsidR="00356FC8" w:rsidRPr="00FA0201">
        <w:rPr>
          <w:iCs/>
        </w:rPr>
        <w:t>are</w:t>
      </w:r>
      <w:r w:rsidRPr="00A67E12">
        <w:t xml:space="preserve"> reasonable.</w:t>
      </w:r>
      <w:r w:rsidRPr="009A6197">
        <w:t xml:space="preserve"> </w:t>
      </w:r>
    </w:p>
    <w:p w14:paraId="384E8D12" w14:textId="0E84CA33" w:rsidR="00431D2C" w:rsidRPr="009A6197" w:rsidRDefault="00431D2C" w:rsidP="00431D2C">
      <w:pPr>
        <w:pStyle w:val="3-BodyText"/>
      </w:pPr>
      <w:r>
        <w:t>The resubmission noted that the PBAC</w:t>
      </w:r>
      <w:r w:rsidRPr="009A6197">
        <w:t xml:space="preserve"> </w:t>
      </w:r>
      <w:r>
        <w:t xml:space="preserve">previously considered </w:t>
      </w:r>
      <w:r w:rsidRPr="005B2B3D">
        <w:t xml:space="preserve">that there was unlikely to be new QUM issues given abemaciclib is an existing therapy with a known safety profile and agreed with the submission that the adverse events associated with adjuvant abemaciclib could be monitored and managed with dose modifications </w:t>
      </w:r>
      <w:r w:rsidRPr="009A6197">
        <w:t>(</w:t>
      </w:r>
      <w:r w:rsidR="00356FC8">
        <w:t>p</w:t>
      </w:r>
      <w:r>
        <w:t>ara</w:t>
      </w:r>
      <w:r w:rsidR="00356FC8">
        <w:t>graph</w:t>
      </w:r>
      <w:r w:rsidRPr="009A6197">
        <w:t xml:space="preserve"> 7.9, </w:t>
      </w:r>
      <w:r>
        <w:t>A</w:t>
      </w:r>
      <w:r w:rsidRPr="009A6197">
        <w:t xml:space="preserve">bemaciclib PSD, March 2022). </w:t>
      </w:r>
    </w:p>
    <w:p w14:paraId="53C34827" w14:textId="60005FD7" w:rsidR="00021CE0" w:rsidRDefault="00431D2C" w:rsidP="00356FC8">
      <w:pPr>
        <w:pStyle w:val="3-BodyText"/>
      </w:pPr>
      <w:r w:rsidRPr="009A6197">
        <w:t xml:space="preserve">The resubmission stated that the sponsor will continue to support a patient program that supplies loperamide free of charge to patients on PBS subsidised treatment for the management of the most common AE, diarrhoea, associated with abemaciclib treatment. </w:t>
      </w:r>
      <w:bookmarkEnd w:id="59"/>
    </w:p>
    <w:p w14:paraId="7788102C" w14:textId="2C2CA7E7" w:rsidR="00227A2B" w:rsidRDefault="00227A2B" w:rsidP="00227A2B">
      <w:pPr>
        <w:pStyle w:val="COMH2-non-numbered"/>
        <w:rPr>
          <w:szCs w:val="28"/>
        </w:rPr>
      </w:pPr>
      <w:r w:rsidRPr="00D71742">
        <w:rPr>
          <w:szCs w:val="28"/>
        </w:rPr>
        <w:t xml:space="preserve">Financial </w:t>
      </w:r>
      <w:r w:rsidRPr="009009A7">
        <w:t>Management</w:t>
      </w:r>
      <w:r w:rsidRPr="00D71742">
        <w:rPr>
          <w:szCs w:val="28"/>
        </w:rPr>
        <w:t xml:space="preserve"> – risk sharing arrangements</w:t>
      </w:r>
    </w:p>
    <w:p w14:paraId="483225FB" w14:textId="2D5CD6AA" w:rsidR="00227A2B" w:rsidRPr="00227A2B" w:rsidRDefault="00251B9B" w:rsidP="00251B9B">
      <w:pPr>
        <w:pStyle w:val="3-BodyText"/>
      </w:pPr>
      <w:r>
        <w:rPr>
          <w:iCs/>
        </w:rPr>
        <w:t xml:space="preserve">The PBAC considered there is a risk of use outside the proposed restriction, especially among a younger patient population that exhibit some but not all of the proposed clinical criteria that define a high risk of recurrence. </w:t>
      </w:r>
      <w:r>
        <w:t>Therefore, the PBAC considered that a risk sharing arrangement would be required to manage the risk of utilisation outside the proposed restriction.</w:t>
      </w:r>
    </w:p>
    <w:p w14:paraId="4231DF39" w14:textId="054B1336" w:rsidR="00227A2B" w:rsidRDefault="00227A2B" w:rsidP="00227A2B">
      <w:pPr>
        <w:pStyle w:val="3-BodyText"/>
        <w:numPr>
          <w:ilvl w:val="0"/>
          <w:numId w:val="0"/>
        </w:numPr>
        <w:ind w:left="720"/>
        <w:rPr>
          <w:i/>
          <w:iCs/>
        </w:rPr>
      </w:pPr>
      <w:r w:rsidRPr="0077611C">
        <w:rPr>
          <w:i/>
          <w:iCs/>
        </w:rPr>
        <w:t>For more detail on PBAC’s view, see section 7 PBAC outcome.</w:t>
      </w:r>
    </w:p>
    <w:p w14:paraId="7FC6037F" w14:textId="47CAF46E" w:rsidR="007312D6" w:rsidRDefault="007312D6" w:rsidP="00492D82">
      <w:pPr>
        <w:pStyle w:val="2-SectionHeading"/>
        <w:numPr>
          <w:ilvl w:val="0"/>
          <w:numId w:val="1"/>
        </w:numPr>
      </w:pPr>
      <w:bookmarkStart w:id="74" w:name="_Hlk76381249"/>
      <w:bookmarkStart w:id="75" w:name="_Hlk76377955"/>
      <w:r w:rsidRPr="0090150D">
        <w:t>PBAC Outcome</w:t>
      </w:r>
    </w:p>
    <w:p w14:paraId="500FF6F4" w14:textId="665538D0" w:rsidR="00F715B9" w:rsidRPr="00D55ECC" w:rsidRDefault="00F715B9" w:rsidP="00DE45B0">
      <w:pPr>
        <w:pStyle w:val="3-BodyText"/>
        <w:rPr>
          <w:rFonts w:ascii="Calibri" w:hAnsi="Calibri" w:cs="Calibri"/>
          <w:sz w:val="22"/>
          <w:szCs w:val="22"/>
        </w:rPr>
      </w:pPr>
      <w:r>
        <w:t xml:space="preserve">The PBAC </w:t>
      </w:r>
      <w:r w:rsidRPr="002079CC">
        <w:t>recommended</w:t>
      </w:r>
      <w:r>
        <w:t xml:space="preserve"> </w:t>
      </w:r>
      <w:r w:rsidR="002079CC">
        <w:t xml:space="preserve">the </w:t>
      </w:r>
      <w:r w:rsidR="006F049E">
        <w:t xml:space="preserve">General Schedule Authority Required listing </w:t>
      </w:r>
      <w:r w:rsidR="002079CC">
        <w:t xml:space="preserve">of </w:t>
      </w:r>
      <w:r>
        <w:t>abemaciclib</w:t>
      </w:r>
      <w:r w:rsidR="00E1306A">
        <w:t>,</w:t>
      </w:r>
      <w:r>
        <w:t xml:space="preserve"> in combination with standard adjuvant endocrine therapy (ET), for the treatment of hormone receptor positive (HR+), human epidermal growth factor receptor 2 negative (HER2-), lymph node positive, invasive, resected early breast cancer (EBC) at high risk of disease recurrence. The PBAC considered the evidence presented </w:t>
      </w:r>
      <w:r w:rsidR="00E1306A">
        <w:t xml:space="preserve">in the resubmission </w:t>
      </w:r>
      <w:r>
        <w:t>demonstrated a</w:t>
      </w:r>
      <w:r w:rsidR="00E1306A">
        <w:t xml:space="preserve"> meaningful difference in </w:t>
      </w:r>
      <w:r>
        <w:t>invasive dise</w:t>
      </w:r>
      <w:r w:rsidRPr="00E1306A">
        <w:rPr>
          <w:color w:val="000000"/>
        </w:rPr>
        <w:t xml:space="preserve">ase-free survival </w:t>
      </w:r>
      <w:r w:rsidR="00E1306A">
        <w:rPr>
          <w:color w:val="000000"/>
        </w:rPr>
        <w:t xml:space="preserve">(IDFS) and </w:t>
      </w:r>
      <w:r w:rsidR="00E1306A">
        <w:t>d</w:t>
      </w:r>
      <w:r w:rsidR="00E1306A" w:rsidRPr="000F0654">
        <w:t xml:space="preserve">istant </w:t>
      </w:r>
      <w:r w:rsidR="00E1306A">
        <w:t>r</w:t>
      </w:r>
      <w:r w:rsidR="00E1306A" w:rsidRPr="000F0654">
        <w:t xml:space="preserve">elapse </w:t>
      </w:r>
      <w:r w:rsidR="00E1306A">
        <w:t>f</w:t>
      </w:r>
      <w:r w:rsidR="00E1306A" w:rsidRPr="000F0654">
        <w:t xml:space="preserve">ree </w:t>
      </w:r>
      <w:r w:rsidR="00E1306A">
        <w:t>s</w:t>
      </w:r>
      <w:r w:rsidR="00E1306A" w:rsidRPr="000F0654">
        <w:t>urvival</w:t>
      </w:r>
      <w:r w:rsidR="00E1306A">
        <w:t xml:space="preserve"> (DRFS)</w:t>
      </w:r>
      <w:r w:rsidR="00E1306A" w:rsidRPr="000F0654">
        <w:t xml:space="preserve"> </w:t>
      </w:r>
      <w:r w:rsidRPr="00E1306A">
        <w:rPr>
          <w:color w:val="000000"/>
        </w:rPr>
        <w:t>over the comparator (ET alone)</w:t>
      </w:r>
      <w:r w:rsidR="00BE1000">
        <w:rPr>
          <w:color w:val="000000"/>
        </w:rPr>
        <w:t>,</w:t>
      </w:r>
      <w:r w:rsidRPr="00E1306A">
        <w:rPr>
          <w:color w:val="000000"/>
        </w:rPr>
        <w:t xml:space="preserve"> but noted that a benefit in terms of overall survival had not been demonstrated in the clinical trial and therefore </w:t>
      </w:r>
      <w:r w:rsidR="00E1306A">
        <w:rPr>
          <w:color w:val="000000"/>
        </w:rPr>
        <w:t>remained</w:t>
      </w:r>
      <w:r w:rsidRPr="00E1306A">
        <w:rPr>
          <w:color w:val="000000"/>
        </w:rPr>
        <w:t xml:space="preserve"> uncertain</w:t>
      </w:r>
      <w:r>
        <w:t>. The PBAC considered that the incremental cost-effectiveness ratio</w:t>
      </w:r>
      <w:r w:rsidR="00641723">
        <w:t xml:space="preserve"> (ICER)</w:t>
      </w:r>
      <w:r>
        <w:t xml:space="preserve"> </w:t>
      </w:r>
      <w:r w:rsidR="00DE45B0">
        <w:t xml:space="preserve">was </w:t>
      </w:r>
      <w:r>
        <w:t xml:space="preserve">likely underestimated </w:t>
      </w:r>
      <w:r w:rsidR="00DE45B0">
        <w:t>and</w:t>
      </w:r>
      <w:r>
        <w:t xml:space="preserve"> that a price reduction would be required for abemaciclib to be considered cost-effective. The PBAC considered that the financial estimates were overestimated</w:t>
      </w:r>
      <w:r w:rsidR="00A44724">
        <w:t xml:space="preserve"> due to optimistic assumptions regarding uptake, compliance and treatment duration</w:t>
      </w:r>
      <w:r>
        <w:t xml:space="preserve">. The PBAC </w:t>
      </w:r>
      <w:r w:rsidR="00D55ECC">
        <w:t xml:space="preserve">also </w:t>
      </w:r>
      <w:r>
        <w:t xml:space="preserve">considered that a risk sharing arrangement would be required due to risk of utilisation </w:t>
      </w:r>
      <w:r w:rsidR="00A44724">
        <w:t xml:space="preserve">in patients at lower risk of disease recurrence than defined by </w:t>
      </w:r>
      <w:r>
        <w:t>the proposed restriction.</w:t>
      </w:r>
    </w:p>
    <w:p w14:paraId="6541D893" w14:textId="360C55AC" w:rsidR="00D55ECC" w:rsidRPr="00E50B5A" w:rsidRDefault="00D55ECC" w:rsidP="00E50B5A">
      <w:pPr>
        <w:pStyle w:val="3-BodyText"/>
        <w:rPr>
          <w:rFonts w:ascii="Calibri" w:hAnsi="Calibri" w:cs="Calibri"/>
          <w:sz w:val="22"/>
          <w:szCs w:val="22"/>
        </w:rPr>
      </w:pPr>
      <w:r>
        <w:lastRenderedPageBreak/>
        <w:t xml:space="preserve">The PBAC </w:t>
      </w:r>
      <w:r w:rsidR="00E50B5A">
        <w:t xml:space="preserve">noted the consumer comments </w:t>
      </w:r>
      <w:r w:rsidR="003D399B">
        <w:t>outlining</w:t>
      </w:r>
      <w:r w:rsidR="00E50B5A">
        <w:t xml:space="preserve"> the </w:t>
      </w:r>
      <w:r w:rsidR="003D399B">
        <w:rPr>
          <w:bCs/>
        </w:rPr>
        <w:t>disease free survival</w:t>
      </w:r>
      <w:r w:rsidR="00E50B5A">
        <w:rPr>
          <w:bCs/>
        </w:rPr>
        <w:t xml:space="preserve"> </w:t>
      </w:r>
      <w:r w:rsidR="00E50B5A" w:rsidRPr="009548C3">
        <w:rPr>
          <w:bCs/>
          <w:snapToGrid/>
        </w:rPr>
        <w:t xml:space="preserve">benefits associated with </w:t>
      </w:r>
      <w:r w:rsidR="00E50B5A">
        <w:rPr>
          <w:bCs/>
        </w:rPr>
        <w:t xml:space="preserve">abemaciclib and emphasising the </w:t>
      </w:r>
      <w:r w:rsidR="00E50B5A" w:rsidRPr="009548C3">
        <w:rPr>
          <w:bCs/>
          <w:snapToGrid/>
        </w:rPr>
        <w:t xml:space="preserve">psycho-social </w:t>
      </w:r>
      <w:r w:rsidR="00E50B5A">
        <w:rPr>
          <w:bCs/>
        </w:rPr>
        <w:t>benefits associated with reducing the fear of recurrence</w:t>
      </w:r>
      <w:r w:rsidR="003D399B">
        <w:rPr>
          <w:bCs/>
        </w:rPr>
        <w:t xml:space="preserve">. The PBAC noted comments describing the side effects of abemaciclib, particularly </w:t>
      </w:r>
      <w:r w:rsidR="004C0C72" w:rsidRPr="004F034E">
        <w:rPr>
          <w:bCs/>
        </w:rPr>
        <w:t>diarrhoea</w:t>
      </w:r>
      <w:r w:rsidR="003D399B">
        <w:rPr>
          <w:bCs/>
        </w:rPr>
        <w:t>, but considered these manageable with dos</w:t>
      </w:r>
      <w:r w:rsidR="004C0C72">
        <w:rPr>
          <w:bCs/>
        </w:rPr>
        <w:t>ing adjustments.</w:t>
      </w:r>
      <w:r w:rsidR="003D399B">
        <w:rPr>
          <w:bCs/>
        </w:rPr>
        <w:t xml:space="preserve"> </w:t>
      </w:r>
      <w:r w:rsidR="00E50B5A" w:rsidRPr="00E50B5A">
        <w:rPr>
          <w:bCs/>
        </w:rPr>
        <w:t xml:space="preserve">The PBAC noted </w:t>
      </w:r>
      <w:r w:rsidR="00E50B5A">
        <w:rPr>
          <w:bCs/>
        </w:rPr>
        <w:t>comments</w:t>
      </w:r>
      <w:r w:rsidR="00E50B5A" w:rsidRPr="00E50B5A">
        <w:rPr>
          <w:bCs/>
        </w:rPr>
        <w:t xml:space="preserve"> stating that the private cost of abemaciclib is currently a </w:t>
      </w:r>
      <w:r w:rsidR="00E50B5A">
        <w:rPr>
          <w:bCs/>
        </w:rPr>
        <w:t xml:space="preserve">financial burden to patients </w:t>
      </w:r>
      <w:r w:rsidR="00E50B5A" w:rsidRPr="00E50B5A">
        <w:rPr>
          <w:bCs/>
        </w:rPr>
        <w:t xml:space="preserve">and that a PBS listing would ensure equity of access.  </w:t>
      </w:r>
    </w:p>
    <w:p w14:paraId="7F299C25" w14:textId="0442FDDB" w:rsidR="006F049E" w:rsidRPr="007366E7" w:rsidRDefault="00BA3CD2" w:rsidP="00F715B9">
      <w:pPr>
        <w:pStyle w:val="3-BodyText"/>
        <w:rPr>
          <w:rFonts w:ascii="Calibri" w:hAnsi="Calibri" w:cs="Calibri"/>
          <w:sz w:val="22"/>
          <w:szCs w:val="22"/>
        </w:rPr>
      </w:pPr>
      <w:r>
        <w:t>The PBAC noted that there ha</w:t>
      </w:r>
      <w:r w:rsidR="00985677">
        <w:t>d</w:t>
      </w:r>
      <w:r>
        <w:t xml:space="preserve"> been small incremental benefits </w:t>
      </w:r>
      <w:r w:rsidR="00D228B0">
        <w:t xml:space="preserve">recently </w:t>
      </w:r>
      <w:r>
        <w:t xml:space="preserve">observed for patients with </w:t>
      </w:r>
      <w:r w:rsidR="00985677">
        <w:t>high</w:t>
      </w:r>
      <w:r w:rsidR="00381464">
        <w:t xml:space="preserve"> </w:t>
      </w:r>
      <w:r w:rsidR="00985677">
        <w:t xml:space="preserve">risk </w:t>
      </w:r>
      <w:r w:rsidR="007366E7">
        <w:t xml:space="preserve">early breast cancer </w:t>
      </w:r>
      <w:r>
        <w:t xml:space="preserve">from </w:t>
      </w:r>
      <w:r w:rsidR="00985677">
        <w:t>therapies</w:t>
      </w:r>
      <w:r>
        <w:t xml:space="preserve"> such as dose dense chemotherapy, extended hormonal therapy and ovarian function suppression. However, the PBAC considered there remains a moderate clinical need </w:t>
      </w:r>
      <w:r w:rsidR="007366E7">
        <w:t xml:space="preserve">for </w:t>
      </w:r>
      <w:r w:rsidR="00D228B0">
        <w:t xml:space="preserve">further </w:t>
      </w:r>
      <w:r w:rsidR="007366E7">
        <w:t>reducing the risk of recurrence for patients diagnosed with early breast cancer.</w:t>
      </w:r>
    </w:p>
    <w:p w14:paraId="5F4E7A57" w14:textId="22A8F26C" w:rsidR="00131553" w:rsidRPr="00131553" w:rsidRDefault="00131553" w:rsidP="007312D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restriction proposed by the Secretariat was acceptable</w:t>
      </w:r>
      <w:r w:rsidR="00203F4F">
        <w:rPr>
          <w:rFonts w:asciiTheme="minorHAnsi" w:hAnsiTheme="minorHAnsi"/>
          <w:snapToGrid w:val="0"/>
          <w:lang w:val="en-GB"/>
        </w:rPr>
        <w:t xml:space="preserve"> and </w:t>
      </w:r>
      <w:r w:rsidR="00C609EA">
        <w:rPr>
          <w:rFonts w:asciiTheme="minorHAnsi" w:hAnsiTheme="minorHAnsi"/>
          <w:snapToGrid w:val="0"/>
          <w:lang w:val="en-GB"/>
        </w:rPr>
        <w:t xml:space="preserve">noted </w:t>
      </w:r>
      <w:r w:rsidR="00203F4F">
        <w:rPr>
          <w:rFonts w:asciiTheme="minorHAnsi" w:hAnsiTheme="minorHAnsi"/>
          <w:snapToGrid w:val="0"/>
          <w:lang w:val="en-GB"/>
        </w:rPr>
        <w:t>that a</w:t>
      </w:r>
      <w:r w:rsidR="00BE1000">
        <w:rPr>
          <w:rFonts w:asciiTheme="minorHAnsi" w:hAnsiTheme="minorHAnsi"/>
          <w:snapToGrid w:val="0"/>
          <w:lang w:val="en-GB"/>
        </w:rPr>
        <w:t xml:space="preserve"> specific</w:t>
      </w:r>
      <w:r w:rsidR="00203F4F">
        <w:rPr>
          <w:rFonts w:asciiTheme="minorHAnsi" w:hAnsiTheme="minorHAnsi"/>
          <w:snapToGrid w:val="0"/>
          <w:lang w:val="en-GB"/>
        </w:rPr>
        <w:t xml:space="preserve"> grandfather clause was</w:t>
      </w:r>
      <w:r w:rsidR="00BE1000">
        <w:rPr>
          <w:rFonts w:asciiTheme="minorHAnsi" w:hAnsiTheme="minorHAnsi"/>
          <w:snapToGrid w:val="0"/>
          <w:lang w:val="en-GB"/>
        </w:rPr>
        <w:t xml:space="preserve"> not required if the restriction is phrased as suggested by the Secretariat</w:t>
      </w:r>
      <w:r w:rsidR="00C609EA">
        <w:rPr>
          <w:rFonts w:asciiTheme="minorHAnsi" w:hAnsiTheme="minorHAnsi"/>
          <w:snapToGrid w:val="0"/>
          <w:lang w:val="en-GB"/>
        </w:rPr>
        <w:t>.</w:t>
      </w:r>
      <w:r w:rsidR="00BE1000">
        <w:rPr>
          <w:rFonts w:asciiTheme="minorHAnsi" w:hAnsiTheme="minorHAnsi"/>
          <w:snapToGrid w:val="0"/>
          <w:lang w:val="en-GB"/>
        </w:rPr>
        <w:t xml:space="preserve"> </w:t>
      </w:r>
    </w:p>
    <w:p w14:paraId="1D6F1CD7" w14:textId="0CD9DC5F" w:rsidR="00551611" w:rsidRPr="00642E7F" w:rsidRDefault="00EB5E82" w:rsidP="007312D6">
      <w:pPr>
        <w:widowControl w:val="0"/>
        <w:numPr>
          <w:ilvl w:val="1"/>
          <w:numId w:val="1"/>
        </w:numPr>
        <w:spacing w:after="120"/>
        <w:rPr>
          <w:rFonts w:asciiTheme="minorHAnsi" w:hAnsiTheme="minorHAnsi"/>
          <w:snapToGrid w:val="0"/>
          <w:lang w:val="en-GB"/>
        </w:rPr>
      </w:pPr>
      <w:r>
        <w:rPr>
          <w:lang w:val="en-GB"/>
        </w:rPr>
        <w:t xml:space="preserve">The PBAC </w:t>
      </w:r>
      <w:r w:rsidR="009E3D59">
        <w:rPr>
          <w:lang w:val="en-GB"/>
        </w:rPr>
        <w:t>recommended</w:t>
      </w:r>
      <w:r>
        <w:rPr>
          <w:lang w:val="en-GB"/>
        </w:rPr>
        <w:t xml:space="preserve"> flow on change</w:t>
      </w:r>
      <w:r w:rsidR="009E3D59">
        <w:rPr>
          <w:lang w:val="en-GB"/>
        </w:rPr>
        <w:t>s</w:t>
      </w:r>
      <w:r>
        <w:rPr>
          <w:lang w:val="en-GB"/>
        </w:rPr>
        <w:t xml:space="preserve"> to all </w:t>
      </w:r>
      <w:r w:rsidRPr="00787A0B">
        <w:rPr>
          <w:iCs/>
        </w:rPr>
        <w:t>cyclin-dependent kinase (CDK)4/6 inhibitors</w:t>
      </w:r>
      <w:r w:rsidRPr="002D4D0B">
        <w:rPr>
          <w:iCs/>
        </w:rPr>
        <w:t xml:space="preserve"> </w:t>
      </w:r>
      <w:r>
        <w:rPr>
          <w:iCs/>
        </w:rPr>
        <w:t xml:space="preserve">currently PBS </w:t>
      </w:r>
      <w:r>
        <w:rPr>
          <w:lang w:val="en-GB"/>
        </w:rPr>
        <w:t xml:space="preserve">listed in the advanced/metastatic treatment setting </w:t>
      </w:r>
      <w:r w:rsidR="009E3D59">
        <w:rPr>
          <w:lang w:val="en-GB"/>
        </w:rPr>
        <w:t xml:space="preserve">to exclude sequential use (i.e. use in early breast cancer and then use in advanced/metastatic breast cancer) </w:t>
      </w:r>
      <w:r>
        <w:rPr>
          <w:lang w:val="en-GB"/>
        </w:rPr>
        <w:t xml:space="preserve">as </w:t>
      </w:r>
      <w:r w:rsidR="002D4D0B" w:rsidRPr="00787A0B">
        <w:rPr>
          <w:iCs/>
        </w:rPr>
        <w:t xml:space="preserve">there are </w:t>
      </w:r>
      <w:r w:rsidR="00551611">
        <w:rPr>
          <w:iCs/>
        </w:rPr>
        <w:t xml:space="preserve">currently </w:t>
      </w:r>
      <w:r w:rsidR="002D4D0B" w:rsidRPr="00787A0B">
        <w:rPr>
          <w:iCs/>
        </w:rPr>
        <w:t>no safety or efficacy data for repeated use of CDK4/6 inhibitors.</w:t>
      </w:r>
      <w:r w:rsidR="002D4D0B">
        <w:rPr>
          <w:iCs/>
        </w:rPr>
        <w:t xml:space="preserve"> </w:t>
      </w:r>
    </w:p>
    <w:p w14:paraId="197A2DC2" w14:textId="32B44D2F" w:rsidR="00F644A0" w:rsidRPr="00C609EA" w:rsidRDefault="00F644A0" w:rsidP="00A44724">
      <w:pPr>
        <w:pStyle w:val="3-BodyText"/>
      </w:pPr>
      <w:r w:rsidRPr="00C609EA">
        <w:t>The PBAC noted the nominated comparator, ET alone, was the same as for the March 2022 submission and considered it remained appropriate.</w:t>
      </w:r>
    </w:p>
    <w:p w14:paraId="2FB93662" w14:textId="2BF8C2C8" w:rsidR="009C3231" w:rsidRPr="00043EDF" w:rsidRDefault="00A44724" w:rsidP="00043EDF">
      <w:pPr>
        <w:pStyle w:val="3-BodyText"/>
        <w:rPr>
          <w:rFonts w:eastAsia="Calibri"/>
          <w:iCs/>
        </w:rPr>
      </w:pPr>
      <w:r w:rsidRPr="00C609EA">
        <w:rPr>
          <w:snapToGrid/>
          <w:lang w:val="en-US"/>
        </w:rPr>
        <w:t>The PBAC noted</w:t>
      </w:r>
      <w:r w:rsidR="00F644A0" w:rsidRPr="00C609EA">
        <w:rPr>
          <w:snapToGrid/>
          <w:lang w:val="en-US"/>
        </w:rPr>
        <w:t xml:space="preserve"> additional </w:t>
      </w:r>
      <w:r w:rsidR="00F644A0" w:rsidRPr="00F644A0">
        <w:rPr>
          <w:snapToGrid/>
          <w:lang w:val="en-US"/>
        </w:rPr>
        <w:t>follow-up data were available for the</w:t>
      </w:r>
      <w:r w:rsidRPr="00F644A0">
        <w:rPr>
          <w:snapToGrid/>
          <w:lang w:val="en-US"/>
        </w:rPr>
        <w:t xml:space="preserve"> head-to-head trial comparing abemaciclib + ET to ET alone (n=5,637), the monarchE trial</w:t>
      </w:r>
      <w:r w:rsidR="00F644A0" w:rsidRPr="00F644A0">
        <w:rPr>
          <w:snapToGrid/>
          <w:lang w:val="en-US"/>
        </w:rPr>
        <w:t>, which increased</w:t>
      </w:r>
      <w:r w:rsidRPr="00F644A0">
        <w:rPr>
          <w:iCs/>
          <w:snapToGrid/>
          <w:lang w:val="en-US"/>
        </w:rPr>
        <w:t xml:space="preserve"> the</w:t>
      </w:r>
      <w:r w:rsidR="00F644A0" w:rsidRPr="00F644A0">
        <w:rPr>
          <w:iCs/>
          <w:snapToGrid/>
          <w:lang w:val="en-US"/>
        </w:rPr>
        <w:t xml:space="preserve"> median</w:t>
      </w:r>
      <w:r w:rsidRPr="00F644A0">
        <w:rPr>
          <w:iCs/>
          <w:snapToGrid/>
          <w:lang w:val="en-US"/>
        </w:rPr>
        <w:t xml:space="preserve"> duration of follow</w:t>
      </w:r>
      <w:r w:rsidR="007C3DDA">
        <w:rPr>
          <w:iCs/>
          <w:snapToGrid/>
          <w:lang w:val="en-US"/>
        </w:rPr>
        <w:t xml:space="preserve"> </w:t>
      </w:r>
      <w:r w:rsidRPr="00F644A0">
        <w:rPr>
          <w:iCs/>
          <w:snapToGrid/>
          <w:lang w:val="en-US"/>
        </w:rPr>
        <w:t xml:space="preserve">up </w:t>
      </w:r>
      <w:r w:rsidR="00F644A0" w:rsidRPr="00F644A0">
        <w:rPr>
          <w:iCs/>
          <w:snapToGrid/>
          <w:lang w:val="en-US"/>
        </w:rPr>
        <w:t xml:space="preserve">from 27 months </w:t>
      </w:r>
      <w:r w:rsidR="00C609EA">
        <w:rPr>
          <w:iCs/>
          <w:snapToGrid/>
          <w:lang w:val="en-US"/>
        </w:rPr>
        <w:t xml:space="preserve">for data included </w:t>
      </w:r>
      <w:r w:rsidR="00F644A0" w:rsidRPr="00F644A0">
        <w:rPr>
          <w:iCs/>
          <w:snapToGrid/>
          <w:lang w:val="en-US"/>
        </w:rPr>
        <w:t xml:space="preserve">in the previous submission to </w:t>
      </w:r>
      <w:r w:rsidRPr="00F644A0">
        <w:rPr>
          <w:iCs/>
          <w:snapToGrid/>
          <w:lang w:val="en-US"/>
        </w:rPr>
        <w:t>42 months.</w:t>
      </w:r>
      <w:r w:rsidR="00F644A0">
        <w:rPr>
          <w:iCs/>
          <w:snapToGrid/>
          <w:lang w:val="en-US"/>
        </w:rPr>
        <w:t xml:space="preserve"> </w:t>
      </w:r>
      <w:r w:rsidR="009C3231" w:rsidRPr="00787A0B">
        <w:rPr>
          <w:rFonts w:eastAsia="Calibri"/>
        </w:rPr>
        <w:t xml:space="preserve">The </w:t>
      </w:r>
      <w:r w:rsidR="009C3231">
        <w:rPr>
          <w:rFonts w:eastAsia="Calibri"/>
        </w:rPr>
        <w:t xml:space="preserve">PBAC noted the addition of abemaciclib resulted in a </w:t>
      </w:r>
      <w:r w:rsidR="009C3231" w:rsidRPr="00787A0B">
        <w:rPr>
          <w:rFonts w:eastAsia="Calibri"/>
        </w:rPr>
        <w:t xml:space="preserve">statistically significant </w:t>
      </w:r>
      <w:r w:rsidR="009C3231">
        <w:rPr>
          <w:rFonts w:eastAsia="Calibri"/>
        </w:rPr>
        <w:t>reduction</w:t>
      </w:r>
      <w:r w:rsidR="009C3231" w:rsidRPr="00787A0B">
        <w:rPr>
          <w:rFonts w:eastAsia="Calibri"/>
        </w:rPr>
        <w:t xml:space="preserve"> in </w:t>
      </w:r>
      <w:r w:rsidR="009C3231">
        <w:rPr>
          <w:rFonts w:eastAsia="Calibri"/>
        </w:rPr>
        <w:t>I</w:t>
      </w:r>
      <w:r w:rsidR="009C3231">
        <w:rPr>
          <w:color w:val="000000"/>
        </w:rPr>
        <w:t>DFS (HR 0.66, 95% CI</w:t>
      </w:r>
      <w:r w:rsidR="00E24A5A" w:rsidRPr="00E24A5A">
        <w:rPr>
          <w:bCs/>
          <w:szCs w:val="20"/>
        </w:rPr>
        <w:t xml:space="preserve"> 0.58, 0.76</w:t>
      </w:r>
      <w:r w:rsidR="00591974">
        <w:rPr>
          <w:bCs/>
          <w:color w:val="000000"/>
        </w:rPr>
        <w:t>;</w:t>
      </w:r>
      <w:r w:rsidR="00E24A5A">
        <w:rPr>
          <w:bCs/>
          <w:color w:val="000000"/>
        </w:rPr>
        <w:t xml:space="preserve"> 6.4% difference at 48 months</w:t>
      </w:r>
      <w:r w:rsidR="00E24A5A">
        <w:rPr>
          <w:color w:val="000000"/>
        </w:rPr>
        <w:t>)</w:t>
      </w:r>
      <w:r w:rsidR="009C3231">
        <w:rPr>
          <w:color w:val="000000"/>
        </w:rPr>
        <w:t xml:space="preserve"> and </w:t>
      </w:r>
      <w:r w:rsidR="009C3231">
        <w:t>DRFS</w:t>
      </w:r>
      <w:r w:rsidR="00E24A5A">
        <w:t xml:space="preserve"> (HR 0.66, 95% CI 0.57, 0.77</w:t>
      </w:r>
      <w:r w:rsidR="00591974">
        <w:t>;</w:t>
      </w:r>
      <w:r w:rsidR="00E24A5A">
        <w:t xml:space="preserve"> 5.9% difference at 48 months)</w:t>
      </w:r>
      <w:r w:rsidR="009C3231">
        <w:t>, and</w:t>
      </w:r>
      <w:r w:rsidR="00207FBD">
        <w:t xml:space="preserve"> </w:t>
      </w:r>
      <w:r w:rsidR="00DF7A39" w:rsidRPr="004B46B0">
        <w:t>that the</w:t>
      </w:r>
      <w:r w:rsidR="00EC40AE" w:rsidRPr="004B46B0">
        <w:t xml:space="preserve"> </w:t>
      </w:r>
      <w:r w:rsidR="006E5793" w:rsidRPr="004B46B0">
        <w:rPr>
          <w:lang w:val="en-GB"/>
        </w:rPr>
        <w:t>the magnitude of relative treatment effect appears to be maintained to approximately 4 years</w:t>
      </w:r>
      <w:r w:rsidR="009C3231" w:rsidRPr="004B46B0">
        <w:t>.</w:t>
      </w:r>
      <w:r w:rsidR="00EC40AE" w:rsidRPr="004B46B0">
        <w:t xml:space="preserve"> </w:t>
      </w:r>
      <w:r w:rsidR="00043EDF" w:rsidRPr="004B46B0">
        <w:t>The</w:t>
      </w:r>
      <w:r w:rsidR="00043EDF">
        <w:t xml:space="preserve"> PBAC </w:t>
      </w:r>
      <w:r w:rsidR="00EC40AE">
        <w:t>considered that the difference in IDFS and DRFS</w:t>
      </w:r>
      <w:r w:rsidR="00DF7A39">
        <w:t xml:space="preserve"> </w:t>
      </w:r>
      <w:r w:rsidR="00EC40AE">
        <w:t xml:space="preserve">was likely to represent a </w:t>
      </w:r>
      <w:r w:rsidR="00DF7A39">
        <w:t>clinically meaningful benefit</w:t>
      </w:r>
      <w:r w:rsidR="00EC40AE" w:rsidRPr="00F644A0">
        <w:rPr>
          <w:rFonts w:eastAsia="Calibri"/>
        </w:rPr>
        <w:t xml:space="preserve">. </w:t>
      </w:r>
      <w:r w:rsidR="00DF7A39" w:rsidRPr="00F644A0">
        <w:rPr>
          <w:rFonts w:eastAsia="Calibri"/>
        </w:rPr>
        <w:t>Overall</w:t>
      </w:r>
      <w:r w:rsidR="00EC40AE" w:rsidRPr="00F644A0">
        <w:rPr>
          <w:rFonts w:eastAsia="Calibri"/>
        </w:rPr>
        <w:t xml:space="preserve">, the PBAC considered that the claim </w:t>
      </w:r>
      <w:r w:rsidR="00EC40AE" w:rsidRPr="00F644A0">
        <w:rPr>
          <w:rFonts w:eastAsia="Calibri"/>
          <w:iCs/>
        </w:rPr>
        <w:t>of superior comparative effectiveness of abemaciclib</w:t>
      </w:r>
      <w:r w:rsidR="009C3231">
        <w:rPr>
          <w:rFonts w:eastAsia="Calibri"/>
          <w:iCs/>
        </w:rPr>
        <w:t xml:space="preserve"> + ET over ET alone</w:t>
      </w:r>
      <w:r w:rsidR="00EC40AE" w:rsidRPr="00F644A0">
        <w:rPr>
          <w:rFonts w:eastAsia="Calibri"/>
          <w:iCs/>
        </w:rPr>
        <w:t xml:space="preserve"> was support</w:t>
      </w:r>
      <w:r w:rsidR="007402E7">
        <w:rPr>
          <w:rFonts w:eastAsia="Calibri"/>
          <w:iCs/>
        </w:rPr>
        <w:t>ed</w:t>
      </w:r>
      <w:r w:rsidR="00EC40AE" w:rsidRPr="00F644A0">
        <w:rPr>
          <w:rFonts w:eastAsia="Calibri"/>
          <w:iCs/>
        </w:rPr>
        <w:t>.</w:t>
      </w:r>
      <w:r w:rsidR="00DF7A39" w:rsidRPr="00F644A0">
        <w:rPr>
          <w:rFonts w:eastAsia="Calibri"/>
          <w:iCs/>
        </w:rPr>
        <w:t xml:space="preserve"> However, </w:t>
      </w:r>
      <w:r w:rsidR="00DF7A39" w:rsidRPr="00F644A0">
        <w:rPr>
          <w:rFonts w:eastAsia="Calibri"/>
        </w:rPr>
        <w:t xml:space="preserve">the PBAC considered that due to immature OS data there </w:t>
      </w:r>
      <w:r w:rsidR="00207FBD" w:rsidRPr="00F644A0">
        <w:rPr>
          <w:rFonts w:eastAsia="Calibri"/>
        </w:rPr>
        <w:t>remained</w:t>
      </w:r>
      <w:r w:rsidR="00DF7A39" w:rsidRPr="00F644A0">
        <w:rPr>
          <w:rFonts w:eastAsia="Calibri"/>
        </w:rPr>
        <w:t xml:space="preserve"> an unclear relationship between IDFS/DRFS and OS.  </w:t>
      </w:r>
    </w:p>
    <w:p w14:paraId="4E2B0F1A" w14:textId="0E5E9B1E" w:rsidR="0021261D" w:rsidRPr="00890FBD" w:rsidRDefault="00642E7F" w:rsidP="0021261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it had previously considered </w:t>
      </w:r>
      <w:r>
        <w:rPr>
          <w:rFonts w:asciiTheme="minorHAnsi" w:hAnsiTheme="minorHAnsi"/>
          <w:snapToGrid w:val="0"/>
        </w:rPr>
        <w:t xml:space="preserve">that a claim of inferior </w:t>
      </w:r>
      <w:r w:rsidR="009E3D59">
        <w:rPr>
          <w:rFonts w:asciiTheme="minorHAnsi" w:hAnsiTheme="minorHAnsi"/>
          <w:snapToGrid w:val="0"/>
        </w:rPr>
        <w:t xml:space="preserve">yet </w:t>
      </w:r>
      <w:r>
        <w:rPr>
          <w:rFonts w:asciiTheme="minorHAnsi" w:hAnsiTheme="minorHAnsi"/>
          <w:snapToGrid w:val="0"/>
        </w:rPr>
        <w:t>manageable safety was reasonable</w:t>
      </w:r>
      <w:r>
        <w:rPr>
          <w:rFonts w:asciiTheme="minorHAnsi" w:hAnsiTheme="minorHAnsi"/>
          <w:snapToGrid w:val="0"/>
          <w:lang w:val="en-GB"/>
        </w:rPr>
        <w:t xml:space="preserve"> (paragraph 7.9, </w:t>
      </w:r>
      <w:r w:rsidR="00987801">
        <w:rPr>
          <w:rFonts w:asciiTheme="minorHAnsi" w:hAnsiTheme="minorHAnsi"/>
          <w:snapToGrid w:val="0"/>
          <w:lang w:val="en-GB"/>
        </w:rPr>
        <w:t>A</w:t>
      </w:r>
      <w:r>
        <w:rPr>
          <w:rFonts w:asciiTheme="minorHAnsi" w:hAnsiTheme="minorHAnsi"/>
          <w:snapToGrid w:val="0"/>
          <w:lang w:val="en-GB"/>
        </w:rPr>
        <w:t xml:space="preserve">bemaciclib PBAC </w:t>
      </w:r>
      <w:r w:rsidR="00492D82">
        <w:rPr>
          <w:rFonts w:asciiTheme="minorHAnsi" w:hAnsiTheme="minorHAnsi"/>
          <w:snapToGrid w:val="0"/>
          <w:lang w:val="en-GB"/>
        </w:rPr>
        <w:t>PSD</w:t>
      </w:r>
      <w:r>
        <w:rPr>
          <w:rFonts w:asciiTheme="minorHAnsi" w:hAnsiTheme="minorHAnsi"/>
          <w:snapToGrid w:val="0"/>
          <w:lang w:val="en-GB"/>
        </w:rPr>
        <w:t>, March 2022).</w:t>
      </w:r>
      <w:r w:rsidRPr="00642E7F">
        <w:rPr>
          <w:iCs/>
          <w:lang w:val="en-US"/>
        </w:rPr>
        <w:t xml:space="preserve"> </w:t>
      </w:r>
      <w:r>
        <w:rPr>
          <w:iCs/>
          <w:lang w:val="en-US"/>
        </w:rPr>
        <w:t>T</w:t>
      </w:r>
      <w:r w:rsidRPr="00FA0201">
        <w:rPr>
          <w:iCs/>
          <w:lang w:val="en-US"/>
        </w:rPr>
        <w:t>he</w:t>
      </w:r>
      <w:r>
        <w:rPr>
          <w:lang w:val="en-US"/>
        </w:rPr>
        <w:t xml:space="preserve"> </w:t>
      </w:r>
      <w:r>
        <w:rPr>
          <w:iCs/>
          <w:lang w:val="en-US"/>
        </w:rPr>
        <w:t>PBAC</w:t>
      </w:r>
      <w:r w:rsidRPr="00FA0201">
        <w:rPr>
          <w:iCs/>
          <w:lang w:val="en-US"/>
        </w:rPr>
        <w:t xml:space="preserve"> </w:t>
      </w:r>
      <w:r>
        <w:rPr>
          <w:iCs/>
          <w:lang w:val="en-US"/>
        </w:rPr>
        <w:t>considered that the</w:t>
      </w:r>
      <w:r w:rsidRPr="003A65EC">
        <w:rPr>
          <w:iCs/>
          <w:lang w:val="en-US"/>
        </w:rPr>
        <w:t xml:space="preserve"> updated safety results do not change this conclusion.</w:t>
      </w:r>
      <w:r w:rsidR="00DF7A39" w:rsidRPr="003A65EC">
        <w:rPr>
          <w:iCs/>
          <w:lang w:val="en-US"/>
        </w:rPr>
        <w:t xml:space="preserve"> </w:t>
      </w:r>
      <w:r w:rsidR="003A65EC" w:rsidRPr="003A65EC">
        <w:rPr>
          <w:iCs/>
          <w:lang w:val="en-US"/>
        </w:rPr>
        <w:t xml:space="preserve">The PBAC </w:t>
      </w:r>
      <w:r w:rsidR="006E3B51">
        <w:rPr>
          <w:iCs/>
          <w:lang w:val="en-US"/>
        </w:rPr>
        <w:t xml:space="preserve">also </w:t>
      </w:r>
      <w:r w:rsidR="003A65EC" w:rsidRPr="003A65EC">
        <w:rPr>
          <w:iCs/>
          <w:lang w:val="en-US"/>
        </w:rPr>
        <w:t xml:space="preserve">considered that </w:t>
      </w:r>
      <w:r w:rsidR="006E3B51">
        <w:rPr>
          <w:iCs/>
          <w:lang w:val="en-US"/>
        </w:rPr>
        <w:t xml:space="preserve">while </w:t>
      </w:r>
      <w:r w:rsidR="003A65EC" w:rsidRPr="003A65EC">
        <w:rPr>
          <w:iCs/>
          <w:lang w:val="en-US"/>
        </w:rPr>
        <w:t xml:space="preserve">the risk of adverse events was likely to be greater outside the controlled clinical trial environment, </w:t>
      </w:r>
      <w:r w:rsidR="00DF7A39" w:rsidRPr="003A65EC">
        <w:rPr>
          <w:iCs/>
          <w:lang w:val="en-US"/>
        </w:rPr>
        <w:t>the adverse events associated</w:t>
      </w:r>
      <w:r w:rsidR="00DF7A39">
        <w:rPr>
          <w:rFonts w:asciiTheme="minorHAnsi" w:hAnsiTheme="minorHAnsi"/>
          <w:snapToGrid w:val="0"/>
        </w:rPr>
        <w:t xml:space="preserve"> with abemaciclib could be monitored and managed with dose modifications.</w:t>
      </w:r>
    </w:p>
    <w:p w14:paraId="720CCA0C" w14:textId="300DA469" w:rsidR="007B0E8F" w:rsidRDefault="007B0E8F" w:rsidP="00987801">
      <w:pPr>
        <w:widowControl w:val="0"/>
        <w:numPr>
          <w:ilvl w:val="1"/>
          <w:numId w:val="1"/>
        </w:numPr>
        <w:spacing w:after="120"/>
        <w:rPr>
          <w:rFonts w:asciiTheme="minorHAnsi" w:hAnsiTheme="minorHAnsi"/>
          <w:snapToGrid w:val="0"/>
          <w:lang w:val="en-GB"/>
        </w:rPr>
      </w:pPr>
      <w:bookmarkStart w:id="76" w:name="_Ref130559871"/>
      <w:r>
        <w:rPr>
          <w:rFonts w:asciiTheme="minorHAnsi" w:hAnsiTheme="minorHAnsi"/>
          <w:snapToGrid w:val="0"/>
          <w:lang w:val="en-GB"/>
        </w:rPr>
        <w:lastRenderedPageBreak/>
        <w:t xml:space="preserve">The PBAC noted the economic model assumed that treatment with abemaciclib would reduce the risk of recurrence </w:t>
      </w:r>
      <w:r w:rsidR="00591974">
        <w:rPr>
          <w:rFonts w:asciiTheme="minorHAnsi" w:hAnsiTheme="minorHAnsi"/>
          <w:snapToGrid w:val="0"/>
          <w:lang w:val="en-GB"/>
        </w:rPr>
        <w:t xml:space="preserve">and </w:t>
      </w:r>
      <w:r w:rsidR="00C609EA">
        <w:rPr>
          <w:rFonts w:asciiTheme="minorHAnsi" w:hAnsiTheme="minorHAnsi"/>
          <w:snapToGrid w:val="0"/>
          <w:lang w:val="en-GB"/>
        </w:rPr>
        <w:t xml:space="preserve">that </w:t>
      </w:r>
      <w:r w:rsidR="00591974">
        <w:rPr>
          <w:rFonts w:asciiTheme="minorHAnsi" w:hAnsiTheme="minorHAnsi"/>
          <w:snapToGrid w:val="0"/>
          <w:lang w:val="en-GB"/>
        </w:rPr>
        <w:t>this</w:t>
      </w:r>
      <w:r>
        <w:rPr>
          <w:rFonts w:asciiTheme="minorHAnsi" w:hAnsiTheme="minorHAnsi"/>
          <w:snapToGrid w:val="0"/>
          <w:lang w:val="en-GB"/>
        </w:rPr>
        <w:t xml:space="preserve"> would result in an increase in OS. The PBAC considered it unclear if treatment with abemaciclib result</w:t>
      </w:r>
      <w:r w:rsidR="00591974">
        <w:rPr>
          <w:rFonts w:asciiTheme="minorHAnsi" w:hAnsiTheme="minorHAnsi"/>
          <w:snapToGrid w:val="0"/>
          <w:lang w:val="en-GB"/>
        </w:rPr>
        <w:t>s</w:t>
      </w:r>
      <w:r>
        <w:rPr>
          <w:rFonts w:asciiTheme="minorHAnsi" w:hAnsiTheme="minorHAnsi"/>
          <w:snapToGrid w:val="0"/>
          <w:lang w:val="en-GB"/>
        </w:rPr>
        <w:t xml:space="preserve"> in recurrence being avoided</w:t>
      </w:r>
      <w:r w:rsidR="00C609EA">
        <w:rPr>
          <w:rFonts w:asciiTheme="minorHAnsi" w:hAnsiTheme="minorHAnsi"/>
          <w:snapToGrid w:val="0"/>
          <w:lang w:val="en-GB"/>
        </w:rPr>
        <w:t xml:space="preserve"> in a proportion of patients</w:t>
      </w:r>
      <w:r>
        <w:rPr>
          <w:rFonts w:asciiTheme="minorHAnsi" w:hAnsiTheme="minorHAnsi"/>
          <w:snapToGrid w:val="0"/>
          <w:lang w:val="en-GB"/>
        </w:rPr>
        <w:t xml:space="preserve"> and hence a permanent cure as claimed, or if abemaciclib delay</w:t>
      </w:r>
      <w:r w:rsidR="00591974">
        <w:rPr>
          <w:rFonts w:asciiTheme="minorHAnsi" w:hAnsiTheme="minorHAnsi"/>
          <w:snapToGrid w:val="0"/>
          <w:lang w:val="en-GB"/>
        </w:rPr>
        <w:t>s</w:t>
      </w:r>
      <w:r>
        <w:rPr>
          <w:rFonts w:asciiTheme="minorHAnsi" w:hAnsiTheme="minorHAnsi"/>
          <w:snapToGrid w:val="0"/>
          <w:lang w:val="en-GB"/>
        </w:rPr>
        <w:t xml:space="preserve"> micro-metastases </w:t>
      </w:r>
      <w:r w:rsidR="007402E7">
        <w:rPr>
          <w:rFonts w:asciiTheme="minorHAnsi" w:hAnsiTheme="minorHAnsi"/>
          <w:snapToGrid w:val="0"/>
          <w:lang w:val="en-GB"/>
        </w:rPr>
        <w:t>progressing to</w:t>
      </w:r>
      <w:r>
        <w:rPr>
          <w:rFonts w:asciiTheme="minorHAnsi" w:hAnsiTheme="minorHAnsi"/>
          <w:snapToGrid w:val="0"/>
          <w:lang w:val="en-GB"/>
        </w:rPr>
        <w:t xml:space="preserve"> macro-metastases and hence delay</w:t>
      </w:r>
      <w:r w:rsidR="00591974">
        <w:rPr>
          <w:rFonts w:asciiTheme="minorHAnsi" w:hAnsiTheme="minorHAnsi"/>
          <w:snapToGrid w:val="0"/>
          <w:lang w:val="en-GB"/>
        </w:rPr>
        <w:t>s</w:t>
      </w:r>
      <w:r>
        <w:rPr>
          <w:rFonts w:asciiTheme="minorHAnsi" w:hAnsiTheme="minorHAnsi"/>
          <w:snapToGrid w:val="0"/>
          <w:lang w:val="en-GB"/>
        </w:rPr>
        <w:t xml:space="preserve"> </w:t>
      </w:r>
      <w:r w:rsidR="00E73BF6">
        <w:rPr>
          <w:rFonts w:asciiTheme="minorHAnsi" w:hAnsiTheme="minorHAnsi"/>
          <w:snapToGrid w:val="0"/>
          <w:lang w:val="en-GB"/>
        </w:rPr>
        <w:t xml:space="preserve">when </w:t>
      </w:r>
      <w:r>
        <w:rPr>
          <w:rFonts w:asciiTheme="minorHAnsi" w:hAnsiTheme="minorHAnsi"/>
          <w:snapToGrid w:val="0"/>
          <w:lang w:val="en-GB"/>
        </w:rPr>
        <w:t>recurrence</w:t>
      </w:r>
      <w:r w:rsidR="00E73BF6">
        <w:rPr>
          <w:rFonts w:asciiTheme="minorHAnsi" w:hAnsiTheme="minorHAnsi"/>
          <w:snapToGrid w:val="0"/>
          <w:lang w:val="en-GB"/>
        </w:rPr>
        <w:t xml:space="preserve"> occurs</w:t>
      </w:r>
      <w:r>
        <w:rPr>
          <w:rFonts w:asciiTheme="minorHAnsi" w:hAnsiTheme="minorHAnsi"/>
          <w:snapToGrid w:val="0"/>
          <w:lang w:val="en-GB"/>
        </w:rPr>
        <w:t xml:space="preserve">. The PBAC further noted a relationship between </w:t>
      </w:r>
      <w:r w:rsidR="007402E7">
        <w:rPr>
          <w:rFonts w:asciiTheme="minorHAnsi" w:hAnsiTheme="minorHAnsi"/>
          <w:snapToGrid w:val="0"/>
          <w:lang w:val="en-GB"/>
        </w:rPr>
        <w:t>DFS</w:t>
      </w:r>
      <w:r>
        <w:rPr>
          <w:rFonts w:asciiTheme="minorHAnsi" w:hAnsiTheme="minorHAnsi"/>
          <w:snapToGrid w:val="0"/>
          <w:lang w:val="en-GB"/>
        </w:rPr>
        <w:t xml:space="preserve"> and OS had not been consistently demonstrated with other treatments for HR+ EBC. Overall, the PBAC considered the modelled OS gain to be highly uncertain.</w:t>
      </w:r>
      <w:bookmarkEnd w:id="76"/>
    </w:p>
    <w:p w14:paraId="25692219" w14:textId="161CC85F" w:rsidR="007402E7" w:rsidRPr="00842866" w:rsidRDefault="007402E7" w:rsidP="00842866">
      <w:pPr>
        <w:widowControl w:val="0"/>
        <w:numPr>
          <w:ilvl w:val="1"/>
          <w:numId w:val="1"/>
        </w:numPr>
        <w:spacing w:after="120"/>
        <w:rPr>
          <w:rFonts w:asciiTheme="minorHAnsi" w:hAnsiTheme="minorHAnsi"/>
          <w:snapToGrid w:val="0"/>
        </w:rPr>
      </w:pPr>
      <w:r>
        <w:rPr>
          <w:rFonts w:asciiTheme="minorHAnsi" w:hAnsiTheme="minorHAnsi"/>
          <w:snapToGrid w:val="0"/>
          <w:lang w:val="en-GB"/>
        </w:rPr>
        <w:t xml:space="preserve">The PBAC noted the revised economic model provided with the pre-PBAC response corrected the errors noted </w:t>
      </w:r>
      <w:r w:rsidR="00E73BF6">
        <w:rPr>
          <w:rFonts w:asciiTheme="minorHAnsi" w:hAnsiTheme="minorHAnsi"/>
          <w:snapToGrid w:val="0"/>
          <w:lang w:val="en-GB"/>
        </w:rPr>
        <w:t>during</w:t>
      </w:r>
      <w:r>
        <w:rPr>
          <w:rFonts w:asciiTheme="minorHAnsi" w:hAnsiTheme="minorHAnsi"/>
          <w:snapToGrid w:val="0"/>
          <w:lang w:val="en-GB"/>
        </w:rPr>
        <w:t xml:space="preserve"> the </w:t>
      </w:r>
      <w:r w:rsidR="00E73BF6" w:rsidRPr="00033206">
        <w:rPr>
          <w:rFonts w:asciiTheme="minorHAnsi" w:hAnsiTheme="minorHAnsi"/>
          <w:snapToGrid w:val="0"/>
          <w:lang w:val="en-GB"/>
        </w:rPr>
        <w:t>evaluation</w:t>
      </w:r>
      <w:r w:rsidRPr="00033206">
        <w:rPr>
          <w:rFonts w:asciiTheme="minorHAnsi" w:hAnsiTheme="minorHAnsi"/>
          <w:snapToGrid w:val="0"/>
          <w:lang w:val="en-GB"/>
        </w:rPr>
        <w:t xml:space="preserve"> (</w:t>
      </w:r>
      <w:r w:rsidR="00033206" w:rsidRPr="00033206">
        <w:rPr>
          <w:rFonts w:asciiTheme="minorHAnsi" w:hAnsiTheme="minorHAnsi"/>
          <w:snapToGrid w:val="0"/>
          <w:lang w:val="en-GB"/>
        </w:rPr>
        <w:t>paragraph</w:t>
      </w:r>
      <w:r w:rsidR="00033206">
        <w:rPr>
          <w:rFonts w:asciiTheme="minorHAnsi" w:hAnsiTheme="minorHAnsi"/>
          <w:snapToGrid w:val="0"/>
          <w:lang w:val="en-GB"/>
        </w:rPr>
        <w:t xml:space="preserve"> </w:t>
      </w:r>
      <w:r w:rsidR="00033206">
        <w:rPr>
          <w:rFonts w:asciiTheme="minorHAnsi" w:hAnsiTheme="minorHAnsi"/>
          <w:snapToGrid w:val="0"/>
          <w:highlight w:val="yellow"/>
          <w:lang w:val="en-GB"/>
        </w:rPr>
        <w:fldChar w:fldCharType="begin"/>
      </w:r>
      <w:r w:rsidR="00033206">
        <w:rPr>
          <w:rFonts w:asciiTheme="minorHAnsi" w:hAnsiTheme="minorHAnsi"/>
          <w:snapToGrid w:val="0"/>
          <w:lang w:val="en-GB"/>
        </w:rPr>
        <w:instrText xml:space="preserve"> REF _Ref130555318 \r \h </w:instrText>
      </w:r>
      <w:r w:rsidR="00033206">
        <w:rPr>
          <w:rFonts w:asciiTheme="minorHAnsi" w:hAnsiTheme="minorHAnsi"/>
          <w:snapToGrid w:val="0"/>
          <w:highlight w:val="yellow"/>
          <w:lang w:val="en-GB"/>
        </w:rPr>
      </w:r>
      <w:r w:rsidR="00033206">
        <w:rPr>
          <w:rFonts w:asciiTheme="minorHAnsi" w:hAnsiTheme="minorHAnsi"/>
          <w:snapToGrid w:val="0"/>
          <w:highlight w:val="yellow"/>
          <w:lang w:val="en-GB"/>
        </w:rPr>
        <w:fldChar w:fldCharType="separate"/>
      </w:r>
      <w:r w:rsidR="0001201E">
        <w:rPr>
          <w:rFonts w:asciiTheme="minorHAnsi" w:hAnsiTheme="minorHAnsi"/>
          <w:snapToGrid w:val="0"/>
          <w:lang w:val="en-GB"/>
        </w:rPr>
        <w:t>6.48</w:t>
      </w:r>
      <w:r w:rsidR="00033206">
        <w:rPr>
          <w:rFonts w:asciiTheme="minorHAnsi" w:hAnsiTheme="minorHAnsi"/>
          <w:snapToGrid w:val="0"/>
          <w:highlight w:val="yellow"/>
          <w:lang w:val="en-GB"/>
        </w:rPr>
        <w:fldChar w:fldCharType="end"/>
      </w:r>
      <w:r>
        <w:rPr>
          <w:rFonts w:asciiTheme="minorHAnsi" w:hAnsiTheme="minorHAnsi"/>
          <w:snapToGrid w:val="0"/>
          <w:lang w:val="en-GB"/>
        </w:rPr>
        <w:t xml:space="preserve">) </w:t>
      </w:r>
      <w:r w:rsidR="00E73BF6">
        <w:rPr>
          <w:rFonts w:asciiTheme="minorHAnsi" w:hAnsiTheme="minorHAnsi"/>
          <w:snapToGrid w:val="0"/>
          <w:lang w:val="en-GB"/>
        </w:rPr>
        <w:t>as well as</w:t>
      </w:r>
      <w:r>
        <w:rPr>
          <w:rFonts w:asciiTheme="minorHAnsi" w:hAnsiTheme="minorHAnsi"/>
          <w:snapToGrid w:val="0"/>
          <w:lang w:val="en-GB"/>
        </w:rPr>
        <w:t xml:space="preserve"> errors relating to the TTD extrapolations for </w:t>
      </w:r>
      <w:r w:rsidR="00E73BF6">
        <w:rPr>
          <w:rFonts w:asciiTheme="minorHAnsi" w:hAnsiTheme="minorHAnsi"/>
          <w:snapToGrid w:val="0"/>
          <w:lang w:val="en-GB"/>
        </w:rPr>
        <w:t xml:space="preserve">the </w:t>
      </w:r>
      <w:r>
        <w:rPr>
          <w:rFonts w:asciiTheme="minorHAnsi" w:hAnsiTheme="minorHAnsi"/>
          <w:snapToGrid w:val="0"/>
          <w:lang w:val="en-GB"/>
        </w:rPr>
        <w:t>ET</w:t>
      </w:r>
      <w:r w:rsidR="00E73BF6">
        <w:rPr>
          <w:rFonts w:asciiTheme="minorHAnsi" w:hAnsiTheme="minorHAnsi"/>
          <w:snapToGrid w:val="0"/>
          <w:lang w:val="en-GB"/>
        </w:rPr>
        <w:t xml:space="preserve"> arm</w:t>
      </w:r>
      <w:r>
        <w:rPr>
          <w:rFonts w:asciiTheme="minorHAnsi" w:hAnsiTheme="minorHAnsi"/>
          <w:snapToGrid w:val="0"/>
          <w:lang w:val="en-GB"/>
        </w:rPr>
        <w:t xml:space="preserve"> and </w:t>
      </w:r>
      <w:r w:rsidR="00580A01">
        <w:rPr>
          <w:rFonts w:asciiTheme="minorHAnsi" w:hAnsiTheme="minorHAnsi"/>
          <w:snapToGrid w:val="0"/>
          <w:lang w:val="en-GB"/>
        </w:rPr>
        <w:t>the age adjusted utility estimates</w:t>
      </w:r>
      <w:r w:rsidR="00591974">
        <w:rPr>
          <w:rFonts w:asciiTheme="minorHAnsi" w:hAnsiTheme="minorHAnsi"/>
          <w:snapToGrid w:val="0"/>
          <w:lang w:val="en-GB"/>
        </w:rPr>
        <w:t>,</w:t>
      </w:r>
      <w:r w:rsidR="00E73BF6">
        <w:rPr>
          <w:rFonts w:asciiTheme="minorHAnsi" w:hAnsiTheme="minorHAnsi"/>
          <w:snapToGrid w:val="0"/>
          <w:lang w:val="en-GB"/>
        </w:rPr>
        <w:t xml:space="preserve"> and</w:t>
      </w:r>
      <w:r w:rsidR="00580A01">
        <w:rPr>
          <w:rFonts w:asciiTheme="minorHAnsi" w:hAnsiTheme="minorHAnsi"/>
          <w:snapToGrid w:val="0"/>
          <w:lang w:val="en-GB"/>
        </w:rPr>
        <w:t xml:space="preserve"> </w:t>
      </w:r>
      <w:r w:rsidR="00E73BF6">
        <w:rPr>
          <w:rFonts w:asciiTheme="minorHAnsi" w:hAnsiTheme="minorHAnsi"/>
          <w:snapToGrid w:val="0"/>
          <w:lang w:val="en-GB"/>
        </w:rPr>
        <w:t>t</w:t>
      </w:r>
      <w:r w:rsidR="00580A01">
        <w:rPr>
          <w:rFonts w:asciiTheme="minorHAnsi" w:hAnsiTheme="minorHAnsi"/>
          <w:snapToGrid w:val="0"/>
          <w:lang w:val="en-GB"/>
        </w:rPr>
        <w:t xml:space="preserve">he resulting </w:t>
      </w:r>
      <w:r w:rsidR="00591974">
        <w:rPr>
          <w:rFonts w:asciiTheme="minorHAnsi" w:hAnsiTheme="minorHAnsi"/>
          <w:snapToGrid w:val="0"/>
          <w:lang w:val="en-GB"/>
        </w:rPr>
        <w:t xml:space="preserve">base case </w:t>
      </w:r>
      <w:r w:rsidR="00580A01">
        <w:rPr>
          <w:rFonts w:asciiTheme="minorHAnsi" w:hAnsiTheme="minorHAnsi"/>
          <w:snapToGrid w:val="0"/>
          <w:lang w:val="en-GB"/>
        </w:rPr>
        <w:t xml:space="preserve">ICER was </w:t>
      </w:r>
      <w:r w:rsidR="00842866" w:rsidRPr="00842866">
        <w:rPr>
          <w:rFonts w:asciiTheme="minorHAnsi" w:hAnsiTheme="minorHAnsi"/>
          <w:snapToGrid w:val="0"/>
        </w:rPr>
        <w:t>$25,000 to &lt; $35,000</w:t>
      </w:r>
      <w:r w:rsidR="00580A01" w:rsidRPr="00842866">
        <w:rPr>
          <w:rFonts w:asciiTheme="minorHAnsi" w:hAnsiTheme="minorHAnsi"/>
          <w:snapToGrid w:val="0"/>
          <w:lang w:val="en-GB"/>
        </w:rPr>
        <w:t>/QALY</w:t>
      </w:r>
      <w:r w:rsidR="00E73BF6" w:rsidRPr="00842866">
        <w:rPr>
          <w:rFonts w:asciiTheme="minorHAnsi" w:hAnsiTheme="minorHAnsi"/>
          <w:snapToGrid w:val="0"/>
          <w:lang w:val="en-GB"/>
        </w:rPr>
        <w:t>.</w:t>
      </w:r>
      <w:r w:rsidR="00580A01" w:rsidRPr="00842866">
        <w:rPr>
          <w:rFonts w:asciiTheme="minorHAnsi" w:hAnsiTheme="minorHAnsi"/>
          <w:snapToGrid w:val="0"/>
          <w:lang w:val="en-GB"/>
        </w:rPr>
        <w:t xml:space="preserve"> </w:t>
      </w:r>
      <w:r w:rsidR="00C609EA" w:rsidRPr="00842866">
        <w:rPr>
          <w:rFonts w:asciiTheme="minorHAnsi" w:hAnsiTheme="minorHAnsi"/>
          <w:snapToGrid w:val="0"/>
          <w:lang w:val="en-GB"/>
        </w:rPr>
        <w:t>T</w:t>
      </w:r>
      <w:r w:rsidR="00580A01" w:rsidRPr="00842866">
        <w:rPr>
          <w:rFonts w:asciiTheme="minorHAnsi" w:hAnsiTheme="minorHAnsi"/>
          <w:snapToGrid w:val="0"/>
          <w:lang w:val="en-GB"/>
        </w:rPr>
        <w:t xml:space="preserve">he PBAC noted </w:t>
      </w:r>
      <w:r w:rsidR="00E73BF6" w:rsidRPr="00842866">
        <w:rPr>
          <w:rFonts w:asciiTheme="minorHAnsi" w:hAnsiTheme="minorHAnsi"/>
          <w:snapToGrid w:val="0"/>
          <w:lang w:val="en-GB"/>
        </w:rPr>
        <w:t>the ICER</w:t>
      </w:r>
      <w:r w:rsidR="00580A01" w:rsidRPr="00842866">
        <w:rPr>
          <w:rFonts w:asciiTheme="minorHAnsi" w:hAnsiTheme="minorHAnsi"/>
          <w:snapToGrid w:val="0"/>
          <w:lang w:val="en-GB"/>
        </w:rPr>
        <w:t xml:space="preserve"> was particularly sensitive to assumptions for </w:t>
      </w:r>
      <w:r w:rsidR="00122F51" w:rsidRPr="00842866">
        <w:rPr>
          <w:rFonts w:asciiTheme="minorHAnsi" w:hAnsiTheme="minorHAnsi"/>
          <w:snapToGrid w:val="0"/>
          <w:lang w:val="en-GB"/>
        </w:rPr>
        <w:t xml:space="preserve">continuing </w:t>
      </w:r>
      <w:r w:rsidR="006E5793" w:rsidRPr="00842866">
        <w:rPr>
          <w:rFonts w:asciiTheme="minorHAnsi" w:hAnsiTheme="minorHAnsi"/>
          <w:snapToGrid w:val="0"/>
          <w:lang w:val="en-GB"/>
        </w:rPr>
        <w:t>treatment waning</w:t>
      </w:r>
      <w:r w:rsidR="00580A01" w:rsidRPr="00842866">
        <w:rPr>
          <w:rFonts w:asciiTheme="minorHAnsi" w:hAnsiTheme="minorHAnsi"/>
          <w:snapToGrid w:val="0"/>
          <w:lang w:val="en-GB"/>
        </w:rPr>
        <w:t>, cohort age, and time horizon.</w:t>
      </w:r>
    </w:p>
    <w:p w14:paraId="410B39F7" w14:textId="6F07EDF1" w:rsidR="007C2E81" w:rsidRPr="007C2E81" w:rsidRDefault="005B52AB" w:rsidP="005B52AB">
      <w:pPr>
        <w:pStyle w:val="3-BodyText"/>
      </w:pPr>
      <w:bookmarkStart w:id="77" w:name="_Ref130559609"/>
      <w:r>
        <w:t xml:space="preserve">The PBAC noted in the pre-PBAC base case analysis that the </w:t>
      </w:r>
      <w:r w:rsidRPr="00A85449">
        <w:t xml:space="preserve">treatment effect was modelled to last </w:t>
      </w:r>
      <w:r w:rsidRPr="00E965A8">
        <w:t>f</w:t>
      </w:r>
      <w:r w:rsidRPr="00A85449">
        <w:t xml:space="preserve">or </w:t>
      </w:r>
      <w:r>
        <w:t>7</w:t>
      </w:r>
      <w:r w:rsidRPr="00A85449">
        <w:t xml:space="preserve"> years, after which the effect of abemaciclib waned </w:t>
      </w:r>
      <w:r>
        <w:t xml:space="preserve">until year </w:t>
      </w:r>
      <w:r w:rsidRPr="008A3BDF">
        <w:t>28.</w:t>
      </w:r>
      <w:r w:rsidRPr="004B46B0">
        <w:t xml:space="preserve">9. </w:t>
      </w:r>
      <w:r w:rsidR="00144511" w:rsidRPr="004B46B0">
        <w:t xml:space="preserve">The PBAC acknowledged the </w:t>
      </w:r>
      <w:r w:rsidR="00144511" w:rsidRPr="004B46B0">
        <w:rPr>
          <w:lang w:val="en-GB"/>
        </w:rPr>
        <w:t>piecewise hazard ratios for IDFS and DRFS (</w:t>
      </w:r>
      <w:r w:rsidR="00033206" w:rsidRPr="004B46B0">
        <w:rPr>
          <w:lang w:val="en-GB"/>
        </w:rPr>
        <w:fldChar w:fldCharType="begin"/>
      </w:r>
      <w:r w:rsidR="00033206" w:rsidRPr="004B46B0">
        <w:rPr>
          <w:lang w:val="en-GB"/>
        </w:rPr>
        <w:instrText xml:space="preserve"> REF _Ref130205373 \h  \* MERGEFORMAT </w:instrText>
      </w:r>
      <w:r w:rsidR="00033206" w:rsidRPr="004B46B0">
        <w:rPr>
          <w:lang w:val="en-GB"/>
        </w:rPr>
      </w:r>
      <w:r w:rsidR="00033206" w:rsidRPr="004B46B0">
        <w:rPr>
          <w:lang w:val="en-GB"/>
        </w:rPr>
        <w:fldChar w:fldCharType="separate"/>
      </w:r>
      <w:r w:rsidR="0001201E" w:rsidRPr="0001201E">
        <w:rPr>
          <w:lang w:val="en-GB"/>
        </w:rPr>
        <w:t>Table 6</w:t>
      </w:r>
      <w:r w:rsidR="00033206" w:rsidRPr="004B46B0">
        <w:rPr>
          <w:lang w:val="en-GB"/>
        </w:rPr>
        <w:fldChar w:fldCharType="end"/>
      </w:r>
      <w:r w:rsidR="00144511" w:rsidRPr="004B46B0">
        <w:rPr>
          <w:lang w:val="en-GB"/>
        </w:rPr>
        <w:t xml:space="preserve">) suggested </w:t>
      </w:r>
      <w:r w:rsidR="006E5793" w:rsidRPr="004B46B0">
        <w:rPr>
          <w:lang w:val="en-GB"/>
        </w:rPr>
        <w:t xml:space="preserve">that the magnitude of relative treatment effect </w:t>
      </w:r>
      <w:r w:rsidR="00195E6B" w:rsidRPr="004B46B0">
        <w:rPr>
          <w:lang w:val="en-GB"/>
        </w:rPr>
        <w:t>appears</w:t>
      </w:r>
      <w:r w:rsidR="006E5793" w:rsidRPr="004B46B0">
        <w:rPr>
          <w:lang w:val="en-GB"/>
        </w:rPr>
        <w:t xml:space="preserve"> to be maintained to approximately 4 years</w:t>
      </w:r>
      <w:r w:rsidR="00144511" w:rsidRPr="004B46B0">
        <w:rPr>
          <w:lang w:val="en-GB"/>
        </w:rPr>
        <w:t xml:space="preserve">, </w:t>
      </w:r>
      <w:r w:rsidR="00033206" w:rsidRPr="004B46B0">
        <w:t>however</w:t>
      </w:r>
      <w:r w:rsidR="007C2E81">
        <w:t>, agreed with</w:t>
      </w:r>
      <w:r w:rsidR="007C2E81" w:rsidRPr="005B52AB">
        <w:rPr>
          <w:lang w:val="en-GB"/>
        </w:rPr>
        <w:t xml:space="preserve"> ESC that using 4 years of data to predict the next 25 years of treatment effect is highly uncertain</w:t>
      </w:r>
      <w:r w:rsidR="000C1359">
        <w:rPr>
          <w:lang w:val="en-GB"/>
        </w:rPr>
        <w:t>.</w:t>
      </w:r>
      <w:r w:rsidR="007C2E81" w:rsidRPr="007C2E81">
        <w:rPr>
          <w:lang w:val="en-GB"/>
        </w:rPr>
        <w:t xml:space="preserve"> </w:t>
      </w:r>
      <w:r w:rsidR="00A60186">
        <w:rPr>
          <w:lang w:val="en-GB"/>
        </w:rPr>
        <w:t xml:space="preserve">The PBAC noted that the base case </w:t>
      </w:r>
      <w:r w:rsidR="00B81153">
        <w:rPr>
          <w:lang w:val="en-GB"/>
        </w:rPr>
        <w:t xml:space="preserve">scenario modelled an increase in OS of 1.332 years (undiscounted) and considered this optimistic, especially in the context </w:t>
      </w:r>
      <w:r w:rsidR="00505966">
        <w:rPr>
          <w:lang w:val="en-GB"/>
        </w:rPr>
        <w:t xml:space="preserve">of </w:t>
      </w:r>
      <w:r w:rsidR="00B81153">
        <w:rPr>
          <w:lang w:val="en-GB"/>
        </w:rPr>
        <w:t>a gain in OS</w:t>
      </w:r>
      <w:r w:rsidR="00A60186">
        <w:rPr>
          <w:lang w:val="en-GB"/>
        </w:rPr>
        <w:t xml:space="preserve"> </w:t>
      </w:r>
      <w:r w:rsidR="00B81153">
        <w:rPr>
          <w:lang w:val="en-GB"/>
        </w:rPr>
        <w:t xml:space="preserve">not being demonstrated in the </w:t>
      </w:r>
      <w:r w:rsidR="00505966">
        <w:rPr>
          <w:lang w:val="en-GB"/>
        </w:rPr>
        <w:t xml:space="preserve">clinical </w:t>
      </w:r>
      <w:r w:rsidR="00B81153">
        <w:rPr>
          <w:lang w:val="en-GB"/>
        </w:rPr>
        <w:t>trial.</w:t>
      </w:r>
      <w:r w:rsidR="00A60186">
        <w:rPr>
          <w:lang w:val="en-GB"/>
        </w:rPr>
        <w:t xml:space="preserve"> </w:t>
      </w:r>
      <w:r w:rsidR="007C2E81">
        <w:rPr>
          <w:lang w:val="en-GB"/>
        </w:rPr>
        <w:t xml:space="preserve">The </w:t>
      </w:r>
      <w:r w:rsidR="00144511">
        <w:rPr>
          <w:lang w:val="en-GB"/>
        </w:rPr>
        <w:t xml:space="preserve">PBAC </w:t>
      </w:r>
      <w:r w:rsidR="000C1359">
        <w:rPr>
          <w:lang w:val="en-GB"/>
        </w:rPr>
        <w:t>also</w:t>
      </w:r>
      <w:r w:rsidR="007C2E81">
        <w:rPr>
          <w:lang w:val="en-GB"/>
        </w:rPr>
        <w:t xml:space="preserve"> noted that</w:t>
      </w:r>
      <w:r w:rsidR="00144511">
        <w:rPr>
          <w:lang w:val="en-GB"/>
        </w:rPr>
        <w:t xml:space="preserve"> the PALLAS trial did not demonstrate an improvement in DFS with adjuvant </w:t>
      </w:r>
      <w:r w:rsidR="000C1359">
        <w:rPr>
          <w:lang w:val="en-GB"/>
        </w:rPr>
        <w:t xml:space="preserve">palbociclib (another CDK4/6 inhibitor which is considered comparable to abemaciclib in the treatment of metastatic </w:t>
      </w:r>
      <w:r w:rsidR="00033206">
        <w:rPr>
          <w:lang w:val="en-GB"/>
        </w:rPr>
        <w:t>breast cancer</w:t>
      </w:r>
      <w:r w:rsidR="000C1359">
        <w:rPr>
          <w:lang w:val="en-GB"/>
        </w:rPr>
        <w:t>),</w:t>
      </w:r>
      <w:r w:rsidR="007C2E81">
        <w:rPr>
          <w:lang w:val="en-GB"/>
        </w:rPr>
        <w:t xml:space="preserve"> </w:t>
      </w:r>
      <w:r w:rsidR="000C1359">
        <w:rPr>
          <w:lang w:val="en-GB"/>
        </w:rPr>
        <w:t xml:space="preserve">and </w:t>
      </w:r>
      <w:r w:rsidR="007C2E81">
        <w:rPr>
          <w:lang w:val="en-GB"/>
        </w:rPr>
        <w:t xml:space="preserve">although the applicability </w:t>
      </w:r>
      <w:r w:rsidR="000C1359">
        <w:rPr>
          <w:lang w:val="en-GB"/>
        </w:rPr>
        <w:t xml:space="preserve">of this trial </w:t>
      </w:r>
      <w:r w:rsidR="007C2E81">
        <w:rPr>
          <w:lang w:val="en-GB"/>
        </w:rPr>
        <w:t>to</w:t>
      </w:r>
      <w:r w:rsidR="00505966">
        <w:rPr>
          <w:lang w:val="en-GB"/>
        </w:rPr>
        <w:t xml:space="preserve"> the</w:t>
      </w:r>
      <w:r w:rsidR="007C2E81">
        <w:rPr>
          <w:lang w:val="en-GB"/>
        </w:rPr>
        <w:t xml:space="preserve"> proposed listing was unclear</w:t>
      </w:r>
      <w:r w:rsidR="000C1359">
        <w:rPr>
          <w:lang w:val="en-GB"/>
        </w:rPr>
        <w:t xml:space="preserve"> given it enrolled a lower risk patient population, it </w:t>
      </w:r>
      <w:r w:rsidR="00E128ED">
        <w:rPr>
          <w:lang w:val="en-GB"/>
        </w:rPr>
        <w:t xml:space="preserve">suggested </w:t>
      </w:r>
      <w:r w:rsidR="003A5869">
        <w:rPr>
          <w:lang w:val="en-GB"/>
        </w:rPr>
        <w:t>uncertainty with respect to</w:t>
      </w:r>
      <w:r w:rsidR="000C1359">
        <w:rPr>
          <w:lang w:val="en-GB"/>
        </w:rPr>
        <w:t xml:space="preserve"> </w:t>
      </w:r>
      <w:r w:rsidR="003A5869">
        <w:rPr>
          <w:lang w:val="en-GB"/>
        </w:rPr>
        <w:t>the</w:t>
      </w:r>
      <w:r w:rsidR="000C1359">
        <w:rPr>
          <w:lang w:val="en-GB"/>
        </w:rPr>
        <w:t xml:space="preserve"> </w:t>
      </w:r>
      <w:r w:rsidR="00C609EA">
        <w:rPr>
          <w:lang w:val="en-GB"/>
        </w:rPr>
        <w:t xml:space="preserve">magnitude of the </w:t>
      </w:r>
      <w:r w:rsidR="000C1359">
        <w:rPr>
          <w:lang w:val="en-GB"/>
        </w:rPr>
        <w:t xml:space="preserve">treatment benefit </w:t>
      </w:r>
      <w:r w:rsidR="003A5869">
        <w:rPr>
          <w:lang w:val="en-GB"/>
        </w:rPr>
        <w:t>of</w:t>
      </w:r>
      <w:r w:rsidR="000C1359">
        <w:rPr>
          <w:lang w:val="en-GB"/>
        </w:rPr>
        <w:t xml:space="preserve"> CDK4/6 inhibitors in the adjuvant setting.</w:t>
      </w:r>
      <w:r w:rsidR="00A60186">
        <w:rPr>
          <w:lang w:val="en-GB"/>
        </w:rPr>
        <w:t xml:space="preserve"> Overall, the PBAC agreed with ESC and considered </w:t>
      </w:r>
      <w:r w:rsidR="00A60186" w:rsidRPr="005B52AB">
        <w:rPr>
          <w:lang w:val="en-GB"/>
        </w:rPr>
        <w:t>waning</w:t>
      </w:r>
      <w:r w:rsidR="00B81153">
        <w:rPr>
          <w:lang w:val="en-GB"/>
        </w:rPr>
        <w:t xml:space="preserve"> of the treatment effect</w:t>
      </w:r>
      <w:r w:rsidR="00A60186" w:rsidRPr="005B52AB">
        <w:rPr>
          <w:lang w:val="en-GB"/>
        </w:rPr>
        <w:t xml:space="preserve"> from Year 4 to Year 7</w:t>
      </w:r>
      <w:r w:rsidR="00A60186">
        <w:rPr>
          <w:lang w:val="en-GB"/>
        </w:rPr>
        <w:t xml:space="preserve"> </w:t>
      </w:r>
      <w:r w:rsidR="00A60186" w:rsidRPr="005B52AB">
        <w:rPr>
          <w:lang w:val="en-GB"/>
        </w:rPr>
        <w:t>would be a more reasonable assumption</w:t>
      </w:r>
      <w:r w:rsidR="00A60186">
        <w:rPr>
          <w:lang w:val="en-GB"/>
        </w:rPr>
        <w:t>.</w:t>
      </w:r>
      <w:bookmarkEnd w:id="77"/>
    </w:p>
    <w:p w14:paraId="51101A29" w14:textId="474DFF1C" w:rsidR="00203EEA" w:rsidRDefault="00A60186" w:rsidP="00203EEA">
      <w:pPr>
        <w:pStyle w:val="3-BodyText"/>
      </w:pPr>
      <w:bookmarkStart w:id="78" w:name="_Ref130559629"/>
      <w:r>
        <w:rPr>
          <w:lang w:val="en-GB"/>
        </w:rPr>
        <w:t>The PBAC noted the starting age for</w:t>
      </w:r>
      <w:r w:rsidR="00C609EA">
        <w:rPr>
          <w:lang w:val="en-GB"/>
        </w:rPr>
        <w:t xml:space="preserve"> the</w:t>
      </w:r>
      <w:r>
        <w:rPr>
          <w:lang w:val="en-GB"/>
        </w:rPr>
        <w:t xml:space="preserve"> cohort in the </w:t>
      </w:r>
      <w:r>
        <w:t xml:space="preserve">pre-PBAC base case analysis was </w:t>
      </w:r>
      <w:r w:rsidRPr="00EC58C1">
        <w:t>52.2 years</w:t>
      </w:r>
      <w:r>
        <w:t xml:space="preserve"> based on the starting age of patients in the monarchE trial.</w:t>
      </w:r>
      <w:r w:rsidR="002E7124">
        <w:t xml:space="preserve"> </w:t>
      </w:r>
      <w:r w:rsidR="00C40EA9">
        <w:t xml:space="preserve">The pre-PBAC </w:t>
      </w:r>
      <w:r w:rsidR="007E295B">
        <w:t xml:space="preserve">response </w:t>
      </w:r>
      <w:r w:rsidR="00C40EA9">
        <w:t xml:space="preserve">stated that the </w:t>
      </w:r>
      <w:r w:rsidR="00203EEA">
        <w:t xml:space="preserve">mean </w:t>
      </w:r>
      <w:r w:rsidR="00C40EA9">
        <w:t>age of patients enrolled in the Australian patient familiarisation program was also similar (</w:t>
      </w:r>
      <w:r w:rsidR="0013119A" w:rsidRPr="0001201E">
        <w:rPr>
          <w:color w:val="000000"/>
          <w:w w:val="15"/>
          <w:shd w:val="solid" w:color="000000" w:fill="000000"/>
          <w:fitText w:val="-20" w:id="-1233470970"/>
          <w14:textFill>
            <w14:solidFill>
              <w14:srgbClr w14:val="000000">
                <w14:alpha w14:val="100000"/>
              </w14:srgbClr>
            </w14:solidFill>
          </w14:textFill>
        </w:rPr>
        <w:t xml:space="preserve">|  </w:t>
      </w:r>
      <w:r w:rsidR="0013119A" w:rsidRPr="0001201E">
        <w:rPr>
          <w:color w:val="000000"/>
          <w:spacing w:val="-69"/>
          <w:w w:val="15"/>
          <w:shd w:val="solid" w:color="000000" w:fill="000000"/>
          <w:fitText w:val="-20" w:id="-1233470970"/>
          <w14:textFill>
            <w14:solidFill>
              <w14:srgbClr w14:val="000000">
                <w14:alpha w14:val="100000"/>
              </w14:srgbClr>
            </w14:solidFill>
          </w14:textFill>
        </w:rPr>
        <w:t>|</w:t>
      </w:r>
      <w:r w:rsidR="008759DD" w:rsidRPr="008759DD">
        <w:t xml:space="preserve"> </w:t>
      </w:r>
      <w:r w:rsidR="00C40EA9" w:rsidRPr="00EC58C1">
        <w:t>years</w:t>
      </w:r>
      <w:r w:rsidR="00C40EA9">
        <w:t xml:space="preserve">) and considered </w:t>
      </w:r>
      <w:r w:rsidR="008E5659">
        <w:t xml:space="preserve">that </w:t>
      </w:r>
      <w:r w:rsidR="00C40EA9">
        <w:t>the older age reported for Australian EBC patients (</w:t>
      </w:r>
      <w:r w:rsidR="007F27D4">
        <w:t>61.4</w:t>
      </w:r>
      <w:r w:rsidR="00C40EA9">
        <w:t xml:space="preserve"> years, Ch</w:t>
      </w:r>
      <w:r w:rsidR="008E5659">
        <w:t>an et al 2021</w:t>
      </w:r>
      <w:r w:rsidR="0005551B">
        <w:rPr>
          <w:rStyle w:val="FootnoteReference"/>
        </w:rPr>
        <w:footnoteReference w:id="7"/>
      </w:r>
      <w:r w:rsidR="00C40EA9">
        <w:t xml:space="preserve">) </w:t>
      </w:r>
      <w:r w:rsidR="008E5659">
        <w:t>was due to the inclusion of all patients regardless of sub-type or risk profile.</w:t>
      </w:r>
      <w:r w:rsidR="00C40EA9">
        <w:t xml:space="preserve"> </w:t>
      </w:r>
      <w:r w:rsidR="008E5659">
        <w:t xml:space="preserve">The PBAC </w:t>
      </w:r>
      <w:r w:rsidR="00430757">
        <w:t xml:space="preserve">noted the </w:t>
      </w:r>
      <w:r w:rsidR="00203EEA">
        <w:t xml:space="preserve">mean </w:t>
      </w:r>
      <w:r w:rsidR="00430757">
        <w:t xml:space="preserve">age reported by Chan et al </w:t>
      </w:r>
      <w:r w:rsidR="00550140">
        <w:t xml:space="preserve">2021 </w:t>
      </w:r>
      <w:r w:rsidR="00430757">
        <w:t xml:space="preserve">was based on approximately 100,000 </w:t>
      </w:r>
      <w:r w:rsidR="00203EEA">
        <w:t xml:space="preserve">patients </w:t>
      </w:r>
      <w:r w:rsidR="00430757">
        <w:t>d</w:t>
      </w:r>
      <w:r w:rsidR="00430757" w:rsidRPr="00430757">
        <w:t>iagnosed with EBC from January 2002 to December 2016</w:t>
      </w:r>
      <w:r w:rsidR="00203EEA">
        <w:t xml:space="preserve"> and that it included patients </w:t>
      </w:r>
      <w:r w:rsidR="00203EEA">
        <w:lastRenderedPageBreak/>
        <w:t xml:space="preserve">with triple negative breast cancer who are approximately 10 years younger at diagnosis. The PBAC also noted no evidence or biological rationale was provided to support </w:t>
      </w:r>
      <w:r w:rsidR="00550140">
        <w:t xml:space="preserve">that </w:t>
      </w:r>
      <w:r w:rsidR="00203EEA">
        <w:t xml:space="preserve">high risk patients are on average younger. </w:t>
      </w:r>
      <w:r w:rsidR="00550140">
        <w:t>In addition, t</w:t>
      </w:r>
      <w:r w:rsidR="00203EEA">
        <w:t xml:space="preserve">he PBAC noted the sponsor’s analysis of Scottish Registry data reported a median age of diagnosis </w:t>
      </w:r>
      <w:r w:rsidR="00421FB7">
        <w:t>of</w:t>
      </w:r>
      <w:r w:rsidR="00203EEA">
        <w:t xml:space="preserve"> </w:t>
      </w:r>
      <w:r w:rsidR="00203EEA" w:rsidRPr="00EC58C1">
        <w:t>59 years</w:t>
      </w:r>
      <w:r w:rsidR="00421FB7" w:rsidRPr="00EC58C1">
        <w:t>. Overall, the PBAC considered the starting age for the modelled cohort should be approximately 60 years.</w:t>
      </w:r>
      <w:bookmarkEnd w:id="78"/>
    </w:p>
    <w:p w14:paraId="4CFE5E08" w14:textId="2960EE06" w:rsidR="002E7124" w:rsidRPr="00842866" w:rsidRDefault="00C6194F" w:rsidP="00842866">
      <w:pPr>
        <w:pStyle w:val="3-BodyText"/>
        <w:rPr>
          <w:iCs/>
        </w:rPr>
      </w:pPr>
      <w:r>
        <w:t>The PBAC noted the t</w:t>
      </w:r>
      <w:r w:rsidR="002E7124">
        <w:t>ime horizon</w:t>
      </w:r>
      <w:r w:rsidR="00421FB7" w:rsidRPr="00421FB7">
        <w:t xml:space="preserve"> </w:t>
      </w:r>
      <w:r>
        <w:t xml:space="preserve">for the pre-PBAC base case analysis was </w:t>
      </w:r>
      <w:r w:rsidR="00421FB7">
        <w:t>30 years</w:t>
      </w:r>
      <w:r>
        <w:t xml:space="preserve"> and</w:t>
      </w:r>
      <w:r w:rsidR="00421FB7">
        <w:t xml:space="preserve"> recalled it </w:t>
      </w:r>
      <w:r>
        <w:t xml:space="preserve">had </w:t>
      </w:r>
      <w:r w:rsidR="00421FB7">
        <w:t xml:space="preserve">previously advised that a 20-year time horizon </w:t>
      </w:r>
      <w:r w:rsidR="00421FB7" w:rsidRPr="00787A0B">
        <w:rPr>
          <w:szCs w:val="20"/>
        </w:rPr>
        <w:t>would be more reasonable (</w:t>
      </w:r>
      <w:r w:rsidR="00421FB7">
        <w:rPr>
          <w:szCs w:val="20"/>
        </w:rPr>
        <w:t>paragraph</w:t>
      </w:r>
      <w:r w:rsidR="00421FB7" w:rsidRPr="00787A0B">
        <w:rPr>
          <w:szCs w:val="20"/>
        </w:rPr>
        <w:t xml:space="preserve"> 7.11, Abemaciclib PSD, March 2022)</w:t>
      </w:r>
      <w:r>
        <w:rPr>
          <w:szCs w:val="20"/>
        </w:rPr>
        <w:t xml:space="preserve">. However, in the context of more conservative treatment waning (paragraph </w:t>
      </w:r>
      <w:r w:rsidR="00B15518">
        <w:rPr>
          <w:szCs w:val="20"/>
        </w:rPr>
        <w:fldChar w:fldCharType="begin"/>
      </w:r>
      <w:r w:rsidR="00B15518">
        <w:rPr>
          <w:szCs w:val="20"/>
        </w:rPr>
        <w:instrText xml:space="preserve"> REF _Ref130559609 \r \h </w:instrText>
      </w:r>
      <w:r w:rsidR="00B15518">
        <w:rPr>
          <w:szCs w:val="20"/>
        </w:rPr>
      </w:r>
      <w:r w:rsidR="00B15518">
        <w:rPr>
          <w:szCs w:val="20"/>
        </w:rPr>
        <w:fldChar w:fldCharType="separate"/>
      </w:r>
      <w:r w:rsidR="0001201E">
        <w:rPr>
          <w:szCs w:val="20"/>
        </w:rPr>
        <w:t>7.11</w:t>
      </w:r>
      <w:r w:rsidR="00B15518">
        <w:rPr>
          <w:szCs w:val="20"/>
        </w:rPr>
        <w:fldChar w:fldCharType="end"/>
      </w:r>
      <w:r>
        <w:rPr>
          <w:szCs w:val="20"/>
        </w:rPr>
        <w:t>)</w:t>
      </w:r>
      <w:r w:rsidR="00421FB7">
        <w:rPr>
          <w:szCs w:val="20"/>
        </w:rPr>
        <w:t xml:space="preserve"> and </w:t>
      </w:r>
      <w:r>
        <w:rPr>
          <w:szCs w:val="20"/>
        </w:rPr>
        <w:t>an older</w:t>
      </w:r>
      <w:r w:rsidR="00421FB7" w:rsidRPr="00FA0201">
        <w:rPr>
          <w:iCs/>
        </w:rPr>
        <w:t xml:space="preserve"> age at model entry </w:t>
      </w:r>
      <w:r>
        <w:rPr>
          <w:iCs/>
        </w:rPr>
        <w:t xml:space="preserve">(paragraph </w:t>
      </w:r>
      <w:r w:rsidR="00B15518">
        <w:rPr>
          <w:szCs w:val="20"/>
        </w:rPr>
        <w:fldChar w:fldCharType="begin"/>
      </w:r>
      <w:r w:rsidR="00B15518">
        <w:rPr>
          <w:szCs w:val="20"/>
        </w:rPr>
        <w:instrText xml:space="preserve"> REF _Ref130559629 \r \h </w:instrText>
      </w:r>
      <w:r w:rsidR="00B15518">
        <w:rPr>
          <w:szCs w:val="20"/>
        </w:rPr>
      </w:r>
      <w:r w:rsidR="00B15518">
        <w:rPr>
          <w:szCs w:val="20"/>
        </w:rPr>
        <w:fldChar w:fldCharType="separate"/>
      </w:r>
      <w:r w:rsidR="0001201E">
        <w:rPr>
          <w:szCs w:val="20"/>
        </w:rPr>
        <w:t>7.12</w:t>
      </w:r>
      <w:r w:rsidR="00B15518">
        <w:rPr>
          <w:szCs w:val="20"/>
        </w:rPr>
        <w:fldChar w:fldCharType="end"/>
      </w:r>
      <w:r>
        <w:rPr>
          <w:iCs/>
        </w:rPr>
        <w:t xml:space="preserve">), and </w:t>
      </w:r>
      <w:r w:rsidR="00550140">
        <w:rPr>
          <w:iCs/>
        </w:rPr>
        <w:t>given</w:t>
      </w:r>
      <w:r>
        <w:rPr>
          <w:iCs/>
        </w:rPr>
        <w:t xml:space="preserve"> the aim of treatment </w:t>
      </w:r>
      <w:r w:rsidR="00550140">
        <w:rPr>
          <w:iCs/>
        </w:rPr>
        <w:t>is</w:t>
      </w:r>
      <w:r>
        <w:rPr>
          <w:iCs/>
        </w:rPr>
        <w:t xml:space="preserve"> cure, the PBAC </w:t>
      </w:r>
      <w:r>
        <w:rPr>
          <w:szCs w:val="20"/>
        </w:rPr>
        <w:t xml:space="preserve">agreed with </w:t>
      </w:r>
      <w:r w:rsidR="00B15518">
        <w:rPr>
          <w:szCs w:val="20"/>
        </w:rPr>
        <w:t xml:space="preserve">the </w:t>
      </w:r>
      <w:r w:rsidRPr="00FA0201">
        <w:rPr>
          <w:iCs/>
        </w:rPr>
        <w:t>ESC that a 30</w:t>
      </w:r>
      <w:r>
        <w:rPr>
          <w:iCs/>
        </w:rPr>
        <w:t>-</w:t>
      </w:r>
      <w:r w:rsidRPr="00FA0201">
        <w:rPr>
          <w:iCs/>
        </w:rPr>
        <w:t xml:space="preserve">year time horizon </w:t>
      </w:r>
      <w:r>
        <w:rPr>
          <w:iCs/>
        </w:rPr>
        <w:t xml:space="preserve">would </w:t>
      </w:r>
      <w:r w:rsidRPr="00FA0201">
        <w:rPr>
          <w:iCs/>
        </w:rPr>
        <w:t xml:space="preserve">be </w:t>
      </w:r>
      <w:r>
        <w:rPr>
          <w:iCs/>
        </w:rPr>
        <w:t>reasonable</w:t>
      </w:r>
      <w:r w:rsidR="00421FB7">
        <w:rPr>
          <w:iCs/>
        </w:rPr>
        <w:t>.</w:t>
      </w:r>
      <w:r w:rsidR="00996FA8">
        <w:rPr>
          <w:iCs/>
        </w:rPr>
        <w:t xml:space="preserve"> The PBAC noted that with waning implemented over 4 to 7 years and a starting age of 61.4 years, the ICER for the pre-PBAC model increased from </w:t>
      </w:r>
      <w:r w:rsidR="00842866" w:rsidRPr="00842866">
        <w:rPr>
          <w:iCs/>
        </w:rPr>
        <w:t>$25,000 to &lt; $35,000</w:t>
      </w:r>
      <w:r w:rsidR="00842866">
        <w:rPr>
          <w:iCs/>
        </w:rPr>
        <w:t xml:space="preserve"> </w:t>
      </w:r>
      <w:r w:rsidR="00996FA8" w:rsidRPr="00842866">
        <w:rPr>
          <w:iCs/>
        </w:rPr>
        <w:t xml:space="preserve">to </w:t>
      </w:r>
      <w:r w:rsidR="00842866" w:rsidRPr="00842866">
        <w:rPr>
          <w:iCs/>
        </w:rPr>
        <w:t>$75,000 to &lt; $95,000</w:t>
      </w:r>
      <w:r w:rsidR="00447307">
        <w:t>/</w:t>
      </w:r>
      <w:r w:rsidR="00927EF8">
        <w:t xml:space="preserve"> </w:t>
      </w:r>
      <w:r w:rsidR="00447307">
        <w:t>QALY. The PBAC considered that an ICER of up to $30,000/QALY gained would account for the uncertainty regarding the modelled OS (paragraph</w:t>
      </w:r>
      <w:r w:rsidR="00A57317">
        <w:t xml:space="preserve"> </w:t>
      </w:r>
      <w:r w:rsidR="00A57317">
        <w:fldChar w:fldCharType="begin"/>
      </w:r>
      <w:r w:rsidR="00A57317">
        <w:instrText xml:space="preserve"> REF _Ref130559871 \r \h </w:instrText>
      </w:r>
      <w:r w:rsidR="00A57317">
        <w:fldChar w:fldCharType="separate"/>
      </w:r>
      <w:r w:rsidR="0001201E">
        <w:t>7.9</w:t>
      </w:r>
      <w:r w:rsidR="00A57317">
        <w:fldChar w:fldCharType="end"/>
      </w:r>
      <w:r w:rsidR="00447307">
        <w:t xml:space="preserve">). The PBAC noted that the cost-effectiveness of abemaciclib relied on a gain in OS and advised that if listed, the sponsor should provide </w:t>
      </w:r>
      <w:r w:rsidR="00B66C42">
        <w:t xml:space="preserve">the PBAC with </w:t>
      </w:r>
      <w:r w:rsidR="00020330">
        <w:t xml:space="preserve">the </w:t>
      </w:r>
      <w:r w:rsidR="00447307">
        <w:t xml:space="preserve">final overall survival results </w:t>
      </w:r>
      <w:r w:rsidR="00E128ED">
        <w:t xml:space="preserve">(or any further interim analyses) </w:t>
      </w:r>
      <w:r w:rsidR="00447307">
        <w:t xml:space="preserve">from the </w:t>
      </w:r>
      <w:r w:rsidR="00020330" w:rsidRPr="00842866">
        <w:rPr>
          <w:snapToGrid/>
          <w:lang w:val="en-US"/>
        </w:rPr>
        <w:t>monarchE</w:t>
      </w:r>
      <w:r w:rsidR="00020330">
        <w:t xml:space="preserve"> </w:t>
      </w:r>
      <w:r w:rsidR="00447307">
        <w:t xml:space="preserve">trial </w:t>
      </w:r>
      <w:r w:rsidR="00020330">
        <w:t xml:space="preserve">when </w:t>
      </w:r>
      <w:r w:rsidR="00447307">
        <w:t xml:space="preserve">available </w:t>
      </w:r>
      <w:r w:rsidR="00020330">
        <w:t>(</w:t>
      </w:r>
      <w:r w:rsidR="00B66C42" w:rsidRPr="00842866">
        <w:rPr>
          <w:rFonts w:eastAsia="Calibri"/>
          <w:iCs/>
        </w:rPr>
        <w:t xml:space="preserve">planned at </w:t>
      </w:r>
      <w:r w:rsidR="00DC0E3F" w:rsidRPr="0001201E">
        <w:rPr>
          <w:rFonts w:eastAsia="Calibri"/>
          <w:iCs/>
          <w:color w:val="000000"/>
          <w:w w:val="15"/>
          <w:shd w:val="solid" w:color="000000" w:fill="000000"/>
          <w:fitText w:val="-20" w:id="-1229263613"/>
          <w14:textFill>
            <w14:solidFill>
              <w14:srgbClr w14:val="000000">
                <w14:alpha w14:val="100000"/>
              </w14:srgbClr>
            </w14:solidFill>
          </w14:textFill>
        </w:rPr>
        <w:t xml:space="preserve">|  </w:t>
      </w:r>
      <w:r w:rsidR="00DC0E3F" w:rsidRPr="0001201E">
        <w:rPr>
          <w:rFonts w:eastAsia="Calibri"/>
          <w:iCs/>
          <w:color w:val="000000"/>
          <w:spacing w:val="-69"/>
          <w:w w:val="15"/>
          <w:shd w:val="solid" w:color="000000" w:fill="000000"/>
          <w:fitText w:val="-20" w:id="-1229263613"/>
          <w14:textFill>
            <w14:solidFill>
              <w14:srgbClr w14:val="000000">
                <w14:alpha w14:val="100000"/>
              </w14:srgbClr>
            </w14:solidFill>
          </w14:textFill>
        </w:rPr>
        <w:t>|</w:t>
      </w:r>
      <w:r w:rsidR="00B66C42" w:rsidRPr="00EC58C1">
        <w:rPr>
          <w:rFonts w:eastAsia="Calibri"/>
          <w:iCs/>
        </w:rPr>
        <w:t xml:space="preserve"> events,</w:t>
      </w:r>
      <w:r w:rsidR="00B66C42" w:rsidRPr="00842866">
        <w:rPr>
          <w:rFonts w:eastAsia="Calibri"/>
          <w:iCs/>
        </w:rPr>
        <w:t xml:space="preserve"> or 10 years)</w:t>
      </w:r>
      <w:r w:rsidR="00447307">
        <w:t>.</w:t>
      </w:r>
    </w:p>
    <w:p w14:paraId="4339B1C6" w14:textId="3A6AC029" w:rsidR="00934C65" w:rsidRPr="00934C65" w:rsidRDefault="003B740C" w:rsidP="00720BC6">
      <w:pPr>
        <w:pStyle w:val="3-BodyText"/>
      </w:pPr>
      <w:bookmarkStart w:id="79" w:name="_Ref130560512"/>
      <w:r>
        <w:t xml:space="preserve">The PBAC considered the financial estimates presented in the </w:t>
      </w:r>
      <w:r w:rsidR="008F5E59">
        <w:t>re</w:t>
      </w:r>
      <w:r>
        <w:t xml:space="preserve">submission </w:t>
      </w:r>
      <w:r w:rsidR="008F5E59">
        <w:t>remained</w:t>
      </w:r>
      <w:r>
        <w:t xml:space="preserve"> overestimated. The PBAC recalled the </w:t>
      </w:r>
      <w:r w:rsidR="00CB73BB">
        <w:t xml:space="preserve">issues </w:t>
      </w:r>
      <w:r>
        <w:t>raised by DUSC</w:t>
      </w:r>
      <w:r w:rsidR="00CB73BB">
        <w:t xml:space="preserve"> in relation to the March 2022 submission</w:t>
      </w:r>
      <w:r>
        <w:t xml:space="preserve"> and reiterated that the assumed</w:t>
      </w:r>
      <w:r>
        <w:rPr>
          <w:iCs/>
        </w:rPr>
        <w:t xml:space="preserve"> uptake and compliance rates</w:t>
      </w:r>
      <w:r w:rsidR="00CB73BB">
        <w:rPr>
          <w:iCs/>
        </w:rPr>
        <w:t>,</w:t>
      </w:r>
      <w:r>
        <w:rPr>
          <w:iCs/>
        </w:rPr>
        <w:t xml:space="preserve"> and duration of therapy </w:t>
      </w:r>
      <w:r w:rsidR="00CB73BB">
        <w:rPr>
          <w:iCs/>
        </w:rPr>
        <w:t>remained overestimated</w:t>
      </w:r>
      <w:r>
        <w:rPr>
          <w:iCs/>
        </w:rPr>
        <w:t>.</w:t>
      </w:r>
      <w:bookmarkEnd w:id="79"/>
      <w:r>
        <w:rPr>
          <w:iCs/>
        </w:rPr>
        <w:t xml:space="preserve"> </w:t>
      </w:r>
    </w:p>
    <w:p w14:paraId="3640A5E4" w14:textId="6A8ECA84" w:rsidR="00934C65" w:rsidRPr="00934C65" w:rsidRDefault="008F5E59" w:rsidP="00934C65">
      <w:pPr>
        <w:pStyle w:val="3-BodyText"/>
        <w:numPr>
          <w:ilvl w:val="0"/>
          <w:numId w:val="39"/>
        </w:numPr>
      </w:pPr>
      <w:r w:rsidRPr="003C59A5">
        <w:rPr>
          <w:iCs/>
        </w:rPr>
        <w:t>The PBAC considered that</w:t>
      </w:r>
      <w:r w:rsidR="003C59A5" w:rsidRPr="003C59A5">
        <w:rPr>
          <w:iCs/>
        </w:rPr>
        <w:t xml:space="preserve"> </w:t>
      </w:r>
      <w:r w:rsidR="00CB73BB">
        <w:rPr>
          <w:iCs/>
        </w:rPr>
        <w:t>the</w:t>
      </w:r>
      <w:r w:rsidR="00CB73BB" w:rsidRPr="003C59A5">
        <w:rPr>
          <w:iCs/>
        </w:rPr>
        <w:t xml:space="preserve"> </w:t>
      </w:r>
      <w:r w:rsidR="003C59A5" w:rsidRPr="003C59A5">
        <w:rPr>
          <w:iCs/>
        </w:rPr>
        <w:t>assum</w:t>
      </w:r>
      <w:r w:rsidR="00CB73BB">
        <w:rPr>
          <w:iCs/>
        </w:rPr>
        <w:t>ed maximum uptake</w:t>
      </w:r>
      <w:r w:rsidR="003C59A5" w:rsidRPr="003C59A5">
        <w:rPr>
          <w:iCs/>
        </w:rPr>
        <w:t xml:space="preserve"> </w:t>
      </w:r>
      <w:r w:rsidR="003C59A5" w:rsidRPr="00EC58C1">
        <w:rPr>
          <w:iCs/>
        </w:rPr>
        <w:t xml:space="preserve">of </w:t>
      </w:r>
      <w:r w:rsidR="0013119A" w:rsidRPr="0001201E">
        <w:rPr>
          <w:iCs/>
          <w:color w:val="000000"/>
          <w:w w:val="15"/>
          <w:shd w:val="solid" w:color="000000" w:fill="000000"/>
          <w:fitText w:val="-20" w:id="-1233470969"/>
          <w14:textFill>
            <w14:solidFill>
              <w14:srgbClr w14:val="000000">
                <w14:alpha w14:val="100000"/>
              </w14:srgbClr>
            </w14:solidFill>
          </w14:textFill>
        </w:rPr>
        <w:t xml:space="preserve">| </w:t>
      </w:r>
      <w:r w:rsidR="0013119A" w:rsidRPr="0001201E">
        <w:rPr>
          <w:iCs/>
          <w:color w:val="000000"/>
          <w:spacing w:val="-52"/>
          <w:w w:val="15"/>
          <w:shd w:val="solid" w:color="000000" w:fill="000000"/>
          <w:fitText w:val="-20" w:id="-1233470969"/>
          <w14:textFill>
            <w14:solidFill>
              <w14:srgbClr w14:val="000000">
                <w14:alpha w14:val="100000"/>
              </w14:srgbClr>
            </w14:solidFill>
          </w14:textFill>
        </w:rPr>
        <w:t xml:space="preserve"> </w:t>
      </w:r>
      <w:r w:rsidR="003C59A5" w:rsidRPr="00EC58C1">
        <w:rPr>
          <w:iCs/>
        </w:rPr>
        <w:t>%</w:t>
      </w:r>
      <w:r w:rsidR="003C59A5" w:rsidRPr="003C59A5">
        <w:rPr>
          <w:iCs/>
        </w:rPr>
        <w:t xml:space="preserve"> </w:t>
      </w:r>
      <w:r w:rsidR="00CB73BB">
        <w:rPr>
          <w:iCs/>
        </w:rPr>
        <w:t>was too high</w:t>
      </w:r>
      <w:r w:rsidR="008420E2">
        <w:rPr>
          <w:iCs/>
        </w:rPr>
        <w:t>, and although this was consistent with the assumption for the November 2019 TDM1 financial estimates, uptake</w:t>
      </w:r>
      <w:r w:rsidR="00CB73BB">
        <w:rPr>
          <w:iCs/>
        </w:rPr>
        <w:t xml:space="preserve"> would be expected to be </w:t>
      </w:r>
      <w:r w:rsidR="008420E2">
        <w:rPr>
          <w:iCs/>
        </w:rPr>
        <w:t>higher</w:t>
      </w:r>
      <w:r w:rsidR="00CB73BB">
        <w:rPr>
          <w:iCs/>
        </w:rPr>
        <w:t xml:space="preserve"> for </w:t>
      </w:r>
      <w:r w:rsidR="008420E2">
        <w:rPr>
          <w:iCs/>
        </w:rPr>
        <w:t xml:space="preserve">TDM1 as all patients had received prior chemotherapy. The PBAC recalled that DUSC had suggested a maximum uptake rate of </w:t>
      </w:r>
      <w:r w:rsidR="0013119A" w:rsidRPr="0001201E">
        <w:rPr>
          <w:iCs/>
          <w:color w:val="000000"/>
          <w:w w:val="15"/>
          <w:shd w:val="solid" w:color="000000" w:fill="000000"/>
          <w:fitText w:val="-20" w:id="-1233470968"/>
          <w14:textFill>
            <w14:solidFill>
              <w14:srgbClr w14:val="000000">
                <w14:alpha w14:val="100000"/>
              </w14:srgbClr>
            </w14:solidFill>
          </w14:textFill>
        </w:rPr>
        <w:t xml:space="preserve">|  </w:t>
      </w:r>
      <w:r w:rsidR="0013119A" w:rsidRPr="0001201E">
        <w:rPr>
          <w:iCs/>
          <w:color w:val="000000"/>
          <w:spacing w:val="-69"/>
          <w:w w:val="15"/>
          <w:shd w:val="solid" w:color="000000" w:fill="000000"/>
          <w:fitText w:val="-20" w:id="-1233470968"/>
          <w14:textFill>
            <w14:solidFill>
              <w14:srgbClr w14:val="000000">
                <w14:alpha w14:val="100000"/>
              </w14:srgbClr>
            </w14:solidFill>
          </w14:textFill>
        </w:rPr>
        <w:t>|</w:t>
      </w:r>
      <w:r w:rsidR="008420E2" w:rsidRPr="00EC58C1">
        <w:rPr>
          <w:iCs/>
        </w:rPr>
        <w:t>%</w:t>
      </w:r>
      <w:r w:rsidR="008420E2">
        <w:rPr>
          <w:iCs/>
        </w:rPr>
        <w:t xml:space="preserve"> would be more appropriate however</w:t>
      </w:r>
      <w:r w:rsidR="00934C65">
        <w:rPr>
          <w:iCs/>
        </w:rPr>
        <w:t>,</w:t>
      </w:r>
      <w:r w:rsidR="008420E2">
        <w:rPr>
          <w:iCs/>
        </w:rPr>
        <w:t xml:space="preserve"> noting the</w:t>
      </w:r>
      <w:r w:rsidR="000D4008">
        <w:rPr>
          <w:iCs/>
        </w:rPr>
        <w:t xml:space="preserve"> stated</w:t>
      </w:r>
      <w:r w:rsidR="008420E2">
        <w:rPr>
          <w:iCs/>
        </w:rPr>
        <w:t xml:space="preserve"> rapid uptake of abemaciclib in the Australian patient familiarisation program, the PBAC considered</w:t>
      </w:r>
      <w:r w:rsidR="003C59A5" w:rsidRPr="003C59A5">
        <w:rPr>
          <w:iCs/>
        </w:rPr>
        <w:t xml:space="preserve"> that</w:t>
      </w:r>
      <w:r w:rsidRPr="003C59A5">
        <w:rPr>
          <w:iCs/>
        </w:rPr>
        <w:t xml:space="preserve"> </w:t>
      </w:r>
      <w:r w:rsidR="003C59A5" w:rsidRPr="003C59A5">
        <w:rPr>
          <w:iCs/>
        </w:rPr>
        <w:t>a</w:t>
      </w:r>
      <w:r w:rsidR="00142ED1">
        <w:rPr>
          <w:iCs/>
        </w:rPr>
        <w:t xml:space="preserve"> maximum </w:t>
      </w:r>
      <w:r w:rsidR="003C59A5" w:rsidRPr="003C59A5">
        <w:rPr>
          <w:iCs/>
        </w:rPr>
        <w:t xml:space="preserve">uptake rate of </w:t>
      </w:r>
      <w:r w:rsidR="0013119A" w:rsidRPr="0001201E">
        <w:rPr>
          <w:iCs/>
          <w:color w:val="000000"/>
          <w:w w:val="15"/>
          <w:shd w:val="solid" w:color="000000" w:fill="000000"/>
          <w:fitText w:val="-20" w:id="-1233470967"/>
          <w14:textFill>
            <w14:solidFill>
              <w14:srgbClr w14:val="000000">
                <w14:alpha w14:val="100000"/>
              </w14:srgbClr>
            </w14:solidFill>
          </w14:textFill>
        </w:rPr>
        <w:t xml:space="preserve">|  </w:t>
      </w:r>
      <w:r w:rsidR="0013119A" w:rsidRPr="0001201E">
        <w:rPr>
          <w:iCs/>
          <w:color w:val="000000"/>
          <w:spacing w:val="-69"/>
          <w:w w:val="15"/>
          <w:shd w:val="solid" w:color="000000" w:fill="000000"/>
          <w:fitText w:val="-20" w:id="-1233470967"/>
          <w14:textFill>
            <w14:solidFill>
              <w14:srgbClr w14:val="000000">
                <w14:alpha w14:val="100000"/>
              </w14:srgbClr>
            </w14:solidFill>
          </w14:textFill>
        </w:rPr>
        <w:t>|</w:t>
      </w:r>
      <w:r w:rsidR="003C59A5" w:rsidRPr="00EC58C1">
        <w:rPr>
          <w:iCs/>
        </w:rPr>
        <w:t>%</w:t>
      </w:r>
      <w:r w:rsidR="003C59A5" w:rsidRPr="003C59A5">
        <w:rPr>
          <w:iCs/>
        </w:rPr>
        <w:t xml:space="preserve"> </w:t>
      </w:r>
      <w:r w:rsidR="008420E2">
        <w:rPr>
          <w:iCs/>
        </w:rPr>
        <w:t xml:space="preserve">would be </w:t>
      </w:r>
      <w:r w:rsidR="003C59A5" w:rsidRPr="003C59A5">
        <w:rPr>
          <w:iCs/>
        </w:rPr>
        <w:t xml:space="preserve">reasonable. </w:t>
      </w:r>
    </w:p>
    <w:p w14:paraId="3CA08FC1" w14:textId="297D1F8A" w:rsidR="00880107" w:rsidRPr="00880107" w:rsidRDefault="003C59A5" w:rsidP="00934C65">
      <w:pPr>
        <w:pStyle w:val="3-BodyText"/>
        <w:numPr>
          <w:ilvl w:val="0"/>
          <w:numId w:val="39"/>
        </w:numPr>
      </w:pPr>
      <w:r w:rsidRPr="00720BC6">
        <w:rPr>
          <w:iCs/>
        </w:rPr>
        <w:t>The PBAC considered that the</w:t>
      </w:r>
      <w:r w:rsidR="00934C65">
        <w:rPr>
          <w:iCs/>
        </w:rPr>
        <w:t xml:space="preserve"> assumed</w:t>
      </w:r>
      <w:r w:rsidR="00142ED1">
        <w:rPr>
          <w:iCs/>
        </w:rPr>
        <w:t xml:space="preserve"> </w:t>
      </w:r>
      <w:r w:rsidRPr="00720BC6">
        <w:rPr>
          <w:iCs/>
        </w:rPr>
        <w:t>treatment</w:t>
      </w:r>
      <w:r w:rsidR="00142ED1">
        <w:rPr>
          <w:iCs/>
        </w:rPr>
        <w:t xml:space="preserve"> duration</w:t>
      </w:r>
      <w:r w:rsidR="0062314B">
        <w:rPr>
          <w:iCs/>
        </w:rPr>
        <w:t xml:space="preserve"> </w:t>
      </w:r>
      <w:r w:rsidR="00934C65">
        <w:rPr>
          <w:iCs/>
        </w:rPr>
        <w:t xml:space="preserve">of 24 months was too long. The PBAC considered </w:t>
      </w:r>
      <w:r w:rsidR="0062314B">
        <w:rPr>
          <w:iCs/>
        </w:rPr>
        <w:t>abemaciclib use in clinical practice</w:t>
      </w:r>
      <w:r w:rsidRPr="00720BC6">
        <w:rPr>
          <w:iCs/>
        </w:rPr>
        <w:t xml:space="preserve"> is likely to </w:t>
      </w:r>
      <w:r w:rsidR="0062314B">
        <w:rPr>
          <w:iCs/>
        </w:rPr>
        <w:t>be less than</w:t>
      </w:r>
      <w:r w:rsidR="0062314B" w:rsidRPr="00720BC6">
        <w:rPr>
          <w:iCs/>
        </w:rPr>
        <w:t xml:space="preserve"> </w:t>
      </w:r>
      <w:r w:rsidRPr="00720BC6">
        <w:rPr>
          <w:iCs/>
        </w:rPr>
        <w:t xml:space="preserve">the mean treatment </w:t>
      </w:r>
      <w:r w:rsidRPr="00EC58C1">
        <w:rPr>
          <w:iCs/>
        </w:rPr>
        <w:t>duration reported in the monarchE trial</w:t>
      </w:r>
      <w:r w:rsidR="0062314B" w:rsidRPr="00EC58C1">
        <w:rPr>
          <w:iCs/>
        </w:rPr>
        <w:t xml:space="preserve"> (</w:t>
      </w:r>
      <w:r w:rsidR="00934C65" w:rsidRPr="00EC58C1">
        <w:rPr>
          <w:iCs/>
        </w:rPr>
        <w:t>82.7 weeks, 20.7 months</w:t>
      </w:r>
      <w:r w:rsidR="0062314B" w:rsidRPr="00EC58C1">
        <w:rPr>
          <w:iCs/>
        </w:rPr>
        <w:t>)</w:t>
      </w:r>
      <w:r w:rsidR="00934C65" w:rsidRPr="00EC58C1" w:rsidDel="00934C65">
        <w:rPr>
          <w:iCs/>
        </w:rPr>
        <w:t xml:space="preserve"> </w:t>
      </w:r>
      <w:r w:rsidR="00720BC6" w:rsidRPr="00EC58C1">
        <w:rPr>
          <w:iCs/>
        </w:rPr>
        <w:t>due to the toxicity associated with abemaciclib</w:t>
      </w:r>
      <w:r w:rsidR="00934C65" w:rsidRPr="00EC58C1">
        <w:rPr>
          <w:iCs/>
        </w:rPr>
        <w:t xml:space="preserve"> and the</w:t>
      </w:r>
      <w:r w:rsidR="00934C65">
        <w:rPr>
          <w:iCs/>
        </w:rPr>
        <w:t xml:space="preserve"> </w:t>
      </w:r>
      <w:r w:rsidR="000D4008">
        <w:rPr>
          <w:iCs/>
        </w:rPr>
        <w:t xml:space="preserve">likely </w:t>
      </w:r>
      <w:r w:rsidR="00934C65">
        <w:rPr>
          <w:iCs/>
        </w:rPr>
        <w:t>older cohort treated through the PBS.</w:t>
      </w:r>
      <w:r w:rsidR="00720BC6" w:rsidRPr="00720BC6">
        <w:rPr>
          <w:iCs/>
        </w:rPr>
        <w:t xml:space="preserve"> </w:t>
      </w:r>
      <w:r w:rsidR="00880107">
        <w:rPr>
          <w:iCs/>
        </w:rPr>
        <w:t xml:space="preserve">The PBAC considered </w:t>
      </w:r>
      <w:r w:rsidR="00720BC6" w:rsidRPr="00720BC6">
        <w:rPr>
          <w:iCs/>
        </w:rPr>
        <w:t xml:space="preserve">that </w:t>
      </w:r>
      <w:r w:rsidRPr="00720BC6">
        <w:rPr>
          <w:iCs/>
        </w:rPr>
        <w:t xml:space="preserve">a mean treatment duration of 18 months was </w:t>
      </w:r>
      <w:r w:rsidR="00720BC6" w:rsidRPr="00720BC6">
        <w:rPr>
          <w:iCs/>
        </w:rPr>
        <w:t xml:space="preserve">a more </w:t>
      </w:r>
      <w:r w:rsidRPr="00720BC6">
        <w:rPr>
          <w:iCs/>
        </w:rPr>
        <w:t>reasonable</w:t>
      </w:r>
      <w:r w:rsidR="00720BC6" w:rsidRPr="00720BC6">
        <w:rPr>
          <w:iCs/>
        </w:rPr>
        <w:t xml:space="preserve"> estimate</w:t>
      </w:r>
      <w:r w:rsidRPr="00720BC6">
        <w:rPr>
          <w:iCs/>
        </w:rPr>
        <w:t xml:space="preserve">. </w:t>
      </w:r>
    </w:p>
    <w:p w14:paraId="2962AEF8" w14:textId="6342ED81" w:rsidR="003B740C" w:rsidRPr="003B740C" w:rsidRDefault="00880107" w:rsidP="00934C65">
      <w:pPr>
        <w:pStyle w:val="3-BodyText"/>
        <w:numPr>
          <w:ilvl w:val="0"/>
          <w:numId w:val="39"/>
        </w:numPr>
      </w:pPr>
      <w:r>
        <w:rPr>
          <w:iCs/>
        </w:rPr>
        <w:t>The PBAC considered that the assumed compliance of 100% was too high. T</w:t>
      </w:r>
      <w:r w:rsidR="00720BC6" w:rsidRPr="00720BC6">
        <w:rPr>
          <w:iCs/>
        </w:rPr>
        <w:t>he</w:t>
      </w:r>
      <w:r w:rsidR="003B740C" w:rsidRPr="00720BC6">
        <w:rPr>
          <w:iCs/>
        </w:rPr>
        <w:t xml:space="preserve"> PBAC noted that compliance with </w:t>
      </w:r>
      <w:r w:rsidR="008F5E59" w:rsidRPr="00720BC6">
        <w:rPr>
          <w:iCs/>
        </w:rPr>
        <w:t>hormonal therapy</w:t>
      </w:r>
      <w:r w:rsidR="00732D59" w:rsidRPr="00720BC6">
        <w:rPr>
          <w:iCs/>
        </w:rPr>
        <w:t xml:space="preserve"> </w:t>
      </w:r>
      <w:r w:rsidR="00576766">
        <w:rPr>
          <w:iCs/>
        </w:rPr>
        <w:t xml:space="preserve">alone </w:t>
      </w:r>
      <w:r w:rsidR="00732D59" w:rsidRPr="00720BC6">
        <w:rPr>
          <w:iCs/>
        </w:rPr>
        <w:t xml:space="preserve">is approximately </w:t>
      </w:r>
      <w:r w:rsidR="00732D59" w:rsidRPr="00720BC6">
        <w:rPr>
          <w:iCs/>
        </w:rPr>
        <w:lastRenderedPageBreak/>
        <w:t xml:space="preserve">84% at </w:t>
      </w:r>
      <w:r w:rsidR="008F5E59" w:rsidRPr="00720BC6">
        <w:rPr>
          <w:iCs/>
        </w:rPr>
        <w:t>Y</w:t>
      </w:r>
      <w:r w:rsidR="00732D59" w:rsidRPr="00720BC6">
        <w:rPr>
          <w:iCs/>
        </w:rPr>
        <w:t>ear 1</w:t>
      </w:r>
      <w:r w:rsidR="008F5E59">
        <w:rPr>
          <w:rStyle w:val="FootnoteReference"/>
          <w:iCs/>
        </w:rPr>
        <w:footnoteReference w:id="8"/>
      </w:r>
      <w:r w:rsidR="003B740C" w:rsidRPr="00720BC6">
        <w:rPr>
          <w:iCs/>
        </w:rPr>
        <w:t xml:space="preserve"> and </w:t>
      </w:r>
      <w:r w:rsidR="00576766">
        <w:rPr>
          <w:iCs/>
        </w:rPr>
        <w:t>therefore considered</w:t>
      </w:r>
      <w:r w:rsidR="003B740C" w:rsidRPr="00720BC6">
        <w:rPr>
          <w:iCs/>
        </w:rPr>
        <w:t xml:space="preserve"> 100% compliance </w:t>
      </w:r>
      <w:r w:rsidR="00576766">
        <w:rPr>
          <w:iCs/>
        </w:rPr>
        <w:t>with abemaciclib</w:t>
      </w:r>
      <w:r w:rsidR="003B740C" w:rsidRPr="00720BC6">
        <w:rPr>
          <w:iCs/>
        </w:rPr>
        <w:t xml:space="preserve"> </w:t>
      </w:r>
      <w:r>
        <w:rPr>
          <w:iCs/>
        </w:rPr>
        <w:t xml:space="preserve">given its </w:t>
      </w:r>
      <w:r w:rsidRPr="00720BC6">
        <w:rPr>
          <w:iCs/>
        </w:rPr>
        <w:t>increased toxicity</w:t>
      </w:r>
      <w:r>
        <w:rPr>
          <w:iCs/>
        </w:rPr>
        <w:t xml:space="preserve"> was </w:t>
      </w:r>
      <w:r w:rsidR="00576766">
        <w:rPr>
          <w:iCs/>
        </w:rPr>
        <w:t>not plausible</w:t>
      </w:r>
      <w:r w:rsidR="003B740C" w:rsidRPr="00720BC6">
        <w:rPr>
          <w:iCs/>
        </w:rPr>
        <w:t>.</w:t>
      </w:r>
      <w:r w:rsidR="003B740C">
        <w:t xml:space="preserve"> </w:t>
      </w:r>
      <w:r>
        <w:t xml:space="preserve">The PBAC considered </w:t>
      </w:r>
      <w:r w:rsidR="000D4008">
        <w:t xml:space="preserve">that </w:t>
      </w:r>
      <w:r>
        <w:t xml:space="preserve">the </w:t>
      </w:r>
      <w:r w:rsidR="000D4008">
        <w:t xml:space="preserve">assumed </w:t>
      </w:r>
      <w:r>
        <w:t>compliance with abemaciclib should be less than</w:t>
      </w:r>
      <w:r w:rsidR="000D4008">
        <w:t xml:space="preserve"> reported</w:t>
      </w:r>
      <w:r>
        <w:t xml:space="preserve"> for hormonal therapy.</w:t>
      </w:r>
    </w:p>
    <w:p w14:paraId="43E1CE30" w14:textId="169CC3AA" w:rsidR="00800262" w:rsidRPr="003B740C" w:rsidRDefault="003B740C" w:rsidP="003B740C">
      <w:pPr>
        <w:pStyle w:val="3-BodyText"/>
      </w:pPr>
      <w:r>
        <w:rPr>
          <w:iCs/>
        </w:rPr>
        <w:t xml:space="preserve">The PBAC noted there was risk </w:t>
      </w:r>
      <w:r w:rsidR="000F7339">
        <w:rPr>
          <w:iCs/>
        </w:rPr>
        <w:t>of</w:t>
      </w:r>
      <w:r>
        <w:rPr>
          <w:iCs/>
        </w:rPr>
        <w:t xml:space="preserve"> use outside the proposed restriction to patients with lower risk of recurrence than seen in the </w:t>
      </w:r>
      <w:r>
        <w:t>monarchE trial</w:t>
      </w:r>
      <w:r w:rsidR="00720BC6">
        <w:t xml:space="preserve">, </w:t>
      </w:r>
      <w:r w:rsidR="00720BC6">
        <w:rPr>
          <w:iCs/>
        </w:rPr>
        <w:t xml:space="preserve">especially among a younger patient population that exhibit some but not all of the proposed clinical criteria that define high risk of recurrence. </w:t>
      </w:r>
      <w:r w:rsidR="00720BC6">
        <w:t xml:space="preserve">Therefore, the PBAC considered that a risk sharing arrangement (RSA) </w:t>
      </w:r>
      <w:r w:rsidR="00502DEC">
        <w:t xml:space="preserve">with financial caps based on revised estimates as outlined in paragraph </w:t>
      </w:r>
      <w:r w:rsidR="0069733E">
        <w:fldChar w:fldCharType="begin"/>
      </w:r>
      <w:r w:rsidR="0069733E">
        <w:instrText xml:space="preserve"> REF _Ref130560512 \r \h </w:instrText>
      </w:r>
      <w:r w:rsidR="0069733E">
        <w:fldChar w:fldCharType="separate"/>
      </w:r>
      <w:r w:rsidR="0001201E">
        <w:t>7.14</w:t>
      </w:r>
      <w:r w:rsidR="0069733E">
        <w:fldChar w:fldCharType="end"/>
      </w:r>
      <w:r w:rsidR="00502DEC">
        <w:t xml:space="preserve"> </w:t>
      </w:r>
      <w:r w:rsidR="00720BC6">
        <w:t xml:space="preserve">would be required to manage the risk of utilisation </w:t>
      </w:r>
      <w:r w:rsidR="00502DEC">
        <w:t>in patients with a lower risk of recurrence where use would be less cost-effective</w:t>
      </w:r>
      <w:r w:rsidR="00720BC6">
        <w:t>.</w:t>
      </w:r>
      <w:r w:rsidR="000E7FD5">
        <w:t xml:space="preserve"> The PBAC considered</w:t>
      </w:r>
      <w:r w:rsidR="000E7FD5" w:rsidRPr="000E7FD5">
        <w:rPr>
          <w:lang w:val="en-GB"/>
        </w:rPr>
        <w:t xml:space="preserve"> </w:t>
      </w:r>
      <w:r w:rsidR="000E7FD5">
        <w:rPr>
          <w:lang w:val="en-GB"/>
        </w:rPr>
        <w:t>a rebate</w:t>
      </w:r>
      <w:r w:rsidR="001F5C3E">
        <w:rPr>
          <w:lang w:val="en-GB"/>
        </w:rPr>
        <w:t xml:space="preserve"> of </w:t>
      </w:r>
      <w:r w:rsidR="001F5C3E" w:rsidRPr="00EC58C1">
        <w:rPr>
          <w:lang w:val="en-GB"/>
        </w:rPr>
        <w:t>80%</w:t>
      </w:r>
      <w:r w:rsidR="000E7FD5">
        <w:rPr>
          <w:lang w:val="en-GB"/>
        </w:rPr>
        <w:t xml:space="preserve"> for use </w:t>
      </w:r>
      <w:r w:rsidR="001F5C3E">
        <w:rPr>
          <w:lang w:val="en-GB"/>
        </w:rPr>
        <w:t xml:space="preserve">exceeding </w:t>
      </w:r>
      <w:r w:rsidR="000E7FD5">
        <w:rPr>
          <w:lang w:val="en-GB"/>
        </w:rPr>
        <w:t>the</w:t>
      </w:r>
      <w:r w:rsidR="001F5C3E">
        <w:rPr>
          <w:lang w:val="en-GB"/>
        </w:rPr>
        <w:t xml:space="preserve"> financial</w:t>
      </w:r>
      <w:r w:rsidR="000E7FD5">
        <w:rPr>
          <w:lang w:val="en-GB"/>
        </w:rPr>
        <w:t xml:space="preserve"> caps would </w:t>
      </w:r>
      <w:r w:rsidR="001F5C3E">
        <w:rPr>
          <w:lang w:val="en-GB"/>
        </w:rPr>
        <w:t>be</w:t>
      </w:r>
      <w:r w:rsidR="000E7FD5">
        <w:rPr>
          <w:lang w:val="en-GB"/>
        </w:rPr>
        <w:t xml:space="preserve"> </w:t>
      </w:r>
      <w:r w:rsidR="001F5C3E">
        <w:rPr>
          <w:lang w:val="en-GB"/>
        </w:rPr>
        <w:t>appropriate</w:t>
      </w:r>
      <w:r w:rsidR="000E7FD5">
        <w:rPr>
          <w:lang w:val="en-GB"/>
        </w:rPr>
        <w:t xml:space="preserve"> noting that the cost effectiveness of such use would be unknown.</w:t>
      </w:r>
    </w:p>
    <w:p w14:paraId="5F560E9B" w14:textId="0C01B1CC" w:rsidR="007312D6" w:rsidRPr="00D121C5" w:rsidRDefault="007312D6" w:rsidP="00C344CE">
      <w:pPr>
        <w:pStyle w:val="3-BodyText"/>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were not met. Specifically the PBAC found that in the circumstances of its recommendation for </w:t>
      </w:r>
      <w:r w:rsidR="00C344CE">
        <w:rPr>
          <w:lang w:val="en-GB"/>
        </w:rPr>
        <w:t>abemaciclib</w:t>
      </w:r>
      <w:r w:rsidRPr="00D121C5">
        <w:rPr>
          <w:lang w:val="en-GB"/>
        </w:rPr>
        <w:t>:</w:t>
      </w:r>
    </w:p>
    <w:p w14:paraId="40588EB5" w14:textId="2C834E0D" w:rsidR="00C344CE" w:rsidRDefault="00C344CE" w:rsidP="009E0183">
      <w:pPr>
        <w:widowControl w:val="0"/>
        <w:numPr>
          <w:ilvl w:val="1"/>
          <w:numId w:val="30"/>
        </w:numPr>
        <w:spacing w:after="120"/>
        <w:ind w:left="993"/>
        <w:rPr>
          <w:rFonts w:asciiTheme="minorHAnsi" w:hAnsiTheme="minorHAnsi" w:cstheme="minorHAnsi"/>
          <w:lang w:val="en-GB"/>
        </w:rPr>
      </w:pPr>
      <w:r>
        <w:rPr>
          <w:rFonts w:asciiTheme="minorHAnsi" w:hAnsiTheme="minorHAnsi" w:cstheme="minorHAnsi"/>
          <w:lang w:val="en-GB"/>
        </w:rPr>
        <w:t xml:space="preserve">The treatment is expected to provide a moderate improvement in efficacy over </w:t>
      </w:r>
      <w:r w:rsidR="00E06FC1">
        <w:rPr>
          <w:rFonts w:asciiTheme="minorHAnsi" w:hAnsiTheme="minorHAnsi" w:cstheme="minorHAnsi"/>
          <w:lang w:val="en-GB"/>
        </w:rPr>
        <w:t xml:space="preserve">the comparator (ET alone) </w:t>
      </w:r>
      <w:r>
        <w:rPr>
          <w:rFonts w:asciiTheme="minorHAnsi" w:hAnsiTheme="minorHAnsi" w:cstheme="minorHAnsi"/>
          <w:lang w:val="en-GB"/>
        </w:rPr>
        <w:t>on the basis of the clinical evidence considered at the March 2023 meeting;</w:t>
      </w:r>
    </w:p>
    <w:p w14:paraId="2B65336E" w14:textId="380EA5D8" w:rsidR="007312D6" w:rsidRPr="00763DFB" w:rsidRDefault="00C344CE" w:rsidP="009E0183">
      <w:pPr>
        <w:widowControl w:val="0"/>
        <w:numPr>
          <w:ilvl w:val="1"/>
          <w:numId w:val="30"/>
        </w:numPr>
        <w:spacing w:after="120"/>
        <w:ind w:left="993"/>
        <w:rPr>
          <w:rFonts w:asciiTheme="minorHAnsi" w:hAnsiTheme="minorHAnsi" w:cstheme="minorHAnsi"/>
          <w:lang w:val="en-GB"/>
        </w:rPr>
      </w:pPr>
      <w:r w:rsidRPr="00763DFB" w:rsidDel="00C344CE">
        <w:rPr>
          <w:rFonts w:asciiTheme="minorHAnsi" w:hAnsiTheme="minorHAnsi" w:cstheme="minorHAnsi"/>
          <w:lang w:val="en-GB"/>
        </w:rPr>
        <w:t xml:space="preserve"> </w:t>
      </w:r>
      <w:r w:rsidR="007312D6" w:rsidRPr="00763DFB">
        <w:rPr>
          <w:rFonts w:asciiTheme="minorHAnsi" w:hAnsiTheme="minorHAnsi" w:cstheme="minorHAnsi"/>
          <w:lang w:val="en-GB"/>
        </w:rPr>
        <w:t>The treatment is not expected to address a high and urgent unmet clinical need;</w:t>
      </w:r>
    </w:p>
    <w:p w14:paraId="2231FCD1" w14:textId="24FD14EE" w:rsidR="007312D6" w:rsidRPr="00763DFB" w:rsidRDefault="007312D6" w:rsidP="009E0183">
      <w:pPr>
        <w:widowControl w:val="0"/>
        <w:numPr>
          <w:ilvl w:val="1"/>
          <w:numId w:val="30"/>
        </w:numPr>
        <w:spacing w:after="120"/>
        <w:ind w:left="993"/>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C344CE">
        <w:rPr>
          <w:rFonts w:asciiTheme="minorHAnsi" w:hAnsiTheme="minorHAnsi" w:cstheme="minorHAnsi"/>
          <w:lang w:val="en-GB"/>
        </w:rPr>
        <w:t>.</w:t>
      </w:r>
    </w:p>
    <w:p w14:paraId="43F211D5" w14:textId="66DD3D9E" w:rsidR="00C344CE" w:rsidRPr="00C344CE" w:rsidRDefault="00C344CE" w:rsidP="00C344CE">
      <w:pPr>
        <w:pStyle w:val="3-BodyText"/>
        <w:rPr>
          <w:szCs w:val="22"/>
        </w:rPr>
      </w:pPr>
      <w:r>
        <w:t xml:space="preserve">The PBAC noted that this submission is not eligible for an Independent Review as it received a positive recommendation. </w:t>
      </w:r>
    </w:p>
    <w:p w14:paraId="61DB7255" w14:textId="398F27AE" w:rsidR="007312D6" w:rsidRPr="00525B39" w:rsidRDefault="007312D6" w:rsidP="007312D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792D47B" w14:textId="291EED64" w:rsidR="007312D6" w:rsidRPr="00DE2559" w:rsidRDefault="007312D6" w:rsidP="00DE2559">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74"/>
    <w:p w14:paraId="05712176" w14:textId="77777777" w:rsidR="007312D6" w:rsidRPr="00492D82" w:rsidRDefault="007312D6" w:rsidP="00492D82">
      <w:pPr>
        <w:pStyle w:val="2-SectionHeading"/>
        <w:numPr>
          <w:ilvl w:val="0"/>
          <w:numId w:val="1"/>
        </w:numPr>
      </w:pPr>
      <w:r w:rsidRPr="00492D82">
        <w:t>Recommended listing</w:t>
      </w:r>
    </w:p>
    <w:p w14:paraId="29386C18" w14:textId="197B145E" w:rsidR="00B87DAF" w:rsidRDefault="00BE1000" w:rsidP="00B87DAF">
      <w:r>
        <w:t>8.1</w:t>
      </w:r>
      <w:r>
        <w:tab/>
      </w:r>
      <w:r w:rsidR="00B87DAF">
        <w:t>Add indication as follows:</w:t>
      </w:r>
    </w:p>
    <w:p w14:paraId="21C92561" w14:textId="77777777" w:rsidR="009E3D59" w:rsidRPr="007154CE" w:rsidRDefault="009E3D59" w:rsidP="00B87DAF"/>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B87DAF" w:rsidRPr="007154CE" w14:paraId="789506B0" w14:textId="77777777" w:rsidTr="003F6EF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7497A4AA" w14:textId="77777777" w:rsidR="00B87DAF" w:rsidRPr="00492D82" w:rsidRDefault="00B87DAF" w:rsidP="003F6EFC">
            <w:pPr>
              <w:keepNext/>
              <w:rPr>
                <w:rFonts w:ascii="Arial Narrow" w:hAnsi="Arial Narrow"/>
                <w:b/>
                <w:sz w:val="20"/>
                <w:szCs w:val="20"/>
              </w:rPr>
            </w:pPr>
            <w:bookmarkStart w:id="80" w:name="_Hlk129959263"/>
            <w:r w:rsidRPr="00492D82">
              <w:rPr>
                <w:rFonts w:ascii="Arial Narrow" w:hAnsi="Arial Narrow"/>
                <w:b/>
                <w:sz w:val="20"/>
                <w:szCs w:val="20"/>
              </w:rPr>
              <w:lastRenderedPageBreak/>
              <w:t xml:space="preserve">Category / Program: </w:t>
            </w:r>
            <w:r w:rsidRPr="00492D82">
              <w:rPr>
                <w:rFonts w:ascii="Arial Narrow" w:hAnsi="Arial Narrow"/>
                <w:sz w:val="20"/>
                <w:szCs w:val="20"/>
              </w:rPr>
              <w:t xml:space="preserve">GENERAL – General Schedule (Code GE) </w:t>
            </w:r>
          </w:p>
        </w:tc>
      </w:tr>
      <w:tr w:rsidR="00B87DAF" w:rsidRPr="007154CE" w14:paraId="0F58D27D" w14:textId="77777777" w:rsidTr="003F6EFC">
        <w:trPr>
          <w:cantSplit/>
          <w:trHeight w:val="471"/>
        </w:trPr>
        <w:tc>
          <w:tcPr>
            <w:tcW w:w="2405" w:type="dxa"/>
            <w:gridSpan w:val="2"/>
            <w:shd w:val="clear" w:color="auto" w:fill="auto"/>
          </w:tcPr>
          <w:p w14:paraId="082E94BD" w14:textId="77777777" w:rsidR="00B87DAF" w:rsidRPr="00492D82" w:rsidRDefault="00B87DAF" w:rsidP="003F6EFC">
            <w:pPr>
              <w:keepNext/>
              <w:ind w:left="-57"/>
              <w:rPr>
                <w:rFonts w:ascii="Arial Narrow" w:hAnsi="Arial Narrow"/>
                <w:b/>
                <w:bCs/>
                <w:sz w:val="20"/>
                <w:szCs w:val="20"/>
              </w:rPr>
            </w:pPr>
            <w:r w:rsidRPr="00492D82">
              <w:rPr>
                <w:rFonts w:ascii="Arial Narrow" w:hAnsi="Arial Narrow"/>
                <w:b/>
                <w:bCs/>
                <w:sz w:val="20"/>
                <w:szCs w:val="20"/>
              </w:rPr>
              <w:t>MEDICINAL PRODUCT</w:t>
            </w:r>
          </w:p>
          <w:p w14:paraId="7E0CC171" w14:textId="77777777" w:rsidR="00B87DAF" w:rsidRPr="00492D82" w:rsidRDefault="00B87DAF" w:rsidP="003F6EF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4A660163" w14:textId="77777777" w:rsidR="00B87DAF" w:rsidRPr="00492D82" w:rsidRDefault="00B87DAF" w:rsidP="003F6EF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46501E30"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0AA2EE82"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27A4A740"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72B11AAA" w14:textId="77777777" w:rsidR="00B87DAF" w:rsidRPr="00492D82" w:rsidRDefault="00B87DAF" w:rsidP="003F6EFC">
            <w:pPr>
              <w:keepNext/>
              <w:rPr>
                <w:rFonts w:ascii="Arial Narrow" w:hAnsi="Arial Narrow"/>
                <w:b/>
                <w:sz w:val="20"/>
                <w:szCs w:val="20"/>
                <w:lang w:val="fr-FR"/>
              </w:rPr>
            </w:pPr>
            <w:r w:rsidRPr="00492D82">
              <w:rPr>
                <w:rFonts w:ascii="Arial Narrow" w:hAnsi="Arial Narrow"/>
                <w:b/>
                <w:sz w:val="20"/>
                <w:szCs w:val="20"/>
              </w:rPr>
              <w:t>Available brands</w:t>
            </w:r>
          </w:p>
        </w:tc>
      </w:tr>
      <w:tr w:rsidR="00B87DAF" w:rsidRPr="007154CE" w14:paraId="6DE2AC11" w14:textId="77777777" w:rsidTr="003F6EFC">
        <w:trPr>
          <w:cantSplit/>
          <w:trHeight w:val="224"/>
        </w:trPr>
        <w:tc>
          <w:tcPr>
            <w:tcW w:w="9067" w:type="dxa"/>
            <w:gridSpan w:val="7"/>
            <w:shd w:val="clear" w:color="auto" w:fill="auto"/>
          </w:tcPr>
          <w:p w14:paraId="5D8FBA15"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ABEMACICLIB </w:t>
            </w:r>
          </w:p>
        </w:tc>
      </w:tr>
      <w:tr w:rsidR="00B87DAF" w:rsidRPr="007154CE" w14:paraId="12E4EB48" w14:textId="77777777" w:rsidTr="003F6EFC">
        <w:trPr>
          <w:cantSplit/>
          <w:trHeight w:val="232"/>
        </w:trPr>
        <w:tc>
          <w:tcPr>
            <w:tcW w:w="2405" w:type="dxa"/>
            <w:gridSpan w:val="2"/>
            <w:shd w:val="clear" w:color="auto" w:fill="auto"/>
          </w:tcPr>
          <w:p w14:paraId="2BEFEC5B"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abemaciclib 150 mg tablet, 56 </w:t>
            </w:r>
          </w:p>
        </w:tc>
        <w:tc>
          <w:tcPr>
            <w:tcW w:w="1418" w:type="dxa"/>
          </w:tcPr>
          <w:p w14:paraId="2E4B335B"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 xml:space="preserve">NEW </w:t>
            </w:r>
          </w:p>
          <w:p w14:paraId="15FDEACD" w14:textId="77777777" w:rsidR="00B87DAF" w:rsidRPr="00492D82" w:rsidRDefault="00B87DAF" w:rsidP="003F6EF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49256B8D"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3B9BD91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64E40B2A"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1B8D32DC"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 xml:space="preserve">Verzenio </w:t>
            </w:r>
          </w:p>
        </w:tc>
      </w:tr>
      <w:tr w:rsidR="00B87DAF" w:rsidRPr="007154CE" w14:paraId="00D56986" w14:textId="77777777" w:rsidTr="003F6EFC">
        <w:trPr>
          <w:cantSplit/>
          <w:trHeight w:val="264"/>
        </w:trPr>
        <w:tc>
          <w:tcPr>
            <w:tcW w:w="2405" w:type="dxa"/>
            <w:gridSpan w:val="2"/>
            <w:shd w:val="clear" w:color="auto" w:fill="auto"/>
          </w:tcPr>
          <w:p w14:paraId="7322D5F6"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abemaciclib 100 mg tablet, 56</w:t>
            </w:r>
          </w:p>
        </w:tc>
        <w:tc>
          <w:tcPr>
            <w:tcW w:w="1418" w:type="dxa"/>
          </w:tcPr>
          <w:p w14:paraId="1A773009"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 xml:space="preserve">NEW </w:t>
            </w:r>
          </w:p>
          <w:p w14:paraId="697A91DF"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1E3B189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5C2B270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7E843C82"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32123DB0"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 xml:space="preserve">Verzenio </w:t>
            </w:r>
          </w:p>
        </w:tc>
      </w:tr>
      <w:tr w:rsidR="00B87DAF" w:rsidRPr="007154CE" w14:paraId="666E47D5" w14:textId="77777777" w:rsidTr="003F6EFC">
        <w:trPr>
          <w:cantSplit/>
          <w:trHeight w:val="281"/>
        </w:trPr>
        <w:tc>
          <w:tcPr>
            <w:tcW w:w="2405" w:type="dxa"/>
            <w:gridSpan w:val="2"/>
            <w:shd w:val="clear" w:color="auto" w:fill="auto"/>
          </w:tcPr>
          <w:p w14:paraId="163DF254" w14:textId="77777777" w:rsidR="00B87DAF" w:rsidRPr="00492D82" w:rsidRDefault="00B87DAF" w:rsidP="003F6EFC">
            <w:pPr>
              <w:keepNext/>
              <w:tabs>
                <w:tab w:val="left" w:pos="1077"/>
              </w:tabs>
              <w:ind w:left="-57"/>
              <w:rPr>
                <w:rFonts w:ascii="Arial Narrow" w:hAnsi="Arial Narrow"/>
                <w:sz w:val="20"/>
                <w:szCs w:val="20"/>
              </w:rPr>
            </w:pPr>
            <w:r w:rsidRPr="00492D82">
              <w:rPr>
                <w:rFonts w:ascii="Arial Narrow" w:hAnsi="Arial Narrow"/>
                <w:sz w:val="20"/>
                <w:szCs w:val="20"/>
              </w:rPr>
              <w:t>abemaciclib 50 mg tablet, 56</w:t>
            </w:r>
          </w:p>
        </w:tc>
        <w:tc>
          <w:tcPr>
            <w:tcW w:w="1418" w:type="dxa"/>
          </w:tcPr>
          <w:p w14:paraId="6186404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 xml:space="preserve">NEW </w:t>
            </w:r>
          </w:p>
          <w:p w14:paraId="765CDF3C"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63ECF77B"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14DF1F19"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4EB8CDC2"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22BA76DA"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Verzenio</w:t>
            </w:r>
          </w:p>
        </w:tc>
      </w:tr>
      <w:tr w:rsidR="00B87DAF" w:rsidRPr="007154CE" w14:paraId="72E9792B" w14:textId="77777777" w:rsidTr="003F6EFC">
        <w:trPr>
          <w:cantSplit/>
          <w:trHeight w:val="393"/>
        </w:trPr>
        <w:tc>
          <w:tcPr>
            <w:tcW w:w="9067" w:type="dxa"/>
            <w:gridSpan w:val="7"/>
            <w:shd w:val="clear" w:color="auto" w:fill="auto"/>
          </w:tcPr>
          <w:p w14:paraId="2FC6B0E3" w14:textId="77777777" w:rsidR="00B87DAF" w:rsidRPr="00492D82" w:rsidRDefault="00B87DAF" w:rsidP="003F6EFC">
            <w:pPr>
              <w:keepNext/>
              <w:jc w:val="right"/>
              <w:rPr>
                <w:rFonts w:ascii="Arial Narrow" w:hAnsi="Arial Narrow"/>
                <w:sz w:val="20"/>
                <w:szCs w:val="20"/>
              </w:rPr>
            </w:pPr>
            <w:r w:rsidRPr="00492D82">
              <w:rPr>
                <w:rFonts w:ascii="Arial Narrow" w:hAnsi="Arial Narrow"/>
                <w:sz w:val="20"/>
                <w:szCs w:val="20"/>
              </w:rPr>
              <w:t>Safety Net Rule Penalty Applies? Yes</w:t>
            </w:r>
          </w:p>
          <w:p w14:paraId="747CCDA0" w14:textId="77777777" w:rsidR="00B87DAF" w:rsidRPr="00492D82" w:rsidRDefault="00B87DAF" w:rsidP="003F6EFC">
            <w:pPr>
              <w:keepNext/>
              <w:jc w:val="right"/>
              <w:rPr>
                <w:rFonts w:ascii="Arial Narrow" w:hAnsi="Arial Narrow"/>
                <w:sz w:val="20"/>
                <w:szCs w:val="20"/>
              </w:rPr>
            </w:pPr>
            <w:r w:rsidRPr="00492D82">
              <w:rPr>
                <w:rFonts w:ascii="Arial Narrow" w:hAnsi="Arial Narrow"/>
                <w:sz w:val="20"/>
                <w:szCs w:val="20"/>
              </w:rPr>
              <w:t>MP = Medical Practitioners</w:t>
            </w:r>
          </w:p>
        </w:tc>
      </w:tr>
      <w:tr w:rsidR="00B87DAF" w:rsidRPr="007154CE" w14:paraId="3268413F"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1DA652E" w14:textId="77777777" w:rsidR="00B87DAF" w:rsidRPr="00492D82" w:rsidRDefault="00B87DAF" w:rsidP="003F6EFC">
            <w:pPr>
              <w:rPr>
                <w:rFonts w:ascii="Arial Narrow" w:hAnsi="Arial Narrow"/>
                <w:sz w:val="20"/>
                <w:szCs w:val="20"/>
                <w:highlight w:val="lightGray"/>
              </w:rPr>
            </w:pPr>
          </w:p>
        </w:tc>
      </w:tr>
      <w:tr w:rsidR="00B87DAF" w:rsidRPr="007154CE" w14:paraId="03CD6C58"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49BD5D1" w14:textId="77777777" w:rsidR="00B87DAF" w:rsidRPr="00492D82" w:rsidRDefault="00B87DAF" w:rsidP="003F6EFC">
            <w:pPr>
              <w:rPr>
                <w:rFonts w:ascii="Arial Narrow" w:hAnsi="Arial Narrow"/>
                <w:b/>
                <w:sz w:val="20"/>
                <w:szCs w:val="20"/>
              </w:rPr>
            </w:pPr>
            <w:r w:rsidRPr="00492D82">
              <w:rPr>
                <w:rFonts w:ascii="Arial Narrow" w:hAnsi="Arial Narrow"/>
                <w:b/>
                <w:sz w:val="20"/>
                <w:szCs w:val="20"/>
              </w:rPr>
              <w:t>Restriction Summary [New 1]/ Treatment of Concept: [New 1.1]: Authority Required</w:t>
            </w:r>
          </w:p>
          <w:p w14:paraId="4966B227" w14:textId="77777777" w:rsidR="00B87DAF" w:rsidRPr="00492D82" w:rsidRDefault="00B87DAF" w:rsidP="003F6EFC">
            <w:pPr>
              <w:rPr>
                <w:rFonts w:ascii="Arial Narrow" w:hAnsi="Arial Narrow"/>
                <w:b/>
                <w:sz w:val="20"/>
                <w:szCs w:val="20"/>
              </w:rPr>
            </w:pPr>
          </w:p>
        </w:tc>
      </w:tr>
      <w:tr w:rsidR="00B87DAF" w:rsidRPr="007154CE" w14:paraId="15B3E3EC" w14:textId="77777777" w:rsidTr="00243CD6">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C22E34" w14:textId="6335B580" w:rsidR="00B87DAF" w:rsidRPr="00492D82" w:rsidRDefault="00B87DAF" w:rsidP="003F6EFC">
            <w:pPr>
              <w:jc w:val="center"/>
              <w:rPr>
                <w:rFonts w:ascii="Arial Narrow" w:hAnsi="Arial Narrow"/>
                <w:sz w:val="20"/>
                <w:szCs w:val="20"/>
                <w:highlight w:val="lightGray"/>
              </w:rPr>
            </w:pPr>
          </w:p>
        </w:tc>
        <w:tc>
          <w:tcPr>
            <w:tcW w:w="8086" w:type="dxa"/>
            <w:gridSpan w:val="6"/>
            <w:vAlign w:val="center"/>
            <w:hideMark/>
          </w:tcPr>
          <w:p w14:paraId="0673709D"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Indication:</w:t>
            </w:r>
            <w:r w:rsidRPr="00492D82">
              <w:rPr>
                <w:rFonts w:ascii="Arial Narrow" w:hAnsi="Arial Narrow"/>
                <w:sz w:val="20"/>
                <w:szCs w:val="20"/>
              </w:rPr>
              <w:t xml:space="preserve"> Early breast cancer </w:t>
            </w:r>
          </w:p>
        </w:tc>
      </w:tr>
      <w:tr w:rsidR="00B87DAF" w:rsidRPr="007154CE" w14:paraId="1DA49651"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3B80A5" w14:textId="77777777"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52C2FE5A" w14:textId="77777777" w:rsidR="00B87DAF" w:rsidRPr="00492D82" w:rsidRDefault="00B87DAF" w:rsidP="003F6EFC">
            <w:pPr>
              <w:rPr>
                <w:rFonts w:ascii="Arial Narrow" w:hAnsi="Arial Narrow"/>
                <w:b/>
                <w:bCs/>
                <w:sz w:val="20"/>
                <w:szCs w:val="20"/>
                <w:highlight w:val="lightGray"/>
              </w:rPr>
            </w:pPr>
          </w:p>
        </w:tc>
      </w:tr>
      <w:tr w:rsidR="00B87DAF" w:rsidRPr="007154CE" w14:paraId="63DC5172"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27702D" w14:textId="1E80ED4F"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5A07448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154CE" w14:paraId="678854CD"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2D65EC" w14:textId="531CA233"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66ABCA9A" w14:textId="77777777" w:rsidR="00B87DAF" w:rsidRPr="00492D82" w:rsidRDefault="00B87DAF" w:rsidP="003F6EFC">
            <w:pPr>
              <w:autoSpaceDE w:val="0"/>
              <w:autoSpaceDN w:val="0"/>
              <w:adjustRightInd w:val="0"/>
              <w:rPr>
                <w:rFonts w:ascii="Arial Narrow" w:hAnsi="Arial Narrow"/>
                <w:b/>
                <w:bCs/>
                <w:sz w:val="20"/>
                <w:szCs w:val="20"/>
              </w:rPr>
            </w:pPr>
            <w:r w:rsidRPr="00492D82">
              <w:rPr>
                <w:rFonts w:ascii="Arial Narrow" w:hAnsi="Arial Narrow" w:cs="Arial Narrow"/>
                <w:iCs/>
                <w:sz w:val="20"/>
                <w:szCs w:val="20"/>
              </w:rPr>
              <w:t>The treatment must be adjuvant to surgical resection</w:t>
            </w:r>
          </w:p>
        </w:tc>
      </w:tr>
      <w:tr w:rsidR="00B87DAF" w:rsidRPr="007154CE" w14:paraId="65CFD01C"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2A3B06" w14:textId="77777777" w:rsidR="00B87DAF" w:rsidRPr="00492D82" w:rsidRDefault="00B87DAF" w:rsidP="003F6EFC">
            <w:pPr>
              <w:jc w:val="center"/>
              <w:rPr>
                <w:rFonts w:ascii="Arial Narrow" w:hAnsi="Arial Narrow"/>
                <w:sz w:val="20"/>
                <w:szCs w:val="20"/>
              </w:rPr>
            </w:pPr>
          </w:p>
        </w:tc>
        <w:tc>
          <w:tcPr>
            <w:tcW w:w="8086" w:type="dxa"/>
            <w:gridSpan w:val="6"/>
            <w:vAlign w:val="center"/>
          </w:tcPr>
          <w:p w14:paraId="13274D5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154CE" w14:paraId="235AE19D" w14:textId="77777777" w:rsidTr="00243CD6">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86F0D2" w14:textId="77777777" w:rsidR="00B87DAF" w:rsidRPr="00492D82" w:rsidRDefault="00B87DAF" w:rsidP="003F6EFC">
            <w:pPr>
              <w:jc w:val="center"/>
              <w:rPr>
                <w:rFonts w:ascii="Arial Narrow" w:hAnsi="Arial Narrow"/>
                <w:sz w:val="20"/>
                <w:szCs w:val="20"/>
              </w:rPr>
            </w:pPr>
          </w:p>
        </w:tc>
        <w:tc>
          <w:tcPr>
            <w:tcW w:w="8086" w:type="dxa"/>
            <w:gridSpan w:val="6"/>
            <w:vAlign w:val="center"/>
            <w:hideMark/>
          </w:tcPr>
          <w:p w14:paraId="5ED16D4C"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 xml:space="preserve">Clinical criteria: </w:t>
            </w:r>
          </w:p>
        </w:tc>
      </w:tr>
      <w:tr w:rsidR="00B87DAF" w:rsidRPr="007154CE" w14:paraId="0EB0F236" w14:textId="77777777" w:rsidTr="00243CD6">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8E182D" w14:textId="0C8768B4" w:rsidR="00B87DAF" w:rsidRPr="00492D82" w:rsidRDefault="00B87DAF" w:rsidP="003F6EFC">
            <w:pPr>
              <w:jc w:val="center"/>
              <w:rPr>
                <w:rFonts w:ascii="Arial Narrow" w:hAnsi="Arial Narrow"/>
                <w:sz w:val="20"/>
                <w:szCs w:val="20"/>
              </w:rPr>
            </w:pPr>
          </w:p>
        </w:tc>
        <w:tc>
          <w:tcPr>
            <w:tcW w:w="8086" w:type="dxa"/>
            <w:gridSpan w:val="6"/>
            <w:vAlign w:val="center"/>
            <w:hideMark/>
          </w:tcPr>
          <w:p w14:paraId="164275E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7154CE" w14:paraId="255AE0E6"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48C14F" w14:textId="77777777" w:rsidR="00B87DAF" w:rsidRPr="00492D82" w:rsidRDefault="00B87DAF" w:rsidP="003F6EFC">
            <w:pPr>
              <w:jc w:val="center"/>
              <w:rPr>
                <w:rFonts w:ascii="Arial Narrow" w:hAnsi="Arial Narrow"/>
                <w:sz w:val="20"/>
                <w:szCs w:val="20"/>
              </w:rPr>
            </w:pPr>
          </w:p>
        </w:tc>
        <w:tc>
          <w:tcPr>
            <w:tcW w:w="8086" w:type="dxa"/>
            <w:gridSpan w:val="6"/>
            <w:vAlign w:val="center"/>
          </w:tcPr>
          <w:p w14:paraId="432CB650" w14:textId="77777777" w:rsidR="00B87DAF" w:rsidRPr="00492D82" w:rsidRDefault="00B87DAF" w:rsidP="003F6EFC">
            <w:pPr>
              <w:rPr>
                <w:rFonts w:ascii="Arial Narrow" w:hAnsi="Arial Narrow" w:cs="Arial Narrow"/>
                <w:iCs/>
                <w:sz w:val="20"/>
                <w:szCs w:val="20"/>
              </w:rPr>
            </w:pPr>
            <w:r w:rsidRPr="00492D82">
              <w:rPr>
                <w:rFonts w:ascii="Arial Narrow" w:hAnsi="Arial Narrow"/>
                <w:b/>
                <w:bCs/>
                <w:sz w:val="20"/>
                <w:szCs w:val="20"/>
              </w:rPr>
              <w:t>AND</w:t>
            </w:r>
          </w:p>
        </w:tc>
      </w:tr>
      <w:tr w:rsidR="00B87DAF" w:rsidRPr="007154CE" w14:paraId="5E15D5F9"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72961F" w14:textId="41C883A1" w:rsidR="00B87DAF" w:rsidRPr="00492D82" w:rsidRDefault="00B87DAF" w:rsidP="003F6EFC">
            <w:pPr>
              <w:jc w:val="center"/>
              <w:rPr>
                <w:rFonts w:ascii="Arial Narrow" w:hAnsi="Arial Narrow"/>
                <w:sz w:val="20"/>
                <w:szCs w:val="20"/>
              </w:rPr>
            </w:pPr>
          </w:p>
        </w:tc>
        <w:tc>
          <w:tcPr>
            <w:tcW w:w="8086" w:type="dxa"/>
            <w:gridSpan w:val="6"/>
            <w:vAlign w:val="center"/>
          </w:tcPr>
          <w:p w14:paraId="08F5F071" w14:textId="77777777" w:rsidR="00B87DAF" w:rsidRPr="00492D82" w:rsidRDefault="00B87DAF" w:rsidP="003F6EFC">
            <w:pPr>
              <w:rPr>
                <w:rFonts w:ascii="Arial Narrow" w:hAnsi="Arial Narrow" w:cs="Arial Narrow"/>
                <w:iCs/>
                <w:sz w:val="20"/>
                <w:szCs w:val="20"/>
              </w:rPr>
            </w:pPr>
            <w:r w:rsidRPr="00492D82">
              <w:rPr>
                <w:rFonts w:ascii="Arial Narrow" w:hAnsi="Arial Narrow"/>
                <w:b/>
                <w:bCs/>
                <w:sz w:val="20"/>
                <w:szCs w:val="20"/>
              </w:rPr>
              <w:t xml:space="preserve">Clinical criteria: </w:t>
            </w:r>
          </w:p>
        </w:tc>
      </w:tr>
      <w:tr w:rsidR="00B87DAF" w:rsidRPr="007154CE" w14:paraId="2A0F3991"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BE90C5" w14:textId="446E80D8" w:rsidR="00B87DAF" w:rsidRPr="00492D82" w:rsidRDefault="00B87DAF" w:rsidP="003F6EFC">
            <w:pPr>
              <w:jc w:val="center"/>
              <w:rPr>
                <w:rFonts w:ascii="Arial Narrow" w:hAnsi="Arial Narrow"/>
                <w:sz w:val="20"/>
                <w:szCs w:val="20"/>
              </w:rPr>
            </w:pPr>
          </w:p>
        </w:tc>
        <w:tc>
          <w:tcPr>
            <w:tcW w:w="8086" w:type="dxa"/>
            <w:gridSpan w:val="6"/>
            <w:vAlign w:val="center"/>
          </w:tcPr>
          <w:p w14:paraId="57C48AD7" w14:textId="77777777" w:rsidR="00B87DAF" w:rsidRPr="00492D82" w:rsidRDefault="00B87DAF" w:rsidP="003F6EFC">
            <w:pPr>
              <w:rPr>
                <w:rFonts w:ascii="Arial Narrow" w:hAnsi="Arial Narrow" w:cs="Arial Narrow"/>
                <w:iCs/>
                <w:sz w:val="20"/>
                <w:szCs w:val="20"/>
              </w:rPr>
            </w:pPr>
            <w:r w:rsidRPr="00492D82">
              <w:rPr>
                <w:rFonts w:ascii="Arial Narrow" w:hAnsi="Arial Narrow" w:cs="Arial Narrow"/>
                <w:iCs/>
                <w:sz w:val="20"/>
                <w:szCs w:val="20"/>
              </w:rPr>
              <w:t>The condition must be hormone receptor positive</w:t>
            </w:r>
          </w:p>
        </w:tc>
      </w:tr>
      <w:tr w:rsidR="00B87DAF" w:rsidRPr="007154CE" w14:paraId="28DFCE89" w14:textId="77777777" w:rsidTr="00243CD6">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2032E3" w14:textId="77777777" w:rsidR="00B87DAF" w:rsidRPr="00492D82" w:rsidRDefault="00B87DAF" w:rsidP="003F6EFC">
            <w:pPr>
              <w:jc w:val="center"/>
              <w:rPr>
                <w:rFonts w:ascii="Arial Narrow" w:hAnsi="Arial Narrow"/>
                <w:sz w:val="20"/>
                <w:szCs w:val="20"/>
                <w:highlight w:val="lightGray"/>
              </w:rPr>
            </w:pPr>
          </w:p>
        </w:tc>
        <w:tc>
          <w:tcPr>
            <w:tcW w:w="8086" w:type="dxa"/>
            <w:gridSpan w:val="6"/>
            <w:vAlign w:val="center"/>
            <w:hideMark/>
          </w:tcPr>
          <w:p w14:paraId="5F4D05AE"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AND</w:t>
            </w:r>
          </w:p>
        </w:tc>
      </w:tr>
      <w:tr w:rsidR="00B87DAF" w:rsidRPr="007154CE" w14:paraId="05520677"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032DF2" w14:textId="5E51B1A3" w:rsidR="00B87DAF" w:rsidRPr="00492D82" w:rsidRDefault="00B87DAF" w:rsidP="003F6EFC">
            <w:pPr>
              <w:jc w:val="center"/>
              <w:rPr>
                <w:rFonts w:ascii="Arial Narrow" w:hAnsi="Arial Narrow"/>
                <w:sz w:val="20"/>
                <w:szCs w:val="20"/>
              </w:rPr>
            </w:pPr>
          </w:p>
        </w:tc>
        <w:tc>
          <w:tcPr>
            <w:tcW w:w="8086" w:type="dxa"/>
            <w:gridSpan w:val="6"/>
            <w:vAlign w:val="center"/>
            <w:hideMark/>
          </w:tcPr>
          <w:p w14:paraId="6E065E06"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Clinical criteria:</w:t>
            </w:r>
          </w:p>
        </w:tc>
      </w:tr>
      <w:tr w:rsidR="00B87DAF" w:rsidRPr="007154CE" w14:paraId="52AD497F"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CEC77E" w14:textId="7F18ABE1"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35C7F275" w14:textId="77777777" w:rsidR="00B87DAF" w:rsidRPr="00492D82" w:rsidRDefault="00B87DAF" w:rsidP="003F6EFC">
            <w:pPr>
              <w:rPr>
                <w:rFonts w:ascii="Arial Narrow" w:hAnsi="Arial Narrow"/>
                <w:sz w:val="20"/>
                <w:szCs w:val="20"/>
                <w:highlight w:val="lightGray"/>
              </w:rPr>
            </w:pPr>
            <w:r w:rsidRPr="00492D82">
              <w:rPr>
                <w:rFonts w:ascii="Arial Narrow" w:hAnsi="Arial Narrow"/>
                <w:sz w:val="20"/>
                <w:szCs w:val="20"/>
              </w:rPr>
              <w:t>The condition must be at high risk of recurrence at treatment initiation with this drug, with high risk being any of: (a) cancer cells in at least 4 positive axillary lymph nodes, (b) cancer cells in 1 to 3 positive axillary lymph nodes plus at least one of: (i) tumour size of at least 5 cm in size, (ii) grade 3 tumour histology</w:t>
            </w:r>
          </w:p>
        </w:tc>
      </w:tr>
      <w:tr w:rsidR="00B87DAF" w:rsidRPr="007154CE" w14:paraId="6668919D"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E9628E" w14:textId="77777777" w:rsidR="00B87DAF" w:rsidRPr="00492D82" w:rsidRDefault="00B87DAF" w:rsidP="003F6EFC">
            <w:pPr>
              <w:jc w:val="center"/>
              <w:rPr>
                <w:rFonts w:ascii="Arial Narrow" w:hAnsi="Arial Narrow"/>
                <w:sz w:val="20"/>
                <w:szCs w:val="20"/>
                <w:highlight w:val="lightGray"/>
              </w:rPr>
            </w:pPr>
          </w:p>
        </w:tc>
        <w:tc>
          <w:tcPr>
            <w:tcW w:w="8086" w:type="dxa"/>
            <w:gridSpan w:val="6"/>
            <w:vAlign w:val="center"/>
            <w:hideMark/>
          </w:tcPr>
          <w:p w14:paraId="0076BE20"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AND</w:t>
            </w:r>
          </w:p>
        </w:tc>
      </w:tr>
      <w:tr w:rsidR="00B87DAF" w:rsidRPr="007154CE" w14:paraId="13224330"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4A71285" w14:textId="7086C5A1" w:rsidR="00B87DAF" w:rsidRPr="00492D82" w:rsidRDefault="00B87DAF" w:rsidP="003F6EFC">
            <w:pPr>
              <w:jc w:val="center"/>
              <w:rPr>
                <w:rFonts w:ascii="Arial Narrow" w:hAnsi="Arial Narrow"/>
                <w:sz w:val="20"/>
                <w:szCs w:val="20"/>
                <w:highlight w:val="lightGray"/>
              </w:rPr>
            </w:pPr>
          </w:p>
        </w:tc>
        <w:tc>
          <w:tcPr>
            <w:tcW w:w="8086" w:type="dxa"/>
            <w:gridSpan w:val="6"/>
            <w:vAlign w:val="center"/>
            <w:hideMark/>
          </w:tcPr>
          <w:p w14:paraId="287E5F7F"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Clinical criteria:</w:t>
            </w:r>
          </w:p>
        </w:tc>
      </w:tr>
      <w:tr w:rsidR="00B87DAF" w:rsidRPr="007154CE" w14:paraId="37593909"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7836D2" w14:textId="7D58AB18" w:rsidR="00B87DAF" w:rsidRPr="00492D82" w:rsidRDefault="00B87DAF" w:rsidP="003F6EFC">
            <w:pPr>
              <w:jc w:val="center"/>
              <w:rPr>
                <w:rFonts w:ascii="Arial Narrow" w:hAnsi="Arial Narrow"/>
                <w:sz w:val="20"/>
                <w:szCs w:val="20"/>
              </w:rPr>
            </w:pPr>
          </w:p>
        </w:tc>
        <w:tc>
          <w:tcPr>
            <w:tcW w:w="8086" w:type="dxa"/>
            <w:gridSpan w:val="6"/>
            <w:vAlign w:val="center"/>
          </w:tcPr>
          <w:p w14:paraId="32DBDA7A"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 xml:space="preserve">The treatment must not be a PBS-subsidised benefit beyond whichever comes first: (i) a total of 2.00 years of active treatment (this includes any non-PBS subsidised supply if applicable), (ii) disease recurrence/progression </w:t>
            </w:r>
          </w:p>
        </w:tc>
      </w:tr>
      <w:tr w:rsidR="00B87DAF" w:rsidRPr="007154CE" w14:paraId="548D7F13"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EDE961" w14:textId="77777777"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661F29A5" w14:textId="77777777" w:rsidR="00B87DAF" w:rsidRPr="00492D82" w:rsidRDefault="00B87DAF" w:rsidP="003F6EFC">
            <w:pPr>
              <w:rPr>
                <w:rFonts w:ascii="Arial Narrow" w:hAnsi="Arial Narrow"/>
                <w:sz w:val="20"/>
                <w:szCs w:val="20"/>
                <w:highlight w:val="lightGray"/>
              </w:rPr>
            </w:pPr>
          </w:p>
        </w:tc>
      </w:tr>
      <w:tr w:rsidR="00B87DAF" w:rsidRPr="007154CE" w14:paraId="052F288B"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50D777" w14:textId="4DA8B06D" w:rsidR="00B87DAF" w:rsidRPr="00492D82" w:rsidRDefault="00B87DAF" w:rsidP="003F6EFC">
            <w:pPr>
              <w:jc w:val="center"/>
              <w:rPr>
                <w:rFonts w:ascii="Arial Narrow" w:hAnsi="Arial Narrow"/>
                <w:sz w:val="20"/>
                <w:szCs w:val="20"/>
              </w:rPr>
            </w:pPr>
          </w:p>
        </w:tc>
        <w:tc>
          <w:tcPr>
            <w:tcW w:w="8086" w:type="dxa"/>
            <w:gridSpan w:val="6"/>
            <w:vAlign w:val="center"/>
          </w:tcPr>
          <w:p w14:paraId="5F66C8B8"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Treatment criteria:</w:t>
            </w:r>
          </w:p>
        </w:tc>
      </w:tr>
      <w:tr w:rsidR="00B87DAF" w:rsidRPr="007154CE" w14:paraId="627D60E6"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D330CF9" w14:textId="5B85376A" w:rsidR="00B87DAF" w:rsidRPr="00492D82" w:rsidRDefault="00B87DAF" w:rsidP="003F6EFC">
            <w:pPr>
              <w:jc w:val="center"/>
              <w:rPr>
                <w:rFonts w:ascii="Arial Narrow" w:hAnsi="Arial Narrow"/>
                <w:sz w:val="20"/>
                <w:szCs w:val="20"/>
              </w:rPr>
            </w:pPr>
          </w:p>
        </w:tc>
        <w:tc>
          <w:tcPr>
            <w:tcW w:w="8086" w:type="dxa"/>
            <w:gridSpan w:val="6"/>
            <w:vAlign w:val="center"/>
          </w:tcPr>
          <w:p w14:paraId="2A859A4E"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be undergoing concurrent treatment with endocrine therapy</w:t>
            </w:r>
          </w:p>
        </w:tc>
      </w:tr>
      <w:tr w:rsidR="00B87DAF" w:rsidRPr="007154CE" w14:paraId="1038C6C0" w14:textId="77777777" w:rsidTr="003F6EF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FB4B17" w14:textId="77777777" w:rsidR="00B87DAF" w:rsidRPr="00492D82" w:rsidRDefault="00B87DAF" w:rsidP="003F6EFC">
            <w:pPr>
              <w:jc w:val="center"/>
              <w:rPr>
                <w:rFonts w:ascii="Arial Narrow" w:hAnsi="Arial Narrow"/>
                <w:sz w:val="20"/>
                <w:szCs w:val="20"/>
                <w:highlight w:val="lightGray"/>
              </w:rPr>
            </w:pPr>
          </w:p>
        </w:tc>
        <w:tc>
          <w:tcPr>
            <w:tcW w:w="8086" w:type="dxa"/>
            <w:gridSpan w:val="6"/>
            <w:vAlign w:val="center"/>
          </w:tcPr>
          <w:p w14:paraId="097CB502" w14:textId="77777777" w:rsidR="00B87DAF" w:rsidRPr="00492D82" w:rsidRDefault="00B87DAF" w:rsidP="003F6EFC">
            <w:pPr>
              <w:rPr>
                <w:rFonts w:ascii="Arial Narrow" w:hAnsi="Arial Narrow"/>
                <w:sz w:val="20"/>
                <w:szCs w:val="20"/>
                <w:highlight w:val="lightGray"/>
              </w:rPr>
            </w:pPr>
          </w:p>
        </w:tc>
      </w:tr>
      <w:tr w:rsidR="00B87DAF" w:rsidRPr="007154CE" w14:paraId="3F67175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D2D6FFD" w14:textId="20ABB3FA" w:rsidR="00B87DAF" w:rsidRPr="00492D82" w:rsidRDefault="00B87DAF" w:rsidP="003F6EFC">
            <w:pPr>
              <w:jc w:val="center"/>
              <w:rPr>
                <w:rFonts w:ascii="Arial Narrow" w:hAnsi="Arial Narrow"/>
                <w:sz w:val="20"/>
                <w:szCs w:val="20"/>
                <w:highlight w:val="lightGray"/>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32E3E9D" w14:textId="77777777" w:rsidR="00B87DAF" w:rsidRPr="00492D82" w:rsidRDefault="00B87DAF" w:rsidP="003F6EFC">
            <w:pPr>
              <w:spacing w:line="256" w:lineRule="auto"/>
              <w:rPr>
                <w:rFonts w:ascii="Arial Narrow" w:hAnsi="Arial Narrow"/>
                <w:b/>
                <w:bCs/>
                <w:sz w:val="20"/>
                <w:szCs w:val="20"/>
              </w:rPr>
            </w:pPr>
            <w:r w:rsidRPr="00492D82">
              <w:rPr>
                <w:rFonts w:ascii="Arial Narrow" w:hAnsi="Arial Narrow"/>
                <w:b/>
                <w:bCs/>
                <w:sz w:val="20"/>
                <w:szCs w:val="20"/>
              </w:rPr>
              <w:t xml:space="preserve">Prescribing Instructions: </w:t>
            </w:r>
          </w:p>
          <w:p w14:paraId="2024D0B3" w14:textId="77777777" w:rsidR="00B87DAF" w:rsidRPr="00492D82" w:rsidRDefault="00B87DAF" w:rsidP="003F6EFC">
            <w:pPr>
              <w:rPr>
                <w:rFonts w:ascii="Arial Narrow" w:hAnsi="Arial Narrow"/>
                <w:sz w:val="20"/>
                <w:szCs w:val="20"/>
                <w:highlight w:val="lightGray"/>
              </w:rPr>
            </w:pPr>
            <w:r w:rsidRPr="00492D82">
              <w:rPr>
                <w:rFonts w:ascii="Arial Narrow" w:hAnsi="Arial Narrow"/>
                <w:sz w:val="20"/>
                <w:szCs w:val="20"/>
              </w:rPr>
              <w:t xml:space="preserve">Retain all pathology imaging and investigative test results in the patient’s medical records. </w:t>
            </w:r>
          </w:p>
        </w:tc>
      </w:tr>
      <w:tr w:rsidR="00B87DAF" w:rsidRPr="007154CE" w14:paraId="17D0E2D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0F6DA1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91A7A41" w14:textId="77777777" w:rsidR="00B87DAF" w:rsidRPr="00492D82" w:rsidRDefault="00B87DAF" w:rsidP="003F6EFC">
            <w:pPr>
              <w:rPr>
                <w:rFonts w:ascii="Arial Narrow" w:hAnsi="Arial Narrow"/>
                <w:b/>
                <w:bCs/>
                <w:sz w:val="20"/>
                <w:szCs w:val="20"/>
              </w:rPr>
            </w:pPr>
          </w:p>
        </w:tc>
      </w:tr>
      <w:tr w:rsidR="00B87DAF" w:rsidRPr="007154CE" w14:paraId="3C04D906" w14:textId="77777777" w:rsidTr="00243CD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39BE431" w14:textId="762448D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4E8E169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B87DAF" w:rsidRPr="007154CE" w14:paraId="270A06FC" w14:textId="77777777" w:rsidTr="00243CD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10689EE" w14:textId="690A99A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12E645A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p>
        </w:tc>
      </w:tr>
      <w:tr w:rsidR="00B87DAF" w:rsidRPr="007154CE" w14:paraId="792AE87A" w14:textId="77777777" w:rsidTr="00243CD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6BAAEB0" w14:textId="56B63F3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02CC782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B87DAF" w:rsidRPr="007154CE" w14:paraId="6EDD631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1E71034" w14:textId="28A3F1C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186552D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p>
          <w:p w14:paraId="0228B611"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r w:rsidRPr="00492D82">
              <w:rPr>
                <w:rFonts w:ascii="Arial Narrow" w:hAnsi="Arial Narrow"/>
                <w:b/>
                <w:bCs/>
                <w:sz w:val="20"/>
                <w:szCs w:val="20"/>
              </w:rPr>
              <w:t>.</w:t>
            </w:r>
          </w:p>
        </w:tc>
      </w:tr>
      <w:bookmarkEnd w:id="80"/>
    </w:tbl>
    <w:p w14:paraId="006521CF" w14:textId="77777777" w:rsidR="00B87DAF" w:rsidRDefault="00B87DAF" w:rsidP="00B87DAF"/>
    <w:p w14:paraId="3E3077E7" w14:textId="45CDB228" w:rsidR="00B87DAF" w:rsidRPr="00B87DAF" w:rsidRDefault="00B87DAF" w:rsidP="00B87DAF">
      <w:r>
        <w:lastRenderedPageBreak/>
        <w:t xml:space="preserve">Flow on changes to limit subsidy of CDK4/6i therapy to once per </w:t>
      </w:r>
      <w:r w:rsidRPr="00B87DAF">
        <w:t>lifetime, irrespective if prescribed for early disease or late stage disease:</w:t>
      </w:r>
    </w:p>
    <w:p w14:paraId="0DCF0E87" w14:textId="77777777" w:rsidR="00B87DAF" w:rsidRDefault="00B87DAF" w:rsidP="00B87DAF">
      <w:bookmarkStart w:id="81" w:name="_Hlk129960755"/>
    </w:p>
    <w:p w14:paraId="1231CF0E" w14:textId="1B70A196" w:rsidR="00DE79B6" w:rsidRDefault="00BE1000" w:rsidP="00B87DAF">
      <w:r>
        <w:t>8.2</w:t>
      </w:r>
      <w:r>
        <w:tab/>
      </w:r>
      <w:r w:rsidR="00B87DAF" w:rsidRPr="00B87DAF">
        <w:t>Amend the following abemaciclib listings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B87DAF" w:rsidRPr="007154CE" w14:paraId="39418F08" w14:textId="77777777" w:rsidTr="003F6EF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066A5B69" w14:textId="77777777" w:rsidR="00B87DAF" w:rsidRPr="00492D82" w:rsidRDefault="00B87DAF" w:rsidP="003F6EFC">
            <w:pPr>
              <w:keepNext/>
              <w:rPr>
                <w:rFonts w:ascii="Arial Narrow" w:hAnsi="Arial Narrow"/>
                <w:b/>
                <w:sz w:val="20"/>
                <w:szCs w:val="20"/>
              </w:rPr>
            </w:pPr>
            <w:r w:rsidRPr="00492D82">
              <w:rPr>
                <w:rFonts w:ascii="Arial Narrow" w:hAnsi="Arial Narrow"/>
                <w:b/>
                <w:sz w:val="20"/>
                <w:szCs w:val="20"/>
              </w:rPr>
              <w:t xml:space="preserve">Category / Program: </w:t>
            </w:r>
            <w:r w:rsidRPr="00492D82">
              <w:rPr>
                <w:rFonts w:ascii="Arial Narrow" w:hAnsi="Arial Narrow"/>
                <w:sz w:val="20"/>
                <w:szCs w:val="20"/>
              </w:rPr>
              <w:t xml:space="preserve">GENERAL – General Schedule (Code GE) </w:t>
            </w:r>
          </w:p>
        </w:tc>
      </w:tr>
      <w:tr w:rsidR="00B87DAF" w:rsidRPr="007154CE" w14:paraId="3F178E09" w14:textId="77777777" w:rsidTr="003F6EFC">
        <w:trPr>
          <w:cantSplit/>
          <w:trHeight w:val="471"/>
        </w:trPr>
        <w:tc>
          <w:tcPr>
            <w:tcW w:w="2405" w:type="dxa"/>
            <w:gridSpan w:val="2"/>
            <w:shd w:val="clear" w:color="auto" w:fill="auto"/>
          </w:tcPr>
          <w:p w14:paraId="2318EF1D" w14:textId="77777777" w:rsidR="00B87DAF" w:rsidRPr="00492D82" w:rsidRDefault="00B87DAF" w:rsidP="003F6EFC">
            <w:pPr>
              <w:keepNext/>
              <w:ind w:left="-57"/>
              <w:rPr>
                <w:rFonts w:ascii="Arial Narrow" w:hAnsi="Arial Narrow"/>
                <w:b/>
                <w:bCs/>
                <w:sz w:val="20"/>
                <w:szCs w:val="20"/>
              </w:rPr>
            </w:pPr>
            <w:r w:rsidRPr="00492D82">
              <w:rPr>
                <w:rFonts w:ascii="Arial Narrow" w:hAnsi="Arial Narrow"/>
                <w:b/>
                <w:bCs/>
                <w:sz w:val="20"/>
                <w:szCs w:val="20"/>
              </w:rPr>
              <w:t>MEDICINAL PRODUCT</w:t>
            </w:r>
          </w:p>
          <w:p w14:paraId="0E99F0C6" w14:textId="77777777" w:rsidR="00B87DAF" w:rsidRPr="00492D82" w:rsidRDefault="00B87DAF" w:rsidP="003F6EF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42B6891D" w14:textId="77777777" w:rsidR="00B87DAF" w:rsidRPr="00492D82" w:rsidRDefault="00B87DAF" w:rsidP="003F6EF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6FB6E550"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56882EB7"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4174F7AD"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3F4E6F7B" w14:textId="77777777" w:rsidR="00B87DAF" w:rsidRPr="00492D82" w:rsidRDefault="00B87DAF" w:rsidP="003F6EFC">
            <w:pPr>
              <w:keepNext/>
              <w:rPr>
                <w:rFonts w:ascii="Arial Narrow" w:hAnsi="Arial Narrow"/>
                <w:b/>
                <w:sz w:val="20"/>
                <w:szCs w:val="20"/>
                <w:lang w:val="fr-FR"/>
              </w:rPr>
            </w:pPr>
            <w:r w:rsidRPr="00492D82">
              <w:rPr>
                <w:rFonts w:ascii="Arial Narrow" w:hAnsi="Arial Narrow"/>
                <w:b/>
                <w:sz w:val="20"/>
                <w:szCs w:val="20"/>
              </w:rPr>
              <w:t>Available brands</w:t>
            </w:r>
          </w:p>
        </w:tc>
      </w:tr>
      <w:tr w:rsidR="00B87DAF" w:rsidRPr="007154CE" w14:paraId="6AA722C3" w14:textId="77777777" w:rsidTr="003F6EFC">
        <w:trPr>
          <w:cantSplit/>
          <w:trHeight w:val="224"/>
        </w:trPr>
        <w:tc>
          <w:tcPr>
            <w:tcW w:w="9067" w:type="dxa"/>
            <w:gridSpan w:val="7"/>
            <w:shd w:val="clear" w:color="auto" w:fill="auto"/>
          </w:tcPr>
          <w:p w14:paraId="05B0CCA2"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ABEMACICLIB </w:t>
            </w:r>
          </w:p>
        </w:tc>
      </w:tr>
      <w:tr w:rsidR="00B87DAF" w:rsidRPr="007154CE" w14:paraId="3AB401E5" w14:textId="77777777" w:rsidTr="003F6EFC">
        <w:trPr>
          <w:cantSplit/>
          <w:trHeight w:val="232"/>
        </w:trPr>
        <w:tc>
          <w:tcPr>
            <w:tcW w:w="2405" w:type="dxa"/>
            <w:gridSpan w:val="2"/>
            <w:shd w:val="clear" w:color="auto" w:fill="auto"/>
          </w:tcPr>
          <w:p w14:paraId="28ED90B9"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abemaciclib 150 mg tablet, 56 </w:t>
            </w:r>
          </w:p>
        </w:tc>
        <w:tc>
          <w:tcPr>
            <w:tcW w:w="1418" w:type="dxa"/>
          </w:tcPr>
          <w:p w14:paraId="3CD5C2AD"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11868P</w:t>
            </w:r>
          </w:p>
          <w:p w14:paraId="6F9A4CE6" w14:textId="77777777" w:rsidR="00B87DAF" w:rsidRPr="00492D82" w:rsidRDefault="00B87DAF" w:rsidP="003F6EF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0D84FC88"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41D8B35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3163EFF6"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61F9796C"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 xml:space="preserve">Verzenio </w:t>
            </w:r>
          </w:p>
        </w:tc>
      </w:tr>
      <w:tr w:rsidR="00B87DAF" w:rsidRPr="007154CE" w14:paraId="33BA5E10" w14:textId="77777777" w:rsidTr="003F6EFC">
        <w:trPr>
          <w:cantSplit/>
          <w:trHeight w:val="264"/>
        </w:trPr>
        <w:tc>
          <w:tcPr>
            <w:tcW w:w="2405" w:type="dxa"/>
            <w:gridSpan w:val="2"/>
            <w:shd w:val="clear" w:color="auto" w:fill="auto"/>
          </w:tcPr>
          <w:p w14:paraId="26B989FB"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abemaciclib 100 mg tablet, 56</w:t>
            </w:r>
          </w:p>
        </w:tc>
        <w:tc>
          <w:tcPr>
            <w:tcW w:w="1418" w:type="dxa"/>
          </w:tcPr>
          <w:p w14:paraId="36EF293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11871T</w:t>
            </w:r>
          </w:p>
          <w:p w14:paraId="100D045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5E6B490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54DD74D2"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4ED78FFA"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3EBB550B"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 xml:space="preserve">Verzenio </w:t>
            </w:r>
          </w:p>
        </w:tc>
      </w:tr>
      <w:tr w:rsidR="00B87DAF" w:rsidRPr="007154CE" w14:paraId="35356E62" w14:textId="77777777" w:rsidTr="003F6EFC">
        <w:trPr>
          <w:cantSplit/>
          <w:trHeight w:val="281"/>
        </w:trPr>
        <w:tc>
          <w:tcPr>
            <w:tcW w:w="2405" w:type="dxa"/>
            <w:gridSpan w:val="2"/>
            <w:shd w:val="clear" w:color="auto" w:fill="auto"/>
          </w:tcPr>
          <w:p w14:paraId="0FB76834" w14:textId="77777777" w:rsidR="00B87DAF" w:rsidRPr="00492D82" w:rsidRDefault="00B87DAF" w:rsidP="003F6EFC">
            <w:pPr>
              <w:keepNext/>
              <w:tabs>
                <w:tab w:val="left" w:pos="1077"/>
              </w:tabs>
              <w:ind w:left="-57"/>
              <w:rPr>
                <w:rFonts w:ascii="Arial Narrow" w:hAnsi="Arial Narrow"/>
                <w:sz w:val="20"/>
                <w:szCs w:val="20"/>
              </w:rPr>
            </w:pPr>
            <w:r w:rsidRPr="00492D82">
              <w:rPr>
                <w:rFonts w:ascii="Arial Narrow" w:hAnsi="Arial Narrow"/>
                <w:sz w:val="20"/>
                <w:szCs w:val="20"/>
              </w:rPr>
              <w:t>abemaciclib 50 mg tablet, 56</w:t>
            </w:r>
          </w:p>
        </w:tc>
        <w:tc>
          <w:tcPr>
            <w:tcW w:w="1418" w:type="dxa"/>
          </w:tcPr>
          <w:p w14:paraId="0A2544F2"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11876C</w:t>
            </w:r>
          </w:p>
          <w:p w14:paraId="52D2B84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78F456C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50B11795"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56</w:t>
            </w:r>
          </w:p>
        </w:tc>
        <w:tc>
          <w:tcPr>
            <w:tcW w:w="992" w:type="dxa"/>
          </w:tcPr>
          <w:p w14:paraId="34E2978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73DB0AAC"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Verzenio</w:t>
            </w:r>
          </w:p>
        </w:tc>
      </w:tr>
      <w:tr w:rsidR="00B87DAF" w:rsidRPr="007154CE" w14:paraId="5347FE9F"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DD86FDB" w14:textId="77777777" w:rsidR="00B87DAF" w:rsidRPr="00492D82" w:rsidRDefault="00B87DAF" w:rsidP="003F6EFC">
            <w:pPr>
              <w:rPr>
                <w:rFonts w:ascii="Arial Narrow" w:hAnsi="Arial Narrow"/>
                <w:sz w:val="20"/>
                <w:szCs w:val="20"/>
                <w:highlight w:val="lightGray"/>
              </w:rPr>
            </w:pPr>
          </w:p>
        </w:tc>
      </w:tr>
      <w:tr w:rsidR="00B87DAF" w:rsidRPr="00264F00" w14:paraId="3918902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C000058" w14:textId="0D07D74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19D6A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354BD434"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87DAF" w:rsidRPr="00264F00" w14:paraId="28283B3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E5F0A05" w14:textId="00DA9AB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106A9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53D4DCD2"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Cyclin-dependent kinase 4 and 6 (CDK4/6) inhibitors for the purposes of this restriction are abemaciclib, palbociclib and ribociclib.</w:t>
            </w:r>
          </w:p>
        </w:tc>
      </w:tr>
      <w:tr w:rsidR="00B87DAF" w:rsidRPr="00264F00" w14:paraId="5013025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A742EB5" w14:textId="5D6ECCE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30900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B87DAF" w:rsidRPr="00264F00" w14:paraId="1D37A37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44D7F41" w14:textId="7EB7930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17843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r w:rsidRPr="00492D82">
              <w:rPr>
                <w:rFonts w:ascii="Arial Narrow" w:hAnsi="Arial Narrow"/>
                <w:b/>
                <w:bCs/>
                <w:sz w:val="20"/>
                <w:szCs w:val="20"/>
              </w:rPr>
              <w:t>.</w:t>
            </w:r>
          </w:p>
        </w:tc>
      </w:tr>
      <w:tr w:rsidR="00B87DAF" w:rsidRPr="00264F00" w14:paraId="55571C3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A861D1C" w14:textId="638F97E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17AD1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B87DAF" w:rsidRPr="00264F00" w14:paraId="5017389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9E38A23" w14:textId="16C3739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370DB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Non-steroidal aromatase inhibitors for the purposes of this restriction are anastrozole and letrozole.</w:t>
            </w:r>
          </w:p>
        </w:tc>
      </w:tr>
      <w:tr w:rsidR="00B87DAF" w:rsidRPr="00264F00" w14:paraId="10C6F71F"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5E301C0" w14:textId="77777777" w:rsidR="00B87DAF" w:rsidRPr="00492D82" w:rsidRDefault="00B87DAF" w:rsidP="003F6EFC">
            <w:pPr>
              <w:rPr>
                <w:rFonts w:ascii="Arial Narrow" w:hAnsi="Arial Narrow"/>
                <w:b/>
                <w:bCs/>
                <w:sz w:val="20"/>
                <w:szCs w:val="20"/>
              </w:rPr>
            </w:pPr>
          </w:p>
        </w:tc>
      </w:tr>
      <w:tr w:rsidR="00B87DAF" w:rsidRPr="00264F00" w14:paraId="731843BF"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C0327F8" w14:textId="7FB63B24"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6021286A" w14:textId="77777777" w:rsidR="00B87DAF" w:rsidRPr="00492D82" w:rsidRDefault="00B87DAF" w:rsidP="003F6EFC">
            <w:pPr>
              <w:rPr>
                <w:rFonts w:ascii="Arial Narrow" w:hAnsi="Arial Narrow"/>
                <w:b/>
                <w:bCs/>
                <w:sz w:val="20"/>
                <w:szCs w:val="20"/>
              </w:rPr>
            </w:pPr>
          </w:p>
        </w:tc>
      </w:tr>
      <w:tr w:rsidR="00B87DAF" w:rsidRPr="00264F00" w14:paraId="720A577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4EBDD0B" w14:textId="6D66E9F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8B9CC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264F00" w14:paraId="4395924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1CA033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E920A2" w14:textId="77777777" w:rsidR="00B87DAF" w:rsidRPr="00492D82" w:rsidRDefault="00B87DAF" w:rsidP="003F6EFC">
            <w:pPr>
              <w:rPr>
                <w:rFonts w:ascii="Arial Narrow" w:hAnsi="Arial Narrow"/>
                <w:b/>
                <w:bCs/>
                <w:sz w:val="20"/>
                <w:szCs w:val="20"/>
              </w:rPr>
            </w:pPr>
          </w:p>
        </w:tc>
      </w:tr>
      <w:tr w:rsidR="00B87DAF" w:rsidRPr="00264F00" w14:paraId="4B01598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C1AC80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787A8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Initial treatment</w:t>
            </w:r>
          </w:p>
        </w:tc>
      </w:tr>
      <w:tr w:rsidR="00B87DAF" w:rsidRPr="00264F00" w14:paraId="7ECB09E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DD514C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8B8DC8" w14:textId="77777777" w:rsidR="00B87DAF" w:rsidRPr="00492D82" w:rsidRDefault="00B87DAF" w:rsidP="003F6EFC">
            <w:pPr>
              <w:rPr>
                <w:rFonts w:ascii="Arial Narrow" w:hAnsi="Arial Narrow"/>
                <w:b/>
                <w:bCs/>
                <w:sz w:val="20"/>
                <w:szCs w:val="20"/>
              </w:rPr>
            </w:pPr>
          </w:p>
        </w:tc>
      </w:tr>
      <w:tr w:rsidR="00B87DAF" w:rsidRPr="00264F00" w14:paraId="198CF8B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E487B86" w14:textId="2E9F74E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B7A6F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21E66BC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02D8986" w14:textId="36553D0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01B0BE"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be untreated with cyclin-dependent kinase 4/6 (CDK4/6) inhibitor therapy; or</w:t>
            </w:r>
          </w:p>
        </w:tc>
      </w:tr>
      <w:tr w:rsidR="00B87DAF" w:rsidRPr="00264F00" w14:paraId="5319AA8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FC1636C" w14:textId="7F121CD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0FED9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B87DAF" w:rsidRPr="00264F00" w14:paraId="351C371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AAF77C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93B1E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40A633F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6796CB5" w14:textId="74E936E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4C13F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62027B1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324204F" w14:textId="31EC0AD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F85C86"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hormone receptor positive</w:t>
            </w:r>
          </w:p>
        </w:tc>
      </w:tr>
      <w:tr w:rsidR="00B87DAF" w:rsidRPr="00264F00" w14:paraId="093C306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439D9B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62BEB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4EF5726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519ADCB" w14:textId="4767D81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2D1E7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41F6F26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337ADE" w14:textId="75DA580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FD642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264F00" w14:paraId="0DF49FD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BEE80F"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D9649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61635A4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CA5C550" w14:textId="546FE4A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8F7AB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3328473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8B3E9E" w14:textId="63A49C7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EE11A8"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inoperable</w:t>
            </w:r>
          </w:p>
        </w:tc>
      </w:tr>
      <w:tr w:rsidR="00B87DAF" w:rsidRPr="00264F00" w14:paraId="46324B4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B40625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08A1C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06A9F0E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27E6DF6" w14:textId="3D14208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4D2C5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73E5233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08A85DC" w14:textId="482FDE70"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3E2383"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Patient must have a World Health Organisation (WHO) Eastern Cooperative Oncology Group (ECOG) performance status score of 2 or less</w:t>
            </w:r>
          </w:p>
        </w:tc>
      </w:tr>
      <w:tr w:rsidR="00B87DAF" w:rsidRPr="00264F00" w14:paraId="44366E7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884F1E3"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40638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7E80CD0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7385E7C" w14:textId="6F7545E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8DAF0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31FD8C8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E4565F2" w14:textId="0107993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64D2F3"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never been treated with endocrine therapy for advanced/metastatic disease, with one of (i) a non-steroidal aromatase inhibitor, (ii) fulvestrant; or</w:t>
            </w:r>
          </w:p>
        </w:tc>
      </w:tr>
      <w:tr w:rsidR="00B87DAF" w:rsidRPr="00264F00" w14:paraId="2C9FDDE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7058949" w14:textId="1B8EAFC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7098B9"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recurrence/progressive disease despite being treated with endocrine therapy for advanced/metastatic disease, with fulvestrant only</w:t>
            </w:r>
          </w:p>
        </w:tc>
      </w:tr>
      <w:tr w:rsidR="00B87DAF" w:rsidRPr="00264F00" w14:paraId="35F085E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C11BC7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7711B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1210C35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74EE87B" w14:textId="4BFA070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399B8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5394E15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822C204" w14:textId="51EBD96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79CC06"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264F00" w14:paraId="4242AE1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195944F"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675C0A" w14:textId="77777777" w:rsidR="00B87DAF" w:rsidRPr="00492D82" w:rsidRDefault="00B87DAF" w:rsidP="003F6EFC">
            <w:pPr>
              <w:rPr>
                <w:rFonts w:ascii="Arial Narrow" w:hAnsi="Arial Narrow"/>
                <w:b/>
                <w:bCs/>
                <w:sz w:val="20"/>
                <w:szCs w:val="20"/>
              </w:rPr>
            </w:pPr>
          </w:p>
        </w:tc>
      </w:tr>
      <w:tr w:rsidR="00B87DAF" w:rsidRPr="00264F00" w14:paraId="357ADFB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31DACFB" w14:textId="5FFFA4A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81DFF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264F00" w14:paraId="675D70D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5E4BA5B" w14:textId="6D5C4D8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CE1736"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264F00" w14:paraId="7050CE5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6BFF76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82DC79" w14:textId="77777777" w:rsidR="00B87DAF" w:rsidRPr="00492D82" w:rsidRDefault="00B87DAF" w:rsidP="003F6EFC">
            <w:pPr>
              <w:rPr>
                <w:rFonts w:ascii="Arial Narrow" w:hAnsi="Arial Narrow"/>
                <w:sz w:val="20"/>
                <w:szCs w:val="20"/>
              </w:rPr>
            </w:pPr>
          </w:p>
        </w:tc>
      </w:tr>
      <w:tr w:rsidR="00B87DAF" w:rsidRPr="00264F00" w14:paraId="72C0C55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82B855F" w14:textId="0917B42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A85D62"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6E136A91"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79EC2127"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B87DAF" w:rsidRPr="00C367C8" w14:paraId="386EDCD3"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85F4AEF" w14:textId="77777777" w:rsidR="00B87DAF" w:rsidRPr="00492D82" w:rsidRDefault="00B87DAF" w:rsidP="003F6EFC">
            <w:pPr>
              <w:rPr>
                <w:rFonts w:ascii="Arial Narrow" w:hAnsi="Arial Narrow"/>
                <w:b/>
                <w:bCs/>
                <w:sz w:val="20"/>
                <w:szCs w:val="20"/>
              </w:rPr>
            </w:pPr>
          </w:p>
          <w:p w14:paraId="2ACA92CF" w14:textId="77777777" w:rsidR="00B87DAF" w:rsidRPr="00492D82" w:rsidRDefault="00B87DAF" w:rsidP="003F6EFC">
            <w:pPr>
              <w:rPr>
                <w:rFonts w:ascii="Arial Narrow" w:hAnsi="Arial Narrow"/>
                <w:b/>
                <w:bCs/>
                <w:sz w:val="20"/>
                <w:szCs w:val="20"/>
              </w:rPr>
            </w:pPr>
          </w:p>
        </w:tc>
      </w:tr>
      <w:tr w:rsidR="00B87DAF" w:rsidRPr="00C367C8" w14:paraId="080E87C0"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1A6B63" w14:textId="55A824FA"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60967B8C" w14:textId="77777777" w:rsidR="00B87DAF" w:rsidRPr="00492D82" w:rsidRDefault="00B87DAF" w:rsidP="003F6EFC">
            <w:pPr>
              <w:rPr>
                <w:rFonts w:ascii="Arial Narrow" w:hAnsi="Arial Narrow"/>
                <w:b/>
                <w:bCs/>
                <w:sz w:val="20"/>
                <w:szCs w:val="20"/>
              </w:rPr>
            </w:pPr>
          </w:p>
        </w:tc>
      </w:tr>
      <w:tr w:rsidR="00B87DAF" w:rsidRPr="0076336D" w14:paraId="77FB910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07A74B8" w14:textId="5FDEC9C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DC718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76336D" w14:paraId="46A1BCF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8F846C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BF72BE" w14:textId="77777777" w:rsidR="00B87DAF" w:rsidRPr="00492D82" w:rsidRDefault="00B87DAF" w:rsidP="003F6EFC">
            <w:pPr>
              <w:rPr>
                <w:rFonts w:ascii="Arial Narrow" w:hAnsi="Arial Narrow"/>
                <w:b/>
                <w:bCs/>
                <w:sz w:val="20"/>
                <w:szCs w:val="20"/>
              </w:rPr>
            </w:pPr>
          </w:p>
        </w:tc>
      </w:tr>
      <w:tr w:rsidR="00B87DAF" w:rsidRPr="0076336D" w14:paraId="1C55E41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5DA1BD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6A694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Continuing treatment</w:t>
            </w:r>
          </w:p>
        </w:tc>
      </w:tr>
      <w:tr w:rsidR="00B87DAF" w:rsidRPr="0076336D" w14:paraId="30F7C9F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1D417F"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665C82" w14:textId="77777777" w:rsidR="00B87DAF" w:rsidRPr="00492D82" w:rsidRDefault="00B87DAF" w:rsidP="003F6EFC">
            <w:pPr>
              <w:rPr>
                <w:rFonts w:ascii="Arial Narrow" w:hAnsi="Arial Narrow"/>
                <w:b/>
                <w:bCs/>
                <w:sz w:val="20"/>
                <w:szCs w:val="20"/>
              </w:rPr>
            </w:pPr>
          </w:p>
        </w:tc>
      </w:tr>
      <w:tr w:rsidR="00B87DAF" w:rsidRPr="0076336D" w14:paraId="4F55911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D0C8B76" w14:textId="00F0606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4EE93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515D054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0AAE17D" w14:textId="20AEA88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99479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previously received PBS-subsidised treatment with this drug for this condition</w:t>
            </w:r>
          </w:p>
        </w:tc>
      </w:tr>
      <w:tr w:rsidR="00B87DAF" w:rsidRPr="0076336D" w14:paraId="3E60BEB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8A0A4A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D95A0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08CC61F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080BD49" w14:textId="678438D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EA4E5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3846E88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3D7B61F" w14:textId="5685170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72983B"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B87DAF" w:rsidRPr="0076336D" w14:paraId="418557F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353356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343FE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4F64025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38B814F" w14:textId="4AD199B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EC757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7DF854E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AB9C952" w14:textId="660325C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6D3E35"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The treatment must be in combination with one of: (i) non-steroidal aromatase inhibitor, (ii) fulvestrant</w:t>
            </w:r>
          </w:p>
        </w:tc>
      </w:tr>
      <w:tr w:rsidR="00B87DAF" w:rsidRPr="0076336D" w14:paraId="6A606B4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ADE70C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9A093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0BA40B2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0007D02" w14:textId="21CDE9E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C863A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2947DCD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F4BEECB" w14:textId="7393719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14BA9D"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76336D" w14:paraId="3F4FDE5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4F0331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E402E5" w14:textId="77777777" w:rsidR="00B87DAF" w:rsidRPr="00492D82" w:rsidRDefault="00B87DAF" w:rsidP="003F6EFC">
            <w:pPr>
              <w:rPr>
                <w:rFonts w:ascii="Arial Narrow" w:hAnsi="Arial Narrow"/>
                <w:b/>
                <w:bCs/>
                <w:sz w:val="20"/>
                <w:szCs w:val="20"/>
              </w:rPr>
            </w:pPr>
          </w:p>
        </w:tc>
      </w:tr>
      <w:tr w:rsidR="00B87DAF" w:rsidRPr="0076336D" w14:paraId="7DBB12B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6126116" w14:textId="7A78FDC0"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2377E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76336D" w14:paraId="57ADD80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CC9A264" w14:textId="0EAB979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679AE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76336D" w14:paraId="034D820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34524B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9D4ADB" w14:textId="77777777" w:rsidR="00B87DAF" w:rsidRPr="00492D82" w:rsidRDefault="00B87DAF" w:rsidP="003F6EFC">
            <w:pPr>
              <w:rPr>
                <w:rFonts w:ascii="Arial Narrow" w:hAnsi="Arial Narrow"/>
                <w:sz w:val="20"/>
                <w:szCs w:val="20"/>
              </w:rPr>
            </w:pPr>
          </w:p>
        </w:tc>
      </w:tr>
      <w:tr w:rsidR="00B87DAF" w:rsidRPr="0076336D" w14:paraId="1F78CDF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2680095" w14:textId="67E2C0B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EB26C6"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0A3B612F"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230C0717"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Previous PBS-subsidised treatment with this drug for this condition means that treatment has been initiated under the PBS indication for locally advanced/metastatic disease through the initial treatment phase.  Subsidy commenced under the early disease indication must not continue through this treatment phase.</w:t>
            </w:r>
          </w:p>
        </w:tc>
      </w:tr>
      <w:bookmarkEnd w:id="81"/>
    </w:tbl>
    <w:p w14:paraId="3286076F" w14:textId="77777777" w:rsidR="00B87DAF" w:rsidRDefault="00B87DAF" w:rsidP="00B87DAF"/>
    <w:p w14:paraId="4F0E8C94" w14:textId="7BEAAD66" w:rsidR="00B87DAF" w:rsidRDefault="009E3D59" w:rsidP="00B87DAF">
      <w:r>
        <w:t>8.3</w:t>
      </w:r>
      <w:r>
        <w:tab/>
      </w:r>
      <w:r w:rsidR="00B87DAF">
        <w:t>Amend the following palbociclib listings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B87DAF" w:rsidRPr="007154CE" w14:paraId="47AA94BC" w14:textId="77777777" w:rsidTr="003F6EF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708F61DF" w14:textId="77777777" w:rsidR="00B87DAF" w:rsidRPr="00492D82" w:rsidRDefault="00B87DAF" w:rsidP="003F6EFC">
            <w:pPr>
              <w:keepNext/>
              <w:rPr>
                <w:rFonts w:ascii="Arial Narrow" w:hAnsi="Arial Narrow"/>
                <w:b/>
                <w:sz w:val="20"/>
                <w:szCs w:val="20"/>
              </w:rPr>
            </w:pPr>
            <w:r w:rsidRPr="00492D82">
              <w:rPr>
                <w:rFonts w:ascii="Arial Narrow" w:hAnsi="Arial Narrow"/>
                <w:b/>
                <w:sz w:val="20"/>
                <w:szCs w:val="20"/>
              </w:rPr>
              <w:t xml:space="preserve">Category / Program: </w:t>
            </w:r>
            <w:r w:rsidRPr="00492D82">
              <w:rPr>
                <w:rFonts w:ascii="Arial Narrow" w:hAnsi="Arial Narrow"/>
                <w:sz w:val="20"/>
                <w:szCs w:val="20"/>
              </w:rPr>
              <w:t xml:space="preserve">GENERAL – General Schedule (Code GE) </w:t>
            </w:r>
          </w:p>
        </w:tc>
      </w:tr>
      <w:tr w:rsidR="00B87DAF" w:rsidRPr="007154CE" w14:paraId="3FEEC651" w14:textId="77777777" w:rsidTr="003F6EFC">
        <w:trPr>
          <w:cantSplit/>
          <w:trHeight w:val="471"/>
        </w:trPr>
        <w:tc>
          <w:tcPr>
            <w:tcW w:w="2405" w:type="dxa"/>
            <w:gridSpan w:val="2"/>
            <w:shd w:val="clear" w:color="auto" w:fill="auto"/>
          </w:tcPr>
          <w:p w14:paraId="7618B959" w14:textId="77777777" w:rsidR="00B87DAF" w:rsidRPr="00492D82" w:rsidRDefault="00B87DAF" w:rsidP="003F6EFC">
            <w:pPr>
              <w:keepNext/>
              <w:ind w:left="-57"/>
              <w:rPr>
                <w:rFonts w:ascii="Arial Narrow" w:hAnsi="Arial Narrow"/>
                <w:b/>
                <w:bCs/>
                <w:sz w:val="20"/>
                <w:szCs w:val="20"/>
              </w:rPr>
            </w:pPr>
            <w:r w:rsidRPr="00492D82">
              <w:rPr>
                <w:rFonts w:ascii="Arial Narrow" w:hAnsi="Arial Narrow"/>
                <w:b/>
                <w:bCs/>
                <w:sz w:val="20"/>
                <w:szCs w:val="20"/>
              </w:rPr>
              <w:t>MEDICINAL PRODUCT</w:t>
            </w:r>
          </w:p>
          <w:p w14:paraId="2D8B8F5B" w14:textId="77777777" w:rsidR="00B87DAF" w:rsidRPr="00492D82" w:rsidRDefault="00B87DAF" w:rsidP="003F6EF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5E0771FE" w14:textId="77777777" w:rsidR="00B87DAF" w:rsidRPr="00492D82" w:rsidRDefault="00B87DAF" w:rsidP="003F6EF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5EAD189B"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3195CB66"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5AA8E0C5"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1BC3C1CE" w14:textId="77777777" w:rsidR="00B87DAF" w:rsidRPr="00492D82" w:rsidRDefault="00B87DAF" w:rsidP="003F6EFC">
            <w:pPr>
              <w:keepNext/>
              <w:rPr>
                <w:rFonts w:ascii="Arial Narrow" w:hAnsi="Arial Narrow"/>
                <w:b/>
                <w:sz w:val="20"/>
                <w:szCs w:val="20"/>
                <w:lang w:val="fr-FR"/>
              </w:rPr>
            </w:pPr>
            <w:r w:rsidRPr="00492D82">
              <w:rPr>
                <w:rFonts w:ascii="Arial Narrow" w:hAnsi="Arial Narrow"/>
                <w:b/>
                <w:sz w:val="20"/>
                <w:szCs w:val="20"/>
              </w:rPr>
              <w:t>Available brands</w:t>
            </w:r>
          </w:p>
        </w:tc>
      </w:tr>
      <w:tr w:rsidR="00B87DAF" w:rsidRPr="007154CE" w14:paraId="5ACB3F1E" w14:textId="77777777" w:rsidTr="003F6EFC">
        <w:trPr>
          <w:cantSplit/>
          <w:trHeight w:val="224"/>
        </w:trPr>
        <w:tc>
          <w:tcPr>
            <w:tcW w:w="9067" w:type="dxa"/>
            <w:gridSpan w:val="7"/>
            <w:shd w:val="clear" w:color="auto" w:fill="auto"/>
          </w:tcPr>
          <w:p w14:paraId="463ADA08"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PALBOCICLIB </w:t>
            </w:r>
          </w:p>
        </w:tc>
      </w:tr>
      <w:tr w:rsidR="00B87DAF" w:rsidRPr="007154CE" w14:paraId="7005DF88" w14:textId="77777777" w:rsidTr="003F6EFC">
        <w:trPr>
          <w:cantSplit/>
          <w:trHeight w:val="232"/>
        </w:trPr>
        <w:tc>
          <w:tcPr>
            <w:tcW w:w="2405" w:type="dxa"/>
            <w:gridSpan w:val="2"/>
            <w:shd w:val="clear" w:color="auto" w:fill="auto"/>
          </w:tcPr>
          <w:p w14:paraId="4241566A"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palbociclib 125 mg tablet, 21 </w:t>
            </w:r>
          </w:p>
        </w:tc>
        <w:tc>
          <w:tcPr>
            <w:tcW w:w="1418" w:type="dxa"/>
          </w:tcPr>
          <w:p w14:paraId="5F9CE54A"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12822W</w:t>
            </w:r>
          </w:p>
          <w:p w14:paraId="21153E59" w14:textId="77777777" w:rsidR="00B87DAF" w:rsidRPr="00492D82" w:rsidRDefault="00B87DAF" w:rsidP="003F6EF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4705967A"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3C6A9E5D"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21</w:t>
            </w:r>
          </w:p>
        </w:tc>
        <w:tc>
          <w:tcPr>
            <w:tcW w:w="992" w:type="dxa"/>
          </w:tcPr>
          <w:p w14:paraId="614A19AB"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72C7A4B0"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Ibrance</w:t>
            </w:r>
          </w:p>
        </w:tc>
      </w:tr>
      <w:tr w:rsidR="00B87DAF" w:rsidRPr="007154CE" w14:paraId="739594D0" w14:textId="77777777" w:rsidTr="003F6EFC">
        <w:trPr>
          <w:cantSplit/>
          <w:trHeight w:val="264"/>
        </w:trPr>
        <w:tc>
          <w:tcPr>
            <w:tcW w:w="2405" w:type="dxa"/>
            <w:gridSpan w:val="2"/>
            <w:shd w:val="clear" w:color="auto" w:fill="auto"/>
          </w:tcPr>
          <w:p w14:paraId="2C5D5E51"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palbociclib 100 mg tablet, 21</w:t>
            </w:r>
          </w:p>
        </w:tc>
        <w:tc>
          <w:tcPr>
            <w:tcW w:w="1418" w:type="dxa"/>
          </w:tcPr>
          <w:p w14:paraId="14F81149"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12819Q</w:t>
            </w:r>
          </w:p>
          <w:p w14:paraId="0BBBD86B"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406A2B8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4413DB44"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21</w:t>
            </w:r>
          </w:p>
        </w:tc>
        <w:tc>
          <w:tcPr>
            <w:tcW w:w="992" w:type="dxa"/>
          </w:tcPr>
          <w:p w14:paraId="48CF8CA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5D53D169"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 xml:space="preserve">Ibrance </w:t>
            </w:r>
          </w:p>
        </w:tc>
      </w:tr>
      <w:tr w:rsidR="00B87DAF" w:rsidRPr="007154CE" w14:paraId="799348A9" w14:textId="77777777" w:rsidTr="003F6EFC">
        <w:trPr>
          <w:cantSplit/>
          <w:trHeight w:val="281"/>
        </w:trPr>
        <w:tc>
          <w:tcPr>
            <w:tcW w:w="2405" w:type="dxa"/>
            <w:gridSpan w:val="2"/>
            <w:shd w:val="clear" w:color="auto" w:fill="auto"/>
          </w:tcPr>
          <w:p w14:paraId="4C7AF070" w14:textId="77777777" w:rsidR="00B87DAF" w:rsidRPr="00492D82" w:rsidRDefault="00B87DAF" w:rsidP="003F6EFC">
            <w:pPr>
              <w:keepNext/>
              <w:tabs>
                <w:tab w:val="left" w:pos="1077"/>
              </w:tabs>
              <w:ind w:left="-57"/>
              <w:rPr>
                <w:rFonts w:ascii="Arial Narrow" w:hAnsi="Arial Narrow"/>
                <w:sz w:val="20"/>
                <w:szCs w:val="20"/>
              </w:rPr>
            </w:pPr>
            <w:r w:rsidRPr="00492D82">
              <w:rPr>
                <w:rFonts w:ascii="Arial Narrow" w:hAnsi="Arial Narrow"/>
                <w:sz w:val="20"/>
                <w:szCs w:val="20"/>
              </w:rPr>
              <w:t>palbociclib 75 mg tablet, 21</w:t>
            </w:r>
          </w:p>
        </w:tc>
        <w:tc>
          <w:tcPr>
            <w:tcW w:w="1418" w:type="dxa"/>
          </w:tcPr>
          <w:p w14:paraId="2366E2B7"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12818P</w:t>
            </w:r>
          </w:p>
          <w:p w14:paraId="3D143AC8"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vertAlign w:val="subscript"/>
              </w:rPr>
              <w:t>MP</w:t>
            </w:r>
          </w:p>
        </w:tc>
        <w:tc>
          <w:tcPr>
            <w:tcW w:w="1275" w:type="dxa"/>
          </w:tcPr>
          <w:p w14:paraId="4C1FDC41"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7D517C08"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21</w:t>
            </w:r>
          </w:p>
        </w:tc>
        <w:tc>
          <w:tcPr>
            <w:tcW w:w="992" w:type="dxa"/>
          </w:tcPr>
          <w:p w14:paraId="3A10379E"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1B3273DB"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Ibrance</w:t>
            </w:r>
          </w:p>
        </w:tc>
      </w:tr>
      <w:tr w:rsidR="00B87DAF" w:rsidRPr="007154CE" w14:paraId="0EF447F0"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2576CC3" w14:textId="77777777" w:rsidR="00B87DAF" w:rsidRPr="00492D82" w:rsidRDefault="00B87DAF" w:rsidP="003F6EFC">
            <w:pPr>
              <w:rPr>
                <w:rFonts w:ascii="Arial Narrow" w:hAnsi="Arial Narrow"/>
                <w:sz w:val="20"/>
                <w:szCs w:val="20"/>
                <w:highlight w:val="lightGray"/>
              </w:rPr>
            </w:pPr>
          </w:p>
        </w:tc>
      </w:tr>
      <w:tr w:rsidR="00B87DAF" w:rsidRPr="00264F00" w14:paraId="570082C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C788686" w14:textId="2F5CA68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CD8F5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B87DAF" w:rsidRPr="00264F00" w14:paraId="64B6895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9A4D58B" w14:textId="106D0D8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A10E8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r w:rsidRPr="00492D82">
              <w:rPr>
                <w:rFonts w:ascii="Arial Narrow" w:hAnsi="Arial Narrow"/>
                <w:b/>
                <w:bCs/>
                <w:sz w:val="20"/>
                <w:szCs w:val="20"/>
              </w:rPr>
              <w:t>.</w:t>
            </w:r>
          </w:p>
        </w:tc>
      </w:tr>
      <w:tr w:rsidR="00B87DAF" w:rsidRPr="00264F00" w14:paraId="36C96FA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9BF889A" w14:textId="42AD3D1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E8460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10D42CDA"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87DAF" w:rsidRPr="00264F00" w14:paraId="1E2E19B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8CD25F1" w14:textId="0B0CE8D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358B4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B87DAF" w:rsidRPr="00264F00" w14:paraId="7694D40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99E1870" w14:textId="094DE31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1C640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6936CE4A"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Cyclin-dependent kinase 4 and 6 (CDK4/6) inhibitors for the purposes of this restriction are abemaciclib, palbociclib and ribociclib.</w:t>
            </w:r>
          </w:p>
        </w:tc>
      </w:tr>
      <w:tr w:rsidR="00B87DAF" w:rsidRPr="00264F00" w14:paraId="23E0694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9821DC" w14:textId="0C0CBDE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57C9A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Non-steroidal aromatase inhibitors for the purposes of this restriction are anastrozole and letrozole.</w:t>
            </w:r>
          </w:p>
        </w:tc>
      </w:tr>
      <w:tr w:rsidR="00B87DAF" w:rsidRPr="00264F00" w14:paraId="48E04F9F"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34BA69" w14:textId="77777777" w:rsidR="00B87DAF" w:rsidRPr="00492D82" w:rsidRDefault="00B87DAF" w:rsidP="003F6EFC">
            <w:pPr>
              <w:rPr>
                <w:rFonts w:ascii="Arial Narrow" w:hAnsi="Arial Narrow"/>
                <w:b/>
                <w:bCs/>
                <w:sz w:val="20"/>
                <w:szCs w:val="20"/>
              </w:rPr>
            </w:pPr>
          </w:p>
        </w:tc>
      </w:tr>
      <w:tr w:rsidR="00B87DAF" w:rsidRPr="00264F00" w14:paraId="77309EC8"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5B5BCE" w14:textId="364C7CCD"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Edit Restriction Summary </w:t>
            </w:r>
            <w:r w:rsidR="00243CD6">
              <w:rPr>
                <w:rFonts w:ascii="Arial Narrow" w:hAnsi="Arial Narrow"/>
                <w:b/>
                <w:bCs/>
                <w:sz w:val="20"/>
                <w:szCs w:val="20"/>
              </w:rPr>
              <w:t>/</w:t>
            </w:r>
            <w:r w:rsidRPr="00492D82">
              <w:rPr>
                <w:rFonts w:ascii="Arial Narrow" w:hAnsi="Arial Narrow"/>
                <w:b/>
                <w:bCs/>
                <w:sz w:val="20"/>
                <w:szCs w:val="20"/>
              </w:rPr>
              <w:t xml:space="preserve"> ToC: Authority Required</w:t>
            </w:r>
          </w:p>
          <w:p w14:paraId="2BDDCDE5" w14:textId="77777777" w:rsidR="00B87DAF" w:rsidRPr="00492D82" w:rsidRDefault="00B87DAF" w:rsidP="003F6EFC">
            <w:pPr>
              <w:rPr>
                <w:rFonts w:ascii="Arial Narrow" w:hAnsi="Arial Narrow"/>
                <w:b/>
                <w:bCs/>
                <w:sz w:val="20"/>
                <w:szCs w:val="20"/>
              </w:rPr>
            </w:pPr>
          </w:p>
        </w:tc>
      </w:tr>
      <w:tr w:rsidR="00B87DAF" w:rsidRPr="00264F00" w14:paraId="5600C19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F4861A2" w14:textId="4D3BFD9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D64AC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264F00" w14:paraId="4555023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60E8D6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5364F6" w14:textId="77777777" w:rsidR="00B87DAF" w:rsidRPr="00492D82" w:rsidRDefault="00B87DAF" w:rsidP="003F6EFC">
            <w:pPr>
              <w:rPr>
                <w:rFonts w:ascii="Arial Narrow" w:hAnsi="Arial Narrow"/>
                <w:b/>
                <w:bCs/>
                <w:sz w:val="20"/>
                <w:szCs w:val="20"/>
              </w:rPr>
            </w:pPr>
          </w:p>
        </w:tc>
      </w:tr>
      <w:tr w:rsidR="00B87DAF" w:rsidRPr="00264F00" w14:paraId="4E81434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942D17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69D79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Initial treatment</w:t>
            </w:r>
          </w:p>
        </w:tc>
      </w:tr>
      <w:tr w:rsidR="00B87DAF" w:rsidRPr="00264F00" w14:paraId="670B1DE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FFFD3B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68E44D" w14:textId="77777777" w:rsidR="00B87DAF" w:rsidRPr="00492D82" w:rsidRDefault="00B87DAF" w:rsidP="003F6EFC">
            <w:pPr>
              <w:rPr>
                <w:rFonts w:ascii="Arial Narrow" w:hAnsi="Arial Narrow"/>
                <w:b/>
                <w:bCs/>
                <w:sz w:val="20"/>
                <w:szCs w:val="20"/>
              </w:rPr>
            </w:pPr>
          </w:p>
        </w:tc>
      </w:tr>
      <w:tr w:rsidR="00B87DAF" w:rsidRPr="00264F00" w14:paraId="684B6C8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08664FB" w14:textId="117B9BB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DCD10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3E48C61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08E79D7" w14:textId="4E116E8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E4F2F0"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be untreated with cyclin-dependent kinase 4/6 (CDK4/6) inhibitor therapy; or</w:t>
            </w:r>
          </w:p>
        </w:tc>
      </w:tr>
      <w:tr w:rsidR="00B87DAF" w:rsidRPr="00264F00" w14:paraId="4299B8B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8E53A14" w14:textId="0DC93F7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F1C830"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B87DAF" w:rsidRPr="00264F00" w14:paraId="3F8512C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E51530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EAECA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5F4D058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F2EA699" w14:textId="7C9410E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BA25E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192A0F2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8D9FA90" w14:textId="5758ED2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6E3D1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hormone receptor positive</w:t>
            </w:r>
          </w:p>
        </w:tc>
      </w:tr>
      <w:tr w:rsidR="00B87DAF" w:rsidRPr="00264F00" w14:paraId="63C3E17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93C0F9"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5F1C0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0A11180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CAE25D0" w14:textId="098F6BA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ED9F9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6356D8D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CD3EE8E" w14:textId="5E21C81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739CE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264F00" w14:paraId="77E39D8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5C91C8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59176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5784CEB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21E9549" w14:textId="5107410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52048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02CE74F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CFB1F3F" w14:textId="1E56755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EA626A"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inoperable</w:t>
            </w:r>
          </w:p>
        </w:tc>
      </w:tr>
      <w:tr w:rsidR="00B87DAF" w:rsidRPr="00264F00" w14:paraId="33F1AD4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56B111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7C3B0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7909F45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9912A93" w14:textId="75E1907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1B229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3DC273F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DF0458A" w14:textId="696FB54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A889FC"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Patient must have a World Health Organisation (WHO) Eastern Cooperative Oncology Group (ECOG) performance status score of 2 or less</w:t>
            </w:r>
          </w:p>
        </w:tc>
      </w:tr>
      <w:tr w:rsidR="00B87DAF" w:rsidRPr="00264F00" w14:paraId="2A7D1F2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7E8C33E"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9717E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213A783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D222A3D" w14:textId="7D89C6B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BB29A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3AB8DAB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B228974" w14:textId="299A6D7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001F2D"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never been treated with endocrine therapy for advanced/metastatic disease, with a non-steroidal aromatase inhibitor; or</w:t>
            </w:r>
          </w:p>
        </w:tc>
      </w:tr>
      <w:tr w:rsidR="00B87DAF" w:rsidRPr="00264F00" w14:paraId="3BCD225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0AC52E2" w14:textId="2465832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F49A38"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recurrence/progressive disease despite being treated with endocrine therapy for advanced/metastatic disease, with fulvestrant only</w:t>
            </w:r>
          </w:p>
        </w:tc>
      </w:tr>
      <w:tr w:rsidR="00B87DAF" w:rsidRPr="00264F00" w14:paraId="576AEF0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7AA84A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B08F0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64F00" w14:paraId="32B57A2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5FEAE1" w14:textId="6565801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C29AB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64F00" w14:paraId="40BF42A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71BFBB0" w14:textId="01EF645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9380C2"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264F00" w14:paraId="0F8E707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46CF90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996A43" w14:textId="77777777" w:rsidR="00B87DAF" w:rsidRPr="00492D82" w:rsidRDefault="00B87DAF" w:rsidP="003F6EFC">
            <w:pPr>
              <w:rPr>
                <w:rFonts w:ascii="Arial Narrow" w:hAnsi="Arial Narrow"/>
                <w:b/>
                <w:bCs/>
                <w:sz w:val="20"/>
                <w:szCs w:val="20"/>
              </w:rPr>
            </w:pPr>
          </w:p>
        </w:tc>
      </w:tr>
      <w:tr w:rsidR="00B87DAF" w:rsidRPr="00264F00" w14:paraId="078A164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67C92AA" w14:textId="57E95F1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13680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264F00" w14:paraId="7FC137E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7857DCE" w14:textId="2EF17DA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3823C6"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264F00" w14:paraId="486ED62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28A4BA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84D1BA" w14:textId="77777777" w:rsidR="00B87DAF" w:rsidRPr="00492D82" w:rsidRDefault="00B87DAF" w:rsidP="003F6EFC">
            <w:pPr>
              <w:rPr>
                <w:rFonts w:ascii="Arial Narrow" w:hAnsi="Arial Narrow"/>
                <w:sz w:val="20"/>
                <w:szCs w:val="20"/>
              </w:rPr>
            </w:pPr>
          </w:p>
        </w:tc>
      </w:tr>
      <w:tr w:rsidR="00B87DAF" w:rsidRPr="00264F00" w14:paraId="0B2DA21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01D36AC" w14:textId="016F268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C714CF"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1F764F79"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18D3AA01"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B87DAF" w:rsidRPr="00C367C8" w14:paraId="47C43FA1"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AEEE0A" w14:textId="77777777" w:rsidR="00B87DAF" w:rsidRPr="00492D82" w:rsidRDefault="00B87DAF" w:rsidP="003F6EFC">
            <w:pPr>
              <w:rPr>
                <w:rFonts w:ascii="Arial Narrow" w:hAnsi="Arial Narrow"/>
                <w:b/>
                <w:bCs/>
                <w:sz w:val="20"/>
                <w:szCs w:val="20"/>
              </w:rPr>
            </w:pPr>
          </w:p>
          <w:p w14:paraId="01EEF89D" w14:textId="77777777" w:rsidR="00B87DAF" w:rsidRPr="00492D82" w:rsidRDefault="00B87DAF" w:rsidP="003F6EFC">
            <w:pPr>
              <w:rPr>
                <w:rFonts w:ascii="Arial Narrow" w:hAnsi="Arial Narrow"/>
                <w:b/>
                <w:bCs/>
                <w:sz w:val="20"/>
                <w:szCs w:val="20"/>
              </w:rPr>
            </w:pPr>
          </w:p>
        </w:tc>
      </w:tr>
      <w:tr w:rsidR="00B87DAF" w:rsidRPr="00C367C8" w14:paraId="07C5B55D"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C9DDDB" w14:textId="4150A0F7"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3150E749" w14:textId="77777777" w:rsidR="00B87DAF" w:rsidRPr="00492D82" w:rsidRDefault="00B87DAF" w:rsidP="003F6EFC">
            <w:pPr>
              <w:rPr>
                <w:rFonts w:ascii="Arial Narrow" w:hAnsi="Arial Narrow"/>
                <w:b/>
                <w:bCs/>
                <w:sz w:val="20"/>
                <w:szCs w:val="20"/>
              </w:rPr>
            </w:pPr>
          </w:p>
        </w:tc>
      </w:tr>
      <w:tr w:rsidR="00B87DAF" w:rsidRPr="0076336D" w14:paraId="3D8DA66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CB5C18" w14:textId="5B35A6A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98DE1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76336D" w14:paraId="1DBAF69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E3562CE"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1C822E" w14:textId="77777777" w:rsidR="00B87DAF" w:rsidRPr="00492D82" w:rsidRDefault="00B87DAF" w:rsidP="003F6EFC">
            <w:pPr>
              <w:rPr>
                <w:rFonts w:ascii="Arial Narrow" w:hAnsi="Arial Narrow"/>
                <w:b/>
                <w:bCs/>
                <w:sz w:val="20"/>
                <w:szCs w:val="20"/>
              </w:rPr>
            </w:pPr>
          </w:p>
        </w:tc>
      </w:tr>
      <w:tr w:rsidR="00B87DAF" w:rsidRPr="0076336D" w14:paraId="1F79191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8934E4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2E0B6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Continuing treatment</w:t>
            </w:r>
          </w:p>
        </w:tc>
      </w:tr>
      <w:tr w:rsidR="00B87DAF" w:rsidRPr="0076336D" w14:paraId="7A2D59F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3C41539"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ECFFA" w14:textId="77777777" w:rsidR="00B87DAF" w:rsidRPr="00492D82" w:rsidRDefault="00B87DAF" w:rsidP="003F6EFC">
            <w:pPr>
              <w:rPr>
                <w:rFonts w:ascii="Arial Narrow" w:hAnsi="Arial Narrow"/>
                <w:b/>
                <w:bCs/>
                <w:sz w:val="20"/>
                <w:szCs w:val="20"/>
              </w:rPr>
            </w:pPr>
          </w:p>
        </w:tc>
      </w:tr>
      <w:tr w:rsidR="00B87DAF" w:rsidRPr="0076336D" w14:paraId="0E7F64E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8E283F9" w14:textId="3447884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EDB68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643B8C9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84EDD4A" w14:textId="3743A7F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8C44E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previously received PBS-subsidised treatment with this drug for this condition</w:t>
            </w:r>
          </w:p>
        </w:tc>
      </w:tr>
      <w:tr w:rsidR="00B87DAF" w:rsidRPr="0076336D" w14:paraId="194637B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B8E15D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E8926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7CE0A61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5D43256" w14:textId="398F93F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9BD25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3AAC60A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151E9A6" w14:textId="542C070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7D5ED8"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B87DAF" w:rsidRPr="0076336D" w14:paraId="7A93816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203EA5E"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42BE8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0C4A8F0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7D941A4" w14:textId="381770E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B7DA9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3CCD1FA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35ED3A5" w14:textId="7652954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EA2654"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The treatment must be in combination with one of: (i) non-steroidal aromatase inhibitor, (ii) fulvestrant</w:t>
            </w:r>
          </w:p>
        </w:tc>
      </w:tr>
      <w:tr w:rsidR="00B87DAF" w:rsidRPr="0076336D" w14:paraId="3FAF183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4436FC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231A2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76336D" w14:paraId="28934FC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41E6B4" w14:textId="59356BF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3C5B9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76336D" w14:paraId="027F543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6696D66" w14:textId="717C560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96BA8D"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76336D" w14:paraId="45CDCA0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9CDB2A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4B2B6E" w14:textId="77777777" w:rsidR="00B87DAF" w:rsidRPr="00492D82" w:rsidRDefault="00B87DAF" w:rsidP="003F6EFC">
            <w:pPr>
              <w:rPr>
                <w:rFonts w:ascii="Arial Narrow" w:hAnsi="Arial Narrow"/>
                <w:b/>
                <w:bCs/>
                <w:sz w:val="20"/>
                <w:szCs w:val="20"/>
              </w:rPr>
            </w:pPr>
          </w:p>
        </w:tc>
      </w:tr>
      <w:tr w:rsidR="00B87DAF" w:rsidRPr="0076336D" w14:paraId="203347D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2CBD7FE" w14:textId="49FCF5D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29EB4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76336D" w14:paraId="157FE48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A575C5E" w14:textId="087085B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7F5F83"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76336D" w14:paraId="27F8BD9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66E006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116913" w14:textId="77777777" w:rsidR="00B87DAF" w:rsidRPr="00492D82" w:rsidRDefault="00B87DAF" w:rsidP="003F6EFC">
            <w:pPr>
              <w:rPr>
                <w:rFonts w:ascii="Arial Narrow" w:hAnsi="Arial Narrow"/>
                <w:sz w:val="20"/>
                <w:szCs w:val="20"/>
              </w:rPr>
            </w:pPr>
          </w:p>
        </w:tc>
      </w:tr>
      <w:tr w:rsidR="00B87DAF" w:rsidRPr="0076336D" w14:paraId="4AE6018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40DB36" w14:textId="5FC7597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268B8C" w14:textId="77777777" w:rsidR="00B87DAF" w:rsidRPr="00492D82" w:rsidRDefault="00B87DAF" w:rsidP="003F6EFC">
            <w:pPr>
              <w:rPr>
                <w:rFonts w:ascii="Arial Narrow" w:hAnsi="Arial Narrow"/>
                <w:strike/>
                <w:sz w:val="20"/>
                <w:szCs w:val="20"/>
              </w:rPr>
            </w:pPr>
            <w:r w:rsidRPr="00492D82">
              <w:rPr>
                <w:rFonts w:ascii="Arial Narrow" w:hAnsi="Arial Narrow"/>
                <w:b/>
                <w:bCs/>
                <w:strike/>
                <w:sz w:val="20"/>
                <w:szCs w:val="20"/>
              </w:rPr>
              <w:t>Prescribing Instructions:</w:t>
            </w:r>
          </w:p>
          <w:p w14:paraId="7EC44708" w14:textId="77777777" w:rsidR="00B87DAF" w:rsidRPr="00492D82" w:rsidRDefault="00B87DAF" w:rsidP="003F6EFC">
            <w:pPr>
              <w:rPr>
                <w:rFonts w:ascii="Arial Narrow" w:hAnsi="Arial Narrow"/>
                <w:sz w:val="20"/>
                <w:szCs w:val="20"/>
              </w:rPr>
            </w:pPr>
            <w:r w:rsidRPr="00492D82">
              <w:rPr>
                <w:rFonts w:ascii="Arial Narrow" w:hAnsi="Arial Narrow"/>
                <w:strike/>
                <w:sz w:val="20"/>
                <w:szCs w:val="20"/>
              </w:rPr>
              <w:t>A patient who has progressive disease when treated with this drug is no longer eligible for PBS-subsidised treatment with this drug.</w:t>
            </w:r>
            <w:r w:rsidRPr="00492D82">
              <w:rPr>
                <w:rFonts w:ascii="Arial Narrow" w:hAnsi="Arial Narrow"/>
                <w:sz w:val="20"/>
                <w:szCs w:val="20"/>
              </w:rPr>
              <w:t xml:space="preserve"> </w:t>
            </w:r>
            <w:r w:rsidRPr="00492D82">
              <w:rPr>
                <w:rFonts w:ascii="Arial Narrow" w:hAnsi="Arial Narrow"/>
                <w:i/>
                <w:iCs/>
                <w:sz w:val="20"/>
                <w:szCs w:val="20"/>
              </w:rPr>
              <w:t xml:space="preserve"> (reason: duplication of concept  23678)</w:t>
            </w:r>
          </w:p>
        </w:tc>
      </w:tr>
      <w:tr w:rsidR="00B87DAF" w:rsidRPr="0076336D" w14:paraId="4241E55D"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D683F7" w14:textId="77777777" w:rsidR="00B87DAF" w:rsidRPr="00492D82" w:rsidRDefault="00B87DAF" w:rsidP="003F6EFC">
            <w:pPr>
              <w:rPr>
                <w:rFonts w:ascii="Arial Narrow" w:hAnsi="Arial Narrow"/>
                <w:sz w:val="20"/>
                <w:szCs w:val="20"/>
              </w:rPr>
            </w:pPr>
          </w:p>
          <w:p w14:paraId="6491A3B3" w14:textId="77777777" w:rsidR="00B87DAF" w:rsidRPr="00492D82" w:rsidRDefault="00B87DAF" w:rsidP="003F6EFC">
            <w:pPr>
              <w:rPr>
                <w:rFonts w:ascii="Arial Narrow" w:hAnsi="Arial Narrow"/>
                <w:sz w:val="20"/>
                <w:szCs w:val="20"/>
              </w:rPr>
            </w:pPr>
          </w:p>
        </w:tc>
      </w:tr>
      <w:tr w:rsidR="00B87DAF" w:rsidRPr="00225F18" w14:paraId="156C6312"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090ABB" w14:textId="19CCA72A"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76EDA1FD" w14:textId="77777777" w:rsidR="00B87DAF" w:rsidRPr="00492D82" w:rsidRDefault="00B87DAF" w:rsidP="003F6EFC">
            <w:pPr>
              <w:rPr>
                <w:rFonts w:ascii="Arial Narrow" w:hAnsi="Arial Narrow"/>
                <w:b/>
                <w:bCs/>
                <w:sz w:val="20"/>
                <w:szCs w:val="20"/>
              </w:rPr>
            </w:pPr>
          </w:p>
        </w:tc>
      </w:tr>
      <w:tr w:rsidR="00B87DAF" w:rsidRPr="00225F18" w14:paraId="06EE661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A215C43" w14:textId="3F999BF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DD756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225F18" w14:paraId="458DCE8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2D00ABB"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385126" w14:textId="77777777" w:rsidR="00B87DAF" w:rsidRPr="00492D82" w:rsidRDefault="00B87DAF" w:rsidP="003F6EFC">
            <w:pPr>
              <w:rPr>
                <w:rFonts w:ascii="Arial Narrow" w:hAnsi="Arial Narrow"/>
                <w:b/>
                <w:bCs/>
                <w:sz w:val="20"/>
                <w:szCs w:val="20"/>
              </w:rPr>
            </w:pPr>
          </w:p>
        </w:tc>
      </w:tr>
      <w:tr w:rsidR="00B87DAF" w:rsidRPr="00225F18" w14:paraId="4236F8B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C39434A"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D76B29"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Treatment Phase:</w:t>
            </w:r>
            <w:r w:rsidRPr="00492D82">
              <w:rPr>
                <w:rFonts w:ascii="Arial Narrow" w:hAnsi="Arial Narrow"/>
                <w:sz w:val="20"/>
                <w:szCs w:val="20"/>
              </w:rPr>
              <w:t xml:space="preserve"> Transitioning from non-PBS to PBS-subsidised supply - Grandfather arrangements</w:t>
            </w:r>
          </w:p>
        </w:tc>
      </w:tr>
      <w:tr w:rsidR="00B87DAF" w:rsidRPr="00225F18" w14:paraId="2205A32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1F0187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E839FF" w14:textId="77777777" w:rsidR="00B87DAF" w:rsidRPr="00492D82" w:rsidRDefault="00B87DAF" w:rsidP="003F6EFC">
            <w:pPr>
              <w:rPr>
                <w:rFonts w:ascii="Arial Narrow" w:hAnsi="Arial Narrow"/>
                <w:b/>
                <w:bCs/>
                <w:sz w:val="20"/>
                <w:szCs w:val="20"/>
              </w:rPr>
            </w:pPr>
          </w:p>
        </w:tc>
      </w:tr>
      <w:tr w:rsidR="00B87DAF" w:rsidRPr="00225F18" w14:paraId="1B0A626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D51263A" w14:textId="03017D7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3450B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3EFAF0C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86E4ABB" w14:textId="6B38230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35DA0D"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received non-PBS-subsidised treatment with this drug for this PBS indication prior to 1 August 2022</w:t>
            </w:r>
          </w:p>
        </w:tc>
      </w:tr>
      <w:tr w:rsidR="00B87DAF" w:rsidRPr="00225F18" w14:paraId="59CB0F1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F3C3C8"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AAA00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4B10C7E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E0F465D" w14:textId="63A50F6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0B498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1C07298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DD1355E" w14:textId="4E4D9C7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F93230"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B87DAF" w:rsidRPr="00225F18" w14:paraId="3BA88E2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9D06AC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9CDBC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09FA13E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C6249BB" w14:textId="12777EB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B3636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35C619B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9DB684D" w14:textId="0D44AF90"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3D3FD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been untreated with cyclin-dependent kinase 4/6 (CDK4/6) inhibitor therapy at the time non-PBS supply was initiated; or</w:t>
            </w:r>
          </w:p>
        </w:tc>
      </w:tr>
      <w:tr w:rsidR="00B87DAF" w:rsidRPr="00225F18" w14:paraId="5BA6630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BD4F3FF" w14:textId="1F0FD79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A13CCE"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B87DAF" w:rsidRPr="00225F18" w14:paraId="65D34FE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9320C9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19B8C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555E87D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6AE7E41" w14:textId="3DCDAE9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2E7C2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262D83E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8F07FF" w14:textId="16B0AE2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328BE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hormone receptor positive</w:t>
            </w:r>
          </w:p>
        </w:tc>
      </w:tr>
      <w:tr w:rsidR="00B87DAF" w:rsidRPr="00225F18" w14:paraId="37C4568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29A868"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2E6AC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7E55146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239206A" w14:textId="1316D8D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9D370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7E2848C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0FCDD35" w14:textId="6E8906B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BF04CF"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225F18" w14:paraId="73409EE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A7CAA0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9376C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05F6264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11C4834" w14:textId="19D49D0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0AAF5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6D1AE7B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F28358F" w14:textId="0C993F6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9B83C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inoperable</w:t>
            </w:r>
          </w:p>
        </w:tc>
      </w:tr>
      <w:tr w:rsidR="00B87DAF" w:rsidRPr="00225F18" w14:paraId="7985A3A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385EC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99BA1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711308B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6E34111" w14:textId="6E224A2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43DA1B"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2B88E95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24306B7" w14:textId="34839E0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655C0B"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had a World Health Organisation (WHO) Eastern Cooperative Oncology Group (ECOG) performance status score no higher than 2 at the time non-PBS supply was initiated</w:t>
            </w:r>
          </w:p>
        </w:tc>
      </w:tr>
      <w:tr w:rsidR="00B87DAF" w:rsidRPr="00225F18" w14:paraId="6315AC8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E6D7DAF"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7B87C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2EF3675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1885D7B" w14:textId="3853112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77187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6B0B2E4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ACFB4FE" w14:textId="65C589A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5F45F3"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with fulvestrant only, where at the time non-PBS supply was initiated, the patient had recurrent/progressive disease despite being treated with endocrine therapy for advanced/metastatic disease</w:t>
            </w:r>
          </w:p>
        </w:tc>
      </w:tr>
      <w:tr w:rsidR="00B87DAF" w:rsidRPr="00225F18" w14:paraId="2B350C2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FC349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79441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225F18" w14:paraId="69AFE82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D20150D" w14:textId="663F14B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D4683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225F18" w14:paraId="4B3AF61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C6A84B4" w14:textId="1D09FDF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71A10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225F18" w14:paraId="69D3A4A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FFE94F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A57057" w14:textId="77777777" w:rsidR="00B87DAF" w:rsidRPr="00492D82" w:rsidRDefault="00B87DAF" w:rsidP="003F6EFC">
            <w:pPr>
              <w:rPr>
                <w:rFonts w:ascii="Arial Narrow" w:hAnsi="Arial Narrow"/>
                <w:sz w:val="20"/>
                <w:szCs w:val="20"/>
              </w:rPr>
            </w:pPr>
          </w:p>
        </w:tc>
      </w:tr>
      <w:tr w:rsidR="00B87DAF" w:rsidRPr="00225F18" w14:paraId="08063B8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7617057" w14:textId="23614FB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1F9E3B"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225F18" w14:paraId="61BA6C2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226EB94" w14:textId="673AF40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2893C9"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225F18" w14:paraId="48EC5C2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7D3B76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2F12AE" w14:textId="77777777" w:rsidR="00B87DAF" w:rsidRPr="00492D82" w:rsidRDefault="00B87DAF" w:rsidP="003F6EFC">
            <w:pPr>
              <w:rPr>
                <w:rFonts w:ascii="Arial Narrow" w:hAnsi="Arial Narrow"/>
                <w:sz w:val="20"/>
                <w:szCs w:val="20"/>
              </w:rPr>
            </w:pPr>
          </w:p>
        </w:tc>
      </w:tr>
      <w:tr w:rsidR="00B87DAF" w:rsidRPr="00225F18" w14:paraId="074CC11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A572056" w14:textId="5BB1336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803E10"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21D9B5D8"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3821E4A1"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B87DAF" w:rsidRPr="00225F18" w14:paraId="33576F5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97751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735A2F" w14:textId="77777777" w:rsidR="00B87DAF" w:rsidRPr="00492D82" w:rsidRDefault="00B87DAF" w:rsidP="003F6EFC">
            <w:pPr>
              <w:rPr>
                <w:rFonts w:ascii="Arial Narrow" w:hAnsi="Arial Narrow"/>
                <w:sz w:val="20"/>
                <w:szCs w:val="20"/>
              </w:rPr>
            </w:pPr>
          </w:p>
        </w:tc>
      </w:tr>
      <w:tr w:rsidR="00B87DAF" w:rsidRPr="00225F18" w14:paraId="5F1276E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57A4F7" w14:textId="380E7F8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60665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5242931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Patients may qualify for PBS-subsidised treatment under this restriction once only. For continuing PBS-subsidised treatment, a 'Grandfathered' patient must qualify under the 'Continuing treatment' criteria.</w:t>
            </w:r>
          </w:p>
        </w:tc>
      </w:tr>
      <w:tr w:rsidR="00B87DAF" w:rsidRPr="00225F18" w14:paraId="2D36285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2688509" w14:textId="1F3EB72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C4938B"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365D1D3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This grandfather restriction will cease to operate from 12 months after the date specified in the clinical criteria.</w:t>
            </w:r>
          </w:p>
        </w:tc>
      </w:tr>
    </w:tbl>
    <w:p w14:paraId="293C2E9A" w14:textId="77777777" w:rsidR="00B87DAF" w:rsidRDefault="00B87DAF" w:rsidP="00B87DAF"/>
    <w:p w14:paraId="16D8BB93" w14:textId="057CB613" w:rsidR="00B87DAF" w:rsidRDefault="009E3D59" w:rsidP="00B87DAF">
      <w:r>
        <w:t>8.4</w:t>
      </w:r>
      <w:r>
        <w:tab/>
      </w:r>
      <w:r w:rsidR="00B87DAF">
        <w:t>Amend the following ribociclib listings as follows:</w:t>
      </w:r>
    </w:p>
    <w:p w14:paraId="1C61B53F" w14:textId="77777777" w:rsidR="009E3D59" w:rsidRDefault="009E3D59" w:rsidP="00B87DAF"/>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B87DAF" w:rsidRPr="00492D82" w14:paraId="3570CDDD" w14:textId="77777777" w:rsidTr="003F6EF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15994ECD" w14:textId="77777777" w:rsidR="00B87DAF" w:rsidRPr="00492D82" w:rsidRDefault="00B87DAF" w:rsidP="003F6EFC">
            <w:pPr>
              <w:keepNext/>
              <w:rPr>
                <w:rFonts w:ascii="Arial Narrow" w:hAnsi="Arial Narrow"/>
                <w:b/>
                <w:sz w:val="20"/>
                <w:szCs w:val="20"/>
              </w:rPr>
            </w:pPr>
            <w:bookmarkStart w:id="82" w:name="_Hlk129962251"/>
            <w:r w:rsidRPr="00492D82">
              <w:rPr>
                <w:rFonts w:ascii="Arial Narrow" w:hAnsi="Arial Narrow"/>
                <w:b/>
                <w:sz w:val="20"/>
                <w:szCs w:val="20"/>
              </w:rPr>
              <w:t xml:space="preserve">Category / Program: </w:t>
            </w:r>
            <w:r w:rsidRPr="00492D82">
              <w:rPr>
                <w:rFonts w:ascii="Arial Narrow" w:hAnsi="Arial Narrow"/>
                <w:sz w:val="20"/>
                <w:szCs w:val="20"/>
              </w:rPr>
              <w:t xml:space="preserve">GENERAL – General Schedule (Code GE) </w:t>
            </w:r>
          </w:p>
        </w:tc>
      </w:tr>
      <w:tr w:rsidR="00B87DAF" w:rsidRPr="00492D82" w14:paraId="30685779" w14:textId="77777777" w:rsidTr="003F6EFC">
        <w:trPr>
          <w:cantSplit/>
          <w:trHeight w:val="471"/>
        </w:trPr>
        <w:tc>
          <w:tcPr>
            <w:tcW w:w="2405" w:type="dxa"/>
            <w:gridSpan w:val="2"/>
            <w:shd w:val="clear" w:color="auto" w:fill="auto"/>
          </w:tcPr>
          <w:p w14:paraId="43966463" w14:textId="77777777" w:rsidR="00B87DAF" w:rsidRPr="00492D82" w:rsidRDefault="00B87DAF" w:rsidP="003F6EFC">
            <w:pPr>
              <w:keepNext/>
              <w:ind w:left="-57"/>
              <w:rPr>
                <w:rFonts w:ascii="Arial Narrow" w:hAnsi="Arial Narrow"/>
                <w:b/>
                <w:bCs/>
                <w:sz w:val="20"/>
                <w:szCs w:val="20"/>
              </w:rPr>
            </w:pPr>
            <w:r w:rsidRPr="00492D82">
              <w:rPr>
                <w:rFonts w:ascii="Arial Narrow" w:hAnsi="Arial Narrow"/>
                <w:b/>
                <w:bCs/>
                <w:sz w:val="20"/>
                <w:szCs w:val="20"/>
              </w:rPr>
              <w:t>MEDICINAL PRODUCT</w:t>
            </w:r>
          </w:p>
          <w:p w14:paraId="7B960047" w14:textId="77777777" w:rsidR="00B87DAF" w:rsidRPr="00492D82" w:rsidRDefault="00B87DAF" w:rsidP="003F6EF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4495AD96" w14:textId="77777777" w:rsidR="00B87DAF" w:rsidRPr="00492D82" w:rsidRDefault="00B87DAF" w:rsidP="003F6EF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3D312ED5"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22DE64F7"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48D42B6D"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0E92CA52" w14:textId="77777777" w:rsidR="00B87DAF" w:rsidRPr="00492D82" w:rsidRDefault="00B87DAF" w:rsidP="003F6EFC">
            <w:pPr>
              <w:keepNext/>
              <w:rPr>
                <w:rFonts w:ascii="Arial Narrow" w:hAnsi="Arial Narrow"/>
                <w:b/>
                <w:sz w:val="20"/>
                <w:szCs w:val="20"/>
                <w:lang w:val="fr-FR"/>
              </w:rPr>
            </w:pPr>
            <w:r w:rsidRPr="00492D82">
              <w:rPr>
                <w:rFonts w:ascii="Arial Narrow" w:hAnsi="Arial Narrow"/>
                <w:b/>
                <w:sz w:val="20"/>
                <w:szCs w:val="20"/>
              </w:rPr>
              <w:t>Available brands</w:t>
            </w:r>
          </w:p>
        </w:tc>
      </w:tr>
      <w:tr w:rsidR="00B87DAF" w:rsidRPr="00492D82" w14:paraId="013D88A4" w14:textId="77777777" w:rsidTr="003F6EFC">
        <w:trPr>
          <w:cantSplit/>
          <w:trHeight w:val="224"/>
        </w:trPr>
        <w:tc>
          <w:tcPr>
            <w:tcW w:w="9067" w:type="dxa"/>
            <w:gridSpan w:val="7"/>
            <w:shd w:val="clear" w:color="auto" w:fill="auto"/>
          </w:tcPr>
          <w:p w14:paraId="2DF092D4"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RIBOCICLIB </w:t>
            </w:r>
          </w:p>
        </w:tc>
      </w:tr>
      <w:tr w:rsidR="00B87DAF" w:rsidRPr="00492D82" w14:paraId="6F64738A" w14:textId="77777777" w:rsidTr="003F6EFC">
        <w:trPr>
          <w:cantSplit/>
          <w:trHeight w:val="232"/>
        </w:trPr>
        <w:tc>
          <w:tcPr>
            <w:tcW w:w="2405" w:type="dxa"/>
            <w:gridSpan w:val="2"/>
            <w:shd w:val="clear" w:color="auto" w:fill="auto"/>
          </w:tcPr>
          <w:p w14:paraId="30AFA2D8"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ribociclib 200 mg tablet, 63 </w:t>
            </w:r>
          </w:p>
        </w:tc>
        <w:tc>
          <w:tcPr>
            <w:tcW w:w="1418" w:type="dxa"/>
          </w:tcPr>
          <w:p w14:paraId="5D06F2D6"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11386G</w:t>
            </w:r>
          </w:p>
          <w:p w14:paraId="6E9EF430" w14:textId="77777777" w:rsidR="00B87DAF" w:rsidRPr="00492D82" w:rsidRDefault="00B87DAF" w:rsidP="003F6EF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630AC1EF"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2EBEC844"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63</w:t>
            </w:r>
          </w:p>
        </w:tc>
        <w:tc>
          <w:tcPr>
            <w:tcW w:w="992" w:type="dxa"/>
          </w:tcPr>
          <w:p w14:paraId="68159565"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1F11227A"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Kisqali</w:t>
            </w:r>
          </w:p>
        </w:tc>
      </w:tr>
      <w:tr w:rsidR="00B87DAF" w:rsidRPr="00492D82" w14:paraId="6159BCB6"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BB1716F" w14:textId="77777777" w:rsidR="00B87DAF" w:rsidRPr="00492D82" w:rsidRDefault="00B87DAF" w:rsidP="003F6EFC">
            <w:pPr>
              <w:rPr>
                <w:rFonts w:ascii="Arial Narrow" w:hAnsi="Arial Narrow"/>
                <w:sz w:val="20"/>
                <w:szCs w:val="20"/>
                <w:highlight w:val="lightGray"/>
              </w:rPr>
            </w:pPr>
          </w:p>
        </w:tc>
      </w:tr>
      <w:tr w:rsidR="00B87DAF" w:rsidRPr="00492D82" w14:paraId="0111AED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AA98907" w14:textId="6428D18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FAB57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B87DAF" w:rsidRPr="00492D82" w14:paraId="3800460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E6C4E10" w14:textId="0CFC0CC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FB6FE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r w:rsidRPr="00492D82">
              <w:rPr>
                <w:rFonts w:ascii="Arial Narrow" w:hAnsi="Arial Narrow"/>
                <w:b/>
                <w:bCs/>
                <w:sz w:val="20"/>
                <w:szCs w:val="20"/>
              </w:rPr>
              <w:t>.</w:t>
            </w:r>
          </w:p>
        </w:tc>
      </w:tr>
      <w:tr w:rsidR="00B87DAF" w:rsidRPr="00492D82" w14:paraId="742846A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8B1B35" w14:textId="3C83001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9FC7F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78C68D51"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87DAF" w:rsidRPr="00492D82" w14:paraId="1E3FBAF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82C2434" w14:textId="08A83FD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75B22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B87DAF" w:rsidRPr="00492D82" w14:paraId="44F44E5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DF54053" w14:textId="39A6C74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B15D6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735953E4"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Cyclin-dependent kinase 4 and 6 (CDK4/6) inhibitors for the purposes of this restriction are abemaciclib, palbociclib and ribociclib.</w:t>
            </w:r>
          </w:p>
        </w:tc>
      </w:tr>
      <w:tr w:rsidR="00B87DAF" w:rsidRPr="00492D82" w14:paraId="46928FC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B6EF510" w14:textId="4E376E9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BC584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Non-steroidal aromatase inhibitors for the purposes of this restriction are anastrozole and letrozole.</w:t>
            </w:r>
          </w:p>
        </w:tc>
      </w:tr>
      <w:tr w:rsidR="00B87DAF" w:rsidRPr="00492D82" w14:paraId="77757A83"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FA1A64B" w14:textId="77777777" w:rsidR="00B87DAF" w:rsidRPr="00492D82" w:rsidRDefault="00B87DAF" w:rsidP="003F6EFC">
            <w:pPr>
              <w:rPr>
                <w:rFonts w:ascii="Arial Narrow" w:hAnsi="Arial Narrow"/>
                <w:b/>
                <w:bCs/>
                <w:sz w:val="20"/>
                <w:szCs w:val="20"/>
              </w:rPr>
            </w:pPr>
          </w:p>
        </w:tc>
      </w:tr>
      <w:tr w:rsidR="00B87DAF" w:rsidRPr="00492D82" w14:paraId="591E48DB"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E9E9C0" w14:textId="1CB4EE5B"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58B955D2" w14:textId="77777777" w:rsidR="00B87DAF" w:rsidRPr="00492D82" w:rsidRDefault="00B87DAF" w:rsidP="003F6EFC">
            <w:pPr>
              <w:rPr>
                <w:rFonts w:ascii="Arial Narrow" w:hAnsi="Arial Narrow"/>
                <w:b/>
                <w:bCs/>
                <w:sz w:val="20"/>
                <w:szCs w:val="20"/>
              </w:rPr>
            </w:pPr>
          </w:p>
        </w:tc>
      </w:tr>
      <w:tr w:rsidR="00B87DAF" w:rsidRPr="00492D82" w14:paraId="185BDE2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9DDE527" w14:textId="2F36C9D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AD031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492D82" w14:paraId="3643D37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7652C8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69BB51" w14:textId="77777777" w:rsidR="00B87DAF" w:rsidRPr="00492D82" w:rsidRDefault="00B87DAF" w:rsidP="003F6EFC">
            <w:pPr>
              <w:rPr>
                <w:rFonts w:ascii="Arial Narrow" w:hAnsi="Arial Narrow"/>
                <w:b/>
                <w:bCs/>
                <w:sz w:val="20"/>
                <w:szCs w:val="20"/>
              </w:rPr>
            </w:pPr>
          </w:p>
        </w:tc>
      </w:tr>
      <w:tr w:rsidR="00B87DAF" w:rsidRPr="00492D82" w14:paraId="1E7645D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314492E"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48587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Initial treatment</w:t>
            </w:r>
          </w:p>
        </w:tc>
      </w:tr>
      <w:tr w:rsidR="00B87DAF" w:rsidRPr="00492D82" w14:paraId="73EBE7C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A61171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BF1DED" w14:textId="77777777" w:rsidR="00B87DAF" w:rsidRPr="00492D82" w:rsidRDefault="00B87DAF" w:rsidP="003F6EFC">
            <w:pPr>
              <w:rPr>
                <w:rFonts w:ascii="Arial Narrow" w:hAnsi="Arial Narrow"/>
                <w:b/>
                <w:bCs/>
                <w:sz w:val="20"/>
                <w:szCs w:val="20"/>
              </w:rPr>
            </w:pPr>
          </w:p>
        </w:tc>
      </w:tr>
      <w:tr w:rsidR="00B87DAF" w:rsidRPr="00492D82" w14:paraId="224E906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26F570" w14:textId="63EAAFD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A29C2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34B4AEC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061396" w14:textId="3D69EBA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2A315D"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be untreated with cyclin-dependent kinase 4/6 (CDK4/6) inhibitor therapy; or</w:t>
            </w:r>
          </w:p>
        </w:tc>
      </w:tr>
      <w:tr w:rsidR="00B87DAF" w:rsidRPr="00492D82" w14:paraId="2D8477E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2A0E03B" w14:textId="238175B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C7012A"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B87DAF" w:rsidRPr="00492D82" w14:paraId="6577B28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DF8DC5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29E65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676EF7A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0829ED" w14:textId="388E2C2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3D36E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431F123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720B2EB" w14:textId="4141786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7C99A5"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hormone receptor positive</w:t>
            </w:r>
          </w:p>
        </w:tc>
      </w:tr>
      <w:tr w:rsidR="00B87DAF" w:rsidRPr="00492D82" w14:paraId="19C2FA7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A0B194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D4B8D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6382954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80FD7E9" w14:textId="07B4571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DAEB5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29B4933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3A5EBF6" w14:textId="2C7DE120"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59F90F"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492D82" w14:paraId="4E88806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F81360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0233C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6E696B7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5B3C59D" w14:textId="7432654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B1071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5DE8FBF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D4BE4CE" w14:textId="4C657BF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959E5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inoperable</w:t>
            </w:r>
          </w:p>
        </w:tc>
      </w:tr>
      <w:tr w:rsidR="00B87DAF" w:rsidRPr="00492D82" w14:paraId="396C4E0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E1857E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F112D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4991847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AF9EB17" w14:textId="6C526F2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BC799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5E90426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E930D83" w14:textId="317F07A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7A3D59"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Patient must have a World Health Organisation (WHO) Eastern Cooperative Oncology Group (ECOG) performance status score of 2 or less</w:t>
            </w:r>
          </w:p>
        </w:tc>
      </w:tr>
      <w:tr w:rsidR="00B87DAF" w:rsidRPr="00492D82" w14:paraId="194E1BD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F4FE5F8"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364DA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6B974E9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48E0F71" w14:textId="71548B0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F35F2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7C6D2EA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AEB965" w14:textId="53662F5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0B168F"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never been treated with endocrine therapy for advanced/metastatic disease, with one of (i) a non-steroidal aromatase inhibitor, (ii) fulvestrant; or</w:t>
            </w:r>
          </w:p>
        </w:tc>
      </w:tr>
      <w:tr w:rsidR="00B87DAF" w:rsidRPr="00492D82" w14:paraId="253979C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3A2F005" w14:textId="1233AFAC"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DEAA56"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recurrence/progressive disease despite being treated with endocrine therapy for advanced/metastatic disease, with fulvestrant only</w:t>
            </w:r>
          </w:p>
        </w:tc>
      </w:tr>
      <w:tr w:rsidR="00B87DAF" w:rsidRPr="00492D82" w14:paraId="4BB9E09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901037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EF772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24D9365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4EAC6A5" w14:textId="63E7056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D3791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7F57242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061F97" w14:textId="30C6B81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F6ACF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492D82" w14:paraId="4A41EF7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D13AA03"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6E2303" w14:textId="77777777" w:rsidR="00B87DAF" w:rsidRPr="00492D82" w:rsidRDefault="00B87DAF" w:rsidP="003F6EFC">
            <w:pPr>
              <w:rPr>
                <w:rFonts w:ascii="Arial Narrow" w:hAnsi="Arial Narrow"/>
                <w:b/>
                <w:bCs/>
                <w:sz w:val="20"/>
                <w:szCs w:val="20"/>
              </w:rPr>
            </w:pPr>
          </w:p>
        </w:tc>
      </w:tr>
      <w:tr w:rsidR="00B87DAF" w:rsidRPr="00492D82" w14:paraId="3D51B7E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E8CD670" w14:textId="5291911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0B6C97"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492D82" w14:paraId="00FBE05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3089A45" w14:textId="357707E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1306E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492D82" w14:paraId="2DBBF3E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9D9A10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025678" w14:textId="77777777" w:rsidR="00B87DAF" w:rsidRPr="00492D82" w:rsidRDefault="00B87DAF" w:rsidP="003F6EFC">
            <w:pPr>
              <w:rPr>
                <w:rFonts w:ascii="Arial Narrow" w:hAnsi="Arial Narrow"/>
                <w:sz w:val="20"/>
                <w:szCs w:val="20"/>
              </w:rPr>
            </w:pPr>
          </w:p>
        </w:tc>
      </w:tr>
      <w:tr w:rsidR="00B87DAF" w:rsidRPr="00492D82" w14:paraId="168BDCC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9DD9E0E" w14:textId="3277E54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056F67"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498FA6F9"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27056F4E"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B87DAF" w:rsidRPr="00492D82" w14:paraId="634D247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EA279AB"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225CC2" w14:textId="77777777" w:rsidR="00B87DAF" w:rsidRPr="00492D82" w:rsidRDefault="00B87DAF" w:rsidP="003F6EFC">
            <w:pPr>
              <w:rPr>
                <w:rFonts w:ascii="Arial Narrow" w:hAnsi="Arial Narrow"/>
                <w:b/>
                <w:bCs/>
                <w:i/>
                <w:iCs/>
                <w:sz w:val="20"/>
                <w:szCs w:val="20"/>
              </w:rPr>
            </w:pPr>
          </w:p>
        </w:tc>
      </w:tr>
      <w:tr w:rsidR="00B87DAF" w:rsidRPr="00492D82" w14:paraId="602970D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17CC698" w14:textId="3CA3373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DB7522"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tr w:rsidR="00B87DAF" w:rsidRPr="00492D82" w14:paraId="70200D45"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DBD47C" w14:textId="77777777" w:rsidR="00B87DAF" w:rsidRPr="00492D82" w:rsidRDefault="00B87DAF" w:rsidP="003F6EFC">
            <w:pPr>
              <w:rPr>
                <w:rFonts w:ascii="Arial Narrow" w:hAnsi="Arial Narrow"/>
                <w:b/>
                <w:bCs/>
                <w:sz w:val="20"/>
                <w:szCs w:val="20"/>
              </w:rPr>
            </w:pPr>
          </w:p>
          <w:p w14:paraId="7C7358BC" w14:textId="77777777" w:rsidR="00B87DAF" w:rsidRPr="00492D82" w:rsidRDefault="00B87DAF" w:rsidP="003F6EFC">
            <w:pPr>
              <w:rPr>
                <w:rFonts w:ascii="Arial Narrow" w:hAnsi="Arial Narrow"/>
                <w:b/>
                <w:bCs/>
                <w:sz w:val="20"/>
                <w:szCs w:val="20"/>
              </w:rPr>
            </w:pPr>
          </w:p>
        </w:tc>
      </w:tr>
      <w:tr w:rsidR="00B87DAF" w:rsidRPr="00492D82" w14:paraId="28B21D01"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A9FC57" w14:textId="4290270C" w:rsidR="00B87DAF" w:rsidRPr="00492D82" w:rsidRDefault="00B87DAF" w:rsidP="003F6EFC">
            <w:pPr>
              <w:rPr>
                <w:rFonts w:ascii="Arial Narrow" w:hAnsi="Arial Narrow"/>
                <w:b/>
                <w:bCs/>
                <w:sz w:val="20"/>
                <w:szCs w:val="20"/>
              </w:rPr>
            </w:pPr>
            <w:r w:rsidRPr="00492D82">
              <w:rPr>
                <w:rFonts w:ascii="Arial Narrow" w:hAnsi="Arial Narrow"/>
                <w:b/>
                <w:bCs/>
                <w:sz w:val="20"/>
                <w:szCs w:val="20"/>
              </w:rPr>
              <w:t>Restriction Summary / ToC: Authority Required ********************UNCHANGED*************************</w:t>
            </w:r>
          </w:p>
          <w:p w14:paraId="4C425B37" w14:textId="77777777" w:rsidR="00B87DAF" w:rsidRPr="00492D82" w:rsidRDefault="00B87DAF" w:rsidP="003F6EFC">
            <w:pPr>
              <w:rPr>
                <w:rFonts w:ascii="Arial Narrow" w:hAnsi="Arial Narrow"/>
                <w:b/>
                <w:bCs/>
                <w:sz w:val="20"/>
                <w:szCs w:val="20"/>
              </w:rPr>
            </w:pPr>
          </w:p>
        </w:tc>
      </w:tr>
      <w:tr w:rsidR="00B87DAF" w:rsidRPr="00492D82" w14:paraId="7705032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40F88E7" w14:textId="77EBE4C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03E21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492D82" w14:paraId="5A88684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65648E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36C0A0" w14:textId="77777777" w:rsidR="00B87DAF" w:rsidRPr="00492D82" w:rsidRDefault="00B87DAF" w:rsidP="003F6EFC">
            <w:pPr>
              <w:rPr>
                <w:rFonts w:ascii="Arial Narrow" w:hAnsi="Arial Narrow"/>
                <w:b/>
                <w:bCs/>
                <w:sz w:val="20"/>
                <w:szCs w:val="20"/>
              </w:rPr>
            </w:pPr>
          </w:p>
        </w:tc>
      </w:tr>
      <w:tr w:rsidR="00B87DAF" w:rsidRPr="00492D82" w14:paraId="543B713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E1567C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3BEE8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Continuing treatment</w:t>
            </w:r>
          </w:p>
        </w:tc>
      </w:tr>
      <w:tr w:rsidR="00B87DAF" w:rsidRPr="00492D82" w14:paraId="6273915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773043B"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75F637" w14:textId="77777777" w:rsidR="00B87DAF" w:rsidRPr="00492D82" w:rsidRDefault="00B87DAF" w:rsidP="003F6EFC">
            <w:pPr>
              <w:rPr>
                <w:rFonts w:ascii="Arial Narrow" w:hAnsi="Arial Narrow"/>
                <w:b/>
                <w:bCs/>
                <w:sz w:val="20"/>
                <w:szCs w:val="20"/>
              </w:rPr>
            </w:pPr>
          </w:p>
        </w:tc>
      </w:tr>
      <w:tr w:rsidR="00B87DAF" w:rsidRPr="00492D82" w14:paraId="24F7931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69ABB81" w14:textId="2FB590D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17E6A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07F40C5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8D3BDA4" w14:textId="6383935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1F0AF3"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previously received PBS-subsidised treatment with this drug for this condition</w:t>
            </w:r>
          </w:p>
        </w:tc>
      </w:tr>
      <w:tr w:rsidR="00B87DAF" w:rsidRPr="00492D82" w14:paraId="1CC05B7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889DCB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E4348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0EEFF2D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A829D95" w14:textId="49B8C37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E4286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10DFC19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448ECE" w14:textId="502F183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27471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B87DAF" w:rsidRPr="00492D82" w14:paraId="36BE2CB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31244BF"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E4488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4B0E1B9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8C7517C" w14:textId="39C12FC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8DE16E"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68FB697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7446503" w14:textId="4353B74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E40E0B"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The treatment must be in combination with one of: (i) non-steroidal aromatase inhibitor, (ii) fulvestrant</w:t>
            </w:r>
          </w:p>
        </w:tc>
      </w:tr>
      <w:tr w:rsidR="00B87DAF" w:rsidRPr="00492D82" w14:paraId="570EE0B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00A50FA"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D1509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16542ED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0D0B1F6" w14:textId="7DABA0B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481B8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62EF552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6965F3A" w14:textId="3C40AE7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CFFB7A"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492D82" w14:paraId="3BD9742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2A1BCB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D17745" w14:textId="77777777" w:rsidR="00B87DAF" w:rsidRPr="00492D82" w:rsidRDefault="00B87DAF" w:rsidP="003F6EFC">
            <w:pPr>
              <w:rPr>
                <w:rFonts w:ascii="Arial Narrow" w:hAnsi="Arial Narrow"/>
                <w:b/>
                <w:bCs/>
                <w:sz w:val="20"/>
                <w:szCs w:val="20"/>
              </w:rPr>
            </w:pPr>
          </w:p>
        </w:tc>
      </w:tr>
      <w:tr w:rsidR="00B87DAF" w:rsidRPr="00492D82" w14:paraId="18BC0D7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049A6BB" w14:textId="187126E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8E0E0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492D82" w14:paraId="7E2DA2E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15C49B3" w14:textId="47EE3D7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83FA7E"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492D82" w14:paraId="08DBCA6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7CEF87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1DEB62" w14:textId="77777777" w:rsidR="00B87DAF" w:rsidRPr="00492D82" w:rsidRDefault="00B87DAF" w:rsidP="003F6EFC">
            <w:pPr>
              <w:rPr>
                <w:rFonts w:ascii="Arial Narrow" w:hAnsi="Arial Narrow"/>
                <w:sz w:val="20"/>
                <w:szCs w:val="20"/>
              </w:rPr>
            </w:pPr>
          </w:p>
        </w:tc>
      </w:tr>
      <w:tr w:rsidR="00B87DAF" w:rsidRPr="00492D82" w14:paraId="06AA6C8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2F05C94" w14:textId="19B7E38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1C9C72"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bookmarkEnd w:id="82"/>
    </w:tbl>
    <w:p w14:paraId="5ACE7A3F" w14:textId="272301ED" w:rsidR="00B87DAF" w:rsidRPr="00492D82" w:rsidRDefault="00B87DAF" w:rsidP="00B87DAF">
      <w:pPr>
        <w:rPr>
          <w:rFonts w:ascii="Arial Narrow" w:hAnsi="Arial Narrow"/>
          <w:sz w:val="20"/>
          <w:szCs w:val="20"/>
        </w:rPr>
      </w:pPr>
    </w:p>
    <w:p w14:paraId="050D9F4B" w14:textId="77777777" w:rsidR="009E3D59" w:rsidRPr="00492D82" w:rsidRDefault="009E3D59" w:rsidP="00B87DAF">
      <w:pPr>
        <w:rPr>
          <w:rFonts w:ascii="Arial Narrow" w:hAnsi="Arial Narrow"/>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9E3D59" w:rsidRPr="00492D82" w14:paraId="05067D2E" w14:textId="77777777" w:rsidTr="0017302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7235623C" w14:textId="77777777" w:rsidR="009E3D59" w:rsidRPr="00492D82" w:rsidRDefault="009E3D59" w:rsidP="0017302C">
            <w:pPr>
              <w:keepNext/>
              <w:rPr>
                <w:rFonts w:ascii="Arial Narrow" w:hAnsi="Arial Narrow"/>
                <w:b/>
                <w:sz w:val="20"/>
                <w:szCs w:val="20"/>
              </w:rPr>
            </w:pPr>
            <w:r w:rsidRPr="00492D82">
              <w:rPr>
                <w:rFonts w:ascii="Arial Narrow" w:hAnsi="Arial Narrow"/>
                <w:b/>
                <w:sz w:val="20"/>
                <w:szCs w:val="20"/>
              </w:rPr>
              <w:lastRenderedPageBreak/>
              <w:t xml:space="preserve">Category / Program: </w:t>
            </w:r>
            <w:r w:rsidRPr="00492D82">
              <w:rPr>
                <w:rFonts w:ascii="Arial Narrow" w:hAnsi="Arial Narrow"/>
                <w:sz w:val="20"/>
                <w:szCs w:val="20"/>
              </w:rPr>
              <w:t xml:space="preserve">GENERAL – General Schedule (Code GE) </w:t>
            </w:r>
          </w:p>
        </w:tc>
      </w:tr>
      <w:tr w:rsidR="009E3D59" w:rsidRPr="00492D82" w14:paraId="3896ADBA" w14:textId="77777777" w:rsidTr="0017302C">
        <w:trPr>
          <w:cantSplit/>
          <w:trHeight w:val="471"/>
        </w:trPr>
        <w:tc>
          <w:tcPr>
            <w:tcW w:w="2405" w:type="dxa"/>
            <w:gridSpan w:val="2"/>
            <w:shd w:val="clear" w:color="auto" w:fill="auto"/>
          </w:tcPr>
          <w:p w14:paraId="64FCF80B" w14:textId="77777777" w:rsidR="009E3D59" w:rsidRPr="00492D82" w:rsidRDefault="009E3D59" w:rsidP="0017302C">
            <w:pPr>
              <w:keepNext/>
              <w:ind w:left="-57"/>
              <w:rPr>
                <w:rFonts w:ascii="Arial Narrow" w:hAnsi="Arial Narrow"/>
                <w:b/>
                <w:bCs/>
                <w:sz w:val="20"/>
                <w:szCs w:val="20"/>
              </w:rPr>
            </w:pPr>
            <w:r w:rsidRPr="00492D82">
              <w:rPr>
                <w:rFonts w:ascii="Arial Narrow" w:hAnsi="Arial Narrow"/>
                <w:b/>
                <w:bCs/>
                <w:sz w:val="20"/>
                <w:szCs w:val="20"/>
              </w:rPr>
              <w:t>MEDICINAL PRODUCT</w:t>
            </w:r>
          </w:p>
          <w:p w14:paraId="57C4AFE3" w14:textId="77777777" w:rsidR="009E3D59" w:rsidRPr="00492D82" w:rsidRDefault="009E3D59" w:rsidP="0017302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2F9C74E7" w14:textId="77777777" w:rsidR="009E3D59" w:rsidRPr="00492D82" w:rsidRDefault="009E3D59" w:rsidP="0017302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203D88CD" w14:textId="77777777" w:rsidR="009E3D59" w:rsidRPr="00492D82" w:rsidRDefault="009E3D59" w:rsidP="0017302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73B5F3DD" w14:textId="77777777" w:rsidR="009E3D59" w:rsidRPr="00492D82" w:rsidRDefault="009E3D59" w:rsidP="0017302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26596BDC" w14:textId="77777777" w:rsidR="009E3D59" w:rsidRPr="00492D82" w:rsidRDefault="009E3D59" w:rsidP="0017302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4F8B9317" w14:textId="77777777" w:rsidR="009E3D59" w:rsidRPr="00492D82" w:rsidRDefault="009E3D59" w:rsidP="0017302C">
            <w:pPr>
              <w:keepNext/>
              <w:rPr>
                <w:rFonts w:ascii="Arial Narrow" w:hAnsi="Arial Narrow"/>
                <w:b/>
                <w:sz w:val="20"/>
                <w:szCs w:val="20"/>
                <w:lang w:val="fr-FR"/>
              </w:rPr>
            </w:pPr>
            <w:r w:rsidRPr="00492D82">
              <w:rPr>
                <w:rFonts w:ascii="Arial Narrow" w:hAnsi="Arial Narrow"/>
                <w:b/>
                <w:sz w:val="20"/>
                <w:szCs w:val="20"/>
              </w:rPr>
              <w:t>Available brands</w:t>
            </w:r>
          </w:p>
        </w:tc>
      </w:tr>
      <w:tr w:rsidR="009E3D59" w:rsidRPr="00492D82" w14:paraId="40ACF71D" w14:textId="77777777" w:rsidTr="0017302C">
        <w:trPr>
          <w:cantSplit/>
          <w:trHeight w:val="224"/>
        </w:trPr>
        <w:tc>
          <w:tcPr>
            <w:tcW w:w="9067" w:type="dxa"/>
            <w:gridSpan w:val="7"/>
            <w:shd w:val="clear" w:color="auto" w:fill="auto"/>
          </w:tcPr>
          <w:p w14:paraId="07938048" w14:textId="77777777" w:rsidR="009E3D59" w:rsidRPr="00492D82" w:rsidRDefault="009E3D59" w:rsidP="0017302C">
            <w:pPr>
              <w:keepNext/>
              <w:ind w:left="-57"/>
              <w:rPr>
                <w:rFonts w:ascii="Arial Narrow" w:hAnsi="Arial Narrow"/>
                <w:sz w:val="20"/>
                <w:szCs w:val="20"/>
              </w:rPr>
            </w:pPr>
            <w:r w:rsidRPr="00492D82">
              <w:rPr>
                <w:rFonts w:ascii="Arial Narrow" w:hAnsi="Arial Narrow"/>
                <w:sz w:val="20"/>
                <w:szCs w:val="20"/>
              </w:rPr>
              <w:t xml:space="preserve">RIBOCICLIB </w:t>
            </w:r>
          </w:p>
        </w:tc>
      </w:tr>
      <w:tr w:rsidR="009E3D59" w:rsidRPr="00492D82" w14:paraId="02DD48CA" w14:textId="77777777" w:rsidTr="0017302C">
        <w:trPr>
          <w:cantSplit/>
          <w:trHeight w:val="232"/>
        </w:trPr>
        <w:tc>
          <w:tcPr>
            <w:tcW w:w="2405" w:type="dxa"/>
            <w:gridSpan w:val="2"/>
            <w:shd w:val="clear" w:color="auto" w:fill="auto"/>
          </w:tcPr>
          <w:p w14:paraId="4690ECC6" w14:textId="77777777" w:rsidR="009E3D59" w:rsidRPr="00492D82" w:rsidRDefault="009E3D59" w:rsidP="0017302C">
            <w:pPr>
              <w:keepNext/>
              <w:ind w:left="-57"/>
              <w:rPr>
                <w:rFonts w:ascii="Arial Narrow" w:hAnsi="Arial Narrow"/>
                <w:sz w:val="20"/>
                <w:szCs w:val="20"/>
              </w:rPr>
            </w:pPr>
            <w:r w:rsidRPr="00492D82">
              <w:rPr>
                <w:rFonts w:ascii="Arial Narrow" w:hAnsi="Arial Narrow"/>
                <w:sz w:val="20"/>
                <w:szCs w:val="20"/>
              </w:rPr>
              <w:t xml:space="preserve">ribociclib 200 mg tablet, 42 </w:t>
            </w:r>
          </w:p>
        </w:tc>
        <w:tc>
          <w:tcPr>
            <w:tcW w:w="1418" w:type="dxa"/>
          </w:tcPr>
          <w:p w14:paraId="40D84E95" w14:textId="77777777" w:rsidR="009E3D59" w:rsidRPr="00492D82" w:rsidRDefault="009E3D59" w:rsidP="0017302C">
            <w:pPr>
              <w:keepNext/>
              <w:jc w:val="center"/>
              <w:rPr>
                <w:rFonts w:ascii="Arial Narrow" w:hAnsi="Arial Narrow"/>
                <w:sz w:val="20"/>
                <w:szCs w:val="20"/>
              </w:rPr>
            </w:pPr>
            <w:r w:rsidRPr="00492D82">
              <w:rPr>
                <w:rFonts w:ascii="Arial Narrow" w:hAnsi="Arial Narrow"/>
                <w:sz w:val="20"/>
                <w:szCs w:val="20"/>
              </w:rPr>
              <w:t>11397W</w:t>
            </w:r>
          </w:p>
          <w:p w14:paraId="454B7E20" w14:textId="77777777" w:rsidR="009E3D59" w:rsidRPr="00492D82" w:rsidRDefault="009E3D59" w:rsidP="0017302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7C325CDA" w14:textId="77777777" w:rsidR="009E3D59" w:rsidRPr="00492D82" w:rsidRDefault="009E3D59" w:rsidP="0017302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3320FF1F" w14:textId="77777777" w:rsidR="009E3D59" w:rsidRPr="00492D82" w:rsidRDefault="009E3D59" w:rsidP="0017302C">
            <w:pPr>
              <w:keepNext/>
              <w:jc w:val="center"/>
              <w:rPr>
                <w:rFonts w:ascii="Arial Narrow" w:hAnsi="Arial Narrow"/>
                <w:sz w:val="20"/>
                <w:szCs w:val="20"/>
              </w:rPr>
            </w:pPr>
            <w:r w:rsidRPr="00492D82">
              <w:rPr>
                <w:rFonts w:ascii="Arial Narrow" w:hAnsi="Arial Narrow"/>
                <w:sz w:val="20"/>
                <w:szCs w:val="20"/>
              </w:rPr>
              <w:t>42</w:t>
            </w:r>
          </w:p>
        </w:tc>
        <w:tc>
          <w:tcPr>
            <w:tcW w:w="992" w:type="dxa"/>
          </w:tcPr>
          <w:p w14:paraId="13E81FB5" w14:textId="77777777" w:rsidR="009E3D59" w:rsidRPr="00492D82" w:rsidRDefault="009E3D59" w:rsidP="0017302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4B151541" w14:textId="77777777" w:rsidR="009E3D59" w:rsidRPr="00492D82" w:rsidRDefault="009E3D59" w:rsidP="0017302C">
            <w:pPr>
              <w:keepNext/>
              <w:rPr>
                <w:rFonts w:ascii="Arial Narrow" w:hAnsi="Arial Narrow"/>
                <w:sz w:val="20"/>
                <w:szCs w:val="20"/>
              </w:rPr>
            </w:pPr>
            <w:r w:rsidRPr="00492D82">
              <w:rPr>
                <w:rFonts w:ascii="Arial Narrow" w:hAnsi="Arial Narrow"/>
                <w:sz w:val="20"/>
                <w:szCs w:val="20"/>
              </w:rPr>
              <w:t>Kisqali</w:t>
            </w:r>
          </w:p>
        </w:tc>
      </w:tr>
      <w:tr w:rsidR="009E3D59" w:rsidRPr="00492D82" w14:paraId="32B5B01F" w14:textId="77777777" w:rsidTr="001730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E3E2F9E" w14:textId="77777777" w:rsidR="009E3D59" w:rsidRPr="00492D82" w:rsidRDefault="009E3D59" w:rsidP="0017302C">
            <w:pPr>
              <w:rPr>
                <w:rFonts w:ascii="Arial Narrow" w:hAnsi="Arial Narrow"/>
                <w:sz w:val="20"/>
                <w:szCs w:val="20"/>
                <w:highlight w:val="lightGray"/>
              </w:rPr>
            </w:pPr>
          </w:p>
        </w:tc>
      </w:tr>
      <w:tr w:rsidR="009E3D59" w:rsidRPr="00492D82" w14:paraId="31FC5E6F"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F325911" w14:textId="62CD882A"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8FF024"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9E3D59" w:rsidRPr="00492D82" w14:paraId="20DF119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BF9B7F" w14:textId="01ED8E86"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BD2272"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r w:rsidRPr="00492D82">
              <w:rPr>
                <w:rFonts w:ascii="Arial Narrow" w:hAnsi="Arial Narrow"/>
                <w:b/>
                <w:bCs/>
                <w:sz w:val="20"/>
                <w:szCs w:val="20"/>
              </w:rPr>
              <w:t>.</w:t>
            </w:r>
          </w:p>
        </w:tc>
      </w:tr>
      <w:tr w:rsidR="009E3D59" w:rsidRPr="00492D82" w14:paraId="70E73099"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8B25460" w14:textId="1181674D"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5BB925"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Administrative Advice:</w:t>
            </w:r>
          </w:p>
          <w:p w14:paraId="45DAAB37" w14:textId="77777777" w:rsidR="009E3D59" w:rsidRPr="00492D82" w:rsidRDefault="009E3D59" w:rsidP="0017302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E3D59" w:rsidRPr="00492D82" w14:paraId="22E03CD2"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04052B1" w14:textId="2C64A66E"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B14CE7"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9E3D59" w:rsidRPr="00492D82" w14:paraId="7E10D47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F8A045B" w14:textId="2C518FF2"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D5D626"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Administrative Advice:</w:t>
            </w:r>
          </w:p>
          <w:p w14:paraId="72854765" w14:textId="77777777" w:rsidR="009E3D59" w:rsidRPr="00492D82" w:rsidRDefault="009E3D59" w:rsidP="0017302C">
            <w:pPr>
              <w:rPr>
                <w:rFonts w:ascii="Arial Narrow" w:hAnsi="Arial Narrow"/>
                <w:b/>
                <w:bCs/>
                <w:sz w:val="20"/>
                <w:szCs w:val="20"/>
              </w:rPr>
            </w:pPr>
            <w:r w:rsidRPr="00492D82">
              <w:rPr>
                <w:rFonts w:ascii="Arial Narrow" w:hAnsi="Arial Narrow"/>
                <w:sz w:val="20"/>
                <w:szCs w:val="20"/>
              </w:rPr>
              <w:t>Cyclin-dependent kinase 4 and 6 (CDK4/6) inhibitors for the purposes of this restriction are abemaciclib, palbociclib and ribociclib.</w:t>
            </w:r>
          </w:p>
        </w:tc>
      </w:tr>
      <w:tr w:rsidR="009E3D59" w:rsidRPr="00492D82" w14:paraId="78107434"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6B4C7B4" w14:textId="500C036A"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5E2DD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Non-steroidal aromatase inhibitors for the purposes of this restriction are anastrozole and letrozole.</w:t>
            </w:r>
          </w:p>
        </w:tc>
      </w:tr>
      <w:tr w:rsidR="009E3D59" w:rsidRPr="00492D82" w14:paraId="7C441500" w14:textId="77777777" w:rsidTr="001730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A46E175" w14:textId="77777777" w:rsidR="009E3D59" w:rsidRPr="00492D82" w:rsidRDefault="009E3D59" w:rsidP="0017302C">
            <w:pPr>
              <w:rPr>
                <w:rFonts w:ascii="Arial Narrow" w:hAnsi="Arial Narrow"/>
                <w:b/>
                <w:bCs/>
                <w:sz w:val="20"/>
                <w:szCs w:val="20"/>
              </w:rPr>
            </w:pPr>
          </w:p>
        </w:tc>
      </w:tr>
      <w:tr w:rsidR="009E3D59" w:rsidRPr="00492D82" w14:paraId="2A635C57" w14:textId="77777777" w:rsidTr="001730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AE6967C" w14:textId="36CFF3EC" w:rsidR="009E3D59" w:rsidRPr="00492D82" w:rsidRDefault="009E3D59" w:rsidP="0017302C">
            <w:pPr>
              <w:rPr>
                <w:rFonts w:ascii="Arial Narrow" w:hAnsi="Arial Narrow"/>
                <w:b/>
                <w:bCs/>
                <w:sz w:val="20"/>
                <w:szCs w:val="20"/>
              </w:rPr>
            </w:pPr>
            <w:r w:rsidRPr="00492D82">
              <w:rPr>
                <w:rFonts w:ascii="Arial Narrow" w:hAnsi="Arial Narrow"/>
                <w:b/>
                <w:bCs/>
                <w:sz w:val="20"/>
                <w:szCs w:val="20"/>
              </w:rPr>
              <w:t>Edit Restriction Summary / ToC: Authority Required</w:t>
            </w:r>
          </w:p>
          <w:p w14:paraId="5B280C0E" w14:textId="77777777" w:rsidR="009E3D59" w:rsidRPr="00492D82" w:rsidRDefault="009E3D59" w:rsidP="0017302C">
            <w:pPr>
              <w:rPr>
                <w:rFonts w:ascii="Arial Narrow" w:hAnsi="Arial Narrow"/>
                <w:b/>
                <w:bCs/>
                <w:sz w:val="20"/>
                <w:szCs w:val="20"/>
              </w:rPr>
            </w:pPr>
          </w:p>
        </w:tc>
      </w:tr>
      <w:tr w:rsidR="009E3D59" w:rsidRPr="00492D82" w14:paraId="377A028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0DA349F" w14:textId="64E4CD8F"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218863"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9E3D59" w:rsidRPr="00492D82" w14:paraId="6C49A909"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EBFB03C"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D8DAAA" w14:textId="77777777" w:rsidR="009E3D59" w:rsidRPr="00492D82" w:rsidRDefault="009E3D59" w:rsidP="0017302C">
            <w:pPr>
              <w:rPr>
                <w:rFonts w:ascii="Arial Narrow" w:hAnsi="Arial Narrow"/>
                <w:b/>
                <w:bCs/>
                <w:sz w:val="20"/>
                <w:szCs w:val="20"/>
              </w:rPr>
            </w:pPr>
          </w:p>
        </w:tc>
      </w:tr>
      <w:tr w:rsidR="009E3D59" w:rsidRPr="00492D82" w14:paraId="451A6F5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0E6B315"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710D5D"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Initial treatment</w:t>
            </w:r>
          </w:p>
        </w:tc>
      </w:tr>
      <w:tr w:rsidR="009E3D59" w:rsidRPr="00492D82" w14:paraId="4002449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22F4709"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C4EE9A" w14:textId="77777777" w:rsidR="009E3D59" w:rsidRPr="00492D82" w:rsidRDefault="009E3D59" w:rsidP="0017302C">
            <w:pPr>
              <w:rPr>
                <w:rFonts w:ascii="Arial Narrow" w:hAnsi="Arial Narrow"/>
                <w:b/>
                <w:bCs/>
                <w:sz w:val="20"/>
                <w:szCs w:val="20"/>
              </w:rPr>
            </w:pPr>
          </w:p>
        </w:tc>
      </w:tr>
      <w:tr w:rsidR="009E3D59" w:rsidRPr="00492D82" w14:paraId="42D6E22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20F1D7E" w14:textId="38AED4CB"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EB382E"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5ED6D69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8AFAB4B" w14:textId="2626548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4B3903"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be untreated with cyclin-dependent kinase 4/6 (CDK4/6) inhibitor therapy; or</w:t>
            </w:r>
          </w:p>
        </w:tc>
      </w:tr>
      <w:tr w:rsidR="009E3D59" w:rsidRPr="00492D82" w14:paraId="76BF201F"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2F463E1" w14:textId="27857E49"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A8B1F1"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9E3D59" w:rsidRPr="00492D82" w14:paraId="6781CF2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D404099"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FAE075"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3E0C59F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9F50586" w14:textId="474A75AF"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E1D745"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03FADD5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AE53CA3" w14:textId="0E919923"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54317A"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condition must be hormone receptor positive</w:t>
            </w:r>
          </w:p>
        </w:tc>
      </w:tr>
      <w:tr w:rsidR="009E3D59" w:rsidRPr="00492D82" w14:paraId="6EC45F24"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A09A858"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8C2716"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4D37C23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E82D47F" w14:textId="02AC9009"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1F060B"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16D071FA"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F22994F" w14:textId="311E653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606A08"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9E3D59" w:rsidRPr="00492D82" w14:paraId="60B9EF7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5B138B8"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D9CDD4"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1846ED9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824A3F0" w14:textId="761DAE72"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B203C2"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1577B97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4157199" w14:textId="6BBA367C"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B4002D"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condition must be inoperable</w:t>
            </w:r>
          </w:p>
        </w:tc>
      </w:tr>
      <w:tr w:rsidR="009E3D59" w:rsidRPr="00492D82" w14:paraId="069A387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D1281C4"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0901E3"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017B6C6C"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574B5EC" w14:textId="61C9229D"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73FB45"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5383B888"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6FB235A" w14:textId="7C41CCB4"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8835C6" w14:textId="77777777" w:rsidR="009E3D59" w:rsidRPr="00492D82" w:rsidRDefault="009E3D59" w:rsidP="0017302C">
            <w:pPr>
              <w:rPr>
                <w:rFonts w:ascii="Arial Narrow" w:hAnsi="Arial Narrow"/>
                <w:b/>
                <w:bCs/>
                <w:sz w:val="20"/>
                <w:szCs w:val="20"/>
              </w:rPr>
            </w:pPr>
            <w:r w:rsidRPr="00492D82">
              <w:rPr>
                <w:rFonts w:ascii="Arial Narrow" w:hAnsi="Arial Narrow"/>
                <w:sz w:val="20"/>
                <w:szCs w:val="20"/>
              </w:rPr>
              <w:t>Patient must have a World Health Organisation (WHO) Eastern Cooperative Oncology Group (ECOG) performance status score of 2 or less</w:t>
            </w:r>
          </w:p>
        </w:tc>
      </w:tr>
      <w:tr w:rsidR="009E3D59" w:rsidRPr="00492D82" w14:paraId="08C57F00"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F4B1DCE"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C37752"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3DB69E3B"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BA5E05E" w14:textId="03571645"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9D46EC"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550B9B99"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1E116C0" w14:textId="3EFE18BA"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328B02"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treatment must be in combination, where the patient has never been treated with endocrine therapy for advanced/metastatic disease, with one of (i) a non-steroidal aromatase inhibitor, (ii) fulvestrant; or</w:t>
            </w:r>
          </w:p>
        </w:tc>
      </w:tr>
      <w:tr w:rsidR="009E3D59" w:rsidRPr="00492D82" w14:paraId="249E147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5D2E8C" w14:textId="3507723C"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CF9543"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treatment must be in combination, where the patient has recurrence/progressive disease despite being treated with endocrine therapy for advanced/metastatic disease, with fulvestrant only</w:t>
            </w:r>
          </w:p>
        </w:tc>
      </w:tr>
      <w:tr w:rsidR="009E3D59" w:rsidRPr="00492D82" w14:paraId="0F092ED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F83ED00"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27F5AF"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10E6096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E57AA86" w14:textId="79B63964"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35D98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5593BD8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403583B" w14:textId="5EC4AA1C"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5CC8E4"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9E3D59" w:rsidRPr="00492D82" w14:paraId="1BF8B091"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FDAB0B2"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B96F89" w14:textId="77777777" w:rsidR="009E3D59" w:rsidRPr="00492D82" w:rsidRDefault="009E3D59" w:rsidP="0017302C">
            <w:pPr>
              <w:rPr>
                <w:rFonts w:ascii="Arial Narrow" w:hAnsi="Arial Narrow"/>
                <w:sz w:val="20"/>
                <w:szCs w:val="20"/>
              </w:rPr>
            </w:pPr>
            <w:r w:rsidRPr="00492D82">
              <w:rPr>
                <w:rFonts w:ascii="Arial Narrow" w:hAnsi="Arial Narrow"/>
                <w:b/>
                <w:bCs/>
                <w:sz w:val="20"/>
                <w:szCs w:val="20"/>
              </w:rPr>
              <w:t>AND</w:t>
            </w:r>
          </w:p>
        </w:tc>
      </w:tr>
      <w:tr w:rsidR="009E3D59" w:rsidRPr="00492D82" w14:paraId="299DB7B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E9A5D54" w14:textId="39BEECE2"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FB3142" w14:textId="77777777" w:rsidR="009E3D59" w:rsidRPr="00492D82" w:rsidRDefault="009E3D59" w:rsidP="0017302C">
            <w:pPr>
              <w:rPr>
                <w:rFonts w:ascii="Arial Narrow" w:hAnsi="Arial Narrow"/>
                <w:sz w:val="20"/>
                <w:szCs w:val="20"/>
              </w:rPr>
            </w:pPr>
            <w:r w:rsidRPr="00492D82">
              <w:rPr>
                <w:rFonts w:ascii="Arial Narrow" w:hAnsi="Arial Narrow"/>
                <w:b/>
                <w:bCs/>
                <w:sz w:val="20"/>
                <w:szCs w:val="20"/>
              </w:rPr>
              <w:t>Clinical criteria:</w:t>
            </w:r>
          </w:p>
        </w:tc>
      </w:tr>
      <w:tr w:rsidR="009E3D59" w:rsidRPr="00492D82" w14:paraId="0513B6E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29D1849" w14:textId="6C92657A"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B95C37"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require dosage reduction requiring a pack of 42 tablets</w:t>
            </w:r>
          </w:p>
        </w:tc>
      </w:tr>
      <w:tr w:rsidR="009E3D59" w:rsidRPr="00492D82" w14:paraId="6434F2E1"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05D48D5"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C0100E" w14:textId="77777777" w:rsidR="009E3D59" w:rsidRPr="00492D82" w:rsidRDefault="009E3D59" w:rsidP="0017302C">
            <w:pPr>
              <w:rPr>
                <w:rFonts w:ascii="Arial Narrow" w:hAnsi="Arial Narrow"/>
                <w:b/>
                <w:bCs/>
                <w:sz w:val="20"/>
                <w:szCs w:val="20"/>
              </w:rPr>
            </w:pPr>
          </w:p>
        </w:tc>
      </w:tr>
      <w:tr w:rsidR="009E3D59" w:rsidRPr="00492D82" w14:paraId="75E41DE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E567D13" w14:textId="474BEF2F"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092BDA"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Population criteria:</w:t>
            </w:r>
          </w:p>
        </w:tc>
      </w:tr>
      <w:tr w:rsidR="009E3D59" w:rsidRPr="00492D82" w14:paraId="70C2472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B5B898C" w14:textId="4723AD46"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B891E9"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not be premenopausal</w:t>
            </w:r>
          </w:p>
        </w:tc>
      </w:tr>
      <w:tr w:rsidR="009E3D59" w:rsidRPr="00492D82" w14:paraId="046C305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8305CC9"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647F16" w14:textId="77777777" w:rsidR="009E3D59" w:rsidRPr="00492D82" w:rsidRDefault="009E3D59" w:rsidP="0017302C">
            <w:pPr>
              <w:rPr>
                <w:rFonts w:ascii="Arial Narrow" w:hAnsi="Arial Narrow"/>
                <w:sz w:val="20"/>
                <w:szCs w:val="20"/>
              </w:rPr>
            </w:pPr>
          </w:p>
        </w:tc>
      </w:tr>
      <w:tr w:rsidR="009E3D59" w:rsidRPr="00492D82" w14:paraId="70BAC289"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498BADD" w14:textId="3EBB300B"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459D74" w14:textId="77777777" w:rsidR="009E3D59" w:rsidRPr="00492D82" w:rsidRDefault="009E3D59" w:rsidP="0017302C">
            <w:pPr>
              <w:rPr>
                <w:rFonts w:ascii="Arial Narrow" w:hAnsi="Arial Narrow"/>
                <w:b/>
                <w:bCs/>
                <w:i/>
                <w:iCs/>
                <w:sz w:val="20"/>
                <w:szCs w:val="20"/>
              </w:rPr>
            </w:pPr>
            <w:r w:rsidRPr="00492D82">
              <w:rPr>
                <w:rFonts w:ascii="Arial Narrow" w:hAnsi="Arial Narrow"/>
                <w:b/>
                <w:bCs/>
                <w:i/>
                <w:iCs/>
                <w:sz w:val="20"/>
                <w:szCs w:val="20"/>
              </w:rPr>
              <w:t>Prescribing instructions:</w:t>
            </w:r>
          </w:p>
          <w:p w14:paraId="53B65DEE" w14:textId="77777777" w:rsidR="009E3D59" w:rsidRPr="00492D82" w:rsidRDefault="009E3D59" w:rsidP="0017302C">
            <w:pPr>
              <w:rPr>
                <w:rFonts w:ascii="Arial Narrow" w:hAnsi="Arial Narrow"/>
                <w:i/>
                <w:iCs/>
                <w:sz w:val="20"/>
                <w:szCs w:val="20"/>
              </w:rPr>
            </w:pPr>
            <w:r w:rsidRPr="00492D82">
              <w:rPr>
                <w:rFonts w:ascii="Arial Narrow" w:hAnsi="Arial Narrow"/>
                <w:i/>
                <w:iCs/>
                <w:sz w:val="20"/>
                <w:szCs w:val="20"/>
              </w:rPr>
              <w:t>Definition:</w:t>
            </w:r>
          </w:p>
          <w:p w14:paraId="163E57CB" w14:textId="77777777" w:rsidR="009E3D59" w:rsidRPr="00492D82" w:rsidRDefault="009E3D59" w:rsidP="0017302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9E3D59" w:rsidRPr="00492D82" w14:paraId="02640D18"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7C60006"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FBC292" w14:textId="77777777" w:rsidR="009E3D59" w:rsidRPr="00492D82" w:rsidRDefault="009E3D59" w:rsidP="0017302C">
            <w:pPr>
              <w:rPr>
                <w:rFonts w:ascii="Arial Narrow" w:hAnsi="Arial Narrow"/>
                <w:b/>
                <w:bCs/>
                <w:i/>
                <w:iCs/>
                <w:sz w:val="20"/>
                <w:szCs w:val="20"/>
              </w:rPr>
            </w:pPr>
          </w:p>
        </w:tc>
      </w:tr>
      <w:tr w:rsidR="009E3D59" w:rsidRPr="00492D82" w14:paraId="759AC75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3571215" w14:textId="2E2EF921"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5D8A98" w14:textId="77777777" w:rsidR="009E3D59" w:rsidRPr="00492D82" w:rsidRDefault="009E3D59" w:rsidP="0017302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tr w:rsidR="009E3D59" w:rsidRPr="00492D82" w14:paraId="3FF47E52" w14:textId="77777777" w:rsidTr="001730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DDC0C0" w14:textId="77777777" w:rsidR="009E3D59" w:rsidRPr="00492D82" w:rsidRDefault="009E3D59" w:rsidP="0017302C">
            <w:pPr>
              <w:rPr>
                <w:rFonts w:ascii="Arial Narrow" w:hAnsi="Arial Narrow"/>
                <w:b/>
                <w:bCs/>
                <w:sz w:val="20"/>
                <w:szCs w:val="20"/>
              </w:rPr>
            </w:pPr>
          </w:p>
          <w:p w14:paraId="4F385A7E" w14:textId="77777777" w:rsidR="009E3D59" w:rsidRPr="00492D82" w:rsidRDefault="009E3D59" w:rsidP="0017302C">
            <w:pPr>
              <w:rPr>
                <w:rFonts w:ascii="Arial Narrow" w:hAnsi="Arial Narrow"/>
                <w:b/>
                <w:bCs/>
                <w:sz w:val="20"/>
                <w:szCs w:val="20"/>
              </w:rPr>
            </w:pPr>
          </w:p>
        </w:tc>
      </w:tr>
      <w:tr w:rsidR="009E3D59" w:rsidRPr="00492D82" w14:paraId="1F76E4E3" w14:textId="77777777" w:rsidTr="001730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9EF4DF" w14:textId="1B63F619" w:rsidR="009E3D59" w:rsidRPr="00492D82" w:rsidRDefault="009E3D59" w:rsidP="0017302C">
            <w:pPr>
              <w:rPr>
                <w:rFonts w:ascii="Arial Narrow" w:hAnsi="Arial Narrow"/>
                <w:b/>
                <w:bCs/>
                <w:sz w:val="20"/>
                <w:szCs w:val="20"/>
              </w:rPr>
            </w:pPr>
            <w:r w:rsidRPr="00492D82">
              <w:rPr>
                <w:rFonts w:ascii="Arial Narrow" w:hAnsi="Arial Narrow"/>
                <w:b/>
                <w:bCs/>
                <w:sz w:val="20"/>
                <w:szCs w:val="20"/>
              </w:rPr>
              <w:t>Restriction Summary / ToC: Authority Required ********************UNCHANGED*************************</w:t>
            </w:r>
          </w:p>
          <w:p w14:paraId="6A24C3C2" w14:textId="77777777" w:rsidR="009E3D59" w:rsidRPr="00492D82" w:rsidRDefault="009E3D59" w:rsidP="0017302C">
            <w:pPr>
              <w:rPr>
                <w:rFonts w:ascii="Arial Narrow" w:hAnsi="Arial Narrow"/>
                <w:b/>
                <w:bCs/>
                <w:sz w:val="20"/>
                <w:szCs w:val="20"/>
              </w:rPr>
            </w:pPr>
          </w:p>
        </w:tc>
      </w:tr>
      <w:tr w:rsidR="009E3D59" w:rsidRPr="00492D82" w14:paraId="4965AF0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F379229" w14:textId="51EE6FD3"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EF037E"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9E3D59" w:rsidRPr="00492D82" w14:paraId="29F5A8A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CF84023"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C17015" w14:textId="77777777" w:rsidR="009E3D59" w:rsidRPr="00492D82" w:rsidRDefault="009E3D59" w:rsidP="0017302C">
            <w:pPr>
              <w:rPr>
                <w:rFonts w:ascii="Arial Narrow" w:hAnsi="Arial Narrow"/>
                <w:b/>
                <w:bCs/>
                <w:sz w:val="20"/>
                <w:szCs w:val="20"/>
              </w:rPr>
            </w:pPr>
          </w:p>
        </w:tc>
      </w:tr>
      <w:tr w:rsidR="009E3D59" w:rsidRPr="00492D82" w14:paraId="2CD6E67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053CC09"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C7460B"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Continuing treatment</w:t>
            </w:r>
          </w:p>
        </w:tc>
      </w:tr>
      <w:tr w:rsidR="009E3D59" w:rsidRPr="00492D82" w14:paraId="6C5A5CE8"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B554916"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E1BE9D" w14:textId="77777777" w:rsidR="009E3D59" w:rsidRPr="00492D82" w:rsidRDefault="009E3D59" w:rsidP="0017302C">
            <w:pPr>
              <w:rPr>
                <w:rFonts w:ascii="Arial Narrow" w:hAnsi="Arial Narrow"/>
                <w:b/>
                <w:bCs/>
                <w:sz w:val="20"/>
                <w:szCs w:val="20"/>
              </w:rPr>
            </w:pPr>
          </w:p>
        </w:tc>
      </w:tr>
      <w:tr w:rsidR="009E3D59" w:rsidRPr="00492D82" w14:paraId="284D72E1"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1AB223F" w14:textId="52D7D186"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4DAF5D"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3B7616F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E3CF163" w14:textId="3C8DEFE6"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054007"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have previously received PBS-subsidised treatment with this drug for this condition</w:t>
            </w:r>
          </w:p>
        </w:tc>
      </w:tr>
      <w:tr w:rsidR="009E3D59" w:rsidRPr="00492D82" w14:paraId="60D601BE"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5B29EA"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63D459"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77C3C7FF"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D0DC4B2" w14:textId="2C392BD0"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3F9F0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4476785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CDC6B4A" w14:textId="28529B90"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0CADDB"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9E3D59" w:rsidRPr="00492D82" w14:paraId="190110F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FF3438D"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73369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535C75A3"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8F3FD90" w14:textId="0426A45B"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53728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13223839"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D19BF97" w14:textId="597BDDA5"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D7C15E" w14:textId="77777777" w:rsidR="009E3D59" w:rsidRPr="00492D82" w:rsidRDefault="009E3D59" w:rsidP="0017302C">
            <w:pPr>
              <w:rPr>
                <w:rFonts w:ascii="Arial Narrow" w:hAnsi="Arial Narrow"/>
                <w:b/>
                <w:bCs/>
                <w:sz w:val="20"/>
                <w:szCs w:val="20"/>
              </w:rPr>
            </w:pPr>
            <w:r w:rsidRPr="00492D82">
              <w:rPr>
                <w:rFonts w:ascii="Arial Narrow" w:hAnsi="Arial Narrow"/>
                <w:sz w:val="20"/>
                <w:szCs w:val="20"/>
              </w:rPr>
              <w:t>The treatment must be in combination with one of: (i) non-steroidal aromatase inhibitor, (ii) fulvestrant</w:t>
            </w:r>
          </w:p>
        </w:tc>
      </w:tr>
      <w:tr w:rsidR="009E3D59" w:rsidRPr="00492D82" w14:paraId="4F84E98A"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2D3ACF7"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9F336F"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79E9F612"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002029" w14:textId="7FF2F1AF"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DE943E"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317EA265"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F9211CB" w14:textId="262EB240"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C158F6"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9E3D59" w:rsidRPr="00492D82" w14:paraId="773D7CF6"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228CC0A"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28832F"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AND</w:t>
            </w:r>
          </w:p>
        </w:tc>
      </w:tr>
      <w:tr w:rsidR="009E3D59" w:rsidRPr="00492D82" w14:paraId="7B39DA02"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CEFCFDF" w14:textId="6878F579"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066411"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Clinical criteria:</w:t>
            </w:r>
          </w:p>
        </w:tc>
      </w:tr>
      <w:tr w:rsidR="009E3D59" w:rsidRPr="00492D82" w14:paraId="5939A434"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56D65E6" w14:textId="036E13F4"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EB2D68" w14:textId="77777777" w:rsidR="009E3D59" w:rsidRPr="00492D82" w:rsidRDefault="009E3D59" w:rsidP="0017302C">
            <w:pPr>
              <w:rPr>
                <w:rFonts w:ascii="Arial Narrow" w:hAnsi="Arial Narrow"/>
                <w:b/>
                <w:bCs/>
                <w:sz w:val="20"/>
                <w:szCs w:val="20"/>
              </w:rPr>
            </w:pPr>
            <w:r w:rsidRPr="00492D82">
              <w:rPr>
                <w:rFonts w:ascii="Arial Narrow" w:hAnsi="Arial Narrow"/>
                <w:sz w:val="20"/>
                <w:szCs w:val="20"/>
              </w:rPr>
              <w:t>Patient must require dosage reduction requiring a pack of 42 tablets</w:t>
            </w:r>
          </w:p>
        </w:tc>
      </w:tr>
      <w:tr w:rsidR="009E3D59" w:rsidRPr="00492D82" w14:paraId="46EEE860"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35D4C4A"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447950" w14:textId="77777777" w:rsidR="009E3D59" w:rsidRPr="00492D82" w:rsidRDefault="009E3D59" w:rsidP="0017302C">
            <w:pPr>
              <w:rPr>
                <w:rFonts w:ascii="Arial Narrow" w:hAnsi="Arial Narrow"/>
                <w:b/>
                <w:bCs/>
                <w:sz w:val="20"/>
                <w:szCs w:val="20"/>
              </w:rPr>
            </w:pPr>
          </w:p>
        </w:tc>
      </w:tr>
      <w:tr w:rsidR="009E3D59" w:rsidRPr="00492D82" w14:paraId="7F16260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6557D85" w14:textId="310027D2"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BD3E92" w14:textId="77777777" w:rsidR="009E3D59" w:rsidRPr="00492D82" w:rsidRDefault="009E3D59" w:rsidP="0017302C">
            <w:pPr>
              <w:rPr>
                <w:rFonts w:ascii="Arial Narrow" w:hAnsi="Arial Narrow"/>
                <w:b/>
                <w:bCs/>
                <w:sz w:val="20"/>
                <w:szCs w:val="20"/>
              </w:rPr>
            </w:pPr>
            <w:r w:rsidRPr="00492D82">
              <w:rPr>
                <w:rFonts w:ascii="Arial Narrow" w:hAnsi="Arial Narrow"/>
                <w:b/>
                <w:bCs/>
                <w:sz w:val="20"/>
                <w:szCs w:val="20"/>
              </w:rPr>
              <w:t>Population criteria:</w:t>
            </w:r>
          </w:p>
        </w:tc>
      </w:tr>
      <w:tr w:rsidR="009E3D59" w:rsidRPr="00492D82" w14:paraId="1D071F68"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FBEB7B6" w14:textId="6E047542"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9A85AE" w14:textId="77777777" w:rsidR="009E3D59" w:rsidRPr="00492D82" w:rsidRDefault="009E3D59" w:rsidP="0017302C">
            <w:pPr>
              <w:rPr>
                <w:rFonts w:ascii="Arial Narrow" w:hAnsi="Arial Narrow"/>
                <w:sz w:val="20"/>
                <w:szCs w:val="20"/>
              </w:rPr>
            </w:pPr>
            <w:r w:rsidRPr="00492D82">
              <w:rPr>
                <w:rFonts w:ascii="Arial Narrow" w:hAnsi="Arial Narrow"/>
                <w:sz w:val="20"/>
                <w:szCs w:val="20"/>
              </w:rPr>
              <w:t>Patient must not be premenopausal</w:t>
            </w:r>
          </w:p>
        </w:tc>
      </w:tr>
      <w:tr w:rsidR="009E3D59" w:rsidRPr="00492D82" w14:paraId="0B9676ED"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54C9F4A" w14:textId="77777777"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87B0CC" w14:textId="77777777" w:rsidR="009E3D59" w:rsidRPr="00492D82" w:rsidRDefault="009E3D59" w:rsidP="0017302C">
            <w:pPr>
              <w:rPr>
                <w:rFonts w:ascii="Arial Narrow" w:hAnsi="Arial Narrow"/>
                <w:sz w:val="20"/>
                <w:szCs w:val="20"/>
              </w:rPr>
            </w:pPr>
          </w:p>
        </w:tc>
      </w:tr>
      <w:tr w:rsidR="009E3D59" w:rsidRPr="00492D82" w14:paraId="588CA857" w14:textId="77777777" w:rsidTr="0017302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65D1C65" w14:textId="3C135A3D" w:rsidR="009E3D59" w:rsidRPr="00492D82" w:rsidRDefault="009E3D59" w:rsidP="0017302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170E4E" w14:textId="77777777" w:rsidR="009E3D59" w:rsidRPr="00492D82" w:rsidRDefault="009E3D59" w:rsidP="0017302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tbl>
    <w:p w14:paraId="735CE62E" w14:textId="4DF76833" w:rsidR="009E3D59" w:rsidRPr="00492D82" w:rsidRDefault="009E3D59" w:rsidP="00B87DAF">
      <w:pPr>
        <w:rPr>
          <w:rFonts w:ascii="Arial Narrow" w:hAnsi="Arial Narrow"/>
          <w:sz w:val="20"/>
          <w:szCs w:val="20"/>
        </w:rPr>
      </w:pPr>
    </w:p>
    <w:p w14:paraId="27653F2D" w14:textId="77777777" w:rsidR="009E3D59" w:rsidRPr="00492D82" w:rsidRDefault="009E3D59" w:rsidP="00B87DAF">
      <w:pPr>
        <w:rPr>
          <w:rFonts w:ascii="Arial Narrow" w:hAnsi="Arial Narrow"/>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B87DAF" w:rsidRPr="00492D82" w14:paraId="0502AB03" w14:textId="77777777" w:rsidTr="003F6EFC">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3E34A74B" w14:textId="77777777" w:rsidR="00B87DAF" w:rsidRPr="00492D82" w:rsidRDefault="00B87DAF" w:rsidP="003F6EFC">
            <w:pPr>
              <w:keepNext/>
              <w:rPr>
                <w:rFonts w:ascii="Arial Narrow" w:hAnsi="Arial Narrow"/>
                <w:b/>
                <w:sz w:val="20"/>
                <w:szCs w:val="20"/>
              </w:rPr>
            </w:pPr>
            <w:r w:rsidRPr="00492D82">
              <w:rPr>
                <w:rFonts w:ascii="Arial Narrow" w:hAnsi="Arial Narrow"/>
                <w:b/>
                <w:sz w:val="20"/>
                <w:szCs w:val="20"/>
              </w:rPr>
              <w:lastRenderedPageBreak/>
              <w:t xml:space="preserve">Category / Program: </w:t>
            </w:r>
            <w:r w:rsidRPr="00492D82">
              <w:rPr>
                <w:rFonts w:ascii="Arial Narrow" w:hAnsi="Arial Narrow"/>
                <w:sz w:val="20"/>
                <w:szCs w:val="20"/>
              </w:rPr>
              <w:t xml:space="preserve">GENERAL – General Schedule (Code GE) </w:t>
            </w:r>
          </w:p>
        </w:tc>
      </w:tr>
      <w:tr w:rsidR="00B87DAF" w:rsidRPr="00492D82" w14:paraId="3C6DCA66" w14:textId="77777777" w:rsidTr="003F6EFC">
        <w:trPr>
          <w:cantSplit/>
          <w:trHeight w:val="471"/>
        </w:trPr>
        <w:tc>
          <w:tcPr>
            <w:tcW w:w="2405" w:type="dxa"/>
            <w:gridSpan w:val="2"/>
            <w:shd w:val="clear" w:color="auto" w:fill="auto"/>
          </w:tcPr>
          <w:p w14:paraId="52673F7F" w14:textId="77777777" w:rsidR="00B87DAF" w:rsidRPr="00492D82" w:rsidRDefault="00B87DAF" w:rsidP="003F6EFC">
            <w:pPr>
              <w:keepNext/>
              <w:ind w:left="-57"/>
              <w:rPr>
                <w:rFonts w:ascii="Arial Narrow" w:hAnsi="Arial Narrow"/>
                <w:b/>
                <w:bCs/>
                <w:sz w:val="20"/>
                <w:szCs w:val="20"/>
              </w:rPr>
            </w:pPr>
            <w:r w:rsidRPr="00492D82">
              <w:rPr>
                <w:rFonts w:ascii="Arial Narrow" w:hAnsi="Arial Narrow"/>
                <w:b/>
                <w:bCs/>
                <w:sz w:val="20"/>
                <w:szCs w:val="20"/>
              </w:rPr>
              <w:t>MEDICINAL PRODUCT</w:t>
            </w:r>
          </w:p>
          <w:p w14:paraId="5DFBC7D2" w14:textId="77777777" w:rsidR="00B87DAF" w:rsidRPr="00492D82" w:rsidRDefault="00B87DAF" w:rsidP="003F6EFC">
            <w:pPr>
              <w:keepNext/>
              <w:ind w:left="-57"/>
              <w:rPr>
                <w:rFonts w:ascii="Arial Narrow" w:hAnsi="Arial Narrow"/>
                <w:b/>
                <w:sz w:val="20"/>
                <w:szCs w:val="20"/>
              </w:rPr>
            </w:pPr>
            <w:r w:rsidRPr="00492D82">
              <w:rPr>
                <w:rFonts w:ascii="Arial Narrow" w:hAnsi="Arial Narrow"/>
                <w:b/>
                <w:bCs/>
                <w:sz w:val="20"/>
                <w:szCs w:val="20"/>
              </w:rPr>
              <w:t>medicinal product pack</w:t>
            </w:r>
          </w:p>
        </w:tc>
        <w:tc>
          <w:tcPr>
            <w:tcW w:w="1418" w:type="dxa"/>
          </w:tcPr>
          <w:p w14:paraId="1F2DB795" w14:textId="77777777" w:rsidR="00B87DAF" w:rsidRPr="00492D82" w:rsidRDefault="00B87DAF" w:rsidP="003F6EFC">
            <w:pPr>
              <w:keepNext/>
              <w:ind w:left="-108"/>
              <w:jc w:val="center"/>
              <w:rPr>
                <w:rFonts w:ascii="Arial Narrow" w:hAnsi="Arial Narrow"/>
                <w:b/>
                <w:sz w:val="20"/>
                <w:szCs w:val="20"/>
                <w:highlight w:val="lightGray"/>
              </w:rPr>
            </w:pPr>
            <w:r w:rsidRPr="00492D82">
              <w:rPr>
                <w:rFonts w:ascii="Arial Narrow" w:hAnsi="Arial Narrow"/>
                <w:b/>
                <w:sz w:val="20"/>
                <w:szCs w:val="20"/>
              </w:rPr>
              <w:t>PBS item code</w:t>
            </w:r>
          </w:p>
        </w:tc>
        <w:tc>
          <w:tcPr>
            <w:tcW w:w="1275" w:type="dxa"/>
          </w:tcPr>
          <w:p w14:paraId="37E87F02"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packs</w:t>
            </w:r>
          </w:p>
        </w:tc>
        <w:tc>
          <w:tcPr>
            <w:tcW w:w="1276" w:type="dxa"/>
          </w:tcPr>
          <w:p w14:paraId="6D5D4C30"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Max. qty units</w:t>
            </w:r>
          </w:p>
        </w:tc>
        <w:tc>
          <w:tcPr>
            <w:tcW w:w="992" w:type="dxa"/>
          </w:tcPr>
          <w:p w14:paraId="2F40ACD3" w14:textId="77777777" w:rsidR="00B87DAF" w:rsidRPr="00492D82" w:rsidRDefault="00B87DAF" w:rsidP="003F6EFC">
            <w:pPr>
              <w:keepNext/>
              <w:ind w:left="-108"/>
              <w:jc w:val="center"/>
              <w:rPr>
                <w:rFonts w:ascii="Arial Narrow" w:hAnsi="Arial Narrow"/>
                <w:b/>
                <w:sz w:val="20"/>
                <w:szCs w:val="20"/>
              </w:rPr>
            </w:pPr>
            <w:r w:rsidRPr="00492D82">
              <w:rPr>
                <w:rFonts w:ascii="Arial Narrow" w:hAnsi="Arial Narrow"/>
                <w:b/>
                <w:sz w:val="20"/>
                <w:szCs w:val="20"/>
              </w:rPr>
              <w:t>Rpts</w:t>
            </w:r>
          </w:p>
        </w:tc>
        <w:tc>
          <w:tcPr>
            <w:tcW w:w="1701" w:type="dxa"/>
          </w:tcPr>
          <w:p w14:paraId="5F32D6F8" w14:textId="77777777" w:rsidR="00B87DAF" w:rsidRPr="00492D82" w:rsidRDefault="00B87DAF" w:rsidP="003F6EFC">
            <w:pPr>
              <w:keepNext/>
              <w:rPr>
                <w:rFonts w:ascii="Arial Narrow" w:hAnsi="Arial Narrow"/>
                <w:b/>
                <w:sz w:val="20"/>
                <w:szCs w:val="20"/>
                <w:lang w:val="fr-FR"/>
              </w:rPr>
            </w:pPr>
            <w:r w:rsidRPr="00492D82">
              <w:rPr>
                <w:rFonts w:ascii="Arial Narrow" w:hAnsi="Arial Narrow"/>
                <w:b/>
                <w:sz w:val="20"/>
                <w:szCs w:val="20"/>
              </w:rPr>
              <w:t>Available brands</w:t>
            </w:r>
          </w:p>
        </w:tc>
      </w:tr>
      <w:tr w:rsidR="00B87DAF" w:rsidRPr="00492D82" w14:paraId="5995022B" w14:textId="77777777" w:rsidTr="003F6EFC">
        <w:trPr>
          <w:cantSplit/>
          <w:trHeight w:val="224"/>
        </w:trPr>
        <w:tc>
          <w:tcPr>
            <w:tcW w:w="9067" w:type="dxa"/>
            <w:gridSpan w:val="7"/>
            <w:shd w:val="clear" w:color="auto" w:fill="auto"/>
          </w:tcPr>
          <w:p w14:paraId="5AFA90E2"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RIBOCICLIB </w:t>
            </w:r>
          </w:p>
        </w:tc>
      </w:tr>
      <w:tr w:rsidR="00B87DAF" w:rsidRPr="00492D82" w14:paraId="214FFC8F" w14:textId="77777777" w:rsidTr="003F6EFC">
        <w:trPr>
          <w:cantSplit/>
          <w:trHeight w:val="232"/>
        </w:trPr>
        <w:tc>
          <w:tcPr>
            <w:tcW w:w="2405" w:type="dxa"/>
            <w:gridSpan w:val="2"/>
            <w:shd w:val="clear" w:color="auto" w:fill="auto"/>
          </w:tcPr>
          <w:p w14:paraId="4481242E" w14:textId="77777777" w:rsidR="00B87DAF" w:rsidRPr="00492D82" w:rsidRDefault="00B87DAF" w:rsidP="003F6EFC">
            <w:pPr>
              <w:keepNext/>
              <w:ind w:left="-57"/>
              <w:rPr>
                <w:rFonts w:ascii="Arial Narrow" w:hAnsi="Arial Narrow"/>
                <w:sz w:val="20"/>
                <w:szCs w:val="20"/>
              </w:rPr>
            </w:pPr>
            <w:r w:rsidRPr="00492D82">
              <w:rPr>
                <w:rFonts w:ascii="Arial Narrow" w:hAnsi="Arial Narrow"/>
                <w:sz w:val="20"/>
                <w:szCs w:val="20"/>
              </w:rPr>
              <w:t xml:space="preserve">ribociclib 200 mg tablet, 21 </w:t>
            </w:r>
          </w:p>
        </w:tc>
        <w:tc>
          <w:tcPr>
            <w:tcW w:w="1418" w:type="dxa"/>
          </w:tcPr>
          <w:p w14:paraId="2955DC84"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11385F</w:t>
            </w:r>
          </w:p>
          <w:p w14:paraId="5DF98BB1" w14:textId="77777777" w:rsidR="00B87DAF" w:rsidRPr="00492D82" w:rsidRDefault="00B87DAF" w:rsidP="003F6EFC">
            <w:pPr>
              <w:keepNext/>
              <w:jc w:val="center"/>
              <w:rPr>
                <w:rFonts w:ascii="Arial Narrow" w:hAnsi="Arial Narrow"/>
                <w:sz w:val="20"/>
                <w:szCs w:val="20"/>
                <w:vertAlign w:val="subscript"/>
              </w:rPr>
            </w:pPr>
            <w:r w:rsidRPr="00492D82">
              <w:rPr>
                <w:rFonts w:ascii="Arial Narrow" w:hAnsi="Arial Narrow"/>
                <w:sz w:val="20"/>
                <w:szCs w:val="20"/>
                <w:vertAlign w:val="subscript"/>
              </w:rPr>
              <w:t>MP</w:t>
            </w:r>
          </w:p>
        </w:tc>
        <w:tc>
          <w:tcPr>
            <w:tcW w:w="1275" w:type="dxa"/>
          </w:tcPr>
          <w:p w14:paraId="4970FA0A"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1</w:t>
            </w:r>
          </w:p>
        </w:tc>
        <w:tc>
          <w:tcPr>
            <w:tcW w:w="1276" w:type="dxa"/>
          </w:tcPr>
          <w:p w14:paraId="0E352B53"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21</w:t>
            </w:r>
          </w:p>
        </w:tc>
        <w:tc>
          <w:tcPr>
            <w:tcW w:w="992" w:type="dxa"/>
          </w:tcPr>
          <w:p w14:paraId="28CBD2E4" w14:textId="77777777" w:rsidR="00B87DAF" w:rsidRPr="00492D82" w:rsidRDefault="00B87DAF" w:rsidP="003F6EFC">
            <w:pPr>
              <w:keepNext/>
              <w:jc w:val="center"/>
              <w:rPr>
                <w:rFonts w:ascii="Arial Narrow" w:hAnsi="Arial Narrow"/>
                <w:sz w:val="20"/>
                <w:szCs w:val="20"/>
              </w:rPr>
            </w:pPr>
            <w:r w:rsidRPr="00492D82">
              <w:rPr>
                <w:rFonts w:ascii="Arial Narrow" w:hAnsi="Arial Narrow"/>
                <w:sz w:val="20"/>
                <w:szCs w:val="20"/>
              </w:rPr>
              <w:t>5</w:t>
            </w:r>
          </w:p>
        </w:tc>
        <w:tc>
          <w:tcPr>
            <w:tcW w:w="1701" w:type="dxa"/>
          </w:tcPr>
          <w:p w14:paraId="2E663019" w14:textId="77777777" w:rsidR="00B87DAF" w:rsidRPr="00492D82" w:rsidRDefault="00B87DAF" w:rsidP="003F6EFC">
            <w:pPr>
              <w:keepNext/>
              <w:rPr>
                <w:rFonts w:ascii="Arial Narrow" w:hAnsi="Arial Narrow"/>
                <w:sz w:val="20"/>
                <w:szCs w:val="20"/>
              </w:rPr>
            </w:pPr>
            <w:r w:rsidRPr="00492D82">
              <w:rPr>
                <w:rFonts w:ascii="Arial Narrow" w:hAnsi="Arial Narrow"/>
                <w:sz w:val="20"/>
                <w:szCs w:val="20"/>
              </w:rPr>
              <w:t>Kisqali</w:t>
            </w:r>
          </w:p>
        </w:tc>
      </w:tr>
      <w:tr w:rsidR="00B87DAF" w:rsidRPr="00492D82" w14:paraId="44F38A36"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498CCBF" w14:textId="77777777" w:rsidR="00B87DAF" w:rsidRPr="00492D82" w:rsidRDefault="00B87DAF" w:rsidP="003F6EFC">
            <w:pPr>
              <w:rPr>
                <w:rFonts w:ascii="Arial Narrow" w:hAnsi="Arial Narrow"/>
                <w:sz w:val="20"/>
                <w:szCs w:val="20"/>
                <w:highlight w:val="lightGray"/>
              </w:rPr>
            </w:pPr>
          </w:p>
        </w:tc>
      </w:tr>
      <w:tr w:rsidR="00B87DAF" w:rsidRPr="00492D82" w14:paraId="4D8067E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E0A16C1" w14:textId="2DF3D15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17BB7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quantity or number of units may be authorised.</w:t>
            </w:r>
          </w:p>
        </w:tc>
      </w:tr>
      <w:tr w:rsidR="00B87DAF" w:rsidRPr="00492D82" w14:paraId="5159CE1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21FCDE2" w14:textId="7DB2EE6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2A285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 increase in the maximum number of repeats may be authorised</w:t>
            </w:r>
            <w:r w:rsidRPr="00492D82">
              <w:rPr>
                <w:rFonts w:ascii="Arial Narrow" w:hAnsi="Arial Narrow"/>
                <w:b/>
                <w:bCs/>
                <w:sz w:val="20"/>
                <w:szCs w:val="20"/>
              </w:rPr>
              <w:t>.</w:t>
            </w:r>
          </w:p>
        </w:tc>
      </w:tr>
      <w:tr w:rsidR="00B87DAF" w:rsidRPr="00492D82" w14:paraId="643D11B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4455AB" w14:textId="5471435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9770F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69D67B17"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87DAF" w:rsidRPr="00492D82" w14:paraId="328D809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5DEB7E9" w14:textId="1831D4C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42323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Special Pricing Arrangements apply.</w:t>
            </w:r>
          </w:p>
        </w:tc>
      </w:tr>
      <w:tr w:rsidR="00B87DAF" w:rsidRPr="00492D82" w14:paraId="40E6683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98BBA95" w14:textId="4ABD6EA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81E52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Administrative Advice:</w:t>
            </w:r>
          </w:p>
          <w:p w14:paraId="12401EB3"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Cyclin-dependent kinase 4 and 6 (CDK4/6) inhibitors for the purposes of this restriction are abemaciclib, palbociclib and ribociclib.</w:t>
            </w:r>
          </w:p>
        </w:tc>
      </w:tr>
      <w:tr w:rsidR="00B87DAF" w:rsidRPr="00492D82" w14:paraId="7D0134B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2399568" w14:textId="604BB12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25A39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Administrative Advice: </w:t>
            </w:r>
            <w:r w:rsidRPr="00492D82">
              <w:rPr>
                <w:rFonts w:ascii="Arial Narrow" w:hAnsi="Arial Narrow"/>
                <w:sz w:val="20"/>
                <w:szCs w:val="20"/>
              </w:rPr>
              <w:t>Non-steroidal aromatase inhibitors for the purposes of this restriction are anastrozole and letrozole.</w:t>
            </w:r>
          </w:p>
        </w:tc>
      </w:tr>
      <w:tr w:rsidR="00B87DAF" w:rsidRPr="00492D82" w14:paraId="475D8A28"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250230D" w14:textId="77777777" w:rsidR="00B87DAF" w:rsidRPr="00492D82" w:rsidRDefault="00B87DAF" w:rsidP="003F6EFC">
            <w:pPr>
              <w:rPr>
                <w:rFonts w:ascii="Arial Narrow" w:hAnsi="Arial Narrow"/>
                <w:b/>
                <w:bCs/>
                <w:sz w:val="20"/>
                <w:szCs w:val="20"/>
              </w:rPr>
            </w:pPr>
          </w:p>
        </w:tc>
      </w:tr>
      <w:tr w:rsidR="00B87DAF" w:rsidRPr="00492D82" w14:paraId="1BB4DF42"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89F19A" w14:textId="6C9868A7" w:rsidR="00B87DAF" w:rsidRPr="00492D82" w:rsidRDefault="00B87DAF" w:rsidP="003F6EFC">
            <w:pPr>
              <w:rPr>
                <w:rFonts w:ascii="Arial Narrow" w:hAnsi="Arial Narrow"/>
                <w:b/>
                <w:bCs/>
                <w:sz w:val="20"/>
                <w:szCs w:val="20"/>
              </w:rPr>
            </w:pPr>
            <w:r w:rsidRPr="00492D82">
              <w:rPr>
                <w:rFonts w:ascii="Arial Narrow" w:hAnsi="Arial Narrow"/>
                <w:b/>
                <w:bCs/>
                <w:sz w:val="20"/>
                <w:szCs w:val="20"/>
              </w:rPr>
              <w:t>Edit Restriction Summary / ToC: Authority Required</w:t>
            </w:r>
          </w:p>
          <w:p w14:paraId="49068F51" w14:textId="77777777" w:rsidR="00B87DAF" w:rsidRPr="00492D82" w:rsidRDefault="00B87DAF" w:rsidP="003F6EFC">
            <w:pPr>
              <w:rPr>
                <w:rFonts w:ascii="Arial Narrow" w:hAnsi="Arial Narrow"/>
                <w:b/>
                <w:bCs/>
                <w:sz w:val="20"/>
                <w:szCs w:val="20"/>
              </w:rPr>
            </w:pPr>
          </w:p>
        </w:tc>
      </w:tr>
      <w:tr w:rsidR="00B87DAF" w:rsidRPr="00492D82" w14:paraId="07CBEEE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4E5AFBC" w14:textId="0EC6C83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938115"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492D82" w14:paraId="31E9C5B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598D98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DDE011" w14:textId="77777777" w:rsidR="00B87DAF" w:rsidRPr="00492D82" w:rsidRDefault="00B87DAF" w:rsidP="003F6EFC">
            <w:pPr>
              <w:rPr>
                <w:rFonts w:ascii="Arial Narrow" w:hAnsi="Arial Narrow"/>
                <w:b/>
                <w:bCs/>
                <w:sz w:val="20"/>
                <w:szCs w:val="20"/>
              </w:rPr>
            </w:pPr>
          </w:p>
        </w:tc>
      </w:tr>
      <w:tr w:rsidR="00B87DAF" w:rsidRPr="00492D82" w14:paraId="4A8BF8F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052D9A4"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74527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Initial treatment</w:t>
            </w:r>
          </w:p>
        </w:tc>
      </w:tr>
      <w:tr w:rsidR="00B87DAF" w:rsidRPr="00492D82" w14:paraId="2397EE4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6DA165B"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9894F9" w14:textId="77777777" w:rsidR="00B87DAF" w:rsidRPr="00492D82" w:rsidRDefault="00B87DAF" w:rsidP="003F6EFC">
            <w:pPr>
              <w:rPr>
                <w:rFonts w:ascii="Arial Narrow" w:hAnsi="Arial Narrow"/>
                <w:b/>
                <w:bCs/>
                <w:sz w:val="20"/>
                <w:szCs w:val="20"/>
              </w:rPr>
            </w:pPr>
          </w:p>
        </w:tc>
      </w:tr>
      <w:tr w:rsidR="00B87DAF" w:rsidRPr="00492D82" w14:paraId="32F44316"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69DAB49" w14:textId="7AFAF96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C0C28C"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74C30DA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FBE6EBE" w14:textId="093F036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AB615E"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be untreated with cyclin-dependent kinase 4/6 (CDK4/6) inhibitor therapy; or</w:t>
            </w:r>
          </w:p>
        </w:tc>
      </w:tr>
      <w:tr w:rsidR="00B87DAF" w:rsidRPr="00492D82" w14:paraId="270ECFD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9F02DA3" w14:textId="5172E46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13C239"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developed an intolerance to another CDK4/6 inhibitor therapy (other than this drug) of a severity necessitating permanent treatment withdrawal</w:t>
            </w:r>
          </w:p>
        </w:tc>
      </w:tr>
      <w:tr w:rsidR="00B87DAF" w:rsidRPr="00492D82" w14:paraId="2E4B8CA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E490BE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59923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073DB5D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3604E8B" w14:textId="3FB2318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B1FCD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4054520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5761554" w14:textId="322281D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1D2D00"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hormone receptor positive</w:t>
            </w:r>
          </w:p>
        </w:tc>
      </w:tr>
      <w:tr w:rsidR="00B87DAF" w:rsidRPr="00492D82" w14:paraId="2507F03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DAFE0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512511"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6BC4D2C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C965AAC" w14:textId="70DB529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214E4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189D5B7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8D820F1" w14:textId="28FB797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74C45A"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human epidermal growth factor receptor 2 (HER2) negative</w:t>
            </w:r>
          </w:p>
        </w:tc>
      </w:tr>
      <w:tr w:rsidR="00B87DAF" w:rsidRPr="00492D82" w14:paraId="693238F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7CB4CA8"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48B41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4A0A7EA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BF33D1" w14:textId="5270912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33B09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21BDB70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FA89DF0" w14:textId="437CFF0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BFC38C"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condition must be inoperable</w:t>
            </w:r>
          </w:p>
        </w:tc>
      </w:tr>
      <w:tr w:rsidR="00B87DAF" w:rsidRPr="00492D82" w14:paraId="0791BCB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622D02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98F8E9"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05CFD05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01898D" w14:textId="2D50671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06E01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2CA7AA5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0774D81" w14:textId="008EC18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E5096E"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Patient must have a World Health Organisation (WHO) Eastern Cooperative Oncology Group (ECOG) performance status score of 2 or less</w:t>
            </w:r>
          </w:p>
        </w:tc>
      </w:tr>
      <w:tr w:rsidR="00B87DAF" w:rsidRPr="00492D82" w14:paraId="040F439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73D8160"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99103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0440163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8A05071" w14:textId="7FA252E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3AEA6D"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6427F92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9A1F64E" w14:textId="1152FDA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72E780"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never been treated with endocrine therapy for advanced/metastatic disease, with one of (i) a non-steroidal aromatase inhibitor, (ii) fulvestrant; or</w:t>
            </w:r>
          </w:p>
        </w:tc>
      </w:tr>
      <w:tr w:rsidR="00B87DAF" w:rsidRPr="00492D82" w14:paraId="2706643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C8F5830" w14:textId="37D9A23F"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371AA7"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be in combination, where the patient has recurrence/progressive disease despite being treated with endocrine therapy for advanced/metastatic disease, with fulvestrant only</w:t>
            </w:r>
          </w:p>
        </w:tc>
      </w:tr>
      <w:tr w:rsidR="00B87DAF" w:rsidRPr="00492D82" w14:paraId="2D4257F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B3E7861"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9CED2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0B25DB6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53683E9" w14:textId="333215A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6F7D46"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592EB83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5E79FF" w14:textId="2375FF3D"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7B1057"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492D82" w14:paraId="2251D9E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05EE5CE"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A31463"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AND</w:t>
            </w:r>
          </w:p>
        </w:tc>
      </w:tr>
      <w:tr w:rsidR="00B87DAF" w:rsidRPr="00492D82" w14:paraId="2DE5887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9206441" w14:textId="00CD90E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B2F173"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Clinical criteria:</w:t>
            </w:r>
          </w:p>
        </w:tc>
      </w:tr>
      <w:tr w:rsidR="00B87DAF" w:rsidRPr="00492D82" w14:paraId="13E581E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9B12634" w14:textId="693C4A7A"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138515"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require dosage reduction requiring a pack of 21 tablets</w:t>
            </w:r>
          </w:p>
        </w:tc>
      </w:tr>
      <w:tr w:rsidR="00B87DAF" w:rsidRPr="00492D82" w14:paraId="4272BDA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6B607F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5D32CC" w14:textId="77777777" w:rsidR="00B87DAF" w:rsidRPr="00492D82" w:rsidRDefault="00B87DAF" w:rsidP="003F6EFC">
            <w:pPr>
              <w:rPr>
                <w:rFonts w:ascii="Arial Narrow" w:hAnsi="Arial Narrow"/>
                <w:b/>
                <w:bCs/>
                <w:sz w:val="20"/>
                <w:szCs w:val="20"/>
              </w:rPr>
            </w:pPr>
          </w:p>
        </w:tc>
      </w:tr>
      <w:tr w:rsidR="00B87DAF" w:rsidRPr="00492D82" w14:paraId="651D76B3"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6E2D87B" w14:textId="4902076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97C998"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492D82" w14:paraId="677431B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65FB0DB" w14:textId="6DE2107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1096C1"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492D82" w14:paraId="01350E3F"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FA538B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7E8806" w14:textId="77777777" w:rsidR="00B87DAF" w:rsidRPr="00492D82" w:rsidRDefault="00B87DAF" w:rsidP="003F6EFC">
            <w:pPr>
              <w:rPr>
                <w:rFonts w:ascii="Arial Narrow" w:hAnsi="Arial Narrow"/>
                <w:sz w:val="20"/>
                <w:szCs w:val="20"/>
              </w:rPr>
            </w:pPr>
          </w:p>
        </w:tc>
      </w:tr>
      <w:tr w:rsidR="00B87DAF" w:rsidRPr="00492D82" w14:paraId="5C735B0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D395F6A" w14:textId="149EAB9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0E3190" w14:textId="77777777" w:rsidR="00B87DAF" w:rsidRPr="00492D82" w:rsidRDefault="00B87DAF" w:rsidP="003F6EFC">
            <w:pPr>
              <w:rPr>
                <w:rFonts w:ascii="Arial Narrow" w:hAnsi="Arial Narrow"/>
                <w:b/>
                <w:bCs/>
                <w:i/>
                <w:iCs/>
                <w:sz w:val="20"/>
                <w:szCs w:val="20"/>
              </w:rPr>
            </w:pPr>
            <w:r w:rsidRPr="00492D82">
              <w:rPr>
                <w:rFonts w:ascii="Arial Narrow" w:hAnsi="Arial Narrow"/>
                <w:b/>
                <w:bCs/>
                <w:i/>
                <w:iCs/>
                <w:sz w:val="20"/>
                <w:szCs w:val="20"/>
              </w:rPr>
              <w:t>Prescribing instructions:</w:t>
            </w:r>
          </w:p>
          <w:p w14:paraId="149022CE" w14:textId="77777777" w:rsidR="00B87DAF" w:rsidRPr="00492D82" w:rsidRDefault="00B87DAF" w:rsidP="003F6EFC">
            <w:pPr>
              <w:rPr>
                <w:rFonts w:ascii="Arial Narrow" w:hAnsi="Arial Narrow"/>
                <w:i/>
                <w:iCs/>
                <w:sz w:val="20"/>
                <w:szCs w:val="20"/>
              </w:rPr>
            </w:pPr>
            <w:r w:rsidRPr="00492D82">
              <w:rPr>
                <w:rFonts w:ascii="Arial Narrow" w:hAnsi="Arial Narrow"/>
                <w:i/>
                <w:iCs/>
                <w:sz w:val="20"/>
                <w:szCs w:val="20"/>
              </w:rPr>
              <w:t>Definition:</w:t>
            </w:r>
          </w:p>
          <w:p w14:paraId="7893E2DE" w14:textId="77777777" w:rsidR="00B87DAF" w:rsidRPr="00492D82" w:rsidRDefault="00B87DAF" w:rsidP="003F6EFC">
            <w:pPr>
              <w:rPr>
                <w:rFonts w:ascii="Arial Narrow" w:hAnsi="Arial Narrow"/>
                <w:sz w:val="20"/>
                <w:szCs w:val="20"/>
              </w:rPr>
            </w:pPr>
            <w:r w:rsidRPr="00492D82">
              <w:rPr>
                <w:rFonts w:ascii="Arial Narrow" w:hAnsi="Arial Narrow"/>
                <w:i/>
                <w:iCs/>
                <w:sz w:val="20"/>
                <w:szCs w:val="20"/>
              </w:rPr>
              <w:t>Untreated with cyclin-dependent kinase 4/6 (CDK4/6) inhibitor therapy means that the patient has never been treated with such therapy irrespective of the disease staging (i.e. if CDK4/6 inhibitor therapy has been prescribed for early disease, subsidy under this PBS-indication of advanced/metastatic disease is no longer available).</w:t>
            </w:r>
          </w:p>
        </w:tc>
      </w:tr>
      <w:tr w:rsidR="00B87DAF" w:rsidRPr="00492D82" w14:paraId="04026B8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0780976"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0FDF9E" w14:textId="77777777" w:rsidR="00B87DAF" w:rsidRPr="00492D82" w:rsidRDefault="00B87DAF" w:rsidP="003F6EFC">
            <w:pPr>
              <w:rPr>
                <w:rFonts w:ascii="Arial Narrow" w:hAnsi="Arial Narrow"/>
                <w:b/>
                <w:bCs/>
                <w:i/>
                <w:iCs/>
                <w:sz w:val="20"/>
                <w:szCs w:val="20"/>
              </w:rPr>
            </w:pPr>
          </w:p>
        </w:tc>
      </w:tr>
      <w:tr w:rsidR="00B87DAF" w:rsidRPr="00492D82" w14:paraId="6A4823B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BE38CDA" w14:textId="26291A7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9F8899"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tr w:rsidR="00B87DAF" w:rsidRPr="00492D82" w14:paraId="7225A926"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8FA814" w14:textId="77777777" w:rsidR="00B87DAF" w:rsidRPr="00492D82" w:rsidRDefault="00B87DAF" w:rsidP="003F6EFC">
            <w:pPr>
              <w:rPr>
                <w:rFonts w:ascii="Arial Narrow" w:hAnsi="Arial Narrow"/>
                <w:b/>
                <w:bCs/>
                <w:sz w:val="20"/>
                <w:szCs w:val="20"/>
              </w:rPr>
            </w:pPr>
          </w:p>
          <w:p w14:paraId="5E2FFDBA" w14:textId="77777777" w:rsidR="00B87DAF" w:rsidRPr="00492D82" w:rsidRDefault="00B87DAF" w:rsidP="003F6EFC">
            <w:pPr>
              <w:rPr>
                <w:rFonts w:ascii="Arial Narrow" w:hAnsi="Arial Narrow"/>
                <w:b/>
                <w:bCs/>
                <w:sz w:val="20"/>
                <w:szCs w:val="20"/>
              </w:rPr>
            </w:pPr>
          </w:p>
        </w:tc>
      </w:tr>
      <w:tr w:rsidR="00B87DAF" w:rsidRPr="00492D82" w14:paraId="692AA1E6" w14:textId="77777777" w:rsidTr="003F6EF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9D71C2E" w14:textId="25216FB2" w:rsidR="00B87DAF" w:rsidRPr="00492D82" w:rsidRDefault="00B87DAF" w:rsidP="003F6EFC">
            <w:pPr>
              <w:rPr>
                <w:rFonts w:ascii="Arial Narrow" w:hAnsi="Arial Narrow"/>
                <w:b/>
                <w:bCs/>
                <w:sz w:val="20"/>
                <w:szCs w:val="20"/>
              </w:rPr>
            </w:pPr>
            <w:r w:rsidRPr="00492D82">
              <w:rPr>
                <w:rFonts w:ascii="Arial Narrow" w:hAnsi="Arial Narrow"/>
                <w:b/>
                <w:bCs/>
                <w:sz w:val="20"/>
                <w:szCs w:val="20"/>
              </w:rPr>
              <w:t>Restriction Summary / ToC: Authority Required ********************UNCHANGED*************************</w:t>
            </w:r>
          </w:p>
          <w:p w14:paraId="3C60D07A" w14:textId="77777777" w:rsidR="00B87DAF" w:rsidRPr="00492D82" w:rsidRDefault="00B87DAF" w:rsidP="003F6EFC">
            <w:pPr>
              <w:rPr>
                <w:rFonts w:ascii="Arial Narrow" w:hAnsi="Arial Narrow"/>
                <w:b/>
                <w:bCs/>
                <w:sz w:val="20"/>
                <w:szCs w:val="20"/>
              </w:rPr>
            </w:pPr>
          </w:p>
        </w:tc>
      </w:tr>
      <w:tr w:rsidR="00B87DAF" w:rsidRPr="00492D82" w14:paraId="374DC26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391DCA2" w14:textId="0182CF06"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C9F1CB"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Indication: </w:t>
            </w:r>
            <w:r w:rsidRPr="00492D82">
              <w:rPr>
                <w:rFonts w:ascii="Arial Narrow" w:hAnsi="Arial Narrow"/>
                <w:sz w:val="20"/>
                <w:szCs w:val="20"/>
              </w:rPr>
              <w:t>Locally advanced or metastatic breast cancer</w:t>
            </w:r>
          </w:p>
        </w:tc>
      </w:tr>
      <w:tr w:rsidR="00B87DAF" w:rsidRPr="00492D82" w14:paraId="0875DCB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D27B219"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E84A44" w14:textId="77777777" w:rsidR="00B87DAF" w:rsidRPr="00492D82" w:rsidRDefault="00B87DAF" w:rsidP="003F6EFC">
            <w:pPr>
              <w:rPr>
                <w:rFonts w:ascii="Arial Narrow" w:hAnsi="Arial Narrow"/>
                <w:b/>
                <w:bCs/>
                <w:sz w:val="20"/>
                <w:szCs w:val="20"/>
              </w:rPr>
            </w:pPr>
          </w:p>
        </w:tc>
      </w:tr>
      <w:tr w:rsidR="00B87DAF" w:rsidRPr="00492D82" w14:paraId="63F25788"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CA1DD7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B99E14"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 xml:space="preserve">Treatment Phase: </w:t>
            </w:r>
            <w:r w:rsidRPr="00492D82">
              <w:rPr>
                <w:rFonts w:ascii="Arial Narrow" w:hAnsi="Arial Narrow"/>
                <w:sz w:val="20"/>
                <w:szCs w:val="20"/>
              </w:rPr>
              <w:t>Continuing treatment</w:t>
            </w:r>
          </w:p>
        </w:tc>
      </w:tr>
      <w:tr w:rsidR="00B87DAF" w:rsidRPr="00492D82" w14:paraId="05A4B13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6314D65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6EE06E" w14:textId="77777777" w:rsidR="00B87DAF" w:rsidRPr="00492D82" w:rsidRDefault="00B87DAF" w:rsidP="003F6EFC">
            <w:pPr>
              <w:rPr>
                <w:rFonts w:ascii="Arial Narrow" w:hAnsi="Arial Narrow"/>
                <w:b/>
                <w:bCs/>
                <w:sz w:val="20"/>
                <w:szCs w:val="20"/>
              </w:rPr>
            </w:pPr>
          </w:p>
        </w:tc>
      </w:tr>
      <w:tr w:rsidR="00B87DAF" w:rsidRPr="00492D82" w14:paraId="4B34D43C"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A2FF309" w14:textId="124CD04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8B688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082E8FD9"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4BEE48D" w14:textId="27DE1480"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52DE7F"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have previously received PBS-subsidised treatment with this drug for this condition</w:t>
            </w:r>
          </w:p>
        </w:tc>
      </w:tr>
      <w:tr w:rsidR="00B87DAF" w:rsidRPr="00492D82" w14:paraId="7EAC18EB"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D5125E9"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2850A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25DCA00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B44FD49" w14:textId="0DC52B09"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B5B490"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036336B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BF3EA5D" w14:textId="6010C0C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729FA3"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have developed disease progression while being treated with this drug for this condition</w:t>
            </w:r>
          </w:p>
        </w:tc>
      </w:tr>
      <w:tr w:rsidR="00B87DAF" w:rsidRPr="00492D82" w14:paraId="5472809D"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1036BFC2"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672E9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2EA60294"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7BCDE40" w14:textId="7DBFDBC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A72793"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4EA17EA7"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1BDA8E1" w14:textId="445F6F35"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0493A8"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The treatment must be in combination with one of: (i) non-steroidal aromatase inhibitor, (ii) fulvestrant</w:t>
            </w:r>
          </w:p>
        </w:tc>
      </w:tr>
      <w:tr w:rsidR="00B87DAF" w:rsidRPr="00492D82" w14:paraId="62BDC66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484B8B7"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AF1B7A"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AND</w:t>
            </w:r>
          </w:p>
        </w:tc>
      </w:tr>
      <w:tr w:rsidR="00B87DAF" w:rsidRPr="00492D82" w14:paraId="7DDF159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5702D6A" w14:textId="1C3A1F4B"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8AFB7F"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Clinical criteria:</w:t>
            </w:r>
          </w:p>
        </w:tc>
      </w:tr>
      <w:tr w:rsidR="00B87DAF" w:rsidRPr="00492D82" w14:paraId="13554D2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24D5079" w14:textId="7CCF4E51"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151863" w14:textId="77777777" w:rsidR="00B87DAF" w:rsidRPr="00492D82" w:rsidRDefault="00B87DAF" w:rsidP="003F6EFC">
            <w:pPr>
              <w:rPr>
                <w:rFonts w:ascii="Arial Narrow" w:hAnsi="Arial Narrow"/>
                <w:b/>
                <w:bCs/>
                <w:sz w:val="20"/>
                <w:szCs w:val="20"/>
              </w:rPr>
            </w:pPr>
            <w:r w:rsidRPr="00492D82">
              <w:rPr>
                <w:rFonts w:ascii="Arial Narrow" w:hAnsi="Arial Narrow"/>
                <w:sz w:val="20"/>
                <w:szCs w:val="20"/>
              </w:rPr>
              <w:t>Patient must require dosage reduction requiring a pack of 21 tablets</w:t>
            </w:r>
          </w:p>
        </w:tc>
      </w:tr>
      <w:tr w:rsidR="00B87DAF" w:rsidRPr="00492D82" w14:paraId="109BAA7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A7CC98C"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4CE28B"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AND</w:t>
            </w:r>
          </w:p>
        </w:tc>
      </w:tr>
      <w:tr w:rsidR="00B87DAF" w:rsidRPr="00492D82" w14:paraId="60AC5460"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EE67084" w14:textId="37FC83F8"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774C06"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Clinical criteria:</w:t>
            </w:r>
          </w:p>
        </w:tc>
      </w:tr>
      <w:tr w:rsidR="00B87DAF" w:rsidRPr="00492D82" w14:paraId="2525FB0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4E2DCAAE" w14:textId="6D5F9563"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C54CF4"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The treatment must not be in combination with another cyclin-dependent kinase 4/6 (CDK4/6) inhibitor therapy</w:t>
            </w:r>
          </w:p>
        </w:tc>
      </w:tr>
      <w:tr w:rsidR="00B87DAF" w:rsidRPr="00492D82" w14:paraId="67C084FA"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D1BA225"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28292D" w14:textId="77777777" w:rsidR="00B87DAF" w:rsidRPr="00492D82" w:rsidRDefault="00B87DAF" w:rsidP="003F6EFC">
            <w:pPr>
              <w:rPr>
                <w:rFonts w:ascii="Arial Narrow" w:hAnsi="Arial Narrow"/>
                <w:b/>
                <w:bCs/>
                <w:sz w:val="20"/>
                <w:szCs w:val="20"/>
              </w:rPr>
            </w:pPr>
          </w:p>
        </w:tc>
      </w:tr>
      <w:tr w:rsidR="00B87DAF" w:rsidRPr="00492D82" w14:paraId="044DC2A1"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FBA5EA8" w14:textId="06F2DE12"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CE4C32" w14:textId="77777777" w:rsidR="00B87DAF" w:rsidRPr="00492D82" w:rsidRDefault="00B87DAF" w:rsidP="003F6EFC">
            <w:pPr>
              <w:rPr>
                <w:rFonts w:ascii="Arial Narrow" w:hAnsi="Arial Narrow"/>
                <w:b/>
                <w:bCs/>
                <w:sz w:val="20"/>
                <w:szCs w:val="20"/>
              </w:rPr>
            </w:pPr>
            <w:r w:rsidRPr="00492D82">
              <w:rPr>
                <w:rFonts w:ascii="Arial Narrow" w:hAnsi="Arial Narrow"/>
                <w:b/>
                <w:bCs/>
                <w:sz w:val="20"/>
                <w:szCs w:val="20"/>
              </w:rPr>
              <w:t>Population criteria:</w:t>
            </w:r>
          </w:p>
        </w:tc>
      </w:tr>
      <w:tr w:rsidR="00B87DAF" w:rsidRPr="00492D82" w14:paraId="7DB451FE"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36305143" w14:textId="2E3E099E"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AA48B5" w14:textId="77777777" w:rsidR="00B87DAF" w:rsidRPr="00492D82" w:rsidRDefault="00B87DAF" w:rsidP="003F6EFC">
            <w:pPr>
              <w:rPr>
                <w:rFonts w:ascii="Arial Narrow" w:hAnsi="Arial Narrow"/>
                <w:sz w:val="20"/>
                <w:szCs w:val="20"/>
              </w:rPr>
            </w:pPr>
            <w:r w:rsidRPr="00492D82">
              <w:rPr>
                <w:rFonts w:ascii="Arial Narrow" w:hAnsi="Arial Narrow"/>
                <w:sz w:val="20"/>
                <w:szCs w:val="20"/>
              </w:rPr>
              <w:t>Patient must not be premenopausal</w:t>
            </w:r>
          </w:p>
        </w:tc>
      </w:tr>
      <w:tr w:rsidR="00B87DAF" w:rsidRPr="00492D82" w14:paraId="16145052"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9BA826D" w14:textId="77777777"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2A3A88" w14:textId="77777777" w:rsidR="00B87DAF" w:rsidRPr="00492D82" w:rsidRDefault="00B87DAF" w:rsidP="003F6EFC">
            <w:pPr>
              <w:rPr>
                <w:rFonts w:ascii="Arial Narrow" w:hAnsi="Arial Narrow"/>
                <w:sz w:val="20"/>
                <w:szCs w:val="20"/>
              </w:rPr>
            </w:pPr>
          </w:p>
        </w:tc>
      </w:tr>
      <w:tr w:rsidR="00B87DAF" w:rsidRPr="00492D82" w14:paraId="4711CE25" w14:textId="77777777" w:rsidTr="003F6EF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245A1642" w14:textId="1D03CB44" w:rsidR="00B87DAF" w:rsidRPr="00492D82" w:rsidRDefault="00B87DAF" w:rsidP="003F6EFC">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14ABDB" w14:textId="77777777" w:rsidR="00B87DAF" w:rsidRPr="00492D82" w:rsidRDefault="00B87DAF" w:rsidP="003F6EFC">
            <w:pPr>
              <w:rPr>
                <w:rFonts w:ascii="Arial Narrow" w:hAnsi="Arial Narrow"/>
                <w:sz w:val="20"/>
                <w:szCs w:val="20"/>
              </w:rPr>
            </w:pPr>
            <w:r w:rsidRPr="00492D82">
              <w:rPr>
                <w:rFonts w:ascii="Arial Narrow" w:hAnsi="Arial Narrow"/>
                <w:b/>
                <w:bCs/>
                <w:sz w:val="20"/>
                <w:szCs w:val="20"/>
              </w:rPr>
              <w:t>Caution:</w:t>
            </w:r>
            <w:r w:rsidRPr="00492D82">
              <w:rPr>
                <w:rFonts w:ascii="Arial Narrow" w:hAnsi="Arial Narrow"/>
                <w:sz w:val="20"/>
                <w:szCs w:val="20"/>
              </w:rPr>
              <w:t xml:space="preserve"> QT interval monitoring is required for patients treated with this drug.</w:t>
            </w:r>
          </w:p>
        </w:tc>
      </w:tr>
    </w:tbl>
    <w:p w14:paraId="08B829C7" w14:textId="7F54F8E1" w:rsidR="00492D82" w:rsidRPr="00492D82" w:rsidRDefault="00492D82" w:rsidP="007312D6">
      <w:pPr>
        <w:rPr>
          <w:rFonts w:asciiTheme="minorHAnsi" w:hAnsiTheme="minorHAnsi"/>
          <w:b/>
          <w:bCs/>
          <w:i/>
          <w:iCs/>
          <w:snapToGrid w:val="0"/>
          <w:lang w:val="en-GB"/>
        </w:rPr>
      </w:pPr>
      <w:r w:rsidRPr="00492D82">
        <w:rPr>
          <w:b/>
          <w:bCs/>
          <w:i/>
          <w:iCs/>
        </w:rPr>
        <w:t>These restrictions may be subject to further review. Should there be any changes made to the restriction the sponsor will be informed.</w:t>
      </w:r>
    </w:p>
    <w:p w14:paraId="0F5A89B5" w14:textId="643FBA69" w:rsidR="00606D0C" w:rsidRPr="0029268B" w:rsidRDefault="00606D0C" w:rsidP="00606D0C">
      <w:pPr>
        <w:pStyle w:val="5-SubsectionSubheading"/>
        <w:jc w:val="center"/>
        <w:outlineLvl w:val="0"/>
        <w:rPr>
          <w:u w:val="single"/>
        </w:rPr>
      </w:pPr>
      <w:bookmarkStart w:id="83" w:name="_Toc124949423"/>
      <w:bookmarkStart w:id="84" w:name="_Toc124940314"/>
      <w:bookmarkEnd w:id="75"/>
      <w:r w:rsidRPr="0029268B">
        <w:rPr>
          <w:u w:val="single"/>
        </w:rPr>
        <w:lastRenderedPageBreak/>
        <w:t>Committee-In-Confidence information</w:t>
      </w:r>
      <w:bookmarkEnd w:id="83"/>
    </w:p>
    <w:p w14:paraId="1063CC1B" w14:textId="12B1345E" w:rsidR="0029268B" w:rsidRDefault="0029268B" w:rsidP="007631FB">
      <w:pPr>
        <w:pStyle w:val="3-BodyText"/>
        <w:numPr>
          <w:ilvl w:val="0"/>
          <w:numId w:val="0"/>
        </w:numPr>
        <w:rPr>
          <w:iCs/>
        </w:rPr>
      </w:pPr>
      <w:r w:rsidRPr="00927EF8">
        <w:rPr>
          <w:iCs/>
          <w:color w:val="000000"/>
          <w:w w:val="54"/>
          <w:shd w:val="solid" w:color="000000" w:fill="000000"/>
          <w:fitText w:val="8890" w:id="-1275323135"/>
          <w14:textFill>
            <w14:solidFill>
              <w14:srgbClr w14:val="000000">
                <w14:alpha w14:val="100000"/>
              </w14:srgbClr>
            </w14:solidFill>
          </w14:textFill>
        </w:rPr>
        <w:t>|||||||||||||||||||||||||||||||||||||||||||||||||||||||||||||||||||||||||  ||||||||||||||||||||||||||||||||||||||||||||||||||||||||||||||||||||||||</w:t>
      </w:r>
      <w:r w:rsidRPr="00927EF8">
        <w:rPr>
          <w:iCs/>
          <w:color w:val="000000"/>
          <w:spacing w:val="122"/>
          <w:w w:val="54"/>
          <w:shd w:val="solid" w:color="000000" w:fill="000000"/>
          <w:fitText w:val="8890" w:id="-1275323135"/>
          <w14:textFill>
            <w14:solidFill>
              <w14:srgbClr w14:val="000000">
                <w14:alpha w14:val="100000"/>
              </w14:srgbClr>
            </w14:solidFill>
          </w14:textFill>
        </w:rPr>
        <w:t>|</w:t>
      </w:r>
      <w:r>
        <w:rPr>
          <w:iCs/>
        </w:rPr>
        <w:t xml:space="preserve"> </w:t>
      </w:r>
      <w:r w:rsidRPr="00927EF8">
        <w:rPr>
          <w:iCs/>
          <w:color w:val="000000"/>
          <w:w w:val="54"/>
          <w:shd w:val="solid" w:color="000000" w:fill="000000"/>
          <w:fitText w:val="5810" w:id="-1275323134"/>
          <w14:textFill>
            <w14:solidFill>
              <w14:srgbClr w14:val="000000">
                <w14:alpha w14:val="100000"/>
              </w14:srgbClr>
            </w14:solidFill>
          </w14:textFill>
        </w:rPr>
        <w:t>||||||||||||||||||||||||||||||||||||||||||||||||  |||||||||||||||||||||||||||||||||||||||||||||||</w:t>
      </w:r>
      <w:r w:rsidRPr="00927EF8">
        <w:rPr>
          <w:iCs/>
          <w:color w:val="000000"/>
          <w:spacing w:val="25"/>
          <w:w w:val="54"/>
          <w:shd w:val="solid" w:color="000000" w:fill="000000"/>
          <w:fitText w:val="5810" w:id="-1275323134"/>
          <w14:textFill>
            <w14:solidFill>
              <w14:srgbClr w14:val="000000">
                <w14:alpha w14:val="100000"/>
              </w14:srgbClr>
            </w14:solidFill>
          </w14:textFill>
        </w:rPr>
        <w:t>|</w:t>
      </w:r>
      <w:r>
        <w:rPr>
          <w:iCs/>
        </w:rPr>
        <w:t xml:space="preserve"> </w:t>
      </w:r>
    </w:p>
    <w:p w14:paraId="7696499F" w14:textId="7C5F9249" w:rsidR="0029268B" w:rsidRPr="00243CD6" w:rsidRDefault="0029268B" w:rsidP="00243CD6">
      <w:pPr>
        <w:pStyle w:val="3-BodyText"/>
        <w:numPr>
          <w:ilvl w:val="0"/>
          <w:numId w:val="0"/>
        </w:numPr>
        <w:rPr>
          <w:iCs/>
        </w:rPr>
      </w:pPr>
      <w:r w:rsidRPr="00927EF8">
        <w:rPr>
          <w:iCs/>
          <w:color w:val="000000"/>
          <w:spacing w:val="1"/>
          <w:w w:val="54"/>
          <w:shd w:val="solid" w:color="000000" w:fill="000000"/>
          <w:fitText w:val="8890" w:id="-1275323133"/>
          <w14:textFill>
            <w14:solidFill>
              <w14:srgbClr w14:val="000000">
                <w14:alpha w14:val="100000"/>
              </w14:srgbClr>
            </w14:solidFill>
          </w14:textFill>
        </w:rPr>
        <w:t>|||||||||||||||||||||||||||||||||||||||||||||||||||||||||||||||||||||||||  ||||||||||||||||||||||||||||||||||||||||||||||||||||||||||||||||||||||||</w:t>
      </w:r>
      <w:r w:rsidRPr="00927EF8">
        <w:rPr>
          <w:iCs/>
          <w:color w:val="000000"/>
          <w:spacing w:val="-24"/>
          <w:w w:val="54"/>
          <w:shd w:val="solid" w:color="000000" w:fill="000000"/>
          <w:fitText w:val="8890" w:id="-1275323133"/>
          <w14:textFill>
            <w14:solidFill>
              <w14:srgbClr w14:val="000000">
                <w14:alpha w14:val="100000"/>
              </w14:srgbClr>
            </w14:solidFill>
          </w14:textFill>
        </w:rPr>
        <w:t>|</w:t>
      </w:r>
      <w:r>
        <w:rPr>
          <w:iCs/>
        </w:rPr>
        <w:t xml:space="preserve"> </w:t>
      </w:r>
      <w:r w:rsidRPr="00927EF8">
        <w:rPr>
          <w:iCs/>
          <w:color w:val="000000"/>
          <w:spacing w:val="1"/>
          <w:w w:val="54"/>
          <w:shd w:val="solid" w:color="000000" w:fill="000000"/>
          <w:fitText w:val="8890" w:id="-1275323132"/>
          <w14:textFill>
            <w14:solidFill>
              <w14:srgbClr w14:val="000000">
                <w14:alpha w14:val="100000"/>
              </w14:srgbClr>
            </w14:solidFill>
          </w14:textFill>
        </w:rPr>
        <w:t>|||||||||||||||||||||||||||||||||||||||||||||||||||||||||||||||||||||||||  ||||||||||||||||||||||||||||||||||||||||||||||||||||||||||||||||||||||||</w:t>
      </w:r>
      <w:r w:rsidRPr="00927EF8">
        <w:rPr>
          <w:iCs/>
          <w:color w:val="000000"/>
          <w:spacing w:val="-24"/>
          <w:w w:val="54"/>
          <w:shd w:val="solid" w:color="000000" w:fill="000000"/>
          <w:fitText w:val="8890" w:id="-1275323132"/>
          <w14:textFill>
            <w14:solidFill>
              <w14:srgbClr w14:val="000000">
                <w14:alpha w14:val="100000"/>
              </w14:srgbClr>
            </w14:solidFill>
          </w14:textFill>
        </w:rPr>
        <w:t>|</w:t>
      </w:r>
      <w:r>
        <w:rPr>
          <w:iCs/>
        </w:rPr>
        <w:t xml:space="preserve"> </w:t>
      </w:r>
      <w:r w:rsidRPr="00927EF8">
        <w:rPr>
          <w:iCs/>
          <w:color w:val="000000"/>
          <w:w w:val="55"/>
          <w:shd w:val="solid" w:color="000000" w:fill="000000"/>
          <w:fitText w:val="3830" w:id="-1275323131"/>
          <w14:textFill>
            <w14:solidFill>
              <w14:srgbClr w14:val="000000">
                <w14:alpha w14:val="100000"/>
              </w14:srgbClr>
            </w14:solidFill>
          </w14:textFill>
        </w:rPr>
        <w:t>|||||||||||||||||||||||||||||||  ||||||||||||||||||||||||||||||</w:t>
      </w:r>
      <w:r w:rsidRPr="00927EF8">
        <w:rPr>
          <w:iCs/>
          <w:color w:val="000000"/>
          <w:spacing w:val="6"/>
          <w:w w:val="55"/>
          <w:shd w:val="solid" w:color="000000" w:fill="000000"/>
          <w:fitText w:val="3830" w:id="-1275323131"/>
          <w14:textFill>
            <w14:solidFill>
              <w14:srgbClr w14:val="000000">
                <w14:alpha w14:val="100000"/>
              </w14:srgbClr>
            </w14:solidFill>
          </w14:textFill>
        </w:rPr>
        <w:t>|</w:t>
      </w:r>
    </w:p>
    <w:p w14:paraId="01E91CB1" w14:textId="73F01225" w:rsidR="0029268B" w:rsidRDefault="0029268B" w:rsidP="0029268B">
      <w:pPr>
        <w:rPr>
          <w:rFonts w:ascii="Arial Narrow" w:hAnsi="Arial Narrow"/>
          <w:b/>
          <w:iCs/>
          <w:sz w:val="20"/>
          <w:szCs w:val="18"/>
        </w:rPr>
      </w:pPr>
      <w:r w:rsidRPr="0001201E">
        <w:rPr>
          <w:rFonts w:ascii="Arial Narrow" w:hAnsi="Arial Narrow"/>
          <w:b/>
          <w:iCs/>
          <w:color w:val="000000"/>
          <w:spacing w:val="14"/>
          <w:sz w:val="20"/>
          <w:szCs w:val="18"/>
          <w:shd w:val="solid" w:color="000000" w:fill="000000"/>
          <w:fitText w:val="6400" w:id="-1275323136"/>
          <w14:textFill>
            <w14:solidFill>
              <w14:srgbClr w14:val="000000">
                <w14:alpha w14:val="100000"/>
              </w14:srgbClr>
            </w14:solidFill>
          </w14:textFill>
        </w:rPr>
        <w:t>|||||||||||||||||||||||||||||||||||||||||||||||||||||  ||||||||||||||||||||||||||||||||||||||||||||||||||||</w:t>
      </w:r>
      <w:r w:rsidRPr="0001201E">
        <w:rPr>
          <w:rFonts w:ascii="Arial Narrow" w:hAnsi="Arial Narrow"/>
          <w:b/>
          <w:iCs/>
          <w:color w:val="000000"/>
          <w:spacing w:val="-64"/>
          <w:sz w:val="20"/>
          <w:szCs w:val="18"/>
          <w:shd w:val="solid" w:color="000000" w:fill="000000"/>
          <w:fitText w:val="6400" w:id="-1275323136"/>
          <w14:textFill>
            <w14:solidFill>
              <w14:srgbClr w14:val="000000">
                <w14:alpha w14:val="100000"/>
              </w14:srgbClr>
            </w14:solidFill>
          </w14:textFill>
        </w:rPr>
        <w:t>|</w:t>
      </w:r>
    </w:p>
    <w:p w14:paraId="3C51C353" w14:textId="77777777" w:rsidR="006524ED" w:rsidRPr="006524ED" w:rsidRDefault="0029268B" w:rsidP="006524ED">
      <w:pPr>
        <w:rPr>
          <w:rFonts w:ascii="Arial Narrow" w:hAnsi="Arial Narrow" w:cs="Calibri"/>
          <w:iCs/>
          <w:color w:val="000000"/>
          <w:spacing w:val="23"/>
          <w:sz w:val="18"/>
          <w:szCs w:val="18"/>
          <w:shd w:val="solid" w:color="000000" w:fill="000000"/>
          <w14:textFill>
            <w14:solidFill>
              <w14:srgbClr w14:val="000000">
                <w14:alpha w14:val="100000"/>
              </w14:srgbClr>
            </w14:solidFill>
          </w14:textFill>
        </w:rPr>
      </w:pPr>
      <w:r>
        <w:rPr>
          <w:rFonts w:ascii="Arial Narrow" w:hAnsi="Arial Narrow" w:cs="Calibri"/>
          <w:iCs/>
          <w:noProof/>
          <w:color w:val="000000"/>
          <w:sz w:val="18"/>
          <w:szCs w:val="18"/>
        </w:rPr>
        <mc:AlternateContent>
          <mc:Choice Requires="wps">
            <w:drawing>
              <wp:inline distT="0" distB="0" distL="0" distR="0" wp14:anchorId="152AFDA5" wp14:editId="3911824E">
                <wp:extent cx="5857875" cy="4405023"/>
                <wp:effectExtent l="0" t="0" r="28575" b="14605"/>
                <wp:docPr id="3" name="Rectangle 3" descr="[REDACTED]"/>
                <wp:cNvGraphicFramePr/>
                <a:graphic xmlns:a="http://schemas.openxmlformats.org/drawingml/2006/main">
                  <a:graphicData uri="http://schemas.microsoft.com/office/word/2010/wordprocessingShape">
                    <wps:wsp>
                      <wps:cNvSpPr/>
                      <wps:spPr>
                        <a:xfrm>
                          <a:off x="0" y="0"/>
                          <a:ext cx="5857875" cy="440502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E320D2" id="Rectangle 3" o:spid="_x0000_s1026" alt="[REDACTED]" style="width:461.25pt;height:34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" fillcolor="black [3200]" strokecolor="black [1600]" strokeweight="2pt">
                <w10:anchorlock/>
              </v:rect>
            </w:pict>
          </mc:Fallback>
        </mc:AlternateContent>
      </w:r>
      <w:bookmarkStart w:id="85" w:name="_Toc124949424"/>
    </w:p>
    <w:p w14:paraId="69DA6805" w14:textId="77777777" w:rsidR="006524ED" w:rsidRPr="006524ED" w:rsidRDefault="006524ED" w:rsidP="006524ED">
      <w:pPr>
        <w:rPr>
          <w:rFonts w:ascii="Arial Narrow" w:hAnsi="Arial Narrow" w:cs="Calibri"/>
          <w:iCs/>
          <w:color w:val="000000"/>
          <w:spacing w:val="23"/>
          <w:sz w:val="18"/>
          <w:szCs w:val="18"/>
          <w:shd w:val="solid" w:color="000000" w:fill="000000"/>
          <w14:textFill>
            <w14:solidFill>
              <w14:srgbClr w14:val="000000">
                <w14:alpha w14:val="100000"/>
              </w14:srgbClr>
            </w14:solidFill>
          </w14:textFill>
        </w:rPr>
      </w:pPr>
    </w:p>
    <w:p w14:paraId="30DCE5CC" w14:textId="77777777" w:rsidR="006524ED" w:rsidRPr="006524ED" w:rsidRDefault="0029268B" w:rsidP="006524ED">
      <w:pPr>
        <w:rPr>
          <w:rFonts w:ascii="Arial Narrow" w:hAnsi="Arial Narrow" w:cs="Calibri"/>
          <w:iCs/>
          <w:color w:val="000000"/>
          <w:spacing w:val="37"/>
          <w:sz w:val="18"/>
          <w:szCs w:val="18"/>
          <w:shd w:val="solid" w:color="000000" w:fill="000000"/>
          <w14:textFill>
            <w14:solidFill>
              <w14:srgbClr w14:val="000000">
                <w14:alpha w14:val="100000"/>
              </w14:srgbClr>
            </w14:solidFill>
          </w14:textFill>
        </w:rPr>
      </w:pPr>
      <w:r w:rsidRPr="006524ED">
        <w:rPr>
          <w:rFonts w:ascii="Arial Narrow" w:hAnsi="Arial Narrow" w:cs="Calibri"/>
          <w:iCs/>
          <w:color w:val="000000"/>
          <w:spacing w:val="23"/>
          <w:sz w:val="18"/>
          <w:szCs w:val="18"/>
          <w:shd w:val="solid" w:color="000000" w:fill="000000"/>
          <w:fitText w:val="8801" w:id="-1256461312"/>
          <w14:textFill>
            <w14:solidFill>
              <w14:srgbClr w14:val="000000">
                <w14:alpha w14:val="100000"/>
              </w14:srgbClr>
            </w14:solidFill>
          </w14:textFill>
        </w:rPr>
        <w:t>|||||||||||||||||||||||||||||||||||||||||||||||||||||||||||||||||||||||||||||||||||||||||||||||||||||||||||||||||||||||||||||||||||||||||||||||</w:t>
      </w:r>
      <w:r w:rsidRPr="006524ED">
        <w:rPr>
          <w:rFonts w:ascii="Arial Narrow" w:hAnsi="Arial Narrow" w:cs="Calibri"/>
          <w:iCs/>
          <w:color w:val="000000"/>
          <w:spacing w:val="-5"/>
          <w:sz w:val="18"/>
          <w:szCs w:val="18"/>
          <w:shd w:val="solid" w:color="000000" w:fill="000000"/>
          <w:fitText w:val="8801" w:id="-1256461312"/>
          <w14:textFill>
            <w14:solidFill>
              <w14:srgbClr w14:val="000000">
                <w14:alpha w14:val="100000"/>
              </w14:srgbClr>
            </w14:solidFill>
          </w14:textFill>
        </w:rPr>
        <w:t>|</w:t>
      </w:r>
      <w:r>
        <w:rPr>
          <w:rFonts w:ascii="Arial Narrow" w:hAnsi="Arial Narrow" w:cs="Calibri"/>
          <w:iCs/>
          <w:color w:val="000000"/>
          <w:sz w:val="18"/>
          <w:szCs w:val="18"/>
        </w:rPr>
        <w:t xml:space="preserve"> </w:t>
      </w:r>
      <w:r w:rsidRPr="0029268B">
        <w:rPr>
          <w:rFonts w:ascii="MS Gothic" w:eastAsia="MS Gothic" w:hAnsi="MS Gothic" w:cs="MS Gothic" w:hint="eastAsia"/>
          <w:iCs/>
          <w:color w:val="000000"/>
          <w:w w:val="15"/>
          <w:sz w:val="18"/>
          <w:szCs w:val="18"/>
          <w:shd w:val="solid" w:color="000000" w:fill="000000"/>
          <w:fitText w:val="60" w:id="-1275323391"/>
          <w14:textFill>
            <w14:solidFill>
              <w14:srgbClr w14:val="000000">
                <w14:alpha w14:val="100000"/>
              </w14:srgbClr>
            </w14:solidFill>
          </w14:textFill>
        </w:rPr>
        <w:t xml:space="preserve">　</w:t>
      </w:r>
      <w:r w:rsidRPr="0029268B">
        <w:rPr>
          <w:rFonts w:ascii="Arial Narrow" w:hAnsi="Arial Narrow" w:cs="Calibri"/>
          <w:iCs/>
          <w:color w:val="000000"/>
          <w:w w:val="15"/>
          <w:sz w:val="18"/>
          <w:szCs w:val="18"/>
          <w:shd w:val="solid" w:color="000000" w:fill="000000"/>
          <w:fitText w:val="60" w:id="-1275323391"/>
          <w14:textFill>
            <w14:solidFill>
              <w14:srgbClr w14:val="000000">
                <w14:alpha w14:val="100000"/>
              </w14:srgbClr>
            </w14:solidFill>
          </w14:textFill>
        </w:rPr>
        <w:t>|</w:t>
      </w:r>
      <w:r w:rsidRPr="0029268B">
        <w:rPr>
          <w:rFonts w:ascii="MS Gothic" w:eastAsia="MS Gothic" w:hAnsi="MS Gothic" w:cs="MS Gothic" w:hint="eastAsia"/>
          <w:iCs/>
          <w:color w:val="000000"/>
          <w:w w:val="15"/>
          <w:sz w:val="18"/>
          <w:szCs w:val="18"/>
          <w:shd w:val="solid" w:color="000000" w:fill="000000"/>
          <w:fitText w:val="60" w:id="-1275323391"/>
          <w14:textFill>
            <w14:solidFill>
              <w14:srgbClr w14:val="000000">
                <w14:alpha w14:val="100000"/>
              </w14:srgbClr>
            </w14:solidFill>
          </w14:textFill>
        </w:rPr>
        <w:t xml:space="preserve">　</w:t>
      </w:r>
      <w:r>
        <w:rPr>
          <w:rFonts w:ascii="Arial Narrow" w:hAnsi="Arial Narrow" w:cs="Calibri"/>
          <w:iCs/>
          <w:color w:val="000000"/>
          <w:sz w:val="18"/>
          <w:szCs w:val="18"/>
        </w:rPr>
        <w:t xml:space="preserve"> </w:t>
      </w:r>
      <w:r w:rsidRPr="0029268B">
        <w:rPr>
          <w:rFonts w:ascii="Arial Narrow" w:hAnsi="Arial Narrow" w:cs="Calibri"/>
          <w:iCs/>
          <w:color w:val="000000"/>
          <w:spacing w:val="22"/>
          <w:sz w:val="18"/>
          <w:szCs w:val="18"/>
          <w:shd w:val="solid" w:color="000000" w:fill="000000"/>
          <w:fitText w:val="8740" w:id="-1275323390"/>
          <w14:textFill>
            <w14:solidFill>
              <w14:srgbClr w14:val="000000">
                <w14:alpha w14:val="100000"/>
              </w14:srgbClr>
            </w14:solidFill>
          </w14:textFill>
        </w:rPr>
        <w:t>|||||||||||||||||||||||||||||||||||||||||||||||||||||||||||||||||||||||||||||||||||||||||||||||||||||||||||||||||||||||||||||||||||||||||||||||</w:t>
      </w:r>
      <w:r w:rsidRPr="0029268B">
        <w:rPr>
          <w:rFonts w:ascii="Arial Narrow" w:hAnsi="Arial Narrow" w:cs="Calibri"/>
          <w:iCs/>
          <w:color w:val="000000"/>
          <w:spacing w:val="75"/>
          <w:sz w:val="18"/>
          <w:szCs w:val="18"/>
          <w:shd w:val="solid" w:color="000000" w:fill="000000"/>
          <w:fitText w:val="8740" w:id="-1275323390"/>
          <w14:textFill>
            <w14:solidFill>
              <w14:srgbClr w14:val="000000">
                <w14:alpha w14:val="100000"/>
              </w14:srgbClr>
            </w14:solidFill>
          </w14:textFill>
        </w:rPr>
        <w:t>|</w:t>
      </w:r>
      <w:r>
        <w:rPr>
          <w:rFonts w:ascii="Arial Narrow" w:hAnsi="Arial Narrow" w:cs="Calibri"/>
          <w:iCs/>
          <w:color w:val="000000"/>
          <w:sz w:val="18"/>
          <w:szCs w:val="18"/>
        </w:rPr>
        <w:t xml:space="preserve"> </w:t>
      </w:r>
      <w:r w:rsidRPr="0029268B">
        <w:rPr>
          <w:rFonts w:ascii="Arial Narrow" w:hAnsi="Arial Narrow" w:cs="Calibri"/>
          <w:iCs/>
          <w:color w:val="000000"/>
          <w:spacing w:val="23"/>
          <w:sz w:val="18"/>
          <w:szCs w:val="18"/>
          <w:shd w:val="solid" w:color="000000" w:fill="000000"/>
          <w:fitText w:val="8560" w:id="-1275323389"/>
          <w14:textFill>
            <w14:solidFill>
              <w14:srgbClr w14:val="000000">
                <w14:alpha w14:val="100000"/>
              </w14:srgbClr>
            </w14:solidFill>
          </w14:textFill>
        </w:rPr>
        <w:t>|||||||||||||||||||||||||||||||||||||||||||||||||||||||||||||||||||||||||||||||||||||||||||||||||||||||||||||||||||||||||||||||||||||||||||</w:t>
      </w:r>
      <w:r w:rsidRPr="0029268B">
        <w:rPr>
          <w:rFonts w:ascii="Arial Narrow" w:hAnsi="Arial Narrow" w:cs="Calibri"/>
          <w:iCs/>
          <w:color w:val="000000"/>
          <w:spacing w:val="-1"/>
          <w:sz w:val="18"/>
          <w:szCs w:val="18"/>
          <w:shd w:val="solid" w:color="000000" w:fill="000000"/>
          <w:fitText w:val="8560" w:id="-1275323389"/>
          <w14:textFill>
            <w14:solidFill>
              <w14:srgbClr w14:val="000000">
                <w14:alpha w14:val="100000"/>
              </w14:srgbClr>
            </w14:solidFill>
          </w14:textFill>
        </w:rPr>
        <w:t>|</w:t>
      </w:r>
      <w:r>
        <w:rPr>
          <w:rFonts w:ascii="Arial Narrow" w:hAnsi="Arial Narrow" w:cs="Calibri"/>
          <w:iCs/>
          <w:color w:val="000000"/>
          <w:sz w:val="18"/>
          <w:szCs w:val="18"/>
        </w:rPr>
        <w:t xml:space="preserve"> </w:t>
      </w:r>
      <w:r w:rsidRPr="006524ED">
        <w:rPr>
          <w:rFonts w:ascii="Arial Narrow" w:hAnsi="Arial Narrow" w:cs="Calibri"/>
          <w:iCs/>
          <w:color w:val="000000"/>
          <w:spacing w:val="23"/>
          <w:sz w:val="18"/>
          <w:szCs w:val="18"/>
          <w:shd w:val="solid" w:color="000000" w:fill="000000"/>
          <w:fitText w:val="6759" w:id="-1256461311"/>
          <w14:textFill>
            <w14:solidFill>
              <w14:srgbClr w14:val="000000">
                <w14:alpha w14:val="100000"/>
              </w14:srgbClr>
            </w14:solidFill>
          </w14:textFill>
        </w:rPr>
        <w:t>|||||||||||||||||||||||||||||||||||||||||||||||||||||||||||||||||||||||||||||||||||||||||||||||||||||||||||||</w:t>
      </w:r>
      <w:r w:rsidRPr="006524ED">
        <w:rPr>
          <w:rFonts w:ascii="Arial Narrow" w:hAnsi="Arial Narrow" w:cs="Calibri"/>
          <w:iCs/>
          <w:color w:val="000000"/>
          <w:spacing w:val="36"/>
          <w:sz w:val="18"/>
          <w:szCs w:val="18"/>
          <w:shd w:val="solid" w:color="000000" w:fill="000000"/>
          <w:fitText w:val="6759" w:id="-1256461311"/>
          <w14:textFill>
            <w14:solidFill>
              <w14:srgbClr w14:val="000000">
                <w14:alpha w14:val="100000"/>
              </w14:srgbClr>
            </w14:solidFill>
          </w14:textFill>
        </w:rPr>
        <w:t>|</w:t>
      </w:r>
    </w:p>
    <w:p w14:paraId="39BBA38E" w14:textId="77777777" w:rsidR="006524ED" w:rsidRPr="006524ED" w:rsidRDefault="006524ED" w:rsidP="006524ED">
      <w:pPr>
        <w:jc w:val="center"/>
        <w:rPr>
          <w:rFonts w:ascii="Arial Narrow" w:hAnsi="Arial Narrow" w:cs="Calibri"/>
          <w:iCs/>
          <w:color w:val="000000"/>
          <w:spacing w:val="37"/>
          <w:sz w:val="18"/>
          <w:szCs w:val="18"/>
          <w:shd w:val="solid" w:color="000000" w:fill="000000"/>
          <w14:textFill>
            <w14:solidFill>
              <w14:srgbClr w14:val="000000">
                <w14:alpha w14:val="100000"/>
              </w14:srgbClr>
            </w14:solidFill>
          </w14:textFill>
        </w:rPr>
      </w:pPr>
    </w:p>
    <w:p w14:paraId="07DC3135" w14:textId="25689F7F" w:rsidR="00606D0C" w:rsidRPr="006524ED" w:rsidRDefault="00606D0C" w:rsidP="006524ED">
      <w:pPr>
        <w:jc w:val="center"/>
        <w:rPr>
          <w:b/>
          <w:bCs/>
          <w:u w:val="single"/>
        </w:rPr>
      </w:pPr>
      <w:r w:rsidRPr="006524ED">
        <w:rPr>
          <w:b/>
          <w:bCs/>
          <w:u w:val="single"/>
        </w:rPr>
        <w:t>End Committee-In-Confidence information</w:t>
      </w:r>
      <w:bookmarkEnd w:id="84"/>
      <w:bookmarkEnd w:id="85"/>
    </w:p>
    <w:p w14:paraId="1235E894" w14:textId="1E4CD5E0" w:rsidR="0064175C" w:rsidRPr="0064175C" w:rsidRDefault="0064175C" w:rsidP="0064175C">
      <w:pPr>
        <w:pStyle w:val="2-SectionHeading"/>
        <w:numPr>
          <w:ilvl w:val="0"/>
          <w:numId w:val="1"/>
        </w:numPr>
      </w:pPr>
      <w:r w:rsidRPr="0064175C">
        <w:t>Context for Decision</w:t>
      </w:r>
    </w:p>
    <w:p w14:paraId="39282486" w14:textId="77777777" w:rsidR="0064175C" w:rsidRDefault="0064175C" w:rsidP="0064175C">
      <w:pPr>
        <w:spacing w:after="120"/>
        <w:ind w:left="720"/>
        <w:rPr>
          <w:rFonts w:asciiTheme="minorHAnsi" w:hAnsiTheme="minorHAnsi"/>
          <w:bCs/>
          <w:lang w:val="en-GB"/>
        </w:rPr>
      </w:pPr>
      <w:r>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Pr>
          <w:rFonts w:asciiTheme="minorHAnsi" w:hAnsiTheme="minorHAnsi"/>
          <w:bCs/>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14:paraId="540DE958" w14:textId="067C0A8C" w:rsidR="0064175C" w:rsidRPr="0064175C" w:rsidRDefault="0064175C" w:rsidP="0064175C">
      <w:pPr>
        <w:pStyle w:val="2-SectionHeading"/>
        <w:numPr>
          <w:ilvl w:val="0"/>
          <w:numId w:val="1"/>
        </w:numPr>
      </w:pPr>
      <w:r>
        <w:t>S</w:t>
      </w:r>
      <w:r w:rsidRPr="0064175C">
        <w:t>ponsor’s Comment</w:t>
      </w:r>
    </w:p>
    <w:p w14:paraId="6A80BD09" w14:textId="77777777" w:rsidR="0064175C" w:rsidRDefault="0064175C" w:rsidP="0064175C">
      <w:pPr>
        <w:spacing w:after="120"/>
        <w:ind w:left="426" w:firstLine="294"/>
        <w:rPr>
          <w:rFonts w:asciiTheme="minorHAnsi" w:hAnsiTheme="minorHAnsi"/>
          <w:bCs/>
          <w:szCs w:val="22"/>
        </w:rPr>
      </w:pPr>
      <w:r>
        <w:rPr>
          <w:rFonts w:asciiTheme="minorHAnsi" w:hAnsiTheme="minorHAnsi"/>
          <w:bCs/>
        </w:rPr>
        <w:t>The sponsor had no comment.</w:t>
      </w:r>
    </w:p>
    <w:p w14:paraId="62274AA9" w14:textId="77777777" w:rsidR="0064175C" w:rsidRPr="0064175C" w:rsidRDefault="0064175C" w:rsidP="0064175C">
      <w:pPr>
        <w:pStyle w:val="3-BodyText"/>
        <w:numPr>
          <w:ilvl w:val="0"/>
          <w:numId w:val="0"/>
        </w:numPr>
        <w:ind w:left="720" w:hanging="720"/>
      </w:pPr>
    </w:p>
    <w:sectPr w:rsidR="0064175C" w:rsidRPr="0064175C" w:rsidSect="005B7230">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6570" w14:textId="77777777" w:rsidR="00107716" w:rsidRDefault="00107716" w:rsidP="00124A51">
      <w:r>
        <w:separator/>
      </w:r>
    </w:p>
    <w:p w14:paraId="3EC576E5" w14:textId="77777777" w:rsidR="00107716" w:rsidRDefault="00107716"/>
  </w:endnote>
  <w:endnote w:type="continuationSeparator" w:id="0">
    <w:p w14:paraId="13FCE923" w14:textId="77777777" w:rsidR="00107716" w:rsidRDefault="00107716" w:rsidP="00124A51">
      <w:r>
        <w:continuationSeparator/>
      </w:r>
    </w:p>
    <w:p w14:paraId="68889ED5" w14:textId="77777777" w:rsidR="00107716" w:rsidRDefault="00107716"/>
  </w:endnote>
  <w:endnote w:type="continuationNotice" w:id="1">
    <w:p w14:paraId="67CD1E35" w14:textId="77777777" w:rsidR="00107716" w:rsidRDefault="00107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Pro Cond Light">
    <w:charset w:val="00"/>
    <w:family w:val="roman"/>
    <w:pitch w:val="variable"/>
    <w:sig w:usb0="800002AF" w:usb1="00000003" w:usb2="00000000" w:usb3="00000000" w:csb0="0000009F" w:csb1="00000000"/>
  </w:font>
  <w:font w:name="Proxima Nova">
    <w:altName w:val="Tahoma"/>
    <w:panose1 w:val="00000000000000000000"/>
    <w:charset w:val="00"/>
    <w:family w:val="modern"/>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CD03" w14:textId="77777777" w:rsidR="0013119A" w:rsidRDefault="00131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2FCC" w14:textId="77777777" w:rsidR="00AD3FFA" w:rsidRDefault="00AD3FFA" w:rsidP="00AD3FFA">
    <w:pPr>
      <w:pStyle w:val="Footer"/>
      <w:jc w:val="center"/>
      <w:rPr>
        <w:b/>
      </w:rPr>
    </w:pPr>
  </w:p>
  <w:p w14:paraId="4128D726" w14:textId="21DFF469" w:rsidR="00B5602A" w:rsidRPr="00AD3FFA" w:rsidRDefault="00AD3FFA" w:rsidP="00AD3FFA">
    <w:pPr>
      <w:pStyle w:val="Footer"/>
      <w:jc w:val="cente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9403" w14:textId="77777777" w:rsidR="0013119A" w:rsidRDefault="00131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3C092" w14:textId="77777777" w:rsidR="00107716" w:rsidRDefault="00107716" w:rsidP="00124A51">
      <w:r>
        <w:separator/>
      </w:r>
    </w:p>
    <w:p w14:paraId="78EF7315" w14:textId="77777777" w:rsidR="00107716" w:rsidRDefault="00107716"/>
  </w:footnote>
  <w:footnote w:type="continuationSeparator" w:id="0">
    <w:p w14:paraId="5DD8200E" w14:textId="77777777" w:rsidR="00107716" w:rsidRDefault="00107716" w:rsidP="00124A51">
      <w:r>
        <w:continuationSeparator/>
      </w:r>
    </w:p>
    <w:p w14:paraId="475294A6" w14:textId="77777777" w:rsidR="00107716" w:rsidRDefault="00107716"/>
  </w:footnote>
  <w:footnote w:type="continuationNotice" w:id="1">
    <w:p w14:paraId="11FE3EB1" w14:textId="77777777" w:rsidR="00107716" w:rsidRDefault="00107716"/>
  </w:footnote>
  <w:footnote w:id="2">
    <w:p w14:paraId="5CF096C3" w14:textId="4E443E51" w:rsidR="00B5602A" w:rsidRPr="00C57CCF" w:rsidRDefault="00B5602A">
      <w:pPr>
        <w:pStyle w:val="FootnoteText"/>
        <w:rPr>
          <w:i w:val="0"/>
        </w:rPr>
      </w:pPr>
      <w:r w:rsidRPr="00C57CCF">
        <w:rPr>
          <w:rStyle w:val="FootnoteReference"/>
          <w:i w:val="0"/>
        </w:rPr>
        <w:footnoteRef/>
      </w:r>
      <w:r w:rsidRPr="00C57CCF">
        <w:rPr>
          <w:i w:val="0"/>
        </w:rPr>
        <w:t xml:space="preserve"> https://www.canceraustralia.gov.au/cancer-types/breast-cancer/symptoms-and-diagnosis/stages-breast-cancer</w:t>
      </w:r>
    </w:p>
  </w:footnote>
  <w:footnote w:id="3">
    <w:p w14:paraId="30194981" w14:textId="77777777" w:rsidR="00B5602A" w:rsidRPr="006C251C" w:rsidRDefault="00B5602A" w:rsidP="006B2F5D">
      <w:pPr>
        <w:pStyle w:val="FootnoteText"/>
        <w:rPr>
          <w:i w:val="0"/>
        </w:rPr>
      </w:pPr>
      <w:r w:rsidRPr="006C251C">
        <w:rPr>
          <w:rStyle w:val="FootnoteReference"/>
          <w:i w:val="0"/>
        </w:rPr>
        <w:footnoteRef/>
      </w:r>
      <w:r w:rsidRPr="006C251C">
        <w:rPr>
          <w:i w:val="0"/>
        </w:rPr>
        <w:t xml:space="preserve">AIHW. </w:t>
      </w:r>
      <w:r w:rsidRPr="006C251C">
        <w:rPr>
          <w:i w:val="0"/>
          <w:iCs/>
        </w:rPr>
        <w:t>Cancer in Australia</w:t>
      </w:r>
      <w:r w:rsidRPr="006C251C">
        <w:rPr>
          <w:i w:val="0"/>
        </w:rPr>
        <w:t>. 2019  [cited 2021 2 December]; Available from: https://www.aihw.gov.au/getmedia/8c9fcf52-0055-41a0-96d9-f81b0feb98cf/aihw-can-123.pdf.aspx?inline=true.</w:t>
      </w:r>
    </w:p>
  </w:footnote>
  <w:footnote w:id="4">
    <w:p w14:paraId="552594AE" w14:textId="77777777" w:rsidR="00B5602A" w:rsidRPr="006C251C" w:rsidRDefault="00B5602A" w:rsidP="006B2F5D">
      <w:pPr>
        <w:pStyle w:val="FootnoteText"/>
        <w:rPr>
          <w:i w:val="0"/>
        </w:rPr>
      </w:pPr>
      <w:r w:rsidRPr="006C251C">
        <w:rPr>
          <w:rStyle w:val="FootnoteReference"/>
          <w:i w:val="0"/>
        </w:rPr>
        <w:footnoteRef/>
      </w:r>
      <w:r w:rsidRPr="006C251C">
        <w:rPr>
          <w:i w:val="0"/>
        </w:rPr>
        <w:t xml:space="preserve"> American Cancer Society. </w:t>
      </w:r>
      <w:r w:rsidRPr="006C251C">
        <w:rPr>
          <w:i w:val="0"/>
          <w:iCs/>
        </w:rPr>
        <w:t>Breast Cancer Facts &amp; Figures 2019-2000</w:t>
      </w:r>
      <w:r w:rsidRPr="006C251C">
        <w:rPr>
          <w:i w:val="0"/>
        </w:rPr>
        <w:t>. 2019  [cited 15 February 2021; Available from: https://www.cancer.org/cancer/breast-cancer/understanding-a-breast-cancer-diagnosis/breast-cancer-survival-rates.html.</w:t>
      </w:r>
    </w:p>
  </w:footnote>
  <w:footnote w:id="5">
    <w:p w14:paraId="1DC5C79B" w14:textId="77777777" w:rsidR="00B5602A" w:rsidRPr="006C251C" w:rsidRDefault="00B5602A" w:rsidP="006B2F5D">
      <w:pPr>
        <w:pStyle w:val="FootnoteText"/>
        <w:rPr>
          <w:i w:val="0"/>
        </w:rPr>
      </w:pPr>
      <w:r w:rsidRPr="006C251C">
        <w:rPr>
          <w:rStyle w:val="FootnoteReference"/>
          <w:i w:val="0"/>
        </w:rPr>
        <w:footnoteRef/>
      </w:r>
      <w:r w:rsidRPr="006C251C">
        <w:rPr>
          <w:i w:val="0"/>
        </w:rPr>
        <w:t xml:space="preserve"> Gerber, B., M. Freund, and T. Reimer, </w:t>
      </w:r>
      <w:r w:rsidRPr="006C251C">
        <w:rPr>
          <w:i w:val="0"/>
          <w:iCs/>
        </w:rPr>
        <w:t>Recurrent breast cancer: treatment strategies for maintaining and prolonging good quality of life.</w:t>
      </w:r>
      <w:r w:rsidRPr="006C251C">
        <w:rPr>
          <w:i w:val="0"/>
        </w:rPr>
        <w:t xml:space="preserve"> Dtsch Arztebl Int, 2010. </w:t>
      </w:r>
      <w:r w:rsidRPr="006C251C">
        <w:rPr>
          <w:bCs/>
          <w:i w:val="0"/>
        </w:rPr>
        <w:t>107</w:t>
      </w:r>
      <w:r w:rsidRPr="006C251C">
        <w:rPr>
          <w:i w:val="0"/>
        </w:rPr>
        <w:t>(6): p. 85-91.</w:t>
      </w:r>
    </w:p>
    <w:p w14:paraId="47874A78" w14:textId="77777777" w:rsidR="00B5602A" w:rsidRPr="00FA0201" w:rsidRDefault="00B5602A" w:rsidP="006B2F5D">
      <w:pPr>
        <w:pStyle w:val="FootnoteText"/>
        <w:rPr>
          <w:i w:val="0"/>
        </w:rPr>
      </w:pPr>
      <w:r w:rsidRPr="006C251C">
        <w:rPr>
          <w:i w:val="0"/>
        </w:rPr>
        <w:t xml:space="preserve">O'Shaughnessy, J., </w:t>
      </w:r>
      <w:r w:rsidRPr="006C251C">
        <w:rPr>
          <w:i w:val="0"/>
          <w:iCs/>
        </w:rPr>
        <w:t>Extending survival with chemotherapy in metastatic breast cancer.</w:t>
      </w:r>
      <w:r w:rsidRPr="006C251C">
        <w:rPr>
          <w:i w:val="0"/>
        </w:rPr>
        <w:t xml:space="preserve"> Oncologist, 2005. </w:t>
      </w:r>
      <w:r w:rsidRPr="006C251C">
        <w:rPr>
          <w:bCs/>
          <w:i w:val="0"/>
        </w:rPr>
        <w:t>10 Suppl 3</w:t>
      </w:r>
      <w:r w:rsidRPr="006C251C">
        <w:rPr>
          <w:i w:val="0"/>
        </w:rPr>
        <w:t>: p. 20-9.</w:t>
      </w:r>
    </w:p>
  </w:footnote>
  <w:footnote w:id="6">
    <w:p w14:paraId="689E79F0" w14:textId="77777777" w:rsidR="00C50E84" w:rsidRPr="008D4391" w:rsidRDefault="00C50E84" w:rsidP="00C50E84">
      <w:pPr>
        <w:pStyle w:val="FootnoteText"/>
        <w:rPr>
          <w:i w:val="0"/>
          <w:iCs/>
        </w:rPr>
      </w:pPr>
      <w:r w:rsidRPr="008D4391">
        <w:rPr>
          <w:rStyle w:val="FootnoteReference"/>
          <w:i w:val="0"/>
          <w:iCs/>
        </w:rPr>
        <w:footnoteRef/>
      </w:r>
      <w:r w:rsidRPr="008D4391">
        <w:rPr>
          <w:i w:val="0"/>
          <w:iCs/>
        </w:rPr>
        <w:t xml:space="preserve"> Cherny NI, Dafni U, Bogaerts J, et al: ESMO-Magnitude of Clinical Benefit Scale version 1.1. Annals of Oncology 28:2340-2366, 2017.</w:t>
      </w:r>
    </w:p>
  </w:footnote>
  <w:footnote w:id="7">
    <w:p w14:paraId="67E9FE40" w14:textId="21B7CC82" w:rsidR="0005551B" w:rsidRPr="0005551B" w:rsidRDefault="0005551B">
      <w:pPr>
        <w:pStyle w:val="FootnoteText"/>
        <w:rPr>
          <w:i w:val="0"/>
          <w:iCs/>
        </w:rPr>
      </w:pPr>
      <w:r w:rsidRPr="0005551B">
        <w:rPr>
          <w:rStyle w:val="FootnoteReference"/>
          <w:i w:val="0"/>
          <w:iCs/>
        </w:rPr>
        <w:footnoteRef/>
      </w:r>
      <w:r w:rsidRPr="0005551B">
        <w:rPr>
          <w:i w:val="0"/>
          <w:iCs/>
        </w:rPr>
        <w:t xml:space="preserve"> Chan, A., N. O'Neil, C. Lomma, H. Chih, and P. Willsher. 2021. "BreastSurgANZ members recommendations for adjuvant systemic treatment and patient compliance in Australian breast cancer patients."  ANZ J Surg 91 (11):2418-2424. </w:t>
      </w:r>
    </w:p>
  </w:footnote>
  <w:footnote w:id="8">
    <w:p w14:paraId="79BC9E8D" w14:textId="558ECD14" w:rsidR="008F5E59" w:rsidRPr="008F5E59" w:rsidRDefault="008F5E59">
      <w:pPr>
        <w:pStyle w:val="FootnoteText"/>
        <w:rPr>
          <w:i w:val="0"/>
          <w:iCs/>
        </w:rPr>
      </w:pPr>
      <w:r w:rsidRPr="008F5E59">
        <w:rPr>
          <w:rStyle w:val="FootnoteReference"/>
          <w:i w:val="0"/>
          <w:iCs/>
        </w:rPr>
        <w:footnoteRef/>
      </w:r>
      <w:r w:rsidRPr="008F5E59">
        <w:rPr>
          <w:i w:val="0"/>
          <w:iCs/>
        </w:rPr>
        <w:t xml:space="preserve"> Zhao H, Lei X, Niu J, Zhang N, Duan Z, Chavez-MacGregor M, Giordano SH. Prescription Patterns, Initiation, and 5-Year Adherence to Adjuvant Hormonal Therapy Among Commercially Insured Patients With Breast Cancer. JCO Oncol Pract. 2021 Jun;17(6):e794-e808.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1B9C" w14:textId="77777777" w:rsidR="0013119A" w:rsidRDefault="001311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C0B7" w14:textId="1C8A09DE" w:rsidR="00AD3FFA" w:rsidRPr="00056684" w:rsidRDefault="00243CD6" w:rsidP="00AD3FFA">
    <w:pPr>
      <w:pStyle w:val="Header"/>
      <w:ind w:left="360"/>
      <w:rPr>
        <w:rFonts w:asciiTheme="minorHAnsi" w:hAnsiTheme="minorHAnsi"/>
        <w:i/>
        <w:color w:val="808080"/>
      </w:rPr>
    </w:pPr>
    <w:bookmarkStart w:id="86" w:name="_Hlk76375146"/>
    <w:r>
      <w:rPr>
        <w:rFonts w:asciiTheme="minorHAnsi" w:hAnsiTheme="minorHAnsi"/>
        <w:i/>
        <w:color w:val="808080"/>
      </w:rPr>
      <w:t>Public Summary Document</w:t>
    </w:r>
    <w:r w:rsidR="00BD0413">
      <w:rPr>
        <w:rFonts w:asciiTheme="minorHAnsi" w:hAnsiTheme="minorHAnsi"/>
        <w:i/>
        <w:color w:val="808080"/>
      </w:rPr>
      <w:t xml:space="preserve"> </w:t>
    </w:r>
    <w:r w:rsidR="00AD3FFA" w:rsidRPr="00056684">
      <w:rPr>
        <w:rFonts w:asciiTheme="minorHAnsi" w:hAnsiTheme="minorHAnsi"/>
        <w:i/>
        <w:color w:val="808080"/>
      </w:rPr>
      <w:t xml:space="preserve">– </w:t>
    </w:r>
    <w:r w:rsidR="00AD3FFA">
      <w:rPr>
        <w:rFonts w:asciiTheme="minorHAnsi" w:hAnsiTheme="minorHAnsi"/>
        <w:i/>
        <w:color w:val="808080"/>
      </w:rPr>
      <w:t>March 2023</w:t>
    </w:r>
    <w:r w:rsidR="00AD3FFA" w:rsidRPr="00056684">
      <w:rPr>
        <w:rFonts w:asciiTheme="minorHAnsi" w:hAnsiTheme="minorHAnsi"/>
        <w:i/>
        <w:color w:val="808080"/>
      </w:rPr>
      <w:t xml:space="preserve"> PBAC Meeting</w:t>
    </w:r>
  </w:p>
  <w:bookmarkEnd w:id="86"/>
  <w:p w14:paraId="167D2ECD" w14:textId="77777777" w:rsidR="00B5602A" w:rsidRPr="008C7ECB" w:rsidRDefault="00B56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04CD" w14:textId="77777777" w:rsidR="0013119A" w:rsidRDefault="00131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330077"/>
    <w:multiLevelType w:val="hybridMultilevel"/>
    <w:tmpl w:val="0FA21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358A2"/>
    <w:multiLevelType w:val="hybridMultilevel"/>
    <w:tmpl w:val="0672BD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73897"/>
    <w:multiLevelType w:val="multilevel"/>
    <w:tmpl w:val="6C08EFF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AB49AD"/>
    <w:multiLevelType w:val="hybridMultilevel"/>
    <w:tmpl w:val="6108EA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040D73"/>
    <w:multiLevelType w:val="hybridMultilevel"/>
    <w:tmpl w:val="732271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344F67"/>
    <w:multiLevelType w:val="hybridMultilevel"/>
    <w:tmpl w:val="D9B0D8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9C5100"/>
    <w:multiLevelType w:val="hybridMultilevel"/>
    <w:tmpl w:val="88548AD4"/>
    <w:lvl w:ilvl="0" w:tplc="0ECCE89E">
      <w:start w:val="5"/>
      <w:numFmt w:val="bullet"/>
      <w:lvlText w:val="-"/>
      <w:lvlJc w:val="left"/>
      <w:pPr>
        <w:ind w:left="720" w:hanging="360"/>
      </w:pPr>
      <w:rPr>
        <w:rFonts w:ascii="Calibri" w:eastAsia="Times New Roman" w:hAnsi="Calibri" w:cs="Calibri"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90DC9"/>
    <w:multiLevelType w:val="hybridMultilevel"/>
    <w:tmpl w:val="0FA20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6A3C58"/>
    <w:multiLevelType w:val="hybridMultilevel"/>
    <w:tmpl w:val="AFF86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2C08AB"/>
    <w:multiLevelType w:val="hybridMultilevel"/>
    <w:tmpl w:val="954287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9930F05"/>
    <w:multiLevelType w:val="hybridMultilevel"/>
    <w:tmpl w:val="DBFE22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9"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20C78"/>
    <w:multiLevelType w:val="hybridMultilevel"/>
    <w:tmpl w:val="A260D8D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951BF"/>
    <w:multiLevelType w:val="multilevel"/>
    <w:tmpl w:val="8578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0E0EA0"/>
    <w:multiLevelType w:val="hybridMultilevel"/>
    <w:tmpl w:val="BF5C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872B15"/>
    <w:multiLevelType w:val="hybridMultilevel"/>
    <w:tmpl w:val="F678F0C2"/>
    <w:lvl w:ilvl="0" w:tplc="7F1E10C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FFD"/>
    <w:multiLevelType w:val="multilevel"/>
    <w:tmpl w:val="9EC0A25C"/>
    <w:lvl w:ilvl="0">
      <w:start w:val="1"/>
      <w:numFmt w:val="decimal"/>
      <w:lvlText w:val="%1"/>
      <w:lvlJc w:val="left"/>
      <w:pPr>
        <w:ind w:left="720" w:hanging="720"/>
      </w:pPr>
    </w:lvl>
    <w:lvl w:ilvl="1">
      <w:start w:val="1"/>
      <w:numFmt w:val="decimal"/>
      <w:lvlText w:val="%1.%2"/>
      <w:lvlJc w:val="left"/>
      <w:pPr>
        <w:ind w:left="720" w:hanging="720"/>
      </w:pPr>
      <w:rPr>
        <w:b w:val="0"/>
        <w:bCs/>
        <w:i w:val="0"/>
        <w:iCs w:val="0"/>
        <w:color w:val="auto"/>
      </w:rPr>
    </w:lvl>
    <w:lvl w:ilvl="2">
      <w:start w:val="1"/>
      <w:numFmt w:val="lowerRoman"/>
      <w:lvlText w:val="%3."/>
      <w:lvlJc w:val="right"/>
      <w:pPr>
        <w:ind w:left="2517" w:hanging="177"/>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28E2AC6"/>
    <w:multiLevelType w:val="hybridMultilevel"/>
    <w:tmpl w:val="4F085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9D72C3D"/>
    <w:multiLevelType w:val="hybridMultilevel"/>
    <w:tmpl w:val="D5BAC5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22"/>
  </w:num>
  <w:num w:numId="4">
    <w:abstractNumId w:val="0"/>
  </w:num>
  <w:num w:numId="5">
    <w:abstractNumId w:val="35"/>
  </w:num>
  <w:num w:numId="6">
    <w:abstractNumId w:val="36"/>
  </w:num>
  <w:num w:numId="7">
    <w:abstractNumId w:val="30"/>
  </w:num>
  <w:num w:numId="8">
    <w:abstractNumId w:val="34"/>
  </w:num>
  <w:num w:numId="9">
    <w:abstractNumId w:val="18"/>
  </w:num>
  <w:num w:numId="10">
    <w:abstractNumId w:val="26"/>
  </w:num>
  <w:num w:numId="11">
    <w:abstractNumId w:val="15"/>
  </w:num>
  <w:num w:numId="12">
    <w:abstractNumId w:val="6"/>
  </w:num>
  <w:num w:numId="13">
    <w:abstractNumId w:val="29"/>
  </w:num>
  <w:num w:numId="14">
    <w:abstractNumId w:val="25"/>
  </w:num>
  <w:num w:numId="15">
    <w:abstractNumId w:val="2"/>
  </w:num>
  <w:num w:numId="16">
    <w:abstractNumId w:val="7"/>
  </w:num>
  <w:num w:numId="17">
    <w:abstractNumId w:val="17"/>
  </w:num>
  <w:num w:numId="18">
    <w:abstractNumId w:val="32"/>
  </w:num>
  <w:num w:numId="19">
    <w:abstractNumId w:val="8"/>
  </w:num>
  <w:num w:numId="20">
    <w:abstractNumId w:val="4"/>
  </w:num>
  <w:num w:numId="21">
    <w:abstractNumId w:val="14"/>
  </w:num>
  <w:num w:numId="22">
    <w:abstractNumId w:val="3"/>
  </w:num>
  <w:num w:numId="23">
    <w:abstractNumId w:val="24"/>
  </w:num>
  <w:num w:numId="24">
    <w:abstractNumId w:val="5"/>
  </w:num>
  <w:num w:numId="25">
    <w:abstractNumId w:val="1"/>
  </w:num>
  <w:num w:numId="26">
    <w:abstractNumId w:val="11"/>
  </w:num>
  <w:num w:numId="27">
    <w:abstractNumId w:val="13"/>
  </w:num>
  <w:num w:numId="28">
    <w:abstractNumId w:val="10"/>
  </w:num>
  <w:num w:numId="2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2"/>
  </w:num>
  <w:num w:numId="32">
    <w:abstractNumId w:val="23"/>
  </w:num>
  <w:num w:numId="33">
    <w:abstractNumId w:val="35"/>
  </w:num>
  <w:num w:numId="34">
    <w:abstractNumId w:val="19"/>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1"/>
  </w:num>
  <w:num w:numId="39">
    <w:abstractNumId w:val="16"/>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5"/>
  </w:num>
  <w:num w:numId="43">
    <w:abstractNumId w:val="35"/>
  </w:num>
  <w:num w:numId="44">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exxaf5bx0prpes9pfp2daed2fda2txaw5z&quot;&gt;Abemaciclib commentary library.enl&lt;record-ids&gt;&lt;item&gt;10&lt;/item&gt;&lt;item&gt;11&lt;/item&gt;&lt;item&gt;15&lt;/item&gt;&lt;item&gt;16&lt;/item&gt;&lt;item&gt;23&lt;/item&gt;&lt;item&gt;24&lt;/item&gt;&lt;item&gt;27&lt;/item&gt;&lt;item&gt;28&lt;/item&gt;&lt;item&gt;29&lt;/item&gt;&lt;item&gt;30&lt;/item&gt;&lt;item&gt;33&lt;/item&gt;&lt;item&gt;34&lt;/item&gt;&lt;item&gt;35&lt;/item&gt;&lt;item&gt;37&lt;/item&gt;&lt;item&gt;38&lt;/item&gt;&lt;item&gt;41&lt;/item&gt;&lt;item&gt;45&lt;/item&gt;&lt;item&gt;46&lt;/item&gt;&lt;item&gt;47&lt;/item&gt;&lt;item&gt;48&lt;/item&gt;&lt;item&gt;49&lt;/item&gt;&lt;/record-ids&gt;&lt;/item&gt;&lt;/Libraries&gt;"/>
  </w:docVars>
  <w:rsids>
    <w:rsidRoot w:val="00E65E79"/>
    <w:rsid w:val="00000790"/>
    <w:rsid w:val="0000110B"/>
    <w:rsid w:val="00003499"/>
    <w:rsid w:val="000039B7"/>
    <w:rsid w:val="00005266"/>
    <w:rsid w:val="000056B9"/>
    <w:rsid w:val="00005920"/>
    <w:rsid w:val="0000639A"/>
    <w:rsid w:val="0000713D"/>
    <w:rsid w:val="000104D1"/>
    <w:rsid w:val="00011A62"/>
    <w:rsid w:val="0001201E"/>
    <w:rsid w:val="00013247"/>
    <w:rsid w:val="0001415C"/>
    <w:rsid w:val="00014C14"/>
    <w:rsid w:val="00015174"/>
    <w:rsid w:val="000157BB"/>
    <w:rsid w:val="00015886"/>
    <w:rsid w:val="000162EF"/>
    <w:rsid w:val="000175CE"/>
    <w:rsid w:val="00020330"/>
    <w:rsid w:val="000207C9"/>
    <w:rsid w:val="00021CE0"/>
    <w:rsid w:val="00021D9F"/>
    <w:rsid w:val="0002225F"/>
    <w:rsid w:val="00023763"/>
    <w:rsid w:val="0002378C"/>
    <w:rsid w:val="00024EB5"/>
    <w:rsid w:val="000274B8"/>
    <w:rsid w:val="0003035A"/>
    <w:rsid w:val="00030995"/>
    <w:rsid w:val="00033206"/>
    <w:rsid w:val="000332CC"/>
    <w:rsid w:val="00033863"/>
    <w:rsid w:val="00035DC0"/>
    <w:rsid w:val="00036829"/>
    <w:rsid w:val="00037F7F"/>
    <w:rsid w:val="00040895"/>
    <w:rsid w:val="000410A0"/>
    <w:rsid w:val="000415A9"/>
    <w:rsid w:val="000419CC"/>
    <w:rsid w:val="0004238D"/>
    <w:rsid w:val="00042737"/>
    <w:rsid w:val="00042945"/>
    <w:rsid w:val="000435EE"/>
    <w:rsid w:val="00043C37"/>
    <w:rsid w:val="00043EDF"/>
    <w:rsid w:val="00045017"/>
    <w:rsid w:val="00045A2B"/>
    <w:rsid w:val="0004698F"/>
    <w:rsid w:val="00046ABD"/>
    <w:rsid w:val="00046D64"/>
    <w:rsid w:val="00047A8D"/>
    <w:rsid w:val="00047BC2"/>
    <w:rsid w:val="000508C2"/>
    <w:rsid w:val="00050F41"/>
    <w:rsid w:val="00052C63"/>
    <w:rsid w:val="000539D0"/>
    <w:rsid w:val="00054621"/>
    <w:rsid w:val="000546D7"/>
    <w:rsid w:val="00054A8D"/>
    <w:rsid w:val="0005551B"/>
    <w:rsid w:val="00056259"/>
    <w:rsid w:val="00056ECF"/>
    <w:rsid w:val="000604DF"/>
    <w:rsid w:val="00061E42"/>
    <w:rsid w:val="00062324"/>
    <w:rsid w:val="00062763"/>
    <w:rsid w:val="00062CD0"/>
    <w:rsid w:val="000630D6"/>
    <w:rsid w:val="00063350"/>
    <w:rsid w:val="000653B5"/>
    <w:rsid w:val="00066360"/>
    <w:rsid w:val="00066AF8"/>
    <w:rsid w:val="00071248"/>
    <w:rsid w:val="00071B42"/>
    <w:rsid w:val="000720B9"/>
    <w:rsid w:val="00072733"/>
    <w:rsid w:val="000737F7"/>
    <w:rsid w:val="0007672F"/>
    <w:rsid w:val="00076B54"/>
    <w:rsid w:val="000774F0"/>
    <w:rsid w:val="00080909"/>
    <w:rsid w:val="000812CA"/>
    <w:rsid w:val="00081A84"/>
    <w:rsid w:val="00081E63"/>
    <w:rsid w:val="0008258D"/>
    <w:rsid w:val="00083E99"/>
    <w:rsid w:val="00084FA8"/>
    <w:rsid w:val="000856C5"/>
    <w:rsid w:val="00085C31"/>
    <w:rsid w:val="00085D42"/>
    <w:rsid w:val="00085F31"/>
    <w:rsid w:val="00086921"/>
    <w:rsid w:val="00087A4C"/>
    <w:rsid w:val="000902D9"/>
    <w:rsid w:val="0009039D"/>
    <w:rsid w:val="00090C7E"/>
    <w:rsid w:val="0009115A"/>
    <w:rsid w:val="000911AC"/>
    <w:rsid w:val="00091F3A"/>
    <w:rsid w:val="00092201"/>
    <w:rsid w:val="00092600"/>
    <w:rsid w:val="0009262B"/>
    <w:rsid w:val="00093310"/>
    <w:rsid w:val="0009445C"/>
    <w:rsid w:val="00095200"/>
    <w:rsid w:val="00095FE5"/>
    <w:rsid w:val="00096284"/>
    <w:rsid w:val="00096B6F"/>
    <w:rsid w:val="00097705"/>
    <w:rsid w:val="000A1BC0"/>
    <w:rsid w:val="000A2F9E"/>
    <w:rsid w:val="000A3E47"/>
    <w:rsid w:val="000A4DA1"/>
    <w:rsid w:val="000A522B"/>
    <w:rsid w:val="000A6039"/>
    <w:rsid w:val="000A7453"/>
    <w:rsid w:val="000A7D08"/>
    <w:rsid w:val="000B0121"/>
    <w:rsid w:val="000B0670"/>
    <w:rsid w:val="000B0E75"/>
    <w:rsid w:val="000B2DCB"/>
    <w:rsid w:val="000B5CE0"/>
    <w:rsid w:val="000B6CAC"/>
    <w:rsid w:val="000B72D3"/>
    <w:rsid w:val="000B7612"/>
    <w:rsid w:val="000B78AE"/>
    <w:rsid w:val="000C1359"/>
    <w:rsid w:val="000C1B8B"/>
    <w:rsid w:val="000C1C53"/>
    <w:rsid w:val="000C3DF9"/>
    <w:rsid w:val="000C4CF2"/>
    <w:rsid w:val="000C5166"/>
    <w:rsid w:val="000C6713"/>
    <w:rsid w:val="000D1BFC"/>
    <w:rsid w:val="000D1D5D"/>
    <w:rsid w:val="000D1F77"/>
    <w:rsid w:val="000D281A"/>
    <w:rsid w:val="000D2848"/>
    <w:rsid w:val="000D326A"/>
    <w:rsid w:val="000D4008"/>
    <w:rsid w:val="000D51FB"/>
    <w:rsid w:val="000D686F"/>
    <w:rsid w:val="000D6EDE"/>
    <w:rsid w:val="000E05BC"/>
    <w:rsid w:val="000E0640"/>
    <w:rsid w:val="000E06BF"/>
    <w:rsid w:val="000E135D"/>
    <w:rsid w:val="000E1DB8"/>
    <w:rsid w:val="000E5B08"/>
    <w:rsid w:val="000E7FD5"/>
    <w:rsid w:val="000F00BA"/>
    <w:rsid w:val="000F28F4"/>
    <w:rsid w:val="000F316A"/>
    <w:rsid w:val="000F3C74"/>
    <w:rsid w:val="000F4A95"/>
    <w:rsid w:val="000F4BB8"/>
    <w:rsid w:val="000F4FA9"/>
    <w:rsid w:val="000F53FB"/>
    <w:rsid w:val="000F6AA6"/>
    <w:rsid w:val="000F7127"/>
    <w:rsid w:val="000F7339"/>
    <w:rsid w:val="000F7B54"/>
    <w:rsid w:val="001000B3"/>
    <w:rsid w:val="00100F8A"/>
    <w:rsid w:val="0010452E"/>
    <w:rsid w:val="0010457C"/>
    <w:rsid w:val="00104622"/>
    <w:rsid w:val="00105AE2"/>
    <w:rsid w:val="00105B81"/>
    <w:rsid w:val="001060C6"/>
    <w:rsid w:val="001066DB"/>
    <w:rsid w:val="00106B80"/>
    <w:rsid w:val="00107716"/>
    <w:rsid w:val="0011032E"/>
    <w:rsid w:val="0011348B"/>
    <w:rsid w:val="00115982"/>
    <w:rsid w:val="00116A88"/>
    <w:rsid w:val="00116C53"/>
    <w:rsid w:val="00116DE5"/>
    <w:rsid w:val="00116F2F"/>
    <w:rsid w:val="00121799"/>
    <w:rsid w:val="001222FC"/>
    <w:rsid w:val="00122F51"/>
    <w:rsid w:val="00123902"/>
    <w:rsid w:val="00124A51"/>
    <w:rsid w:val="00124CB2"/>
    <w:rsid w:val="00126621"/>
    <w:rsid w:val="00126B1D"/>
    <w:rsid w:val="001301E9"/>
    <w:rsid w:val="0013119A"/>
    <w:rsid w:val="00131553"/>
    <w:rsid w:val="00131D82"/>
    <w:rsid w:val="00131FCA"/>
    <w:rsid w:val="00132B22"/>
    <w:rsid w:val="00133682"/>
    <w:rsid w:val="00133D36"/>
    <w:rsid w:val="00134B94"/>
    <w:rsid w:val="00137645"/>
    <w:rsid w:val="0014015A"/>
    <w:rsid w:val="00140E99"/>
    <w:rsid w:val="00141E02"/>
    <w:rsid w:val="0014218B"/>
    <w:rsid w:val="00142ED1"/>
    <w:rsid w:val="00143F67"/>
    <w:rsid w:val="00144511"/>
    <w:rsid w:val="00145234"/>
    <w:rsid w:val="00145540"/>
    <w:rsid w:val="001456B0"/>
    <w:rsid w:val="00147260"/>
    <w:rsid w:val="0014791F"/>
    <w:rsid w:val="001547AB"/>
    <w:rsid w:val="00155C40"/>
    <w:rsid w:val="00156131"/>
    <w:rsid w:val="001567FD"/>
    <w:rsid w:val="00156F8F"/>
    <w:rsid w:val="00157130"/>
    <w:rsid w:val="001576B1"/>
    <w:rsid w:val="0016047B"/>
    <w:rsid w:val="00160802"/>
    <w:rsid w:val="00160A4C"/>
    <w:rsid w:val="00161642"/>
    <w:rsid w:val="00162913"/>
    <w:rsid w:val="00163DC1"/>
    <w:rsid w:val="00163EFF"/>
    <w:rsid w:val="00163F66"/>
    <w:rsid w:val="0016478E"/>
    <w:rsid w:val="00165EC4"/>
    <w:rsid w:val="001661FB"/>
    <w:rsid w:val="001671A0"/>
    <w:rsid w:val="0016767F"/>
    <w:rsid w:val="00173565"/>
    <w:rsid w:val="00173B07"/>
    <w:rsid w:val="001751FA"/>
    <w:rsid w:val="001753A4"/>
    <w:rsid w:val="00177142"/>
    <w:rsid w:val="00181C10"/>
    <w:rsid w:val="00181D9C"/>
    <w:rsid w:val="001837FF"/>
    <w:rsid w:val="00184B0E"/>
    <w:rsid w:val="00185455"/>
    <w:rsid w:val="00186A45"/>
    <w:rsid w:val="0018752F"/>
    <w:rsid w:val="00187F28"/>
    <w:rsid w:val="001903A5"/>
    <w:rsid w:val="001913F7"/>
    <w:rsid w:val="00193838"/>
    <w:rsid w:val="0019409A"/>
    <w:rsid w:val="00194AD8"/>
    <w:rsid w:val="00195222"/>
    <w:rsid w:val="00195452"/>
    <w:rsid w:val="00195E6B"/>
    <w:rsid w:val="00196A31"/>
    <w:rsid w:val="00196BF7"/>
    <w:rsid w:val="001975D8"/>
    <w:rsid w:val="001977F1"/>
    <w:rsid w:val="001A1538"/>
    <w:rsid w:val="001A178E"/>
    <w:rsid w:val="001A43FA"/>
    <w:rsid w:val="001A47C5"/>
    <w:rsid w:val="001A59FB"/>
    <w:rsid w:val="001A5E9E"/>
    <w:rsid w:val="001A6354"/>
    <w:rsid w:val="001A6366"/>
    <w:rsid w:val="001A7AE8"/>
    <w:rsid w:val="001A7CF6"/>
    <w:rsid w:val="001B0E9F"/>
    <w:rsid w:val="001B173C"/>
    <w:rsid w:val="001B204E"/>
    <w:rsid w:val="001B2372"/>
    <w:rsid w:val="001B2A96"/>
    <w:rsid w:val="001B3443"/>
    <w:rsid w:val="001B344C"/>
    <w:rsid w:val="001B36BF"/>
    <w:rsid w:val="001B4D20"/>
    <w:rsid w:val="001B53E9"/>
    <w:rsid w:val="001B7F84"/>
    <w:rsid w:val="001C1948"/>
    <w:rsid w:val="001C2A04"/>
    <w:rsid w:val="001C2A9B"/>
    <w:rsid w:val="001C3D24"/>
    <w:rsid w:val="001C3DD6"/>
    <w:rsid w:val="001C4299"/>
    <w:rsid w:val="001C4874"/>
    <w:rsid w:val="001C5F94"/>
    <w:rsid w:val="001C6C54"/>
    <w:rsid w:val="001C6E66"/>
    <w:rsid w:val="001C702D"/>
    <w:rsid w:val="001D1100"/>
    <w:rsid w:val="001D1391"/>
    <w:rsid w:val="001D25D7"/>
    <w:rsid w:val="001D2F4D"/>
    <w:rsid w:val="001D4EC0"/>
    <w:rsid w:val="001D50B2"/>
    <w:rsid w:val="001D60DB"/>
    <w:rsid w:val="001D6911"/>
    <w:rsid w:val="001D71F4"/>
    <w:rsid w:val="001D7645"/>
    <w:rsid w:val="001E093A"/>
    <w:rsid w:val="001E1015"/>
    <w:rsid w:val="001E1E86"/>
    <w:rsid w:val="001E238E"/>
    <w:rsid w:val="001E2483"/>
    <w:rsid w:val="001E25EF"/>
    <w:rsid w:val="001E2B1E"/>
    <w:rsid w:val="001E2CFF"/>
    <w:rsid w:val="001E2F24"/>
    <w:rsid w:val="001E30D4"/>
    <w:rsid w:val="001E34DF"/>
    <w:rsid w:val="001E45BC"/>
    <w:rsid w:val="001E52EB"/>
    <w:rsid w:val="001E5CD3"/>
    <w:rsid w:val="001E61D2"/>
    <w:rsid w:val="001E7225"/>
    <w:rsid w:val="001E740C"/>
    <w:rsid w:val="001E74E1"/>
    <w:rsid w:val="001F0A7B"/>
    <w:rsid w:val="001F1235"/>
    <w:rsid w:val="001F1CB3"/>
    <w:rsid w:val="001F2C94"/>
    <w:rsid w:val="001F38B5"/>
    <w:rsid w:val="001F39EC"/>
    <w:rsid w:val="001F4081"/>
    <w:rsid w:val="001F5C3E"/>
    <w:rsid w:val="001F7361"/>
    <w:rsid w:val="002011B0"/>
    <w:rsid w:val="002026C3"/>
    <w:rsid w:val="00202EF4"/>
    <w:rsid w:val="00203181"/>
    <w:rsid w:val="00203783"/>
    <w:rsid w:val="0020385F"/>
    <w:rsid w:val="00203EEA"/>
    <w:rsid w:val="00203F4F"/>
    <w:rsid w:val="00203FFB"/>
    <w:rsid w:val="00206894"/>
    <w:rsid w:val="002068A0"/>
    <w:rsid w:val="00207021"/>
    <w:rsid w:val="0020732F"/>
    <w:rsid w:val="0020762D"/>
    <w:rsid w:val="002079CC"/>
    <w:rsid w:val="00207D00"/>
    <w:rsid w:val="00207FBD"/>
    <w:rsid w:val="002105C1"/>
    <w:rsid w:val="002116FD"/>
    <w:rsid w:val="0021261D"/>
    <w:rsid w:val="00213E8F"/>
    <w:rsid w:val="00213EF5"/>
    <w:rsid w:val="00214731"/>
    <w:rsid w:val="00215FC1"/>
    <w:rsid w:val="00216BF5"/>
    <w:rsid w:val="00217679"/>
    <w:rsid w:val="002205FF"/>
    <w:rsid w:val="00221765"/>
    <w:rsid w:val="00223B49"/>
    <w:rsid w:val="00223D5A"/>
    <w:rsid w:val="00224DD4"/>
    <w:rsid w:val="00225AB0"/>
    <w:rsid w:val="00227567"/>
    <w:rsid w:val="002278A0"/>
    <w:rsid w:val="00227A2B"/>
    <w:rsid w:val="002309CC"/>
    <w:rsid w:val="00231BA9"/>
    <w:rsid w:val="0023209F"/>
    <w:rsid w:val="00232CC2"/>
    <w:rsid w:val="00232CD3"/>
    <w:rsid w:val="00232E36"/>
    <w:rsid w:val="00233C01"/>
    <w:rsid w:val="0023413C"/>
    <w:rsid w:val="002346F0"/>
    <w:rsid w:val="0023629D"/>
    <w:rsid w:val="00236DF1"/>
    <w:rsid w:val="00237255"/>
    <w:rsid w:val="00241744"/>
    <w:rsid w:val="002424AF"/>
    <w:rsid w:val="00242DA1"/>
    <w:rsid w:val="002439DC"/>
    <w:rsid w:val="00243CD6"/>
    <w:rsid w:val="0024402C"/>
    <w:rsid w:val="002441D2"/>
    <w:rsid w:val="00244A0E"/>
    <w:rsid w:val="00244DC8"/>
    <w:rsid w:val="002458BA"/>
    <w:rsid w:val="00245CE9"/>
    <w:rsid w:val="0024636C"/>
    <w:rsid w:val="002474CB"/>
    <w:rsid w:val="00247925"/>
    <w:rsid w:val="00251006"/>
    <w:rsid w:val="00251B9B"/>
    <w:rsid w:val="002524D5"/>
    <w:rsid w:val="00253B1D"/>
    <w:rsid w:val="00254DCF"/>
    <w:rsid w:val="0025534B"/>
    <w:rsid w:val="00255BB7"/>
    <w:rsid w:val="00257541"/>
    <w:rsid w:val="00257A39"/>
    <w:rsid w:val="00257AC4"/>
    <w:rsid w:val="00257BBE"/>
    <w:rsid w:val="00261EEF"/>
    <w:rsid w:val="00262A1A"/>
    <w:rsid w:val="00262A87"/>
    <w:rsid w:val="00264D26"/>
    <w:rsid w:val="00266C2E"/>
    <w:rsid w:val="00267642"/>
    <w:rsid w:val="00267AEA"/>
    <w:rsid w:val="002700E6"/>
    <w:rsid w:val="0027036D"/>
    <w:rsid w:val="00270506"/>
    <w:rsid w:val="00272339"/>
    <w:rsid w:val="0027294B"/>
    <w:rsid w:val="00272E3C"/>
    <w:rsid w:val="0027362D"/>
    <w:rsid w:val="00273EB4"/>
    <w:rsid w:val="00274682"/>
    <w:rsid w:val="00275158"/>
    <w:rsid w:val="00275C5A"/>
    <w:rsid w:val="0027621C"/>
    <w:rsid w:val="00276722"/>
    <w:rsid w:val="0027685A"/>
    <w:rsid w:val="00276BCC"/>
    <w:rsid w:val="00281014"/>
    <w:rsid w:val="00281F56"/>
    <w:rsid w:val="00285BCE"/>
    <w:rsid w:val="00285BF8"/>
    <w:rsid w:val="0028665D"/>
    <w:rsid w:val="0029032F"/>
    <w:rsid w:val="0029268B"/>
    <w:rsid w:val="00293434"/>
    <w:rsid w:val="00294AE1"/>
    <w:rsid w:val="00297CA6"/>
    <w:rsid w:val="002A0B42"/>
    <w:rsid w:val="002A0F81"/>
    <w:rsid w:val="002A14AB"/>
    <w:rsid w:val="002A1708"/>
    <w:rsid w:val="002A2953"/>
    <w:rsid w:val="002A2ADE"/>
    <w:rsid w:val="002A2F50"/>
    <w:rsid w:val="002A5FCB"/>
    <w:rsid w:val="002A643B"/>
    <w:rsid w:val="002A7943"/>
    <w:rsid w:val="002B030B"/>
    <w:rsid w:val="002B05A1"/>
    <w:rsid w:val="002B09A4"/>
    <w:rsid w:val="002B0F64"/>
    <w:rsid w:val="002B1B01"/>
    <w:rsid w:val="002B1C1F"/>
    <w:rsid w:val="002B2B34"/>
    <w:rsid w:val="002B432F"/>
    <w:rsid w:val="002B6063"/>
    <w:rsid w:val="002B62B3"/>
    <w:rsid w:val="002B6754"/>
    <w:rsid w:val="002B6CCE"/>
    <w:rsid w:val="002C1F13"/>
    <w:rsid w:val="002C2510"/>
    <w:rsid w:val="002C2775"/>
    <w:rsid w:val="002C27C1"/>
    <w:rsid w:val="002C36E3"/>
    <w:rsid w:val="002C5099"/>
    <w:rsid w:val="002C5889"/>
    <w:rsid w:val="002C71CE"/>
    <w:rsid w:val="002D03EA"/>
    <w:rsid w:val="002D08F8"/>
    <w:rsid w:val="002D3927"/>
    <w:rsid w:val="002D4751"/>
    <w:rsid w:val="002D49A1"/>
    <w:rsid w:val="002D4A7B"/>
    <w:rsid w:val="002D4D0B"/>
    <w:rsid w:val="002D577C"/>
    <w:rsid w:val="002D57EC"/>
    <w:rsid w:val="002D5D1D"/>
    <w:rsid w:val="002D71CD"/>
    <w:rsid w:val="002D7832"/>
    <w:rsid w:val="002E1071"/>
    <w:rsid w:val="002E15B9"/>
    <w:rsid w:val="002E2158"/>
    <w:rsid w:val="002E3CF3"/>
    <w:rsid w:val="002E4557"/>
    <w:rsid w:val="002E4F02"/>
    <w:rsid w:val="002E54E9"/>
    <w:rsid w:val="002E7124"/>
    <w:rsid w:val="002E7722"/>
    <w:rsid w:val="002F07BA"/>
    <w:rsid w:val="002F0DA9"/>
    <w:rsid w:val="002F1014"/>
    <w:rsid w:val="002F1E3B"/>
    <w:rsid w:val="002F22C7"/>
    <w:rsid w:val="002F643C"/>
    <w:rsid w:val="002F6D2E"/>
    <w:rsid w:val="002F71C0"/>
    <w:rsid w:val="002F74F1"/>
    <w:rsid w:val="00300A40"/>
    <w:rsid w:val="00301017"/>
    <w:rsid w:val="0030155F"/>
    <w:rsid w:val="0030587B"/>
    <w:rsid w:val="0030694F"/>
    <w:rsid w:val="00306D98"/>
    <w:rsid w:val="00306E05"/>
    <w:rsid w:val="0030786C"/>
    <w:rsid w:val="0031031A"/>
    <w:rsid w:val="00310981"/>
    <w:rsid w:val="00310C77"/>
    <w:rsid w:val="00311D9B"/>
    <w:rsid w:val="003124D9"/>
    <w:rsid w:val="00312594"/>
    <w:rsid w:val="003150D9"/>
    <w:rsid w:val="00315498"/>
    <w:rsid w:val="00316474"/>
    <w:rsid w:val="00322107"/>
    <w:rsid w:val="00322355"/>
    <w:rsid w:val="00322846"/>
    <w:rsid w:val="00322C25"/>
    <w:rsid w:val="00323B88"/>
    <w:rsid w:val="00324EBE"/>
    <w:rsid w:val="00326DA7"/>
    <w:rsid w:val="003270E4"/>
    <w:rsid w:val="00327272"/>
    <w:rsid w:val="00330C76"/>
    <w:rsid w:val="00330DAA"/>
    <w:rsid w:val="00330EC0"/>
    <w:rsid w:val="00330F5C"/>
    <w:rsid w:val="00332A31"/>
    <w:rsid w:val="00332DD1"/>
    <w:rsid w:val="00336377"/>
    <w:rsid w:val="003366C9"/>
    <w:rsid w:val="003371B0"/>
    <w:rsid w:val="00337A1D"/>
    <w:rsid w:val="00340DF1"/>
    <w:rsid w:val="00341A09"/>
    <w:rsid w:val="00343549"/>
    <w:rsid w:val="00343893"/>
    <w:rsid w:val="00344243"/>
    <w:rsid w:val="00344F90"/>
    <w:rsid w:val="0034575B"/>
    <w:rsid w:val="00345C66"/>
    <w:rsid w:val="003470D5"/>
    <w:rsid w:val="0035029B"/>
    <w:rsid w:val="0035112F"/>
    <w:rsid w:val="003517F9"/>
    <w:rsid w:val="00351BA9"/>
    <w:rsid w:val="00354F64"/>
    <w:rsid w:val="00355DED"/>
    <w:rsid w:val="0035620E"/>
    <w:rsid w:val="00356BA2"/>
    <w:rsid w:val="00356FC8"/>
    <w:rsid w:val="003575BE"/>
    <w:rsid w:val="00360345"/>
    <w:rsid w:val="00361443"/>
    <w:rsid w:val="00361A05"/>
    <w:rsid w:val="003624C4"/>
    <w:rsid w:val="00363B00"/>
    <w:rsid w:val="00365026"/>
    <w:rsid w:val="003654AC"/>
    <w:rsid w:val="003661E8"/>
    <w:rsid w:val="0036683D"/>
    <w:rsid w:val="00367A35"/>
    <w:rsid w:val="003710CF"/>
    <w:rsid w:val="003733AF"/>
    <w:rsid w:val="0037358A"/>
    <w:rsid w:val="003750AC"/>
    <w:rsid w:val="003750F6"/>
    <w:rsid w:val="0037576B"/>
    <w:rsid w:val="00375804"/>
    <w:rsid w:val="003760FC"/>
    <w:rsid w:val="00381464"/>
    <w:rsid w:val="003814B6"/>
    <w:rsid w:val="0038365C"/>
    <w:rsid w:val="0038369B"/>
    <w:rsid w:val="00383B78"/>
    <w:rsid w:val="00383C6A"/>
    <w:rsid w:val="003851EB"/>
    <w:rsid w:val="00385A9D"/>
    <w:rsid w:val="00385EFA"/>
    <w:rsid w:val="00387121"/>
    <w:rsid w:val="003902B1"/>
    <w:rsid w:val="0039179C"/>
    <w:rsid w:val="00392D9C"/>
    <w:rsid w:val="00394E9D"/>
    <w:rsid w:val="00395B17"/>
    <w:rsid w:val="00396896"/>
    <w:rsid w:val="00396FD0"/>
    <w:rsid w:val="003970F6"/>
    <w:rsid w:val="003A006B"/>
    <w:rsid w:val="003A1A7A"/>
    <w:rsid w:val="003A2392"/>
    <w:rsid w:val="003A2831"/>
    <w:rsid w:val="003A2944"/>
    <w:rsid w:val="003A38BC"/>
    <w:rsid w:val="003A3CB6"/>
    <w:rsid w:val="003A3ED1"/>
    <w:rsid w:val="003A4123"/>
    <w:rsid w:val="003A44DB"/>
    <w:rsid w:val="003A4C14"/>
    <w:rsid w:val="003A5869"/>
    <w:rsid w:val="003A5DC6"/>
    <w:rsid w:val="003A638F"/>
    <w:rsid w:val="003A65EC"/>
    <w:rsid w:val="003A735E"/>
    <w:rsid w:val="003B11C8"/>
    <w:rsid w:val="003B3444"/>
    <w:rsid w:val="003B3971"/>
    <w:rsid w:val="003B3D6F"/>
    <w:rsid w:val="003B55D1"/>
    <w:rsid w:val="003B5B61"/>
    <w:rsid w:val="003B67EE"/>
    <w:rsid w:val="003B730A"/>
    <w:rsid w:val="003B740C"/>
    <w:rsid w:val="003C1654"/>
    <w:rsid w:val="003C468D"/>
    <w:rsid w:val="003C4D7A"/>
    <w:rsid w:val="003C5542"/>
    <w:rsid w:val="003C59A5"/>
    <w:rsid w:val="003C6153"/>
    <w:rsid w:val="003C7673"/>
    <w:rsid w:val="003C7C15"/>
    <w:rsid w:val="003C7D19"/>
    <w:rsid w:val="003C7D2F"/>
    <w:rsid w:val="003D0C5A"/>
    <w:rsid w:val="003D1828"/>
    <w:rsid w:val="003D1DE4"/>
    <w:rsid w:val="003D1E9A"/>
    <w:rsid w:val="003D2198"/>
    <w:rsid w:val="003D2422"/>
    <w:rsid w:val="003D399B"/>
    <w:rsid w:val="003D39A1"/>
    <w:rsid w:val="003D3C55"/>
    <w:rsid w:val="003D3FBF"/>
    <w:rsid w:val="003D4A30"/>
    <w:rsid w:val="003D66B1"/>
    <w:rsid w:val="003D6CC8"/>
    <w:rsid w:val="003D7452"/>
    <w:rsid w:val="003D79BB"/>
    <w:rsid w:val="003D7C98"/>
    <w:rsid w:val="003D7D9D"/>
    <w:rsid w:val="003E04E7"/>
    <w:rsid w:val="003E0543"/>
    <w:rsid w:val="003E2545"/>
    <w:rsid w:val="003E5603"/>
    <w:rsid w:val="003E5BAD"/>
    <w:rsid w:val="003E749E"/>
    <w:rsid w:val="003F1D61"/>
    <w:rsid w:val="003F1E80"/>
    <w:rsid w:val="003F2664"/>
    <w:rsid w:val="003F28BD"/>
    <w:rsid w:val="003F4156"/>
    <w:rsid w:val="003F5ADF"/>
    <w:rsid w:val="003F7AED"/>
    <w:rsid w:val="00400B29"/>
    <w:rsid w:val="00401426"/>
    <w:rsid w:val="00402812"/>
    <w:rsid w:val="00402A08"/>
    <w:rsid w:val="0040504B"/>
    <w:rsid w:val="004059F4"/>
    <w:rsid w:val="00405B6B"/>
    <w:rsid w:val="00405C63"/>
    <w:rsid w:val="00407FE5"/>
    <w:rsid w:val="004101B0"/>
    <w:rsid w:val="00410326"/>
    <w:rsid w:val="00410708"/>
    <w:rsid w:val="00410EC7"/>
    <w:rsid w:val="00411B39"/>
    <w:rsid w:val="004120C1"/>
    <w:rsid w:val="004127A7"/>
    <w:rsid w:val="00413A1E"/>
    <w:rsid w:val="00414476"/>
    <w:rsid w:val="00414C2E"/>
    <w:rsid w:val="00414FD4"/>
    <w:rsid w:val="004151CF"/>
    <w:rsid w:val="00416258"/>
    <w:rsid w:val="00416364"/>
    <w:rsid w:val="0041690E"/>
    <w:rsid w:val="0042047F"/>
    <w:rsid w:val="00420AA6"/>
    <w:rsid w:val="00420B9F"/>
    <w:rsid w:val="004216F6"/>
    <w:rsid w:val="0042192C"/>
    <w:rsid w:val="00421FB7"/>
    <w:rsid w:val="00422260"/>
    <w:rsid w:val="00422AE4"/>
    <w:rsid w:val="004231C9"/>
    <w:rsid w:val="0042413F"/>
    <w:rsid w:val="00424D6E"/>
    <w:rsid w:val="004274F2"/>
    <w:rsid w:val="00427D06"/>
    <w:rsid w:val="00430757"/>
    <w:rsid w:val="004319F8"/>
    <w:rsid w:val="00431D2C"/>
    <w:rsid w:val="00431E55"/>
    <w:rsid w:val="004321F6"/>
    <w:rsid w:val="00433044"/>
    <w:rsid w:val="00434088"/>
    <w:rsid w:val="004340A0"/>
    <w:rsid w:val="00437073"/>
    <w:rsid w:val="004375B9"/>
    <w:rsid w:val="004428D0"/>
    <w:rsid w:val="0044357E"/>
    <w:rsid w:val="00443E4D"/>
    <w:rsid w:val="00444185"/>
    <w:rsid w:val="004443A7"/>
    <w:rsid w:val="0044442C"/>
    <w:rsid w:val="00445270"/>
    <w:rsid w:val="00445941"/>
    <w:rsid w:val="004464EB"/>
    <w:rsid w:val="00447307"/>
    <w:rsid w:val="00447D26"/>
    <w:rsid w:val="00447DFC"/>
    <w:rsid w:val="00451D56"/>
    <w:rsid w:val="004523A6"/>
    <w:rsid w:val="004558C1"/>
    <w:rsid w:val="00455D45"/>
    <w:rsid w:val="00460134"/>
    <w:rsid w:val="00460C51"/>
    <w:rsid w:val="0046194C"/>
    <w:rsid w:val="00462C97"/>
    <w:rsid w:val="00463ED7"/>
    <w:rsid w:val="00464595"/>
    <w:rsid w:val="004658B5"/>
    <w:rsid w:val="00465EAD"/>
    <w:rsid w:val="00467AFA"/>
    <w:rsid w:val="0047070D"/>
    <w:rsid w:val="00471EA5"/>
    <w:rsid w:val="00471EFF"/>
    <w:rsid w:val="00472A79"/>
    <w:rsid w:val="00473B55"/>
    <w:rsid w:val="00473F19"/>
    <w:rsid w:val="00475767"/>
    <w:rsid w:val="004759C7"/>
    <w:rsid w:val="00475E22"/>
    <w:rsid w:val="004800E7"/>
    <w:rsid w:val="0048088E"/>
    <w:rsid w:val="00480F2B"/>
    <w:rsid w:val="00482720"/>
    <w:rsid w:val="004835E7"/>
    <w:rsid w:val="004859E1"/>
    <w:rsid w:val="004867E2"/>
    <w:rsid w:val="00486913"/>
    <w:rsid w:val="00490B17"/>
    <w:rsid w:val="00491B3A"/>
    <w:rsid w:val="00492CFD"/>
    <w:rsid w:val="00492D82"/>
    <w:rsid w:val="00494207"/>
    <w:rsid w:val="0049468A"/>
    <w:rsid w:val="004946D2"/>
    <w:rsid w:val="00494DD5"/>
    <w:rsid w:val="004962D2"/>
    <w:rsid w:val="004A0DA1"/>
    <w:rsid w:val="004A13D6"/>
    <w:rsid w:val="004A17AD"/>
    <w:rsid w:val="004A24C0"/>
    <w:rsid w:val="004A3427"/>
    <w:rsid w:val="004A43E8"/>
    <w:rsid w:val="004A52E9"/>
    <w:rsid w:val="004A6040"/>
    <w:rsid w:val="004A6597"/>
    <w:rsid w:val="004A7848"/>
    <w:rsid w:val="004A793B"/>
    <w:rsid w:val="004B0496"/>
    <w:rsid w:val="004B113A"/>
    <w:rsid w:val="004B1CB4"/>
    <w:rsid w:val="004B2C7F"/>
    <w:rsid w:val="004B2F18"/>
    <w:rsid w:val="004B339A"/>
    <w:rsid w:val="004B3DDB"/>
    <w:rsid w:val="004B44FD"/>
    <w:rsid w:val="004B46B0"/>
    <w:rsid w:val="004B5CFC"/>
    <w:rsid w:val="004B6F79"/>
    <w:rsid w:val="004B774D"/>
    <w:rsid w:val="004C07E1"/>
    <w:rsid w:val="004C0C72"/>
    <w:rsid w:val="004C0DC4"/>
    <w:rsid w:val="004C146A"/>
    <w:rsid w:val="004C1815"/>
    <w:rsid w:val="004C2AC2"/>
    <w:rsid w:val="004C4AED"/>
    <w:rsid w:val="004C4CEA"/>
    <w:rsid w:val="004C7A21"/>
    <w:rsid w:val="004D2C2D"/>
    <w:rsid w:val="004D422E"/>
    <w:rsid w:val="004D5771"/>
    <w:rsid w:val="004D69B5"/>
    <w:rsid w:val="004D7227"/>
    <w:rsid w:val="004D7B5E"/>
    <w:rsid w:val="004E0E7F"/>
    <w:rsid w:val="004E0EB8"/>
    <w:rsid w:val="004E18E9"/>
    <w:rsid w:val="004E2202"/>
    <w:rsid w:val="004E2ADC"/>
    <w:rsid w:val="004E3AE8"/>
    <w:rsid w:val="004E43B2"/>
    <w:rsid w:val="004E72CB"/>
    <w:rsid w:val="004F034E"/>
    <w:rsid w:val="004F164E"/>
    <w:rsid w:val="004F1D02"/>
    <w:rsid w:val="004F2679"/>
    <w:rsid w:val="004F2F21"/>
    <w:rsid w:val="004F3C25"/>
    <w:rsid w:val="004F3DE5"/>
    <w:rsid w:val="004F6913"/>
    <w:rsid w:val="004F7865"/>
    <w:rsid w:val="004F7EE3"/>
    <w:rsid w:val="005008A2"/>
    <w:rsid w:val="00501394"/>
    <w:rsid w:val="00501697"/>
    <w:rsid w:val="0050174E"/>
    <w:rsid w:val="00501854"/>
    <w:rsid w:val="0050219B"/>
    <w:rsid w:val="00502DEC"/>
    <w:rsid w:val="005030A4"/>
    <w:rsid w:val="00503F17"/>
    <w:rsid w:val="00503F3A"/>
    <w:rsid w:val="00505966"/>
    <w:rsid w:val="00506928"/>
    <w:rsid w:val="005077EF"/>
    <w:rsid w:val="0050789D"/>
    <w:rsid w:val="00511AD5"/>
    <w:rsid w:val="00511DC7"/>
    <w:rsid w:val="005142C5"/>
    <w:rsid w:val="00514C94"/>
    <w:rsid w:val="0051501B"/>
    <w:rsid w:val="005152B5"/>
    <w:rsid w:val="00515886"/>
    <w:rsid w:val="0052123C"/>
    <w:rsid w:val="00521319"/>
    <w:rsid w:val="00522665"/>
    <w:rsid w:val="00522BC8"/>
    <w:rsid w:val="00523C28"/>
    <w:rsid w:val="005259A0"/>
    <w:rsid w:val="0053176B"/>
    <w:rsid w:val="00531F49"/>
    <w:rsid w:val="00533BA4"/>
    <w:rsid w:val="005341B3"/>
    <w:rsid w:val="00534795"/>
    <w:rsid w:val="00536F42"/>
    <w:rsid w:val="00537182"/>
    <w:rsid w:val="00540264"/>
    <w:rsid w:val="0054054F"/>
    <w:rsid w:val="00540701"/>
    <w:rsid w:val="00541EDD"/>
    <w:rsid w:val="00542743"/>
    <w:rsid w:val="00542C2D"/>
    <w:rsid w:val="00542DEC"/>
    <w:rsid w:val="005448E5"/>
    <w:rsid w:val="005472C1"/>
    <w:rsid w:val="005478BD"/>
    <w:rsid w:val="005479E3"/>
    <w:rsid w:val="00550140"/>
    <w:rsid w:val="00550247"/>
    <w:rsid w:val="00551611"/>
    <w:rsid w:val="00551985"/>
    <w:rsid w:val="0055209B"/>
    <w:rsid w:val="00552BD3"/>
    <w:rsid w:val="005532A0"/>
    <w:rsid w:val="005540B1"/>
    <w:rsid w:val="00555109"/>
    <w:rsid w:val="00556B35"/>
    <w:rsid w:val="00556DED"/>
    <w:rsid w:val="0055741A"/>
    <w:rsid w:val="005575B2"/>
    <w:rsid w:val="00557623"/>
    <w:rsid w:val="005611B7"/>
    <w:rsid w:val="005618D4"/>
    <w:rsid w:val="00564867"/>
    <w:rsid w:val="00564CC4"/>
    <w:rsid w:val="00565C79"/>
    <w:rsid w:val="00565DF0"/>
    <w:rsid w:val="0056696F"/>
    <w:rsid w:val="005719AC"/>
    <w:rsid w:val="00571B9B"/>
    <w:rsid w:val="00571CA3"/>
    <w:rsid w:val="00572269"/>
    <w:rsid w:val="0057244A"/>
    <w:rsid w:val="00572F26"/>
    <w:rsid w:val="005730EF"/>
    <w:rsid w:val="005750C5"/>
    <w:rsid w:val="005752DE"/>
    <w:rsid w:val="00575AA1"/>
    <w:rsid w:val="00575D60"/>
    <w:rsid w:val="00575D8D"/>
    <w:rsid w:val="00576766"/>
    <w:rsid w:val="00576972"/>
    <w:rsid w:val="00577248"/>
    <w:rsid w:val="0057746A"/>
    <w:rsid w:val="00580A01"/>
    <w:rsid w:val="00583144"/>
    <w:rsid w:val="00583566"/>
    <w:rsid w:val="00583699"/>
    <w:rsid w:val="00585CDD"/>
    <w:rsid w:val="00587058"/>
    <w:rsid w:val="00590334"/>
    <w:rsid w:val="00591957"/>
    <w:rsid w:val="00591974"/>
    <w:rsid w:val="00592C6E"/>
    <w:rsid w:val="00594324"/>
    <w:rsid w:val="00594D76"/>
    <w:rsid w:val="0059626E"/>
    <w:rsid w:val="00597BF9"/>
    <w:rsid w:val="005A0C11"/>
    <w:rsid w:val="005A309A"/>
    <w:rsid w:val="005A373D"/>
    <w:rsid w:val="005B0AD8"/>
    <w:rsid w:val="005B0B58"/>
    <w:rsid w:val="005B2494"/>
    <w:rsid w:val="005B2AD0"/>
    <w:rsid w:val="005B32B2"/>
    <w:rsid w:val="005B406E"/>
    <w:rsid w:val="005B425A"/>
    <w:rsid w:val="005B4E53"/>
    <w:rsid w:val="005B52AB"/>
    <w:rsid w:val="005B5857"/>
    <w:rsid w:val="005B7230"/>
    <w:rsid w:val="005C0356"/>
    <w:rsid w:val="005C19C4"/>
    <w:rsid w:val="005C19F8"/>
    <w:rsid w:val="005C1B83"/>
    <w:rsid w:val="005C25FF"/>
    <w:rsid w:val="005C2D55"/>
    <w:rsid w:val="005C346B"/>
    <w:rsid w:val="005C39E0"/>
    <w:rsid w:val="005C4671"/>
    <w:rsid w:val="005C5107"/>
    <w:rsid w:val="005C5528"/>
    <w:rsid w:val="005C5ABC"/>
    <w:rsid w:val="005D044D"/>
    <w:rsid w:val="005D0ABD"/>
    <w:rsid w:val="005D0F23"/>
    <w:rsid w:val="005D18AD"/>
    <w:rsid w:val="005D26B4"/>
    <w:rsid w:val="005D55D1"/>
    <w:rsid w:val="005E1995"/>
    <w:rsid w:val="005E2436"/>
    <w:rsid w:val="005E6CBC"/>
    <w:rsid w:val="005E7072"/>
    <w:rsid w:val="005E72FF"/>
    <w:rsid w:val="005E73C0"/>
    <w:rsid w:val="005F0683"/>
    <w:rsid w:val="005F07ED"/>
    <w:rsid w:val="005F2706"/>
    <w:rsid w:val="005F44AF"/>
    <w:rsid w:val="005F6A8F"/>
    <w:rsid w:val="005F6BB7"/>
    <w:rsid w:val="005F7588"/>
    <w:rsid w:val="0060039D"/>
    <w:rsid w:val="0060050F"/>
    <w:rsid w:val="006038DA"/>
    <w:rsid w:val="00603DB9"/>
    <w:rsid w:val="00606CF5"/>
    <w:rsid w:val="00606D0C"/>
    <w:rsid w:val="00606FBA"/>
    <w:rsid w:val="00607669"/>
    <w:rsid w:val="006076F4"/>
    <w:rsid w:val="006079C4"/>
    <w:rsid w:val="00607AFD"/>
    <w:rsid w:val="00610762"/>
    <w:rsid w:val="00611B12"/>
    <w:rsid w:val="00612DEC"/>
    <w:rsid w:val="00612F97"/>
    <w:rsid w:val="0061345D"/>
    <w:rsid w:val="0061549B"/>
    <w:rsid w:val="00616802"/>
    <w:rsid w:val="00616B98"/>
    <w:rsid w:val="0061753B"/>
    <w:rsid w:val="00617D8E"/>
    <w:rsid w:val="00617E12"/>
    <w:rsid w:val="00620C25"/>
    <w:rsid w:val="00621105"/>
    <w:rsid w:val="00621477"/>
    <w:rsid w:val="00621ADA"/>
    <w:rsid w:val="006227C8"/>
    <w:rsid w:val="0062314B"/>
    <w:rsid w:val="00623F7B"/>
    <w:rsid w:val="0062435F"/>
    <w:rsid w:val="00624BD4"/>
    <w:rsid w:val="0063158F"/>
    <w:rsid w:val="00631D6B"/>
    <w:rsid w:val="006320EA"/>
    <w:rsid w:val="00632183"/>
    <w:rsid w:val="006330A1"/>
    <w:rsid w:val="00633430"/>
    <w:rsid w:val="00633B9E"/>
    <w:rsid w:val="0063479F"/>
    <w:rsid w:val="006351EB"/>
    <w:rsid w:val="006353F0"/>
    <w:rsid w:val="006357B5"/>
    <w:rsid w:val="00635DB2"/>
    <w:rsid w:val="006364A1"/>
    <w:rsid w:val="0063678E"/>
    <w:rsid w:val="00637447"/>
    <w:rsid w:val="00637BFD"/>
    <w:rsid w:val="00637C5C"/>
    <w:rsid w:val="00640CB9"/>
    <w:rsid w:val="00641427"/>
    <w:rsid w:val="00641723"/>
    <w:rsid w:val="0064175C"/>
    <w:rsid w:val="00641C4E"/>
    <w:rsid w:val="00641FB3"/>
    <w:rsid w:val="006421F4"/>
    <w:rsid w:val="00642E7F"/>
    <w:rsid w:val="0064434C"/>
    <w:rsid w:val="006468FA"/>
    <w:rsid w:val="006471CC"/>
    <w:rsid w:val="006472FE"/>
    <w:rsid w:val="0064751F"/>
    <w:rsid w:val="0064784D"/>
    <w:rsid w:val="00647A29"/>
    <w:rsid w:val="0065079F"/>
    <w:rsid w:val="00650F1A"/>
    <w:rsid w:val="006524ED"/>
    <w:rsid w:val="00652A28"/>
    <w:rsid w:val="0065379F"/>
    <w:rsid w:val="0065429A"/>
    <w:rsid w:val="00655760"/>
    <w:rsid w:val="00656188"/>
    <w:rsid w:val="0065715A"/>
    <w:rsid w:val="00660F0C"/>
    <w:rsid w:val="006610F1"/>
    <w:rsid w:val="00661751"/>
    <w:rsid w:val="00661C6B"/>
    <w:rsid w:val="00662D3E"/>
    <w:rsid w:val="006652AF"/>
    <w:rsid w:val="00665EF8"/>
    <w:rsid w:val="00666081"/>
    <w:rsid w:val="00667BE3"/>
    <w:rsid w:val="00670FFB"/>
    <w:rsid w:val="00671004"/>
    <w:rsid w:val="00672646"/>
    <w:rsid w:val="00673CAB"/>
    <w:rsid w:val="00674E42"/>
    <w:rsid w:val="00674EC6"/>
    <w:rsid w:val="006759DD"/>
    <w:rsid w:val="00675CC6"/>
    <w:rsid w:val="00676563"/>
    <w:rsid w:val="00676B84"/>
    <w:rsid w:val="006813F8"/>
    <w:rsid w:val="00682112"/>
    <w:rsid w:val="00682666"/>
    <w:rsid w:val="00682BA6"/>
    <w:rsid w:val="00682CB3"/>
    <w:rsid w:val="00682F7B"/>
    <w:rsid w:val="00684A5C"/>
    <w:rsid w:val="00686957"/>
    <w:rsid w:val="006872BA"/>
    <w:rsid w:val="00690795"/>
    <w:rsid w:val="00691648"/>
    <w:rsid w:val="006917D7"/>
    <w:rsid w:val="00691ED7"/>
    <w:rsid w:val="0069434C"/>
    <w:rsid w:val="00694F44"/>
    <w:rsid w:val="00695FD4"/>
    <w:rsid w:val="00696EF9"/>
    <w:rsid w:val="00696F51"/>
    <w:rsid w:val="0069733E"/>
    <w:rsid w:val="0069737D"/>
    <w:rsid w:val="006979A5"/>
    <w:rsid w:val="006A016F"/>
    <w:rsid w:val="006A0DF7"/>
    <w:rsid w:val="006A4321"/>
    <w:rsid w:val="006A43D9"/>
    <w:rsid w:val="006A5A4D"/>
    <w:rsid w:val="006A645B"/>
    <w:rsid w:val="006A6B99"/>
    <w:rsid w:val="006A7E5F"/>
    <w:rsid w:val="006B261B"/>
    <w:rsid w:val="006B2C90"/>
    <w:rsid w:val="006B2F5D"/>
    <w:rsid w:val="006B35E6"/>
    <w:rsid w:val="006B43AF"/>
    <w:rsid w:val="006B465A"/>
    <w:rsid w:val="006B5327"/>
    <w:rsid w:val="006B5793"/>
    <w:rsid w:val="006B6188"/>
    <w:rsid w:val="006B6B91"/>
    <w:rsid w:val="006B6DD0"/>
    <w:rsid w:val="006C0399"/>
    <w:rsid w:val="006C11B4"/>
    <w:rsid w:val="006C2224"/>
    <w:rsid w:val="006C251C"/>
    <w:rsid w:val="006C2A8E"/>
    <w:rsid w:val="006C3255"/>
    <w:rsid w:val="006C3F26"/>
    <w:rsid w:val="006C5D27"/>
    <w:rsid w:val="006C5EC9"/>
    <w:rsid w:val="006D0D17"/>
    <w:rsid w:val="006D3C7D"/>
    <w:rsid w:val="006D3FDC"/>
    <w:rsid w:val="006D42DC"/>
    <w:rsid w:val="006D4659"/>
    <w:rsid w:val="006D5D5F"/>
    <w:rsid w:val="006D6636"/>
    <w:rsid w:val="006D68FB"/>
    <w:rsid w:val="006D793D"/>
    <w:rsid w:val="006E1507"/>
    <w:rsid w:val="006E2868"/>
    <w:rsid w:val="006E3B51"/>
    <w:rsid w:val="006E5793"/>
    <w:rsid w:val="006E59D6"/>
    <w:rsid w:val="006E7549"/>
    <w:rsid w:val="006F049E"/>
    <w:rsid w:val="006F053E"/>
    <w:rsid w:val="006F306C"/>
    <w:rsid w:val="006F33DA"/>
    <w:rsid w:val="006F3BCE"/>
    <w:rsid w:val="006F63A5"/>
    <w:rsid w:val="006F7621"/>
    <w:rsid w:val="0070142B"/>
    <w:rsid w:val="00701E78"/>
    <w:rsid w:val="0070276E"/>
    <w:rsid w:val="007029FE"/>
    <w:rsid w:val="00702F8F"/>
    <w:rsid w:val="00706151"/>
    <w:rsid w:val="0070655E"/>
    <w:rsid w:val="00707546"/>
    <w:rsid w:val="007079FC"/>
    <w:rsid w:val="00710EE7"/>
    <w:rsid w:val="00711A36"/>
    <w:rsid w:val="007125D3"/>
    <w:rsid w:val="007128DA"/>
    <w:rsid w:val="007129E9"/>
    <w:rsid w:val="00714C26"/>
    <w:rsid w:val="0071529C"/>
    <w:rsid w:val="00716522"/>
    <w:rsid w:val="00716DB9"/>
    <w:rsid w:val="00716E40"/>
    <w:rsid w:val="007170DA"/>
    <w:rsid w:val="007172AD"/>
    <w:rsid w:val="00717546"/>
    <w:rsid w:val="00720801"/>
    <w:rsid w:val="00720BC6"/>
    <w:rsid w:val="007213EB"/>
    <w:rsid w:val="00722B1B"/>
    <w:rsid w:val="007231C5"/>
    <w:rsid w:val="00723A71"/>
    <w:rsid w:val="0072416F"/>
    <w:rsid w:val="00724713"/>
    <w:rsid w:val="0072472A"/>
    <w:rsid w:val="0072654D"/>
    <w:rsid w:val="00726C31"/>
    <w:rsid w:val="00727C94"/>
    <w:rsid w:val="007312D6"/>
    <w:rsid w:val="00731B0A"/>
    <w:rsid w:val="00731EAE"/>
    <w:rsid w:val="00732D59"/>
    <w:rsid w:val="00733073"/>
    <w:rsid w:val="00733484"/>
    <w:rsid w:val="007341E9"/>
    <w:rsid w:val="00735033"/>
    <w:rsid w:val="00735328"/>
    <w:rsid w:val="007362D9"/>
    <w:rsid w:val="007366E7"/>
    <w:rsid w:val="0073674F"/>
    <w:rsid w:val="0073685B"/>
    <w:rsid w:val="00736A5E"/>
    <w:rsid w:val="0074025F"/>
    <w:rsid w:val="007402E7"/>
    <w:rsid w:val="00741207"/>
    <w:rsid w:val="00741D2F"/>
    <w:rsid w:val="00742342"/>
    <w:rsid w:val="007429DF"/>
    <w:rsid w:val="00743B24"/>
    <w:rsid w:val="007449BF"/>
    <w:rsid w:val="007463FE"/>
    <w:rsid w:val="00746BC0"/>
    <w:rsid w:val="007505BA"/>
    <w:rsid w:val="007510B4"/>
    <w:rsid w:val="00752142"/>
    <w:rsid w:val="007523F9"/>
    <w:rsid w:val="00753236"/>
    <w:rsid w:val="0075357E"/>
    <w:rsid w:val="00753B29"/>
    <w:rsid w:val="007573E8"/>
    <w:rsid w:val="00760C4E"/>
    <w:rsid w:val="00760F9E"/>
    <w:rsid w:val="007616E6"/>
    <w:rsid w:val="007627BE"/>
    <w:rsid w:val="007631FB"/>
    <w:rsid w:val="00763AA6"/>
    <w:rsid w:val="00764F03"/>
    <w:rsid w:val="0076589D"/>
    <w:rsid w:val="00765B1A"/>
    <w:rsid w:val="00765DC1"/>
    <w:rsid w:val="007709AE"/>
    <w:rsid w:val="0077249C"/>
    <w:rsid w:val="007748C9"/>
    <w:rsid w:val="00775B1F"/>
    <w:rsid w:val="0077611C"/>
    <w:rsid w:val="00777335"/>
    <w:rsid w:val="0078231B"/>
    <w:rsid w:val="007843F2"/>
    <w:rsid w:val="007846FA"/>
    <w:rsid w:val="007849EE"/>
    <w:rsid w:val="00785A9F"/>
    <w:rsid w:val="00787753"/>
    <w:rsid w:val="00787A0B"/>
    <w:rsid w:val="00792491"/>
    <w:rsid w:val="007925DF"/>
    <w:rsid w:val="00792D03"/>
    <w:rsid w:val="007931E5"/>
    <w:rsid w:val="00794919"/>
    <w:rsid w:val="00794957"/>
    <w:rsid w:val="007A08AA"/>
    <w:rsid w:val="007A0A12"/>
    <w:rsid w:val="007A132D"/>
    <w:rsid w:val="007A1345"/>
    <w:rsid w:val="007A1C2E"/>
    <w:rsid w:val="007A251E"/>
    <w:rsid w:val="007A2DDB"/>
    <w:rsid w:val="007A35C7"/>
    <w:rsid w:val="007A4BFC"/>
    <w:rsid w:val="007A59FC"/>
    <w:rsid w:val="007A70BA"/>
    <w:rsid w:val="007A7A56"/>
    <w:rsid w:val="007B0D68"/>
    <w:rsid w:val="007B0E8F"/>
    <w:rsid w:val="007B251D"/>
    <w:rsid w:val="007B3533"/>
    <w:rsid w:val="007B414F"/>
    <w:rsid w:val="007B4F58"/>
    <w:rsid w:val="007B528D"/>
    <w:rsid w:val="007B63CA"/>
    <w:rsid w:val="007B69F8"/>
    <w:rsid w:val="007B77D1"/>
    <w:rsid w:val="007C07C7"/>
    <w:rsid w:val="007C0D0A"/>
    <w:rsid w:val="007C1528"/>
    <w:rsid w:val="007C1CD9"/>
    <w:rsid w:val="007C253D"/>
    <w:rsid w:val="007C2E81"/>
    <w:rsid w:val="007C32EF"/>
    <w:rsid w:val="007C361D"/>
    <w:rsid w:val="007C3DDA"/>
    <w:rsid w:val="007C461A"/>
    <w:rsid w:val="007C4B84"/>
    <w:rsid w:val="007C70FF"/>
    <w:rsid w:val="007C7C25"/>
    <w:rsid w:val="007D004F"/>
    <w:rsid w:val="007D035F"/>
    <w:rsid w:val="007D06B2"/>
    <w:rsid w:val="007D07EC"/>
    <w:rsid w:val="007D0B38"/>
    <w:rsid w:val="007D5440"/>
    <w:rsid w:val="007D54ED"/>
    <w:rsid w:val="007D6444"/>
    <w:rsid w:val="007D69EB"/>
    <w:rsid w:val="007E128F"/>
    <w:rsid w:val="007E1496"/>
    <w:rsid w:val="007E1519"/>
    <w:rsid w:val="007E295B"/>
    <w:rsid w:val="007E299C"/>
    <w:rsid w:val="007E3140"/>
    <w:rsid w:val="007E37F2"/>
    <w:rsid w:val="007F1017"/>
    <w:rsid w:val="007F2690"/>
    <w:rsid w:val="007F27D4"/>
    <w:rsid w:val="007F2FA9"/>
    <w:rsid w:val="007F365A"/>
    <w:rsid w:val="007F376E"/>
    <w:rsid w:val="007F382F"/>
    <w:rsid w:val="007F4A3F"/>
    <w:rsid w:val="007F4A61"/>
    <w:rsid w:val="007F4ECF"/>
    <w:rsid w:val="007F5050"/>
    <w:rsid w:val="007F5255"/>
    <w:rsid w:val="007F5482"/>
    <w:rsid w:val="007F56CC"/>
    <w:rsid w:val="007F61C2"/>
    <w:rsid w:val="00800262"/>
    <w:rsid w:val="008010FF"/>
    <w:rsid w:val="00802912"/>
    <w:rsid w:val="00805142"/>
    <w:rsid w:val="00805FCE"/>
    <w:rsid w:val="00807A8B"/>
    <w:rsid w:val="00811383"/>
    <w:rsid w:val="008114F1"/>
    <w:rsid w:val="00812149"/>
    <w:rsid w:val="00812CAC"/>
    <w:rsid w:val="00816361"/>
    <w:rsid w:val="008166EF"/>
    <w:rsid w:val="00816FEF"/>
    <w:rsid w:val="00820A8C"/>
    <w:rsid w:val="0082159C"/>
    <w:rsid w:val="008215FB"/>
    <w:rsid w:val="008220CC"/>
    <w:rsid w:val="008226A2"/>
    <w:rsid w:val="00823174"/>
    <w:rsid w:val="00825751"/>
    <w:rsid w:val="008257F2"/>
    <w:rsid w:val="008264EB"/>
    <w:rsid w:val="008268CE"/>
    <w:rsid w:val="008275C1"/>
    <w:rsid w:val="00827C23"/>
    <w:rsid w:val="00831049"/>
    <w:rsid w:val="008312F0"/>
    <w:rsid w:val="00833B05"/>
    <w:rsid w:val="008343C1"/>
    <w:rsid w:val="00834519"/>
    <w:rsid w:val="00834C83"/>
    <w:rsid w:val="008362B4"/>
    <w:rsid w:val="00837024"/>
    <w:rsid w:val="00840CA2"/>
    <w:rsid w:val="00841803"/>
    <w:rsid w:val="00841B6D"/>
    <w:rsid w:val="008420E2"/>
    <w:rsid w:val="00842866"/>
    <w:rsid w:val="008430AB"/>
    <w:rsid w:val="0084374F"/>
    <w:rsid w:val="00844A22"/>
    <w:rsid w:val="0084653D"/>
    <w:rsid w:val="00847703"/>
    <w:rsid w:val="00847DF5"/>
    <w:rsid w:val="00851F4C"/>
    <w:rsid w:val="0085309D"/>
    <w:rsid w:val="00856897"/>
    <w:rsid w:val="00856E9A"/>
    <w:rsid w:val="0086075D"/>
    <w:rsid w:val="008620A9"/>
    <w:rsid w:val="00862502"/>
    <w:rsid w:val="00862CC1"/>
    <w:rsid w:val="008642A7"/>
    <w:rsid w:val="00864644"/>
    <w:rsid w:val="00865143"/>
    <w:rsid w:val="008660D4"/>
    <w:rsid w:val="008677C6"/>
    <w:rsid w:val="00870947"/>
    <w:rsid w:val="00871DDB"/>
    <w:rsid w:val="00871FA9"/>
    <w:rsid w:val="008723DC"/>
    <w:rsid w:val="008728E9"/>
    <w:rsid w:val="00873048"/>
    <w:rsid w:val="0087323D"/>
    <w:rsid w:val="0087394C"/>
    <w:rsid w:val="00873CAA"/>
    <w:rsid w:val="00874C62"/>
    <w:rsid w:val="008750C4"/>
    <w:rsid w:val="00875997"/>
    <w:rsid w:val="008759DD"/>
    <w:rsid w:val="008765EC"/>
    <w:rsid w:val="00880107"/>
    <w:rsid w:val="00882874"/>
    <w:rsid w:val="00882E3C"/>
    <w:rsid w:val="0088308A"/>
    <w:rsid w:val="00883787"/>
    <w:rsid w:val="0088452D"/>
    <w:rsid w:val="0088554D"/>
    <w:rsid w:val="008855E4"/>
    <w:rsid w:val="00885E08"/>
    <w:rsid w:val="00886CD2"/>
    <w:rsid w:val="00890FBD"/>
    <w:rsid w:val="00891E6F"/>
    <w:rsid w:val="0089275D"/>
    <w:rsid w:val="00892A36"/>
    <w:rsid w:val="00893239"/>
    <w:rsid w:val="00894489"/>
    <w:rsid w:val="0089478D"/>
    <w:rsid w:val="00894CD6"/>
    <w:rsid w:val="008963A5"/>
    <w:rsid w:val="00896D5D"/>
    <w:rsid w:val="00897183"/>
    <w:rsid w:val="008A256B"/>
    <w:rsid w:val="008A3158"/>
    <w:rsid w:val="008A3311"/>
    <w:rsid w:val="008A3363"/>
    <w:rsid w:val="008A3371"/>
    <w:rsid w:val="008A3C3E"/>
    <w:rsid w:val="008A79DE"/>
    <w:rsid w:val="008A7FEE"/>
    <w:rsid w:val="008B1757"/>
    <w:rsid w:val="008B1C33"/>
    <w:rsid w:val="008B4B6F"/>
    <w:rsid w:val="008B60B8"/>
    <w:rsid w:val="008B7992"/>
    <w:rsid w:val="008B7D7E"/>
    <w:rsid w:val="008C22F9"/>
    <w:rsid w:val="008C3773"/>
    <w:rsid w:val="008C4FCC"/>
    <w:rsid w:val="008C511B"/>
    <w:rsid w:val="008C5610"/>
    <w:rsid w:val="008C5739"/>
    <w:rsid w:val="008C7282"/>
    <w:rsid w:val="008C7ECB"/>
    <w:rsid w:val="008D3B86"/>
    <w:rsid w:val="008D4391"/>
    <w:rsid w:val="008D43FD"/>
    <w:rsid w:val="008D4755"/>
    <w:rsid w:val="008D4C3D"/>
    <w:rsid w:val="008D5824"/>
    <w:rsid w:val="008D6CA5"/>
    <w:rsid w:val="008D705F"/>
    <w:rsid w:val="008D743C"/>
    <w:rsid w:val="008E0774"/>
    <w:rsid w:val="008E0D3C"/>
    <w:rsid w:val="008E12CD"/>
    <w:rsid w:val="008E14F7"/>
    <w:rsid w:val="008E1B61"/>
    <w:rsid w:val="008E1B9E"/>
    <w:rsid w:val="008E55AB"/>
    <w:rsid w:val="008E5659"/>
    <w:rsid w:val="008E5F2E"/>
    <w:rsid w:val="008E6D3B"/>
    <w:rsid w:val="008E75C7"/>
    <w:rsid w:val="008F120A"/>
    <w:rsid w:val="008F2389"/>
    <w:rsid w:val="008F27E0"/>
    <w:rsid w:val="008F2DA3"/>
    <w:rsid w:val="008F2FB3"/>
    <w:rsid w:val="008F3C2B"/>
    <w:rsid w:val="008F47DF"/>
    <w:rsid w:val="008F48EB"/>
    <w:rsid w:val="008F48F6"/>
    <w:rsid w:val="008F4F0B"/>
    <w:rsid w:val="008F5D7B"/>
    <w:rsid w:val="008F5E59"/>
    <w:rsid w:val="008F6FDB"/>
    <w:rsid w:val="00901E0D"/>
    <w:rsid w:val="00901E99"/>
    <w:rsid w:val="00904652"/>
    <w:rsid w:val="009046C4"/>
    <w:rsid w:val="00905C71"/>
    <w:rsid w:val="009062A5"/>
    <w:rsid w:val="009069F7"/>
    <w:rsid w:val="00907699"/>
    <w:rsid w:val="009079AA"/>
    <w:rsid w:val="00910FA7"/>
    <w:rsid w:val="00911272"/>
    <w:rsid w:val="00911339"/>
    <w:rsid w:val="009135D6"/>
    <w:rsid w:val="00914C77"/>
    <w:rsid w:val="00917631"/>
    <w:rsid w:val="00917C7F"/>
    <w:rsid w:val="00921ACB"/>
    <w:rsid w:val="0092369B"/>
    <w:rsid w:val="009276C0"/>
    <w:rsid w:val="00927EF8"/>
    <w:rsid w:val="00930CDB"/>
    <w:rsid w:val="00934988"/>
    <w:rsid w:val="00934C65"/>
    <w:rsid w:val="00935076"/>
    <w:rsid w:val="00937089"/>
    <w:rsid w:val="00937DB4"/>
    <w:rsid w:val="00944F8A"/>
    <w:rsid w:val="009459F7"/>
    <w:rsid w:val="00945FD7"/>
    <w:rsid w:val="009462FE"/>
    <w:rsid w:val="009465B7"/>
    <w:rsid w:val="00950832"/>
    <w:rsid w:val="00950DE8"/>
    <w:rsid w:val="009510A2"/>
    <w:rsid w:val="00951D0F"/>
    <w:rsid w:val="00953257"/>
    <w:rsid w:val="0095474C"/>
    <w:rsid w:val="009548C3"/>
    <w:rsid w:val="009558DD"/>
    <w:rsid w:val="00955A23"/>
    <w:rsid w:val="00955F00"/>
    <w:rsid w:val="009561C3"/>
    <w:rsid w:val="0095790F"/>
    <w:rsid w:val="00957D92"/>
    <w:rsid w:val="00962CB9"/>
    <w:rsid w:val="00964312"/>
    <w:rsid w:val="00964480"/>
    <w:rsid w:val="00965B8A"/>
    <w:rsid w:val="00965EB4"/>
    <w:rsid w:val="0097071F"/>
    <w:rsid w:val="009717AC"/>
    <w:rsid w:val="00973B66"/>
    <w:rsid w:val="00973C15"/>
    <w:rsid w:val="009751C1"/>
    <w:rsid w:val="009811F1"/>
    <w:rsid w:val="0098261C"/>
    <w:rsid w:val="00983E57"/>
    <w:rsid w:val="009842DB"/>
    <w:rsid w:val="0098541A"/>
    <w:rsid w:val="00985677"/>
    <w:rsid w:val="00985DE2"/>
    <w:rsid w:val="0098675D"/>
    <w:rsid w:val="00986964"/>
    <w:rsid w:val="00987801"/>
    <w:rsid w:val="00987BA4"/>
    <w:rsid w:val="00987EF8"/>
    <w:rsid w:val="00990DAA"/>
    <w:rsid w:val="009920CA"/>
    <w:rsid w:val="009926E0"/>
    <w:rsid w:val="0099451E"/>
    <w:rsid w:val="009951E3"/>
    <w:rsid w:val="00995EC2"/>
    <w:rsid w:val="00996B1A"/>
    <w:rsid w:val="00996FA8"/>
    <w:rsid w:val="009A18F6"/>
    <w:rsid w:val="009A2DCC"/>
    <w:rsid w:val="009A3A18"/>
    <w:rsid w:val="009A5ABC"/>
    <w:rsid w:val="009A6606"/>
    <w:rsid w:val="009A7023"/>
    <w:rsid w:val="009A7F10"/>
    <w:rsid w:val="009B18C5"/>
    <w:rsid w:val="009B387F"/>
    <w:rsid w:val="009B3E26"/>
    <w:rsid w:val="009B5EC0"/>
    <w:rsid w:val="009B686B"/>
    <w:rsid w:val="009C01EA"/>
    <w:rsid w:val="009C030B"/>
    <w:rsid w:val="009C1271"/>
    <w:rsid w:val="009C3231"/>
    <w:rsid w:val="009C3449"/>
    <w:rsid w:val="009C3706"/>
    <w:rsid w:val="009C3A3A"/>
    <w:rsid w:val="009C5676"/>
    <w:rsid w:val="009C6798"/>
    <w:rsid w:val="009C6CEA"/>
    <w:rsid w:val="009C7B85"/>
    <w:rsid w:val="009D0254"/>
    <w:rsid w:val="009D1A64"/>
    <w:rsid w:val="009D5B91"/>
    <w:rsid w:val="009D792E"/>
    <w:rsid w:val="009E017A"/>
    <w:rsid w:val="009E0183"/>
    <w:rsid w:val="009E0DFE"/>
    <w:rsid w:val="009E0F67"/>
    <w:rsid w:val="009E1483"/>
    <w:rsid w:val="009E15C4"/>
    <w:rsid w:val="009E26C7"/>
    <w:rsid w:val="009E2C2F"/>
    <w:rsid w:val="009E31F6"/>
    <w:rsid w:val="009E3D59"/>
    <w:rsid w:val="009E46CF"/>
    <w:rsid w:val="009E4C07"/>
    <w:rsid w:val="009E777F"/>
    <w:rsid w:val="009F0D5A"/>
    <w:rsid w:val="009F17B7"/>
    <w:rsid w:val="009F1CB1"/>
    <w:rsid w:val="009F2CB9"/>
    <w:rsid w:val="009F3838"/>
    <w:rsid w:val="009F6120"/>
    <w:rsid w:val="009F626B"/>
    <w:rsid w:val="00A00D76"/>
    <w:rsid w:val="00A01184"/>
    <w:rsid w:val="00A01449"/>
    <w:rsid w:val="00A031D8"/>
    <w:rsid w:val="00A037C2"/>
    <w:rsid w:val="00A03D43"/>
    <w:rsid w:val="00A04380"/>
    <w:rsid w:val="00A04786"/>
    <w:rsid w:val="00A05472"/>
    <w:rsid w:val="00A05C32"/>
    <w:rsid w:val="00A0653F"/>
    <w:rsid w:val="00A11CD0"/>
    <w:rsid w:val="00A13727"/>
    <w:rsid w:val="00A13948"/>
    <w:rsid w:val="00A13B1C"/>
    <w:rsid w:val="00A1555B"/>
    <w:rsid w:val="00A155C5"/>
    <w:rsid w:val="00A16AD8"/>
    <w:rsid w:val="00A2021E"/>
    <w:rsid w:val="00A20AAA"/>
    <w:rsid w:val="00A21C95"/>
    <w:rsid w:val="00A21CF3"/>
    <w:rsid w:val="00A24813"/>
    <w:rsid w:val="00A2793D"/>
    <w:rsid w:val="00A27AEC"/>
    <w:rsid w:val="00A27F79"/>
    <w:rsid w:val="00A30D6D"/>
    <w:rsid w:val="00A320DB"/>
    <w:rsid w:val="00A35BDE"/>
    <w:rsid w:val="00A35D16"/>
    <w:rsid w:val="00A37BCD"/>
    <w:rsid w:val="00A40030"/>
    <w:rsid w:val="00A41689"/>
    <w:rsid w:val="00A42592"/>
    <w:rsid w:val="00A4313D"/>
    <w:rsid w:val="00A43C59"/>
    <w:rsid w:val="00A445CC"/>
    <w:rsid w:val="00A4467C"/>
    <w:rsid w:val="00A44724"/>
    <w:rsid w:val="00A4500F"/>
    <w:rsid w:val="00A50BFB"/>
    <w:rsid w:val="00A50ECD"/>
    <w:rsid w:val="00A518F3"/>
    <w:rsid w:val="00A519E4"/>
    <w:rsid w:val="00A52729"/>
    <w:rsid w:val="00A53675"/>
    <w:rsid w:val="00A5498F"/>
    <w:rsid w:val="00A554BF"/>
    <w:rsid w:val="00A55DD5"/>
    <w:rsid w:val="00A564D7"/>
    <w:rsid w:val="00A56B6A"/>
    <w:rsid w:val="00A57317"/>
    <w:rsid w:val="00A578DC"/>
    <w:rsid w:val="00A57EDC"/>
    <w:rsid w:val="00A60186"/>
    <w:rsid w:val="00A6181C"/>
    <w:rsid w:val="00A62F84"/>
    <w:rsid w:val="00A640E2"/>
    <w:rsid w:val="00A64D65"/>
    <w:rsid w:val="00A669BD"/>
    <w:rsid w:val="00A66A2F"/>
    <w:rsid w:val="00A6725B"/>
    <w:rsid w:val="00A67E12"/>
    <w:rsid w:val="00A70605"/>
    <w:rsid w:val="00A718F4"/>
    <w:rsid w:val="00A72520"/>
    <w:rsid w:val="00A73134"/>
    <w:rsid w:val="00A73572"/>
    <w:rsid w:val="00A7365A"/>
    <w:rsid w:val="00A76001"/>
    <w:rsid w:val="00A777B2"/>
    <w:rsid w:val="00A778DA"/>
    <w:rsid w:val="00A811CC"/>
    <w:rsid w:val="00A825D4"/>
    <w:rsid w:val="00A828F6"/>
    <w:rsid w:val="00A82B73"/>
    <w:rsid w:val="00A85449"/>
    <w:rsid w:val="00A86E8B"/>
    <w:rsid w:val="00A8712F"/>
    <w:rsid w:val="00A87164"/>
    <w:rsid w:val="00A871A9"/>
    <w:rsid w:val="00A92BD3"/>
    <w:rsid w:val="00A93072"/>
    <w:rsid w:val="00A938BD"/>
    <w:rsid w:val="00A93953"/>
    <w:rsid w:val="00A94DE7"/>
    <w:rsid w:val="00A959D8"/>
    <w:rsid w:val="00AA113D"/>
    <w:rsid w:val="00AA1149"/>
    <w:rsid w:val="00AA151F"/>
    <w:rsid w:val="00AA32B2"/>
    <w:rsid w:val="00AA32D3"/>
    <w:rsid w:val="00AA3C4D"/>
    <w:rsid w:val="00AA6262"/>
    <w:rsid w:val="00AA6BD5"/>
    <w:rsid w:val="00AA6BD8"/>
    <w:rsid w:val="00AA6C7D"/>
    <w:rsid w:val="00AA7FD6"/>
    <w:rsid w:val="00AB042A"/>
    <w:rsid w:val="00AB0B01"/>
    <w:rsid w:val="00AB11AD"/>
    <w:rsid w:val="00AB19EF"/>
    <w:rsid w:val="00AB1DE0"/>
    <w:rsid w:val="00AB2495"/>
    <w:rsid w:val="00AB2D34"/>
    <w:rsid w:val="00AB3430"/>
    <w:rsid w:val="00AB37B9"/>
    <w:rsid w:val="00AB42AC"/>
    <w:rsid w:val="00AB4AD1"/>
    <w:rsid w:val="00AB5E07"/>
    <w:rsid w:val="00AB5EF1"/>
    <w:rsid w:val="00AB640C"/>
    <w:rsid w:val="00AB7CFA"/>
    <w:rsid w:val="00AC10D0"/>
    <w:rsid w:val="00AC5B42"/>
    <w:rsid w:val="00AC5B48"/>
    <w:rsid w:val="00AC6211"/>
    <w:rsid w:val="00AC7010"/>
    <w:rsid w:val="00AD1450"/>
    <w:rsid w:val="00AD15E8"/>
    <w:rsid w:val="00AD2644"/>
    <w:rsid w:val="00AD356D"/>
    <w:rsid w:val="00AD3FFA"/>
    <w:rsid w:val="00AD581D"/>
    <w:rsid w:val="00AD6502"/>
    <w:rsid w:val="00AD69D6"/>
    <w:rsid w:val="00AE0695"/>
    <w:rsid w:val="00AE1044"/>
    <w:rsid w:val="00AE25D3"/>
    <w:rsid w:val="00AE3E7E"/>
    <w:rsid w:val="00AE7E53"/>
    <w:rsid w:val="00AF0097"/>
    <w:rsid w:val="00AF02FD"/>
    <w:rsid w:val="00AF1315"/>
    <w:rsid w:val="00AF19BF"/>
    <w:rsid w:val="00AF2DC3"/>
    <w:rsid w:val="00AF30D1"/>
    <w:rsid w:val="00AF48CF"/>
    <w:rsid w:val="00AF49AA"/>
    <w:rsid w:val="00AF7068"/>
    <w:rsid w:val="00B016D2"/>
    <w:rsid w:val="00B033E5"/>
    <w:rsid w:val="00B03A63"/>
    <w:rsid w:val="00B043EA"/>
    <w:rsid w:val="00B06A46"/>
    <w:rsid w:val="00B12695"/>
    <w:rsid w:val="00B129A4"/>
    <w:rsid w:val="00B1375C"/>
    <w:rsid w:val="00B1487C"/>
    <w:rsid w:val="00B15518"/>
    <w:rsid w:val="00B15813"/>
    <w:rsid w:val="00B1583E"/>
    <w:rsid w:val="00B164C2"/>
    <w:rsid w:val="00B168FC"/>
    <w:rsid w:val="00B201A4"/>
    <w:rsid w:val="00B201D1"/>
    <w:rsid w:val="00B213A6"/>
    <w:rsid w:val="00B235B0"/>
    <w:rsid w:val="00B24DF6"/>
    <w:rsid w:val="00B271EA"/>
    <w:rsid w:val="00B27A61"/>
    <w:rsid w:val="00B30BA5"/>
    <w:rsid w:val="00B345C1"/>
    <w:rsid w:val="00B34FE2"/>
    <w:rsid w:val="00B35166"/>
    <w:rsid w:val="00B357D8"/>
    <w:rsid w:val="00B360F4"/>
    <w:rsid w:val="00B36A00"/>
    <w:rsid w:val="00B36A95"/>
    <w:rsid w:val="00B3792B"/>
    <w:rsid w:val="00B37BFC"/>
    <w:rsid w:val="00B37CFA"/>
    <w:rsid w:val="00B40358"/>
    <w:rsid w:val="00B41614"/>
    <w:rsid w:val="00B41E0C"/>
    <w:rsid w:val="00B42851"/>
    <w:rsid w:val="00B42F80"/>
    <w:rsid w:val="00B435CB"/>
    <w:rsid w:val="00B436B1"/>
    <w:rsid w:val="00B44989"/>
    <w:rsid w:val="00B465EC"/>
    <w:rsid w:val="00B47405"/>
    <w:rsid w:val="00B505C8"/>
    <w:rsid w:val="00B50D32"/>
    <w:rsid w:val="00B50DB8"/>
    <w:rsid w:val="00B51435"/>
    <w:rsid w:val="00B53299"/>
    <w:rsid w:val="00B53654"/>
    <w:rsid w:val="00B53905"/>
    <w:rsid w:val="00B546DB"/>
    <w:rsid w:val="00B54B5B"/>
    <w:rsid w:val="00B5511A"/>
    <w:rsid w:val="00B5562E"/>
    <w:rsid w:val="00B55862"/>
    <w:rsid w:val="00B55D65"/>
    <w:rsid w:val="00B5602A"/>
    <w:rsid w:val="00B56305"/>
    <w:rsid w:val="00B57000"/>
    <w:rsid w:val="00B5768A"/>
    <w:rsid w:val="00B602BB"/>
    <w:rsid w:val="00B60939"/>
    <w:rsid w:val="00B60AFD"/>
    <w:rsid w:val="00B62715"/>
    <w:rsid w:val="00B62971"/>
    <w:rsid w:val="00B6339A"/>
    <w:rsid w:val="00B635DC"/>
    <w:rsid w:val="00B64342"/>
    <w:rsid w:val="00B6441A"/>
    <w:rsid w:val="00B64851"/>
    <w:rsid w:val="00B64E51"/>
    <w:rsid w:val="00B65611"/>
    <w:rsid w:val="00B65B9F"/>
    <w:rsid w:val="00B66755"/>
    <w:rsid w:val="00B66A87"/>
    <w:rsid w:val="00B66C42"/>
    <w:rsid w:val="00B678D4"/>
    <w:rsid w:val="00B70E8E"/>
    <w:rsid w:val="00B71432"/>
    <w:rsid w:val="00B75423"/>
    <w:rsid w:val="00B76C92"/>
    <w:rsid w:val="00B80EFD"/>
    <w:rsid w:val="00B81153"/>
    <w:rsid w:val="00B818A4"/>
    <w:rsid w:val="00B8349D"/>
    <w:rsid w:val="00B83739"/>
    <w:rsid w:val="00B83ACF"/>
    <w:rsid w:val="00B84117"/>
    <w:rsid w:val="00B858F0"/>
    <w:rsid w:val="00B85AA2"/>
    <w:rsid w:val="00B8649C"/>
    <w:rsid w:val="00B8695D"/>
    <w:rsid w:val="00B87DA3"/>
    <w:rsid w:val="00B87DAF"/>
    <w:rsid w:val="00B87F0A"/>
    <w:rsid w:val="00B90046"/>
    <w:rsid w:val="00B92D0B"/>
    <w:rsid w:val="00B94730"/>
    <w:rsid w:val="00B948AF"/>
    <w:rsid w:val="00B94945"/>
    <w:rsid w:val="00B94DD6"/>
    <w:rsid w:val="00B95971"/>
    <w:rsid w:val="00B97285"/>
    <w:rsid w:val="00BA322D"/>
    <w:rsid w:val="00BA3BF8"/>
    <w:rsid w:val="00BA3CD2"/>
    <w:rsid w:val="00BA50D0"/>
    <w:rsid w:val="00BA63FA"/>
    <w:rsid w:val="00BB00B3"/>
    <w:rsid w:val="00BB0BDD"/>
    <w:rsid w:val="00BB0F17"/>
    <w:rsid w:val="00BB176C"/>
    <w:rsid w:val="00BB1A2C"/>
    <w:rsid w:val="00BB2A73"/>
    <w:rsid w:val="00BB3A45"/>
    <w:rsid w:val="00BB3BC8"/>
    <w:rsid w:val="00BB4ACC"/>
    <w:rsid w:val="00BB703E"/>
    <w:rsid w:val="00BB732D"/>
    <w:rsid w:val="00BB7405"/>
    <w:rsid w:val="00BC000C"/>
    <w:rsid w:val="00BC22B7"/>
    <w:rsid w:val="00BC3631"/>
    <w:rsid w:val="00BC383C"/>
    <w:rsid w:val="00BC4004"/>
    <w:rsid w:val="00BC591F"/>
    <w:rsid w:val="00BC77C3"/>
    <w:rsid w:val="00BC7D6D"/>
    <w:rsid w:val="00BD0413"/>
    <w:rsid w:val="00BD2108"/>
    <w:rsid w:val="00BD3048"/>
    <w:rsid w:val="00BD5E9B"/>
    <w:rsid w:val="00BD68A3"/>
    <w:rsid w:val="00BD6938"/>
    <w:rsid w:val="00BD6CF3"/>
    <w:rsid w:val="00BD7F72"/>
    <w:rsid w:val="00BE012B"/>
    <w:rsid w:val="00BE0273"/>
    <w:rsid w:val="00BE0ECA"/>
    <w:rsid w:val="00BE1000"/>
    <w:rsid w:val="00BE190E"/>
    <w:rsid w:val="00BE2180"/>
    <w:rsid w:val="00BE21F2"/>
    <w:rsid w:val="00BE4275"/>
    <w:rsid w:val="00BE4A68"/>
    <w:rsid w:val="00BE6F60"/>
    <w:rsid w:val="00BF06AE"/>
    <w:rsid w:val="00BF0F95"/>
    <w:rsid w:val="00BF0FCC"/>
    <w:rsid w:val="00BF1A79"/>
    <w:rsid w:val="00BF2433"/>
    <w:rsid w:val="00BF2E6E"/>
    <w:rsid w:val="00BF3102"/>
    <w:rsid w:val="00BF3BF2"/>
    <w:rsid w:val="00BF485E"/>
    <w:rsid w:val="00BF61C9"/>
    <w:rsid w:val="00BF6C94"/>
    <w:rsid w:val="00C00424"/>
    <w:rsid w:val="00C00BB0"/>
    <w:rsid w:val="00C021C7"/>
    <w:rsid w:val="00C0546C"/>
    <w:rsid w:val="00C05B52"/>
    <w:rsid w:val="00C06569"/>
    <w:rsid w:val="00C07E0D"/>
    <w:rsid w:val="00C1179F"/>
    <w:rsid w:val="00C11ED7"/>
    <w:rsid w:val="00C121B6"/>
    <w:rsid w:val="00C127B9"/>
    <w:rsid w:val="00C128FA"/>
    <w:rsid w:val="00C12982"/>
    <w:rsid w:val="00C12C14"/>
    <w:rsid w:val="00C145A9"/>
    <w:rsid w:val="00C1467D"/>
    <w:rsid w:val="00C15F04"/>
    <w:rsid w:val="00C179B3"/>
    <w:rsid w:val="00C17E3F"/>
    <w:rsid w:val="00C200AA"/>
    <w:rsid w:val="00C237ED"/>
    <w:rsid w:val="00C23893"/>
    <w:rsid w:val="00C2401E"/>
    <w:rsid w:val="00C24632"/>
    <w:rsid w:val="00C25418"/>
    <w:rsid w:val="00C25D9C"/>
    <w:rsid w:val="00C2778B"/>
    <w:rsid w:val="00C31649"/>
    <w:rsid w:val="00C31C6D"/>
    <w:rsid w:val="00C31F4A"/>
    <w:rsid w:val="00C3434C"/>
    <w:rsid w:val="00C344CE"/>
    <w:rsid w:val="00C364E8"/>
    <w:rsid w:val="00C36629"/>
    <w:rsid w:val="00C36864"/>
    <w:rsid w:val="00C40385"/>
    <w:rsid w:val="00C40EA9"/>
    <w:rsid w:val="00C41768"/>
    <w:rsid w:val="00C454FB"/>
    <w:rsid w:val="00C4640F"/>
    <w:rsid w:val="00C46E53"/>
    <w:rsid w:val="00C475AA"/>
    <w:rsid w:val="00C50E84"/>
    <w:rsid w:val="00C51773"/>
    <w:rsid w:val="00C527C7"/>
    <w:rsid w:val="00C53C98"/>
    <w:rsid w:val="00C54366"/>
    <w:rsid w:val="00C56FCF"/>
    <w:rsid w:val="00C57172"/>
    <w:rsid w:val="00C5785C"/>
    <w:rsid w:val="00C57B6C"/>
    <w:rsid w:val="00C57CCF"/>
    <w:rsid w:val="00C609EA"/>
    <w:rsid w:val="00C6194F"/>
    <w:rsid w:val="00C61A59"/>
    <w:rsid w:val="00C628A6"/>
    <w:rsid w:val="00C63014"/>
    <w:rsid w:val="00C64344"/>
    <w:rsid w:val="00C65108"/>
    <w:rsid w:val="00C65576"/>
    <w:rsid w:val="00C66165"/>
    <w:rsid w:val="00C7060A"/>
    <w:rsid w:val="00C7151A"/>
    <w:rsid w:val="00C717E3"/>
    <w:rsid w:val="00C71F60"/>
    <w:rsid w:val="00C72241"/>
    <w:rsid w:val="00C750C8"/>
    <w:rsid w:val="00C75471"/>
    <w:rsid w:val="00C7560F"/>
    <w:rsid w:val="00C771D7"/>
    <w:rsid w:val="00C77F96"/>
    <w:rsid w:val="00C80A0E"/>
    <w:rsid w:val="00C82053"/>
    <w:rsid w:val="00C8213F"/>
    <w:rsid w:val="00C8297B"/>
    <w:rsid w:val="00C82AC8"/>
    <w:rsid w:val="00C8303F"/>
    <w:rsid w:val="00C85154"/>
    <w:rsid w:val="00C852B0"/>
    <w:rsid w:val="00C85A70"/>
    <w:rsid w:val="00C85EF8"/>
    <w:rsid w:val="00C8696A"/>
    <w:rsid w:val="00C86ABE"/>
    <w:rsid w:val="00C86D66"/>
    <w:rsid w:val="00C878AD"/>
    <w:rsid w:val="00C8797A"/>
    <w:rsid w:val="00C900B8"/>
    <w:rsid w:val="00C90197"/>
    <w:rsid w:val="00C90569"/>
    <w:rsid w:val="00C90C71"/>
    <w:rsid w:val="00C91FD1"/>
    <w:rsid w:val="00C931CF"/>
    <w:rsid w:val="00C938CF"/>
    <w:rsid w:val="00C94053"/>
    <w:rsid w:val="00C9624D"/>
    <w:rsid w:val="00C969DA"/>
    <w:rsid w:val="00CA168F"/>
    <w:rsid w:val="00CA2C77"/>
    <w:rsid w:val="00CA331E"/>
    <w:rsid w:val="00CA3C7C"/>
    <w:rsid w:val="00CA4203"/>
    <w:rsid w:val="00CA444F"/>
    <w:rsid w:val="00CA5245"/>
    <w:rsid w:val="00CA71F4"/>
    <w:rsid w:val="00CA788E"/>
    <w:rsid w:val="00CA7B09"/>
    <w:rsid w:val="00CB019C"/>
    <w:rsid w:val="00CB12A5"/>
    <w:rsid w:val="00CB1CAC"/>
    <w:rsid w:val="00CB2AC3"/>
    <w:rsid w:val="00CB2F2A"/>
    <w:rsid w:val="00CB36DC"/>
    <w:rsid w:val="00CB469E"/>
    <w:rsid w:val="00CB4E84"/>
    <w:rsid w:val="00CB5B1A"/>
    <w:rsid w:val="00CB6B22"/>
    <w:rsid w:val="00CB73BB"/>
    <w:rsid w:val="00CB7F5F"/>
    <w:rsid w:val="00CC1B39"/>
    <w:rsid w:val="00CC1BFA"/>
    <w:rsid w:val="00CC2E9F"/>
    <w:rsid w:val="00CC35EA"/>
    <w:rsid w:val="00CC3848"/>
    <w:rsid w:val="00CC4C8C"/>
    <w:rsid w:val="00CC5C59"/>
    <w:rsid w:val="00CC6D5E"/>
    <w:rsid w:val="00CD0200"/>
    <w:rsid w:val="00CD06A2"/>
    <w:rsid w:val="00CD3F77"/>
    <w:rsid w:val="00CD6ADC"/>
    <w:rsid w:val="00CD7193"/>
    <w:rsid w:val="00CD76FC"/>
    <w:rsid w:val="00CD7DE9"/>
    <w:rsid w:val="00CE38C8"/>
    <w:rsid w:val="00CE524F"/>
    <w:rsid w:val="00CE5639"/>
    <w:rsid w:val="00CE56F9"/>
    <w:rsid w:val="00CE58CC"/>
    <w:rsid w:val="00CE5DE0"/>
    <w:rsid w:val="00CE60F7"/>
    <w:rsid w:val="00CE6274"/>
    <w:rsid w:val="00CE63BA"/>
    <w:rsid w:val="00CE77B6"/>
    <w:rsid w:val="00CF1801"/>
    <w:rsid w:val="00CF2B8D"/>
    <w:rsid w:val="00CF3A1B"/>
    <w:rsid w:val="00CF456B"/>
    <w:rsid w:val="00CF5774"/>
    <w:rsid w:val="00CF5A22"/>
    <w:rsid w:val="00CF74E9"/>
    <w:rsid w:val="00D0262E"/>
    <w:rsid w:val="00D03679"/>
    <w:rsid w:val="00D04870"/>
    <w:rsid w:val="00D05E3D"/>
    <w:rsid w:val="00D06139"/>
    <w:rsid w:val="00D06324"/>
    <w:rsid w:val="00D06373"/>
    <w:rsid w:val="00D0681F"/>
    <w:rsid w:val="00D110BD"/>
    <w:rsid w:val="00D12F57"/>
    <w:rsid w:val="00D13675"/>
    <w:rsid w:val="00D13DE9"/>
    <w:rsid w:val="00D141E1"/>
    <w:rsid w:val="00D14774"/>
    <w:rsid w:val="00D1492A"/>
    <w:rsid w:val="00D15314"/>
    <w:rsid w:val="00D15B48"/>
    <w:rsid w:val="00D17D6C"/>
    <w:rsid w:val="00D213A9"/>
    <w:rsid w:val="00D2155B"/>
    <w:rsid w:val="00D21EE9"/>
    <w:rsid w:val="00D228B0"/>
    <w:rsid w:val="00D236A4"/>
    <w:rsid w:val="00D23D11"/>
    <w:rsid w:val="00D244B6"/>
    <w:rsid w:val="00D2754D"/>
    <w:rsid w:val="00D27B27"/>
    <w:rsid w:val="00D30D5B"/>
    <w:rsid w:val="00D30F16"/>
    <w:rsid w:val="00D3366A"/>
    <w:rsid w:val="00D33BE9"/>
    <w:rsid w:val="00D33F93"/>
    <w:rsid w:val="00D357FF"/>
    <w:rsid w:val="00D36E25"/>
    <w:rsid w:val="00D370CA"/>
    <w:rsid w:val="00D41C0E"/>
    <w:rsid w:val="00D424C7"/>
    <w:rsid w:val="00D43B2A"/>
    <w:rsid w:val="00D43CF1"/>
    <w:rsid w:val="00D43D83"/>
    <w:rsid w:val="00D44313"/>
    <w:rsid w:val="00D44932"/>
    <w:rsid w:val="00D449C4"/>
    <w:rsid w:val="00D47575"/>
    <w:rsid w:val="00D50D44"/>
    <w:rsid w:val="00D5243B"/>
    <w:rsid w:val="00D533EC"/>
    <w:rsid w:val="00D55ECC"/>
    <w:rsid w:val="00D56A95"/>
    <w:rsid w:val="00D6076E"/>
    <w:rsid w:val="00D627AA"/>
    <w:rsid w:val="00D70F16"/>
    <w:rsid w:val="00D71F28"/>
    <w:rsid w:val="00D72617"/>
    <w:rsid w:val="00D726FA"/>
    <w:rsid w:val="00D72F57"/>
    <w:rsid w:val="00D76A44"/>
    <w:rsid w:val="00D77CFC"/>
    <w:rsid w:val="00D815EF"/>
    <w:rsid w:val="00D81949"/>
    <w:rsid w:val="00D81F26"/>
    <w:rsid w:val="00D822E2"/>
    <w:rsid w:val="00D83F15"/>
    <w:rsid w:val="00D843F2"/>
    <w:rsid w:val="00D86231"/>
    <w:rsid w:val="00D912AB"/>
    <w:rsid w:val="00D91923"/>
    <w:rsid w:val="00D91B78"/>
    <w:rsid w:val="00D92E67"/>
    <w:rsid w:val="00D93753"/>
    <w:rsid w:val="00D967B8"/>
    <w:rsid w:val="00D967C0"/>
    <w:rsid w:val="00D97246"/>
    <w:rsid w:val="00DA0D78"/>
    <w:rsid w:val="00DA1297"/>
    <w:rsid w:val="00DA2B5B"/>
    <w:rsid w:val="00DA3167"/>
    <w:rsid w:val="00DA4DC3"/>
    <w:rsid w:val="00DA77A5"/>
    <w:rsid w:val="00DB0BFF"/>
    <w:rsid w:val="00DB0E2F"/>
    <w:rsid w:val="00DB0E36"/>
    <w:rsid w:val="00DB3DBF"/>
    <w:rsid w:val="00DB484F"/>
    <w:rsid w:val="00DB5F30"/>
    <w:rsid w:val="00DB65C6"/>
    <w:rsid w:val="00DC04F6"/>
    <w:rsid w:val="00DC0690"/>
    <w:rsid w:val="00DC0E3F"/>
    <w:rsid w:val="00DC173F"/>
    <w:rsid w:val="00DC1D65"/>
    <w:rsid w:val="00DC250E"/>
    <w:rsid w:val="00DC3C57"/>
    <w:rsid w:val="00DC40F5"/>
    <w:rsid w:val="00DC5501"/>
    <w:rsid w:val="00DC5DE4"/>
    <w:rsid w:val="00DC7154"/>
    <w:rsid w:val="00DC7E8A"/>
    <w:rsid w:val="00DD0F78"/>
    <w:rsid w:val="00DD273C"/>
    <w:rsid w:val="00DD3521"/>
    <w:rsid w:val="00DD3AD4"/>
    <w:rsid w:val="00DD3F28"/>
    <w:rsid w:val="00DD4418"/>
    <w:rsid w:val="00DD4446"/>
    <w:rsid w:val="00DD4537"/>
    <w:rsid w:val="00DD4E15"/>
    <w:rsid w:val="00DD5781"/>
    <w:rsid w:val="00DD5C6D"/>
    <w:rsid w:val="00DD60A7"/>
    <w:rsid w:val="00DD6FDC"/>
    <w:rsid w:val="00DD7F68"/>
    <w:rsid w:val="00DE009A"/>
    <w:rsid w:val="00DE115A"/>
    <w:rsid w:val="00DE13DA"/>
    <w:rsid w:val="00DE2304"/>
    <w:rsid w:val="00DE2309"/>
    <w:rsid w:val="00DE2559"/>
    <w:rsid w:val="00DE2923"/>
    <w:rsid w:val="00DE3138"/>
    <w:rsid w:val="00DE37F8"/>
    <w:rsid w:val="00DE4273"/>
    <w:rsid w:val="00DE45B0"/>
    <w:rsid w:val="00DE4774"/>
    <w:rsid w:val="00DE4FCB"/>
    <w:rsid w:val="00DE5D07"/>
    <w:rsid w:val="00DE72A7"/>
    <w:rsid w:val="00DE7832"/>
    <w:rsid w:val="00DE79B6"/>
    <w:rsid w:val="00DF18FC"/>
    <w:rsid w:val="00DF19AA"/>
    <w:rsid w:val="00DF4845"/>
    <w:rsid w:val="00DF5D2B"/>
    <w:rsid w:val="00DF6341"/>
    <w:rsid w:val="00DF7A39"/>
    <w:rsid w:val="00E00E8E"/>
    <w:rsid w:val="00E015D3"/>
    <w:rsid w:val="00E01FAE"/>
    <w:rsid w:val="00E028D0"/>
    <w:rsid w:val="00E0328C"/>
    <w:rsid w:val="00E03F01"/>
    <w:rsid w:val="00E0492B"/>
    <w:rsid w:val="00E04D9D"/>
    <w:rsid w:val="00E05630"/>
    <w:rsid w:val="00E05E7F"/>
    <w:rsid w:val="00E06DBB"/>
    <w:rsid w:val="00E06FC1"/>
    <w:rsid w:val="00E0709A"/>
    <w:rsid w:val="00E07FDE"/>
    <w:rsid w:val="00E10149"/>
    <w:rsid w:val="00E11340"/>
    <w:rsid w:val="00E122A1"/>
    <w:rsid w:val="00E128ED"/>
    <w:rsid w:val="00E1306A"/>
    <w:rsid w:val="00E13DBC"/>
    <w:rsid w:val="00E16372"/>
    <w:rsid w:val="00E167FD"/>
    <w:rsid w:val="00E16AD8"/>
    <w:rsid w:val="00E17FFA"/>
    <w:rsid w:val="00E20857"/>
    <w:rsid w:val="00E2095B"/>
    <w:rsid w:val="00E20E4D"/>
    <w:rsid w:val="00E20EA1"/>
    <w:rsid w:val="00E20ED6"/>
    <w:rsid w:val="00E21358"/>
    <w:rsid w:val="00E2249B"/>
    <w:rsid w:val="00E22A0D"/>
    <w:rsid w:val="00E23872"/>
    <w:rsid w:val="00E244F6"/>
    <w:rsid w:val="00E24A5A"/>
    <w:rsid w:val="00E24F35"/>
    <w:rsid w:val="00E25368"/>
    <w:rsid w:val="00E258DB"/>
    <w:rsid w:val="00E25D97"/>
    <w:rsid w:val="00E2771E"/>
    <w:rsid w:val="00E311EF"/>
    <w:rsid w:val="00E32180"/>
    <w:rsid w:val="00E33588"/>
    <w:rsid w:val="00E3358C"/>
    <w:rsid w:val="00E34948"/>
    <w:rsid w:val="00E3676C"/>
    <w:rsid w:val="00E36B44"/>
    <w:rsid w:val="00E37569"/>
    <w:rsid w:val="00E401B2"/>
    <w:rsid w:val="00E41E30"/>
    <w:rsid w:val="00E428F7"/>
    <w:rsid w:val="00E42F73"/>
    <w:rsid w:val="00E43D70"/>
    <w:rsid w:val="00E44959"/>
    <w:rsid w:val="00E44DA3"/>
    <w:rsid w:val="00E44E9D"/>
    <w:rsid w:val="00E466F3"/>
    <w:rsid w:val="00E473FC"/>
    <w:rsid w:val="00E47B2C"/>
    <w:rsid w:val="00E50B5A"/>
    <w:rsid w:val="00E50FDF"/>
    <w:rsid w:val="00E51560"/>
    <w:rsid w:val="00E51821"/>
    <w:rsid w:val="00E52EE5"/>
    <w:rsid w:val="00E53FC8"/>
    <w:rsid w:val="00E54347"/>
    <w:rsid w:val="00E55408"/>
    <w:rsid w:val="00E55424"/>
    <w:rsid w:val="00E55915"/>
    <w:rsid w:val="00E55BB5"/>
    <w:rsid w:val="00E611DF"/>
    <w:rsid w:val="00E6184B"/>
    <w:rsid w:val="00E639AE"/>
    <w:rsid w:val="00E659F0"/>
    <w:rsid w:val="00E65E79"/>
    <w:rsid w:val="00E66BA2"/>
    <w:rsid w:val="00E67416"/>
    <w:rsid w:val="00E718B6"/>
    <w:rsid w:val="00E723BA"/>
    <w:rsid w:val="00E72435"/>
    <w:rsid w:val="00E72450"/>
    <w:rsid w:val="00E73581"/>
    <w:rsid w:val="00E73BF6"/>
    <w:rsid w:val="00E7547D"/>
    <w:rsid w:val="00E75CFF"/>
    <w:rsid w:val="00E833F7"/>
    <w:rsid w:val="00E83BC8"/>
    <w:rsid w:val="00E83BDF"/>
    <w:rsid w:val="00E85EF9"/>
    <w:rsid w:val="00E86FCC"/>
    <w:rsid w:val="00E87A1D"/>
    <w:rsid w:val="00E9094A"/>
    <w:rsid w:val="00E91D35"/>
    <w:rsid w:val="00E926A5"/>
    <w:rsid w:val="00E93CE4"/>
    <w:rsid w:val="00E962CC"/>
    <w:rsid w:val="00E965A8"/>
    <w:rsid w:val="00EA0D1F"/>
    <w:rsid w:val="00EA17C3"/>
    <w:rsid w:val="00EA2CAA"/>
    <w:rsid w:val="00EA3864"/>
    <w:rsid w:val="00EA586D"/>
    <w:rsid w:val="00EA7F1C"/>
    <w:rsid w:val="00EB0AF6"/>
    <w:rsid w:val="00EB15B6"/>
    <w:rsid w:val="00EB3D06"/>
    <w:rsid w:val="00EB4916"/>
    <w:rsid w:val="00EB5E82"/>
    <w:rsid w:val="00EC00C9"/>
    <w:rsid w:val="00EC0DD9"/>
    <w:rsid w:val="00EC2649"/>
    <w:rsid w:val="00EC2CD2"/>
    <w:rsid w:val="00EC31ED"/>
    <w:rsid w:val="00EC3425"/>
    <w:rsid w:val="00EC3596"/>
    <w:rsid w:val="00EC36CA"/>
    <w:rsid w:val="00EC40AE"/>
    <w:rsid w:val="00EC5516"/>
    <w:rsid w:val="00EC5836"/>
    <w:rsid w:val="00EC58C1"/>
    <w:rsid w:val="00EC5986"/>
    <w:rsid w:val="00EC688C"/>
    <w:rsid w:val="00EC767F"/>
    <w:rsid w:val="00EC7B77"/>
    <w:rsid w:val="00ED12E3"/>
    <w:rsid w:val="00ED26E6"/>
    <w:rsid w:val="00ED2F1E"/>
    <w:rsid w:val="00ED4598"/>
    <w:rsid w:val="00ED49AA"/>
    <w:rsid w:val="00ED4B04"/>
    <w:rsid w:val="00ED57EA"/>
    <w:rsid w:val="00ED5BD4"/>
    <w:rsid w:val="00ED69EE"/>
    <w:rsid w:val="00ED7FF9"/>
    <w:rsid w:val="00EE07D3"/>
    <w:rsid w:val="00EE1846"/>
    <w:rsid w:val="00EE1996"/>
    <w:rsid w:val="00EE1C01"/>
    <w:rsid w:val="00EE22AF"/>
    <w:rsid w:val="00EE2885"/>
    <w:rsid w:val="00EE4C51"/>
    <w:rsid w:val="00EE62C4"/>
    <w:rsid w:val="00EE77E1"/>
    <w:rsid w:val="00EE7EE0"/>
    <w:rsid w:val="00EF0171"/>
    <w:rsid w:val="00EF1352"/>
    <w:rsid w:val="00EF1B25"/>
    <w:rsid w:val="00EF1DA0"/>
    <w:rsid w:val="00EF3050"/>
    <w:rsid w:val="00EF4747"/>
    <w:rsid w:val="00EF4BF8"/>
    <w:rsid w:val="00EF4D6E"/>
    <w:rsid w:val="00EF608F"/>
    <w:rsid w:val="00EF64AD"/>
    <w:rsid w:val="00EF7D4D"/>
    <w:rsid w:val="00F02253"/>
    <w:rsid w:val="00F02ACA"/>
    <w:rsid w:val="00F02B96"/>
    <w:rsid w:val="00F03B5A"/>
    <w:rsid w:val="00F03C2E"/>
    <w:rsid w:val="00F04A66"/>
    <w:rsid w:val="00F04B4B"/>
    <w:rsid w:val="00F04B57"/>
    <w:rsid w:val="00F0516C"/>
    <w:rsid w:val="00F067A2"/>
    <w:rsid w:val="00F07B9E"/>
    <w:rsid w:val="00F1116F"/>
    <w:rsid w:val="00F111F2"/>
    <w:rsid w:val="00F1263A"/>
    <w:rsid w:val="00F12B1C"/>
    <w:rsid w:val="00F139C5"/>
    <w:rsid w:val="00F15B77"/>
    <w:rsid w:val="00F17FC3"/>
    <w:rsid w:val="00F21236"/>
    <w:rsid w:val="00F21C0B"/>
    <w:rsid w:val="00F239DF"/>
    <w:rsid w:val="00F23DDB"/>
    <w:rsid w:val="00F24837"/>
    <w:rsid w:val="00F2575F"/>
    <w:rsid w:val="00F26A58"/>
    <w:rsid w:val="00F26E56"/>
    <w:rsid w:val="00F27565"/>
    <w:rsid w:val="00F3054D"/>
    <w:rsid w:val="00F310D4"/>
    <w:rsid w:val="00F31D5A"/>
    <w:rsid w:val="00F337F6"/>
    <w:rsid w:val="00F33975"/>
    <w:rsid w:val="00F33DE9"/>
    <w:rsid w:val="00F35092"/>
    <w:rsid w:val="00F35E6D"/>
    <w:rsid w:val="00F3619A"/>
    <w:rsid w:val="00F36AB2"/>
    <w:rsid w:val="00F36D6F"/>
    <w:rsid w:val="00F37649"/>
    <w:rsid w:val="00F40AAA"/>
    <w:rsid w:val="00F40BA7"/>
    <w:rsid w:val="00F40F9D"/>
    <w:rsid w:val="00F41ACD"/>
    <w:rsid w:val="00F41C5D"/>
    <w:rsid w:val="00F43E28"/>
    <w:rsid w:val="00F441FB"/>
    <w:rsid w:val="00F46CB6"/>
    <w:rsid w:val="00F4756D"/>
    <w:rsid w:val="00F47720"/>
    <w:rsid w:val="00F47DE8"/>
    <w:rsid w:val="00F51B69"/>
    <w:rsid w:val="00F542C1"/>
    <w:rsid w:val="00F550E3"/>
    <w:rsid w:val="00F55E73"/>
    <w:rsid w:val="00F55EDA"/>
    <w:rsid w:val="00F560F1"/>
    <w:rsid w:val="00F56518"/>
    <w:rsid w:val="00F56C80"/>
    <w:rsid w:val="00F60092"/>
    <w:rsid w:val="00F61C18"/>
    <w:rsid w:val="00F644A0"/>
    <w:rsid w:val="00F65F4B"/>
    <w:rsid w:val="00F666FA"/>
    <w:rsid w:val="00F67006"/>
    <w:rsid w:val="00F67A69"/>
    <w:rsid w:val="00F70BFF"/>
    <w:rsid w:val="00F70C9D"/>
    <w:rsid w:val="00F71415"/>
    <w:rsid w:val="00F715B9"/>
    <w:rsid w:val="00F72F58"/>
    <w:rsid w:val="00F73E08"/>
    <w:rsid w:val="00F74CD9"/>
    <w:rsid w:val="00F74E80"/>
    <w:rsid w:val="00F760FB"/>
    <w:rsid w:val="00F80A7B"/>
    <w:rsid w:val="00F80E5D"/>
    <w:rsid w:val="00F81E78"/>
    <w:rsid w:val="00F83916"/>
    <w:rsid w:val="00F843E3"/>
    <w:rsid w:val="00F84F1E"/>
    <w:rsid w:val="00F851CE"/>
    <w:rsid w:val="00F86AE4"/>
    <w:rsid w:val="00F91219"/>
    <w:rsid w:val="00F91639"/>
    <w:rsid w:val="00F92444"/>
    <w:rsid w:val="00F9393E"/>
    <w:rsid w:val="00F96FD0"/>
    <w:rsid w:val="00F971DD"/>
    <w:rsid w:val="00F97A78"/>
    <w:rsid w:val="00FA0201"/>
    <w:rsid w:val="00FA0B20"/>
    <w:rsid w:val="00FA0F12"/>
    <w:rsid w:val="00FA24E7"/>
    <w:rsid w:val="00FA2631"/>
    <w:rsid w:val="00FA5EE6"/>
    <w:rsid w:val="00FA7956"/>
    <w:rsid w:val="00FB0824"/>
    <w:rsid w:val="00FB2FCB"/>
    <w:rsid w:val="00FB4C9C"/>
    <w:rsid w:val="00FB6EA5"/>
    <w:rsid w:val="00FB7C55"/>
    <w:rsid w:val="00FC1074"/>
    <w:rsid w:val="00FC1884"/>
    <w:rsid w:val="00FC2199"/>
    <w:rsid w:val="00FC287A"/>
    <w:rsid w:val="00FC371D"/>
    <w:rsid w:val="00FC391B"/>
    <w:rsid w:val="00FC3BE3"/>
    <w:rsid w:val="00FC4BD4"/>
    <w:rsid w:val="00FC5F0B"/>
    <w:rsid w:val="00FC6EC9"/>
    <w:rsid w:val="00FD13D5"/>
    <w:rsid w:val="00FD1C01"/>
    <w:rsid w:val="00FD2100"/>
    <w:rsid w:val="00FD436C"/>
    <w:rsid w:val="00FD446D"/>
    <w:rsid w:val="00FD4F2C"/>
    <w:rsid w:val="00FD6394"/>
    <w:rsid w:val="00FD7C8A"/>
    <w:rsid w:val="00FE098F"/>
    <w:rsid w:val="00FE0E6C"/>
    <w:rsid w:val="00FE18EC"/>
    <w:rsid w:val="00FE1CDC"/>
    <w:rsid w:val="00FE4048"/>
    <w:rsid w:val="00FE54C3"/>
    <w:rsid w:val="00FE70C3"/>
    <w:rsid w:val="00FF1A8B"/>
    <w:rsid w:val="00FF25B7"/>
    <w:rsid w:val="00FF2AD9"/>
    <w:rsid w:val="00FF359F"/>
    <w:rsid w:val="00FF3DCF"/>
    <w:rsid w:val="00FF492C"/>
    <w:rsid w:val="00FF4A21"/>
    <w:rsid w:val="00FF4CE7"/>
    <w:rsid w:val="00FF5AA3"/>
    <w:rsid w:val="00FF5AD8"/>
    <w:rsid w:val="00FF673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B1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12+,12,! Q"/>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12+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Summary Table,MSD Table Grid,PBAC table,HTAtableplain,new sty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Table">
    <w:name w:val="Table"/>
    <w:basedOn w:val="Normal"/>
    <w:link w:val="TableChar"/>
    <w:qFormat/>
    <w:rsid w:val="00E75CFF"/>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E75CFF"/>
    <w:rPr>
      <w:rFonts w:ascii="Calibri" w:eastAsiaTheme="majorEastAsia" w:hAnsi="Calibri" w:cstheme="majorBidi"/>
      <w:szCs w:val="22"/>
      <w:lang w:eastAsia="en-US" w:bidi="en-US"/>
    </w:rPr>
  </w:style>
  <w:style w:type="paragraph" w:customStyle="1" w:styleId="TableFigureFooter">
    <w:name w:val="Table/Figure Footer"/>
    <w:basedOn w:val="Normal"/>
    <w:link w:val="TableFigureFooterChar"/>
    <w:qFormat/>
    <w:rsid w:val="00E75CF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75CFF"/>
    <w:rPr>
      <w:rFonts w:ascii="Arial Narrow" w:hAnsi="Arial Narrow" w:cs="Arial"/>
      <w:snapToGrid w:val="0"/>
      <w:sz w:val="18"/>
      <w:szCs w:val="22"/>
    </w:rPr>
  </w:style>
  <w:style w:type="character" w:customStyle="1" w:styleId="Small">
    <w:name w:val="Small"/>
    <w:basedOn w:val="DefaultParagraphFont"/>
    <w:uiPriority w:val="4"/>
    <w:qFormat/>
    <w:rsid w:val="00C75471"/>
    <w:rPr>
      <w:rFonts w:ascii="Calibri" w:hAnsi="Calibri"/>
      <w:b w:val="0"/>
      <w:sz w:val="20"/>
    </w:rPr>
  </w:style>
  <w:style w:type="character" w:customStyle="1" w:styleId="SmallBold">
    <w:name w:val="Small Bold"/>
    <w:basedOn w:val="Small"/>
    <w:uiPriority w:val="4"/>
    <w:qFormat/>
    <w:rsid w:val="00C75471"/>
    <w:rPr>
      <w:rFonts w:ascii="Calibri" w:hAnsi="Calibri"/>
      <w:b/>
      <w:sz w:val="20"/>
      <w:lang w:val="en-AU"/>
    </w:rPr>
  </w:style>
  <w:style w:type="paragraph" w:customStyle="1" w:styleId="TableNumbers">
    <w:name w:val="Table Numbers"/>
    <w:basedOn w:val="Normal"/>
    <w:uiPriority w:val="3"/>
    <w:qFormat/>
    <w:rsid w:val="00196A31"/>
    <w:pPr>
      <w:numPr>
        <w:numId w:val="8"/>
      </w:numPr>
      <w:jc w:val="left"/>
    </w:pPr>
    <w:rPr>
      <w:rFonts w:eastAsiaTheme="majorEastAsia" w:cstheme="majorBidi"/>
      <w:sz w:val="20"/>
      <w:szCs w:val="22"/>
      <w:lang w:eastAsia="en-US" w:bidi="en-US"/>
    </w:rPr>
  </w:style>
  <w:style w:type="character" w:customStyle="1" w:styleId="CaptionFootnoteChar">
    <w:name w:val="Caption Footnote Char"/>
    <w:basedOn w:val="CaptionChar"/>
    <w:link w:val="CaptionFootnote"/>
    <w:rsid w:val="00196A31"/>
    <w:rPr>
      <w:rFonts w:ascii="Calibri" w:eastAsiaTheme="majorEastAsia" w:hAnsi="Calibri" w:cstheme="majorBidi"/>
      <w:b w:val="0"/>
      <w:bCs/>
      <w:sz w:val="16"/>
      <w:szCs w:val="18"/>
      <w:lang w:bidi="en-US"/>
    </w:rPr>
  </w:style>
  <w:style w:type="paragraph" w:customStyle="1" w:styleId="CaptionFootnote">
    <w:name w:val="Caption Footnote"/>
    <w:basedOn w:val="Caption"/>
    <w:link w:val="CaptionFootnoteChar"/>
    <w:qFormat/>
    <w:rsid w:val="00196A31"/>
    <w:pPr>
      <w:keepLines w:val="0"/>
      <w:widowControl w:val="0"/>
      <w:jc w:val="left"/>
    </w:pPr>
    <w:rPr>
      <w:rFonts w:ascii="Calibri" w:eastAsiaTheme="majorEastAsia" w:hAnsi="Calibri" w:cstheme="majorBidi"/>
      <w:b w:val="0"/>
      <w:sz w:val="16"/>
      <w:lang w:bidi="en-US"/>
    </w:rPr>
  </w:style>
  <w:style w:type="character" w:customStyle="1" w:styleId="FootnoteTextChar">
    <w:name w:val="Footnote Text Char"/>
    <w:aliases w:val="~FootnoteText Char"/>
    <w:basedOn w:val="DefaultParagraphFont"/>
    <w:link w:val="FootnoteText"/>
    <w:rsid w:val="00196A31"/>
    <w:rPr>
      <w:i/>
      <w:sz w:val="16"/>
    </w:rPr>
  </w:style>
  <w:style w:type="paragraph" w:styleId="FootnoteText">
    <w:name w:val="footnote text"/>
    <w:aliases w:val="~FootnoteText"/>
    <w:basedOn w:val="Normal"/>
    <w:link w:val="FootnoteTextChar"/>
    <w:unhideWhenUsed/>
    <w:qFormat/>
    <w:rsid w:val="00196A31"/>
    <w:pPr>
      <w:jc w:val="left"/>
    </w:pPr>
    <w:rPr>
      <w:rFonts w:ascii="Times New Roman" w:hAnsi="Times New Roman" w:cs="Times New Roman"/>
      <w:i/>
      <w:sz w:val="16"/>
      <w:szCs w:val="20"/>
    </w:rPr>
  </w:style>
  <w:style w:type="character" w:customStyle="1" w:styleId="FootnoteTextChar1">
    <w:name w:val="Footnote Text Char1"/>
    <w:basedOn w:val="DefaultParagraphFont"/>
    <w:semiHidden/>
    <w:rsid w:val="00196A31"/>
    <w:rPr>
      <w:rFonts w:ascii="Calibri" w:hAnsi="Calibri" w:cs="Arial"/>
    </w:rPr>
  </w:style>
  <w:style w:type="character" w:styleId="FootnoteReference">
    <w:name w:val="footnote reference"/>
    <w:basedOn w:val="DefaultParagraphFont"/>
    <w:unhideWhenUsed/>
    <w:rsid w:val="00196A31"/>
    <w:rPr>
      <w:vertAlign w:val="superscript"/>
    </w:rPr>
  </w:style>
  <w:style w:type="character" w:customStyle="1" w:styleId="SmallSuperscript">
    <w:name w:val="Small Superscript"/>
    <w:basedOn w:val="DefaultParagraphFont"/>
    <w:uiPriority w:val="1"/>
    <w:qFormat/>
    <w:rsid w:val="009F0D5A"/>
    <w:rPr>
      <w:rFonts w:ascii="Calibri" w:hAnsi="Calibri"/>
      <w:b w:val="0"/>
      <w:sz w:val="20"/>
      <w:vertAlign w:val="superscript"/>
    </w:rPr>
  </w:style>
  <w:style w:type="paragraph" w:customStyle="1" w:styleId="NormalBulletList">
    <w:name w:val="Normal Bullet List"/>
    <w:basedOn w:val="Normal"/>
    <w:uiPriority w:val="3"/>
    <w:qFormat/>
    <w:rsid w:val="003470D5"/>
    <w:pPr>
      <w:numPr>
        <w:numId w:val="9"/>
      </w:numPr>
      <w:spacing w:after="240" w:line="276" w:lineRule="auto"/>
      <w:contextualSpacing/>
      <w:jc w:val="left"/>
    </w:pPr>
    <w:rPr>
      <w:rFonts w:eastAsiaTheme="majorEastAsia" w:cstheme="majorBidi"/>
      <w:szCs w:val="22"/>
      <w:lang w:eastAsia="en-US" w:bidi="en-US"/>
    </w:rPr>
  </w:style>
  <w:style w:type="paragraph" w:customStyle="1" w:styleId="NormalBulletList2">
    <w:name w:val="Normal Bullet List 2"/>
    <w:basedOn w:val="NormalBulletList"/>
    <w:qFormat/>
    <w:rsid w:val="003470D5"/>
    <w:pPr>
      <w:numPr>
        <w:ilvl w:val="1"/>
      </w:numPr>
      <w:spacing w:after="0"/>
    </w:pPr>
  </w:style>
  <w:style w:type="paragraph" w:customStyle="1" w:styleId="EndNoteBibliographyTitle">
    <w:name w:val="EndNote Bibliography Title"/>
    <w:basedOn w:val="Normal"/>
    <w:link w:val="EndNoteBibliographyTitleChar"/>
    <w:rsid w:val="00DC40F5"/>
    <w:pPr>
      <w:jc w:val="center"/>
    </w:pPr>
    <w:rPr>
      <w:rFonts w:cs="Calibri"/>
      <w:noProof/>
    </w:rPr>
  </w:style>
  <w:style w:type="character" w:customStyle="1" w:styleId="ListBulletChar">
    <w:name w:val="List Bullet Char"/>
    <w:basedOn w:val="DefaultParagraphFont"/>
    <w:link w:val="ListBullet"/>
    <w:uiPriority w:val="99"/>
    <w:rsid w:val="00DC40F5"/>
    <w:rPr>
      <w:rFonts w:ascii="Calibri" w:hAnsi="Calibri" w:cs="Arial"/>
      <w:sz w:val="24"/>
      <w:szCs w:val="24"/>
    </w:rPr>
  </w:style>
  <w:style w:type="character" w:customStyle="1" w:styleId="EndNoteBibliographyTitleChar">
    <w:name w:val="EndNote Bibliography Title Char"/>
    <w:basedOn w:val="ListBulletChar"/>
    <w:link w:val="EndNoteBibliographyTitle"/>
    <w:rsid w:val="00DC40F5"/>
    <w:rPr>
      <w:rFonts w:ascii="Calibri" w:hAnsi="Calibri" w:cs="Calibri"/>
      <w:noProof/>
      <w:sz w:val="24"/>
      <w:szCs w:val="24"/>
    </w:rPr>
  </w:style>
  <w:style w:type="paragraph" w:customStyle="1" w:styleId="EndNoteBibliography">
    <w:name w:val="EndNote Bibliography"/>
    <w:basedOn w:val="Normal"/>
    <w:link w:val="EndNoteBibliographyChar"/>
    <w:rsid w:val="00DC40F5"/>
    <w:rPr>
      <w:rFonts w:cs="Calibri"/>
      <w:noProof/>
    </w:rPr>
  </w:style>
  <w:style w:type="character" w:customStyle="1" w:styleId="EndNoteBibliographyChar">
    <w:name w:val="EndNote Bibliography Char"/>
    <w:basedOn w:val="ListBulletChar"/>
    <w:link w:val="EndNoteBibliography"/>
    <w:rsid w:val="00DC40F5"/>
    <w:rPr>
      <w:rFonts w:ascii="Calibri" w:hAnsi="Calibri" w:cs="Calibri"/>
      <w:noProof/>
      <w:sz w:val="24"/>
      <w:szCs w:val="24"/>
    </w:rPr>
  </w:style>
  <w:style w:type="character" w:styleId="UnresolvedMention">
    <w:name w:val="Unresolved Mention"/>
    <w:basedOn w:val="DefaultParagraphFont"/>
    <w:uiPriority w:val="99"/>
    <w:semiHidden/>
    <w:unhideWhenUsed/>
    <w:rsid w:val="00DC40F5"/>
    <w:rPr>
      <w:color w:val="605E5C"/>
      <w:shd w:val="clear" w:color="auto" w:fill="E1DFDD"/>
    </w:rPr>
  </w:style>
  <w:style w:type="table" w:customStyle="1" w:styleId="Summarybox1">
    <w:name w:val="Summary box1"/>
    <w:basedOn w:val="TableNormal"/>
    <w:next w:val="TableGrid"/>
    <w:uiPriority w:val="59"/>
    <w:rsid w:val="00DC40F5"/>
    <w:rPr>
      <w:rFonts w:asciiTheme="minorHAnsi" w:eastAsia="MS Mincho"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E50FDF"/>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Light" w:hAnsi="Georgia Pro Cond Light" w:cstheme="majorBidi"/>
        <w:b/>
        <w:sz w:val="20"/>
      </w:rPr>
      <w:tblPr/>
      <w:tcPr>
        <w:shd w:val="clear" w:color="auto" w:fill="BFBFBF" w:themeFill="background1" w:themeFillShade="BF"/>
      </w:tcPr>
    </w:tblStylePr>
  </w:style>
  <w:style w:type="paragraph" w:styleId="DocumentMap">
    <w:name w:val="Document Map"/>
    <w:basedOn w:val="Normal"/>
    <w:link w:val="DocumentMapChar"/>
    <w:uiPriority w:val="99"/>
    <w:semiHidden/>
    <w:unhideWhenUsed/>
    <w:rsid w:val="005472C1"/>
    <w:pPr>
      <w:jc w:val="left"/>
    </w:pPr>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uiPriority w:val="99"/>
    <w:semiHidden/>
    <w:rsid w:val="005472C1"/>
    <w:rPr>
      <w:rFonts w:ascii="Tahoma" w:eastAsiaTheme="majorEastAsia" w:hAnsi="Tahoma" w:cs="Tahoma"/>
      <w:sz w:val="16"/>
      <w:szCs w:val="16"/>
      <w:lang w:eastAsia="en-US" w:bidi="en-US"/>
    </w:rPr>
  </w:style>
  <w:style w:type="paragraph" w:customStyle="1" w:styleId="paragraph">
    <w:name w:val="paragraph"/>
    <w:basedOn w:val="Normal"/>
    <w:rsid w:val="009F17B7"/>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9F17B7"/>
  </w:style>
  <w:style w:type="character" w:customStyle="1" w:styleId="eop">
    <w:name w:val="eop"/>
    <w:basedOn w:val="DefaultParagraphFont"/>
    <w:rsid w:val="009F17B7"/>
  </w:style>
  <w:style w:type="paragraph" w:customStyle="1" w:styleId="TableLeft">
    <w:name w:val="Table Left"/>
    <w:basedOn w:val="Normal"/>
    <w:link w:val="TableLeftChar"/>
    <w:uiPriority w:val="99"/>
    <w:qFormat/>
    <w:rsid w:val="00341A09"/>
    <w:pPr>
      <w:jc w:val="left"/>
    </w:pPr>
    <w:rPr>
      <w:rFonts w:ascii="Proxima Nova" w:eastAsiaTheme="majorEastAsia" w:hAnsi="Proxima Nova" w:cstheme="majorBidi"/>
      <w:sz w:val="20"/>
      <w:szCs w:val="22"/>
      <w:lang w:eastAsia="en-US" w:bidi="en-US"/>
    </w:rPr>
  </w:style>
  <w:style w:type="character" w:customStyle="1" w:styleId="TableLeftChar">
    <w:name w:val="Table Left Char"/>
    <w:basedOn w:val="DefaultParagraphFont"/>
    <w:link w:val="TableLeft"/>
    <w:uiPriority w:val="99"/>
    <w:locked/>
    <w:rsid w:val="00341A09"/>
    <w:rPr>
      <w:rFonts w:ascii="Proxima Nova" w:eastAsiaTheme="majorEastAsia" w:hAnsi="Proxima Nova" w:cstheme="majorBidi"/>
      <w:szCs w:val="22"/>
      <w:lang w:eastAsia="en-US" w:bidi="en-US"/>
    </w:rPr>
  </w:style>
  <w:style w:type="paragraph" w:customStyle="1" w:styleId="3-SubsectionHeading">
    <w:name w:val="3-Subsection Heading"/>
    <w:basedOn w:val="Heading2"/>
    <w:next w:val="Normal"/>
    <w:link w:val="3-SubsectionHeadingChar"/>
    <w:qFormat/>
    <w:rsid w:val="0077611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7611C"/>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B87DAF"/>
    <w:rPr>
      <w:b/>
      <w:bCs/>
    </w:rPr>
  </w:style>
  <w:style w:type="paragraph" w:customStyle="1" w:styleId="COMH2-non-numbered">
    <w:name w:val="COM H2 - non-numbered"/>
    <w:basedOn w:val="Heading2"/>
    <w:next w:val="Normal"/>
    <w:link w:val="COMH2-non-numberedChar"/>
    <w:qFormat/>
    <w:rsid w:val="00227A2B"/>
    <w:pPr>
      <w:keepNext/>
      <w:spacing w:before="120" w:after="120"/>
      <w:jc w:val="left"/>
    </w:pPr>
    <w:rPr>
      <w:rFonts w:asciiTheme="minorHAnsi" w:eastAsiaTheme="majorEastAsia" w:hAnsiTheme="minorHAnsi" w:cstheme="majorBidi"/>
      <w:spacing w:val="5"/>
      <w:kern w:val="28"/>
      <w:szCs w:val="36"/>
    </w:rPr>
  </w:style>
  <w:style w:type="character" w:customStyle="1" w:styleId="COMH2-non-numberedChar">
    <w:name w:val="COM H2 - non-numbered Char"/>
    <w:basedOn w:val="DefaultParagraphFont"/>
    <w:link w:val="COMH2-non-numbered"/>
    <w:rsid w:val="00227A2B"/>
    <w:rPr>
      <w:rFonts w:asciiTheme="minorHAnsi" w:eastAsiaTheme="majorEastAsia" w:hAnsiTheme="minorHAnsi" w:cstheme="majorBidi"/>
      <w:b/>
      <w:i/>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471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522542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6822794">
      <w:bodyDiv w:val="1"/>
      <w:marLeft w:val="0"/>
      <w:marRight w:val="0"/>
      <w:marTop w:val="0"/>
      <w:marBottom w:val="0"/>
      <w:divBdr>
        <w:top w:val="none" w:sz="0" w:space="0" w:color="auto"/>
        <w:left w:val="none" w:sz="0" w:space="0" w:color="auto"/>
        <w:bottom w:val="none" w:sz="0" w:space="0" w:color="auto"/>
        <w:right w:val="none" w:sz="0" w:space="0" w:color="auto"/>
      </w:divBdr>
    </w:div>
    <w:div w:id="140001874">
      <w:bodyDiv w:val="1"/>
      <w:marLeft w:val="0"/>
      <w:marRight w:val="0"/>
      <w:marTop w:val="0"/>
      <w:marBottom w:val="0"/>
      <w:divBdr>
        <w:top w:val="none" w:sz="0" w:space="0" w:color="auto"/>
        <w:left w:val="none" w:sz="0" w:space="0" w:color="auto"/>
        <w:bottom w:val="none" w:sz="0" w:space="0" w:color="auto"/>
        <w:right w:val="none" w:sz="0" w:space="0" w:color="auto"/>
      </w:divBdr>
    </w:div>
    <w:div w:id="145052369">
      <w:bodyDiv w:val="1"/>
      <w:marLeft w:val="0"/>
      <w:marRight w:val="0"/>
      <w:marTop w:val="0"/>
      <w:marBottom w:val="0"/>
      <w:divBdr>
        <w:top w:val="none" w:sz="0" w:space="0" w:color="auto"/>
        <w:left w:val="none" w:sz="0" w:space="0" w:color="auto"/>
        <w:bottom w:val="none" w:sz="0" w:space="0" w:color="auto"/>
        <w:right w:val="none" w:sz="0" w:space="0" w:color="auto"/>
      </w:divBdr>
    </w:div>
    <w:div w:id="158623733">
      <w:bodyDiv w:val="1"/>
      <w:marLeft w:val="0"/>
      <w:marRight w:val="0"/>
      <w:marTop w:val="0"/>
      <w:marBottom w:val="0"/>
      <w:divBdr>
        <w:top w:val="none" w:sz="0" w:space="0" w:color="auto"/>
        <w:left w:val="none" w:sz="0" w:space="0" w:color="auto"/>
        <w:bottom w:val="none" w:sz="0" w:space="0" w:color="auto"/>
        <w:right w:val="none" w:sz="0" w:space="0" w:color="auto"/>
      </w:divBdr>
    </w:div>
    <w:div w:id="160780809">
      <w:bodyDiv w:val="1"/>
      <w:marLeft w:val="0"/>
      <w:marRight w:val="0"/>
      <w:marTop w:val="0"/>
      <w:marBottom w:val="0"/>
      <w:divBdr>
        <w:top w:val="none" w:sz="0" w:space="0" w:color="auto"/>
        <w:left w:val="none" w:sz="0" w:space="0" w:color="auto"/>
        <w:bottom w:val="none" w:sz="0" w:space="0" w:color="auto"/>
        <w:right w:val="none" w:sz="0" w:space="0" w:color="auto"/>
      </w:divBdr>
    </w:div>
    <w:div w:id="172962854">
      <w:bodyDiv w:val="1"/>
      <w:marLeft w:val="0"/>
      <w:marRight w:val="0"/>
      <w:marTop w:val="0"/>
      <w:marBottom w:val="0"/>
      <w:divBdr>
        <w:top w:val="none" w:sz="0" w:space="0" w:color="auto"/>
        <w:left w:val="none" w:sz="0" w:space="0" w:color="auto"/>
        <w:bottom w:val="none" w:sz="0" w:space="0" w:color="auto"/>
        <w:right w:val="none" w:sz="0" w:space="0" w:color="auto"/>
      </w:divBdr>
    </w:div>
    <w:div w:id="269511428">
      <w:bodyDiv w:val="1"/>
      <w:marLeft w:val="0"/>
      <w:marRight w:val="0"/>
      <w:marTop w:val="0"/>
      <w:marBottom w:val="0"/>
      <w:divBdr>
        <w:top w:val="none" w:sz="0" w:space="0" w:color="auto"/>
        <w:left w:val="none" w:sz="0" w:space="0" w:color="auto"/>
        <w:bottom w:val="none" w:sz="0" w:space="0" w:color="auto"/>
        <w:right w:val="none" w:sz="0" w:space="0" w:color="auto"/>
      </w:divBdr>
      <w:divsChild>
        <w:div w:id="1312754609">
          <w:marLeft w:val="360"/>
          <w:marRight w:val="0"/>
          <w:marTop w:val="200"/>
          <w:marBottom w:val="0"/>
          <w:divBdr>
            <w:top w:val="none" w:sz="0" w:space="0" w:color="auto"/>
            <w:left w:val="none" w:sz="0" w:space="0" w:color="auto"/>
            <w:bottom w:val="none" w:sz="0" w:space="0" w:color="auto"/>
            <w:right w:val="none" w:sz="0" w:space="0" w:color="auto"/>
          </w:divBdr>
        </w:div>
      </w:divsChild>
    </w:div>
    <w:div w:id="279382771">
      <w:bodyDiv w:val="1"/>
      <w:marLeft w:val="0"/>
      <w:marRight w:val="0"/>
      <w:marTop w:val="0"/>
      <w:marBottom w:val="0"/>
      <w:divBdr>
        <w:top w:val="none" w:sz="0" w:space="0" w:color="auto"/>
        <w:left w:val="none" w:sz="0" w:space="0" w:color="auto"/>
        <w:bottom w:val="none" w:sz="0" w:space="0" w:color="auto"/>
        <w:right w:val="none" w:sz="0" w:space="0" w:color="auto"/>
      </w:divBdr>
      <w:divsChild>
        <w:div w:id="743383383">
          <w:marLeft w:val="360"/>
          <w:marRight w:val="0"/>
          <w:marTop w:val="200"/>
          <w:marBottom w:val="0"/>
          <w:divBdr>
            <w:top w:val="none" w:sz="0" w:space="0" w:color="auto"/>
            <w:left w:val="none" w:sz="0" w:space="0" w:color="auto"/>
            <w:bottom w:val="none" w:sz="0" w:space="0" w:color="auto"/>
            <w:right w:val="none" w:sz="0" w:space="0" w:color="auto"/>
          </w:divBdr>
        </w:div>
      </w:divsChild>
    </w:div>
    <w:div w:id="290288001">
      <w:bodyDiv w:val="1"/>
      <w:marLeft w:val="0"/>
      <w:marRight w:val="0"/>
      <w:marTop w:val="0"/>
      <w:marBottom w:val="0"/>
      <w:divBdr>
        <w:top w:val="none" w:sz="0" w:space="0" w:color="auto"/>
        <w:left w:val="none" w:sz="0" w:space="0" w:color="auto"/>
        <w:bottom w:val="none" w:sz="0" w:space="0" w:color="auto"/>
        <w:right w:val="none" w:sz="0" w:space="0" w:color="auto"/>
      </w:divBdr>
    </w:div>
    <w:div w:id="291791211">
      <w:bodyDiv w:val="1"/>
      <w:marLeft w:val="0"/>
      <w:marRight w:val="0"/>
      <w:marTop w:val="0"/>
      <w:marBottom w:val="0"/>
      <w:divBdr>
        <w:top w:val="none" w:sz="0" w:space="0" w:color="auto"/>
        <w:left w:val="none" w:sz="0" w:space="0" w:color="auto"/>
        <w:bottom w:val="none" w:sz="0" w:space="0" w:color="auto"/>
        <w:right w:val="none" w:sz="0" w:space="0" w:color="auto"/>
      </w:divBdr>
      <w:divsChild>
        <w:div w:id="1429231209">
          <w:marLeft w:val="360"/>
          <w:marRight w:val="0"/>
          <w:marTop w:val="200"/>
          <w:marBottom w:val="0"/>
          <w:divBdr>
            <w:top w:val="none" w:sz="0" w:space="0" w:color="auto"/>
            <w:left w:val="none" w:sz="0" w:space="0" w:color="auto"/>
            <w:bottom w:val="none" w:sz="0" w:space="0" w:color="auto"/>
            <w:right w:val="none" w:sz="0" w:space="0" w:color="auto"/>
          </w:divBdr>
        </w:div>
      </w:divsChild>
    </w:div>
    <w:div w:id="3035046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120143">
      <w:bodyDiv w:val="1"/>
      <w:marLeft w:val="0"/>
      <w:marRight w:val="0"/>
      <w:marTop w:val="0"/>
      <w:marBottom w:val="0"/>
      <w:divBdr>
        <w:top w:val="none" w:sz="0" w:space="0" w:color="auto"/>
        <w:left w:val="none" w:sz="0" w:space="0" w:color="auto"/>
        <w:bottom w:val="none" w:sz="0" w:space="0" w:color="auto"/>
        <w:right w:val="none" w:sz="0" w:space="0" w:color="auto"/>
      </w:divBdr>
    </w:div>
    <w:div w:id="335152848">
      <w:bodyDiv w:val="1"/>
      <w:marLeft w:val="0"/>
      <w:marRight w:val="0"/>
      <w:marTop w:val="0"/>
      <w:marBottom w:val="0"/>
      <w:divBdr>
        <w:top w:val="none" w:sz="0" w:space="0" w:color="auto"/>
        <w:left w:val="none" w:sz="0" w:space="0" w:color="auto"/>
        <w:bottom w:val="none" w:sz="0" w:space="0" w:color="auto"/>
        <w:right w:val="none" w:sz="0" w:space="0" w:color="auto"/>
      </w:divBdr>
    </w:div>
    <w:div w:id="338700331">
      <w:bodyDiv w:val="1"/>
      <w:marLeft w:val="0"/>
      <w:marRight w:val="0"/>
      <w:marTop w:val="0"/>
      <w:marBottom w:val="0"/>
      <w:divBdr>
        <w:top w:val="none" w:sz="0" w:space="0" w:color="auto"/>
        <w:left w:val="none" w:sz="0" w:space="0" w:color="auto"/>
        <w:bottom w:val="none" w:sz="0" w:space="0" w:color="auto"/>
        <w:right w:val="none" w:sz="0" w:space="0" w:color="auto"/>
      </w:divBdr>
    </w:div>
    <w:div w:id="339089959">
      <w:bodyDiv w:val="1"/>
      <w:marLeft w:val="0"/>
      <w:marRight w:val="0"/>
      <w:marTop w:val="0"/>
      <w:marBottom w:val="0"/>
      <w:divBdr>
        <w:top w:val="none" w:sz="0" w:space="0" w:color="auto"/>
        <w:left w:val="none" w:sz="0" w:space="0" w:color="auto"/>
        <w:bottom w:val="none" w:sz="0" w:space="0" w:color="auto"/>
        <w:right w:val="none" w:sz="0" w:space="0" w:color="auto"/>
      </w:divBdr>
    </w:div>
    <w:div w:id="379784527">
      <w:bodyDiv w:val="1"/>
      <w:marLeft w:val="0"/>
      <w:marRight w:val="0"/>
      <w:marTop w:val="0"/>
      <w:marBottom w:val="0"/>
      <w:divBdr>
        <w:top w:val="none" w:sz="0" w:space="0" w:color="auto"/>
        <w:left w:val="none" w:sz="0" w:space="0" w:color="auto"/>
        <w:bottom w:val="none" w:sz="0" w:space="0" w:color="auto"/>
        <w:right w:val="none" w:sz="0" w:space="0" w:color="auto"/>
      </w:divBdr>
    </w:div>
    <w:div w:id="404958558">
      <w:bodyDiv w:val="1"/>
      <w:marLeft w:val="0"/>
      <w:marRight w:val="0"/>
      <w:marTop w:val="0"/>
      <w:marBottom w:val="0"/>
      <w:divBdr>
        <w:top w:val="none" w:sz="0" w:space="0" w:color="auto"/>
        <w:left w:val="none" w:sz="0" w:space="0" w:color="auto"/>
        <w:bottom w:val="none" w:sz="0" w:space="0" w:color="auto"/>
        <w:right w:val="none" w:sz="0" w:space="0" w:color="auto"/>
      </w:divBdr>
    </w:div>
    <w:div w:id="405342135">
      <w:bodyDiv w:val="1"/>
      <w:marLeft w:val="0"/>
      <w:marRight w:val="0"/>
      <w:marTop w:val="0"/>
      <w:marBottom w:val="0"/>
      <w:divBdr>
        <w:top w:val="none" w:sz="0" w:space="0" w:color="auto"/>
        <w:left w:val="none" w:sz="0" w:space="0" w:color="auto"/>
        <w:bottom w:val="none" w:sz="0" w:space="0" w:color="auto"/>
        <w:right w:val="none" w:sz="0" w:space="0" w:color="auto"/>
      </w:divBdr>
    </w:div>
    <w:div w:id="409816961">
      <w:bodyDiv w:val="1"/>
      <w:marLeft w:val="0"/>
      <w:marRight w:val="0"/>
      <w:marTop w:val="0"/>
      <w:marBottom w:val="0"/>
      <w:divBdr>
        <w:top w:val="none" w:sz="0" w:space="0" w:color="auto"/>
        <w:left w:val="none" w:sz="0" w:space="0" w:color="auto"/>
        <w:bottom w:val="none" w:sz="0" w:space="0" w:color="auto"/>
        <w:right w:val="none" w:sz="0" w:space="0" w:color="auto"/>
      </w:divBdr>
    </w:div>
    <w:div w:id="440952982">
      <w:bodyDiv w:val="1"/>
      <w:marLeft w:val="0"/>
      <w:marRight w:val="0"/>
      <w:marTop w:val="0"/>
      <w:marBottom w:val="0"/>
      <w:divBdr>
        <w:top w:val="none" w:sz="0" w:space="0" w:color="auto"/>
        <w:left w:val="none" w:sz="0" w:space="0" w:color="auto"/>
        <w:bottom w:val="none" w:sz="0" w:space="0" w:color="auto"/>
        <w:right w:val="none" w:sz="0" w:space="0" w:color="auto"/>
      </w:divBdr>
    </w:div>
    <w:div w:id="489256271">
      <w:bodyDiv w:val="1"/>
      <w:marLeft w:val="0"/>
      <w:marRight w:val="0"/>
      <w:marTop w:val="0"/>
      <w:marBottom w:val="0"/>
      <w:divBdr>
        <w:top w:val="none" w:sz="0" w:space="0" w:color="auto"/>
        <w:left w:val="none" w:sz="0" w:space="0" w:color="auto"/>
        <w:bottom w:val="none" w:sz="0" w:space="0" w:color="auto"/>
        <w:right w:val="none" w:sz="0" w:space="0" w:color="auto"/>
      </w:divBdr>
    </w:div>
    <w:div w:id="535893719">
      <w:bodyDiv w:val="1"/>
      <w:marLeft w:val="0"/>
      <w:marRight w:val="0"/>
      <w:marTop w:val="0"/>
      <w:marBottom w:val="0"/>
      <w:divBdr>
        <w:top w:val="none" w:sz="0" w:space="0" w:color="auto"/>
        <w:left w:val="none" w:sz="0" w:space="0" w:color="auto"/>
        <w:bottom w:val="none" w:sz="0" w:space="0" w:color="auto"/>
        <w:right w:val="none" w:sz="0" w:space="0" w:color="auto"/>
      </w:divBdr>
    </w:div>
    <w:div w:id="559054576">
      <w:bodyDiv w:val="1"/>
      <w:marLeft w:val="0"/>
      <w:marRight w:val="0"/>
      <w:marTop w:val="0"/>
      <w:marBottom w:val="0"/>
      <w:divBdr>
        <w:top w:val="none" w:sz="0" w:space="0" w:color="auto"/>
        <w:left w:val="none" w:sz="0" w:space="0" w:color="auto"/>
        <w:bottom w:val="none" w:sz="0" w:space="0" w:color="auto"/>
        <w:right w:val="none" w:sz="0" w:space="0" w:color="auto"/>
      </w:divBdr>
    </w:div>
    <w:div w:id="569388633">
      <w:bodyDiv w:val="1"/>
      <w:marLeft w:val="0"/>
      <w:marRight w:val="0"/>
      <w:marTop w:val="0"/>
      <w:marBottom w:val="0"/>
      <w:divBdr>
        <w:top w:val="none" w:sz="0" w:space="0" w:color="auto"/>
        <w:left w:val="none" w:sz="0" w:space="0" w:color="auto"/>
        <w:bottom w:val="none" w:sz="0" w:space="0" w:color="auto"/>
        <w:right w:val="none" w:sz="0" w:space="0" w:color="auto"/>
      </w:divBdr>
    </w:div>
    <w:div w:id="570846015">
      <w:bodyDiv w:val="1"/>
      <w:marLeft w:val="0"/>
      <w:marRight w:val="0"/>
      <w:marTop w:val="0"/>
      <w:marBottom w:val="0"/>
      <w:divBdr>
        <w:top w:val="none" w:sz="0" w:space="0" w:color="auto"/>
        <w:left w:val="none" w:sz="0" w:space="0" w:color="auto"/>
        <w:bottom w:val="none" w:sz="0" w:space="0" w:color="auto"/>
        <w:right w:val="none" w:sz="0" w:space="0" w:color="auto"/>
      </w:divBdr>
    </w:div>
    <w:div w:id="577717687">
      <w:bodyDiv w:val="1"/>
      <w:marLeft w:val="0"/>
      <w:marRight w:val="0"/>
      <w:marTop w:val="0"/>
      <w:marBottom w:val="0"/>
      <w:divBdr>
        <w:top w:val="none" w:sz="0" w:space="0" w:color="auto"/>
        <w:left w:val="none" w:sz="0" w:space="0" w:color="auto"/>
        <w:bottom w:val="none" w:sz="0" w:space="0" w:color="auto"/>
        <w:right w:val="none" w:sz="0" w:space="0" w:color="auto"/>
      </w:divBdr>
    </w:div>
    <w:div w:id="582564773">
      <w:bodyDiv w:val="1"/>
      <w:marLeft w:val="0"/>
      <w:marRight w:val="0"/>
      <w:marTop w:val="0"/>
      <w:marBottom w:val="0"/>
      <w:divBdr>
        <w:top w:val="none" w:sz="0" w:space="0" w:color="auto"/>
        <w:left w:val="none" w:sz="0" w:space="0" w:color="auto"/>
        <w:bottom w:val="none" w:sz="0" w:space="0" w:color="auto"/>
        <w:right w:val="none" w:sz="0" w:space="0" w:color="auto"/>
      </w:divBdr>
    </w:div>
    <w:div w:id="608125878">
      <w:bodyDiv w:val="1"/>
      <w:marLeft w:val="0"/>
      <w:marRight w:val="0"/>
      <w:marTop w:val="0"/>
      <w:marBottom w:val="0"/>
      <w:divBdr>
        <w:top w:val="none" w:sz="0" w:space="0" w:color="auto"/>
        <w:left w:val="none" w:sz="0" w:space="0" w:color="auto"/>
        <w:bottom w:val="none" w:sz="0" w:space="0" w:color="auto"/>
        <w:right w:val="none" w:sz="0" w:space="0" w:color="auto"/>
      </w:divBdr>
    </w:div>
    <w:div w:id="616647514">
      <w:bodyDiv w:val="1"/>
      <w:marLeft w:val="0"/>
      <w:marRight w:val="0"/>
      <w:marTop w:val="0"/>
      <w:marBottom w:val="0"/>
      <w:divBdr>
        <w:top w:val="none" w:sz="0" w:space="0" w:color="auto"/>
        <w:left w:val="none" w:sz="0" w:space="0" w:color="auto"/>
        <w:bottom w:val="none" w:sz="0" w:space="0" w:color="auto"/>
        <w:right w:val="none" w:sz="0" w:space="0" w:color="auto"/>
      </w:divBdr>
    </w:div>
    <w:div w:id="635531157">
      <w:bodyDiv w:val="1"/>
      <w:marLeft w:val="0"/>
      <w:marRight w:val="0"/>
      <w:marTop w:val="0"/>
      <w:marBottom w:val="0"/>
      <w:divBdr>
        <w:top w:val="none" w:sz="0" w:space="0" w:color="auto"/>
        <w:left w:val="none" w:sz="0" w:space="0" w:color="auto"/>
        <w:bottom w:val="none" w:sz="0" w:space="0" w:color="auto"/>
        <w:right w:val="none" w:sz="0" w:space="0" w:color="auto"/>
      </w:divBdr>
    </w:div>
    <w:div w:id="668143290">
      <w:bodyDiv w:val="1"/>
      <w:marLeft w:val="0"/>
      <w:marRight w:val="0"/>
      <w:marTop w:val="0"/>
      <w:marBottom w:val="0"/>
      <w:divBdr>
        <w:top w:val="none" w:sz="0" w:space="0" w:color="auto"/>
        <w:left w:val="none" w:sz="0" w:space="0" w:color="auto"/>
        <w:bottom w:val="none" w:sz="0" w:space="0" w:color="auto"/>
        <w:right w:val="none" w:sz="0" w:space="0" w:color="auto"/>
      </w:divBdr>
    </w:div>
    <w:div w:id="676076640">
      <w:bodyDiv w:val="1"/>
      <w:marLeft w:val="0"/>
      <w:marRight w:val="0"/>
      <w:marTop w:val="0"/>
      <w:marBottom w:val="0"/>
      <w:divBdr>
        <w:top w:val="none" w:sz="0" w:space="0" w:color="auto"/>
        <w:left w:val="none" w:sz="0" w:space="0" w:color="auto"/>
        <w:bottom w:val="none" w:sz="0" w:space="0" w:color="auto"/>
        <w:right w:val="none" w:sz="0" w:space="0" w:color="auto"/>
      </w:divBdr>
    </w:div>
    <w:div w:id="681977617">
      <w:bodyDiv w:val="1"/>
      <w:marLeft w:val="0"/>
      <w:marRight w:val="0"/>
      <w:marTop w:val="0"/>
      <w:marBottom w:val="0"/>
      <w:divBdr>
        <w:top w:val="none" w:sz="0" w:space="0" w:color="auto"/>
        <w:left w:val="none" w:sz="0" w:space="0" w:color="auto"/>
        <w:bottom w:val="none" w:sz="0" w:space="0" w:color="auto"/>
        <w:right w:val="none" w:sz="0" w:space="0" w:color="auto"/>
      </w:divBdr>
    </w:div>
    <w:div w:id="745802551">
      <w:bodyDiv w:val="1"/>
      <w:marLeft w:val="0"/>
      <w:marRight w:val="0"/>
      <w:marTop w:val="0"/>
      <w:marBottom w:val="0"/>
      <w:divBdr>
        <w:top w:val="none" w:sz="0" w:space="0" w:color="auto"/>
        <w:left w:val="none" w:sz="0" w:space="0" w:color="auto"/>
        <w:bottom w:val="none" w:sz="0" w:space="0" w:color="auto"/>
        <w:right w:val="none" w:sz="0" w:space="0" w:color="auto"/>
      </w:divBdr>
    </w:div>
    <w:div w:id="770979844">
      <w:bodyDiv w:val="1"/>
      <w:marLeft w:val="0"/>
      <w:marRight w:val="0"/>
      <w:marTop w:val="0"/>
      <w:marBottom w:val="0"/>
      <w:divBdr>
        <w:top w:val="none" w:sz="0" w:space="0" w:color="auto"/>
        <w:left w:val="none" w:sz="0" w:space="0" w:color="auto"/>
        <w:bottom w:val="none" w:sz="0" w:space="0" w:color="auto"/>
        <w:right w:val="none" w:sz="0" w:space="0" w:color="auto"/>
      </w:divBdr>
    </w:div>
    <w:div w:id="774446599">
      <w:bodyDiv w:val="1"/>
      <w:marLeft w:val="0"/>
      <w:marRight w:val="0"/>
      <w:marTop w:val="0"/>
      <w:marBottom w:val="0"/>
      <w:divBdr>
        <w:top w:val="none" w:sz="0" w:space="0" w:color="auto"/>
        <w:left w:val="none" w:sz="0" w:space="0" w:color="auto"/>
        <w:bottom w:val="none" w:sz="0" w:space="0" w:color="auto"/>
        <w:right w:val="none" w:sz="0" w:space="0" w:color="auto"/>
      </w:divBdr>
    </w:div>
    <w:div w:id="80492628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4855821">
      <w:bodyDiv w:val="1"/>
      <w:marLeft w:val="0"/>
      <w:marRight w:val="0"/>
      <w:marTop w:val="0"/>
      <w:marBottom w:val="0"/>
      <w:divBdr>
        <w:top w:val="none" w:sz="0" w:space="0" w:color="auto"/>
        <w:left w:val="none" w:sz="0" w:space="0" w:color="auto"/>
        <w:bottom w:val="none" w:sz="0" w:space="0" w:color="auto"/>
        <w:right w:val="none" w:sz="0" w:space="0" w:color="auto"/>
      </w:divBdr>
    </w:div>
    <w:div w:id="855580771">
      <w:bodyDiv w:val="1"/>
      <w:marLeft w:val="0"/>
      <w:marRight w:val="0"/>
      <w:marTop w:val="0"/>
      <w:marBottom w:val="0"/>
      <w:divBdr>
        <w:top w:val="none" w:sz="0" w:space="0" w:color="auto"/>
        <w:left w:val="none" w:sz="0" w:space="0" w:color="auto"/>
        <w:bottom w:val="none" w:sz="0" w:space="0" w:color="auto"/>
        <w:right w:val="none" w:sz="0" w:space="0" w:color="auto"/>
      </w:divBdr>
    </w:div>
    <w:div w:id="858009684">
      <w:bodyDiv w:val="1"/>
      <w:marLeft w:val="0"/>
      <w:marRight w:val="0"/>
      <w:marTop w:val="0"/>
      <w:marBottom w:val="0"/>
      <w:divBdr>
        <w:top w:val="none" w:sz="0" w:space="0" w:color="auto"/>
        <w:left w:val="none" w:sz="0" w:space="0" w:color="auto"/>
        <w:bottom w:val="none" w:sz="0" w:space="0" w:color="auto"/>
        <w:right w:val="none" w:sz="0" w:space="0" w:color="auto"/>
      </w:divBdr>
    </w:div>
    <w:div w:id="869756365">
      <w:bodyDiv w:val="1"/>
      <w:marLeft w:val="0"/>
      <w:marRight w:val="0"/>
      <w:marTop w:val="0"/>
      <w:marBottom w:val="0"/>
      <w:divBdr>
        <w:top w:val="none" w:sz="0" w:space="0" w:color="auto"/>
        <w:left w:val="none" w:sz="0" w:space="0" w:color="auto"/>
        <w:bottom w:val="none" w:sz="0" w:space="0" w:color="auto"/>
        <w:right w:val="none" w:sz="0" w:space="0" w:color="auto"/>
      </w:divBdr>
    </w:div>
    <w:div w:id="883368450">
      <w:bodyDiv w:val="1"/>
      <w:marLeft w:val="0"/>
      <w:marRight w:val="0"/>
      <w:marTop w:val="0"/>
      <w:marBottom w:val="0"/>
      <w:divBdr>
        <w:top w:val="none" w:sz="0" w:space="0" w:color="auto"/>
        <w:left w:val="none" w:sz="0" w:space="0" w:color="auto"/>
        <w:bottom w:val="none" w:sz="0" w:space="0" w:color="auto"/>
        <w:right w:val="none" w:sz="0" w:space="0" w:color="auto"/>
      </w:divBdr>
    </w:div>
    <w:div w:id="888802872">
      <w:bodyDiv w:val="1"/>
      <w:marLeft w:val="0"/>
      <w:marRight w:val="0"/>
      <w:marTop w:val="0"/>
      <w:marBottom w:val="0"/>
      <w:divBdr>
        <w:top w:val="none" w:sz="0" w:space="0" w:color="auto"/>
        <w:left w:val="none" w:sz="0" w:space="0" w:color="auto"/>
        <w:bottom w:val="none" w:sz="0" w:space="0" w:color="auto"/>
        <w:right w:val="none" w:sz="0" w:space="0" w:color="auto"/>
      </w:divBdr>
    </w:div>
    <w:div w:id="889339938">
      <w:bodyDiv w:val="1"/>
      <w:marLeft w:val="0"/>
      <w:marRight w:val="0"/>
      <w:marTop w:val="0"/>
      <w:marBottom w:val="0"/>
      <w:divBdr>
        <w:top w:val="none" w:sz="0" w:space="0" w:color="auto"/>
        <w:left w:val="none" w:sz="0" w:space="0" w:color="auto"/>
        <w:bottom w:val="none" w:sz="0" w:space="0" w:color="auto"/>
        <w:right w:val="none" w:sz="0" w:space="0" w:color="auto"/>
      </w:divBdr>
    </w:div>
    <w:div w:id="917861055">
      <w:bodyDiv w:val="1"/>
      <w:marLeft w:val="0"/>
      <w:marRight w:val="0"/>
      <w:marTop w:val="0"/>
      <w:marBottom w:val="0"/>
      <w:divBdr>
        <w:top w:val="none" w:sz="0" w:space="0" w:color="auto"/>
        <w:left w:val="none" w:sz="0" w:space="0" w:color="auto"/>
        <w:bottom w:val="none" w:sz="0" w:space="0" w:color="auto"/>
        <w:right w:val="none" w:sz="0" w:space="0" w:color="auto"/>
      </w:divBdr>
    </w:div>
    <w:div w:id="926890794">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
    <w:div w:id="938871674">
      <w:bodyDiv w:val="1"/>
      <w:marLeft w:val="0"/>
      <w:marRight w:val="0"/>
      <w:marTop w:val="0"/>
      <w:marBottom w:val="0"/>
      <w:divBdr>
        <w:top w:val="none" w:sz="0" w:space="0" w:color="auto"/>
        <w:left w:val="none" w:sz="0" w:space="0" w:color="auto"/>
        <w:bottom w:val="none" w:sz="0" w:space="0" w:color="auto"/>
        <w:right w:val="none" w:sz="0" w:space="0" w:color="auto"/>
      </w:divBdr>
    </w:div>
    <w:div w:id="954365315">
      <w:bodyDiv w:val="1"/>
      <w:marLeft w:val="0"/>
      <w:marRight w:val="0"/>
      <w:marTop w:val="0"/>
      <w:marBottom w:val="0"/>
      <w:divBdr>
        <w:top w:val="none" w:sz="0" w:space="0" w:color="auto"/>
        <w:left w:val="none" w:sz="0" w:space="0" w:color="auto"/>
        <w:bottom w:val="none" w:sz="0" w:space="0" w:color="auto"/>
        <w:right w:val="none" w:sz="0" w:space="0" w:color="auto"/>
      </w:divBdr>
    </w:div>
    <w:div w:id="986936584">
      <w:bodyDiv w:val="1"/>
      <w:marLeft w:val="0"/>
      <w:marRight w:val="0"/>
      <w:marTop w:val="0"/>
      <w:marBottom w:val="0"/>
      <w:divBdr>
        <w:top w:val="none" w:sz="0" w:space="0" w:color="auto"/>
        <w:left w:val="none" w:sz="0" w:space="0" w:color="auto"/>
        <w:bottom w:val="none" w:sz="0" w:space="0" w:color="auto"/>
        <w:right w:val="none" w:sz="0" w:space="0" w:color="auto"/>
      </w:divBdr>
    </w:div>
    <w:div w:id="107153584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0265615">
      <w:bodyDiv w:val="1"/>
      <w:marLeft w:val="0"/>
      <w:marRight w:val="0"/>
      <w:marTop w:val="0"/>
      <w:marBottom w:val="0"/>
      <w:divBdr>
        <w:top w:val="none" w:sz="0" w:space="0" w:color="auto"/>
        <w:left w:val="none" w:sz="0" w:space="0" w:color="auto"/>
        <w:bottom w:val="none" w:sz="0" w:space="0" w:color="auto"/>
        <w:right w:val="none" w:sz="0" w:space="0" w:color="auto"/>
      </w:divBdr>
    </w:div>
    <w:div w:id="1191068937">
      <w:bodyDiv w:val="1"/>
      <w:marLeft w:val="0"/>
      <w:marRight w:val="0"/>
      <w:marTop w:val="0"/>
      <w:marBottom w:val="0"/>
      <w:divBdr>
        <w:top w:val="none" w:sz="0" w:space="0" w:color="auto"/>
        <w:left w:val="none" w:sz="0" w:space="0" w:color="auto"/>
        <w:bottom w:val="none" w:sz="0" w:space="0" w:color="auto"/>
        <w:right w:val="none" w:sz="0" w:space="0" w:color="auto"/>
      </w:divBdr>
    </w:div>
    <w:div w:id="1192838377">
      <w:bodyDiv w:val="1"/>
      <w:marLeft w:val="0"/>
      <w:marRight w:val="0"/>
      <w:marTop w:val="0"/>
      <w:marBottom w:val="0"/>
      <w:divBdr>
        <w:top w:val="none" w:sz="0" w:space="0" w:color="auto"/>
        <w:left w:val="none" w:sz="0" w:space="0" w:color="auto"/>
        <w:bottom w:val="none" w:sz="0" w:space="0" w:color="auto"/>
        <w:right w:val="none" w:sz="0" w:space="0" w:color="auto"/>
      </w:divBdr>
    </w:div>
    <w:div w:id="122402547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2296861">
      <w:bodyDiv w:val="1"/>
      <w:marLeft w:val="0"/>
      <w:marRight w:val="0"/>
      <w:marTop w:val="0"/>
      <w:marBottom w:val="0"/>
      <w:divBdr>
        <w:top w:val="none" w:sz="0" w:space="0" w:color="auto"/>
        <w:left w:val="none" w:sz="0" w:space="0" w:color="auto"/>
        <w:bottom w:val="none" w:sz="0" w:space="0" w:color="auto"/>
        <w:right w:val="none" w:sz="0" w:space="0" w:color="auto"/>
      </w:divBdr>
    </w:div>
    <w:div w:id="1295526447">
      <w:bodyDiv w:val="1"/>
      <w:marLeft w:val="0"/>
      <w:marRight w:val="0"/>
      <w:marTop w:val="0"/>
      <w:marBottom w:val="0"/>
      <w:divBdr>
        <w:top w:val="none" w:sz="0" w:space="0" w:color="auto"/>
        <w:left w:val="none" w:sz="0" w:space="0" w:color="auto"/>
        <w:bottom w:val="none" w:sz="0" w:space="0" w:color="auto"/>
        <w:right w:val="none" w:sz="0" w:space="0" w:color="auto"/>
      </w:divBdr>
    </w:div>
    <w:div w:id="1306007939">
      <w:bodyDiv w:val="1"/>
      <w:marLeft w:val="0"/>
      <w:marRight w:val="0"/>
      <w:marTop w:val="0"/>
      <w:marBottom w:val="0"/>
      <w:divBdr>
        <w:top w:val="none" w:sz="0" w:space="0" w:color="auto"/>
        <w:left w:val="none" w:sz="0" w:space="0" w:color="auto"/>
        <w:bottom w:val="none" w:sz="0" w:space="0" w:color="auto"/>
        <w:right w:val="none" w:sz="0" w:space="0" w:color="auto"/>
      </w:divBdr>
    </w:div>
    <w:div w:id="1319772109">
      <w:bodyDiv w:val="1"/>
      <w:marLeft w:val="0"/>
      <w:marRight w:val="0"/>
      <w:marTop w:val="0"/>
      <w:marBottom w:val="0"/>
      <w:divBdr>
        <w:top w:val="none" w:sz="0" w:space="0" w:color="auto"/>
        <w:left w:val="none" w:sz="0" w:space="0" w:color="auto"/>
        <w:bottom w:val="none" w:sz="0" w:space="0" w:color="auto"/>
        <w:right w:val="none" w:sz="0" w:space="0" w:color="auto"/>
      </w:divBdr>
    </w:div>
    <w:div w:id="1328285340">
      <w:bodyDiv w:val="1"/>
      <w:marLeft w:val="0"/>
      <w:marRight w:val="0"/>
      <w:marTop w:val="0"/>
      <w:marBottom w:val="0"/>
      <w:divBdr>
        <w:top w:val="none" w:sz="0" w:space="0" w:color="auto"/>
        <w:left w:val="none" w:sz="0" w:space="0" w:color="auto"/>
        <w:bottom w:val="none" w:sz="0" w:space="0" w:color="auto"/>
        <w:right w:val="none" w:sz="0" w:space="0" w:color="auto"/>
      </w:divBdr>
    </w:div>
    <w:div w:id="1345666850">
      <w:bodyDiv w:val="1"/>
      <w:marLeft w:val="0"/>
      <w:marRight w:val="0"/>
      <w:marTop w:val="0"/>
      <w:marBottom w:val="0"/>
      <w:divBdr>
        <w:top w:val="none" w:sz="0" w:space="0" w:color="auto"/>
        <w:left w:val="none" w:sz="0" w:space="0" w:color="auto"/>
        <w:bottom w:val="none" w:sz="0" w:space="0" w:color="auto"/>
        <w:right w:val="none" w:sz="0" w:space="0" w:color="auto"/>
      </w:divBdr>
    </w:div>
    <w:div w:id="1349987761">
      <w:bodyDiv w:val="1"/>
      <w:marLeft w:val="0"/>
      <w:marRight w:val="0"/>
      <w:marTop w:val="0"/>
      <w:marBottom w:val="0"/>
      <w:divBdr>
        <w:top w:val="none" w:sz="0" w:space="0" w:color="auto"/>
        <w:left w:val="none" w:sz="0" w:space="0" w:color="auto"/>
        <w:bottom w:val="none" w:sz="0" w:space="0" w:color="auto"/>
        <w:right w:val="none" w:sz="0" w:space="0" w:color="auto"/>
      </w:divBdr>
    </w:div>
    <w:div w:id="1360398603">
      <w:bodyDiv w:val="1"/>
      <w:marLeft w:val="0"/>
      <w:marRight w:val="0"/>
      <w:marTop w:val="0"/>
      <w:marBottom w:val="0"/>
      <w:divBdr>
        <w:top w:val="none" w:sz="0" w:space="0" w:color="auto"/>
        <w:left w:val="none" w:sz="0" w:space="0" w:color="auto"/>
        <w:bottom w:val="none" w:sz="0" w:space="0" w:color="auto"/>
        <w:right w:val="none" w:sz="0" w:space="0" w:color="auto"/>
      </w:divBdr>
    </w:div>
    <w:div w:id="1372531792">
      <w:bodyDiv w:val="1"/>
      <w:marLeft w:val="0"/>
      <w:marRight w:val="0"/>
      <w:marTop w:val="0"/>
      <w:marBottom w:val="0"/>
      <w:divBdr>
        <w:top w:val="none" w:sz="0" w:space="0" w:color="auto"/>
        <w:left w:val="none" w:sz="0" w:space="0" w:color="auto"/>
        <w:bottom w:val="none" w:sz="0" w:space="0" w:color="auto"/>
        <w:right w:val="none" w:sz="0" w:space="0" w:color="auto"/>
      </w:divBdr>
    </w:div>
    <w:div w:id="1374504732">
      <w:bodyDiv w:val="1"/>
      <w:marLeft w:val="0"/>
      <w:marRight w:val="0"/>
      <w:marTop w:val="0"/>
      <w:marBottom w:val="0"/>
      <w:divBdr>
        <w:top w:val="none" w:sz="0" w:space="0" w:color="auto"/>
        <w:left w:val="none" w:sz="0" w:space="0" w:color="auto"/>
        <w:bottom w:val="none" w:sz="0" w:space="0" w:color="auto"/>
        <w:right w:val="none" w:sz="0" w:space="0" w:color="auto"/>
      </w:divBdr>
    </w:div>
    <w:div w:id="1417510883">
      <w:bodyDiv w:val="1"/>
      <w:marLeft w:val="0"/>
      <w:marRight w:val="0"/>
      <w:marTop w:val="0"/>
      <w:marBottom w:val="0"/>
      <w:divBdr>
        <w:top w:val="none" w:sz="0" w:space="0" w:color="auto"/>
        <w:left w:val="none" w:sz="0" w:space="0" w:color="auto"/>
        <w:bottom w:val="none" w:sz="0" w:space="0" w:color="auto"/>
        <w:right w:val="none" w:sz="0" w:space="0" w:color="auto"/>
      </w:divBdr>
    </w:div>
    <w:div w:id="1424567425">
      <w:bodyDiv w:val="1"/>
      <w:marLeft w:val="0"/>
      <w:marRight w:val="0"/>
      <w:marTop w:val="0"/>
      <w:marBottom w:val="0"/>
      <w:divBdr>
        <w:top w:val="none" w:sz="0" w:space="0" w:color="auto"/>
        <w:left w:val="none" w:sz="0" w:space="0" w:color="auto"/>
        <w:bottom w:val="none" w:sz="0" w:space="0" w:color="auto"/>
        <w:right w:val="none" w:sz="0" w:space="0" w:color="auto"/>
      </w:divBdr>
    </w:div>
    <w:div w:id="1438673594">
      <w:bodyDiv w:val="1"/>
      <w:marLeft w:val="0"/>
      <w:marRight w:val="0"/>
      <w:marTop w:val="0"/>
      <w:marBottom w:val="0"/>
      <w:divBdr>
        <w:top w:val="none" w:sz="0" w:space="0" w:color="auto"/>
        <w:left w:val="none" w:sz="0" w:space="0" w:color="auto"/>
        <w:bottom w:val="none" w:sz="0" w:space="0" w:color="auto"/>
        <w:right w:val="none" w:sz="0" w:space="0" w:color="auto"/>
      </w:divBdr>
    </w:div>
    <w:div w:id="1467505967">
      <w:bodyDiv w:val="1"/>
      <w:marLeft w:val="0"/>
      <w:marRight w:val="0"/>
      <w:marTop w:val="0"/>
      <w:marBottom w:val="0"/>
      <w:divBdr>
        <w:top w:val="none" w:sz="0" w:space="0" w:color="auto"/>
        <w:left w:val="none" w:sz="0" w:space="0" w:color="auto"/>
        <w:bottom w:val="none" w:sz="0" w:space="0" w:color="auto"/>
        <w:right w:val="none" w:sz="0" w:space="0" w:color="auto"/>
      </w:divBdr>
    </w:div>
    <w:div w:id="1495415393">
      <w:bodyDiv w:val="1"/>
      <w:marLeft w:val="0"/>
      <w:marRight w:val="0"/>
      <w:marTop w:val="0"/>
      <w:marBottom w:val="0"/>
      <w:divBdr>
        <w:top w:val="none" w:sz="0" w:space="0" w:color="auto"/>
        <w:left w:val="none" w:sz="0" w:space="0" w:color="auto"/>
        <w:bottom w:val="none" w:sz="0" w:space="0" w:color="auto"/>
        <w:right w:val="none" w:sz="0" w:space="0" w:color="auto"/>
      </w:divBdr>
    </w:div>
    <w:div w:id="1585995663">
      <w:bodyDiv w:val="1"/>
      <w:marLeft w:val="0"/>
      <w:marRight w:val="0"/>
      <w:marTop w:val="0"/>
      <w:marBottom w:val="0"/>
      <w:divBdr>
        <w:top w:val="none" w:sz="0" w:space="0" w:color="auto"/>
        <w:left w:val="none" w:sz="0" w:space="0" w:color="auto"/>
        <w:bottom w:val="none" w:sz="0" w:space="0" w:color="auto"/>
        <w:right w:val="none" w:sz="0" w:space="0" w:color="auto"/>
      </w:divBdr>
    </w:div>
    <w:div w:id="1589533338">
      <w:bodyDiv w:val="1"/>
      <w:marLeft w:val="0"/>
      <w:marRight w:val="0"/>
      <w:marTop w:val="0"/>
      <w:marBottom w:val="0"/>
      <w:divBdr>
        <w:top w:val="none" w:sz="0" w:space="0" w:color="auto"/>
        <w:left w:val="none" w:sz="0" w:space="0" w:color="auto"/>
        <w:bottom w:val="none" w:sz="0" w:space="0" w:color="auto"/>
        <w:right w:val="none" w:sz="0" w:space="0" w:color="auto"/>
      </w:divBdr>
    </w:div>
    <w:div w:id="1589920277">
      <w:bodyDiv w:val="1"/>
      <w:marLeft w:val="0"/>
      <w:marRight w:val="0"/>
      <w:marTop w:val="0"/>
      <w:marBottom w:val="0"/>
      <w:divBdr>
        <w:top w:val="none" w:sz="0" w:space="0" w:color="auto"/>
        <w:left w:val="none" w:sz="0" w:space="0" w:color="auto"/>
        <w:bottom w:val="none" w:sz="0" w:space="0" w:color="auto"/>
        <w:right w:val="none" w:sz="0" w:space="0" w:color="auto"/>
      </w:divBdr>
    </w:div>
    <w:div w:id="1590649862">
      <w:bodyDiv w:val="1"/>
      <w:marLeft w:val="0"/>
      <w:marRight w:val="0"/>
      <w:marTop w:val="0"/>
      <w:marBottom w:val="0"/>
      <w:divBdr>
        <w:top w:val="none" w:sz="0" w:space="0" w:color="auto"/>
        <w:left w:val="none" w:sz="0" w:space="0" w:color="auto"/>
        <w:bottom w:val="none" w:sz="0" w:space="0" w:color="auto"/>
        <w:right w:val="none" w:sz="0" w:space="0" w:color="auto"/>
      </w:divBdr>
    </w:div>
    <w:div w:id="1595553020">
      <w:bodyDiv w:val="1"/>
      <w:marLeft w:val="0"/>
      <w:marRight w:val="0"/>
      <w:marTop w:val="0"/>
      <w:marBottom w:val="0"/>
      <w:divBdr>
        <w:top w:val="none" w:sz="0" w:space="0" w:color="auto"/>
        <w:left w:val="none" w:sz="0" w:space="0" w:color="auto"/>
        <w:bottom w:val="none" w:sz="0" w:space="0" w:color="auto"/>
        <w:right w:val="none" w:sz="0" w:space="0" w:color="auto"/>
      </w:divBdr>
    </w:div>
    <w:div w:id="1611736430">
      <w:bodyDiv w:val="1"/>
      <w:marLeft w:val="0"/>
      <w:marRight w:val="0"/>
      <w:marTop w:val="0"/>
      <w:marBottom w:val="0"/>
      <w:divBdr>
        <w:top w:val="none" w:sz="0" w:space="0" w:color="auto"/>
        <w:left w:val="none" w:sz="0" w:space="0" w:color="auto"/>
        <w:bottom w:val="none" w:sz="0" w:space="0" w:color="auto"/>
        <w:right w:val="none" w:sz="0" w:space="0" w:color="auto"/>
      </w:divBdr>
    </w:div>
    <w:div w:id="1635601509">
      <w:bodyDiv w:val="1"/>
      <w:marLeft w:val="0"/>
      <w:marRight w:val="0"/>
      <w:marTop w:val="0"/>
      <w:marBottom w:val="0"/>
      <w:divBdr>
        <w:top w:val="none" w:sz="0" w:space="0" w:color="auto"/>
        <w:left w:val="none" w:sz="0" w:space="0" w:color="auto"/>
        <w:bottom w:val="none" w:sz="0" w:space="0" w:color="auto"/>
        <w:right w:val="none" w:sz="0" w:space="0" w:color="auto"/>
      </w:divBdr>
    </w:div>
    <w:div w:id="1683892672">
      <w:bodyDiv w:val="1"/>
      <w:marLeft w:val="0"/>
      <w:marRight w:val="0"/>
      <w:marTop w:val="0"/>
      <w:marBottom w:val="0"/>
      <w:divBdr>
        <w:top w:val="none" w:sz="0" w:space="0" w:color="auto"/>
        <w:left w:val="none" w:sz="0" w:space="0" w:color="auto"/>
        <w:bottom w:val="none" w:sz="0" w:space="0" w:color="auto"/>
        <w:right w:val="none" w:sz="0" w:space="0" w:color="auto"/>
      </w:divBdr>
    </w:div>
    <w:div w:id="1685092071">
      <w:bodyDiv w:val="1"/>
      <w:marLeft w:val="0"/>
      <w:marRight w:val="0"/>
      <w:marTop w:val="0"/>
      <w:marBottom w:val="0"/>
      <w:divBdr>
        <w:top w:val="none" w:sz="0" w:space="0" w:color="auto"/>
        <w:left w:val="none" w:sz="0" w:space="0" w:color="auto"/>
        <w:bottom w:val="none" w:sz="0" w:space="0" w:color="auto"/>
        <w:right w:val="none" w:sz="0" w:space="0" w:color="auto"/>
      </w:divBdr>
    </w:div>
    <w:div w:id="1694962561">
      <w:bodyDiv w:val="1"/>
      <w:marLeft w:val="0"/>
      <w:marRight w:val="0"/>
      <w:marTop w:val="0"/>
      <w:marBottom w:val="0"/>
      <w:divBdr>
        <w:top w:val="none" w:sz="0" w:space="0" w:color="auto"/>
        <w:left w:val="none" w:sz="0" w:space="0" w:color="auto"/>
        <w:bottom w:val="none" w:sz="0" w:space="0" w:color="auto"/>
        <w:right w:val="none" w:sz="0" w:space="0" w:color="auto"/>
      </w:divBdr>
    </w:div>
    <w:div w:id="1721248199">
      <w:bodyDiv w:val="1"/>
      <w:marLeft w:val="0"/>
      <w:marRight w:val="0"/>
      <w:marTop w:val="0"/>
      <w:marBottom w:val="0"/>
      <w:divBdr>
        <w:top w:val="none" w:sz="0" w:space="0" w:color="auto"/>
        <w:left w:val="none" w:sz="0" w:space="0" w:color="auto"/>
        <w:bottom w:val="none" w:sz="0" w:space="0" w:color="auto"/>
        <w:right w:val="none" w:sz="0" w:space="0" w:color="auto"/>
      </w:divBdr>
    </w:div>
    <w:div w:id="1727796191">
      <w:bodyDiv w:val="1"/>
      <w:marLeft w:val="0"/>
      <w:marRight w:val="0"/>
      <w:marTop w:val="0"/>
      <w:marBottom w:val="0"/>
      <w:divBdr>
        <w:top w:val="none" w:sz="0" w:space="0" w:color="auto"/>
        <w:left w:val="none" w:sz="0" w:space="0" w:color="auto"/>
        <w:bottom w:val="none" w:sz="0" w:space="0" w:color="auto"/>
        <w:right w:val="none" w:sz="0" w:space="0" w:color="auto"/>
      </w:divBdr>
    </w:div>
    <w:div w:id="1732726627">
      <w:bodyDiv w:val="1"/>
      <w:marLeft w:val="0"/>
      <w:marRight w:val="0"/>
      <w:marTop w:val="0"/>
      <w:marBottom w:val="0"/>
      <w:divBdr>
        <w:top w:val="none" w:sz="0" w:space="0" w:color="auto"/>
        <w:left w:val="none" w:sz="0" w:space="0" w:color="auto"/>
        <w:bottom w:val="none" w:sz="0" w:space="0" w:color="auto"/>
        <w:right w:val="none" w:sz="0" w:space="0" w:color="auto"/>
      </w:divBdr>
    </w:div>
    <w:div w:id="1747992724">
      <w:bodyDiv w:val="1"/>
      <w:marLeft w:val="0"/>
      <w:marRight w:val="0"/>
      <w:marTop w:val="0"/>
      <w:marBottom w:val="0"/>
      <w:divBdr>
        <w:top w:val="none" w:sz="0" w:space="0" w:color="auto"/>
        <w:left w:val="none" w:sz="0" w:space="0" w:color="auto"/>
        <w:bottom w:val="none" w:sz="0" w:space="0" w:color="auto"/>
        <w:right w:val="none" w:sz="0" w:space="0" w:color="auto"/>
      </w:divBdr>
    </w:div>
    <w:div w:id="1750804999">
      <w:bodyDiv w:val="1"/>
      <w:marLeft w:val="0"/>
      <w:marRight w:val="0"/>
      <w:marTop w:val="0"/>
      <w:marBottom w:val="0"/>
      <w:divBdr>
        <w:top w:val="none" w:sz="0" w:space="0" w:color="auto"/>
        <w:left w:val="none" w:sz="0" w:space="0" w:color="auto"/>
        <w:bottom w:val="none" w:sz="0" w:space="0" w:color="auto"/>
        <w:right w:val="none" w:sz="0" w:space="0" w:color="auto"/>
      </w:divBdr>
    </w:div>
    <w:div w:id="1765832818">
      <w:bodyDiv w:val="1"/>
      <w:marLeft w:val="0"/>
      <w:marRight w:val="0"/>
      <w:marTop w:val="0"/>
      <w:marBottom w:val="0"/>
      <w:divBdr>
        <w:top w:val="none" w:sz="0" w:space="0" w:color="auto"/>
        <w:left w:val="none" w:sz="0" w:space="0" w:color="auto"/>
        <w:bottom w:val="none" w:sz="0" w:space="0" w:color="auto"/>
        <w:right w:val="none" w:sz="0" w:space="0" w:color="auto"/>
      </w:divBdr>
    </w:div>
    <w:div w:id="1788624165">
      <w:bodyDiv w:val="1"/>
      <w:marLeft w:val="0"/>
      <w:marRight w:val="0"/>
      <w:marTop w:val="0"/>
      <w:marBottom w:val="0"/>
      <w:divBdr>
        <w:top w:val="none" w:sz="0" w:space="0" w:color="auto"/>
        <w:left w:val="none" w:sz="0" w:space="0" w:color="auto"/>
        <w:bottom w:val="none" w:sz="0" w:space="0" w:color="auto"/>
        <w:right w:val="none" w:sz="0" w:space="0" w:color="auto"/>
      </w:divBdr>
    </w:div>
    <w:div w:id="1797988958">
      <w:bodyDiv w:val="1"/>
      <w:marLeft w:val="0"/>
      <w:marRight w:val="0"/>
      <w:marTop w:val="0"/>
      <w:marBottom w:val="0"/>
      <w:divBdr>
        <w:top w:val="none" w:sz="0" w:space="0" w:color="auto"/>
        <w:left w:val="none" w:sz="0" w:space="0" w:color="auto"/>
        <w:bottom w:val="none" w:sz="0" w:space="0" w:color="auto"/>
        <w:right w:val="none" w:sz="0" w:space="0" w:color="auto"/>
      </w:divBdr>
    </w:div>
    <w:div w:id="1830251465">
      <w:bodyDiv w:val="1"/>
      <w:marLeft w:val="0"/>
      <w:marRight w:val="0"/>
      <w:marTop w:val="0"/>
      <w:marBottom w:val="0"/>
      <w:divBdr>
        <w:top w:val="none" w:sz="0" w:space="0" w:color="auto"/>
        <w:left w:val="none" w:sz="0" w:space="0" w:color="auto"/>
        <w:bottom w:val="none" w:sz="0" w:space="0" w:color="auto"/>
        <w:right w:val="none" w:sz="0" w:space="0" w:color="auto"/>
      </w:divBdr>
    </w:div>
    <w:div w:id="1844929041">
      <w:bodyDiv w:val="1"/>
      <w:marLeft w:val="0"/>
      <w:marRight w:val="0"/>
      <w:marTop w:val="0"/>
      <w:marBottom w:val="0"/>
      <w:divBdr>
        <w:top w:val="none" w:sz="0" w:space="0" w:color="auto"/>
        <w:left w:val="none" w:sz="0" w:space="0" w:color="auto"/>
        <w:bottom w:val="none" w:sz="0" w:space="0" w:color="auto"/>
        <w:right w:val="none" w:sz="0" w:space="0" w:color="auto"/>
      </w:divBdr>
    </w:div>
    <w:div w:id="1861774452">
      <w:bodyDiv w:val="1"/>
      <w:marLeft w:val="0"/>
      <w:marRight w:val="0"/>
      <w:marTop w:val="0"/>
      <w:marBottom w:val="0"/>
      <w:divBdr>
        <w:top w:val="none" w:sz="0" w:space="0" w:color="auto"/>
        <w:left w:val="none" w:sz="0" w:space="0" w:color="auto"/>
        <w:bottom w:val="none" w:sz="0" w:space="0" w:color="auto"/>
        <w:right w:val="none" w:sz="0" w:space="0" w:color="auto"/>
      </w:divBdr>
    </w:div>
    <w:div w:id="1901553516">
      <w:bodyDiv w:val="1"/>
      <w:marLeft w:val="0"/>
      <w:marRight w:val="0"/>
      <w:marTop w:val="0"/>
      <w:marBottom w:val="0"/>
      <w:divBdr>
        <w:top w:val="none" w:sz="0" w:space="0" w:color="auto"/>
        <w:left w:val="none" w:sz="0" w:space="0" w:color="auto"/>
        <w:bottom w:val="none" w:sz="0" w:space="0" w:color="auto"/>
        <w:right w:val="none" w:sz="0" w:space="0" w:color="auto"/>
      </w:divBdr>
    </w:div>
    <w:div w:id="1929800844">
      <w:bodyDiv w:val="1"/>
      <w:marLeft w:val="0"/>
      <w:marRight w:val="0"/>
      <w:marTop w:val="0"/>
      <w:marBottom w:val="0"/>
      <w:divBdr>
        <w:top w:val="none" w:sz="0" w:space="0" w:color="auto"/>
        <w:left w:val="none" w:sz="0" w:space="0" w:color="auto"/>
        <w:bottom w:val="none" w:sz="0" w:space="0" w:color="auto"/>
        <w:right w:val="none" w:sz="0" w:space="0" w:color="auto"/>
      </w:divBdr>
    </w:div>
    <w:div w:id="19516624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1692652">
      <w:bodyDiv w:val="1"/>
      <w:marLeft w:val="0"/>
      <w:marRight w:val="0"/>
      <w:marTop w:val="0"/>
      <w:marBottom w:val="0"/>
      <w:divBdr>
        <w:top w:val="none" w:sz="0" w:space="0" w:color="auto"/>
        <w:left w:val="none" w:sz="0" w:space="0" w:color="auto"/>
        <w:bottom w:val="none" w:sz="0" w:space="0" w:color="auto"/>
        <w:right w:val="none" w:sz="0" w:space="0" w:color="auto"/>
      </w:divBdr>
    </w:div>
    <w:div w:id="1987467809">
      <w:bodyDiv w:val="1"/>
      <w:marLeft w:val="0"/>
      <w:marRight w:val="0"/>
      <w:marTop w:val="0"/>
      <w:marBottom w:val="0"/>
      <w:divBdr>
        <w:top w:val="none" w:sz="0" w:space="0" w:color="auto"/>
        <w:left w:val="none" w:sz="0" w:space="0" w:color="auto"/>
        <w:bottom w:val="none" w:sz="0" w:space="0" w:color="auto"/>
        <w:right w:val="none" w:sz="0" w:space="0" w:color="auto"/>
      </w:divBdr>
    </w:div>
    <w:div w:id="2081822982">
      <w:bodyDiv w:val="1"/>
      <w:marLeft w:val="0"/>
      <w:marRight w:val="0"/>
      <w:marTop w:val="0"/>
      <w:marBottom w:val="0"/>
      <w:divBdr>
        <w:top w:val="none" w:sz="0" w:space="0" w:color="auto"/>
        <w:left w:val="none" w:sz="0" w:space="0" w:color="auto"/>
        <w:bottom w:val="none" w:sz="0" w:space="0" w:color="auto"/>
        <w:right w:val="none" w:sz="0" w:space="0" w:color="auto"/>
      </w:divBdr>
    </w:div>
    <w:div w:id="2083720745">
      <w:bodyDiv w:val="1"/>
      <w:marLeft w:val="0"/>
      <w:marRight w:val="0"/>
      <w:marTop w:val="0"/>
      <w:marBottom w:val="0"/>
      <w:divBdr>
        <w:top w:val="none" w:sz="0" w:space="0" w:color="auto"/>
        <w:left w:val="none" w:sz="0" w:space="0" w:color="auto"/>
        <w:bottom w:val="none" w:sz="0" w:space="0" w:color="auto"/>
        <w:right w:val="none" w:sz="0" w:space="0" w:color="auto"/>
      </w:divBdr>
    </w:div>
    <w:div w:id="212765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F9EC4-A086-403A-92D4-CCA111C2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21759</Words>
  <Characters>123666</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2023-06-26T22:49:00Z</dcterms:created>
  <dcterms:modified xsi:type="dcterms:W3CDTF">2023-06-26T22:50:00Z</dcterms:modified>
</cp:coreProperties>
</file>