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EF4FFA" w:rsidRDefault="00FF2E64" w:rsidP="004A6040">
      <w:pPr>
        <w:pStyle w:val="1-MainHeading"/>
      </w:pPr>
      <w:r w:rsidRPr="00EF4FFA">
        <w:t>5.01</w:t>
      </w:r>
      <w:r w:rsidR="00163F66" w:rsidRPr="00EF4FFA">
        <w:tab/>
      </w:r>
      <w:r w:rsidR="00D17881" w:rsidRPr="00EF4FFA">
        <w:t>ACALABRUTINIB</w:t>
      </w:r>
      <w:proofErr w:type="gramStart"/>
      <w:r w:rsidR="00163F66" w:rsidRPr="00EF4FFA">
        <w:t>,</w:t>
      </w:r>
      <w:proofErr w:type="gramEnd"/>
      <w:r w:rsidR="00163F66" w:rsidRPr="00EF4FFA">
        <w:br/>
      </w:r>
      <w:r w:rsidR="00D17881" w:rsidRPr="00EF4FFA">
        <w:t>Capsule 100 mg</w:t>
      </w:r>
      <w:r w:rsidR="00163F66" w:rsidRPr="00EF4FFA">
        <w:t>,</w:t>
      </w:r>
      <w:r w:rsidR="00163F66" w:rsidRPr="00EF4FFA">
        <w:br/>
      </w:r>
      <w:r w:rsidR="00D17881" w:rsidRPr="00EF4FFA">
        <w:t>Calquence</w:t>
      </w:r>
      <w:r w:rsidR="00D17881" w:rsidRPr="00EF4FFA">
        <w:rPr>
          <w:vertAlign w:val="superscript"/>
        </w:rPr>
        <w:t>®</w:t>
      </w:r>
      <w:r w:rsidR="00163F66" w:rsidRPr="00EF4FFA">
        <w:t>,</w:t>
      </w:r>
      <w:r w:rsidR="00163F66" w:rsidRPr="00EF4FFA">
        <w:br/>
      </w:r>
      <w:r w:rsidR="00BB1699" w:rsidRPr="00EF4FFA">
        <w:t>AstraZeneca Pty Ltd</w:t>
      </w:r>
    </w:p>
    <w:p w:rsidR="00B50DB8" w:rsidRPr="00EF4FFA" w:rsidRDefault="00B50DB8" w:rsidP="004A6040">
      <w:pPr>
        <w:pStyle w:val="2-SectionHeading"/>
      </w:pPr>
      <w:bookmarkStart w:id="0" w:name="_Toc40350891"/>
      <w:r w:rsidRPr="00EF4FFA">
        <w:t xml:space="preserve">Purpose of </w:t>
      </w:r>
      <w:r w:rsidR="00CD7193" w:rsidRPr="00EF4FFA">
        <w:t>s</w:t>
      </w:r>
      <w:r w:rsidR="00BB3A45" w:rsidRPr="00EF4FFA">
        <w:t>ubmission</w:t>
      </w:r>
      <w:bookmarkEnd w:id="0"/>
    </w:p>
    <w:p w:rsidR="00AA460A" w:rsidRPr="00EF4FFA" w:rsidRDefault="00DE6B30" w:rsidP="00DE6B30">
      <w:pPr>
        <w:pStyle w:val="ExecSumBodyText"/>
      </w:pPr>
      <w:r>
        <w:t>1.1</w:t>
      </w:r>
      <w:r>
        <w:tab/>
      </w:r>
      <w:r w:rsidR="000279E2" w:rsidRPr="00EF4FFA">
        <w:t>The submission requested</w:t>
      </w:r>
      <w:r w:rsidR="00AA460A" w:rsidRPr="00EF4FFA">
        <w:t xml:space="preserve"> </w:t>
      </w:r>
      <w:r w:rsidR="00ED71C1" w:rsidRPr="00EF4FFA">
        <w:t xml:space="preserve">extending the March 2020 recommendation to also include </w:t>
      </w:r>
      <w:r w:rsidR="00AA460A" w:rsidRPr="00EF4FFA">
        <w:t xml:space="preserve">a Section 85 (General Schedule), Authority </w:t>
      </w:r>
      <w:proofErr w:type="gramStart"/>
      <w:r w:rsidR="00AA460A" w:rsidRPr="00EF4FFA">
        <w:t>Required</w:t>
      </w:r>
      <w:proofErr w:type="gramEnd"/>
      <w:r w:rsidR="00AA460A" w:rsidRPr="00EF4FFA">
        <w:t xml:space="preserve"> listing</w:t>
      </w:r>
      <w:r w:rsidR="00BC4807">
        <w:t xml:space="preserve"> </w:t>
      </w:r>
      <w:r w:rsidR="00AA2327" w:rsidRPr="00EF4FFA">
        <w:t>for use as monotherapy</w:t>
      </w:r>
      <w:r w:rsidR="004D6543" w:rsidRPr="00EF4FFA">
        <w:t>,</w:t>
      </w:r>
      <w:r w:rsidR="00AA2327" w:rsidRPr="00EF4FFA">
        <w:t xml:space="preserve"> or in combination with obinutuzumab,</w:t>
      </w:r>
      <w:r w:rsidR="004D6543" w:rsidRPr="00EF4FFA">
        <w:t xml:space="preserve"> for the treatment of</w:t>
      </w:r>
      <w:r w:rsidR="00AA460A" w:rsidRPr="00EF4FFA">
        <w:t>:</w:t>
      </w:r>
      <w:r w:rsidR="000279E2" w:rsidRPr="00EF4FFA">
        <w:t xml:space="preserve"> </w:t>
      </w:r>
    </w:p>
    <w:p w:rsidR="00AA460A" w:rsidRPr="00EF4FFA" w:rsidRDefault="000279E2" w:rsidP="0093038C">
      <w:pPr>
        <w:pStyle w:val="ExecSumBodyText"/>
        <w:numPr>
          <w:ilvl w:val="1"/>
          <w:numId w:val="17"/>
        </w:numPr>
        <w:ind w:left="1077" w:hanging="357"/>
      </w:pPr>
      <w:r w:rsidRPr="00EF4FFA">
        <w:t>patients with untreated chronic lymphocytic leukaemia (CLL) or small lymphocytic lymphoma (SLL) considered unsuitable for treatment with a purine analogue</w:t>
      </w:r>
      <w:r w:rsidR="00AA460A" w:rsidRPr="00EF4FFA">
        <w:t>; or</w:t>
      </w:r>
    </w:p>
    <w:p w:rsidR="00DE6B30" w:rsidRPr="00EF4FFA" w:rsidRDefault="00AA460A" w:rsidP="00DE6B30">
      <w:pPr>
        <w:pStyle w:val="ExecSumBodyText"/>
        <w:numPr>
          <w:ilvl w:val="1"/>
          <w:numId w:val="17"/>
        </w:numPr>
        <w:ind w:left="1077" w:hanging="357"/>
      </w:pPr>
      <w:proofErr w:type="gramStart"/>
      <w:r w:rsidRPr="00EF4FFA">
        <w:t>patients</w:t>
      </w:r>
      <w:proofErr w:type="gramEnd"/>
      <w:r w:rsidRPr="00EF4FFA">
        <w:t xml:space="preserve"> with untreated CLL or SLL who harbour a 17p deletion</w:t>
      </w:r>
      <w:r w:rsidR="000279E2" w:rsidRPr="00EF4FFA">
        <w:t>.</w:t>
      </w:r>
    </w:p>
    <w:p w:rsidR="00C2778B" w:rsidRDefault="00DE6B30" w:rsidP="000279E2">
      <w:pPr>
        <w:pStyle w:val="ExecSumBodyText"/>
      </w:pPr>
      <w:r>
        <w:t>1.2</w:t>
      </w:r>
      <w:r>
        <w:tab/>
      </w:r>
      <w:r w:rsidR="005750C5" w:rsidRPr="00EF4FFA">
        <w:t xml:space="preserve">Listing </w:t>
      </w:r>
      <w:r w:rsidR="00AA460A" w:rsidRPr="00EF4FFA">
        <w:t xml:space="preserve">for acalabrutinib monotherapy and acalabrutinib + obinutuzumab </w:t>
      </w:r>
      <w:r w:rsidR="005D4B91" w:rsidRPr="00EF4FFA">
        <w:t xml:space="preserve">in the population </w:t>
      </w:r>
      <w:r w:rsidR="007D2CB9">
        <w:t xml:space="preserve">unsuitable for treatment with a purine analogue </w:t>
      </w:r>
      <w:r w:rsidR="005750C5" w:rsidRPr="00EF4FFA">
        <w:t xml:space="preserve">was requested on the </w:t>
      </w:r>
      <w:r w:rsidR="000279E2" w:rsidRPr="00EF4FFA">
        <w:t>basis of a cost-effectiveness</w:t>
      </w:r>
      <w:r w:rsidR="005750C5" w:rsidRPr="00EF4FFA">
        <w:t xml:space="preserve"> analysis versus</w:t>
      </w:r>
      <w:r w:rsidR="000279E2" w:rsidRPr="00EF4FFA">
        <w:t xml:space="preserve"> chlorambucil + obin</w:t>
      </w:r>
      <w:r w:rsidR="00564A62" w:rsidRPr="00EF4FFA">
        <w:t>utuzumab</w:t>
      </w:r>
      <w:r w:rsidR="00AA460A" w:rsidRPr="00EF4FFA">
        <w:t xml:space="preserve">. Listing </w:t>
      </w:r>
      <w:r w:rsidR="005D4B91" w:rsidRPr="00EF4FFA">
        <w:t xml:space="preserve">for </w:t>
      </w:r>
      <w:r w:rsidR="00AA2327" w:rsidRPr="00EF4FFA">
        <w:t xml:space="preserve">acalabrutinib monotherapy and acalabrutinib + obinutuzumab </w:t>
      </w:r>
      <w:r w:rsidR="00AA460A" w:rsidRPr="00EF4FFA">
        <w:t xml:space="preserve">in the population of patients who harbour a 17p deletion was requested </w:t>
      </w:r>
      <w:r w:rsidR="00564A62" w:rsidRPr="00EF4FFA">
        <w:t xml:space="preserve">on the basis of </w:t>
      </w:r>
      <w:r w:rsidR="000279E2" w:rsidRPr="00EF4FFA">
        <w:t xml:space="preserve">a cost-minimisation analysis </w:t>
      </w:r>
      <w:r w:rsidR="00AA2327" w:rsidRPr="00EF4FFA">
        <w:t>between acalabrutinib monotherapy and</w:t>
      </w:r>
      <w:r w:rsidR="000279E2" w:rsidRPr="00EF4FFA">
        <w:t xml:space="preserve"> ibrutinib monotherapy.</w:t>
      </w:r>
    </w:p>
    <w:p w:rsidR="00DE6B30" w:rsidRPr="00EF4FFA" w:rsidRDefault="00DE6B30" w:rsidP="000279E2">
      <w:pPr>
        <w:pStyle w:val="ExecSumBodyText"/>
      </w:pPr>
    </w:p>
    <w:p w:rsidR="008B1757" w:rsidRPr="00EF4FFA" w:rsidRDefault="000279E2" w:rsidP="00230DB1">
      <w:pPr>
        <w:pStyle w:val="TableFigureCaption"/>
      </w:pPr>
      <w:r w:rsidRPr="00EF4FFA">
        <w:lastRenderedPageBreak/>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EF4FFA" w:rsidTr="005C17A9">
        <w:trPr>
          <w:cantSplit/>
          <w:tblHeader/>
        </w:trPr>
        <w:tc>
          <w:tcPr>
            <w:tcW w:w="705" w:type="pct"/>
            <w:shd w:val="clear" w:color="auto" w:fill="auto"/>
            <w:tcMar>
              <w:left w:w="28" w:type="dxa"/>
              <w:right w:w="28" w:type="dxa"/>
            </w:tcMar>
          </w:tcPr>
          <w:p w:rsidR="008B1757" w:rsidRPr="00EF4FFA" w:rsidRDefault="008B1757" w:rsidP="004A6040">
            <w:pPr>
              <w:pStyle w:val="Tableheadingrow"/>
              <w:rPr>
                <w:szCs w:val="20"/>
                <w:lang w:val="en-AU"/>
              </w:rPr>
            </w:pPr>
            <w:r w:rsidRPr="00EF4FFA">
              <w:rPr>
                <w:lang w:val="en-AU"/>
              </w:rPr>
              <w:t>Component</w:t>
            </w:r>
          </w:p>
        </w:tc>
        <w:tc>
          <w:tcPr>
            <w:tcW w:w="4295" w:type="pct"/>
            <w:shd w:val="clear" w:color="auto" w:fill="auto"/>
            <w:tcMar>
              <w:left w:w="28" w:type="dxa"/>
              <w:right w:w="28" w:type="dxa"/>
            </w:tcMar>
          </w:tcPr>
          <w:p w:rsidR="008B1757" w:rsidRPr="00EF4FFA" w:rsidRDefault="008B1757" w:rsidP="004A6040">
            <w:pPr>
              <w:pStyle w:val="Tableheadingrow"/>
              <w:rPr>
                <w:lang w:val="en-AU"/>
              </w:rPr>
            </w:pPr>
            <w:r w:rsidRPr="00EF4FFA">
              <w:rPr>
                <w:lang w:val="en-AU"/>
              </w:rPr>
              <w:t>Description</w:t>
            </w:r>
          </w:p>
        </w:tc>
      </w:tr>
      <w:tr w:rsidR="000279E2" w:rsidRPr="00EF4FFA" w:rsidTr="005C17A9">
        <w:trPr>
          <w:cantSplit/>
        </w:trPr>
        <w:tc>
          <w:tcPr>
            <w:tcW w:w="705" w:type="pct"/>
            <w:shd w:val="clear" w:color="auto" w:fill="auto"/>
            <w:tcMar>
              <w:left w:w="28" w:type="dxa"/>
              <w:right w:w="28" w:type="dxa"/>
            </w:tcMar>
          </w:tcPr>
          <w:p w:rsidR="000279E2" w:rsidRPr="00EF4FFA" w:rsidRDefault="000279E2" w:rsidP="000279E2">
            <w:pPr>
              <w:pStyle w:val="TableText"/>
            </w:pPr>
            <w:r w:rsidRPr="00EF4FFA">
              <w:t>Population</w:t>
            </w:r>
          </w:p>
        </w:tc>
        <w:tc>
          <w:tcPr>
            <w:tcW w:w="4295" w:type="pct"/>
            <w:shd w:val="clear" w:color="auto" w:fill="auto"/>
            <w:tcMar>
              <w:left w:w="28" w:type="dxa"/>
              <w:right w:w="28" w:type="dxa"/>
            </w:tcMar>
          </w:tcPr>
          <w:p w:rsidR="006A755A" w:rsidRPr="00EF4FFA" w:rsidRDefault="000279E2" w:rsidP="000279E2">
            <w:pPr>
              <w:pStyle w:val="TableText"/>
            </w:pPr>
            <w:r w:rsidRPr="00EF4FFA">
              <w:t>Patients with previously untreated CLL or SLL considered unsuitable for treatment with a purine analogue</w:t>
            </w:r>
            <w:r w:rsidR="006A755A" w:rsidRPr="00EF4FFA">
              <w:t>; OR</w:t>
            </w:r>
          </w:p>
          <w:p w:rsidR="000279E2" w:rsidRPr="00EF4FFA" w:rsidRDefault="006A755A" w:rsidP="00A461C5">
            <w:pPr>
              <w:pStyle w:val="TableText"/>
              <w:rPr>
                <w:szCs w:val="20"/>
              </w:rPr>
            </w:pPr>
            <w:r w:rsidRPr="00EF4FFA">
              <w:t>Patients with previously untreated CLL or SLL who ha</w:t>
            </w:r>
            <w:r w:rsidR="00A16B3F" w:rsidRPr="00EF4FFA">
              <w:t>rbour</w:t>
            </w:r>
            <w:r w:rsidRPr="00EF4FFA">
              <w:t xml:space="preserve"> a 17p deletion.</w:t>
            </w:r>
          </w:p>
        </w:tc>
      </w:tr>
      <w:tr w:rsidR="000279E2" w:rsidRPr="00EF4FFA" w:rsidTr="005C17A9">
        <w:trPr>
          <w:cantSplit/>
        </w:trPr>
        <w:tc>
          <w:tcPr>
            <w:tcW w:w="705" w:type="pct"/>
            <w:shd w:val="clear" w:color="auto" w:fill="auto"/>
            <w:tcMar>
              <w:left w:w="28" w:type="dxa"/>
              <w:right w:w="28" w:type="dxa"/>
            </w:tcMar>
          </w:tcPr>
          <w:p w:rsidR="000279E2" w:rsidRPr="00EF4FFA" w:rsidRDefault="000279E2" w:rsidP="000279E2">
            <w:pPr>
              <w:pStyle w:val="TableText"/>
            </w:pPr>
            <w:r w:rsidRPr="00EF4FFA">
              <w:t>Intervention</w:t>
            </w:r>
          </w:p>
        </w:tc>
        <w:tc>
          <w:tcPr>
            <w:tcW w:w="4295" w:type="pct"/>
            <w:shd w:val="clear" w:color="auto" w:fill="auto"/>
            <w:tcMar>
              <w:left w:w="28" w:type="dxa"/>
              <w:right w:w="28" w:type="dxa"/>
            </w:tcMar>
          </w:tcPr>
          <w:p w:rsidR="00847271" w:rsidRPr="00EF4FFA" w:rsidRDefault="000279E2" w:rsidP="0093038C">
            <w:pPr>
              <w:pStyle w:val="TableText"/>
              <w:numPr>
                <w:ilvl w:val="0"/>
                <w:numId w:val="6"/>
              </w:numPr>
              <w:ind w:left="96" w:hanging="113"/>
            </w:pPr>
            <w:r w:rsidRPr="00EF4FFA">
              <w:t>Oral acalabrutinib 100 mg twice daily until disease progression or unacceptable toxicity</w:t>
            </w:r>
          </w:p>
          <w:p w:rsidR="000279E2" w:rsidRPr="00EF4FFA" w:rsidRDefault="000279E2" w:rsidP="0093038C">
            <w:pPr>
              <w:pStyle w:val="TableText"/>
              <w:numPr>
                <w:ilvl w:val="0"/>
                <w:numId w:val="6"/>
              </w:numPr>
              <w:ind w:left="96" w:hanging="113"/>
            </w:pPr>
            <w:r w:rsidRPr="00EF4FFA">
              <w:t xml:space="preserve">Oral acalabrutinib 100 mg twice daily until disease progression or unacceptable toxicity </w:t>
            </w:r>
            <w:r w:rsidR="00B94BCF" w:rsidRPr="00EF4FFA">
              <w:t>+ IV</w:t>
            </w:r>
            <w:r w:rsidRPr="00EF4FFA">
              <w:t xml:space="preserve"> obinutuzumab </w:t>
            </w:r>
            <w:r w:rsidR="001D0C02" w:rsidRPr="00EF4FFA">
              <w:t>eight infusions of 1,000 mg over</w:t>
            </w:r>
            <w:r w:rsidRPr="00EF4FFA">
              <w:t xml:space="preserve"> six cycles</w:t>
            </w:r>
          </w:p>
        </w:tc>
      </w:tr>
      <w:tr w:rsidR="000279E2" w:rsidRPr="00EF4FFA" w:rsidTr="005C17A9">
        <w:trPr>
          <w:cantSplit/>
        </w:trPr>
        <w:tc>
          <w:tcPr>
            <w:tcW w:w="705" w:type="pct"/>
            <w:shd w:val="clear" w:color="auto" w:fill="auto"/>
            <w:tcMar>
              <w:left w:w="28" w:type="dxa"/>
              <w:right w:w="28" w:type="dxa"/>
            </w:tcMar>
          </w:tcPr>
          <w:p w:rsidR="000279E2" w:rsidRPr="00EF4FFA" w:rsidRDefault="000279E2" w:rsidP="000279E2">
            <w:pPr>
              <w:pStyle w:val="TableText"/>
            </w:pPr>
            <w:r w:rsidRPr="00EF4FFA">
              <w:t>Comparator</w:t>
            </w:r>
          </w:p>
        </w:tc>
        <w:tc>
          <w:tcPr>
            <w:tcW w:w="4295" w:type="pct"/>
            <w:shd w:val="clear" w:color="auto" w:fill="auto"/>
            <w:tcMar>
              <w:left w:w="28" w:type="dxa"/>
              <w:right w:w="28" w:type="dxa"/>
            </w:tcMar>
          </w:tcPr>
          <w:p w:rsidR="000279E2" w:rsidRPr="00EF4FFA" w:rsidRDefault="00E45551" w:rsidP="00E45551">
            <w:pPr>
              <w:pStyle w:val="TableText"/>
              <w:rPr>
                <w:szCs w:val="20"/>
              </w:rPr>
            </w:pPr>
            <w:r w:rsidRPr="00EF4FFA">
              <w:rPr>
                <w:szCs w:val="20"/>
                <w:u w:val="single"/>
              </w:rPr>
              <w:t>Primary comparator</w:t>
            </w:r>
            <w:r w:rsidRPr="00EF4FFA">
              <w:rPr>
                <w:szCs w:val="20"/>
              </w:rPr>
              <w:t xml:space="preserve">: </w:t>
            </w:r>
            <w:r w:rsidR="000279E2" w:rsidRPr="00EF4FFA">
              <w:rPr>
                <w:szCs w:val="20"/>
              </w:rPr>
              <w:t xml:space="preserve">Oral chlorambucil for </w:t>
            </w:r>
            <w:r w:rsidR="000210E8" w:rsidRPr="00EF4FFA">
              <w:rPr>
                <w:szCs w:val="20"/>
              </w:rPr>
              <w:t>6</w:t>
            </w:r>
            <w:r w:rsidR="000279E2" w:rsidRPr="00EF4FFA">
              <w:rPr>
                <w:szCs w:val="20"/>
              </w:rPr>
              <w:t xml:space="preserve"> cycles + </w:t>
            </w:r>
            <w:r w:rsidR="000210E8" w:rsidRPr="00EF4FFA">
              <w:rPr>
                <w:szCs w:val="20"/>
              </w:rPr>
              <w:t>IV</w:t>
            </w:r>
            <w:r w:rsidR="000279E2" w:rsidRPr="00EF4FFA">
              <w:rPr>
                <w:szCs w:val="20"/>
              </w:rPr>
              <w:t xml:space="preserve"> obinutuzumab </w:t>
            </w:r>
            <w:r w:rsidR="000210E8" w:rsidRPr="00EF4FFA">
              <w:rPr>
                <w:szCs w:val="20"/>
              </w:rPr>
              <w:t>8</w:t>
            </w:r>
            <w:r w:rsidR="00E15420" w:rsidRPr="00EF4FFA">
              <w:rPr>
                <w:szCs w:val="20"/>
              </w:rPr>
              <w:t xml:space="preserve"> infusions of 1,000 mg over</w:t>
            </w:r>
            <w:r w:rsidR="000279E2" w:rsidRPr="00EF4FFA">
              <w:rPr>
                <w:szCs w:val="20"/>
              </w:rPr>
              <w:t xml:space="preserve"> </w:t>
            </w:r>
            <w:r w:rsidR="000210E8" w:rsidRPr="00EF4FFA">
              <w:rPr>
                <w:szCs w:val="20"/>
              </w:rPr>
              <w:t>6</w:t>
            </w:r>
            <w:r w:rsidR="000279E2" w:rsidRPr="00EF4FFA">
              <w:rPr>
                <w:szCs w:val="20"/>
              </w:rPr>
              <w:t xml:space="preserve"> cycles</w:t>
            </w:r>
          </w:p>
          <w:p w:rsidR="00C56285" w:rsidRPr="00EF4FFA" w:rsidRDefault="00E45551" w:rsidP="00E45551">
            <w:pPr>
              <w:pStyle w:val="TableText"/>
              <w:rPr>
                <w:szCs w:val="20"/>
              </w:rPr>
            </w:pPr>
            <w:r w:rsidRPr="00EF4FFA">
              <w:rPr>
                <w:szCs w:val="20"/>
                <w:u w:val="single"/>
              </w:rPr>
              <w:t>Supplementary near-market comparator</w:t>
            </w:r>
            <w:r w:rsidRPr="00EF4FFA">
              <w:rPr>
                <w:szCs w:val="20"/>
              </w:rPr>
              <w:t xml:space="preserve">: </w:t>
            </w:r>
            <w:r w:rsidR="00C56285" w:rsidRPr="00EF4FFA">
              <w:rPr>
                <w:szCs w:val="20"/>
              </w:rPr>
              <w:t xml:space="preserve">Oral venetoclax 5-week dose </w:t>
            </w:r>
            <w:r w:rsidR="00963DB6" w:rsidRPr="00EF4FFA">
              <w:rPr>
                <w:szCs w:val="20"/>
              </w:rPr>
              <w:t>titration</w:t>
            </w:r>
            <w:r w:rsidR="00C56285" w:rsidRPr="00EF4FFA">
              <w:rPr>
                <w:szCs w:val="20"/>
              </w:rPr>
              <w:t xml:space="preserve"> followed by 400 mg daily for </w:t>
            </w:r>
            <w:r w:rsidR="000210E8" w:rsidRPr="00EF4FFA">
              <w:rPr>
                <w:szCs w:val="20"/>
              </w:rPr>
              <w:t xml:space="preserve">12 </w:t>
            </w:r>
            <w:r w:rsidR="00C56285" w:rsidRPr="00EF4FFA">
              <w:rPr>
                <w:szCs w:val="20"/>
              </w:rPr>
              <w:t xml:space="preserve">cycles + </w:t>
            </w:r>
            <w:r w:rsidR="000210E8" w:rsidRPr="00EF4FFA">
              <w:rPr>
                <w:szCs w:val="20"/>
              </w:rPr>
              <w:t xml:space="preserve">IV </w:t>
            </w:r>
            <w:r w:rsidR="00C56285" w:rsidRPr="00EF4FFA">
              <w:rPr>
                <w:szCs w:val="20"/>
              </w:rPr>
              <w:t xml:space="preserve">obinutuzumab </w:t>
            </w:r>
            <w:r w:rsidR="000210E8" w:rsidRPr="00EF4FFA">
              <w:rPr>
                <w:szCs w:val="20"/>
              </w:rPr>
              <w:t>8</w:t>
            </w:r>
            <w:r w:rsidR="00C56285" w:rsidRPr="00EF4FFA">
              <w:rPr>
                <w:szCs w:val="20"/>
              </w:rPr>
              <w:t xml:space="preserve"> infusions of 1,000 mg over </w:t>
            </w:r>
            <w:r w:rsidR="000210E8" w:rsidRPr="00EF4FFA">
              <w:rPr>
                <w:szCs w:val="20"/>
              </w:rPr>
              <w:t>6</w:t>
            </w:r>
            <w:r w:rsidR="00C56285" w:rsidRPr="00EF4FFA">
              <w:rPr>
                <w:szCs w:val="20"/>
              </w:rPr>
              <w:t xml:space="preserve"> cycle</w:t>
            </w:r>
            <w:r w:rsidRPr="00EF4FFA">
              <w:rPr>
                <w:szCs w:val="20"/>
              </w:rPr>
              <w:t>s</w:t>
            </w:r>
          </w:p>
          <w:p w:rsidR="000279E2" w:rsidRPr="00EF4FFA" w:rsidRDefault="00E45551" w:rsidP="00E45551">
            <w:pPr>
              <w:pStyle w:val="TableText"/>
              <w:rPr>
                <w:szCs w:val="20"/>
              </w:rPr>
            </w:pPr>
            <w:r w:rsidRPr="00EF4FFA">
              <w:rPr>
                <w:szCs w:val="20"/>
                <w:u w:val="single"/>
              </w:rPr>
              <w:t>Comparator for patients with 17p deletion</w:t>
            </w:r>
            <w:r w:rsidRPr="00EF4FFA">
              <w:rPr>
                <w:szCs w:val="20"/>
              </w:rPr>
              <w:t xml:space="preserve">: </w:t>
            </w:r>
            <w:r w:rsidR="000279E2" w:rsidRPr="00EF4FFA">
              <w:rPr>
                <w:szCs w:val="20"/>
              </w:rPr>
              <w:t>Oral ibrutinib 420 mg once daily until disease progression or unacceptable toxicity</w:t>
            </w:r>
          </w:p>
        </w:tc>
      </w:tr>
      <w:tr w:rsidR="000279E2" w:rsidRPr="00EF4FFA" w:rsidTr="005C17A9">
        <w:trPr>
          <w:cantSplit/>
        </w:trPr>
        <w:tc>
          <w:tcPr>
            <w:tcW w:w="705" w:type="pct"/>
            <w:shd w:val="clear" w:color="auto" w:fill="auto"/>
            <w:tcMar>
              <w:left w:w="28" w:type="dxa"/>
              <w:right w:w="28" w:type="dxa"/>
            </w:tcMar>
          </w:tcPr>
          <w:p w:rsidR="000279E2" w:rsidRPr="00EF4FFA" w:rsidRDefault="000279E2" w:rsidP="000279E2">
            <w:pPr>
              <w:pStyle w:val="TableText"/>
            </w:pPr>
            <w:r w:rsidRPr="00EF4FFA">
              <w:t>Outcomes</w:t>
            </w:r>
          </w:p>
        </w:tc>
        <w:tc>
          <w:tcPr>
            <w:tcW w:w="4295" w:type="pct"/>
            <w:shd w:val="clear" w:color="auto" w:fill="auto"/>
            <w:tcMar>
              <w:left w:w="28" w:type="dxa"/>
              <w:right w:w="28" w:type="dxa"/>
            </w:tcMar>
          </w:tcPr>
          <w:p w:rsidR="000279E2" w:rsidRPr="00EF4FFA" w:rsidRDefault="000279E2" w:rsidP="000210E8">
            <w:pPr>
              <w:pStyle w:val="TableText"/>
              <w:rPr>
                <w:rFonts w:eastAsia="Times New Roman" w:cs="Arial"/>
                <w:bCs w:val="0"/>
                <w:snapToGrid w:val="0"/>
                <w:color w:val="0066FF"/>
                <w:szCs w:val="20"/>
              </w:rPr>
            </w:pPr>
            <w:r w:rsidRPr="00EF4FFA">
              <w:t>P</w:t>
            </w:r>
            <w:r w:rsidR="000210E8" w:rsidRPr="00EF4FFA">
              <w:t>FS</w:t>
            </w:r>
            <w:r w:rsidRPr="00EF4FFA">
              <w:t xml:space="preserve">, </w:t>
            </w:r>
            <w:r w:rsidR="000210E8" w:rsidRPr="00EF4FFA">
              <w:t>ORR</w:t>
            </w:r>
            <w:r w:rsidRPr="00EF4FFA">
              <w:t xml:space="preserve">, </w:t>
            </w:r>
            <w:r w:rsidR="000210E8" w:rsidRPr="00EF4FFA">
              <w:t>OS</w:t>
            </w:r>
            <w:r w:rsidRPr="00EF4FFA">
              <w:t>, safety.</w:t>
            </w:r>
          </w:p>
        </w:tc>
      </w:tr>
      <w:tr w:rsidR="000279E2" w:rsidRPr="00EF4FFA" w:rsidTr="005C17A9">
        <w:trPr>
          <w:cantSplit/>
        </w:trPr>
        <w:tc>
          <w:tcPr>
            <w:tcW w:w="705" w:type="pct"/>
            <w:shd w:val="clear" w:color="auto" w:fill="auto"/>
            <w:tcMar>
              <w:left w:w="28" w:type="dxa"/>
              <w:right w:w="28" w:type="dxa"/>
            </w:tcMar>
          </w:tcPr>
          <w:p w:rsidR="000279E2" w:rsidRPr="00EF4FFA" w:rsidRDefault="000279E2" w:rsidP="000279E2">
            <w:pPr>
              <w:pStyle w:val="TableText"/>
            </w:pPr>
            <w:r w:rsidRPr="00EF4FFA">
              <w:t>Clinical claim</w:t>
            </w:r>
          </w:p>
        </w:tc>
        <w:tc>
          <w:tcPr>
            <w:tcW w:w="4295" w:type="pct"/>
            <w:shd w:val="clear" w:color="auto" w:fill="auto"/>
            <w:tcMar>
              <w:left w:w="28" w:type="dxa"/>
              <w:right w:w="28" w:type="dxa"/>
            </w:tcMar>
          </w:tcPr>
          <w:p w:rsidR="000279E2" w:rsidRPr="00EF4FFA" w:rsidRDefault="000279E2" w:rsidP="000279E2">
            <w:pPr>
              <w:pStyle w:val="TableText"/>
            </w:pPr>
            <w:r w:rsidRPr="00EF4FFA">
              <w:t>In patients with previously untreated CLL considered unsuitable for treatment with a purine analogue:</w:t>
            </w:r>
          </w:p>
          <w:p w:rsidR="000279E2" w:rsidRPr="00EF4FFA" w:rsidRDefault="000279E2" w:rsidP="0093038C">
            <w:pPr>
              <w:pStyle w:val="TableText"/>
              <w:numPr>
                <w:ilvl w:val="0"/>
                <w:numId w:val="5"/>
              </w:numPr>
              <w:ind w:left="283" w:hanging="113"/>
            </w:pPr>
            <w:r w:rsidRPr="00EF4FFA">
              <w:t>Acalabrutinib + obinutuzumab is superior in terms of efficacy, and no worse in terms of safety compared to chlorambucil + obinutuzumab.</w:t>
            </w:r>
          </w:p>
          <w:p w:rsidR="000279E2" w:rsidRPr="00EF4FFA" w:rsidRDefault="000279E2" w:rsidP="0093038C">
            <w:pPr>
              <w:pStyle w:val="TableText"/>
              <w:numPr>
                <w:ilvl w:val="0"/>
                <w:numId w:val="5"/>
              </w:numPr>
              <w:ind w:left="283" w:hanging="113"/>
            </w:pPr>
            <w:r w:rsidRPr="00EF4FFA">
              <w:t xml:space="preserve">Acalabrutinib monotherapy is superior in terms of efficacy and safety compared to chlorambucil plus obinutuzumab. </w:t>
            </w:r>
          </w:p>
          <w:p w:rsidR="000279E2" w:rsidRPr="00EF4FFA" w:rsidRDefault="000279E2" w:rsidP="0093038C">
            <w:pPr>
              <w:pStyle w:val="TableText"/>
              <w:numPr>
                <w:ilvl w:val="0"/>
                <w:numId w:val="5"/>
              </w:numPr>
              <w:ind w:left="283" w:hanging="113"/>
            </w:pPr>
            <w:r w:rsidRPr="00EF4FFA">
              <w:t>Acalabrutinib + obinutuzumab is non-i</w:t>
            </w:r>
            <w:r w:rsidR="008E3636" w:rsidRPr="00EF4FFA">
              <w:t>nferior in terms of PFS</w:t>
            </w:r>
            <w:r w:rsidRPr="00EF4FFA">
              <w:t xml:space="preserve"> and </w:t>
            </w:r>
            <w:r w:rsidR="008E3636" w:rsidRPr="00EF4FFA">
              <w:t>OS</w:t>
            </w:r>
            <w:r w:rsidRPr="00EF4FFA">
              <w:t xml:space="preserve"> but has a higher </w:t>
            </w:r>
            <w:r w:rsidR="008E3636" w:rsidRPr="00EF4FFA">
              <w:t>ORR</w:t>
            </w:r>
            <w:r w:rsidRPr="00EF4FFA">
              <w:t xml:space="preserve"> compared to venetoclax + obinutuzumab, and is non-inferior in terms of safety compared to venetoclax + obinutuzumab.</w:t>
            </w:r>
          </w:p>
          <w:p w:rsidR="000279E2" w:rsidRPr="00EF4FFA" w:rsidRDefault="000279E2" w:rsidP="0093038C">
            <w:pPr>
              <w:pStyle w:val="TableText"/>
              <w:numPr>
                <w:ilvl w:val="0"/>
                <w:numId w:val="5"/>
              </w:numPr>
              <w:ind w:left="283" w:hanging="113"/>
            </w:pPr>
            <w:r w:rsidRPr="00EF4FFA">
              <w:t>Acalabrutinib monotherapy is non-inferior in terms of efficacy, and superior in terms of safety compared to venetoclax + obinutuzumab.</w:t>
            </w:r>
          </w:p>
          <w:p w:rsidR="00847271" w:rsidRPr="00EF4FFA" w:rsidRDefault="000279E2" w:rsidP="000279E2">
            <w:pPr>
              <w:pStyle w:val="TableText"/>
            </w:pPr>
            <w:r w:rsidRPr="00EF4FFA">
              <w:t>In patients with previously untreated CLL with 17p deletion considered unsuitable for tr</w:t>
            </w:r>
            <w:r w:rsidR="00847271" w:rsidRPr="00EF4FFA">
              <w:t>eatment with a purine analogue:</w:t>
            </w:r>
          </w:p>
          <w:p w:rsidR="000279E2" w:rsidRPr="00EF4FFA" w:rsidRDefault="000279E2" w:rsidP="0093038C">
            <w:pPr>
              <w:pStyle w:val="TableText"/>
              <w:numPr>
                <w:ilvl w:val="0"/>
                <w:numId w:val="5"/>
              </w:numPr>
              <w:ind w:left="283" w:hanging="113"/>
            </w:pPr>
            <w:r w:rsidRPr="00EF4FFA">
              <w:t>Acalabrutinib monotherapy is non-inferior in terms of efficacy, and superior in terms of safety compared to ibrutinib monotherapy.</w:t>
            </w:r>
          </w:p>
        </w:tc>
      </w:tr>
    </w:tbl>
    <w:p w:rsidR="000E6955" w:rsidRPr="005C17A9" w:rsidRDefault="000E6955" w:rsidP="005C17A9">
      <w:pPr>
        <w:pStyle w:val="TableFigureFooter"/>
      </w:pPr>
      <w:r w:rsidRPr="005C17A9">
        <w:t xml:space="preserve">CLL = chronic lymphocytic leukaemia; </w:t>
      </w:r>
      <w:r w:rsidR="000210E8" w:rsidRPr="005C17A9">
        <w:t>IV = intravenous; ORR = o</w:t>
      </w:r>
      <w:r w:rsidR="00B94BCF" w:rsidRPr="005C17A9">
        <w:t>verall</w:t>
      </w:r>
      <w:r w:rsidR="000210E8" w:rsidRPr="005C17A9">
        <w:t xml:space="preserve"> response rate; OS = overall survival; PFS = progression free survival; </w:t>
      </w:r>
      <w:r w:rsidRPr="005C17A9">
        <w:t>SLL = small lymphocytic lymphoma.</w:t>
      </w:r>
    </w:p>
    <w:p w:rsidR="000279E2" w:rsidRPr="005C17A9" w:rsidRDefault="000279E2" w:rsidP="005C17A9">
      <w:pPr>
        <w:pStyle w:val="TableFigureFooter"/>
      </w:pPr>
      <w:r w:rsidRPr="005C17A9">
        <w:t xml:space="preserve">Source: Table 1.1, p.5 of the submission; Section 1.17, p.23 of ‘Appendix 1 </w:t>
      </w:r>
      <w:proofErr w:type="gramStart"/>
      <w:r w:rsidRPr="005C17A9">
        <w:t>Near</w:t>
      </w:r>
      <w:proofErr w:type="gramEnd"/>
      <w:r w:rsidRPr="005C17A9">
        <w:t xml:space="preserve"> Market Comparison’ document. </w:t>
      </w:r>
    </w:p>
    <w:p w:rsidR="005C25FF" w:rsidRPr="00EF4FFA" w:rsidRDefault="005C25FF" w:rsidP="004A6040">
      <w:pPr>
        <w:pStyle w:val="2-SectionHeading"/>
      </w:pPr>
      <w:bookmarkStart w:id="1" w:name="_Toc40350892"/>
      <w:r w:rsidRPr="00EF4FFA">
        <w:t>Background</w:t>
      </w:r>
      <w:bookmarkEnd w:id="1"/>
    </w:p>
    <w:p w:rsidR="005C25FF" w:rsidRPr="00EF4FFA" w:rsidRDefault="005C25FF" w:rsidP="004A6040">
      <w:pPr>
        <w:pStyle w:val="3-SubsectionHeading"/>
      </w:pPr>
      <w:bookmarkStart w:id="2" w:name="_Toc22897638"/>
      <w:bookmarkStart w:id="3" w:name="_Toc40350893"/>
      <w:r w:rsidRPr="00EF4FFA">
        <w:t>Registration status</w:t>
      </w:r>
      <w:bookmarkEnd w:id="2"/>
      <w:bookmarkEnd w:id="3"/>
    </w:p>
    <w:p w:rsidR="005C25FF" w:rsidRDefault="000279E2" w:rsidP="00DE6B30">
      <w:pPr>
        <w:pStyle w:val="3-BodyText"/>
      </w:pPr>
      <w:r w:rsidRPr="00EF4FFA">
        <w:t>Acalabrutinib was TGA registered on 21 November 2019 for the treatment of patients with CLL/SLL.</w:t>
      </w:r>
    </w:p>
    <w:p w:rsidR="00DE6B30" w:rsidRDefault="000279E2" w:rsidP="00DE6B30">
      <w:pPr>
        <w:pStyle w:val="3-BodyText"/>
      </w:pPr>
      <w:r w:rsidRPr="00EF4FFA">
        <w:t>The submission noted that a co-dependent submission to MSAC has been lodged requesting the addition of acalabrutinib to Item 73343, in order to allow 17p deletion testing in patients with relapsed/refractory</w:t>
      </w:r>
      <w:r w:rsidR="00D97DD2" w:rsidRPr="00EF4FFA">
        <w:t xml:space="preserve"> (RR)</w:t>
      </w:r>
      <w:r w:rsidRPr="00EF4FFA">
        <w:t xml:space="preserve"> CLL/SLL for the purpose of assessing eligibility for acalabrutinib treatment (MSAC Item 1607). The submission also noted that a co-dependent submission to MSAC for ibrutinib requesting expansion of MBS item 73343 to include previously untreated patients (MSAC application 1560) was supported by MSAC. </w:t>
      </w:r>
    </w:p>
    <w:p w:rsidR="000279E2" w:rsidRPr="00EF4FFA" w:rsidRDefault="000279E2" w:rsidP="00DE6B30">
      <w:pPr>
        <w:pStyle w:val="3-BodyText"/>
      </w:pPr>
      <w:r w:rsidRPr="00EF4FFA">
        <w:t xml:space="preserve">The submission stated that in the case that MSAC Application 1607 is not supported or the ibrutinib recommendation does not progress to listing, a minor submission would be lodged to MSAC requesting changes to MBS Item 73343 to allow 17p </w:t>
      </w:r>
      <w:r w:rsidRPr="00EF4FFA">
        <w:lastRenderedPageBreak/>
        <w:t>deletion testing in previously untreated patients for the purpose of assessing eligibility for acalabrutinib treatment.</w:t>
      </w:r>
    </w:p>
    <w:p w:rsidR="005C25FF" w:rsidRPr="00EF4FFA" w:rsidRDefault="005C25FF" w:rsidP="004E18E9">
      <w:pPr>
        <w:pStyle w:val="3-SubsectionHeading"/>
      </w:pPr>
      <w:bookmarkStart w:id="4" w:name="_Toc22897639"/>
      <w:bookmarkStart w:id="5" w:name="_Toc40350894"/>
      <w:r w:rsidRPr="00EF4FFA">
        <w:t>Previous PBAC consideration</w:t>
      </w:r>
      <w:bookmarkEnd w:id="4"/>
      <w:bookmarkEnd w:id="5"/>
    </w:p>
    <w:p w:rsidR="002E4F02" w:rsidRPr="00EF4FFA" w:rsidRDefault="00DE6B30" w:rsidP="002E4F02">
      <w:pPr>
        <w:pStyle w:val="ExecSumBodyText"/>
      </w:pPr>
      <w:r>
        <w:rPr>
          <w:snapToGrid/>
        </w:rPr>
        <w:t>2.4</w:t>
      </w:r>
      <w:r>
        <w:rPr>
          <w:snapToGrid/>
        </w:rPr>
        <w:tab/>
      </w:r>
      <w:r w:rsidR="000279E2" w:rsidRPr="00EF4FFA">
        <w:rPr>
          <w:snapToGrid/>
        </w:rPr>
        <w:t xml:space="preserve">Acalabrutinib has not previously been considered by PBAC in </w:t>
      </w:r>
      <w:r w:rsidR="00AC1962" w:rsidRPr="00EF4FFA">
        <w:rPr>
          <w:snapToGrid/>
        </w:rPr>
        <w:t xml:space="preserve">patients with </w:t>
      </w:r>
      <w:r w:rsidR="000279E2" w:rsidRPr="00EF4FFA">
        <w:rPr>
          <w:snapToGrid/>
        </w:rPr>
        <w:t xml:space="preserve">untreated </w:t>
      </w:r>
      <w:r w:rsidR="00AC1962" w:rsidRPr="00EF4FFA">
        <w:rPr>
          <w:snapToGrid/>
        </w:rPr>
        <w:t>CLL/SLL</w:t>
      </w:r>
      <w:r w:rsidR="000279E2" w:rsidRPr="00EF4FFA">
        <w:rPr>
          <w:snapToGrid/>
        </w:rPr>
        <w:t xml:space="preserve">. A submission for acalabrutinib monotherapy for the treatment of </w:t>
      </w:r>
      <w:r w:rsidR="00D97DD2" w:rsidRPr="00EF4FFA">
        <w:rPr>
          <w:snapToGrid/>
        </w:rPr>
        <w:t>RR</w:t>
      </w:r>
      <w:r w:rsidR="000279E2" w:rsidRPr="00EF4FFA">
        <w:rPr>
          <w:snapToGrid/>
        </w:rPr>
        <w:t xml:space="preserve"> CLL/SLL was </w:t>
      </w:r>
      <w:r w:rsidR="00AC5E75" w:rsidRPr="00EF4FFA">
        <w:rPr>
          <w:snapToGrid/>
        </w:rPr>
        <w:t>recommended for listing</w:t>
      </w:r>
      <w:r w:rsidR="000279E2" w:rsidRPr="00EF4FFA">
        <w:rPr>
          <w:snapToGrid/>
        </w:rPr>
        <w:t xml:space="preserve"> at the March 2020 PBAC meeting. </w:t>
      </w:r>
    </w:p>
    <w:p w:rsidR="0065728B" w:rsidRPr="00EF4FFA" w:rsidRDefault="0065728B" w:rsidP="0065728B">
      <w:pPr>
        <w:pStyle w:val="ExecSumBodyText"/>
        <w:ind w:firstLine="0"/>
        <w:rPr>
          <w:i/>
        </w:rPr>
      </w:pPr>
      <w:r w:rsidRPr="00EF4FFA">
        <w:rPr>
          <w:i/>
          <w:snapToGrid/>
        </w:rPr>
        <w:t>For more detail on PBAC’s view, see section 7 PBAC outcome.</w:t>
      </w:r>
    </w:p>
    <w:p w:rsidR="00B60939" w:rsidRPr="00EF4FFA" w:rsidRDefault="00B50DB8" w:rsidP="004E18E9">
      <w:pPr>
        <w:pStyle w:val="2-SectionHeading"/>
      </w:pPr>
      <w:bookmarkStart w:id="6" w:name="_Toc40350895"/>
      <w:r w:rsidRPr="00EF4FFA">
        <w:t>Requested listing</w:t>
      </w:r>
      <w:bookmarkEnd w:id="6"/>
    </w:p>
    <w:p w:rsidR="00550457" w:rsidRPr="00EF4FFA" w:rsidRDefault="00550457" w:rsidP="00550457"/>
    <w:tbl>
      <w:tblPr>
        <w:tblW w:w="5000" w:type="pct"/>
        <w:tblCellMar>
          <w:left w:w="28" w:type="dxa"/>
          <w:right w:w="28" w:type="dxa"/>
        </w:tblCellMar>
        <w:tblLook w:val="0000" w:firstRow="0" w:lastRow="0" w:firstColumn="0" w:lastColumn="0" w:noHBand="0" w:noVBand="0"/>
      </w:tblPr>
      <w:tblGrid>
        <w:gridCol w:w="1828"/>
        <w:gridCol w:w="993"/>
        <w:gridCol w:w="854"/>
        <w:gridCol w:w="715"/>
        <w:gridCol w:w="2228"/>
        <w:gridCol w:w="966"/>
        <w:gridCol w:w="1443"/>
      </w:tblGrid>
      <w:tr w:rsidR="00290FE1" w:rsidRPr="00EF4FFA" w:rsidTr="005C17A9">
        <w:trPr>
          <w:cantSplit/>
          <w:trHeight w:val="463"/>
        </w:trPr>
        <w:tc>
          <w:tcPr>
            <w:tcW w:w="1563" w:type="pct"/>
            <w:gridSpan w:val="2"/>
            <w:tcBorders>
              <w:top w:val="single" w:sz="4" w:space="0" w:color="auto"/>
              <w:bottom w:val="single" w:sz="4" w:space="0" w:color="auto"/>
            </w:tcBorders>
            <w:vAlign w:val="center"/>
          </w:tcPr>
          <w:p w:rsidR="00290FE1" w:rsidRPr="00EF4FFA" w:rsidRDefault="00290FE1" w:rsidP="00473C44">
            <w:pPr>
              <w:keepNext/>
              <w:jc w:val="left"/>
              <w:rPr>
                <w:rFonts w:ascii="Arial Narrow" w:hAnsi="Arial Narrow"/>
                <w:b/>
                <w:sz w:val="20"/>
                <w:szCs w:val="20"/>
              </w:rPr>
            </w:pPr>
            <w:r w:rsidRPr="00EF4FFA">
              <w:rPr>
                <w:rFonts w:ascii="Arial Narrow" w:hAnsi="Arial Narrow"/>
                <w:b/>
                <w:sz w:val="20"/>
                <w:szCs w:val="20"/>
              </w:rPr>
              <w:t>Name, Restriction,</w:t>
            </w:r>
          </w:p>
          <w:p w:rsidR="00290FE1" w:rsidRPr="00EF4FFA" w:rsidRDefault="00290FE1" w:rsidP="00473C44">
            <w:pPr>
              <w:keepNext/>
              <w:jc w:val="left"/>
              <w:rPr>
                <w:rFonts w:ascii="Arial Narrow" w:hAnsi="Arial Narrow"/>
                <w:b/>
                <w:sz w:val="20"/>
                <w:szCs w:val="20"/>
              </w:rPr>
            </w:pPr>
            <w:r w:rsidRPr="00EF4FFA">
              <w:rPr>
                <w:rFonts w:ascii="Arial Narrow" w:hAnsi="Arial Narrow"/>
                <w:b/>
                <w:sz w:val="20"/>
                <w:szCs w:val="20"/>
              </w:rPr>
              <w:t>Manner of administration and form</w:t>
            </w:r>
          </w:p>
        </w:tc>
        <w:tc>
          <w:tcPr>
            <w:tcW w:w="473" w:type="pct"/>
            <w:tcBorders>
              <w:top w:val="single" w:sz="4" w:space="0" w:color="auto"/>
              <w:bottom w:val="single" w:sz="4" w:space="0" w:color="auto"/>
            </w:tcBorders>
            <w:vAlign w:val="center"/>
          </w:tcPr>
          <w:p w:rsidR="00290FE1" w:rsidRPr="00EF4FFA" w:rsidRDefault="00290FE1" w:rsidP="00473C44">
            <w:pPr>
              <w:keepNext/>
              <w:jc w:val="center"/>
              <w:rPr>
                <w:rFonts w:ascii="Arial Narrow" w:hAnsi="Arial Narrow"/>
                <w:b/>
                <w:sz w:val="20"/>
                <w:szCs w:val="20"/>
              </w:rPr>
            </w:pPr>
            <w:r w:rsidRPr="00EF4FFA">
              <w:rPr>
                <w:rFonts w:ascii="Arial Narrow" w:hAnsi="Arial Narrow"/>
                <w:b/>
                <w:sz w:val="20"/>
                <w:szCs w:val="20"/>
              </w:rPr>
              <w:t>Max. Qty (packs)</w:t>
            </w:r>
          </w:p>
        </w:tc>
        <w:tc>
          <w:tcPr>
            <w:tcW w:w="396" w:type="pct"/>
            <w:tcBorders>
              <w:top w:val="single" w:sz="4" w:space="0" w:color="auto"/>
              <w:bottom w:val="single" w:sz="4" w:space="0" w:color="auto"/>
            </w:tcBorders>
            <w:vAlign w:val="center"/>
          </w:tcPr>
          <w:p w:rsidR="00290FE1" w:rsidRPr="00EF4FFA" w:rsidRDefault="00290FE1" w:rsidP="00473C44">
            <w:pPr>
              <w:keepNext/>
              <w:jc w:val="center"/>
              <w:rPr>
                <w:rFonts w:ascii="Arial Narrow" w:hAnsi="Arial Narrow"/>
                <w:b/>
                <w:sz w:val="20"/>
                <w:szCs w:val="20"/>
              </w:rPr>
            </w:pPr>
            <w:r w:rsidRPr="00EF4FFA">
              <w:rPr>
                <w:rFonts w:ascii="Arial Narrow" w:hAnsi="Arial Narrow" w:cs="Times New Roman"/>
                <w:b/>
                <w:sz w:val="20"/>
                <w:szCs w:val="20"/>
              </w:rPr>
              <w:t>№</w:t>
            </w:r>
            <w:r w:rsidRPr="00EF4FFA">
              <w:rPr>
                <w:rFonts w:ascii="Arial Narrow" w:hAnsi="Arial Narrow"/>
                <w:b/>
                <w:sz w:val="20"/>
                <w:szCs w:val="20"/>
              </w:rPr>
              <w:t>.of</w:t>
            </w:r>
          </w:p>
          <w:p w:rsidR="00290FE1" w:rsidRPr="00EF4FFA" w:rsidRDefault="00290FE1" w:rsidP="00473C44">
            <w:pPr>
              <w:keepNext/>
              <w:jc w:val="center"/>
              <w:rPr>
                <w:rFonts w:ascii="Arial Narrow" w:hAnsi="Arial Narrow"/>
                <w:b/>
                <w:sz w:val="20"/>
                <w:szCs w:val="20"/>
              </w:rPr>
            </w:pPr>
            <w:r w:rsidRPr="00EF4FFA">
              <w:rPr>
                <w:rFonts w:ascii="Arial Narrow" w:hAnsi="Arial Narrow"/>
                <w:b/>
                <w:sz w:val="20"/>
                <w:szCs w:val="20"/>
              </w:rPr>
              <w:t>Rpts</w:t>
            </w:r>
          </w:p>
        </w:tc>
        <w:tc>
          <w:tcPr>
            <w:tcW w:w="1234" w:type="pct"/>
            <w:tcBorders>
              <w:top w:val="single" w:sz="4" w:space="0" w:color="auto"/>
              <w:bottom w:val="single" w:sz="4" w:space="0" w:color="auto"/>
            </w:tcBorders>
            <w:vAlign w:val="center"/>
          </w:tcPr>
          <w:p w:rsidR="00290FE1" w:rsidRPr="00EF4FFA" w:rsidRDefault="00290FE1" w:rsidP="00473C44">
            <w:pPr>
              <w:keepNext/>
              <w:jc w:val="center"/>
              <w:rPr>
                <w:rFonts w:ascii="Arial Narrow" w:hAnsi="Arial Narrow"/>
                <w:b/>
                <w:sz w:val="20"/>
                <w:szCs w:val="20"/>
              </w:rPr>
            </w:pPr>
            <w:r w:rsidRPr="00EF4FFA">
              <w:rPr>
                <w:rFonts w:ascii="Arial Narrow" w:hAnsi="Arial Narrow"/>
                <w:b/>
                <w:sz w:val="20"/>
                <w:szCs w:val="20"/>
              </w:rPr>
              <w:t>Dispensed Price for Max. Qty</w:t>
            </w:r>
          </w:p>
        </w:tc>
        <w:tc>
          <w:tcPr>
            <w:tcW w:w="1334" w:type="pct"/>
            <w:gridSpan w:val="2"/>
            <w:tcBorders>
              <w:top w:val="single" w:sz="4" w:space="0" w:color="auto"/>
              <w:bottom w:val="single" w:sz="4" w:space="0" w:color="auto"/>
            </w:tcBorders>
            <w:vAlign w:val="center"/>
          </w:tcPr>
          <w:p w:rsidR="00290FE1" w:rsidRPr="00EF4FFA" w:rsidRDefault="00290FE1" w:rsidP="00473C44">
            <w:pPr>
              <w:keepNext/>
              <w:jc w:val="center"/>
              <w:rPr>
                <w:rFonts w:ascii="Arial Narrow" w:hAnsi="Arial Narrow"/>
                <w:b/>
                <w:sz w:val="20"/>
                <w:szCs w:val="20"/>
              </w:rPr>
            </w:pPr>
            <w:r w:rsidRPr="00EF4FFA">
              <w:rPr>
                <w:rFonts w:ascii="Arial Narrow" w:hAnsi="Arial Narrow"/>
                <w:b/>
                <w:sz w:val="20"/>
                <w:szCs w:val="20"/>
              </w:rPr>
              <w:t>Proprietary Name and Manufacturer</w:t>
            </w:r>
          </w:p>
        </w:tc>
      </w:tr>
      <w:tr w:rsidR="00290FE1" w:rsidRPr="00EF4FFA" w:rsidTr="005C17A9">
        <w:trPr>
          <w:cantSplit/>
          <w:trHeight w:val="567"/>
        </w:trPr>
        <w:tc>
          <w:tcPr>
            <w:tcW w:w="1563" w:type="pct"/>
            <w:gridSpan w:val="2"/>
            <w:vAlign w:val="center"/>
          </w:tcPr>
          <w:p w:rsidR="00290FE1" w:rsidRPr="00EF4FFA" w:rsidRDefault="00290FE1" w:rsidP="00473C44">
            <w:pPr>
              <w:keepNext/>
              <w:jc w:val="left"/>
              <w:rPr>
                <w:rFonts w:ascii="Arial Narrow" w:hAnsi="Arial Narrow"/>
                <w:sz w:val="20"/>
                <w:szCs w:val="20"/>
              </w:rPr>
            </w:pPr>
            <w:r w:rsidRPr="00EF4FFA">
              <w:rPr>
                <w:rFonts w:ascii="Arial Narrow" w:hAnsi="Arial Narrow"/>
                <w:smallCaps/>
                <w:sz w:val="20"/>
                <w:szCs w:val="20"/>
              </w:rPr>
              <w:t>Acalabrutinib</w:t>
            </w:r>
          </w:p>
          <w:p w:rsidR="00290FE1" w:rsidRPr="00EF4FFA" w:rsidRDefault="00290FE1" w:rsidP="00473C44">
            <w:pPr>
              <w:keepNext/>
              <w:jc w:val="left"/>
              <w:rPr>
                <w:rFonts w:ascii="Arial Narrow" w:hAnsi="Arial Narrow"/>
                <w:sz w:val="20"/>
                <w:szCs w:val="20"/>
              </w:rPr>
            </w:pPr>
            <w:r w:rsidRPr="00EF4FFA">
              <w:rPr>
                <w:rFonts w:ascii="Arial Narrow" w:hAnsi="Arial Narrow"/>
                <w:sz w:val="20"/>
                <w:szCs w:val="20"/>
              </w:rPr>
              <w:t>Capsules 100mg, 56</w:t>
            </w:r>
          </w:p>
        </w:tc>
        <w:tc>
          <w:tcPr>
            <w:tcW w:w="473" w:type="pct"/>
            <w:vAlign w:val="center"/>
          </w:tcPr>
          <w:p w:rsidR="00290FE1" w:rsidRPr="00EF4FFA" w:rsidRDefault="00290FE1" w:rsidP="00473C44">
            <w:pPr>
              <w:keepNext/>
              <w:jc w:val="center"/>
              <w:rPr>
                <w:rFonts w:ascii="Arial Narrow" w:hAnsi="Arial Narrow"/>
                <w:sz w:val="20"/>
                <w:szCs w:val="20"/>
              </w:rPr>
            </w:pPr>
            <w:r w:rsidRPr="00EF4FFA">
              <w:rPr>
                <w:rFonts w:ascii="Arial Narrow" w:hAnsi="Arial Narrow"/>
                <w:sz w:val="20"/>
                <w:szCs w:val="20"/>
              </w:rPr>
              <w:t>1</w:t>
            </w:r>
          </w:p>
        </w:tc>
        <w:tc>
          <w:tcPr>
            <w:tcW w:w="396" w:type="pct"/>
            <w:vAlign w:val="center"/>
          </w:tcPr>
          <w:p w:rsidR="00290FE1" w:rsidRPr="00EF4FFA" w:rsidRDefault="00290FE1" w:rsidP="00473C44">
            <w:pPr>
              <w:keepNext/>
              <w:jc w:val="center"/>
              <w:rPr>
                <w:rFonts w:ascii="Arial Narrow" w:hAnsi="Arial Narrow"/>
                <w:sz w:val="20"/>
                <w:szCs w:val="20"/>
              </w:rPr>
            </w:pPr>
            <w:r w:rsidRPr="00EF4FFA">
              <w:rPr>
                <w:rFonts w:ascii="Arial Narrow" w:hAnsi="Arial Narrow"/>
                <w:sz w:val="20"/>
                <w:szCs w:val="20"/>
              </w:rPr>
              <w:t>5</w:t>
            </w:r>
          </w:p>
        </w:tc>
        <w:tc>
          <w:tcPr>
            <w:tcW w:w="1234" w:type="pct"/>
            <w:vAlign w:val="center"/>
          </w:tcPr>
          <w:p w:rsidR="00290FE1" w:rsidRPr="00EF4FFA" w:rsidRDefault="00290FE1" w:rsidP="00290FE1">
            <w:pPr>
              <w:keepNext/>
              <w:jc w:val="center"/>
              <w:rPr>
                <w:rFonts w:ascii="Arial Narrow" w:hAnsi="Arial Narrow"/>
                <w:sz w:val="20"/>
                <w:szCs w:val="20"/>
              </w:rPr>
            </w:pPr>
            <w:r w:rsidRPr="00EF4FFA">
              <w:rPr>
                <w:rFonts w:ascii="Arial Narrow" w:hAnsi="Arial Narrow"/>
                <w:sz w:val="20"/>
                <w:szCs w:val="20"/>
              </w:rPr>
              <w:t>$9,279.12 published price</w:t>
            </w:r>
          </w:p>
          <w:p w:rsidR="00290FE1" w:rsidRPr="00EF4FFA" w:rsidRDefault="00290FE1" w:rsidP="00290FE1">
            <w:pPr>
              <w:keepNext/>
              <w:jc w:val="center"/>
              <w:rPr>
                <w:rFonts w:ascii="Arial Narrow" w:hAnsi="Arial Narrow"/>
                <w:sz w:val="20"/>
                <w:szCs w:val="20"/>
              </w:rPr>
            </w:pPr>
            <w:r w:rsidRPr="00EF4FFA">
              <w:rPr>
                <w:rFonts w:ascii="Arial Narrow" w:hAnsi="Arial Narrow"/>
                <w:sz w:val="20"/>
                <w:szCs w:val="20"/>
              </w:rPr>
              <w:t>$</w:t>
            </w:r>
            <w:r w:rsidR="00BF3740">
              <w:rPr>
                <w:rFonts w:ascii="Arial Narrow" w:hAnsi="Arial Narrow"/>
                <w:noProof/>
                <w:color w:val="000000"/>
                <w:sz w:val="20"/>
                <w:szCs w:val="20"/>
                <w:highlight w:val="black"/>
              </w:rPr>
              <w:t>''''''''''''''''''''</w:t>
            </w:r>
            <w:r w:rsidRPr="00EF4FFA">
              <w:rPr>
                <w:rFonts w:ascii="Arial Narrow" w:hAnsi="Arial Narrow"/>
                <w:sz w:val="20"/>
                <w:szCs w:val="20"/>
              </w:rPr>
              <w:t xml:space="preserve"> effective price</w:t>
            </w:r>
          </w:p>
        </w:tc>
        <w:tc>
          <w:tcPr>
            <w:tcW w:w="535" w:type="pct"/>
            <w:vAlign w:val="center"/>
          </w:tcPr>
          <w:p w:rsidR="00290FE1" w:rsidRPr="00EF4FFA" w:rsidRDefault="00290FE1" w:rsidP="00473C44">
            <w:pPr>
              <w:keepNext/>
              <w:jc w:val="center"/>
              <w:rPr>
                <w:rFonts w:ascii="Arial Narrow" w:hAnsi="Arial Narrow"/>
                <w:sz w:val="20"/>
                <w:szCs w:val="20"/>
              </w:rPr>
            </w:pPr>
            <w:r w:rsidRPr="00EF4FFA">
              <w:rPr>
                <w:rFonts w:ascii="Arial Narrow" w:hAnsi="Arial Narrow"/>
                <w:sz w:val="20"/>
                <w:szCs w:val="20"/>
              </w:rPr>
              <w:t>Calquence</w:t>
            </w:r>
            <w:r w:rsidRPr="00EF4FFA">
              <w:rPr>
                <w:rFonts w:ascii="Arial Narrow" w:hAnsi="Arial Narrow"/>
                <w:sz w:val="20"/>
                <w:szCs w:val="20"/>
                <w:vertAlign w:val="superscript"/>
              </w:rPr>
              <w:t>®</w:t>
            </w:r>
          </w:p>
        </w:tc>
        <w:tc>
          <w:tcPr>
            <w:tcW w:w="799" w:type="pct"/>
            <w:vAlign w:val="center"/>
          </w:tcPr>
          <w:p w:rsidR="00290FE1" w:rsidRPr="00EF4FFA" w:rsidRDefault="00290FE1" w:rsidP="00473C44">
            <w:pPr>
              <w:keepNext/>
              <w:jc w:val="center"/>
              <w:rPr>
                <w:rFonts w:ascii="Arial Narrow" w:hAnsi="Arial Narrow"/>
                <w:sz w:val="20"/>
                <w:szCs w:val="20"/>
              </w:rPr>
            </w:pPr>
            <w:r w:rsidRPr="00EF4FFA">
              <w:rPr>
                <w:rFonts w:ascii="Arial Narrow" w:hAnsi="Arial Narrow"/>
                <w:sz w:val="20"/>
                <w:szCs w:val="20"/>
              </w:rPr>
              <w:t>AstraZeneca Australia Pty Ltd</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hideMark/>
          </w:tcPr>
          <w:p w:rsidR="00290FE1" w:rsidRPr="00EF4FFA" w:rsidRDefault="00290FE1" w:rsidP="00473C44">
            <w:pPr>
              <w:pStyle w:val="Tabletext0"/>
              <w:rPr>
                <w:b/>
                <w:szCs w:val="20"/>
              </w:rPr>
            </w:pPr>
            <w:r w:rsidRPr="00EF4FFA">
              <w:rPr>
                <w:b/>
                <w:szCs w:val="20"/>
              </w:rPr>
              <w:t>Category/Program:</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473C44">
            <w:pPr>
              <w:pStyle w:val="Tabletext0"/>
              <w:rPr>
                <w:szCs w:val="20"/>
              </w:rPr>
            </w:pPr>
            <w:r w:rsidRPr="00EF4FFA">
              <w:rPr>
                <w:szCs w:val="20"/>
              </w:rPr>
              <w:t>GENERAL – General Schedule (Code GE)</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hideMark/>
          </w:tcPr>
          <w:p w:rsidR="00290FE1" w:rsidRPr="00EF4FFA" w:rsidRDefault="00290FE1" w:rsidP="00473C44">
            <w:pPr>
              <w:pStyle w:val="Tabletext0"/>
              <w:rPr>
                <w:b/>
                <w:szCs w:val="20"/>
              </w:rPr>
            </w:pPr>
            <w:r w:rsidRPr="00EF4FFA">
              <w:rPr>
                <w:b/>
                <w:szCs w:val="20"/>
              </w:rPr>
              <w:t>PBS indication:</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473C44">
            <w:pPr>
              <w:pStyle w:val="Tabletext0"/>
              <w:rPr>
                <w:szCs w:val="20"/>
              </w:rPr>
            </w:pPr>
            <w:r w:rsidRPr="00EF4FFA">
              <w:rPr>
                <w:szCs w:val="20"/>
              </w:rPr>
              <w:t>Chronic lymphocytic leukaemia or small lymphocytic lymphoma in patients considered unsuitable for treatment with a purine analogue</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hideMark/>
          </w:tcPr>
          <w:p w:rsidR="00290FE1" w:rsidRPr="00EF4FFA" w:rsidRDefault="00290FE1" w:rsidP="00473C44">
            <w:pPr>
              <w:pStyle w:val="Tabletext0"/>
              <w:rPr>
                <w:b/>
                <w:szCs w:val="20"/>
              </w:rPr>
            </w:pPr>
            <w:r w:rsidRPr="00EF4FFA">
              <w:rPr>
                <w:b/>
                <w:szCs w:val="20"/>
              </w:rPr>
              <w:t>Treatment phase:</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473C44">
            <w:pPr>
              <w:pStyle w:val="Tabletext0"/>
              <w:rPr>
                <w:szCs w:val="20"/>
              </w:rPr>
            </w:pPr>
            <w:r w:rsidRPr="00EF4FFA">
              <w:rPr>
                <w:szCs w:val="20"/>
              </w:rPr>
              <w:t>Initial and continuing treatment</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hideMark/>
          </w:tcPr>
          <w:p w:rsidR="00290FE1" w:rsidRPr="00EF4FFA" w:rsidRDefault="00290FE1" w:rsidP="00473C44">
            <w:pPr>
              <w:pStyle w:val="Tabletext0"/>
              <w:rPr>
                <w:b/>
                <w:szCs w:val="20"/>
              </w:rPr>
            </w:pPr>
            <w:r w:rsidRPr="00EF4FFA">
              <w:rPr>
                <w:b/>
                <w:szCs w:val="20"/>
              </w:rPr>
              <w:t>Restriction:</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473C44">
            <w:pPr>
              <w:pStyle w:val="Tabletext0"/>
              <w:rPr>
                <w:szCs w:val="20"/>
              </w:rPr>
            </w:pPr>
            <w:r w:rsidRPr="00EF4FFA">
              <w:rPr>
                <w:szCs w:val="20"/>
              </w:rPr>
              <w:t>Authority Required – Telephone (initial treatment)/Streamlined (continuing treatment)</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hideMark/>
          </w:tcPr>
          <w:p w:rsidR="00290FE1" w:rsidRPr="00EF4FFA" w:rsidRDefault="00290FE1" w:rsidP="00473C44">
            <w:pPr>
              <w:pStyle w:val="Tabletext0"/>
              <w:rPr>
                <w:b/>
                <w:szCs w:val="20"/>
              </w:rPr>
            </w:pPr>
            <w:r w:rsidRPr="00EF4FFA">
              <w:rPr>
                <w:b/>
                <w:szCs w:val="20"/>
              </w:rPr>
              <w:t>Clinical criteria (initial):</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290FE1">
            <w:pPr>
              <w:pStyle w:val="TableText"/>
              <w:rPr>
                <w:szCs w:val="20"/>
              </w:rPr>
            </w:pPr>
            <w:r w:rsidRPr="00EF4FFA">
              <w:rPr>
                <w:szCs w:val="20"/>
              </w:rPr>
              <w:t>The condition must be previously untreated,</w:t>
            </w:r>
          </w:p>
          <w:p w:rsidR="00290FE1" w:rsidRPr="00EF4FFA" w:rsidRDefault="00290FE1" w:rsidP="00290FE1">
            <w:pPr>
              <w:pStyle w:val="TableText"/>
              <w:rPr>
                <w:szCs w:val="20"/>
              </w:rPr>
            </w:pPr>
            <w:r w:rsidRPr="00EF4FFA">
              <w:rPr>
                <w:szCs w:val="20"/>
              </w:rPr>
              <w:t>AND</w:t>
            </w:r>
          </w:p>
          <w:p w:rsidR="00290FE1" w:rsidRPr="00EF4FFA" w:rsidRDefault="00290FE1" w:rsidP="00290FE1">
            <w:pPr>
              <w:pStyle w:val="TableText"/>
              <w:rPr>
                <w:szCs w:val="20"/>
              </w:rPr>
            </w:pPr>
            <w:r w:rsidRPr="00EF4FFA">
              <w:rPr>
                <w:szCs w:val="20"/>
              </w:rPr>
              <w:t>Patient must be considered unsuitable for treatment with a purine analogue</w:t>
            </w:r>
          </w:p>
          <w:p w:rsidR="00290FE1" w:rsidRPr="00EF4FFA" w:rsidRDefault="00290FE1" w:rsidP="00290FE1">
            <w:pPr>
              <w:pStyle w:val="TableText"/>
              <w:rPr>
                <w:szCs w:val="20"/>
              </w:rPr>
            </w:pPr>
            <w:r w:rsidRPr="00EF4FFA">
              <w:rPr>
                <w:szCs w:val="20"/>
              </w:rPr>
              <w:t>AND</w:t>
            </w:r>
          </w:p>
          <w:p w:rsidR="00290FE1" w:rsidRPr="00EF4FFA" w:rsidRDefault="00290FE1" w:rsidP="00290FE1">
            <w:pPr>
              <w:pStyle w:val="Tabletext0"/>
              <w:rPr>
                <w:szCs w:val="20"/>
              </w:rPr>
            </w:pPr>
            <w:r w:rsidRPr="00EF4FFA">
              <w:rPr>
                <w:szCs w:val="20"/>
              </w:rPr>
              <w:t>Patient must have an ECOG performance status of ≤ 2</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hideMark/>
          </w:tcPr>
          <w:p w:rsidR="00290FE1" w:rsidRPr="00EF4FFA" w:rsidRDefault="00290FE1" w:rsidP="00473C44">
            <w:pPr>
              <w:pStyle w:val="Tabletext0"/>
              <w:rPr>
                <w:b/>
                <w:szCs w:val="20"/>
              </w:rPr>
            </w:pPr>
            <w:r w:rsidRPr="00EF4FFA">
              <w:rPr>
                <w:b/>
                <w:szCs w:val="20"/>
              </w:rPr>
              <w:t>Clinical criteria (continuing):</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290FE1">
            <w:pPr>
              <w:pStyle w:val="TableText"/>
              <w:rPr>
                <w:szCs w:val="20"/>
              </w:rPr>
            </w:pPr>
            <w:r w:rsidRPr="00EF4FFA">
              <w:rPr>
                <w:szCs w:val="20"/>
              </w:rPr>
              <w:t>Patient must have previously received PBS-subsidised treatment with this drug for this condition</w:t>
            </w:r>
          </w:p>
          <w:p w:rsidR="00290FE1" w:rsidRPr="00EF4FFA" w:rsidRDefault="00290FE1" w:rsidP="00290FE1">
            <w:pPr>
              <w:pStyle w:val="TableText"/>
              <w:rPr>
                <w:szCs w:val="20"/>
              </w:rPr>
            </w:pPr>
            <w:r w:rsidRPr="00EF4FFA">
              <w:rPr>
                <w:szCs w:val="20"/>
              </w:rPr>
              <w:t>AND</w:t>
            </w:r>
          </w:p>
          <w:p w:rsidR="00290FE1" w:rsidRPr="00EF4FFA" w:rsidRDefault="00290FE1" w:rsidP="00290FE1">
            <w:pPr>
              <w:pStyle w:val="Tabletext0"/>
              <w:rPr>
                <w:szCs w:val="20"/>
              </w:rPr>
            </w:pPr>
            <w:r w:rsidRPr="00EF4FFA">
              <w:rPr>
                <w:szCs w:val="20"/>
              </w:rPr>
              <w:t>Patient must not develop disease progression while receiving PBS-subsidised treatment with this drug for this condition</w:t>
            </w:r>
          </w:p>
        </w:tc>
      </w:tr>
      <w:tr w:rsidR="00290FE1" w:rsidRPr="00EF4FFA" w:rsidTr="005C1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3" w:type="pct"/>
            <w:tcBorders>
              <w:top w:val="single" w:sz="4" w:space="0" w:color="auto"/>
              <w:left w:val="single" w:sz="4" w:space="0" w:color="auto"/>
              <w:bottom w:val="single" w:sz="4" w:space="0" w:color="auto"/>
              <w:right w:val="single" w:sz="4" w:space="0" w:color="auto"/>
            </w:tcBorders>
          </w:tcPr>
          <w:p w:rsidR="00290FE1" w:rsidRPr="00EF4FFA" w:rsidRDefault="00290FE1" w:rsidP="00473C44">
            <w:pPr>
              <w:pStyle w:val="Tabletext0"/>
              <w:rPr>
                <w:b/>
                <w:szCs w:val="20"/>
              </w:rPr>
            </w:pPr>
            <w:r w:rsidRPr="00EF4FFA">
              <w:rPr>
                <w:b/>
                <w:szCs w:val="20"/>
              </w:rPr>
              <w:t>Prescriber criteria:</w:t>
            </w:r>
          </w:p>
        </w:tc>
        <w:tc>
          <w:tcPr>
            <w:tcW w:w="3987" w:type="pct"/>
            <w:gridSpan w:val="6"/>
            <w:tcBorders>
              <w:top w:val="single" w:sz="4" w:space="0" w:color="auto"/>
              <w:left w:val="single" w:sz="4" w:space="0" w:color="auto"/>
              <w:bottom w:val="single" w:sz="4" w:space="0" w:color="auto"/>
              <w:right w:val="single" w:sz="4" w:space="0" w:color="auto"/>
            </w:tcBorders>
          </w:tcPr>
          <w:p w:rsidR="00290FE1" w:rsidRPr="00EF4FFA" w:rsidRDefault="00290FE1" w:rsidP="00290FE1">
            <w:pPr>
              <w:pStyle w:val="TableText"/>
              <w:rPr>
                <w:szCs w:val="20"/>
              </w:rPr>
            </w:pPr>
            <w:r w:rsidRPr="00EF4FFA">
              <w:rPr>
                <w:szCs w:val="20"/>
              </w:rPr>
              <w:t>A patient is considered unsuitable for treatment with a purine analogue as demonstrated by at least one of the following:</w:t>
            </w:r>
          </w:p>
          <w:p w:rsidR="00290FE1" w:rsidRPr="00EF4FFA" w:rsidRDefault="00290FE1" w:rsidP="00290FE1">
            <w:pPr>
              <w:pStyle w:val="TableText"/>
              <w:rPr>
                <w:szCs w:val="20"/>
              </w:rPr>
            </w:pPr>
            <w:r w:rsidRPr="00EF4FFA">
              <w:rPr>
                <w:szCs w:val="20"/>
              </w:rPr>
              <w:t>a) Age is 65 years or older;</w:t>
            </w:r>
          </w:p>
          <w:p w:rsidR="00290FE1" w:rsidRPr="00EF4FFA" w:rsidRDefault="00290FE1" w:rsidP="00290FE1">
            <w:pPr>
              <w:pStyle w:val="TableText"/>
              <w:rPr>
                <w:szCs w:val="20"/>
              </w:rPr>
            </w:pPr>
            <w:r w:rsidRPr="00EF4FFA">
              <w:rPr>
                <w:szCs w:val="20"/>
              </w:rPr>
              <w:t xml:space="preserve">b) Age is older than 18 years but younger than 65 years and the presence of comorbidities (Cumulative Illness Rating Scale of 6 or greater), or creatinine clearance of less than 70 mL/min) that might place the patient at an unacceptable risk for treatment-related toxicity with purine analogue-based therapy. </w:t>
            </w:r>
          </w:p>
          <w:p w:rsidR="00290FE1" w:rsidRPr="00EF4FFA" w:rsidRDefault="00290FE1" w:rsidP="00290FE1">
            <w:pPr>
              <w:pStyle w:val="Tabletext0"/>
              <w:rPr>
                <w:color w:val="000000"/>
                <w:szCs w:val="20"/>
              </w:rPr>
            </w:pPr>
            <w:r w:rsidRPr="00EF4FFA">
              <w:rPr>
                <w:szCs w:val="20"/>
              </w:rPr>
              <w:t>c) 17p(del)</w:t>
            </w:r>
          </w:p>
        </w:tc>
      </w:tr>
    </w:tbl>
    <w:p w:rsidR="00B60939" w:rsidRPr="00EF4FFA" w:rsidRDefault="00B60939" w:rsidP="004B1CB4"/>
    <w:p w:rsidR="00DE6B30" w:rsidRDefault="00290FE1" w:rsidP="00DE6B30">
      <w:pPr>
        <w:pStyle w:val="3-BodyText"/>
      </w:pPr>
      <w:r w:rsidRPr="00EF4FFA">
        <w:t>The submission proposed a special pricing arrangement</w:t>
      </w:r>
      <w:r w:rsidR="00CF0A78" w:rsidRPr="00EF4FFA">
        <w:t xml:space="preserve"> (SPA)</w:t>
      </w:r>
      <w:r w:rsidRPr="00EF4FFA">
        <w:t xml:space="preserve">, with a </w:t>
      </w:r>
      <w:r w:rsidR="00BF3740">
        <w:rPr>
          <w:noProof/>
          <w:color w:val="000000"/>
          <w:highlight w:val="black"/>
        </w:rPr>
        <w:t>'''''</w:t>
      </w:r>
      <w:r w:rsidRPr="00EF4FFA">
        <w:t xml:space="preserve">% </w:t>
      </w:r>
      <w:r w:rsidR="00D02020" w:rsidRPr="00EF4FFA">
        <w:t>rebate on</w:t>
      </w:r>
      <w:r w:rsidRPr="00EF4FFA">
        <w:t xml:space="preserve"> the proposed published price</w:t>
      </w:r>
      <w:r w:rsidR="00EF4FFA">
        <w:t xml:space="preserve">. </w:t>
      </w:r>
    </w:p>
    <w:p w:rsidR="00DE6B30" w:rsidRDefault="00662E02" w:rsidP="00DE6B30">
      <w:pPr>
        <w:pStyle w:val="3-BodyText"/>
      </w:pPr>
      <w:r w:rsidRPr="00EF4FFA">
        <w:t xml:space="preserve">The proposed restriction is narrower than the TGA indication, which does not </w:t>
      </w:r>
      <w:r w:rsidR="00FA5743" w:rsidRPr="00EF4FFA">
        <w:t xml:space="preserve">require patients to be unsuitable for treatment with a purine analogue and therefore does not </w:t>
      </w:r>
      <w:r w:rsidRPr="00EF4FFA">
        <w:t xml:space="preserve">restrict treatment </w:t>
      </w:r>
      <w:r w:rsidR="00FA5743" w:rsidRPr="00EF4FFA">
        <w:t>based on</w:t>
      </w:r>
      <w:r w:rsidRPr="00EF4FFA">
        <w:t xml:space="preserve"> age, presence of 17p deletion, </w:t>
      </w:r>
      <w:r w:rsidR="009538CF" w:rsidRPr="00EF4FFA">
        <w:t>Cumulative Illness Rating Scale (</w:t>
      </w:r>
      <w:r w:rsidRPr="00EF4FFA">
        <w:t>CIRS</w:t>
      </w:r>
      <w:r w:rsidR="009538CF" w:rsidRPr="00EF4FFA">
        <w:t>)</w:t>
      </w:r>
      <w:r w:rsidRPr="00EF4FFA">
        <w:t xml:space="preserve"> score or renal function. The proposed clinical criteria are </w:t>
      </w:r>
      <w:r w:rsidR="00D32A31" w:rsidRPr="00EF4FFA">
        <w:t xml:space="preserve">generally </w:t>
      </w:r>
      <w:r w:rsidRPr="00EF4FFA">
        <w:t xml:space="preserve">consistent with the eligibility criteria for the ELEVATE-TN trial. </w:t>
      </w:r>
      <w:r w:rsidR="00D32A31" w:rsidRPr="00EF4FFA">
        <w:t xml:space="preserve">However, the proposed restriction specifies a CIRS score of </w:t>
      </w:r>
      <w:r w:rsidR="00D32A31" w:rsidRPr="00EF4FFA">
        <w:rPr>
          <w:rFonts w:cstheme="minorHAnsi"/>
        </w:rPr>
        <w:t>≥</w:t>
      </w:r>
      <w:r w:rsidR="00E61AED" w:rsidRPr="00EF4FFA">
        <w:rPr>
          <w:rFonts w:cstheme="minorHAnsi"/>
        </w:rPr>
        <w:t xml:space="preserve"> </w:t>
      </w:r>
      <w:r w:rsidR="00D32A31" w:rsidRPr="00EF4FFA">
        <w:t>6, whereas the ELEVATE-TN trial recruited patients with a CIRS score of &gt;</w:t>
      </w:r>
      <w:r w:rsidR="00E61AED" w:rsidRPr="00EF4FFA">
        <w:t xml:space="preserve"> </w:t>
      </w:r>
      <w:r w:rsidR="00D32A31" w:rsidRPr="00EF4FFA">
        <w:t>6. Additionally,</w:t>
      </w:r>
      <w:r w:rsidRPr="00EF4FFA">
        <w:t xml:space="preserve"> while patients with 17p deletion were </w:t>
      </w:r>
      <w:r w:rsidRPr="00EF4FFA">
        <w:lastRenderedPageBreak/>
        <w:t xml:space="preserve">not excluded from the ELEVATE-TN trial, the presence of 17p deletion was not a specific inclusion criterion. </w:t>
      </w:r>
    </w:p>
    <w:p w:rsidR="00DE6B30" w:rsidRPr="00DE6B30" w:rsidRDefault="00D32A31" w:rsidP="00DE6B30">
      <w:pPr>
        <w:pStyle w:val="3-BodyText"/>
      </w:pPr>
      <w:r w:rsidRPr="00EF4FFA">
        <w:t xml:space="preserve">The proposed restriction includes </w:t>
      </w:r>
      <w:r w:rsidR="008A6780" w:rsidRPr="00EF4FFA">
        <w:t xml:space="preserve">all </w:t>
      </w:r>
      <w:r w:rsidRPr="00EF4FFA">
        <w:t xml:space="preserve">patients over the age of 65 years, patients less than 65 years with a CIRS score </w:t>
      </w:r>
      <w:r w:rsidR="003E228C" w:rsidRPr="00DE6B30">
        <w:rPr>
          <w:rFonts w:cstheme="minorHAnsi"/>
        </w:rPr>
        <w:t>≥</w:t>
      </w:r>
      <w:r w:rsidR="00E45551" w:rsidRPr="00DE6B30">
        <w:rPr>
          <w:rFonts w:cstheme="minorHAnsi"/>
        </w:rPr>
        <w:t xml:space="preserve"> </w:t>
      </w:r>
      <w:r w:rsidRPr="00DE6B30">
        <w:rPr>
          <w:rFonts w:cstheme="minorHAnsi"/>
        </w:rPr>
        <w:t>6 or creatinine clearance &lt;</w:t>
      </w:r>
      <w:r w:rsidR="00E45551" w:rsidRPr="00DE6B30">
        <w:rPr>
          <w:rFonts w:cstheme="minorHAnsi"/>
        </w:rPr>
        <w:t xml:space="preserve"> </w:t>
      </w:r>
      <w:r w:rsidRPr="00DE6B30">
        <w:rPr>
          <w:rFonts w:cstheme="minorHAnsi"/>
        </w:rPr>
        <w:t xml:space="preserve">70 mL/min, </w:t>
      </w:r>
      <w:r w:rsidR="005D4B91" w:rsidRPr="00DE6B30">
        <w:rPr>
          <w:rFonts w:cstheme="minorHAnsi"/>
        </w:rPr>
        <w:t xml:space="preserve">or </w:t>
      </w:r>
      <w:r w:rsidRPr="00DE6B30">
        <w:rPr>
          <w:rFonts w:cstheme="minorHAnsi"/>
        </w:rPr>
        <w:t xml:space="preserve">patients with 17p deletion. This differs from the clinical criteria </w:t>
      </w:r>
      <w:r w:rsidR="00DB2A46" w:rsidRPr="00EF4FFA">
        <w:t xml:space="preserve">included in </w:t>
      </w:r>
      <w:r w:rsidR="00662E02" w:rsidRPr="00EF4FFA">
        <w:t>the obinutuzumab restriction</w:t>
      </w:r>
      <w:r w:rsidR="00427681" w:rsidRPr="00EF4FFA">
        <w:t>, which specify</w:t>
      </w:r>
      <w:r w:rsidR="00DB2A46" w:rsidRPr="00EF4FFA">
        <w:t xml:space="preserve"> a </w:t>
      </w:r>
      <w:r w:rsidR="00662E02" w:rsidRPr="00EF4FFA">
        <w:t>CIRS score &gt;</w:t>
      </w:r>
      <w:r w:rsidR="00E45551" w:rsidRPr="00EF4FFA">
        <w:t xml:space="preserve"> </w:t>
      </w:r>
      <w:r w:rsidR="00662E02" w:rsidRPr="00EF4FFA">
        <w:t>6 or a creatinine clearance of &lt;</w:t>
      </w:r>
      <w:r w:rsidR="00E61AED" w:rsidRPr="00EF4FFA">
        <w:t xml:space="preserve"> </w:t>
      </w:r>
      <w:r w:rsidR="00662E02" w:rsidRPr="00EF4FFA">
        <w:t>70 mL/min</w:t>
      </w:r>
      <w:r w:rsidR="00427681" w:rsidRPr="00EF4FFA">
        <w:t xml:space="preserve"> for all patients</w:t>
      </w:r>
      <w:r w:rsidR="008A6780" w:rsidRPr="00EF4FFA">
        <w:t xml:space="preserve"> (</w:t>
      </w:r>
      <w:r w:rsidRPr="00EF4FFA">
        <w:t>regardless of age</w:t>
      </w:r>
      <w:r w:rsidR="008A6780" w:rsidRPr="00EF4FFA">
        <w:t>)</w:t>
      </w:r>
      <w:r w:rsidRPr="00EF4FFA">
        <w:t xml:space="preserve">. </w:t>
      </w:r>
      <w:r w:rsidR="008A6780" w:rsidRPr="00EF4FFA">
        <w:t>Additionally, t</w:t>
      </w:r>
      <w:r w:rsidRPr="00EF4FFA">
        <w:t xml:space="preserve">he proposed restriction specifies an </w:t>
      </w:r>
      <w:r w:rsidR="009538CF" w:rsidRPr="00EF4FFA">
        <w:t>Eastern Cooperative Oncology Group (</w:t>
      </w:r>
      <w:r w:rsidRPr="00EF4FFA">
        <w:t>ECOG</w:t>
      </w:r>
      <w:r w:rsidR="009538CF" w:rsidRPr="00EF4FFA">
        <w:t>) performance status</w:t>
      </w:r>
      <w:r w:rsidRPr="00EF4FFA">
        <w:t xml:space="preserve"> </w:t>
      </w:r>
      <w:r w:rsidR="008A6780" w:rsidRPr="00EF4FFA">
        <w:t>≤</w:t>
      </w:r>
      <w:r w:rsidR="00E45551" w:rsidRPr="00EF4FFA">
        <w:t xml:space="preserve"> </w:t>
      </w:r>
      <w:r w:rsidR="008A6780" w:rsidRPr="00EF4FFA">
        <w:t xml:space="preserve">2 (consistent with the ELEVATE-TN trial) whereas the obinutuzumab restriction does not include an </w:t>
      </w:r>
      <w:r w:rsidRPr="00DE6B30">
        <w:rPr>
          <w:rFonts w:cstheme="minorHAnsi"/>
        </w:rPr>
        <w:t xml:space="preserve">ECOG </w:t>
      </w:r>
      <w:r w:rsidR="009538CF" w:rsidRPr="00DE6B30">
        <w:rPr>
          <w:rFonts w:cstheme="minorHAnsi"/>
        </w:rPr>
        <w:t xml:space="preserve">performance status </w:t>
      </w:r>
      <w:r w:rsidRPr="00DE6B30">
        <w:rPr>
          <w:rFonts w:cstheme="minorHAnsi"/>
        </w:rPr>
        <w:t>requirement</w:t>
      </w:r>
      <w:r w:rsidR="008A6780" w:rsidRPr="00DE6B30">
        <w:rPr>
          <w:rFonts w:cstheme="minorHAnsi"/>
        </w:rPr>
        <w:t xml:space="preserve">, and the proposed restriction does not specify a minimum creatinine clearance, whereas the </w:t>
      </w:r>
      <w:r w:rsidRPr="00EF4FFA">
        <w:t xml:space="preserve">obinutuzumab restriction </w:t>
      </w:r>
      <w:r w:rsidR="008A6780" w:rsidRPr="00EF4FFA">
        <w:t>specifies a cr</w:t>
      </w:r>
      <w:r w:rsidR="00DB2A46" w:rsidRPr="00EF4FFA">
        <w:t xml:space="preserve">eatinine clearance </w:t>
      </w:r>
      <w:r w:rsidR="008A6780" w:rsidRPr="00DE6B30">
        <w:rPr>
          <w:rFonts w:cstheme="minorHAnsi"/>
        </w:rPr>
        <w:t xml:space="preserve">of at least </w:t>
      </w:r>
      <w:r w:rsidR="00DB2A46" w:rsidRPr="00DE6B30">
        <w:rPr>
          <w:rFonts w:cstheme="minorHAnsi"/>
        </w:rPr>
        <w:t>30 mL/min</w:t>
      </w:r>
      <w:r w:rsidR="008A6780" w:rsidRPr="00DE6B30">
        <w:rPr>
          <w:rFonts w:cstheme="minorHAnsi"/>
        </w:rPr>
        <w:t>.</w:t>
      </w:r>
    </w:p>
    <w:p w:rsidR="00DE6B30" w:rsidRDefault="005D4B91" w:rsidP="00DE6B30">
      <w:pPr>
        <w:pStyle w:val="3-BodyText"/>
      </w:pPr>
      <w:r w:rsidRPr="00EF4FFA">
        <w:t>The proposed restriction does not specify that acalabrutinib can be used as monotherapy or in combination with obinutuzumab</w:t>
      </w:r>
      <w:r w:rsidR="00573971" w:rsidRPr="00EF4FFA">
        <w:t>. It</w:t>
      </w:r>
      <w:r w:rsidRPr="00EF4FFA">
        <w:t xml:space="preserve"> does not preclude the use of acalabrutinib in combination with treatments other than obinutuzumab.</w:t>
      </w:r>
    </w:p>
    <w:p w:rsidR="005D4B91" w:rsidRPr="00EF4FFA" w:rsidRDefault="009249A4" w:rsidP="00DE6B30">
      <w:pPr>
        <w:pStyle w:val="3-BodyText"/>
      </w:pPr>
      <w:r w:rsidRPr="00EF4FFA">
        <w:t>The proposed restriction differs from the recommended ibrutinib restriction, which is limited to patients with 17p deletion. The proposed restriction does not specify a method for the assessment of 17p deletion</w:t>
      </w:r>
      <w:r w:rsidR="008A6780" w:rsidRPr="00EF4FFA">
        <w:t xml:space="preserve"> whereas the</w:t>
      </w:r>
      <w:r w:rsidRPr="00EF4FFA">
        <w:t xml:space="preserve"> recommended restriction for ibrutinib specifies that patients must have evidence of one or more 17p chromosomal deletions as demonstrated by fluorescence in situ hybridisation. </w:t>
      </w:r>
      <w:r w:rsidR="00DB2A46" w:rsidRPr="00EF4FFA">
        <w:t xml:space="preserve">The recommended restriction for ibrutinib states that a patient may only qualify for PBS-subsidised initial treatment under the untreated CLL/SLL or </w:t>
      </w:r>
      <w:r w:rsidR="00D97DD2" w:rsidRPr="00EF4FFA">
        <w:t>RR</w:t>
      </w:r>
      <w:r w:rsidR="00DB2A46" w:rsidRPr="00EF4FFA">
        <w:t xml:space="preserve"> CLL/SLL once in a lifetime.</w:t>
      </w:r>
      <w:r w:rsidR="008A6780" w:rsidRPr="00EF4FFA">
        <w:t xml:space="preserve"> </w:t>
      </w:r>
      <w:r w:rsidR="00AA2327" w:rsidRPr="00EF4FFA">
        <w:t xml:space="preserve">In addition, the proposed restriction does not </w:t>
      </w:r>
      <w:r w:rsidR="00573971" w:rsidRPr="00EF4FFA">
        <w:t>specify</w:t>
      </w:r>
      <w:r w:rsidR="00690642" w:rsidRPr="00EF4FFA">
        <w:t xml:space="preserve"> whether</w:t>
      </w:r>
      <w:r w:rsidR="00AA2327" w:rsidRPr="00EF4FFA">
        <w:t xml:space="preserve"> treatment in the 17p deletion population should be restricted to acalabrutinib monotherapy. The submission provided no clinical or economic evidence to support the use of acalabrutinib + obinutuzumab in this population.</w:t>
      </w:r>
    </w:p>
    <w:p w:rsidR="0065728B" w:rsidRPr="00EF4FFA" w:rsidRDefault="0065728B" w:rsidP="0065728B">
      <w:pPr>
        <w:pStyle w:val="ExecSumBodyText"/>
        <w:ind w:firstLine="0"/>
        <w:rPr>
          <w:i/>
        </w:rPr>
      </w:pPr>
      <w:r w:rsidRPr="00EF4FFA">
        <w:rPr>
          <w:i/>
          <w:snapToGrid/>
        </w:rPr>
        <w:t>For more detail on PBAC’s view, see section 7 PBAC outcome.</w:t>
      </w:r>
    </w:p>
    <w:p w:rsidR="00B50DB8" w:rsidRPr="00EF4FFA" w:rsidRDefault="00203181" w:rsidP="004E18E9">
      <w:pPr>
        <w:pStyle w:val="2-SectionHeading"/>
      </w:pPr>
      <w:bookmarkStart w:id="7" w:name="_Toc40350896"/>
      <w:r w:rsidRPr="00EF4FFA">
        <w:t xml:space="preserve">Population and </w:t>
      </w:r>
      <w:r w:rsidR="008E0D3C" w:rsidRPr="00EF4FFA">
        <w:t>d</w:t>
      </w:r>
      <w:r w:rsidRPr="00EF4FFA">
        <w:t>isease</w:t>
      </w:r>
      <w:bookmarkEnd w:id="7"/>
    </w:p>
    <w:p w:rsidR="00DE6B30" w:rsidRDefault="005C6912" w:rsidP="00DE6B30">
      <w:pPr>
        <w:pStyle w:val="3-BodyText"/>
      </w:pPr>
      <w:r w:rsidRPr="00EF4FFA">
        <w:t>CLL is characterised by the progressive accumulation of functionally incompetent B-lymphocytes in the blood, bone marrow, lymph nodes, spleen and liver. Typical symptoms associated with CLL include swollen lymph nodes, pain, anaemia, infections, increased or unexplained bleeding/bruising, excessive nocturnal sweating and unintentional weight loss. The submission noted that the results of a web-based survey of 1,482 CLL patients assessing the impact of CLL on the quality of life of patients indicated that CLL-related symptoms and comorbidities markedly reduced quality of life, with fatigue being the most recognised disease-related symptom (Shanafelt et al., 2007).</w:t>
      </w:r>
    </w:p>
    <w:p w:rsidR="00DE6B30" w:rsidRDefault="005C6912" w:rsidP="00DE6B30">
      <w:pPr>
        <w:pStyle w:val="3-BodyText"/>
      </w:pPr>
      <w:r w:rsidRPr="00EF4FFA">
        <w:t xml:space="preserve">CLL is more common in men than women (65% versus 35%), with a mean age at diagnosis in Australia of 70 years (males 68.8 years, females 71.2 years). The five-year relative survival rate in Australia in 2011-2015 was 82.8% (AIHW, 2019). CLL and SLL </w:t>
      </w:r>
      <w:r w:rsidRPr="00EF4FFA">
        <w:lastRenderedPageBreak/>
        <w:t>are considered to be different manifestations of the same disease. In CLL, abnormal lymphocytes are predominantly found in blood, bone marrow and lymphoid tissue, whereas in SLL, abnormal lymphocytes are predominantly located in lymph nodes, bone marrow and other lymphoid tissue.</w:t>
      </w:r>
    </w:p>
    <w:p w:rsidR="00DE6B30" w:rsidRDefault="005C6912" w:rsidP="00DE6B30">
      <w:pPr>
        <w:pStyle w:val="3-BodyText"/>
      </w:pPr>
      <w:r w:rsidRPr="00EF4FFA">
        <w:t>Characteristics associated with a worse prognosis include genetic factors (17p deletion/TP53 mutation, 11q deletion, unmutated IGHV), biochemical/cell surface markers (serum thymidine kinase, serum β2 microglobulin), and patient characteristics (male sex, older age, worse ECOG performance score). Deletion of the short arm of chromosome 17 (17p deletion) is found in 5-8% of chemotherapy-naïve patients, and is associated with resistance to genotoxic chemotherapies, including conventional chemoimmunotherapy regimens (Hallek</w:t>
      </w:r>
      <w:r w:rsidR="00B84650" w:rsidRPr="00EF4FFA">
        <w:t>,</w:t>
      </w:r>
      <w:r w:rsidRPr="00EF4FFA">
        <w:t xml:space="preserve"> 2015).</w:t>
      </w:r>
    </w:p>
    <w:p w:rsidR="00DE6B30" w:rsidRDefault="005C6912" w:rsidP="00DE6B30">
      <w:pPr>
        <w:pStyle w:val="3-BodyText"/>
      </w:pPr>
      <w:r w:rsidRPr="00EF4FFA">
        <w:t>CLL/SLL is generally a slowly progressing cancer, with many patients managed with a ‘watch and wait’ approach until symptoms develop. The choice of therapy depends on a number of factors, including age, fitness, comorbidities, and the presence of prognostic genetic mutations.</w:t>
      </w:r>
    </w:p>
    <w:p w:rsidR="00B84650" w:rsidRPr="00EF4FFA" w:rsidRDefault="005C6912" w:rsidP="00DE6B30">
      <w:pPr>
        <w:pStyle w:val="3-BodyText"/>
      </w:pPr>
      <w:r w:rsidRPr="00EF4FFA">
        <w:t xml:space="preserve">Figure 1 below presents the proposed clinical management algorithm presented </w:t>
      </w:r>
      <w:r w:rsidR="00B84650" w:rsidRPr="00EF4FFA">
        <w:t>in the submission. The algorithm positions acalabrutinib monotherapy and acalabrutinib + obinutuzumab as first-line options for frail patients with significant comorbidity who are unable to tolerate treatment with a purine analogue, patients aged ≥</w:t>
      </w:r>
      <w:r w:rsidR="00E45551" w:rsidRPr="00EF4FFA">
        <w:t xml:space="preserve"> </w:t>
      </w:r>
      <w:r w:rsidR="00B84650" w:rsidRPr="00EF4FFA">
        <w:t>65 years, and patients aged &lt;</w:t>
      </w:r>
      <w:r w:rsidR="00E45551" w:rsidRPr="00EF4FFA">
        <w:t xml:space="preserve"> </w:t>
      </w:r>
      <w:r w:rsidR="00B84650" w:rsidRPr="00EF4FFA">
        <w:t>65 years with significant comorbidities or high-risk factors.</w:t>
      </w:r>
      <w:r w:rsidR="00481120" w:rsidRPr="00EF4FFA">
        <w:t xml:space="preserve"> </w:t>
      </w:r>
      <w:r w:rsidR="00EA459D" w:rsidRPr="00EF4FFA">
        <w:t xml:space="preserve">The proposed algorithm </w:t>
      </w:r>
      <w:r w:rsidR="00424E86" w:rsidRPr="00EF4FFA">
        <w:t xml:space="preserve">does not include criteria </w:t>
      </w:r>
      <w:r w:rsidR="005504C0" w:rsidRPr="00EF4FFA">
        <w:t>to guide selection of treatment with acalabrutinib + obinutuzumab versus acalabrutinib monotherapy.</w:t>
      </w:r>
      <w:r w:rsidR="00424E86" w:rsidRPr="00EF4FFA">
        <w:t xml:space="preserve"> The submission </w:t>
      </w:r>
      <w:r w:rsidR="00F9647F" w:rsidRPr="00EF4FFA">
        <w:t>claimed</w:t>
      </w:r>
      <w:r w:rsidR="00424E86" w:rsidRPr="00EF4FFA">
        <w:t xml:space="preserve"> that 80% </w:t>
      </w:r>
      <w:r w:rsidR="00F9647F" w:rsidRPr="00EF4FFA">
        <w:t xml:space="preserve">of patients </w:t>
      </w:r>
      <w:r w:rsidR="00424E86" w:rsidRPr="00EF4FFA">
        <w:t>would be treated with acalabrutinib monotherapy due to the improved</w:t>
      </w:r>
      <w:r w:rsidR="007277EF" w:rsidRPr="00EF4FFA">
        <w:t xml:space="preserve"> </w:t>
      </w:r>
      <w:r w:rsidR="00424E86" w:rsidRPr="00EF4FFA">
        <w:t>safety profile of acalabrutinib monotherapy compared to acalabrutinib + obinutuzumab.</w:t>
      </w:r>
      <w:r w:rsidR="00481120" w:rsidRPr="00EF4FFA">
        <w:t xml:space="preserve"> </w:t>
      </w:r>
      <w:r w:rsidR="00DB40F0" w:rsidRPr="00EF4FFA">
        <w:t xml:space="preserve">The ESC considered that </w:t>
      </w:r>
      <w:r w:rsidR="00B37FE1" w:rsidRPr="00EF4FFA">
        <w:t xml:space="preserve">the majority </w:t>
      </w:r>
      <w:r w:rsidR="00DB40F0" w:rsidRPr="00EF4FFA">
        <w:t xml:space="preserve">of patients without the 17p deletion would receive treatment with acalabrutinib monotherapy as </w:t>
      </w:r>
      <w:r w:rsidR="00236DE5" w:rsidRPr="00EF4FFA">
        <w:t xml:space="preserve">the proposed restriction required </w:t>
      </w:r>
      <w:r w:rsidR="00DB40F0" w:rsidRPr="00EF4FFA">
        <w:t xml:space="preserve">patients unfit for fludarabine-based chemotherapy </w:t>
      </w:r>
      <w:r w:rsidR="00236DE5" w:rsidRPr="00EF4FFA">
        <w:t xml:space="preserve">to be aged 65 years or older or to have comorbidities. </w:t>
      </w:r>
      <w:r w:rsidR="00DB40F0" w:rsidRPr="00EF4FFA">
        <w:t>The ESC considered that for patients with the 17p deletion</w:t>
      </w:r>
      <w:r w:rsidR="00236DE5" w:rsidRPr="00EF4FFA">
        <w:t>,</w:t>
      </w:r>
      <w:r w:rsidR="00481120" w:rsidRPr="00EF4FFA">
        <w:t xml:space="preserve"> </w:t>
      </w:r>
      <w:r w:rsidR="00B37FE1" w:rsidRPr="00EF4FFA">
        <w:t xml:space="preserve">the majority </w:t>
      </w:r>
      <w:r w:rsidR="00DB40F0" w:rsidRPr="00EF4FFA">
        <w:t>would receive combination therapy of acalabrutinib + obinutuzumab as</w:t>
      </w:r>
      <w:r w:rsidR="00236DE5" w:rsidRPr="00EF4FFA">
        <w:t>,</w:t>
      </w:r>
      <w:r w:rsidR="00DB40F0" w:rsidRPr="00EF4FFA">
        <w:t xml:space="preserve"> </w:t>
      </w:r>
      <w:r w:rsidR="00236DE5" w:rsidRPr="00EF4FFA">
        <w:t xml:space="preserve">per the proposed restriction, these patients are likely to be younger and fitter, and they </w:t>
      </w:r>
      <w:r w:rsidR="00DB40F0" w:rsidRPr="00EF4FFA">
        <w:t>require a greater depth of response.</w:t>
      </w:r>
    </w:p>
    <w:p w:rsidR="005C6912" w:rsidRPr="00EF4FFA" w:rsidRDefault="005C6912" w:rsidP="005C17A9">
      <w:pPr>
        <w:pStyle w:val="TableFigureCaption"/>
      </w:pPr>
      <w:r w:rsidRPr="00EF4FFA">
        <w:lastRenderedPageBreak/>
        <w:t>F</w:t>
      </w:r>
      <w:r w:rsidR="00422F9B" w:rsidRPr="00EF4FFA">
        <w:t>igure 1</w:t>
      </w:r>
      <w:r w:rsidRPr="00EF4FFA">
        <w:t>: Proposed clinical management algorithm for patients with CLL/SLL</w:t>
      </w:r>
    </w:p>
    <w:p w:rsidR="005C6912" w:rsidRPr="00EF4FFA" w:rsidRDefault="005C6912" w:rsidP="005C6912">
      <w:pPr>
        <w:keepNext/>
      </w:pPr>
      <w:r w:rsidRPr="00EF4FFA">
        <w:rPr>
          <w:noProof/>
        </w:rPr>
        <w:drawing>
          <wp:inline distT="0" distB="0" distL="0" distR="0" wp14:anchorId="3EE0DDC4" wp14:editId="53A87DFF">
            <wp:extent cx="5732145" cy="3227433"/>
            <wp:effectExtent l="0" t="0" r="1905" b="0"/>
            <wp:docPr id="6" name="Picture 6" title="Figure 1: Proposed clinical management algorithm for patients with CLL/S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227433"/>
                    </a:xfrm>
                    <a:prstGeom prst="rect">
                      <a:avLst/>
                    </a:prstGeom>
                    <a:noFill/>
                  </pic:spPr>
                </pic:pic>
              </a:graphicData>
            </a:graphic>
          </wp:inline>
        </w:drawing>
      </w:r>
    </w:p>
    <w:p w:rsidR="000E6955" w:rsidRPr="005C17A9" w:rsidRDefault="000E6955" w:rsidP="005C17A9">
      <w:pPr>
        <w:pStyle w:val="TableFigureFooter"/>
      </w:pPr>
      <w:r w:rsidRPr="005C17A9">
        <w:t>CLL = chronic lymphocytic leukaemia; FCR = fludarabine + cyclophosphamide + rituximab; SLL = small lymphocytic lymphoma</w:t>
      </w:r>
    </w:p>
    <w:p w:rsidR="00745495" w:rsidRPr="005C17A9" w:rsidRDefault="005C6912" w:rsidP="005C17A9">
      <w:pPr>
        <w:pStyle w:val="TableFigureFooter"/>
      </w:pPr>
      <w:r w:rsidRPr="005C17A9">
        <w:t>Source: Figure 1.9, p.24 of the submission.</w:t>
      </w:r>
    </w:p>
    <w:p w:rsidR="0065728B" w:rsidRPr="00EF4FFA" w:rsidRDefault="00481120" w:rsidP="005C17A9">
      <w:pPr>
        <w:pStyle w:val="TableFigureFooter"/>
      </w:pPr>
      <w:r w:rsidRPr="005C17A9">
        <w:t>* Assumes a positive PBAC recommendation at the March 2020 meeting.</w:t>
      </w:r>
    </w:p>
    <w:p w:rsidR="0065728B" w:rsidRPr="00EF4FFA" w:rsidRDefault="0065728B" w:rsidP="0065728B">
      <w:pPr>
        <w:pStyle w:val="ExecSumBodyText"/>
        <w:ind w:firstLine="0"/>
        <w:rPr>
          <w:i/>
        </w:rPr>
      </w:pPr>
      <w:r w:rsidRPr="00EF4FFA">
        <w:rPr>
          <w:i/>
          <w:snapToGrid/>
        </w:rPr>
        <w:t>For more detail on PBAC’s view, see section 7 PBAC outcome.</w:t>
      </w:r>
    </w:p>
    <w:p w:rsidR="00B50DB8" w:rsidRPr="00EF4FFA" w:rsidRDefault="00B50DB8" w:rsidP="004E18E9">
      <w:pPr>
        <w:pStyle w:val="2-SectionHeading"/>
      </w:pPr>
      <w:bookmarkStart w:id="8" w:name="_Toc40350897"/>
      <w:r w:rsidRPr="00EF4FFA">
        <w:t>Comparator</w:t>
      </w:r>
      <w:bookmarkEnd w:id="8"/>
    </w:p>
    <w:p w:rsidR="00745495" w:rsidRPr="00EF4FFA" w:rsidRDefault="00786A6E" w:rsidP="00745495">
      <w:pPr>
        <w:pStyle w:val="ExecSumBodyText"/>
      </w:pPr>
      <w:r>
        <w:t>5.1</w:t>
      </w:r>
      <w:r>
        <w:tab/>
      </w:r>
      <w:r w:rsidR="00745495" w:rsidRPr="00EF4FFA">
        <w:t xml:space="preserve">The submission nominated chlorambucil + obinutuzumab as the main comparator for acalabrutinib </w:t>
      </w:r>
      <w:r w:rsidR="00D97DD2" w:rsidRPr="00EF4FFA">
        <w:rPr>
          <w:rFonts w:cstheme="minorHAnsi"/>
        </w:rPr>
        <w:t>±</w:t>
      </w:r>
      <w:r w:rsidR="00745495" w:rsidRPr="00EF4FFA">
        <w:t xml:space="preserve"> obinutuzumab. The main arguments provided in support of this nomination were:</w:t>
      </w:r>
    </w:p>
    <w:p w:rsidR="00745495" w:rsidRPr="00EF4FFA" w:rsidRDefault="00745495" w:rsidP="0093038C">
      <w:pPr>
        <w:pStyle w:val="ExecSumBodyText"/>
        <w:numPr>
          <w:ilvl w:val="0"/>
          <w:numId w:val="12"/>
        </w:numPr>
        <w:spacing w:after="0"/>
        <w:ind w:left="993" w:hanging="294"/>
      </w:pPr>
      <w:r w:rsidRPr="00EF4FFA">
        <w:t>Obinutuzumab is listed on the PBS for use in combination with chlorambucil in patients with previously untreated CLL considered unsuitable for treatment with fludarabine-based chemo-immunotherapy, and who have a CIRS score &gt;</w:t>
      </w:r>
      <w:r w:rsidR="00102446" w:rsidRPr="00EF4FFA">
        <w:t xml:space="preserve"> </w:t>
      </w:r>
      <w:r w:rsidRPr="00EF4FFA">
        <w:t xml:space="preserve">6 or a creatine clearance </w:t>
      </w:r>
      <w:r w:rsidR="00A16B3F" w:rsidRPr="00EF4FFA">
        <w:t xml:space="preserve">between 30 mL/min and </w:t>
      </w:r>
      <w:r w:rsidRPr="00EF4FFA">
        <w:t>70 mL/min.</w:t>
      </w:r>
    </w:p>
    <w:p w:rsidR="00745495" w:rsidRPr="00EF4FFA" w:rsidRDefault="00745495" w:rsidP="0093038C">
      <w:pPr>
        <w:pStyle w:val="ExecSumBodyText"/>
        <w:numPr>
          <w:ilvl w:val="0"/>
          <w:numId w:val="12"/>
        </w:numPr>
        <w:spacing w:after="0"/>
        <w:ind w:left="993" w:hanging="294"/>
      </w:pPr>
      <w:r w:rsidRPr="00EF4FFA">
        <w:t xml:space="preserve">Chlorambucil + obinutuzumab is the therapy most likely to be replaced by the listing of acalabrutinib </w:t>
      </w:r>
      <w:r w:rsidR="00D97DD2" w:rsidRPr="00EF4FFA">
        <w:rPr>
          <w:rFonts w:cstheme="minorHAnsi"/>
        </w:rPr>
        <w:t>±</w:t>
      </w:r>
      <w:r w:rsidRPr="00EF4FFA">
        <w:t xml:space="preserve"> obinutuzumab, based on an analysis of PBS data conducted by the sponsor.</w:t>
      </w:r>
    </w:p>
    <w:p w:rsidR="00745495" w:rsidRPr="00EF4FFA" w:rsidRDefault="00745495" w:rsidP="0093038C">
      <w:pPr>
        <w:pStyle w:val="ExecSumBodyText"/>
        <w:numPr>
          <w:ilvl w:val="0"/>
          <w:numId w:val="12"/>
        </w:numPr>
        <w:ind w:left="993" w:hanging="294"/>
      </w:pPr>
      <w:r w:rsidRPr="00EF4FFA">
        <w:t>Chlorambucil + obinutuzumab was previously accepted as a comparator in the PBAC submissions for ibrutinib monotherapy in patients with untreated CLL that are unsuitable for treatment with a purine analogue.</w:t>
      </w:r>
    </w:p>
    <w:p w:rsidR="00786A6E" w:rsidRDefault="00955AF4" w:rsidP="00786A6E">
      <w:pPr>
        <w:pStyle w:val="ExecSumBodyText"/>
        <w:ind w:hanging="21"/>
      </w:pPr>
      <w:r w:rsidRPr="00EF4FFA">
        <w:t>The ESC considered c</w:t>
      </w:r>
      <w:r w:rsidR="00745495" w:rsidRPr="00EF4FFA">
        <w:t xml:space="preserve">hlorambucil + obinutuzumab </w:t>
      </w:r>
      <w:r w:rsidRPr="00EF4FFA">
        <w:t xml:space="preserve">to be </w:t>
      </w:r>
      <w:r w:rsidR="00745495" w:rsidRPr="00EF4FFA">
        <w:t xml:space="preserve">an appropriate comparator. </w:t>
      </w:r>
    </w:p>
    <w:p w:rsidR="00786A6E" w:rsidRDefault="00786A6E" w:rsidP="00786A6E">
      <w:pPr>
        <w:pStyle w:val="ExecSumBodyText"/>
      </w:pPr>
      <w:r>
        <w:t>5.2</w:t>
      </w:r>
      <w:r>
        <w:tab/>
      </w:r>
      <w:r w:rsidR="00745495" w:rsidRPr="00EF4FFA">
        <w:t xml:space="preserve">The submission nominated ibrutinib monotherapy as a secondary comparator </w:t>
      </w:r>
      <w:r w:rsidR="00FE1B1F" w:rsidRPr="00EF4FFA">
        <w:t xml:space="preserve">for </w:t>
      </w:r>
      <w:r w:rsidR="00745495" w:rsidRPr="00EF4FFA">
        <w:t xml:space="preserve">patients with 17p deletion. Ibrutinib monotherapy was recommended at the November 2019 PBAC meeting for the treatment of previously untreated patients with 17p deletion. </w:t>
      </w:r>
      <w:r w:rsidR="00737C3E" w:rsidRPr="00EF4FFA">
        <w:t>However, t</w:t>
      </w:r>
      <w:r w:rsidR="00745495" w:rsidRPr="00EF4FFA">
        <w:t xml:space="preserve">he submission argued that ibrutinib was a relevant </w:t>
      </w:r>
      <w:r w:rsidR="00745495" w:rsidRPr="00EF4FFA">
        <w:lastRenderedPageBreak/>
        <w:t xml:space="preserve">comparator for acalabrutinib monotherapy only. </w:t>
      </w:r>
      <w:r w:rsidR="00690642" w:rsidRPr="00EF4FFA">
        <w:t xml:space="preserve">This may not be reasonable given that the requested listing is for acalabrutinib monotherapy </w:t>
      </w:r>
      <w:r w:rsidR="00573971" w:rsidRPr="00EF4FFA">
        <w:t>and</w:t>
      </w:r>
      <w:r w:rsidR="00690642" w:rsidRPr="00EF4FFA">
        <w:t xml:space="preserve"> acalabrutinib + obinutuzumab</w:t>
      </w:r>
      <w:r w:rsidR="00C727C5" w:rsidRPr="00EF4FFA">
        <w:t xml:space="preserve">, and clinical guidelines </w:t>
      </w:r>
      <w:r w:rsidR="00835BCA" w:rsidRPr="00EF4FFA">
        <w:t xml:space="preserve">include </w:t>
      </w:r>
      <w:r w:rsidR="00737C3E" w:rsidRPr="00EF4FFA">
        <w:t xml:space="preserve">both </w:t>
      </w:r>
      <w:r w:rsidR="00C727C5" w:rsidRPr="00EF4FFA">
        <w:t xml:space="preserve">acalabrutinib </w:t>
      </w:r>
      <w:r w:rsidR="00737C3E" w:rsidRPr="00EF4FFA">
        <w:t xml:space="preserve">monotherapy and acalabrutinib + obinutuzumab </w:t>
      </w:r>
      <w:r w:rsidR="00424E86" w:rsidRPr="00EF4FFA">
        <w:t xml:space="preserve">as preferred </w:t>
      </w:r>
      <w:r w:rsidR="00737C3E" w:rsidRPr="00EF4FFA">
        <w:t xml:space="preserve">first-line </w:t>
      </w:r>
      <w:r w:rsidR="00424E86" w:rsidRPr="00EF4FFA">
        <w:t>treatments for patients with 17p deletion</w:t>
      </w:r>
      <w:r w:rsidR="00690642" w:rsidRPr="00EF4FFA">
        <w:t xml:space="preserve">. </w:t>
      </w:r>
      <w:r w:rsidR="00FE1B1F" w:rsidRPr="00EF4FFA">
        <w:t>In patients with 17p deletion t</w:t>
      </w:r>
      <w:r w:rsidR="00DB40F0" w:rsidRPr="00EF4FFA">
        <w:t>he ESC considered that ibrutinib</w:t>
      </w:r>
      <w:r w:rsidR="00FE1B1F" w:rsidRPr="00EF4FFA">
        <w:t xml:space="preserve"> monotherapy</w:t>
      </w:r>
      <w:r w:rsidR="00DB40F0" w:rsidRPr="00EF4FFA">
        <w:t xml:space="preserve"> should have been considered as a comparator for acalabrutinib + obinutuzumab as</w:t>
      </w:r>
      <w:r w:rsidR="001B00A7" w:rsidRPr="00EF4FFA">
        <w:t xml:space="preserve"> </w:t>
      </w:r>
      <w:r w:rsidR="00FE1B1F" w:rsidRPr="00EF4FFA">
        <w:t>these patients are likely to be treated with</w:t>
      </w:r>
      <w:r w:rsidR="001B00A7" w:rsidRPr="00EF4FFA">
        <w:t xml:space="preserve"> combination therapy.</w:t>
      </w:r>
      <w:r w:rsidR="00E212B1" w:rsidRPr="00EF4FFA">
        <w:t xml:space="preserve"> The pre-PBAC response agreed that the well-known poor prognosis of 17p deletion patients means they would be more likely to be considered for a more aggressive treatment regimen, such as acalabrutinib + obinutuzumab.</w:t>
      </w:r>
      <w:r w:rsidR="00810607" w:rsidRPr="00EF4FFA">
        <w:t xml:space="preserve"> </w:t>
      </w:r>
    </w:p>
    <w:p w:rsidR="00786A6E" w:rsidRDefault="00786A6E" w:rsidP="00786A6E">
      <w:pPr>
        <w:pStyle w:val="ExecSumBodyText"/>
      </w:pPr>
      <w:r>
        <w:t>5.3</w:t>
      </w:r>
      <w:r>
        <w:tab/>
      </w:r>
      <w:r w:rsidR="00745495" w:rsidRPr="00EF4FFA">
        <w:t xml:space="preserve">The submission nominated venetoclax + obinutuzumab as a near market comparator. </w:t>
      </w:r>
      <w:r w:rsidR="00FE1B1F" w:rsidRPr="00EF4FFA">
        <w:t xml:space="preserve">The ESC considered that this </w:t>
      </w:r>
      <w:r w:rsidR="00745495" w:rsidRPr="00EF4FFA">
        <w:t>was reasonable. A submission for venetoclax + obinutuzumab for the first-line treatment of patients with CLL who have coexisting conditions and are unsuitable for fludarabine based chemotherapy was rejected by the PBAC at the March 2020 meeting.</w:t>
      </w:r>
      <w:r w:rsidR="00573971" w:rsidRPr="00EF4FFA">
        <w:t xml:space="preserve"> A minor resubmission for venetoclax + obinutuzumab in the first-line setting </w:t>
      </w:r>
      <w:r w:rsidR="003C6773" w:rsidRPr="00EF4FFA">
        <w:t>was also</w:t>
      </w:r>
      <w:r w:rsidR="00573971" w:rsidRPr="00EF4FFA">
        <w:t xml:space="preserve"> considered by the PBAC at the July 2020 meeting.</w:t>
      </w:r>
    </w:p>
    <w:p w:rsidR="00745495" w:rsidRPr="00EF4FFA" w:rsidRDefault="00786A6E" w:rsidP="00786A6E">
      <w:pPr>
        <w:pStyle w:val="ExecSumBodyText"/>
      </w:pPr>
      <w:r>
        <w:t>5.4</w:t>
      </w:r>
      <w:r>
        <w:tab/>
      </w:r>
      <w:r w:rsidR="00745495" w:rsidRPr="00EF4FFA">
        <w:t>The submission noted that chlorambucil may also be used in combination with rituximab in the first-line treatment setting, but argued that the results of the CLL-11 trial (chlorambucil + obinutuzumab versus chlorambucil + rituximab) demonstrated that chlorambucil + obinutuzumab has superior efficacy compar</w:t>
      </w:r>
      <w:r w:rsidR="00B84650" w:rsidRPr="00EF4FFA">
        <w:t xml:space="preserve">ed to chlorambucil + rituximab. </w:t>
      </w:r>
      <w:r w:rsidR="00745495" w:rsidRPr="00EF4FFA">
        <w:t>The PBAC previously considered that chlorambucil + obinutuzumab provides, for some patients, a significant improvement in efficacy over chlorambucil + rituximab, and chlorambucil monotherapy (paragraph 7.2, obinutuzumab, Public Summary Document, March 2015 PBAC meeting).</w:t>
      </w:r>
    </w:p>
    <w:p w:rsidR="0065728B" w:rsidRPr="00EF4FFA" w:rsidRDefault="0065728B" w:rsidP="0065728B">
      <w:pPr>
        <w:pStyle w:val="ExecSumBodyText"/>
        <w:ind w:firstLine="0"/>
        <w:rPr>
          <w:i/>
        </w:rPr>
      </w:pPr>
      <w:r w:rsidRPr="00EF4FFA">
        <w:rPr>
          <w:i/>
          <w:snapToGrid/>
        </w:rPr>
        <w:t>For more detail on PBAC’s view, see section 7 PBAC outcome.</w:t>
      </w:r>
    </w:p>
    <w:p w:rsidR="00223D5A" w:rsidRPr="00EF4FFA" w:rsidRDefault="00223D5A" w:rsidP="00223D5A">
      <w:pPr>
        <w:pStyle w:val="2-SectionHeading"/>
        <w:numPr>
          <w:ilvl w:val="0"/>
          <w:numId w:val="1"/>
        </w:numPr>
      </w:pPr>
      <w:bookmarkStart w:id="9" w:name="_Toc40350898"/>
      <w:bookmarkStart w:id="10" w:name="_Toc22897640"/>
      <w:r w:rsidRPr="00EF4FFA">
        <w:t>Consideration of the evidence</w:t>
      </w:r>
      <w:bookmarkEnd w:id="9"/>
    </w:p>
    <w:p w:rsidR="0065728B" w:rsidRPr="005C17A9" w:rsidRDefault="0065728B" w:rsidP="005C17A9">
      <w:pPr>
        <w:pStyle w:val="3-SubsectionHeading"/>
      </w:pPr>
      <w:bookmarkStart w:id="11" w:name="_Toc40350899"/>
      <w:r w:rsidRPr="005C17A9">
        <w:t>Sponsor hearing</w:t>
      </w:r>
    </w:p>
    <w:p w:rsidR="0065728B" w:rsidRPr="005C17A9" w:rsidRDefault="00786A6E" w:rsidP="005C17A9">
      <w:pPr>
        <w:pStyle w:val="ExecSumBodyText"/>
      </w:pPr>
      <w:r>
        <w:t>6.1</w:t>
      </w:r>
      <w:r>
        <w:tab/>
      </w:r>
      <w:r w:rsidR="0065728B" w:rsidRPr="005C17A9">
        <w:t>There was no hearing for this item.</w:t>
      </w:r>
    </w:p>
    <w:p w:rsidR="0065728B" w:rsidRPr="005C17A9" w:rsidRDefault="0065728B" w:rsidP="005C17A9">
      <w:pPr>
        <w:pStyle w:val="3-SubsectionHeading"/>
      </w:pPr>
      <w:r w:rsidRPr="005C17A9">
        <w:t>Consumer comments</w:t>
      </w:r>
    </w:p>
    <w:p w:rsidR="00CB28A6" w:rsidRPr="005C17A9" w:rsidRDefault="00786A6E" w:rsidP="005C17A9">
      <w:pPr>
        <w:pStyle w:val="ExecSumBodyText"/>
      </w:pPr>
      <w:r>
        <w:t>6.2</w:t>
      </w:r>
      <w:r>
        <w:tab/>
      </w:r>
      <w:r w:rsidR="0065728B" w:rsidRPr="005C17A9">
        <w:t>The PBAC noted and welcomed the input from individuals (</w:t>
      </w:r>
      <w:r w:rsidR="00CB28A6" w:rsidRPr="005C17A9">
        <w:t xml:space="preserve">13) </w:t>
      </w:r>
      <w:r w:rsidR="0065728B" w:rsidRPr="005C17A9">
        <w:t>and organisations (</w:t>
      </w:r>
      <w:r w:rsidR="00CB28A6" w:rsidRPr="005C17A9">
        <w:t>3</w:t>
      </w:r>
      <w:r w:rsidR="0065728B" w:rsidRPr="005C17A9">
        <w:t>) via the Consumer Comments facility on the PBS website</w:t>
      </w:r>
      <w:r w:rsidR="00EF4FFA" w:rsidRPr="005C17A9">
        <w:t xml:space="preserve">. </w:t>
      </w:r>
      <w:r w:rsidR="0065728B" w:rsidRPr="005C17A9">
        <w:t xml:space="preserve">The comments described a range of benefits of treatment with </w:t>
      </w:r>
      <w:r w:rsidR="00CB28A6" w:rsidRPr="005C17A9">
        <w:t>acalabrutinib</w:t>
      </w:r>
      <w:r w:rsidR="0065728B" w:rsidRPr="005C17A9">
        <w:t xml:space="preserve"> including the </w:t>
      </w:r>
      <w:r w:rsidR="00CB28A6" w:rsidRPr="005C17A9">
        <w:t>improved quality of life associated with a less toxic first-line treatment option for older, less fit patients.</w:t>
      </w:r>
    </w:p>
    <w:p w:rsidR="0065728B" w:rsidRPr="005C17A9" w:rsidRDefault="00786A6E" w:rsidP="005C17A9">
      <w:pPr>
        <w:pStyle w:val="ExecSumBodyText"/>
      </w:pPr>
      <w:r>
        <w:t>6.3</w:t>
      </w:r>
      <w:r>
        <w:tab/>
      </w:r>
      <w:r w:rsidR="0065728B" w:rsidRPr="005C17A9">
        <w:t xml:space="preserve">The PBAC noted the advice received from </w:t>
      </w:r>
      <w:r w:rsidR="00551BB5" w:rsidRPr="005C17A9">
        <w:t>the Leukaemia Foundation, Lymphoma Australia and Rare Cancers Australia</w:t>
      </w:r>
      <w:r w:rsidR="0065728B" w:rsidRPr="005C17A9">
        <w:t xml:space="preserve"> clarifying the likely use of </w:t>
      </w:r>
      <w:r w:rsidR="00551BB5" w:rsidRPr="005C17A9">
        <w:t>acalabrutinib</w:t>
      </w:r>
      <w:r w:rsidR="0065728B" w:rsidRPr="005C17A9">
        <w:t xml:space="preserve"> in clinical practice. The PBAC specifically noted the advice that </w:t>
      </w:r>
      <w:r w:rsidR="00551BB5" w:rsidRPr="005C17A9">
        <w:t xml:space="preserve">acalabrutinib in the first-line </w:t>
      </w:r>
      <w:r w:rsidR="00551BB5" w:rsidRPr="005C17A9">
        <w:lastRenderedPageBreak/>
        <w:t>setting would meet a high unmet clinical need and provide a treatment option for elderly, chemotherapy contraindicated patients</w:t>
      </w:r>
      <w:r w:rsidR="00EF4FFA" w:rsidRPr="005C17A9">
        <w:t xml:space="preserve">. </w:t>
      </w:r>
    </w:p>
    <w:p w:rsidR="00B60939" w:rsidRPr="00EF4FFA" w:rsidRDefault="00B60939" w:rsidP="002E4F02">
      <w:pPr>
        <w:pStyle w:val="3-SubsectionHeading"/>
      </w:pPr>
      <w:r w:rsidRPr="00EF4FFA">
        <w:t>Clinical</w:t>
      </w:r>
      <w:r w:rsidR="00A615B7" w:rsidRPr="00EF4FFA">
        <w:t xml:space="preserve"> </w:t>
      </w:r>
      <w:r w:rsidRPr="00EF4FFA">
        <w:t>trials</w:t>
      </w:r>
      <w:bookmarkEnd w:id="10"/>
      <w:bookmarkEnd w:id="11"/>
    </w:p>
    <w:p w:rsidR="00A615B7" w:rsidRPr="00EF4FFA" w:rsidRDefault="00786A6E" w:rsidP="00A615B7">
      <w:pPr>
        <w:pStyle w:val="ExecSumBodyText"/>
      </w:pPr>
      <w:r>
        <w:rPr>
          <w:snapToGrid/>
        </w:rPr>
        <w:t>6.4</w:t>
      </w:r>
      <w:r>
        <w:rPr>
          <w:snapToGrid/>
        </w:rPr>
        <w:tab/>
      </w:r>
      <w:r w:rsidR="00A615B7" w:rsidRPr="00EF4FFA">
        <w:rPr>
          <w:snapToGrid/>
        </w:rPr>
        <w:t xml:space="preserve">The submission was based on the following comparisons of acalabrutinib </w:t>
      </w:r>
      <w:r w:rsidR="00D97DD2" w:rsidRPr="00EF4FFA">
        <w:rPr>
          <w:rFonts w:cstheme="minorHAnsi"/>
        </w:rPr>
        <w:t>±</w:t>
      </w:r>
      <w:r w:rsidR="00A615B7" w:rsidRPr="00EF4FFA">
        <w:rPr>
          <w:snapToGrid/>
        </w:rPr>
        <w:t xml:space="preserve"> obinutuzumab and the nominated comparators:</w:t>
      </w:r>
    </w:p>
    <w:p w:rsidR="00A615B7" w:rsidRPr="00EF4FFA" w:rsidRDefault="00A615B7" w:rsidP="0093038C">
      <w:pPr>
        <w:pStyle w:val="ExecSumBodyText"/>
        <w:numPr>
          <w:ilvl w:val="0"/>
          <w:numId w:val="31"/>
        </w:numPr>
        <w:spacing w:after="0"/>
        <w:ind w:left="1077" w:hanging="357"/>
        <w:rPr>
          <w:snapToGrid/>
        </w:rPr>
      </w:pPr>
      <w:r w:rsidRPr="00EF4FFA">
        <w:rPr>
          <w:snapToGrid/>
        </w:rPr>
        <w:t>A head-to-head comparison of acalabrutinib monotherapy, acalabrutinib + obinutuzumab, and chlorambucil + obinutuzumab (ELEVATE-TN);</w:t>
      </w:r>
    </w:p>
    <w:p w:rsidR="00835BCA" w:rsidRPr="00EF4FFA" w:rsidRDefault="00835BCA" w:rsidP="0093038C">
      <w:pPr>
        <w:pStyle w:val="ExecSumBodyText"/>
        <w:numPr>
          <w:ilvl w:val="0"/>
          <w:numId w:val="31"/>
        </w:numPr>
        <w:spacing w:after="0"/>
        <w:ind w:left="1077" w:hanging="357"/>
        <w:rPr>
          <w:snapToGrid/>
        </w:rPr>
      </w:pPr>
      <w:r w:rsidRPr="00EF4FFA">
        <w:rPr>
          <w:snapToGrid/>
        </w:rPr>
        <w:t xml:space="preserve">A naïve comparison and an unanchored </w:t>
      </w:r>
      <w:r w:rsidR="00E366FE" w:rsidRPr="00EF4FFA">
        <w:rPr>
          <w:snapToGrid/>
        </w:rPr>
        <w:t>matching adjusted indirect comparison (</w:t>
      </w:r>
      <w:r w:rsidRPr="00EF4FFA">
        <w:rPr>
          <w:snapToGrid/>
        </w:rPr>
        <w:t>MAIC</w:t>
      </w:r>
      <w:r w:rsidR="00E366FE" w:rsidRPr="00EF4FFA">
        <w:rPr>
          <w:snapToGrid/>
        </w:rPr>
        <w:t>)</w:t>
      </w:r>
      <w:r w:rsidRPr="00EF4FFA">
        <w:rPr>
          <w:snapToGrid/>
        </w:rPr>
        <w:t xml:space="preserve"> of acalabrutinib + obinutuzumab (ELEVATE-TN) versus venetoclax + obinutuzumab (CLL-14);</w:t>
      </w:r>
    </w:p>
    <w:p w:rsidR="00835BCA" w:rsidRPr="00EF4FFA" w:rsidRDefault="00835BCA" w:rsidP="0093038C">
      <w:pPr>
        <w:pStyle w:val="ExecSumBodyText"/>
        <w:numPr>
          <w:ilvl w:val="0"/>
          <w:numId w:val="31"/>
        </w:numPr>
        <w:spacing w:after="0"/>
        <w:ind w:left="1077" w:hanging="357"/>
        <w:rPr>
          <w:snapToGrid/>
        </w:rPr>
      </w:pPr>
      <w:r w:rsidRPr="00EF4FFA">
        <w:rPr>
          <w:snapToGrid/>
        </w:rPr>
        <w:t>A naïve comparison and an unanchored MAIC of acalabrutinib monotherapy (ELEVATE-TN) versus venetoclax + obinutuzumab (CLL-14).</w:t>
      </w:r>
    </w:p>
    <w:p w:rsidR="00A56E51" w:rsidRPr="00EF4FFA" w:rsidRDefault="00A615B7" w:rsidP="0093038C">
      <w:pPr>
        <w:pStyle w:val="ExecSumBodyText"/>
        <w:numPr>
          <w:ilvl w:val="0"/>
          <w:numId w:val="31"/>
        </w:numPr>
        <w:ind w:left="1077" w:hanging="357"/>
        <w:rPr>
          <w:i/>
          <w:snapToGrid/>
        </w:rPr>
      </w:pPr>
      <w:r w:rsidRPr="00EF4FFA">
        <w:rPr>
          <w:snapToGrid/>
        </w:rPr>
        <w:t>A naïve comparison and an unanchored MAIC of acalabrutinib monotherapy (ELEVATE-TN) versus ibrutinib monotherapy (RESONATE-2)</w:t>
      </w:r>
      <w:r w:rsidR="0093048E" w:rsidRPr="00EF4FFA">
        <w:rPr>
          <w:snapToGrid/>
        </w:rPr>
        <w:t xml:space="preserve"> based on the assumption that the results </w:t>
      </w:r>
      <w:r w:rsidR="00737C3E" w:rsidRPr="00EF4FFA">
        <w:rPr>
          <w:snapToGrid/>
        </w:rPr>
        <w:t>of the comparison based on</w:t>
      </w:r>
      <w:r w:rsidR="0093048E" w:rsidRPr="00EF4FFA">
        <w:rPr>
          <w:snapToGrid/>
        </w:rPr>
        <w:t xml:space="preserve"> the full trial population</w:t>
      </w:r>
      <w:r w:rsidR="00737C3E" w:rsidRPr="00EF4FFA">
        <w:rPr>
          <w:snapToGrid/>
        </w:rPr>
        <w:t>s</w:t>
      </w:r>
      <w:r w:rsidR="0093048E" w:rsidRPr="00EF4FFA">
        <w:rPr>
          <w:snapToGrid/>
        </w:rPr>
        <w:t xml:space="preserve"> could be used as a proxy for patients with 17p deletion.</w:t>
      </w:r>
      <w:r w:rsidR="007501BF" w:rsidRPr="00EF4FFA">
        <w:t xml:space="preserve"> </w:t>
      </w:r>
    </w:p>
    <w:p w:rsidR="00FC65BD" w:rsidRPr="00EF4FFA" w:rsidRDefault="00AB4860" w:rsidP="00A56E51">
      <w:pPr>
        <w:pStyle w:val="ExecSumBodyText"/>
        <w:ind w:left="777" w:firstLine="0"/>
      </w:pPr>
      <w:r w:rsidRPr="00EF4FFA">
        <w:t>T</w:t>
      </w:r>
      <w:r w:rsidR="00FC65BD" w:rsidRPr="00EF4FFA">
        <w:t xml:space="preserve">he submission did not include a comparison of acalabrutinib + obinutuzumab </w:t>
      </w:r>
      <w:r w:rsidR="00737C3E" w:rsidRPr="00EF4FFA">
        <w:t xml:space="preserve">versus </w:t>
      </w:r>
      <w:r w:rsidR="00FC65BD" w:rsidRPr="00EF4FFA">
        <w:t>ibrutinib monotherapy</w:t>
      </w:r>
      <w:r w:rsidR="001B00A7" w:rsidRPr="00EF4FFA">
        <w:t xml:space="preserve"> in patients with 17p deletion</w:t>
      </w:r>
      <w:r w:rsidR="00FC65BD" w:rsidRPr="00EF4FFA">
        <w:rPr>
          <w:i/>
        </w:rPr>
        <w:t xml:space="preserve">. </w:t>
      </w:r>
      <w:r w:rsidR="00FC65BD" w:rsidRPr="00EF4FFA">
        <w:t>Th</w:t>
      </w:r>
      <w:r w:rsidR="001B00A7" w:rsidRPr="00EF4FFA">
        <w:t xml:space="preserve">e ESC considered that this was </w:t>
      </w:r>
      <w:r w:rsidR="00FC65BD" w:rsidRPr="00EF4FFA">
        <w:t xml:space="preserve">not reasonable given that the requested listing is for </w:t>
      </w:r>
      <w:r w:rsidR="00BE3972" w:rsidRPr="00EF4FFA">
        <w:t xml:space="preserve">both </w:t>
      </w:r>
      <w:r w:rsidR="00FC65BD" w:rsidRPr="00EF4FFA">
        <w:t xml:space="preserve">acalabrutinib monotherapy </w:t>
      </w:r>
      <w:r w:rsidR="0017554E" w:rsidRPr="00EF4FFA">
        <w:t>and</w:t>
      </w:r>
      <w:r w:rsidR="00FC65BD" w:rsidRPr="00EF4FFA">
        <w:t xml:space="preserve"> acalabrutinib + obinutuzumab</w:t>
      </w:r>
      <w:r w:rsidR="001B00A7" w:rsidRPr="00EF4FFA">
        <w:t xml:space="preserve"> and as the majority of 17p deletion patients would </w:t>
      </w:r>
      <w:r w:rsidR="00FF2D52" w:rsidRPr="00EF4FFA">
        <w:t xml:space="preserve">likely </w:t>
      </w:r>
      <w:r w:rsidR="001B00A7" w:rsidRPr="00EF4FFA">
        <w:t>receive acalabrutinib + obinutuzumab</w:t>
      </w:r>
      <w:r w:rsidR="00FC65BD" w:rsidRPr="00EF4FFA">
        <w:t xml:space="preserve">. </w:t>
      </w:r>
    </w:p>
    <w:p w:rsidR="00A615B7" w:rsidRPr="00EF4FFA" w:rsidRDefault="00786A6E" w:rsidP="00A615B7">
      <w:pPr>
        <w:pStyle w:val="ExecSumBodyText"/>
      </w:pPr>
      <w:r>
        <w:t>6.5</w:t>
      </w:r>
      <w:r>
        <w:tab/>
      </w:r>
      <w:r w:rsidR="00A615B7" w:rsidRPr="00EF4FFA">
        <w:t xml:space="preserve">Details of the trials presented in the submission are provided in the table below. </w:t>
      </w:r>
    </w:p>
    <w:p w:rsidR="00A615B7" w:rsidRPr="00EF4FFA" w:rsidRDefault="00A615B7" w:rsidP="00A615B7">
      <w:pPr>
        <w:pStyle w:val="TableFigureCaption"/>
      </w:pPr>
      <w:r w:rsidRPr="00EF4FFA">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3"/>
        <w:gridCol w:w="5104"/>
        <w:gridCol w:w="2500"/>
      </w:tblGrid>
      <w:tr w:rsidR="00A615B7" w:rsidRPr="00EF4FFA" w:rsidTr="005C17A9">
        <w:trPr>
          <w:tblHeader/>
        </w:trPr>
        <w:tc>
          <w:tcPr>
            <w:tcW w:w="784" w:type="pct"/>
            <w:vAlign w:val="center"/>
          </w:tcPr>
          <w:p w:rsidR="00A615B7" w:rsidRPr="00EF4FFA" w:rsidRDefault="00A615B7" w:rsidP="00473C44">
            <w:pPr>
              <w:pStyle w:val="Tableheadingrow"/>
              <w:keepNext w:val="0"/>
              <w:rPr>
                <w:lang w:val="en-AU"/>
              </w:rPr>
            </w:pPr>
            <w:r w:rsidRPr="00EF4FFA">
              <w:rPr>
                <w:lang w:val="en-AU"/>
              </w:rPr>
              <w:t>Trial ID</w:t>
            </w:r>
          </w:p>
        </w:tc>
        <w:tc>
          <w:tcPr>
            <w:tcW w:w="2830" w:type="pct"/>
            <w:vAlign w:val="center"/>
          </w:tcPr>
          <w:p w:rsidR="00A615B7" w:rsidRPr="00EF4FFA" w:rsidRDefault="00A615B7" w:rsidP="00473C44">
            <w:pPr>
              <w:pStyle w:val="Tableheadingrow"/>
              <w:keepNext w:val="0"/>
              <w:jc w:val="center"/>
              <w:rPr>
                <w:lang w:val="en-AU"/>
              </w:rPr>
            </w:pPr>
            <w:r w:rsidRPr="00EF4FFA">
              <w:rPr>
                <w:lang w:val="en-AU"/>
              </w:rPr>
              <w:t>Protocol title/ Publication title</w:t>
            </w:r>
          </w:p>
        </w:tc>
        <w:tc>
          <w:tcPr>
            <w:tcW w:w="1386" w:type="pct"/>
            <w:vAlign w:val="center"/>
          </w:tcPr>
          <w:p w:rsidR="00A615B7" w:rsidRPr="00EF4FFA" w:rsidRDefault="00A615B7" w:rsidP="00473C44">
            <w:pPr>
              <w:pStyle w:val="Tableheadingrow"/>
              <w:keepNext w:val="0"/>
              <w:jc w:val="center"/>
              <w:rPr>
                <w:lang w:val="en-AU"/>
              </w:rPr>
            </w:pPr>
            <w:r w:rsidRPr="00EF4FFA">
              <w:rPr>
                <w:lang w:val="en-AU"/>
              </w:rPr>
              <w:t>Publication citation</w:t>
            </w:r>
          </w:p>
        </w:tc>
      </w:tr>
      <w:tr w:rsidR="00A615B7" w:rsidRPr="00EF4FFA" w:rsidTr="005C17A9">
        <w:tc>
          <w:tcPr>
            <w:tcW w:w="5000" w:type="pct"/>
            <w:gridSpan w:val="3"/>
            <w:vAlign w:val="center"/>
          </w:tcPr>
          <w:p w:rsidR="00A615B7" w:rsidRPr="00EF4FFA" w:rsidRDefault="00A615B7" w:rsidP="00A615B7">
            <w:pPr>
              <w:pStyle w:val="TableText"/>
              <w:keepNext w:val="0"/>
              <w:jc w:val="both"/>
              <w:rPr>
                <w:b/>
              </w:rPr>
            </w:pPr>
            <w:r w:rsidRPr="00EF4FFA">
              <w:rPr>
                <w:b/>
              </w:rPr>
              <w:t xml:space="preserve">Acalabrutinib </w:t>
            </w:r>
            <w:r w:rsidR="00D97DD2" w:rsidRPr="00EF4FFA">
              <w:rPr>
                <w:rFonts w:cstheme="minorHAnsi"/>
              </w:rPr>
              <w:t>±</w:t>
            </w:r>
            <w:r w:rsidRPr="00EF4FFA">
              <w:rPr>
                <w:b/>
              </w:rPr>
              <w:t xml:space="preserve"> obinutuzumab trials</w:t>
            </w:r>
          </w:p>
        </w:tc>
      </w:tr>
      <w:tr w:rsidR="00A615B7" w:rsidRPr="00EF4FFA" w:rsidTr="005C17A9">
        <w:tc>
          <w:tcPr>
            <w:tcW w:w="784" w:type="pct"/>
          </w:tcPr>
          <w:p w:rsidR="00A615B7" w:rsidRPr="00EF4FFA" w:rsidRDefault="00A615B7" w:rsidP="00473C44">
            <w:pPr>
              <w:pStyle w:val="TableText"/>
            </w:pPr>
            <w:r w:rsidRPr="00EF4FFA">
              <w:t>ELEVATE-TN</w:t>
            </w:r>
          </w:p>
          <w:p w:rsidR="00A615B7" w:rsidRPr="00EF4FFA" w:rsidRDefault="00A615B7" w:rsidP="00473C44">
            <w:pPr>
              <w:pStyle w:val="TableText"/>
              <w:keepNext w:val="0"/>
            </w:pPr>
            <w:r w:rsidRPr="00EF4FFA">
              <w:t>NCT02475681</w:t>
            </w:r>
          </w:p>
        </w:tc>
        <w:tc>
          <w:tcPr>
            <w:tcW w:w="2830" w:type="pct"/>
          </w:tcPr>
          <w:p w:rsidR="00A615B7" w:rsidRPr="00EF4FFA" w:rsidRDefault="00A615B7" w:rsidP="00473C44">
            <w:pPr>
              <w:pStyle w:val="TableText"/>
              <w:keepNext w:val="0"/>
              <w:rPr>
                <w:szCs w:val="18"/>
              </w:rPr>
            </w:pPr>
            <w:r w:rsidRPr="00EF4FFA">
              <w:rPr>
                <w:szCs w:val="18"/>
              </w:rPr>
              <w:t xml:space="preserve">A Randomized, Multicentre, Open-Label, 3 arm Phase 3 Study of Obinutuzumab in Combination with Chlorambucil, ACP-196 in Combination with Obinutuzumab, and ACP-196 Monotherapy in Subjects with Previously Untreated Chronic Lymphocytic Leukaemia. </w:t>
            </w:r>
          </w:p>
        </w:tc>
        <w:tc>
          <w:tcPr>
            <w:tcW w:w="1386" w:type="pct"/>
          </w:tcPr>
          <w:p w:rsidR="00A615B7" w:rsidRPr="00EF4FFA" w:rsidRDefault="00A615B7" w:rsidP="00473C44">
            <w:pPr>
              <w:pStyle w:val="TableText"/>
              <w:keepNext w:val="0"/>
            </w:pPr>
            <w:r w:rsidRPr="00EF4FFA">
              <w:t xml:space="preserve">Clinical Study Report, </w:t>
            </w:r>
            <w:r w:rsidRPr="00EF4FFA">
              <w:rPr>
                <w:szCs w:val="18"/>
              </w:rPr>
              <w:t>16 August 2019.</w:t>
            </w:r>
          </w:p>
        </w:tc>
      </w:tr>
      <w:tr w:rsidR="00A615B7" w:rsidRPr="00EF4FFA" w:rsidTr="005C17A9">
        <w:tc>
          <w:tcPr>
            <w:tcW w:w="5000" w:type="pct"/>
            <w:gridSpan w:val="3"/>
            <w:vAlign w:val="center"/>
          </w:tcPr>
          <w:p w:rsidR="00A615B7" w:rsidRPr="00EF4FFA" w:rsidRDefault="00A615B7" w:rsidP="00473C44">
            <w:pPr>
              <w:pStyle w:val="TableText"/>
              <w:keepNext w:val="0"/>
              <w:jc w:val="both"/>
              <w:rPr>
                <w:b/>
              </w:rPr>
            </w:pPr>
            <w:r w:rsidRPr="00EF4FFA">
              <w:rPr>
                <w:b/>
              </w:rPr>
              <w:t>Ibrutinib trials</w:t>
            </w:r>
          </w:p>
        </w:tc>
      </w:tr>
      <w:tr w:rsidR="0049198E" w:rsidRPr="00EF4FFA" w:rsidTr="005C17A9">
        <w:trPr>
          <w:trHeight w:val="50"/>
        </w:trPr>
        <w:tc>
          <w:tcPr>
            <w:tcW w:w="784" w:type="pct"/>
          </w:tcPr>
          <w:p w:rsidR="0049198E" w:rsidRPr="00EF4FFA" w:rsidRDefault="0049198E" w:rsidP="00473C44">
            <w:pPr>
              <w:pStyle w:val="TableText"/>
            </w:pPr>
            <w:r w:rsidRPr="00EF4FFA">
              <w:t>RESONATE-2</w:t>
            </w:r>
          </w:p>
          <w:p w:rsidR="0049198E" w:rsidRPr="00EF4FFA" w:rsidRDefault="0049198E" w:rsidP="00473C44">
            <w:pPr>
              <w:pStyle w:val="TableText"/>
              <w:keepNext w:val="0"/>
            </w:pPr>
            <w:r w:rsidRPr="00EF4FFA">
              <w:t>NCT01722487</w:t>
            </w:r>
          </w:p>
        </w:tc>
        <w:tc>
          <w:tcPr>
            <w:tcW w:w="2830" w:type="pct"/>
          </w:tcPr>
          <w:p w:rsidR="0049198E" w:rsidRPr="00EF4FFA" w:rsidRDefault="0062090F" w:rsidP="0062090F">
            <w:pPr>
              <w:pStyle w:val="TableText"/>
            </w:pPr>
            <w:r w:rsidRPr="00EF4FFA">
              <w:rPr>
                <w:szCs w:val="18"/>
              </w:rPr>
              <w:t xml:space="preserve">Burger JA, </w:t>
            </w:r>
            <w:r w:rsidR="0049198E" w:rsidRPr="00EF4FFA">
              <w:rPr>
                <w:szCs w:val="18"/>
              </w:rPr>
              <w:t>Tedeschi</w:t>
            </w:r>
            <w:r w:rsidRPr="00EF4FFA">
              <w:rPr>
                <w:szCs w:val="18"/>
              </w:rPr>
              <w:t xml:space="preserve"> A</w:t>
            </w:r>
            <w:r w:rsidR="0049198E" w:rsidRPr="00EF4FFA">
              <w:rPr>
                <w:szCs w:val="18"/>
              </w:rPr>
              <w:t>, Barr</w:t>
            </w:r>
            <w:r w:rsidRPr="00EF4FFA">
              <w:rPr>
                <w:szCs w:val="18"/>
              </w:rPr>
              <w:t xml:space="preserve"> PM,</w:t>
            </w:r>
            <w:r w:rsidR="0049198E" w:rsidRPr="00EF4FFA">
              <w:rPr>
                <w:szCs w:val="18"/>
              </w:rPr>
              <w:t xml:space="preserve"> et al. Ibrutinib as Initial Therapy for Patients with Chronic Lymphocytic Leukaemia. </w:t>
            </w:r>
          </w:p>
        </w:tc>
        <w:tc>
          <w:tcPr>
            <w:tcW w:w="1386" w:type="pct"/>
          </w:tcPr>
          <w:p w:rsidR="0049198E" w:rsidRPr="00EF4FFA" w:rsidRDefault="0049198E" w:rsidP="00473C44">
            <w:pPr>
              <w:pStyle w:val="TableText"/>
            </w:pPr>
            <w:r w:rsidRPr="00EF4FFA">
              <w:rPr>
                <w:i/>
                <w:szCs w:val="18"/>
              </w:rPr>
              <w:t>New England Journal of Medicine</w:t>
            </w:r>
            <w:r w:rsidRPr="00EF4FFA">
              <w:rPr>
                <w:szCs w:val="18"/>
              </w:rPr>
              <w:t xml:space="preserve"> 2015; 373(25): 2425-37.</w:t>
            </w:r>
          </w:p>
        </w:tc>
      </w:tr>
      <w:tr w:rsidR="00A615B7" w:rsidRPr="00EF4FFA" w:rsidTr="005C17A9">
        <w:trPr>
          <w:trHeight w:val="670"/>
        </w:trPr>
        <w:tc>
          <w:tcPr>
            <w:tcW w:w="784" w:type="pct"/>
          </w:tcPr>
          <w:p w:rsidR="00A615B7" w:rsidRPr="00EF4FFA" w:rsidRDefault="00A615B7" w:rsidP="00473C44">
            <w:pPr>
              <w:pStyle w:val="TableText"/>
            </w:pPr>
            <w:r w:rsidRPr="00EF4FFA">
              <w:t>RESONATE-2 Extension</w:t>
            </w:r>
          </w:p>
          <w:p w:rsidR="00A615B7" w:rsidRPr="00EF4FFA" w:rsidRDefault="00A615B7" w:rsidP="00473C44">
            <w:pPr>
              <w:pStyle w:val="TableText"/>
              <w:keepNext w:val="0"/>
            </w:pPr>
            <w:r w:rsidRPr="00EF4FFA">
              <w:t>NCT01724346</w:t>
            </w:r>
          </w:p>
        </w:tc>
        <w:tc>
          <w:tcPr>
            <w:tcW w:w="2830" w:type="pct"/>
          </w:tcPr>
          <w:p w:rsidR="00A615B7" w:rsidRPr="00EF4FFA" w:rsidRDefault="00A615B7" w:rsidP="0062090F">
            <w:pPr>
              <w:pStyle w:val="TableText"/>
            </w:pPr>
            <w:r w:rsidRPr="00EF4FFA">
              <w:rPr>
                <w:szCs w:val="18"/>
              </w:rPr>
              <w:t>Barr</w:t>
            </w:r>
            <w:r w:rsidR="0062090F" w:rsidRPr="00EF4FFA">
              <w:rPr>
                <w:szCs w:val="18"/>
              </w:rPr>
              <w:t xml:space="preserve"> </w:t>
            </w:r>
            <w:r w:rsidRPr="00EF4FFA">
              <w:rPr>
                <w:szCs w:val="18"/>
              </w:rPr>
              <w:t>PM</w:t>
            </w:r>
            <w:r w:rsidR="0062090F" w:rsidRPr="00EF4FFA">
              <w:rPr>
                <w:szCs w:val="18"/>
              </w:rPr>
              <w:t xml:space="preserve">, </w:t>
            </w:r>
            <w:r w:rsidRPr="00EF4FFA">
              <w:rPr>
                <w:szCs w:val="18"/>
              </w:rPr>
              <w:t>Robak</w:t>
            </w:r>
            <w:r w:rsidR="0062090F" w:rsidRPr="00EF4FFA">
              <w:rPr>
                <w:szCs w:val="18"/>
              </w:rPr>
              <w:t xml:space="preserve"> T</w:t>
            </w:r>
            <w:r w:rsidRPr="00EF4FFA">
              <w:rPr>
                <w:szCs w:val="18"/>
              </w:rPr>
              <w:t>, Owen</w:t>
            </w:r>
            <w:r w:rsidR="0062090F" w:rsidRPr="00EF4FFA">
              <w:rPr>
                <w:szCs w:val="18"/>
              </w:rPr>
              <w:t xml:space="preserve"> C,</w:t>
            </w:r>
            <w:r w:rsidRPr="00EF4FFA">
              <w:rPr>
                <w:szCs w:val="18"/>
              </w:rPr>
              <w:t xml:space="preserve"> et al. Sustained efficacy and detailed clinical follow-up of first-line ibrutinib treatment in older patients with chronic lymphocytic leukaemia: extended phase 3 results from RESONATE-2. </w:t>
            </w:r>
          </w:p>
        </w:tc>
        <w:tc>
          <w:tcPr>
            <w:tcW w:w="1386" w:type="pct"/>
          </w:tcPr>
          <w:p w:rsidR="00A615B7" w:rsidRPr="00EF4FFA" w:rsidRDefault="00A615B7" w:rsidP="00473C44">
            <w:pPr>
              <w:pStyle w:val="TableText"/>
            </w:pPr>
            <w:r w:rsidRPr="00EF4FFA">
              <w:rPr>
                <w:i/>
                <w:szCs w:val="18"/>
              </w:rPr>
              <w:t>Haematologica</w:t>
            </w:r>
            <w:r w:rsidRPr="00EF4FFA">
              <w:rPr>
                <w:szCs w:val="18"/>
              </w:rPr>
              <w:t xml:space="preserve"> 2018; 103(9): 1502-1510.</w:t>
            </w:r>
          </w:p>
        </w:tc>
      </w:tr>
      <w:tr w:rsidR="00A615B7" w:rsidRPr="00EF4FFA" w:rsidTr="005C17A9">
        <w:tc>
          <w:tcPr>
            <w:tcW w:w="5000" w:type="pct"/>
            <w:gridSpan w:val="3"/>
            <w:tcBorders>
              <w:top w:val="single" w:sz="4" w:space="0" w:color="auto"/>
              <w:right w:val="single" w:sz="4" w:space="0" w:color="auto"/>
            </w:tcBorders>
            <w:vAlign w:val="center"/>
          </w:tcPr>
          <w:p w:rsidR="00A615B7" w:rsidRPr="00EF4FFA" w:rsidRDefault="00A615B7" w:rsidP="00473C44">
            <w:pPr>
              <w:pStyle w:val="TableText"/>
              <w:keepNext w:val="0"/>
              <w:jc w:val="both"/>
              <w:rPr>
                <w:b/>
              </w:rPr>
            </w:pPr>
            <w:r w:rsidRPr="00EF4FFA">
              <w:rPr>
                <w:b/>
              </w:rPr>
              <w:t>Venetoclax + obinutuzumab trials</w:t>
            </w:r>
          </w:p>
        </w:tc>
      </w:tr>
      <w:tr w:rsidR="0049198E" w:rsidRPr="00EF4FFA" w:rsidTr="005C17A9">
        <w:trPr>
          <w:trHeight w:val="50"/>
        </w:trPr>
        <w:tc>
          <w:tcPr>
            <w:tcW w:w="784" w:type="pct"/>
            <w:tcBorders>
              <w:top w:val="single" w:sz="4" w:space="0" w:color="auto"/>
              <w:right w:val="single" w:sz="4" w:space="0" w:color="auto"/>
            </w:tcBorders>
          </w:tcPr>
          <w:p w:rsidR="0049198E" w:rsidRPr="00EF4FFA" w:rsidRDefault="0049198E" w:rsidP="00473C44">
            <w:pPr>
              <w:pStyle w:val="TableText"/>
              <w:rPr>
                <w:iCs/>
              </w:rPr>
            </w:pPr>
            <w:r w:rsidRPr="00EF4FFA">
              <w:rPr>
                <w:iCs/>
              </w:rPr>
              <w:t>CLL-14</w:t>
            </w:r>
          </w:p>
          <w:p w:rsidR="0049198E" w:rsidRPr="00EF4FFA" w:rsidRDefault="0049198E" w:rsidP="00473C44">
            <w:pPr>
              <w:pStyle w:val="TableText"/>
              <w:keepNext w:val="0"/>
              <w:rPr>
                <w:iCs/>
              </w:rPr>
            </w:pPr>
            <w:r w:rsidRPr="00EF4FFA">
              <w:rPr>
                <w:iCs/>
              </w:rPr>
              <w:t>NCT02242942</w:t>
            </w:r>
          </w:p>
        </w:tc>
        <w:tc>
          <w:tcPr>
            <w:tcW w:w="2830" w:type="pct"/>
            <w:tcBorders>
              <w:top w:val="nil"/>
              <w:left w:val="single" w:sz="4" w:space="0" w:color="auto"/>
              <w:right w:val="single" w:sz="4" w:space="0" w:color="auto"/>
            </w:tcBorders>
          </w:tcPr>
          <w:p w:rsidR="0049198E" w:rsidRPr="00EF4FFA" w:rsidRDefault="0049198E" w:rsidP="0062090F">
            <w:pPr>
              <w:pStyle w:val="TableText"/>
              <w:keepNext w:val="0"/>
            </w:pPr>
            <w:r w:rsidRPr="00EF4FFA">
              <w:t>Fischer</w:t>
            </w:r>
            <w:r w:rsidR="0062090F" w:rsidRPr="00EF4FFA">
              <w:t xml:space="preserve"> </w:t>
            </w:r>
            <w:r w:rsidRPr="00EF4FFA">
              <w:t>K, Al-Sawaf</w:t>
            </w:r>
            <w:r w:rsidR="0062090F" w:rsidRPr="00EF4FFA">
              <w:t xml:space="preserve"> O</w:t>
            </w:r>
            <w:r w:rsidRPr="00EF4FFA">
              <w:t>, Bahlo</w:t>
            </w:r>
            <w:r w:rsidR="0062090F" w:rsidRPr="00EF4FFA">
              <w:t xml:space="preserve"> J</w:t>
            </w:r>
            <w:r w:rsidRPr="00EF4FFA">
              <w:t xml:space="preserve">, et al. Venetoclax and Obinutuzumab in Patients with CLL and Coexisting Conditions. </w:t>
            </w:r>
          </w:p>
        </w:tc>
        <w:tc>
          <w:tcPr>
            <w:tcW w:w="1386" w:type="pct"/>
            <w:tcBorders>
              <w:top w:val="nil"/>
              <w:left w:val="single" w:sz="4" w:space="0" w:color="auto"/>
              <w:right w:val="single" w:sz="4" w:space="0" w:color="auto"/>
            </w:tcBorders>
          </w:tcPr>
          <w:p w:rsidR="0049198E" w:rsidRPr="00EF4FFA" w:rsidRDefault="0049198E" w:rsidP="00473C44">
            <w:pPr>
              <w:pStyle w:val="TableText"/>
              <w:keepNext w:val="0"/>
            </w:pPr>
            <w:r w:rsidRPr="00EF4FFA">
              <w:rPr>
                <w:i/>
              </w:rPr>
              <w:t>New England Journal of Medicine</w:t>
            </w:r>
            <w:r w:rsidRPr="00EF4FFA">
              <w:t xml:space="preserve"> 2019; 380(23): 2225-2236.</w:t>
            </w:r>
          </w:p>
        </w:tc>
      </w:tr>
    </w:tbl>
    <w:p w:rsidR="00A615B7" w:rsidRPr="00EF4FFA" w:rsidRDefault="00A615B7" w:rsidP="005C17A9">
      <w:pPr>
        <w:pStyle w:val="TableFigureFooter"/>
      </w:pPr>
      <w:r w:rsidRPr="00EF4FFA">
        <w:t xml:space="preserve">Source: </w:t>
      </w:r>
      <w:r w:rsidR="0062090F" w:rsidRPr="00EF4FFA">
        <w:t xml:space="preserve">Table 2.3, p.35 of the submission; </w:t>
      </w:r>
      <w:r w:rsidRPr="00EF4FFA">
        <w:t xml:space="preserve">Table A1.3, pp5-6 of ‘Appendix 1 </w:t>
      </w:r>
      <w:proofErr w:type="gramStart"/>
      <w:r w:rsidRPr="00EF4FFA">
        <w:t>Near</w:t>
      </w:r>
      <w:proofErr w:type="gramEnd"/>
      <w:r w:rsidRPr="00EF4FFA">
        <w:t xml:space="preserve"> Market Comparators’ of the submission.</w:t>
      </w:r>
    </w:p>
    <w:p w:rsidR="00847271" w:rsidRPr="00EF4FFA" w:rsidRDefault="00847271" w:rsidP="005C17A9">
      <w:pPr>
        <w:pStyle w:val="TableFigureFooter"/>
      </w:pPr>
      <w:r w:rsidRPr="00EF4FFA">
        <w:t>References relating to conference abstracts omitted.</w:t>
      </w:r>
    </w:p>
    <w:p w:rsidR="000B4A37" w:rsidRPr="00EF4FFA" w:rsidRDefault="00786A6E" w:rsidP="00922BC2">
      <w:pPr>
        <w:pStyle w:val="ExecSumBodyText"/>
      </w:pPr>
      <w:r>
        <w:t>6.6</w:t>
      </w:r>
      <w:r>
        <w:tab/>
      </w:r>
      <w:r w:rsidR="00922BC2" w:rsidRPr="00EF4FFA">
        <w:t xml:space="preserve">The submission excluded </w:t>
      </w:r>
      <w:r w:rsidR="000B4A37" w:rsidRPr="00EF4FFA">
        <w:t>two identified trials</w:t>
      </w:r>
      <w:r w:rsidR="0017554E" w:rsidRPr="00EF4FFA">
        <w:t xml:space="preserve"> which the ESC considered may have been informative</w:t>
      </w:r>
      <w:r w:rsidR="000B4A37" w:rsidRPr="00EF4FFA">
        <w:t>:</w:t>
      </w:r>
    </w:p>
    <w:p w:rsidR="00922BC2" w:rsidRPr="00EF4FFA" w:rsidRDefault="00922BC2" w:rsidP="0093038C">
      <w:pPr>
        <w:pStyle w:val="ExecSumBodyText"/>
        <w:numPr>
          <w:ilvl w:val="1"/>
          <w:numId w:val="22"/>
        </w:numPr>
        <w:ind w:left="1077" w:hanging="357"/>
      </w:pPr>
      <w:proofErr w:type="gramStart"/>
      <w:r w:rsidRPr="00EF4FFA">
        <w:lastRenderedPageBreak/>
        <w:t>the</w:t>
      </w:r>
      <w:proofErr w:type="gramEnd"/>
      <w:r w:rsidRPr="00EF4FFA">
        <w:t xml:space="preserve"> ALLIANCE trial on the basis of ‘wrong comparator’. The ALLIANCE trial was a phase 3, randomised trial of ibrutinib, ibrutinib plus rituximab, or </w:t>
      </w:r>
      <w:proofErr w:type="spellStart"/>
      <w:r w:rsidRPr="00EF4FFA">
        <w:t>bendamustine</w:t>
      </w:r>
      <w:proofErr w:type="spellEnd"/>
      <w:r w:rsidRPr="00EF4FFA">
        <w:t xml:space="preserve"> + rituximab in patients aged </w:t>
      </w:r>
      <w:r w:rsidRPr="00EF4FFA">
        <w:rPr>
          <w:rFonts w:cs="Calibri"/>
        </w:rPr>
        <w:t>≥</w:t>
      </w:r>
      <w:r w:rsidR="00AE04C5" w:rsidRPr="00EF4FFA">
        <w:rPr>
          <w:rFonts w:cs="Calibri"/>
        </w:rPr>
        <w:t xml:space="preserve"> </w:t>
      </w:r>
      <w:r w:rsidRPr="00EF4FFA">
        <w:t>65 years who had untreated intermediate or high-risk Rai-stage CLL. Given that the submission relied upon a naïve comparison and an unanchored MAIC of acalabrutinib monotherapy and ibrutinib monotherapy using the RESONATE-2 trial (due to the absence of a common comparator), this exclusion may not be reasonable</w:t>
      </w:r>
      <w:r w:rsidR="000B4A37" w:rsidRPr="00EF4FFA">
        <w:t>; and</w:t>
      </w:r>
      <w:r w:rsidR="00E25798">
        <w:t xml:space="preserve"> </w:t>
      </w:r>
    </w:p>
    <w:p w:rsidR="00922BC2" w:rsidRPr="00EF4FFA" w:rsidRDefault="00922BC2" w:rsidP="0093038C">
      <w:pPr>
        <w:pStyle w:val="ExecSumBodyText"/>
        <w:numPr>
          <w:ilvl w:val="1"/>
          <w:numId w:val="22"/>
        </w:numPr>
        <w:ind w:left="1077" w:hanging="357"/>
      </w:pPr>
      <w:proofErr w:type="gramStart"/>
      <w:r w:rsidRPr="00EF4FFA">
        <w:t>the</w:t>
      </w:r>
      <w:proofErr w:type="gramEnd"/>
      <w:r w:rsidRPr="00EF4FFA">
        <w:t xml:space="preserve"> iLLUMINATE trial on the basis of ‘wrong intervention’. The iLLUMINATE trial was a Phase 3 randomised trial comparing ibrutinib + obinutuzumab versus chlorambucil + obinutuzumab in patients considered unsuitable for fludarabine based chemoimmunotherapy (aged </w:t>
      </w:r>
      <w:r w:rsidRPr="00EF4FFA">
        <w:rPr>
          <w:rFonts w:cs="Calibri"/>
        </w:rPr>
        <w:t>≥</w:t>
      </w:r>
      <w:r w:rsidR="00AE04C5" w:rsidRPr="00EF4FFA">
        <w:rPr>
          <w:rFonts w:cs="Calibri"/>
        </w:rPr>
        <w:t xml:space="preserve"> </w:t>
      </w:r>
      <w:r w:rsidRPr="00EF4FFA">
        <w:t>65 years or aged &lt;</w:t>
      </w:r>
      <w:r w:rsidR="00AE04C5" w:rsidRPr="00EF4FFA">
        <w:t xml:space="preserve"> </w:t>
      </w:r>
      <w:r w:rsidRPr="00EF4FFA">
        <w:t>65 years with a least one of: CIRS score &gt;</w:t>
      </w:r>
      <w:r w:rsidR="00AE04C5" w:rsidRPr="00EF4FFA">
        <w:t xml:space="preserve"> </w:t>
      </w:r>
      <w:r w:rsidRPr="00EF4FFA">
        <w:t>6, creatinine clearance &lt;</w:t>
      </w:r>
      <w:r w:rsidR="00AE04C5" w:rsidRPr="00EF4FFA">
        <w:t xml:space="preserve"> </w:t>
      </w:r>
      <w:r w:rsidRPr="00EF4FFA">
        <w:t xml:space="preserve">70 mL/min, presence of 17p deletion, presence of TP53 mutation). </w:t>
      </w:r>
      <w:r w:rsidR="0017554E" w:rsidRPr="00EF4FFA">
        <w:t xml:space="preserve">A </w:t>
      </w:r>
      <w:r w:rsidRPr="00EF4FFA">
        <w:t>comparison of acalabrutinib + obinutuzumab (ELEVATE-TN) versus ibrutinib + obinutuzumab (iLLUMINATE) may have been informative given that the trials share a common comparator (chlorambucil + obinutuzumab), had similar eligibility criteria, and clinical evidence from the iLLUMINATE trial formed the basis for the positive PBAC recommendation of ibrutinib monotherapy for previously untreated patients with 17p deletion.</w:t>
      </w:r>
    </w:p>
    <w:p w:rsidR="00A615B7" w:rsidRPr="00EF4FFA" w:rsidRDefault="00786A6E" w:rsidP="00786A6E">
      <w:pPr>
        <w:pStyle w:val="ExecSumBodyText"/>
        <w:ind w:left="0" w:firstLine="0"/>
        <w:rPr>
          <w:snapToGrid/>
        </w:rPr>
      </w:pPr>
      <w:r>
        <w:rPr>
          <w:snapToGrid/>
        </w:rPr>
        <w:t>6.7</w:t>
      </w:r>
      <w:r>
        <w:rPr>
          <w:snapToGrid/>
        </w:rPr>
        <w:tab/>
      </w:r>
      <w:r w:rsidR="00A615B7" w:rsidRPr="00EF4FFA">
        <w:rPr>
          <w:snapToGrid/>
        </w:rPr>
        <w:t>The key features of the included trials are summarised in the table below.</w:t>
      </w:r>
    </w:p>
    <w:p w:rsidR="00A615B7" w:rsidRPr="00EF4FFA" w:rsidRDefault="00A615B7" w:rsidP="005C17A9">
      <w:pPr>
        <w:pStyle w:val="TableFigureCaption"/>
        <w:keepLines/>
      </w:pPr>
      <w:r w:rsidRPr="00EF4FFA">
        <w:lastRenderedPageBreak/>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5"/>
        <w:gridCol w:w="400"/>
        <w:gridCol w:w="1558"/>
        <w:gridCol w:w="707"/>
        <w:gridCol w:w="2837"/>
        <w:gridCol w:w="2500"/>
      </w:tblGrid>
      <w:tr w:rsidR="00E81EAB" w:rsidRPr="00EF4FFA" w:rsidTr="005C17A9">
        <w:trPr>
          <w:cantSplit/>
          <w:tblHeader/>
        </w:trPr>
        <w:tc>
          <w:tcPr>
            <w:tcW w:w="563" w:type="pct"/>
            <w:shd w:val="clear" w:color="auto" w:fill="auto"/>
            <w:vAlign w:val="center"/>
          </w:tcPr>
          <w:p w:rsidR="00A615B7" w:rsidRPr="005C17A9" w:rsidRDefault="00A615B7" w:rsidP="005C17A9">
            <w:pPr>
              <w:pStyle w:val="Tableheadingrow"/>
              <w:keepLines/>
              <w:rPr>
                <w:szCs w:val="20"/>
                <w:lang w:val="en-AU"/>
              </w:rPr>
            </w:pPr>
            <w:r w:rsidRPr="005C17A9">
              <w:rPr>
                <w:szCs w:val="20"/>
                <w:lang w:val="en-AU"/>
              </w:rPr>
              <w:t>Trial</w:t>
            </w:r>
          </w:p>
        </w:tc>
        <w:tc>
          <w:tcPr>
            <w:tcW w:w="222" w:type="pct"/>
            <w:shd w:val="clear" w:color="auto" w:fill="auto"/>
            <w:vAlign w:val="center"/>
          </w:tcPr>
          <w:p w:rsidR="00A615B7" w:rsidRPr="005C17A9" w:rsidRDefault="00A615B7" w:rsidP="005C17A9">
            <w:pPr>
              <w:pStyle w:val="Tableheadingrow"/>
              <w:keepLines/>
              <w:jc w:val="center"/>
              <w:rPr>
                <w:szCs w:val="20"/>
                <w:lang w:val="en-AU"/>
              </w:rPr>
            </w:pPr>
            <w:r w:rsidRPr="005C17A9">
              <w:rPr>
                <w:szCs w:val="20"/>
                <w:lang w:val="en-AU"/>
              </w:rPr>
              <w:t>N</w:t>
            </w:r>
          </w:p>
        </w:tc>
        <w:tc>
          <w:tcPr>
            <w:tcW w:w="864" w:type="pct"/>
            <w:shd w:val="clear" w:color="auto" w:fill="auto"/>
            <w:vAlign w:val="center"/>
          </w:tcPr>
          <w:p w:rsidR="00A615B7" w:rsidRPr="005C17A9" w:rsidRDefault="00A615B7" w:rsidP="005C17A9">
            <w:pPr>
              <w:pStyle w:val="Tableheadingrow"/>
              <w:keepLines/>
              <w:jc w:val="center"/>
              <w:rPr>
                <w:szCs w:val="20"/>
                <w:lang w:val="en-AU"/>
              </w:rPr>
            </w:pPr>
            <w:r w:rsidRPr="005C17A9">
              <w:rPr>
                <w:szCs w:val="20"/>
                <w:lang w:val="en-AU"/>
              </w:rPr>
              <w:t>Design/duration of follow-up</w:t>
            </w:r>
          </w:p>
        </w:tc>
        <w:tc>
          <w:tcPr>
            <w:tcW w:w="392" w:type="pct"/>
            <w:shd w:val="clear" w:color="auto" w:fill="auto"/>
            <w:vAlign w:val="center"/>
          </w:tcPr>
          <w:p w:rsidR="00A615B7" w:rsidRPr="005C17A9" w:rsidRDefault="00A615B7" w:rsidP="005C17A9">
            <w:pPr>
              <w:pStyle w:val="Tableheadingrow"/>
              <w:keepLines/>
              <w:jc w:val="center"/>
              <w:rPr>
                <w:szCs w:val="20"/>
                <w:lang w:val="en-AU"/>
              </w:rPr>
            </w:pPr>
            <w:r w:rsidRPr="005C17A9">
              <w:rPr>
                <w:szCs w:val="20"/>
                <w:lang w:val="en-AU"/>
              </w:rPr>
              <w:t>Risk of bias</w:t>
            </w:r>
          </w:p>
        </w:tc>
        <w:tc>
          <w:tcPr>
            <w:tcW w:w="1573" w:type="pct"/>
            <w:shd w:val="clear" w:color="auto" w:fill="auto"/>
            <w:vAlign w:val="center"/>
          </w:tcPr>
          <w:p w:rsidR="00A615B7" w:rsidRPr="005C17A9" w:rsidRDefault="00A615B7" w:rsidP="005C17A9">
            <w:pPr>
              <w:pStyle w:val="Tableheadingrow"/>
              <w:keepLines/>
              <w:jc w:val="center"/>
              <w:rPr>
                <w:szCs w:val="20"/>
                <w:lang w:val="en-AU"/>
              </w:rPr>
            </w:pPr>
            <w:r w:rsidRPr="005C17A9">
              <w:rPr>
                <w:szCs w:val="20"/>
                <w:lang w:val="en-AU"/>
              </w:rPr>
              <w:t>Patient population</w:t>
            </w:r>
          </w:p>
        </w:tc>
        <w:tc>
          <w:tcPr>
            <w:tcW w:w="1386" w:type="pct"/>
            <w:shd w:val="clear" w:color="auto" w:fill="auto"/>
            <w:vAlign w:val="center"/>
          </w:tcPr>
          <w:p w:rsidR="00A615B7" w:rsidRPr="005C17A9" w:rsidRDefault="00A615B7" w:rsidP="005C17A9">
            <w:pPr>
              <w:pStyle w:val="Tableheadingrow"/>
              <w:keepLines/>
              <w:jc w:val="center"/>
              <w:rPr>
                <w:szCs w:val="20"/>
                <w:lang w:val="en-AU"/>
              </w:rPr>
            </w:pPr>
            <w:r w:rsidRPr="005C17A9">
              <w:rPr>
                <w:szCs w:val="20"/>
                <w:lang w:val="en-AU"/>
              </w:rPr>
              <w:t>Outcomes</w:t>
            </w:r>
          </w:p>
        </w:tc>
      </w:tr>
      <w:tr w:rsidR="00A615B7" w:rsidRPr="00EF4FFA" w:rsidTr="005C17A9">
        <w:trPr>
          <w:cantSplit/>
        </w:trPr>
        <w:tc>
          <w:tcPr>
            <w:tcW w:w="5000" w:type="pct"/>
            <w:gridSpan w:val="6"/>
            <w:shd w:val="clear" w:color="auto" w:fill="auto"/>
            <w:vAlign w:val="center"/>
          </w:tcPr>
          <w:p w:rsidR="00A615B7" w:rsidRPr="005C17A9" w:rsidRDefault="00A615B7" w:rsidP="005C17A9">
            <w:pPr>
              <w:pStyle w:val="Tableheadingrow"/>
              <w:keepLines/>
              <w:rPr>
                <w:szCs w:val="20"/>
                <w:lang w:val="en-AU"/>
              </w:rPr>
            </w:pPr>
            <w:r w:rsidRPr="005C17A9">
              <w:rPr>
                <w:szCs w:val="20"/>
                <w:lang w:val="en-AU"/>
              </w:rPr>
              <w:t>Acalabrutinib + obinutuzumab vs. acalabrutinib monotherapy vs. chlorambucil + obinutuzumab</w:t>
            </w:r>
          </w:p>
        </w:tc>
      </w:tr>
      <w:tr w:rsidR="00E81EAB" w:rsidRPr="00EF4FFA" w:rsidTr="005C17A9">
        <w:trPr>
          <w:cantSplit/>
        </w:trPr>
        <w:tc>
          <w:tcPr>
            <w:tcW w:w="563" w:type="pct"/>
            <w:shd w:val="clear" w:color="auto" w:fill="auto"/>
          </w:tcPr>
          <w:p w:rsidR="00A615B7" w:rsidRPr="005C17A9" w:rsidRDefault="00A615B7" w:rsidP="005C17A9">
            <w:pPr>
              <w:pStyle w:val="TableText"/>
              <w:keepLines/>
              <w:rPr>
                <w:szCs w:val="20"/>
              </w:rPr>
            </w:pPr>
            <w:r w:rsidRPr="005C17A9">
              <w:rPr>
                <w:szCs w:val="20"/>
              </w:rPr>
              <w:t>ELEVATE-TN</w:t>
            </w:r>
          </w:p>
        </w:tc>
        <w:tc>
          <w:tcPr>
            <w:tcW w:w="222" w:type="pct"/>
            <w:shd w:val="clear" w:color="auto" w:fill="auto"/>
          </w:tcPr>
          <w:p w:rsidR="00A615B7" w:rsidRPr="005C17A9" w:rsidRDefault="00564DAD" w:rsidP="005C17A9">
            <w:pPr>
              <w:pStyle w:val="TableText"/>
              <w:keepLines/>
              <w:jc w:val="center"/>
              <w:rPr>
                <w:szCs w:val="20"/>
              </w:rPr>
            </w:pPr>
            <w:r w:rsidRPr="005C17A9">
              <w:rPr>
                <w:szCs w:val="20"/>
              </w:rPr>
              <w:t>535</w:t>
            </w:r>
          </w:p>
        </w:tc>
        <w:tc>
          <w:tcPr>
            <w:tcW w:w="864" w:type="pct"/>
            <w:shd w:val="clear" w:color="auto" w:fill="auto"/>
          </w:tcPr>
          <w:p w:rsidR="00AE04C5" w:rsidRPr="005C17A9" w:rsidRDefault="00930348" w:rsidP="005C17A9">
            <w:pPr>
              <w:pStyle w:val="TableText"/>
              <w:keepLines/>
              <w:rPr>
                <w:szCs w:val="20"/>
              </w:rPr>
            </w:pPr>
            <w:r w:rsidRPr="005C17A9">
              <w:rPr>
                <w:szCs w:val="20"/>
              </w:rPr>
              <w:t xml:space="preserve">Phase 3, </w:t>
            </w:r>
            <w:r w:rsidR="00B94BCF" w:rsidRPr="005C17A9">
              <w:rPr>
                <w:szCs w:val="20"/>
              </w:rPr>
              <w:t xml:space="preserve">R, OL </w:t>
            </w:r>
            <w:r w:rsidRPr="005C17A9">
              <w:rPr>
                <w:szCs w:val="20"/>
              </w:rPr>
              <w:t>trial</w:t>
            </w:r>
            <w:r w:rsidR="00AE04C5" w:rsidRPr="005C17A9">
              <w:rPr>
                <w:szCs w:val="20"/>
              </w:rPr>
              <w:t>;</w:t>
            </w:r>
            <w:r w:rsidR="00564DAD" w:rsidRPr="005C17A9">
              <w:rPr>
                <w:szCs w:val="20"/>
              </w:rPr>
              <w:t xml:space="preserve"> </w:t>
            </w:r>
          </w:p>
          <w:p w:rsidR="00A615B7" w:rsidRPr="005C17A9" w:rsidRDefault="00AE04C5" w:rsidP="005C17A9">
            <w:pPr>
              <w:pStyle w:val="TableText"/>
              <w:keepLines/>
              <w:rPr>
                <w:szCs w:val="20"/>
              </w:rPr>
            </w:pPr>
            <w:r w:rsidRPr="005C17A9">
              <w:rPr>
                <w:szCs w:val="20"/>
              </w:rPr>
              <w:t>M</w:t>
            </w:r>
            <w:r w:rsidR="00564DAD" w:rsidRPr="005C17A9">
              <w:rPr>
                <w:szCs w:val="20"/>
              </w:rPr>
              <w:t>edian duration of follow-up 28 months</w:t>
            </w:r>
          </w:p>
        </w:tc>
        <w:tc>
          <w:tcPr>
            <w:tcW w:w="392" w:type="pct"/>
            <w:shd w:val="clear" w:color="auto" w:fill="auto"/>
          </w:tcPr>
          <w:p w:rsidR="00A615B7" w:rsidRPr="005C17A9" w:rsidRDefault="00A615B7" w:rsidP="005C17A9">
            <w:pPr>
              <w:pStyle w:val="TableText"/>
              <w:keepLines/>
              <w:jc w:val="center"/>
              <w:rPr>
                <w:szCs w:val="20"/>
              </w:rPr>
            </w:pPr>
            <w:r w:rsidRPr="005C17A9">
              <w:rPr>
                <w:szCs w:val="20"/>
              </w:rPr>
              <w:t>Unclear</w:t>
            </w:r>
          </w:p>
        </w:tc>
        <w:tc>
          <w:tcPr>
            <w:tcW w:w="1573" w:type="pct"/>
            <w:shd w:val="clear" w:color="auto" w:fill="auto"/>
            <w:vAlign w:val="center"/>
          </w:tcPr>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w:t>
            </w:r>
            <w:r w:rsidR="00102446" w:rsidRPr="005C17A9">
              <w:rPr>
                <w:rFonts w:ascii="Arial Narrow" w:hAnsi="Arial Narrow"/>
                <w:sz w:val="20"/>
                <w:szCs w:val="20"/>
              </w:rPr>
              <w:t xml:space="preserve"> </w:t>
            </w:r>
            <w:r w:rsidRPr="005C17A9">
              <w:rPr>
                <w:rFonts w:ascii="Arial Narrow" w:hAnsi="Arial Narrow"/>
                <w:sz w:val="20"/>
                <w:szCs w:val="20"/>
              </w:rPr>
              <w:t xml:space="preserve">65 years; </w:t>
            </w:r>
          </w:p>
          <w:p w:rsidR="00E81EAB"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18</w:t>
            </w:r>
            <w:r w:rsidR="00102446" w:rsidRPr="005C17A9">
              <w:rPr>
                <w:rFonts w:ascii="Arial Narrow" w:hAnsi="Arial Narrow"/>
                <w:sz w:val="20"/>
                <w:szCs w:val="20"/>
              </w:rPr>
              <w:t>-</w:t>
            </w:r>
            <w:r w:rsidRPr="005C17A9">
              <w:rPr>
                <w:rFonts w:ascii="Arial Narrow" w:hAnsi="Arial Narrow"/>
                <w:sz w:val="20"/>
                <w:szCs w:val="20"/>
              </w:rPr>
              <w:t xml:space="preserve">65 years with a </w:t>
            </w:r>
            <w:proofErr w:type="spellStart"/>
            <w:r w:rsidRPr="005C17A9">
              <w:rPr>
                <w:rFonts w:ascii="Arial Narrow" w:hAnsi="Arial Narrow"/>
                <w:sz w:val="20"/>
                <w:szCs w:val="20"/>
              </w:rPr>
              <w:t>CrCl</w:t>
            </w:r>
            <w:proofErr w:type="spellEnd"/>
            <w:r w:rsidRPr="005C17A9">
              <w:rPr>
                <w:rFonts w:ascii="Arial Narrow" w:hAnsi="Arial Narrow"/>
                <w:sz w:val="20"/>
                <w:szCs w:val="20"/>
              </w:rPr>
              <w:t xml:space="preserve"> of 30</w:t>
            </w:r>
            <w:r w:rsidR="00102446" w:rsidRPr="005C17A9">
              <w:rPr>
                <w:rFonts w:ascii="Arial Narrow" w:hAnsi="Arial Narrow"/>
                <w:sz w:val="20"/>
                <w:szCs w:val="20"/>
              </w:rPr>
              <w:t>-</w:t>
            </w:r>
            <w:r w:rsidRPr="005C17A9">
              <w:rPr>
                <w:rFonts w:ascii="Arial Narrow" w:hAnsi="Arial Narrow"/>
                <w:sz w:val="20"/>
                <w:szCs w:val="20"/>
              </w:rPr>
              <w:t>69 mL/min or CIRS score &gt;</w:t>
            </w:r>
            <w:r w:rsidR="00102446" w:rsidRPr="005C17A9">
              <w:rPr>
                <w:rFonts w:ascii="Arial Narrow" w:hAnsi="Arial Narrow"/>
                <w:sz w:val="20"/>
                <w:szCs w:val="20"/>
              </w:rPr>
              <w:t xml:space="preserve"> </w:t>
            </w:r>
            <w:r w:rsidRPr="005C17A9">
              <w:rPr>
                <w:rFonts w:ascii="Arial Narrow" w:hAnsi="Arial Narrow"/>
                <w:sz w:val="20"/>
                <w:szCs w:val="20"/>
              </w:rPr>
              <w:t xml:space="preserve">6; </w:t>
            </w:r>
          </w:p>
          <w:p w:rsidR="00E81EAB" w:rsidRPr="005C17A9" w:rsidRDefault="00E81EAB"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Active CD20+ CLL disease requiring treatment;</w:t>
            </w:r>
          </w:p>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ECOG score ≤</w:t>
            </w:r>
            <w:r w:rsidR="00102446" w:rsidRPr="005C17A9">
              <w:rPr>
                <w:rFonts w:ascii="Arial Narrow" w:hAnsi="Arial Narrow"/>
                <w:sz w:val="20"/>
                <w:szCs w:val="20"/>
              </w:rPr>
              <w:t xml:space="preserve"> </w:t>
            </w:r>
            <w:r w:rsidRPr="005C17A9">
              <w:rPr>
                <w:rFonts w:ascii="Arial Narrow" w:hAnsi="Arial Narrow"/>
                <w:sz w:val="20"/>
                <w:szCs w:val="20"/>
              </w:rPr>
              <w:t>2;</w:t>
            </w:r>
          </w:p>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No prior systemic treatment for CLL.</w:t>
            </w:r>
          </w:p>
        </w:tc>
        <w:tc>
          <w:tcPr>
            <w:tcW w:w="1386" w:type="pct"/>
            <w:shd w:val="clear" w:color="auto" w:fill="auto"/>
          </w:tcPr>
          <w:p w:rsidR="00E81EAB"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P</w:t>
            </w:r>
            <w:r w:rsidR="00B94BCF" w:rsidRPr="005C17A9">
              <w:rPr>
                <w:rFonts w:ascii="Arial Narrow" w:hAnsi="Arial Narrow"/>
                <w:sz w:val="20"/>
                <w:szCs w:val="20"/>
              </w:rPr>
              <w:t>FS</w:t>
            </w:r>
          </w:p>
          <w:p w:rsidR="00E81EAB"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O</w:t>
            </w:r>
            <w:r w:rsidR="00B94BCF" w:rsidRPr="005C17A9">
              <w:rPr>
                <w:rFonts w:ascii="Arial Narrow" w:hAnsi="Arial Narrow"/>
                <w:sz w:val="20"/>
                <w:szCs w:val="20"/>
              </w:rPr>
              <w:t>RR</w:t>
            </w:r>
          </w:p>
          <w:p w:rsidR="00E81EAB"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O</w:t>
            </w:r>
            <w:r w:rsidR="00B94BCF" w:rsidRPr="005C17A9">
              <w:rPr>
                <w:rFonts w:ascii="Arial Narrow" w:hAnsi="Arial Narrow"/>
                <w:sz w:val="20"/>
                <w:szCs w:val="20"/>
              </w:rPr>
              <w:t>S</w:t>
            </w:r>
          </w:p>
          <w:p w:rsidR="00E81EAB"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T</w:t>
            </w:r>
            <w:r w:rsidR="00B94BCF" w:rsidRPr="005C17A9">
              <w:rPr>
                <w:rFonts w:ascii="Arial Narrow" w:hAnsi="Arial Narrow"/>
                <w:sz w:val="20"/>
                <w:szCs w:val="20"/>
              </w:rPr>
              <w:t>TNT</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A</w:t>
            </w:r>
            <w:r w:rsidR="00B94BCF" w:rsidRPr="005C17A9">
              <w:rPr>
                <w:rFonts w:ascii="Arial Narrow" w:hAnsi="Arial Narrow"/>
                <w:sz w:val="20"/>
                <w:szCs w:val="20"/>
              </w:rPr>
              <w:t>Es</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HRQOL (FACIT-Fatigue, EORTC QLQ-C30, EQ-5D-3L).</w:t>
            </w:r>
          </w:p>
        </w:tc>
      </w:tr>
      <w:tr w:rsidR="00A615B7" w:rsidRPr="00EF4FFA" w:rsidTr="005C17A9">
        <w:trPr>
          <w:cantSplit/>
        </w:trPr>
        <w:tc>
          <w:tcPr>
            <w:tcW w:w="5000" w:type="pct"/>
            <w:gridSpan w:val="6"/>
            <w:shd w:val="clear" w:color="auto" w:fill="auto"/>
            <w:vAlign w:val="center"/>
          </w:tcPr>
          <w:p w:rsidR="00A615B7" w:rsidRPr="005C17A9" w:rsidRDefault="00A615B7" w:rsidP="005C17A9">
            <w:pPr>
              <w:pStyle w:val="TableText"/>
              <w:keepLines/>
              <w:rPr>
                <w:b/>
                <w:szCs w:val="20"/>
              </w:rPr>
            </w:pPr>
            <w:r w:rsidRPr="005C17A9">
              <w:rPr>
                <w:b/>
                <w:szCs w:val="20"/>
              </w:rPr>
              <w:t>Ibrutinib vs. chlorambucil</w:t>
            </w:r>
          </w:p>
        </w:tc>
      </w:tr>
      <w:tr w:rsidR="00E81EAB" w:rsidRPr="00EF4FFA" w:rsidTr="005C17A9">
        <w:trPr>
          <w:cantSplit/>
        </w:trPr>
        <w:tc>
          <w:tcPr>
            <w:tcW w:w="563" w:type="pct"/>
            <w:shd w:val="clear" w:color="auto" w:fill="auto"/>
          </w:tcPr>
          <w:p w:rsidR="00A615B7" w:rsidRPr="005C17A9" w:rsidRDefault="00A615B7" w:rsidP="005C17A9">
            <w:pPr>
              <w:pStyle w:val="TableText"/>
              <w:keepLines/>
              <w:rPr>
                <w:szCs w:val="20"/>
              </w:rPr>
            </w:pPr>
            <w:r w:rsidRPr="005C17A9">
              <w:rPr>
                <w:szCs w:val="20"/>
              </w:rPr>
              <w:t>RESONATE-2</w:t>
            </w:r>
          </w:p>
        </w:tc>
        <w:tc>
          <w:tcPr>
            <w:tcW w:w="222" w:type="pct"/>
            <w:shd w:val="clear" w:color="auto" w:fill="auto"/>
          </w:tcPr>
          <w:p w:rsidR="00A615B7" w:rsidRPr="005C17A9" w:rsidRDefault="00564DAD" w:rsidP="005C17A9">
            <w:pPr>
              <w:pStyle w:val="TableText"/>
              <w:keepLines/>
              <w:jc w:val="center"/>
              <w:rPr>
                <w:szCs w:val="20"/>
              </w:rPr>
            </w:pPr>
            <w:r w:rsidRPr="005C17A9">
              <w:rPr>
                <w:szCs w:val="20"/>
              </w:rPr>
              <w:t>269</w:t>
            </w:r>
          </w:p>
        </w:tc>
        <w:tc>
          <w:tcPr>
            <w:tcW w:w="864" w:type="pct"/>
            <w:shd w:val="clear" w:color="auto" w:fill="auto"/>
          </w:tcPr>
          <w:p w:rsidR="00AE04C5" w:rsidRPr="005C17A9" w:rsidRDefault="00930348" w:rsidP="005C17A9">
            <w:pPr>
              <w:pStyle w:val="TableText"/>
              <w:keepLines/>
              <w:rPr>
                <w:szCs w:val="20"/>
              </w:rPr>
            </w:pPr>
            <w:r w:rsidRPr="005C17A9">
              <w:rPr>
                <w:szCs w:val="20"/>
              </w:rPr>
              <w:t xml:space="preserve">Phase 3, </w:t>
            </w:r>
            <w:r w:rsidR="00B94BCF" w:rsidRPr="005C17A9">
              <w:rPr>
                <w:szCs w:val="20"/>
              </w:rPr>
              <w:t>R</w:t>
            </w:r>
            <w:r w:rsidRPr="005C17A9">
              <w:rPr>
                <w:szCs w:val="20"/>
              </w:rPr>
              <w:t xml:space="preserve">, </w:t>
            </w:r>
            <w:r w:rsidR="00B94BCF" w:rsidRPr="005C17A9">
              <w:rPr>
                <w:szCs w:val="20"/>
              </w:rPr>
              <w:t>OL</w:t>
            </w:r>
            <w:r w:rsidRPr="005C17A9">
              <w:rPr>
                <w:szCs w:val="20"/>
              </w:rPr>
              <w:t xml:space="preserve"> trial</w:t>
            </w:r>
            <w:r w:rsidR="00AE04C5" w:rsidRPr="005C17A9">
              <w:rPr>
                <w:szCs w:val="20"/>
              </w:rPr>
              <w:t>;</w:t>
            </w:r>
          </w:p>
          <w:p w:rsidR="00A615B7" w:rsidRPr="005C17A9" w:rsidRDefault="00AE04C5" w:rsidP="005C17A9">
            <w:pPr>
              <w:pStyle w:val="TableText"/>
              <w:keepLines/>
              <w:rPr>
                <w:szCs w:val="20"/>
              </w:rPr>
            </w:pPr>
            <w:r w:rsidRPr="005C17A9">
              <w:rPr>
                <w:szCs w:val="20"/>
              </w:rPr>
              <w:t>M</w:t>
            </w:r>
            <w:r w:rsidR="00564DAD" w:rsidRPr="005C17A9">
              <w:rPr>
                <w:rFonts w:eastAsia="Times New Roman" w:cs="Times New Roman"/>
                <w:szCs w:val="20"/>
              </w:rPr>
              <w:t>edian duration of follow-up 29 months</w:t>
            </w:r>
          </w:p>
        </w:tc>
        <w:tc>
          <w:tcPr>
            <w:tcW w:w="392" w:type="pct"/>
            <w:shd w:val="clear" w:color="auto" w:fill="auto"/>
          </w:tcPr>
          <w:p w:rsidR="00A615B7" w:rsidRPr="005C17A9" w:rsidRDefault="00A615B7" w:rsidP="005C17A9">
            <w:pPr>
              <w:pStyle w:val="TableText"/>
              <w:keepLines/>
              <w:jc w:val="center"/>
              <w:rPr>
                <w:szCs w:val="20"/>
              </w:rPr>
            </w:pPr>
            <w:r w:rsidRPr="005C17A9">
              <w:rPr>
                <w:szCs w:val="20"/>
              </w:rPr>
              <w:t>Unclear</w:t>
            </w:r>
          </w:p>
        </w:tc>
        <w:tc>
          <w:tcPr>
            <w:tcW w:w="1573" w:type="pct"/>
            <w:shd w:val="clear" w:color="auto" w:fill="auto"/>
          </w:tcPr>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&gt;</w:t>
            </w:r>
            <w:r w:rsidR="00102446" w:rsidRPr="005C17A9">
              <w:rPr>
                <w:rFonts w:ascii="Arial Narrow" w:hAnsi="Arial Narrow"/>
                <w:sz w:val="20"/>
                <w:szCs w:val="20"/>
              </w:rPr>
              <w:t xml:space="preserve"> </w:t>
            </w:r>
            <w:r w:rsidRPr="005C17A9">
              <w:rPr>
                <w:rFonts w:ascii="Arial Narrow" w:hAnsi="Arial Narrow"/>
                <w:sz w:val="20"/>
                <w:szCs w:val="20"/>
              </w:rPr>
              <w:t>65 years (patients 65</w:t>
            </w:r>
            <w:r w:rsidR="00102446" w:rsidRPr="005C17A9">
              <w:rPr>
                <w:rFonts w:ascii="Arial Narrow" w:hAnsi="Arial Narrow"/>
                <w:sz w:val="20"/>
                <w:szCs w:val="20"/>
              </w:rPr>
              <w:t>-</w:t>
            </w:r>
            <w:r w:rsidRPr="005C17A9">
              <w:rPr>
                <w:rFonts w:ascii="Arial Narrow" w:hAnsi="Arial Narrow"/>
                <w:sz w:val="20"/>
                <w:szCs w:val="20"/>
              </w:rPr>
              <w:t xml:space="preserve">70 years were required to have </w:t>
            </w:r>
            <w:r w:rsidR="00B94BCF" w:rsidRPr="005C17A9">
              <w:rPr>
                <w:rFonts w:ascii="Arial Narrow" w:hAnsi="Arial Narrow"/>
                <w:sz w:val="20"/>
                <w:szCs w:val="20"/>
              </w:rPr>
              <w:t xml:space="preserve">≥ 1 </w:t>
            </w:r>
            <w:r w:rsidRPr="005C17A9">
              <w:rPr>
                <w:rFonts w:ascii="Arial Narrow" w:hAnsi="Arial Narrow"/>
                <w:sz w:val="20"/>
                <w:szCs w:val="20"/>
              </w:rPr>
              <w:t xml:space="preserve">of: </w:t>
            </w:r>
          </w:p>
          <w:p w:rsidR="00564DAD" w:rsidRPr="005C17A9" w:rsidRDefault="00E81EAB" w:rsidP="005C17A9">
            <w:pPr>
              <w:keepNext/>
              <w:keepLines/>
              <w:numPr>
                <w:ilvl w:val="0"/>
                <w:numId w:val="32"/>
              </w:numPr>
              <w:jc w:val="left"/>
              <w:rPr>
                <w:rFonts w:ascii="Arial Narrow" w:hAnsi="Arial Narrow"/>
                <w:sz w:val="20"/>
                <w:szCs w:val="20"/>
              </w:rPr>
            </w:pPr>
            <w:proofErr w:type="spellStart"/>
            <w:r w:rsidRPr="005C17A9">
              <w:rPr>
                <w:rFonts w:ascii="Arial Narrow" w:hAnsi="Arial Narrow"/>
                <w:sz w:val="20"/>
                <w:szCs w:val="20"/>
              </w:rPr>
              <w:t>CrCl</w:t>
            </w:r>
            <w:proofErr w:type="spellEnd"/>
            <w:r w:rsidRPr="005C17A9">
              <w:rPr>
                <w:rFonts w:ascii="Arial Narrow" w:hAnsi="Arial Narrow"/>
                <w:sz w:val="20"/>
                <w:szCs w:val="20"/>
              </w:rPr>
              <w:t xml:space="preserve"> &lt;</w:t>
            </w:r>
            <w:r w:rsidR="00102446" w:rsidRPr="005C17A9">
              <w:rPr>
                <w:rFonts w:ascii="Arial Narrow" w:hAnsi="Arial Narrow"/>
                <w:sz w:val="20"/>
                <w:szCs w:val="20"/>
              </w:rPr>
              <w:t xml:space="preserve"> </w:t>
            </w:r>
            <w:r w:rsidRPr="005C17A9">
              <w:rPr>
                <w:rFonts w:ascii="Arial Narrow" w:hAnsi="Arial Narrow"/>
                <w:sz w:val="20"/>
                <w:szCs w:val="20"/>
              </w:rPr>
              <w:t>70 mL/min</w:t>
            </w:r>
            <w:r w:rsidR="00564DAD" w:rsidRPr="005C17A9">
              <w:rPr>
                <w:rFonts w:ascii="Arial Narrow" w:hAnsi="Arial Narrow"/>
                <w:sz w:val="20"/>
                <w:szCs w:val="20"/>
              </w:rPr>
              <w:t xml:space="preserve"> </w:t>
            </w:r>
          </w:p>
          <w:p w:rsidR="00564DAD" w:rsidRPr="005C17A9" w:rsidRDefault="00E81EAB" w:rsidP="005C17A9">
            <w:pPr>
              <w:keepNext/>
              <w:keepLines/>
              <w:numPr>
                <w:ilvl w:val="0"/>
                <w:numId w:val="32"/>
              </w:numPr>
              <w:jc w:val="left"/>
              <w:rPr>
                <w:rFonts w:ascii="Arial Narrow" w:hAnsi="Arial Narrow"/>
                <w:sz w:val="20"/>
                <w:szCs w:val="20"/>
              </w:rPr>
            </w:pPr>
            <w:r w:rsidRPr="005C17A9">
              <w:rPr>
                <w:rFonts w:ascii="Arial Narrow" w:hAnsi="Arial Narrow"/>
                <w:sz w:val="20"/>
                <w:szCs w:val="20"/>
              </w:rPr>
              <w:t>platelet count &lt;</w:t>
            </w:r>
            <w:r w:rsidR="00102446" w:rsidRPr="005C17A9">
              <w:rPr>
                <w:rFonts w:ascii="Arial Narrow" w:hAnsi="Arial Narrow"/>
                <w:sz w:val="20"/>
                <w:szCs w:val="20"/>
              </w:rPr>
              <w:t xml:space="preserve"> </w:t>
            </w:r>
            <w:r w:rsidRPr="005C17A9">
              <w:rPr>
                <w:rFonts w:ascii="Arial Narrow" w:hAnsi="Arial Narrow"/>
                <w:sz w:val="20"/>
                <w:szCs w:val="20"/>
              </w:rPr>
              <w:t>100,000/</w:t>
            </w:r>
            <w:proofErr w:type="spellStart"/>
            <w:r w:rsidRPr="005C17A9">
              <w:rPr>
                <w:rFonts w:ascii="Arial Narrow" w:hAnsi="Arial Narrow"/>
                <w:sz w:val="20"/>
                <w:szCs w:val="20"/>
              </w:rPr>
              <w:t>μL</w:t>
            </w:r>
            <w:proofErr w:type="spellEnd"/>
          </w:p>
          <w:p w:rsidR="00E81EAB" w:rsidRPr="005C17A9" w:rsidRDefault="00E81EAB" w:rsidP="005C17A9">
            <w:pPr>
              <w:keepNext/>
              <w:keepLines/>
              <w:numPr>
                <w:ilvl w:val="0"/>
                <w:numId w:val="32"/>
              </w:numPr>
              <w:jc w:val="left"/>
              <w:rPr>
                <w:rFonts w:ascii="Arial Narrow" w:hAnsi="Arial Narrow"/>
                <w:sz w:val="20"/>
                <w:szCs w:val="20"/>
              </w:rPr>
            </w:pPr>
            <w:r w:rsidRPr="005C17A9">
              <w:rPr>
                <w:rFonts w:ascii="Arial Narrow" w:hAnsi="Arial Narrow"/>
                <w:sz w:val="20"/>
                <w:szCs w:val="20"/>
              </w:rPr>
              <w:t>haemoglobin &lt;</w:t>
            </w:r>
            <w:r w:rsidR="00102446" w:rsidRPr="005C17A9">
              <w:rPr>
                <w:rFonts w:ascii="Arial Narrow" w:hAnsi="Arial Narrow"/>
                <w:sz w:val="20"/>
                <w:szCs w:val="20"/>
              </w:rPr>
              <w:t xml:space="preserve"> </w:t>
            </w:r>
            <w:r w:rsidRPr="005C17A9">
              <w:rPr>
                <w:rFonts w:ascii="Arial Narrow" w:hAnsi="Arial Narrow"/>
                <w:sz w:val="20"/>
                <w:szCs w:val="20"/>
              </w:rPr>
              <w:t>10 g/</w:t>
            </w:r>
            <w:proofErr w:type="spellStart"/>
            <w:r w:rsidRPr="005C17A9">
              <w:rPr>
                <w:rFonts w:ascii="Arial Narrow" w:hAnsi="Arial Narrow"/>
                <w:sz w:val="20"/>
                <w:szCs w:val="20"/>
              </w:rPr>
              <w:t>dL</w:t>
            </w:r>
            <w:proofErr w:type="spellEnd"/>
          </w:p>
          <w:p w:rsidR="00E81EAB" w:rsidRPr="005C17A9" w:rsidRDefault="00E81EAB" w:rsidP="005C17A9">
            <w:pPr>
              <w:keepNext/>
              <w:keepLines/>
              <w:numPr>
                <w:ilvl w:val="0"/>
                <w:numId w:val="32"/>
              </w:numPr>
              <w:jc w:val="left"/>
              <w:rPr>
                <w:rFonts w:ascii="Arial Narrow" w:hAnsi="Arial Narrow"/>
                <w:sz w:val="20"/>
                <w:szCs w:val="20"/>
              </w:rPr>
            </w:pPr>
            <w:r w:rsidRPr="005C17A9">
              <w:rPr>
                <w:rFonts w:ascii="Arial Narrow" w:hAnsi="Arial Narrow"/>
                <w:sz w:val="20"/>
                <w:szCs w:val="20"/>
              </w:rPr>
              <w:t xml:space="preserve">autoimmune </w:t>
            </w:r>
            <w:proofErr w:type="spellStart"/>
            <w:r w:rsidRPr="005C17A9">
              <w:rPr>
                <w:rFonts w:ascii="Arial Narrow" w:hAnsi="Arial Narrow"/>
                <w:sz w:val="20"/>
                <w:szCs w:val="20"/>
              </w:rPr>
              <w:t>cytopenia</w:t>
            </w:r>
            <w:proofErr w:type="spellEnd"/>
          </w:p>
          <w:p w:rsidR="00E81EAB" w:rsidRPr="005C17A9" w:rsidRDefault="00564DAD" w:rsidP="005C17A9">
            <w:pPr>
              <w:keepNext/>
              <w:keepLines/>
              <w:numPr>
                <w:ilvl w:val="0"/>
                <w:numId w:val="32"/>
              </w:numPr>
              <w:jc w:val="left"/>
              <w:rPr>
                <w:rFonts w:ascii="Arial Narrow" w:hAnsi="Arial Narrow"/>
                <w:sz w:val="20"/>
                <w:szCs w:val="20"/>
              </w:rPr>
            </w:pPr>
            <w:r w:rsidRPr="005C17A9">
              <w:rPr>
                <w:rFonts w:ascii="Arial Narrow" w:hAnsi="Arial Narrow"/>
                <w:sz w:val="20"/>
                <w:szCs w:val="20"/>
              </w:rPr>
              <w:t>ECOG score of 1-2</w:t>
            </w:r>
          </w:p>
          <w:p w:rsidR="00E81EAB" w:rsidRPr="005C17A9" w:rsidRDefault="00E81EAB"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Active CLL/SLL disease requiring treatment</w:t>
            </w:r>
          </w:p>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No prior CLL/SLL treatment</w:t>
            </w:r>
          </w:p>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ECOG score ≤</w:t>
            </w:r>
            <w:r w:rsidR="00102446" w:rsidRPr="005C17A9">
              <w:rPr>
                <w:rFonts w:ascii="Arial Narrow" w:hAnsi="Arial Narrow"/>
                <w:sz w:val="20"/>
                <w:szCs w:val="20"/>
              </w:rPr>
              <w:t xml:space="preserve"> </w:t>
            </w:r>
            <w:r w:rsidRPr="005C17A9">
              <w:rPr>
                <w:rFonts w:ascii="Arial Narrow" w:hAnsi="Arial Narrow"/>
                <w:sz w:val="20"/>
                <w:szCs w:val="20"/>
              </w:rPr>
              <w:t>2</w:t>
            </w:r>
          </w:p>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Excluded patients with 17p deletion.</w:t>
            </w:r>
          </w:p>
        </w:tc>
        <w:tc>
          <w:tcPr>
            <w:tcW w:w="1386" w:type="pct"/>
            <w:shd w:val="clear" w:color="auto" w:fill="auto"/>
          </w:tcPr>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P</w:t>
            </w:r>
            <w:r w:rsidR="00B94BCF" w:rsidRPr="005C17A9">
              <w:rPr>
                <w:rFonts w:ascii="Arial Narrow" w:hAnsi="Arial Narrow"/>
                <w:sz w:val="20"/>
                <w:szCs w:val="20"/>
              </w:rPr>
              <w:t>FS</w:t>
            </w:r>
          </w:p>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O</w:t>
            </w:r>
            <w:r w:rsidR="00B94BCF" w:rsidRPr="005C17A9">
              <w:rPr>
                <w:rFonts w:ascii="Arial Narrow" w:hAnsi="Arial Narrow"/>
                <w:sz w:val="20"/>
                <w:szCs w:val="20"/>
              </w:rPr>
              <w:t>RR</w:t>
            </w:r>
          </w:p>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O</w:t>
            </w:r>
            <w:r w:rsidR="00B94BCF" w:rsidRPr="005C17A9">
              <w:rPr>
                <w:rFonts w:ascii="Arial Narrow" w:hAnsi="Arial Narrow"/>
                <w:sz w:val="20"/>
                <w:szCs w:val="20"/>
              </w:rPr>
              <w:t>S</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 xml:space="preserve">Rate of MRD-negative </w:t>
            </w:r>
            <w:r w:rsidR="00B94BCF" w:rsidRPr="005C17A9">
              <w:rPr>
                <w:rFonts w:ascii="Arial Narrow" w:hAnsi="Arial Narrow"/>
                <w:sz w:val="20"/>
                <w:szCs w:val="20"/>
              </w:rPr>
              <w:t>CR</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A</w:t>
            </w:r>
            <w:r w:rsidR="00B94BCF" w:rsidRPr="005C17A9">
              <w:rPr>
                <w:rFonts w:ascii="Arial Narrow" w:hAnsi="Arial Narrow"/>
                <w:sz w:val="20"/>
                <w:szCs w:val="20"/>
              </w:rPr>
              <w:t>Es</w:t>
            </w:r>
          </w:p>
          <w:p w:rsidR="00A615B7"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HRQOL (EORTC QLQ-C30, EQ-5D-5L).</w:t>
            </w:r>
          </w:p>
        </w:tc>
      </w:tr>
      <w:tr w:rsidR="00A615B7" w:rsidRPr="00EF4FFA" w:rsidTr="005C17A9">
        <w:trPr>
          <w:cantSplit/>
        </w:trPr>
        <w:tc>
          <w:tcPr>
            <w:tcW w:w="5000" w:type="pct"/>
            <w:gridSpan w:val="6"/>
            <w:shd w:val="clear" w:color="auto" w:fill="auto"/>
            <w:vAlign w:val="center"/>
          </w:tcPr>
          <w:p w:rsidR="00A615B7" w:rsidRPr="005C17A9" w:rsidRDefault="00A615B7" w:rsidP="005C17A9">
            <w:pPr>
              <w:pStyle w:val="TableText"/>
              <w:keepLines/>
              <w:rPr>
                <w:b/>
                <w:szCs w:val="20"/>
              </w:rPr>
            </w:pPr>
            <w:r w:rsidRPr="005C17A9">
              <w:rPr>
                <w:b/>
                <w:szCs w:val="20"/>
              </w:rPr>
              <w:t>Venetoclax + obinutuzumab vs. chlorambucil + obinutuzumab</w:t>
            </w:r>
          </w:p>
        </w:tc>
      </w:tr>
      <w:tr w:rsidR="00E81EAB" w:rsidRPr="00EF4FFA" w:rsidTr="005C17A9">
        <w:trPr>
          <w:cantSplit/>
        </w:trPr>
        <w:tc>
          <w:tcPr>
            <w:tcW w:w="563" w:type="pct"/>
            <w:shd w:val="clear" w:color="auto" w:fill="auto"/>
          </w:tcPr>
          <w:p w:rsidR="00A615B7" w:rsidRPr="005C17A9" w:rsidRDefault="00564DAD" w:rsidP="005C17A9">
            <w:pPr>
              <w:pStyle w:val="TableText"/>
              <w:keepLines/>
              <w:rPr>
                <w:szCs w:val="20"/>
              </w:rPr>
            </w:pPr>
            <w:r w:rsidRPr="005C17A9">
              <w:rPr>
                <w:szCs w:val="20"/>
              </w:rPr>
              <w:t>CLL-14</w:t>
            </w:r>
          </w:p>
        </w:tc>
        <w:tc>
          <w:tcPr>
            <w:tcW w:w="222" w:type="pct"/>
            <w:shd w:val="clear" w:color="auto" w:fill="auto"/>
          </w:tcPr>
          <w:p w:rsidR="00A615B7" w:rsidRPr="005C17A9" w:rsidRDefault="00564DAD" w:rsidP="005C17A9">
            <w:pPr>
              <w:pStyle w:val="TableText"/>
              <w:keepLines/>
              <w:jc w:val="center"/>
              <w:rPr>
                <w:szCs w:val="20"/>
              </w:rPr>
            </w:pPr>
            <w:r w:rsidRPr="005C17A9">
              <w:rPr>
                <w:szCs w:val="20"/>
              </w:rPr>
              <w:t>432</w:t>
            </w:r>
          </w:p>
        </w:tc>
        <w:tc>
          <w:tcPr>
            <w:tcW w:w="864" w:type="pct"/>
            <w:shd w:val="clear" w:color="auto" w:fill="auto"/>
          </w:tcPr>
          <w:p w:rsidR="00AE04C5" w:rsidRPr="005C17A9" w:rsidRDefault="00930348" w:rsidP="005C17A9">
            <w:pPr>
              <w:pStyle w:val="TableText"/>
              <w:keepLines/>
              <w:rPr>
                <w:szCs w:val="20"/>
              </w:rPr>
            </w:pPr>
            <w:r w:rsidRPr="005C17A9">
              <w:rPr>
                <w:szCs w:val="20"/>
              </w:rPr>
              <w:t xml:space="preserve">Phase 3, </w:t>
            </w:r>
            <w:r w:rsidR="00B94BCF" w:rsidRPr="005C17A9">
              <w:rPr>
                <w:szCs w:val="20"/>
              </w:rPr>
              <w:t>R</w:t>
            </w:r>
            <w:r w:rsidRPr="005C17A9">
              <w:rPr>
                <w:szCs w:val="20"/>
              </w:rPr>
              <w:t xml:space="preserve">, </w:t>
            </w:r>
            <w:r w:rsidR="00B94BCF" w:rsidRPr="005C17A9">
              <w:rPr>
                <w:szCs w:val="20"/>
              </w:rPr>
              <w:t xml:space="preserve">OL </w:t>
            </w:r>
            <w:r w:rsidRPr="005C17A9">
              <w:rPr>
                <w:szCs w:val="20"/>
              </w:rPr>
              <w:t>trial</w:t>
            </w:r>
            <w:r w:rsidR="00AE04C5" w:rsidRPr="005C17A9">
              <w:rPr>
                <w:szCs w:val="20"/>
              </w:rPr>
              <w:t>;</w:t>
            </w:r>
          </w:p>
          <w:p w:rsidR="00A615B7" w:rsidRPr="005C17A9" w:rsidRDefault="00AE04C5" w:rsidP="005C17A9">
            <w:pPr>
              <w:pStyle w:val="TableText"/>
              <w:keepLines/>
              <w:rPr>
                <w:szCs w:val="20"/>
              </w:rPr>
            </w:pPr>
            <w:r w:rsidRPr="005C17A9">
              <w:rPr>
                <w:szCs w:val="20"/>
              </w:rPr>
              <w:t>M</w:t>
            </w:r>
            <w:r w:rsidR="00564DAD" w:rsidRPr="005C17A9">
              <w:rPr>
                <w:szCs w:val="20"/>
              </w:rPr>
              <w:t xml:space="preserve">edian </w:t>
            </w:r>
            <w:r w:rsidRPr="005C17A9">
              <w:rPr>
                <w:szCs w:val="20"/>
              </w:rPr>
              <w:t>duration of follow-up 28 months</w:t>
            </w:r>
          </w:p>
        </w:tc>
        <w:tc>
          <w:tcPr>
            <w:tcW w:w="392" w:type="pct"/>
            <w:shd w:val="clear" w:color="auto" w:fill="auto"/>
          </w:tcPr>
          <w:p w:rsidR="00A615B7" w:rsidRPr="005C17A9" w:rsidRDefault="00A615B7" w:rsidP="005C17A9">
            <w:pPr>
              <w:pStyle w:val="TableText"/>
              <w:keepLines/>
              <w:jc w:val="center"/>
              <w:rPr>
                <w:szCs w:val="20"/>
              </w:rPr>
            </w:pPr>
            <w:r w:rsidRPr="005C17A9">
              <w:rPr>
                <w:szCs w:val="20"/>
              </w:rPr>
              <w:t>Unclear</w:t>
            </w:r>
          </w:p>
        </w:tc>
        <w:tc>
          <w:tcPr>
            <w:tcW w:w="1573" w:type="pct"/>
            <w:shd w:val="clear" w:color="auto" w:fill="auto"/>
          </w:tcPr>
          <w:p w:rsidR="00E81EAB"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w:t>
            </w:r>
            <w:r w:rsidR="00102446" w:rsidRPr="005C17A9">
              <w:rPr>
                <w:rFonts w:ascii="Arial Narrow" w:hAnsi="Arial Narrow"/>
                <w:sz w:val="20"/>
                <w:szCs w:val="20"/>
              </w:rPr>
              <w:t xml:space="preserve"> </w:t>
            </w:r>
            <w:r w:rsidRPr="005C17A9">
              <w:rPr>
                <w:rFonts w:ascii="Arial Narrow" w:hAnsi="Arial Narrow"/>
                <w:sz w:val="20"/>
                <w:szCs w:val="20"/>
              </w:rPr>
              <w:t xml:space="preserve">18 years; </w:t>
            </w:r>
          </w:p>
          <w:p w:rsidR="00564DAD" w:rsidRPr="005C17A9" w:rsidRDefault="00564DAD"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CIRS score &gt;</w:t>
            </w:r>
            <w:r w:rsidR="00102446" w:rsidRPr="005C17A9">
              <w:rPr>
                <w:rFonts w:ascii="Arial Narrow" w:hAnsi="Arial Narrow"/>
                <w:sz w:val="20"/>
                <w:szCs w:val="20"/>
              </w:rPr>
              <w:t xml:space="preserve"> </w:t>
            </w:r>
            <w:r w:rsidRPr="005C17A9">
              <w:rPr>
                <w:rFonts w:ascii="Arial Narrow" w:hAnsi="Arial Narrow"/>
                <w:sz w:val="20"/>
                <w:szCs w:val="20"/>
              </w:rPr>
              <w:t xml:space="preserve">6 or </w:t>
            </w:r>
            <w:proofErr w:type="spellStart"/>
            <w:r w:rsidRPr="005C17A9">
              <w:rPr>
                <w:rFonts w:ascii="Arial Narrow" w:hAnsi="Arial Narrow"/>
                <w:sz w:val="20"/>
                <w:szCs w:val="20"/>
              </w:rPr>
              <w:t>CrCl</w:t>
            </w:r>
            <w:proofErr w:type="spellEnd"/>
            <w:r w:rsidRPr="005C17A9">
              <w:rPr>
                <w:rFonts w:ascii="Arial Narrow" w:hAnsi="Arial Narrow"/>
                <w:sz w:val="20"/>
                <w:szCs w:val="20"/>
              </w:rPr>
              <w:t xml:space="preserve"> &lt;</w:t>
            </w:r>
            <w:r w:rsidR="00102446" w:rsidRPr="005C17A9">
              <w:rPr>
                <w:rFonts w:ascii="Arial Narrow" w:hAnsi="Arial Narrow"/>
                <w:sz w:val="20"/>
                <w:szCs w:val="20"/>
              </w:rPr>
              <w:t xml:space="preserve"> </w:t>
            </w:r>
            <w:r w:rsidRPr="005C17A9">
              <w:rPr>
                <w:rFonts w:ascii="Arial Narrow" w:hAnsi="Arial Narrow"/>
                <w:sz w:val="20"/>
                <w:szCs w:val="20"/>
              </w:rPr>
              <w:t>70 mL/min;</w:t>
            </w:r>
          </w:p>
          <w:p w:rsidR="00E81EAB" w:rsidRPr="005C17A9" w:rsidRDefault="00E81EAB"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CLL disease requiring treatment</w:t>
            </w:r>
          </w:p>
          <w:p w:rsidR="00564DAD" w:rsidRPr="005C17A9" w:rsidRDefault="00B94BCF" w:rsidP="005C17A9">
            <w:pPr>
              <w:keepNext/>
              <w:keepLines/>
              <w:numPr>
                <w:ilvl w:val="0"/>
                <w:numId w:val="9"/>
              </w:numPr>
              <w:ind w:left="259" w:hanging="218"/>
              <w:jc w:val="left"/>
              <w:rPr>
                <w:rFonts w:ascii="Arial Narrow" w:hAnsi="Arial Narrow"/>
                <w:sz w:val="20"/>
                <w:szCs w:val="20"/>
              </w:rPr>
            </w:pPr>
            <w:r w:rsidRPr="005C17A9">
              <w:rPr>
                <w:rFonts w:ascii="Arial Narrow" w:hAnsi="Arial Narrow"/>
                <w:sz w:val="20"/>
                <w:szCs w:val="20"/>
              </w:rPr>
              <w:t>P</w:t>
            </w:r>
            <w:r w:rsidR="00564DAD" w:rsidRPr="005C17A9">
              <w:rPr>
                <w:rFonts w:ascii="Arial Narrow" w:hAnsi="Arial Narrow"/>
                <w:sz w:val="20"/>
                <w:szCs w:val="20"/>
              </w:rPr>
              <w:t>reviously untreated CLL</w:t>
            </w:r>
          </w:p>
        </w:tc>
        <w:tc>
          <w:tcPr>
            <w:tcW w:w="1386" w:type="pct"/>
            <w:shd w:val="clear" w:color="auto" w:fill="auto"/>
          </w:tcPr>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P</w:t>
            </w:r>
            <w:r w:rsidR="00B94BCF" w:rsidRPr="005C17A9">
              <w:rPr>
                <w:rFonts w:ascii="Arial Narrow" w:hAnsi="Arial Narrow"/>
                <w:sz w:val="20"/>
                <w:szCs w:val="20"/>
              </w:rPr>
              <w:t>FS</w:t>
            </w:r>
          </w:p>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O</w:t>
            </w:r>
            <w:r w:rsidR="00B94BCF" w:rsidRPr="005C17A9">
              <w:rPr>
                <w:rFonts w:ascii="Arial Narrow" w:hAnsi="Arial Narrow"/>
                <w:sz w:val="20"/>
                <w:szCs w:val="20"/>
              </w:rPr>
              <w:t>RR</w:t>
            </w:r>
          </w:p>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O</w:t>
            </w:r>
            <w:r w:rsidR="00B94BCF" w:rsidRPr="005C17A9">
              <w:rPr>
                <w:rFonts w:ascii="Arial Narrow" w:hAnsi="Arial Narrow"/>
                <w:sz w:val="20"/>
                <w:szCs w:val="20"/>
              </w:rPr>
              <w:t>S</w:t>
            </w:r>
          </w:p>
          <w:p w:rsidR="00930348" w:rsidRPr="005C17A9" w:rsidRDefault="00930348"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T</w:t>
            </w:r>
            <w:r w:rsidR="00B94BCF" w:rsidRPr="005C17A9">
              <w:rPr>
                <w:rFonts w:ascii="Arial Narrow" w:hAnsi="Arial Narrow"/>
                <w:sz w:val="20"/>
                <w:szCs w:val="20"/>
              </w:rPr>
              <w:t>TNT</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MRD response rate</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Duration of response</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Event-free survival</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A</w:t>
            </w:r>
            <w:r w:rsidR="00B94BCF" w:rsidRPr="005C17A9">
              <w:rPr>
                <w:rFonts w:ascii="Arial Narrow" w:hAnsi="Arial Narrow"/>
                <w:sz w:val="20"/>
                <w:szCs w:val="20"/>
              </w:rPr>
              <w:t>E</w:t>
            </w:r>
            <w:r w:rsidRPr="005C17A9">
              <w:rPr>
                <w:rFonts w:ascii="Arial Narrow" w:hAnsi="Arial Narrow"/>
                <w:sz w:val="20"/>
                <w:szCs w:val="20"/>
              </w:rPr>
              <w:t>s</w:t>
            </w:r>
          </w:p>
          <w:p w:rsidR="00E81EAB" w:rsidRPr="005C17A9" w:rsidRDefault="00E81EAB" w:rsidP="005C17A9">
            <w:pPr>
              <w:keepNext/>
              <w:keepLines/>
              <w:numPr>
                <w:ilvl w:val="0"/>
                <w:numId w:val="9"/>
              </w:numPr>
              <w:ind w:left="254" w:hanging="213"/>
              <w:jc w:val="left"/>
              <w:rPr>
                <w:rFonts w:ascii="Arial Narrow" w:hAnsi="Arial Narrow"/>
                <w:sz w:val="20"/>
                <w:szCs w:val="20"/>
              </w:rPr>
            </w:pPr>
            <w:r w:rsidRPr="005C17A9">
              <w:rPr>
                <w:rFonts w:ascii="Arial Narrow" w:hAnsi="Arial Narrow"/>
                <w:sz w:val="20"/>
                <w:szCs w:val="20"/>
              </w:rPr>
              <w:t>HRQOL (MDASI, EORTC QLQ-C30, EQ-5D-5L).</w:t>
            </w:r>
          </w:p>
        </w:tc>
      </w:tr>
    </w:tbl>
    <w:p w:rsidR="000E6955" w:rsidRPr="00EF4FFA" w:rsidRDefault="00B94BCF" w:rsidP="005C17A9">
      <w:pPr>
        <w:pStyle w:val="TableFigureFooter"/>
      </w:pPr>
      <w:r w:rsidRPr="00EF4FFA">
        <w:t xml:space="preserve">AE = adverse event; </w:t>
      </w:r>
      <w:r w:rsidR="000E6955" w:rsidRPr="00EF4FFA">
        <w:t xml:space="preserve">CD = cluster of differentiation; CIRS = Cumulative Illness Rating Scale; </w:t>
      </w:r>
      <w:r w:rsidR="00597B00" w:rsidRPr="00EF4FFA">
        <w:t xml:space="preserve">CLL = chronic lymphocytic leukaemia; </w:t>
      </w:r>
      <w:r w:rsidRPr="00EF4FFA">
        <w:t xml:space="preserve">CR = complete response; </w:t>
      </w:r>
      <w:proofErr w:type="spellStart"/>
      <w:r w:rsidR="000E6955" w:rsidRPr="00EF4FFA">
        <w:t>CrCl</w:t>
      </w:r>
      <w:proofErr w:type="spellEnd"/>
      <w:r w:rsidR="000E6955" w:rsidRPr="00EF4FFA">
        <w:t xml:space="preserve"> = creatinine clearance; ECOG = Eastern Cooperative Oncology Group; EQ-5D = </w:t>
      </w:r>
      <w:proofErr w:type="spellStart"/>
      <w:r w:rsidR="000E6955" w:rsidRPr="00EF4FFA">
        <w:t>EuroQoL</w:t>
      </w:r>
      <w:proofErr w:type="spellEnd"/>
      <w:r w:rsidR="000E6955" w:rsidRPr="00EF4FFA">
        <w:t xml:space="preserve"> 5-Dimension; EORTC = European Organisation for Research and Treatment of Cancer; FACIT = Functional Assessment of Chronic Illness Therapy; HRQOL = health-related quality of life; MDASI = MD Anderson Symptom Inventory; MRD = minimal residual disease; </w:t>
      </w:r>
      <w:r w:rsidRPr="00EF4FFA">
        <w:t xml:space="preserve">OL = open-label; ORR = overall response rate; OS = overall survival; </w:t>
      </w:r>
      <w:r w:rsidR="00597B00" w:rsidRPr="00EF4FFA">
        <w:t xml:space="preserve">PFS = progression free survival; </w:t>
      </w:r>
      <w:r w:rsidR="000E6955" w:rsidRPr="00EF4FFA">
        <w:t>QLQ = quality of life questionnaire</w:t>
      </w:r>
      <w:r w:rsidRPr="00EF4FFA">
        <w:t xml:space="preserve">; R = randomised; </w:t>
      </w:r>
      <w:r w:rsidR="00597B00" w:rsidRPr="00EF4FFA">
        <w:t xml:space="preserve">SLL = small lymphocytic lymphoma; </w:t>
      </w:r>
      <w:r w:rsidRPr="00EF4FFA">
        <w:t>TTNT = time to next treatment</w:t>
      </w:r>
    </w:p>
    <w:p w:rsidR="00E81EAB" w:rsidRPr="005C17A9" w:rsidRDefault="00E81EAB" w:rsidP="005C17A9">
      <w:pPr>
        <w:pStyle w:val="TableFigureFooter"/>
      </w:pPr>
      <w:r w:rsidRPr="00EF4FFA">
        <w:t>Source: Table S1, pp2-4 and pp42-46 of the ELEVATE-TN interim clinical study report; pp44-49 of the CLL-14 trial protocol (Fischer et al., 2019); pp10-15 of the RESONATE-2 trial protocol (Burger et al., 2015).</w:t>
      </w:r>
    </w:p>
    <w:p w:rsidR="003F7A6E" w:rsidRPr="00EF4FFA" w:rsidRDefault="00786A6E" w:rsidP="003F7A6E">
      <w:pPr>
        <w:pStyle w:val="ExecSumBodyText"/>
      </w:pPr>
      <w:r>
        <w:t>6.8</w:t>
      </w:r>
      <w:r>
        <w:tab/>
      </w:r>
      <w:r w:rsidR="003F7A6E" w:rsidRPr="00EF4FFA">
        <w:t>The ELEVATE-TN, RESONATE-2 and CLL-14 trials had an unclear risk of bias. As the trials were open label, investigators, patients, and study personnel were not blinded to treatment allocation, which may have influenced the treatment of patients in the trial. Assessments made by study investigators (who were not blinded to treatment allocation) were at high risk of bias. Each trial included blinded assessments by an independent review committee, which had a lower risk of assessment bias.</w:t>
      </w:r>
    </w:p>
    <w:p w:rsidR="00203762" w:rsidRPr="00EF4FFA" w:rsidRDefault="00786A6E" w:rsidP="00203762">
      <w:pPr>
        <w:pStyle w:val="ExecSumBodyText"/>
      </w:pPr>
      <w:r>
        <w:rPr>
          <w:snapToGrid/>
        </w:rPr>
        <w:lastRenderedPageBreak/>
        <w:t>6.9</w:t>
      </w:r>
      <w:r>
        <w:rPr>
          <w:snapToGrid/>
        </w:rPr>
        <w:tab/>
      </w:r>
      <w:r w:rsidR="00233AEB" w:rsidRPr="00EF4FFA">
        <w:rPr>
          <w:snapToGrid/>
        </w:rPr>
        <w:t>The PBAC noted that t</w:t>
      </w:r>
      <w:r w:rsidR="00203762" w:rsidRPr="00EF4FFA">
        <w:rPr>
          <w:snapToGrid/>
        </w:rPr>
        <w:t>here were major differences between the included trials in eligibility criteria</w:t>
      </w:r>
      <w:r w:rsidR="002E3C5F" w:rsidRPr="00EF4FFA">
        <w:rPr>
          <w:snapToGrid/>
        </w:rPr>
        <w:t>, including:</w:t>
      </w:r>
      <w:r w:rsidR="00203762" w:rsidRPr="00EF4FFA">
        <w:rPr>
          <w:snapToGrid/>
        </w:rPr>
        <w:t xml:space="preserve"> </w:t>
      </w:r>
    </w:p>
    <w:p w:rsidR="00203762" w:rsidRPr="00EF4FFA" w:rsidRDefault="00203762" w:rsidP="0093038C">
      <w:pPr>
        <w:pStyle w:val="ExecSumBodyText"/>
        <w:numPr>
          <w:ilvl w:val="0"/>
          <w:numId w:val="23"/>
        </w:numPr>
        <w:spacing w:after="0"/>
        <w:ind w:left="1077" w:hanging="357"/>
      </w:pPr>
      <w:r w:rsidRPr="00EF4FFA">
        <w:rPr>
          <w:snapToGrid/>
        </w:rPr>
        <w:t>The ELEVATE-TN trial recruited patients aged at least 65 years as well as patients aged less than 65 years wi</w:t>
      </w:r>
      <w:r w:rsidR="00102446" w:rsidRPr="00EF4FFA">
        <w:rPr>
          <w:snapToGrid/>
        </w:rPr>
        <w:t xml:space="preserve">th a creatinine clearance of 30 to </w:t>
      </w:r>
      <w:r w:rsidRPr="00EF4FFA">
        <w:rPr>
          <w:snapToGrid/>
        </w:rPr>
        <w:t>69 mL/min or a CIRS score &gt;</w:t>
      </w:r>
      <w:r w:rsidR="00AE04C5" w:rsidRPr="00EF4FFA">
        <w:rPr>
          <w:snapToGrid/>
        </w:rPr>
        <w:t xml:space="preserve"> </w:t>
      </w:r>
      <w:r w:rsidRPr="00EF4FFA">
        <w:rPr>
          <w:snapToGrid/>
        </w:rPr>
        <w:t xml:space="preserve">6. </w:t>
      </w:r>
    </w:p>
    <w:p w:rsidR="00203762" w:rsidRPr="00EF4FFA" w:rsidRDefault="00203762" w:rsidP="0093038C">
      <w:pPr>
        <w:pStyle w:val="ExecSumBodyText"/>
        <w:numPr>
          <w:ilvl w:val="0"/>
          <w:numId w:val="23"/>
        </w:numPr>
        <w:spacing w:after="0"/>
        <w:ind w:left="1077" w:hanging="357"/>
      </w:pPr>
      <w:r w:rsidRPr="00EF4FFA">
        <w:rPr>
          <w:snapToGrid/>
        </w:rPr>
        <w:t>The RESONATE-2 trial excluded patients under 65 years of age. Patients aged 65 to 70 years were required to meet at least one of the following criteria: creatinine clearance &lt;</w:t>
      </w:r>
      <w:r w:rsidR="00AE04C5" w:rsidRPr="00EF4FFA">
        <w:rPr>
          <w:snapToGrid/>
        </w:rPr>
        <w:t xml:space="preserve"> </w:t>
      </w:r>
      <w:r w:rsidRPr="00EF4FFA">
        <w:rPr>
          <w:snapToGrid/>
        </w:rPr>
        <w:t>70 mL/min, platelet count &lt;</w:t>
      </w:r>
      <w:r w:rsidR="00AE04C5" w:rsidRPr="00EF4FFA">
        <w:rPr>
          <w:snapToGrid/>
        </w:rPr>
        <w:t xml:space="preserve"> </w:t>
      </w:r>
      <w:r w:rsidRPr="00EF4FFA">
        <w:rPr>
          <w:snapToGrid/>
        </w:rPr>
        <w:t>100,000/</w:t>
      </w:r>
      <w:proofErr w:type="spellStart"/>
      <w:r w:rsidRPr="00EF4FFA">
        <w:rPr>
          <w:snapToGrid/>
        </w:rPr>
        <w:t>μL</w:t>
      </w:r>
      <w:proofErr w:type="spellEnd"/>
      <w:r w:rsidRPr="00EF4FFA">
        <w:rPr>
          <w:snapToGrid/>
        </w:rPr>
        <w:t>, haemoglobin &lt;</w:t>
      </w:r>
      <w:r w:rsidR="00AE04C5" w:rsidRPr="00EF4FFA">
        <w:rPr>
          <w:snapToGrid/>
        </w:rPr>
        <w:t xml:space="preserve"> </w:t>
      </w:r>
      <w:r w:rsidRPr="00EF4FFA">
        <w:rPr>
          <w:snapToGrid/>
        </w:rPr>
        <w:t>10 g/</w:t>
      </w:r>
      <w:proofErr w:type="spellStart"/>
      <w:r w:rsidRPr="00EF4FFA">
        <w:rPr>
          <w:snapToGrid/>
        </w:rPr>
        <w:t>dL</w:t>
      </w:r>
      <w:proofErr w:type="spellEnd"/>
      <w:r w:rsidRPr="00EF4FFA">
        <w:rPr>
          <w:snapToGrid/>
        </w:rPr>
        <w:t xml:space="preserve">, clinically apparent autoimmune </w:t>
      </w:r>
      <w:proofErr w:type="spellStart"/>
      <w:r w:rsidRPr="00EF4FFA">
        <w:rPr>
          <w:snapToGrid/>
        </w:rPr>
        <w:t>cytopenia</w:t>
      </w:r>
      <w:proofErr w:type="spellEnd"/>
      <w:r w:rsidRPr="00EF4FFA">
        <w:rPr>
          <w:snapToGrid/>
        </w:rPr>
        <w:t xml:space="preserve">, or an ECOG score of 1-2. Patients with 17p deletion were excluded. </w:t>
      </w:r>
    </w:p>
    <w:p w:rsidR="00203762" w:rsidRPr="00EF4FFA" w:rsidRDefault="00203762" w:rsidP="0093038C">
      <w:pPr>
        <w:pStyle w:val="ExecSumBodyText"/>
        <w:numPr>
          <w:ilvl w:val="0"/>
          <w:numId w:val="23"/>
        </w:numPr>
        <w:ind w:left="1077" w:hanging="357"/>
      </w:pPr>
      <w:r w:rsidRPr="00EF4FFA">
        <w:rPr>
          <w:snapToGrid/>
        </w:rPr>
        <w:t>The CLL-14 trial recruited patients aged at least 18 years who had a creatinine clearance &lt;</w:t>
      </w:r>
      <w:r w:rsidR="00AE04C5" w:rsidRPr="00EF4FFA">
        <w:rPr>
          <w:snapToGrid/>
        </w:rPr>
        <w:t xml:space="preserve"> </w:t>
      </w:r>
      <w:r w:rsidRPr="00EF4FFA">
        <w:rPr>
          <w:snapToGrid/>
        </w:rPr>
        <w:t>70 mL/min or a CIRS score &gt;</w:t>
      </w:r>
      <w:r w:rsidR="00AE04C5" w:rsidRPr="00EF4FFA">
        <w:rPr>
          <w:snapToGrid/>
        </w:rPr>
        <w:t xml:space="preserve"> </w:t>
      </w:r>
      <w:r w:rsidRPr="00EF4FFA">
        <w:rPr>
          <w:snapToGrid/>
        </w:rPr>
        <w:t>6.</w:t>
      </w:r>
    </w:p>
    <w:p w:rsidR="00B20248" w:rsidRPr="00EF4FFA" w:rsidRDefault="00786A6E" w:rsidP="00B20248">
      <w:pPr>
        <w:pStyle w:val="ExecSumBodyText"/>
      </w:pPr>
      <w:r>
        <w:t>6.10</w:t>
      </w:r>
      <w:r>
        <w:tab/>
      </w:r>
      <w:r w:rsidR="00B20248" w:rsidRPr="00EF4FFA">
        <w:t xml:space="preserve">The trials included patients with broadly similar median age, proportion of males, and median time since diagnosis. However, a lack of reporting for some patient characteristics in the RESONATE-2 and CLL-14 trials (race, geographic region, disease stage, tumour lysis syndrome risk, bulky disease strata, creatinine clearance strata) limited the ability to compare baseline characteristics across trials. </w:t>
      </w:r>
    </w:p>
    <w:p w:rsidR="00B20248" w:rsidRPr="00EF4FFA" w:rsidRDefault="00786A6E" w:rsidP="00B20248">
      <w:pPr>
        <w:pStyle w:val="ExecSumBodyText"/>
      </w:pPr>
      <w:r>
        <w:t>6.11</w:t>
      </w:r>
      <w:r>
        <w:tab/>
      </w:r>
      <w:r w:rsidR="00B20248" w:rsidRPr="00EF4FFA">
        <w:t>The proportion of patients with a CIRS score &gt;</w:t>
      </w:r>
      <w:r w:rsidR="00AE04C5" w:rsidRPr="00EF4FFA">
        <w:t xml:space="preserve"> </w:t>
      </w:r>
      <w:r w:rsidR="00B20248" w:rsidRPr="00EF4FFA">
        <w:t>6 was substantially higher in the CLL-14 trial (86% and 82% in the venetoclax + obinutuzumab and chlorambucil + obinutuzumab arms, respectively) compared to the RESONATE-2 trial (31% in the ibrutinib arm and 33% in the chlorambucil arm). The proportion of patients with a CIRS score &gt;</w:t>
      </w:r>
      <w:r w:rsidR="00AE04C5" w:rsidRPr="00EF4FFA">
        <w:t xml:space="preserve"> </w:t>
      </w:r>
      <w:r w:rsidR="00B20248" w:rsidRPr="00EF4FFA">
        <w:t>6 in the ELEVATE-TN trial was only reported for patients aged &lt;</w:t>
      </w:r>
      <w:r w:rsidR="00AE04C5" w:rsidRPr="00EF4FFA">
        <w:t xml:space="preserve"> </w:t>
      </w:r>
      <w:r w:rsidR="00B20248" w:rsidRPr="00EF4FFA">
        <w:t>65 years (17% in the acalabrutinib + obinutuzumab arm, 12% in the acalabrutinib monotherapy arm, and 9% in the chlorambucil + obinutuzumab arm). The proportion of patients with 17p deletion was similar for the ELEVATE-TN (8.9</w:t>
      </w:r>
      <w:r w:rsidR="007D2CB9">
        <w:t xml:space="preserve"> to </w:t>
      </w:r>
      <w:r w:rsidR="00B20248" w:rsidRPr="00EF4FFA">
        <w:t>9.5%) and the CLL-14 trials (7.3</w:t>
      </w:r>
      <w:r w:rsidR="00FF2D52" w:rsidRPr="00EF4FFA">
        <w:t xml:space="preserve">% to </w:t>
      </w:r>
      <w:r w:rsidR="00B20248" w:rsidRPr="00EF4FFA">
        <w:t>8.5%). The RESONATE-</w:t>
      </w:r>
      <w:r w:rsidR="002E3C5F" w:rsidRPr="00EF4FFA">
        <w:t>2</w:t>
      </w:r>
      <w:r w:rsidR="00B20248" w:rsidRPr="00EF4FFA">
        <w:t xml:space="preserve"> trial excluded patients with 17p deletion.</w:t>
      </w:r>
    </w:p>
    <w:p w:rsidR="00203762" w:rsidRPr="00EF4FFA" w:rsidRDefault="00786A6E" w:rsidP="00B84650">
      <w:pPr>
        <w:pStyle w:val="ExecSumBodyText"/>
      </w:pPr>
      <w:r>
        <w:t>6.12</w:t>
      </w:r>
      <w:r>
        <w:tab/>
      </w:r>
      <w:r w:rsidR="00203762" w:rsidRPr="00EF4FFA">
        <w:t xml:space="preserve">There were differences in the chlorambucil dosing between the trials. In the ELEVATE-TN and CLL-14 trials, patients in the comparator arms received treatment with chlorambucil in combination with six cycles of obinutuzumab. In the RESONATE-2 trial, patients in the comparator arm received treatment with chlorambucil only. The chlorambucil dose was 0.5 mg/kg in ELEVATE-TN and CLL-14. In RESONATE-2, the initial dose was 0.5 mg/kg, but the dose could be increased in increments of 0.1 mg/kg each cycle to a maximum of 0.8 mg/kg if well tolerated. </w:t>
      </w:r>
    </w:p>
    <w:p w:rsidR="00B84650" w:rsidRPr="00EF4FFA" w:rsidRDefault="00786A6E" w:rsidP="00B84650">
      <w:pPr>
        <w:pStyle w:val="ExecSumBodyText"/>
      </w:pPr>
      <w:r>
        <w:t>6.13</w:t>
      </w:r>
      <w:r>
        <w:tab/>
      </w:r>
      <w:r w:rsidR="00203762" w:rsidRPr="00EF4FFA">
        <w:t>There were differences between the trials in the duration of treatments. In the CLL-14 trial, treatment with venetoclax was based on a fixed treatment duration of 12 cycles</w:t>
      </w:r>
      <w:r w:rsidR="0093048E" w:rsidRPr="00EF4FFA">
        <w:t xml:space="preserve"> (48 weeks)</w:t>
      </w:r>
      <w:r w:rsidR="00203762" w:rsidRPr="00EF4FFA">
        <w:t>. Treatment with acalabrutinib and ibrutinib was ongoing</w:t>
      </w:r>
      <w:r w:rsidR="0093048E" w:rsidRPr="00EF4FFA">
        <w:t xml:space="preserve"> until disease progression</w:t>
      </w:r>
      <w:r w:rsidR="00203762" w:rsidRPr="00EF4FFA">
        <w:t xml:space="preserve"> in ELEVATE-TN and RESONATE-2. In ELEVATE-TN, patients received treatment with chlorambucil for up to 6 cycles</w:t>
      </w:r>
      <w:r w:rsidR="0093048E" w:rsidRPr="00EF4FFA">
        <w:t xml:space="preserve"> (24 weeks)</w:t>
      </w:r>
      <w:r w:rsidR="00203762" w:rsidRPr="00EF4FFA">
        <w:t>, whereas patients in RESONATE-2 and CLL-14 received up to 12 cycles of</w:t>
      </w:r>
      <w:r w:rsidR="00B84650" w:rsidRPr="00EF4FFA">
        <w:t xml:space="preserve"> chlorambucil</w:t>
      </w:r>
      <w:r w:rsidR="0093048E" w:rsidRPr="00EF4FFA">
        <w:t xml:space="preserve"> (48 weeks)</w:t>
      </w:r>
      <w:r w:rsidR="00B84650" w:rsidRPr="00EF4FFA">
        <w:t>.</w:t>
      </w:r>
    </w:p>
    <w:p w:rsidR="00203762" w:rsidRPr="00EF4FFA" w:rsidRDefault="00786A6E" w:rsidP="00B84650">
      <w:pPr>
        <w:pStyle w:val="ExecSumBodyText"/>
      </w:pPr>
      <w:r>
        <w:t>6.14</w:t>
      </w:r>
      <w:r>
        <w:tab/>
      </w:r>
      <w:r w:rsidR="00203762" w:rsidRPr="00EF4FFA">
        <w:t xml:space="preserve">In the ELEVATE-TN trial, patients in the obinutuzumab + chlorambucil arm who had independent review committee-confirmed disease progression were eligible to </w:t>
      </w:r>
      <w:r w:rsidR="00203762" w:rsidRPr="00EF4FFA">
        <w:lastRenderedPageBreak/>
        <w:t>receive crossover treatment with acalabrutinib monotherapy. At the interim analysis, 45/177 (25.4%) patients had crossed over from the chlorambucil + obinutuzumab treatment arm to receive acalabrutinib monotherapy, with 41/45 (91.1%) remaining on acalabrutinib monotherapy. Crossover to receive ibrutinib was permitted in the RESONATE-2 trial. Crossover to receive venetoclax was not permitted in CLL-14.</w:t>
      </w:r>
    </w:p>
    <w:p w:rsidR="00203762" w:rsidRPr="00EF4FFA" w:rsidRDefault="00786A6E" w:rsidP="00473C44">
      <w:pPr>
        <w:pStyle w:val="ExecSumBodyText"/>
      </w:pPr>
      <w:r>
        <w:rPr>
          <w:snapToGrid/>
        </w:rPr>
        <w:t>6.15</w:t>
      </w:r>
      <w:r>
        <w:rPr>
          <w:snapToGrid/>
        </w:rPr>
        <w:tab/>
      </w:r>
      <w:r w:rsidR="00473C44" w:rsidRPr="00EF4FFA">
        <w:rPr>
          <w:snapToGrid/>
        </w:rPr>
        <w:t>The submission argued that it is difficult to define a minimal clinically important difference (MCID) for efficacy outcomes (i.e. PFS, OS, ORR, TTNT), as there is no generally accepted level of clinically important difference for efficacy outcome measures for CLL patients. The submission proposed an MCID of approximately 18 months for prog</w:t>
      </w:r>
      <w:r w:rsidR="008E3636" w:rsidRPr="00EF4FFA">
        <w:rPr>
          <w:snapToGrid/>
        </w:rPr>
        <w:t xml:space="preserve">ression </w:t>
      </w:r>
      <w:r w:rsidR="00473C44" w:rsidRPr="00EF4FFA">
        <w:rPr>
          <w:snapToGrid/>
        </w:rPr>
        <w:t>free survival, based on the sample size calculation for the ELEVATE-TN trial, which was calculated according to a target hazard ratio of 0.6 for acalabrutinib + obinutuzumab versus chlorambucil + obinutuzumab (equating to an approximately 18-month absolute</w:t>
      </w:r>
      <w:r w:rsidR="009728AA" w:rsidRPr="00EF4FFA">
        <w:rPr>
          <w:snapToGrid/>
        </w:rPr>
        <w:t xml:space="preserve"> increase in median progression </w:t>
      </w:r>
      <w:r w:rsidR="00473C44" w:rsidRPr="00EF4FFA">
        <w:rPr>
          <w:snapToGrid/>
        </w:rPr>
        <w:t>free survival). No non-inferiority margin was proposed in the submission.</w:t>
      </w:r>
    </w:p>
    <w:p w:rsidR="00B60939" w:rsidRPr="00EF4FFA" w:rsidRDefault="00B60939" w:rsidP="00EC5836">
      <w:pPr>
        <w:pStyle w:val="3-SubsectionHeading"/>
      </w:pPr>
      <w:bookmarkStart w:id="12" w:name="_Toc22897641"/>
      <w:bookmarkStart w:id="13" w:name="_Toc40350900"/>
      <w:r w:rsidRPr="00EF4FFA">
        <w:t>Comparative effectiveness</w:t>
      </w:r>
      <w:bookmarkEnd w:id="12"/>
      <w:bookmarkEnd w:id="13"/>
    </w:p>
    <w:p w:rsidR="002C2775" w:rsidRPr="00EF4FFA" w:rsidRDefault="00786A6E" w:rsidP="00473C44">
      <w:pPr>
        <w:pStyle w:val="ExecSumBodyText"/>
      </w:pPr>
      <w:r>
        <w:rPr>
          <w:snapToGrid/>
        </w:rPr>
        <w:t>6.16</w:t>
      </w:r>
      <w:r>
        <w:rPr>
          <w:snapToGrid/>
        </w:rPr>
        <w:tab/>
      </w:r>
      <w:r w:rsidR="00422F9B" w:rsidRPr="00EF4FFA">
        <w:rPr>
          <w:snapToGrid/>
        </w:rPr>
        <w:t>Figure 2</w:t>
      </w:r>
      <w:r w:rsidR="00473C44" w:rsidRPr="00EF4FFA">
        <w:rPr>
          <w:snapToGrid/>
        </w:rPr>
        <w:t xml:space="preserve"> presents the Kaplan-Meier plot of </w:t>
      </w:r>
      <w:r w:rsidR="00AA7EB5" w:rsidRPr="00EF4FFA">
        <w:rPr>
          <w:snapToGrid/>
        </w:rPr>
        <w:t xml:space="preserve">independent review committee assessed-progression free </w:t>
      </w:r>
      <w:r w:rsidR="00473C44" w:rsidRPr="00EF4FFA">
        <w:rPr>
          <w:snapToGrid/>
        </w:rPr>
        <w:t>survival for the ELEVATE-TN trial at the interim analysis</w:t>
      </w:r>
      <w:r w:rsidR="006065D9" w:rsidRPr="00EF4FFA">
        <w:rPr>
          <w:snapToGrid/>
        </w:rPr>
        <w:t xml:space="preserve"> (median follow-up = 28 months)</w:t>
      </w:r>
      <w:r w:rsidR="00473C44" w:rsidRPr="00EF4FFA">
        <w:rPr>
          <w:snapToGrid/>
        </w:rPr>
        <w:t>.</w:t>
      </w:r>
    </w:p>
    <w:p w:rsidR="00473C44" w:rsidRPr="00EF4FFA" w:rsidRDefault="00422F9B" w:rsidP="005C17A9">
      <w:pPr>
        <w:pStyle w:val="TableFigureCaption"/>
      </w:pPr>
      <w:r w:rsidRPr="00EF4FFA">
        <w:t>Figure 2</w:t>
      </w:r>
      <w:r w:rsidR="00473C44" w:rsidRPr="00EF4FFA">
        <w:t>: Kaplan-Meier plot of independent review</w:t>
      </w:r>
      <w:r w:rsidR="008E3636" w:rsidRPr="00EF4FFA">
        <w:t xml:space="preserve"> committee-assessed progression </w:t>
      </w:r>
      <w:r w:rsidR="00473C44" w:rsidRPr="00EF4FFA">
        <w:t>free survival for the ELEVATE-TN trial at the interim analysis</w:t>
      </w:r>
    </w:p>
    <w:p w:rsidR="00473C44" w:rsidRPr="00EF4FFA" w:rsidRDefault="00473C44" w:rsidP="00473C44">
      <w:pPr>
        <w:rPr>
          <w:color w:val="3366FF"/>
        </w:rPr>
      </w:pPr>
      <w:r w:rsidRPr="00EF4FFA">
        <w:rPr>
          <w:noProof/>
        </w:rPr>
        <w:drawing>
          <wp:inline distT="0" distB="0" distL="0" distR="0" wp14:anchorId="6544C4BC" wp14:editId="1A3C48F9">
            <wp:extent cx="5511165" cy="3773805"/>
            <wp:effectExtent l="0" t="0" r="0" b="0"/>
            <wp:docPr id="7" name="Picture 7" title="Figure 2: Kaplan-Meier plot of independent review committee-assessed progression free survival for the ELEVATE-TN trial at the interi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1165" cy="3773805"/>
                    </a:xfrm>
                    <a:prstGeom prst="rect">
                      <a:avLst/>
                    </a:prstGeom>
                    <a:noFill/>
                  </pic:spPr>
                </pic:pic>
              </a:graphicData>
            </a:graphic>
          </wp:inline>
        </w:drawing>
      </w:r>
    </w:p>
    <w:p w:rsidR="009728AA" w:rsidRPr="00EF4FFA" w:rsidRDefault="009728AA" w:rsidP="009728AA">
      <w:pPr>
        <w:pStyle w:val="TableFooter"/>
        <w:spacing w:after="120"/>
      </w:pPr>
      <w:proofErr w:type="spellStart"/>
      <w:r w:rsidRPr="00EF4FFA">
        <w:t>Acala</w:t>
      </w:r>
      <w:proofErr w:type="spellEnd"/>
      <w:r w:rsidRPr="00EF4FFA">
        <w:t xml:space="preserve"> = acalabrutinib; </w:t>
      </w:r>
      <w:proofErr w:type="spellStart"/>
      <w:r w:rsidRPr="00EF4FFA">
        <w:t>Chlb</w:t>
      </w:r>
      <w:proofErr w:type="spellEnd"/>
      <w:r w:rsidRPr="00EF4FFA">
        <w:t xml:space="preserve"> = chlorambucil; </w:t>
      </w:r>
      <w:proofErr w:type="spellStart"/>
      <w:r w:rsidRPr="00EF4FFA">
        <w:t>Obin</w:t>
      </w:r>
      <w:proofErr w:type="spellEnd"/>
      <w:r w:rsidRPr="00EF4FFA">
        <w:t xml:space="preserve"> = obinutuzumab.</w:t>
      </w:r>
    </w:p>
    <w:p w:rsidR="00473C44" w:rsidRPr="00EF4FFA" w:rsidRDefault="00473C44" w:rsidP="00473C44">
      <w:pPr>
        <w:pStyle w:val="TableFooter"/>
        <w:spacing w:after="120"/>
      </w:pPr>
      <w:r w:rsidRPr="00EF4FFA">
        <w:t>Source: Figure 2.3, p.66 of the submission.</w:t>
      </w:r>
    </w:p>
    <w:p w:rsidR="00473C44" w:rsidRPr="00EF4FFA" w:rsidRDefault="00786A6E" w:rsidP="00473C44">
      <w:pPr>
        <w:pStyle w:val="ExecSumBodyText"/>
      </w:pPr>
      <w:r>
        <w:rPr>
          <w:snapToGrid/>
        </w:rPr>
        <w:lastRenderedPageBreak/>
        <w:t>6.17</w:t>
      </w:r>
      <w:r>
        <w:rPr>
          <w:snapToGrid/>
        </w:rPr>
        <w:tab/>
      </w:r>
      <w:r w:rsidR="00473C44" w:rsidRPr="00EF4FFA">
        <w:rPr>
          <w:snapToGrid/>
        </w:rPr>
        <w:t xml:space="preserve">Table </w:t>
      </w:r>
      <w:r w:rsidR="00422F9B" w:rsidRPr="00EF4FFA">
        <w:rPr>
          <w:snapToGrid/>
        </w:rPr>
        <w:t>4</w:t>
      </w:r>
      <w:r w:rsidR="00473C44" w:rsidRPr="00EF4FFA">
        <w:rPr>
          <w:snapToGrid/>
        </w:rPr>
        <w:t xml:space="preserve"> summarises the results for independent review committee and in</w:t>
      </w:r>
      <w:r w:rsidR="008E3636" w:rsidRPr="00EF4FFA">
        <w:rPr>
          <w:snapToGrid/>
        </w:rPr>
        <w:t xml:space="preserve">vestigator-assessed progression </w:t>
      </w:r>
      <w:r w:rsidR="00473C44" w:rsidRPr="00EF4FFA">
        <w:rPr>
          <w:snapToGrid/>
        </w:rPr>
        <w:t>free survival for the ELEVATE-TN trial at the interim analysis.</w:t>
      </w:r>
    </w:p>
    <w:p w:rsidR="00853683" w:rsidRPr="00EF4FFA" w:rsidRDefault="00853683" w:rsidP="005C17A9">
      <w:pPr>
        <w:pStyle w:val="TableFigureCaption"/>
        <w:rPr>
          <w:snapToGrid w:val="0"/>
        </w:rPr>
      </w:pPr>
      <w:r w:rsidRPr="00EF4FFA">
        <w:rPr>
          <w:snapToGrid w:val="0"/>
        </w:rPr>
        <w:t xml:space="preserve">Table </w:t>
      </w:r>
      <w:r w:rsidR="00422F9B" w:rsidRPr="00EF4FFA">
        <w:rPr>
          <w:snapToGrid w:val="0"/>
        </w:rPr>
        <w:t>4</w:t>
      </w:r>
      <w:r w:rsidRPr="00EF4FFA">
        <w:rPr>
          <w:snapToGrid w:val="0"/>
        </w:rPr>
        <w:t xml:space="preserve">: </w:t>
      </w:r>
      <w:r w:rsidR="008E3636" w:rsidRPr="00EF4FFA">
        <w:rPr>
          <w:snapToGrid w:val="0"/>
        </w:rPr>
        <w:t xml:space="preserve">Progression </w:t>
      </w:r>
      <w:r w:rsidRPr="00EF4FFA">
        <w:rPr>
          <w:snapToGrid w:val="0"/>
        </w:rPr>
        <w:t>free survival results for the ELEVATE-TN trial at the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42"/>
        <w:gridCol w:w="2025"/>
        <w:gridCol w:w="2025"/>
        <w:gridCol w:w="2025"/>
      </w:tblGrid>
      <w:tr w:rsidR="00853683" w:rsidRPr="00EF4FFA" w:rsidTr="005C17A9">
        <w:trPr>
          <w:trHeight w:val="349"/>
        </w:trPr>
        <w:tc>
          <w:tcPr>
            <w:tcW w:w="1631" w:type="pct"/>
            <w:shd w:val="clear" w:color="auto" w:fill="FFFFFF"/>
            <w:vAlign w:val="center"/>
          </w:tcPr>
          <w:p w:rsidR="00853683" w:rsidRPr="005C17A9" w:rsidRDefault="00853683" w:rsidP="0017554E">
            <w:pPr>
              <w:keepNext/>
              <w:rPr>
                <w:rFonts w:ascii="Arial Narrow" w:hAnsi="Arial Narrow"/>
                <w:b/>
                <w:iCs/>
                <w:sz w:val="20"/>
                <w:szCs w:val="20"/>
              </w:rPr>
            </w:pPr>
            <w:r w:rsidRPr="005C17A9">
              <w:rPr>
                <w:rFonts w:ascii="Arial Narrow" w:hAnsi="Arial Narrow"/>
                <w:b/>
                <w:iCs/>
                <w:sz w:val="20"/>
                <w:szCs w:val="20"/>
              </w:rPr>
              <w:t>Cohort</w:t>
            </w:r>
          </w:p>
        </w:tc>
        <w:tc>
          <w:tcPr>
            <w:tcW w:w="1123" w:type="pct"/>
            <w:shd w:val="clear" w:color="auto" w:fill="FFFFFF"/>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ACAL + OBI</w:t>
            </w:r>
          </w:p>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(N=179)</w:t>
            </w:r>
          </w:p>
        </w:tc>
        <w:tc>
          <w:tcPr>
            <w:tcW w:w="1123" w:type="pct"/>
            <w:shd w:val="clear" w:color="auto" w:fill="FFFFFF"/>
            <w:vAlign w:val="center"/>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 xml:space="preserve">ACAL </w:t>
            </w:r>
          </w:p>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(N=179)</w:t>
            </w:r>
          </w:p>
        </w:tc>
        <w:tc>
          <w:tcPr>
            <w:tcW w:w="1123" w:type="pct"/>
            <w:shd w:val="clear" w:color="auto" w:fill="FFFFFF"/>
            <w:vAlign w:val="center"/>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CHL + OBI</w:t>
            </w:r>
          </w:p>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(N=177)</w:t>
            </w:r>
          </w:p>
        </w:tc>
      </w:tr>
      <w:tr w:rsidR="00674F8F" w:rsidRPr="00EF4FFA" w:rsidTr="005C17A9">
        <w:trPr>
          <w:trHeight w:val="49"/>
        </w:trPr>
        <w:tc>
          <w:tcPr>
            <w:tcW w:w="1631" w:type="pct"/>
            <w:shd w:val="clear" w:color="auto" w:fill="FFFFFF"/>
            <w:vAlign w:val="center"/>
          </w:tcPr>
          <w:p w:rsidR="00674F8F" w:rsidRPr="005C17A9" w:rsidRDefault="00674F8F" w:rsidP="0017554E">
            <w:pPr>
              <w:keepNext/>
              <w:jc w:val="left"/>
              <w:rPr>
                <w:rFonts w:ascii="Arial Narrow" w:hAnsi="Arial Narrow"/>
                <w:iCs/>
                <w:sz w:val="20"/>
                <w:szCs w:val="20"/>
              </w:rPr>
            </w:pPr>
            <w:r w:rsidRPr="005C17A9">
              <w:rPr>
                <w:rFonts w:ascii="Arial Narrow" w:hAnsi="Arial Narrow"/>
                <w:iCs/>
                <w:sz w:val="20"/>
                <w:szCs w:val="20"/>
              </w:rPr>
              <w:t>Median duration of follow-up, months (range)</w:t>
            </w:r>
          </w:p>
        </w:tc>
        <w:tc>
          <w:tcPr>
            <w:tcW w:w="1123" w:type="pct"/>
            <w:shd w:val="clear" w:color="auto" w:fill="FFFFFF"/>
            <w:vAlign w:val="center"/>
          </w:tcPr>
          <w:p w:rsidR="00674F8F" w:rsidRPr="005C17A9" w:rsidRDefault="00674F8F" w:rsidP="0017554E">
            <w:pPr>
              <w:keepNext/>
              <w:jc w:val="center"/>
              <w:rPr>
                <w:rFonts w:ascii="Arial Narrow" w:hAnsi="Arial Narrow"/>
                <w:iCs/>
                <w:sz w:val="20"/>
                <w:szCs w:val="20"/>
              </w:rPr>
            </w:pPr>
            <w:r w:rsidRPr="005C17A9">
              <w:rPr>
                <w:rFonts w:ascii="Arial Narrow" w:hAnsi="Arial Narrow"/>
                <w:iCs/>
                <w:sz w:val="20"/>
                <w:szCs w:val="20"/>
              </w:rPr>
              <w:t>28.5 (1.7-40.3)</w:t>
            </w:r>
          </w:p>
        </w:tc>
        <w:tc>
          <w:tcPr>
            <w:tcW w:w="1123" w:type="pct"/>
            <w:shd w:val="clear" w:color="auto" w:fill="FFFFFF"/>
            <w:vAlign w:val="center"/>
          </w:tcPr>
          <w:p w:rsidR="00674F8F" w:rsidRPr="005C17A9" w:rsidRDefault="00674F8F" w:rsidP="0017554E">
            <w:pPr>
              <w:keepNext/>
              <w:jc w:val="center"/>
              <w:rPr>
                <w:rFonts w:ascii="Arial Narrow" w:hAnsi="Arial Narrow"/>
                <w:iCs/>
                <w:sz w:val="20"/>
                <w:szCs w:val="20"/>
              </w:rPr>
            </w:pPr>
            <w:r w:rsidRPr="005C17A9">
              <w:rPr>
                <w:rFonts w:ascii="Arial Narrow" w:hAnsi="Arial Narrow"/>
                <w:iCs/>
                <w:sz w:val="20"/>
                <w:szCs w:val="20"/>
              </w:rPr>
              <w:t>28.4 (0.1-40.8)</w:t>
            </w:r>
          </w:p>
        </w:tc>
        <w:tc>
          <w:tcPr>
            <w:tcW w:w="1123" w:type="pct"/>
            <w:shd w:val="clear" w:color="auto" w:fill="FFFFFF"/>
            <w:vAlign w:val="center"/>
          </w:tcPr>
          <w:p w:rsidR="00674F8F" w:rsidRPr="005C17A9" w:rsidRDefault="00674F8F" w:rsidP="0017554E">
            <w:pPr>
              <w:keepNext/>
              <w:jc w:val="center"/>
              <w:rPr>
                <w:rFonts w:ascii="Arial Narrow" w:hAnsi="Arial Narrow"/>
                <w:iCs/>
                <w:sz w:val="20"/>
                <w:szCs w:val="20"/>
              </w:rPr>
            </w:pPr>
            <w:r w:rsidRPr="005C17A9">
              <w:rPr>
                <w:rFonts w:ascii="Arial Narrow" w:hAnsi="Arial Narrow"/>
                <w:iCs/>
                <w:sz w:val="20"/>
                <w:szCs w:val="20"/>
              </w:rPr>
              <w:t>28.0 (0.0-40.4)</w:t>
            </w:r>
          </w:p>
        </w:tc>
      </w:tr>
      <w:tr w:rsidR="00853683" w:rsidRPr="00EF4FFA" w:rsidTr="005C17A9">
        <w:trPr>
          <w:trHeight w:val="172"/>
        </w:trPr>
        <w:tc>
          <w:tcPr>
            <w:tcW w:w="5000" w:type="pct"/>
            <w:gridSpan w:val="4"/>
            <w:shd w:val="clear" w:color="auto" w:fill="FFFFFF"/>
          </w:tcPr>
          <w:p w:rsidR="00853683" w:rsidRPr="005C17A9" w:rsidRDefault="00853683" w:rsidP="0017554E">
            <w:pPr>
              <w:keepNext/>
              <w:rPr>
                <w:rFonts w:ascii="Arial Narrow" w:hAnsi="Arial Narrow"/>
                <w:b/>
                <w:iCs/>
                <w:sz w:val="20"/>
                <w:szCs w:val="20"/>
              </w:rPr>
            </w:pPr>
            <w:r w:rsidRPr="005C17A9">
              <w:rPr>
                <w:rFonts w:ascii="Arial Narrow" w:hAnsi="Arial Narrow"/>
                <w:b/>
                <w:sz w:val="20"/>
                <w:szCs w:val="20"/>
              </w:rPr>
              <w:t>Independent review committee-assessed</w:t>
            </w:r>
          </w:p>
        </w:tc>
      </w:tr>
      <w:tr w:rsidR="00853683" w:rsidRPr="00EF4FFA" w:rsidTr="005C17A9">
        <w:trPr>
          <w:trHeight w:val="500"/>
        </w:trPr>
        <w:tc>
          <w:tcPr>
            <w:tcW w:w="1631" w:type="pct"/>
            <w:vAlign w:val="center"/>
          </w:tcPr>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Earliest event total, n (%)</w:t>
            </w:r>
          </w:p>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 Progression, n</w:t>
            </w:r>
          </w:p>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 Death, n</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14 (7.8</w:t>
            </w:r>
            <w:r w:rsidR="00AE04C5" w:rsidRPr="005C17A9">
              <w:rPr>
                <w:rFonts w:ascii="Arial Narrow" w:hAnsi="Arial Narrow"/>
                <w:iCs/>
                <w:sz w:val="20"/>
                <w:szCs w:val="20"/>
              </w:rPr>
              <w:t>%</w:t>
            </w:r>
            <w:r w:rsidRPr="005C17A9">
              <w:rPr>
                <w:rFonts w:ascii="Arial Narrow" w:hAnsi="Arial Narrow"/>
                <w:iCs/>
                <w:sz w:val="20"/>
                <w:szCs w:val="20"/>
              </w:rPr>
              <w:t>)</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9</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5</w:t>
            </w:r>
          </w:p>
        </w:tc>
        <w:tc>
          <w:tcPr>
            <w:tcW w:w="1123" w:type="pct"/>
            <w:shd w:val="clear" w:color="auto" w:fill="FFFFFF"/>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26 (14.5</w:t>
            </w:r>
            <w:r w:rsidR="00AE04C5" w:rsidRPr="005C17A9">
              <w:rPr>
                <w:rFonts w:ascii="Arial Narrow" w:hAnsi="Arial Narrow"/>
                <w:iCs/>
                <w:sz w:val="20"/>
                <w:szCs w:val="20"/>
              </w:rPr>
              <w:t>%</w:t>
            </w:r>
            <w:r w:rsidRPr="005C17A9">
              <w:rPr>
                <w:rFonts w:ascii="Arial Narrow" w:hAnsi="Arial Narrow"/>
                <w:iCs/>
                <w:sz w:val="20"/>
                <w:szCs w:val="20"/>
              </w:rPr>
              <w:t>)</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20</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6</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93 (52.5</w:t>
            </w:r>
            <w:r w:rsidR="00AE04C5" w:rsidRPr="005C17A9">
              <w:rPr>
                <w:rFonts w:ascii="Arial Narrow" w:hAnsi="Arial Narrow"/>
                <w:iCs/>
                <w:sz w:val="20"/>
                <w:szCs w:val="20"/>
              </w:rPr>
              <w:t>%</w:t>
            </w:r>
            <w:r w:rsidRPr="005C17A9">
              <w:rPr>
                <w:rFonts w:ascii="Arial Narrow" w:hAnsi="Arial Narrow"/>
                <w:iCs/>
                <w:sz w:val="20"/>
                <w:szCs w:val="20"/>
              </w:rPr>
              <w:t>)</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82</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11</w:t>
            </w:r>
          </w:p>
        </w:tc>
      </w:tr>
      <w:tr w:rsidR="00853683" w:rsidRPr="00EF4FFA" w:rsidTr="005C17A9">
        <w:tc>
          <w:tcPr>
            <w:tcW w:w="1631" w:type="pct"/>
            <w:vAlign w:val="center"/>
          </w:tcPr>
          <w:p w:rsidR="00853683" w:rsidRPr="005C17A9" w:rsidRDefault="00853683" w:rsidP="0017554E">
            <w:pPr>
              <w:keepNext/>
              <w:jc w:val="left"/>
              <w:rPr>
                <w:rFonts w:ascii="Arial Narrow" w:hAnsi="Arial Narrow"/>
                <w:iCs/>
                <w:sz w:val="20"/>
                <w:szCs w:val="20"/>
              </w:rPr>
            </w:pPr>
            <w:r w:rsidRPr="005C17A9">
              <w:rPr>
                <w:rFonts w:ascii="Arial Narrow" w:hAnsi="Arial Narrow"/>
                <w:sz w:val="20"/>
                <w:szCs w:val="20"/>
              </w:rPr>
              <w:t>Median PFS, months (95% CI)</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Not reached (NE)</w:t>
            </w:r>
          </w:p>
        </w:tc>
        <w:tc>
          <w:tcPr>
            <w:tcW w:w="1123" w:type="pct"/>
            <w:shd w:val="clear" w:color="auto" w:fill="FFFFFF"/>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Not reached (34.2, NE)</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22.6 (20.2, 27.6)</w:t>
            </w:r>
          </w:p>
        </w:tc>
      </w:tr>
      <w:tr w:rsidR="00853683" w:rsidRPr="00EF4FFA" w:rsidTr="005C17A9">
        <w:tc>
          <w:tcPr>
            <w:tcW w:w="1631" w:type="pct"/>
          </w:tcPr>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Stratified HR vs CHL + OBI (95% CI)</w:t>
            </w:r>
          </w:p>
        </w:tc>
        <w:tc>
          <w:tcPr>
            <w:tcW w:w="1123" w:type="pct"/>
            <w:shd w:val="clear" w:color="auto" w:fill="FFFFFF"/>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0.10 (0.06, 0.17)</w:t>
            </w:r>
          </w:p>
        </w:tc>
        <w:tc>
          <w:tcPr>
            <w:tcW w:w="1123" w:type="pct"/>
            <w:shd w:val="clear" w:color="auto" w:fill="FFFFFF"/>
            <w:vAlign w:val="center"/>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0.20 (0.13, 0.30)</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w:t>
            </w:r>
          </w:p>
        </w:tc>
      </w:tr>
      <w:tr w:rsidR="00EF39D5" w:rsidRPr="00EF4FFA" w:rsidTr="005C17A9">
        <w:tc>
          <w:tcPr>
            <w:tcW w:w="1631" w:type="pct"/>
          </w:tcPr>
          <w:p w:rsidR="00EF39D5" w:rsidRPr="005C17A9" w:rsidRDefault="00EF39D5" w:rsidP="0017554E">
            <w:pPr>
              <w:keepNext/>
              <w:widowControl w:val="0"/>
              <w:jc w:val="left"/>
              <w:rPr>
                <w:rFonts w:ascii="Arial Narrow" w:hAnsi="Arial Narrow"/>
                <w:snapToGrid w:val="0"/>
                <w:sz w:val="20"/>
                <w:szCs w:val="20"/>
              </w:rPr>
            </w:pPr>
            <w:r w:rsidRPr="005C17A9">
              <w:rPr>
                <w:rFonts w:ascii="Arial Narrow" w:hAnsi="Arial Narrow"/>
                <w:snapToGrid w:val="0"/>
                <w:sz w:val="20"/>
                <w:szCs w:val="20"/>
              </w:rPr>
              <w:t>KM estimate of PFS</w:t>
            </w:r>
          </w:p>
          <w:p w:rsidR="00EF39D5" w:rsidRPr="005C17A9" w:rsidRDefault="00EF39D5" w:rsidP="0017554E">
            <w:pPr>
              <w:keepNext/>
              <w:widowControl w:val="0"/>
              <w:jc w:val="left"/>
              <w:rPr>
                <w:rFonts w:ascii="Arial Narrow" w:hAnsi="Arial Narrow"/>
                <w:snapToGrid w:val="0"/>
                <w:sz w:val="20"/>
                <w:szCs w:val="20"/>
              </w:rPr>
            </w:pPr>
            <w:r w:rsidRPr="005C17A9">
              <w:rPr>
                <w:rFonts w:ascii="Arial Narrow" w:hAnsi="Arial Narrow"/>
                <w:snapToGrid w:val="0"/>
                <w:sz w:val="20"/>
                <w:szCs w:val="20"/>
              </w:rPr>
              <w:t>- 6 months, % (95% CI)</w:t>
            </w:r>
          </w:p>
          <w:p w:rsidR="00EF39D5" w:rsidRPr="005C17A9" w:rsidRDefault="00EF39D5" w:rsidP="0017554E">
            <w:pPr>
              <w:keepNext/>
              <w:widowControl w:val="0"/>
              <w:jc w:val="left"/>
              <w:rPr>
                <w:rFonts w:ascii="Arial Narrow" w:hAnsi="Arial Narrow"/>
                <w:snapToGrid w:val="0"/>
                <w:sz w:val="20"/>
                <w:szCs w:val="20"/>
              </w:rPr>
            </w:pPr>
            <w:r w:rsidRPr="005C17A9">
              <w:rPr>
                <w:rFonts w:ascii="Arial Narrow" w:hAnsi="Arial Narrow"/>
                <w:snapToGrid w:val="0"/>
                <w:sz w:val="20"/>
                <w:szCs w:val="20"/>
              </w:rPr>
              <w:t>- 12 months, % (95% CI)</w:t>
            </w:r>
          </w:p>
          <w:p w:rsidR="00EF39D5" w:rsidRPr="005C17A9" w:rsidRDefault="00EF39D5" w:rsidP="0017554E">
            <w:pPr>
              <w:keepNext/>
              <w:jc w:val="left"/>
              <w:rPr>
                <w:rFonts w:ascii="Arial Narrow" w:hAnsi="Arial Narrow"/>
                <w:snapToGrid w:val="0"/>
                <w:sz w:val="20"/>
                <w:szCs w:val="20"/>
              </w:rPr>
            </w:pPr>
            <w:r w:rsidRPr="005C17A9">
              <w:rPr>
                <w:rFonts w:ascii="Arial Narrow" w:hAnsi="Arial Narrow"/>
                <w:snapToGrid w:val="0"/>
                <w:sz w:val="20"/>
                <w:szCs w:val="20"/>
              </w:rPr>
              <w:t>- 18 months, % (95% CI)</w:t>
            </w:r>
          </w:p>
          <w:p w:rsidR="00EF39D5" w:rsidRPr="005C17A9" w:rsidRDefault="00EF39D5" w:rsidP="0017554E">
            <w:pPr>
              <w:keepNext/>
              <w:jc w:val="left"/>
              <w:rPr>
                <w:rFonts w:ascii="Arial Narrow" w:hAnsi="Arial Narrow"/>
                <w:snapToGrid w:val="0"/>
                <w:sz w:val="20"/>
                <w:szCs w:val="20"/>
              </w:rPr>
            </w:pPr>
            <w:r w:rsidRPr="005C17A9">
              <w:rPr>
                <w:rFonts w:ascii="Arial Narrow" w:hAnsi="Arial Narrow"/>
                <w:snapToGrid w:val="0"/>
                <w:sz w:val="20"/>
                <w:szCs w:val="20"/>
              </w:rPr>
              <w:t>- 24 months, % (95% CI)</w:t>
            </w:r>
          </w:p>
          <w:p w:rsidR="00EF39D5" w:rsidRPr="005C17A9" w:rsidRDefault="00EF39D5" w:rsidP="0017554E">
            <w:pPr>
              <w:keepNext/>
              <w:jc w:val="left"/>
              <w:rPr>
                <w:rFonts w:ascii="Arial Narrow" w:hAnsi="Arial Narrow"/>
                <w:snapToGrid w:val="0"/>
                <w:sz w:val="20"/>
                <w:szCs w:val="20"/>
              </w:rPr>
            </w:pPr>
            <w:r w:rsidRPr="005C17A9">
              <w:rPr>
                <w:rFonts w:ascii="Arial Narrow" w:hAnsi="Arial Narrow"/>
                <w:snapToGrid w:val="0"/>
                <w:sz w:val="20"/>
                <w:szCs w:val="20"/>
              </w:rPr>
              <w:t>- 30 months, % (95% CI)</w:t>
            </w:r>
          </w:p>
          <w:p w:rsidR="00EF39D5" w:rsidRPr="005C17A9" w:rsidRDefault="00EF39D5" w:rsidP="0017554E">
            <w:pPr>
              <w:keepNext/>
              <w:jc w:val="left"/>
              <w:rPr>
                <w:rFonts w:ascii="Arial Narrow" w:hAnsi="Arial Narrow"/>
                <w:sz w:val="20"/>
                <w:szCs w:val="20"/>
              </w:rPr>
            </w:pPr>
            <w:r w:rsidRPr="005C17A9">
              <w:rPr>
                <w:rFonts w:ascii="Arial Narrow" w:hAnsi="Arial Narrow"/>
                <w:snapToGrid w:val="0"/>
                <w:sz w:val="20"/>
                <w:szCs w:val="20"/>
              </w:rPr>
              <w:t>- 36 months, % (95% CI)</w:t>
            </w:r>
          </w:p>
        </w:tc>
        <w:tc>
          <w:tcPr>
            <w:tcW w:w="1123" w:type="pct"/>
            <w:shd w:val="clear" w:color="auto" w:fill="FFFFFF"/>
          </w:tcPr>
          <w:p w:rsidR="00EF39D5" w:rsidRPr="005C17A9" w:rsidRDefault="00EF39D5" w:rsidP="0017554E">
            <w:pPr>
              <w:keepNext/>
              <w:jc w:val="center"/>
              <w:rPr>
                <w:rFonts w:ascii="Arial Narrow" w:hAnsi="Arial Narrow"/>
                <w:iCs/>
                <w:sz w:val="20"/>
                <w:szCs w:val="20"/>
              </w:rPr>
            </w:pP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98.9</w:t>
            </w:r>
            <w:r w:rsidR="00AE04C5" w:rsidRPr="005C17A9">
              <w:rPr>
                <w:rFonts w:ascii="Arial Narrow" w:hAnsi="Arial Narrow"/>
                <w:iCs/>
                <w:sz w:val="20"/>
                <w:szCs w:val="20"/>
              </w:rPr>
              <w:t>%</w:t>
            </w:r>
            <w:r w:rsidRPr="005C17A9">
              <w:rPr>
                <w:rFonts w:ascii="Arial Narrow" w:hAnsi="Arial Narrow"/>
                <w:iCs/>
                <w:sz w:val="20"/>
                <w:szCs w:val="20"/>
              </w:rPr>
              <w:t xml:space="preserve"> (95.5, 99.7)</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95.9</w:t>
            </w:r>
            <w:r w:rsidR="00AE04C5" w:rsidRPr="005C17A9">
              <w:rPr>
                <w:rFonts w:ascii="Arial Narrow" w:hAnsi="Arial Narrow"/>
                <w:iCs/>
                <w:sz w:val="20"/>
                <w:szCs w:val="20"/>
              </w:rPr>
              <w:t>%</w:t>
            </w:r>
            <w:r w:rsidRPr="005C17A9">
              <w:rPr>
                <w:rFonts w:ascii="Arial Narrow" w:hAnsi="Arial Narrow"/>
                <w:iCs/>
                <w:sz w:val="20"/>
                <w:szCs w:val="20"/>
              </w:rPr>
              <w:t xml:space="preserve"> (91.7, 98.0)</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94.8</w:t>
            </w:r>
            <w:r w:rsidR="00AE04C5" w:rsidRPr="005C17A9">
              <w:rPr>
                <w:rFonts w:ascii="Arial Narrow" w:hAnsi="Arial Narrow"/>
                <w:iCs/>
                <w:sz w:val="20"/>
                <w:szCs w:val="20"/>
              </w:rPr>
              <w:t>%</w:t>
            </w:r>
            <w:r w:rsidRPr="005C17A9">
              <w:rPr>
                <w:rFonts w:ascii="Arial Narrow" w:hAnsi="Arial Narrow"/>
                <w:iCs/>
                <w:sz w:val="20"/>
                <w:szCs w:val="20"/>
              </w:rPr>
              <w:t xml:space="preserve"> (90.2, 97.2)</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92.7</w:t>
            </w:r>
            <w:r w:rsidR="00AE04C5" w:rsidRPr="005C17A9">
              <w:rPr>
                <w:rFonts w:ascii="Arial Narrow" w:hAnsi="Arial Narrow"/>
                <w:iCs/>
                <w:sz w:val="20"/>
                <w:szCs w:val="20"/>
              </w:rPr>
              <w:t>%</w:t>
            </w:r>
            <w:r w:rsidRPr="005C17A9">
              <w:rPr>
                <w:rFonts w:ascii="Arial Narrow" w:hAnsi="Arial Narrow"/>
                <w:iCs/>
                <w:sz w:val="20"/>
                <w:szCs w:val="20"/>
              </w:rPr>
              <w:t xml:space="preserve"> (87.4, 95.8)</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89.6</w:t>
            </w:r>
            <w:r w:rsidR="00AE04C5" w:rsidRPr="005C17A9">
              <w:rPr>
                <w:rFonts w:ascii="Arial Narrow" w:hAnsi="Arial Narrow"/>
                <w:iCs/>
                <w:sz w:val="20"/>
                <w:szCs w:val="20"/>
              </w:rPr>
              <w:t>%</w:t>
            </w:r>
            <w:r w:rsidRPr="005C17A9">
              <w:rPr>
                <w:rFonts w:ascii="Arial Narrow" w:hAnsi="Arial Narrow"/>
                <w:iCs/>
                <w:sz w:val="20"/>
                <w:szCs w:val="20"/>
              </w:rPr>
              <w:t xml:space="preserve"> (82.0, 94.1)</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89.6</w:t>
            </w:r>
            <w:r w:rsidR="00AE04C5" w:rsidRPr="005C17A9">
              <w:rPr>
                <w:rFonts w:ascii="Arial Narrow" w:hAnsi="Arial Narrow"/>
                <w:iCs/>
                <w:sz w:val="20"/>
                <w:szCs w:val="20"/>
              </w:rPr>
              <w:t>%</w:t>
            </w:r>
            <w:r w:rsidRPr="005C17A9">
              <w:rPr>
                <w:rFonts w:ascii="Arial Narrow" w:hAnsi="Arial Narrow"/>
                <w:iCs/>
                <w:sz w:val="20"/>
                <w:szCs w:val="20"/>
              </w:rPr>
              <w:t xml:space="preserve"> (82.0, 94.1)</w:t>
            </w:r>
          </w:p>
        </w:tc>
        <w:tc>
          <w:tcPr>
            <w:tcW w:w="1123" w:type="pct"/>
            <w:shd w:val="clear" w:color="auto" w:fill="FFFFFF"/>
          </w:tcPr>
          <w:p w:rsidR="00EF39D5" w:rsidRPr="005C17A9" w:rsidRDefault="00EF39D5" w:rsidP="0017554E">
            <w:pPr>
              <w:keepNext/>
              <w:jc w:val="center"/>
              <w:rPr>
                <w:rFonts w:ascii="Arial Narrow" w:hAnsi="Arial Narrow"/>
                <w:iCs/>
                <w:sz w:val="20"/>
                <w:szCs w:val="20"/>
              </w:rPr>
            </w:pP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95.9</w:t>
            </w:r>
            <w:r w:rsidR="00AE04C5" w:rsidRPr="005C17A9">
              <w:rPr>
                <w:rFonts w:ascii="Arial Narrow" w:hAnsi="Arial Narrow"/>
                <w:iCs/>
                <w:sz w:val="20"/>
                <w:szCs w:val="20"/>
              </w:rPr>
              <w:t>%</w:t>
            </w:r>
            <w:r w:rsidRPr="005C17A9">
              <w:rPr>
                <w:rFonts w:ascii="Arial Narrow" w:hAnsi="Arial Narrow"/>
                <w:iCs/>
                <w:sz w:val="20"/>
                <w:szCs w:val="20"/>
              </w:rPr>
              <w:t xml:space="preserve"> (91.6, 98.0)</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92.9</w:t>
            </w:r>
            <w:r w:rsidR="00AE04C5" w:rsidRPr="005C17A9">
              <w:rPr>
                <w:rFonts w:ascii="Arial Narrow" w:hAnsi="Arial Narrow"/>
                <w:iCs/>
                <w:sz w:val="20"/>
                <w:szCs w:val="20"/>
              </w:rPr>
              <w:t>%</w:t>
            </w:r>
            <w:r w:rsidRPr="005C17A9">
              <w:rPr>
                <w:rFonts w:ascii="Arial Narrow" w:hAnsi="Arial Narrow"/>
                <w:iCs/>
                <w:sz w:val="20"/>
                <w:szCs w:val="20"/>
              </w:rPr>
              <w:t xml:space="preserve"> (87.8, 95.9)</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90.5</w:t>
            </w:r>
            <w:r w:rsidR="00AE04C5" w:rsidRPr="005C17A9">
              <w:rPr>
                <w:rFonts w:ascii="Arial Narrow" w:hAnsi="Arial Narrow"/>
                <w:iCs/>
                <w:sz w:val="20"/>
                <w:szCs w:val="20"/>
              </w:rPr>
              <w:t>%</w:t>
            </w:r>
            <w:r w:rsidRPr="005C17A9">
              <w:rPr>
                <w:rFonts w:ascii="Arial Narrow" w:hAnsi="Arial Narrow"/>
                <w:iCs/>
                <w:sz w:val="20"/>
                <w:szCs w:val="20"/>
              </w:rPr>
              <w:t xml:space="preserve"> (84.9, 94.1)</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87.3</w:t>
            </w:r>
            <w:r w:rsidR="00AE04C5" w:rsidRPr="005C17A9">
              <w:rPr>
                <w:rFonts w:ascii="Arial Narrow" w:hAnsi="Arial Narrow"/>
                <w:iCs/>
                <w:sz w:val="20"/>
                <w:szCs w:val="20"/>
              </w:rPr>
              <w:t>%</w:t>
            </w:r>
            <w:r w:rsidRPr="005C17A9">
              <w:rPr>
                <w:rFonts w:ascii="Arial Narrow" w:hAnsi="Arial Narrow"/>
                <w:iCs/>
                <w:sz w:val="20"/>
                <w:szCs w:val="20"/>
              </w:rPr>
              <w:t xml:space="preserve"> (80.9, 91.7)</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81.9</w:t>
            </w:r>
            <w:r w:rsidR="00AE04C5" w:rsidRPr="005C17A9">
              <w:rPr>
                <w:rFonts w:ascii="Arial Narrow" w:hAnsi="Arial Narrow"/>
                <w:iCs/>
                <w:sz w:val="20"/>
                <w:szCs w:val="20"/>
              </w:rPr>
              <w:t>%</w:t>
            </w:r>
            <w:r w:rsidRPr="005C17A9">
              <w:rPr>
                <w:rFonts w:ascii="Arial Narrow" w:hAnsi="Arial Narrow"/>
                <w:iCs/>
                <w:sz w:val="20"/>
                <w:szCs w:val="20"/>
              </w:rPr>
              <w:t xml:space="preserve"> (73.3, 88.0)</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63.9</w:t>
            </w:r>
            <w:r w:rsidR="00AE04C5" w:rsidRPr="005C17A9">
              <w:rPr>
                <w:rFonts w:ascii="Arial Narrow" w:hAnsi="Arial Narrow"/>
                <w:iCs/>
                <w:sz w:val="20"/>
                <w:szCs w:val="20"/>
              </w:rPr>
              <w:t>%</w:t>
            </w:r>
            <w:r w:rsidRPr="005C17A9">
              <w:rPr>
                <w:rFonts w:ascii="Arial Narrow" w:hAnsi="Arial Narrow"/>
                <w:iCs/>
                <w:sz w:val="20"/>
                <w:szCs w:val="20"/>
              </w:rPr>
              <w:t xml:space="preserve"> (29.4, 84.9)</w:t>
            </w:r>
          </w:p>
        </w:tc>
        <w:tc>
          <w:tcPr>
            <w:tcW w:w="1123" w:type="pct"/>
            <w:shd w:val="clear" w:color="auto" w:fill="FFFFFF"/>
          </w:tcPr>
          <w:p w:rsidR="00EF39D5" w:rsidRPr="005C17A9" w:rsidRDefault="00EF39D5" w:rsidP="0017554E">
            <w:pPr>
              <w:keepNext/>
              <w:jc w:val="center"/>
              <w:rPr>
                <w:rFonts w:ascii="Arial Narrow" w:hAnsi="Arial Narrow"/>
                <w:iCs/>
                <w:sz w:val="20"/>
                <w:szCs w:val="20"/>
              </w:rPr>
            </w:pP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97.0</w:t>
            </w:r>
            <w:r w:rsidR="00AE04C5" w:rsidRPr="005C17A9">
              <w:rPr>
                <w:rFonts w:ascii="Arial Narrow" w:hAnsi="Arial Narrow"/>
                <w:iCs/>
                <w:sz w:val="20"/>
                <w:szCs w:val="20"/>
              </w:rPr>
              <w:t>%</w:t>
            </w:r>
            <w:r w:rsidRPr="005C17A9">
              <w:rPr>
                <w:rFonts w:ascii="Arial Narrow" w:hAnsi="Arial Narrow"/>
                <w:iCs/>
                <w:sz w:val="20"/>
                <w:szCs w:val="20"/>
              </w:rPr>
              <w:t xml:space="preserve"> (92.9, 98.7)</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84.6</w:t>
            </w:r>
            <w:r w:rsidR="00AE04C5" w:rsidRPr="005C17A9">
              <w:rPr>
                <w:rFonts w:ascii="Arial Narrow" w:hAnsi="Arial Narrow"/>
                <w:iCs/>
                <w:sz w:val="20"/>
                <w:szCs w:val="20"/>
              </w:rPr>
              <w:t>%</w:t>
            </w:r>
            <w:r w:rsidRPr="005C17A9">
              <w:rPr>
                <w:rFonts w:ascii="Arial Narrow" w:hAnsi="Arial Narrow"/>
                <w:iCs/>
                <w:sz w:val="20"/>
                <w:szCs w:val="20"/>
              </w:rPr>
              <w:t xml:space="preserve"> (78.0, 89.3)</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65.6</w:t>
            </w:r>
            <w:r w:rsidR="00AE04C5" w:rsidRPr="005C17A9">
              <w:rPr>
                <w:rFonts w:ascii="Arial Narrow" w:hAnsi="Arial Narrow"/>
                <w:iCs/>
                <w:sz w:val="20"/>
                <w:szCs w:val="20"/>
              </w:rPr>
              <w:t>%</w:t>
            </w:r>
            <w:r w:rsidRPr="005C17A9">
              <w:rPr>
                <w:rFonts w:ascii="Arial Narrow" w:hAnsi="Arial Narrow"/>
                <w:iCs/>
                <w:sz w:val="20"/>
                <w:szCs w:val="20"/>
              </w:rPr>
              <w:t xml:space="preserve"> (57.7, 72.4)</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46.7</w:t>
            </w:r>
            <w:r w:rsidR="00AE04C5" w:rsidRPr="005C17A9">
              <w:rPr>
                <w:rFonts w:ascii="Arial Narrow" w:hAnsi="Arial Narrow"/>
                <w:iCs/>
                <w:sz w:val="20"/>
                <w:szCs w:val="20"/>
              </w:rPr>
              <w:t>%</w:t>
            </w:r>
            <w:r w:rsidRPr="005C17A9">
              <w:rPr>
                <w:rFonts w:ascii="Arial Narrow" w:hAnsi="Arial Narrow"/>
                <w:iCs/>
                <w:sz w:val="20"/>
                <w:szCs w:val="20"/>
              </w:rPr>
              <w:t xml:space="preserve"> (38.5, 54.6)</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34.2</w:t>
            </w:r>
            <w:r w:rsidR="00AE04C5" w:rsidRPr="005C17A9">
              <w:rPr>
                <w:rFonts w:ascii="Arial Narrow" w:hAnsi="Arial Narrow"/>
                <w:iCs/>
                <w:sz w:val="20"/>
                <w:szCs w:val="20"/>
              </w:rPr>
              <w:t>%</w:t>
            </w:r>
            <w:r w:rsidRPr="005C17A9">
              <w:rPr>
                <w:rFonts w:ascii="Arial Narrow" w:hAnsi="Arial Narrow"/>
                <w:iCs/>
                <w:sz w:val="20"/>
                <w:szCs w:val="20"/>
              </w:rPr>
              <w:t xml:space="preserve"> (25.3, 43.2)</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31.3</w:t>
            </w:r>
            <w:r w:rsidR="00AE04C5" w:rsidRPr="005C17A9">
              <w:rPr>
                <w:rFonts w:ascii="Arial Narrow" w:hAnsi="Arial Narrow"/>
                <w:iCs/>
                <w:sz w:val="20"/>
                <w:szCs w:val="20"/>
              </w:rPr>
              <w:t>%</w:t>
            </w:r>
            <w:r w:rsidRPr="005C17A9">
              <w:rPr>
                <w:rFonts w:ascii="Arial Narrow" w:hAnsi="Arial Narrow"/>
                <w:iCs/>
                <w:sz w:val="20"/>
                <w:szCs w:val="20"/>
              </w:rPr>
              <w:t xml:space="preserve"> (21.8, 41.3)</w:t>
            </w:r>
          </w:p>
        </w:tc>
      </w:tr>
      <w:tr w:rsidR="00853683" w:rsidRPr="00EF4FFA" w:rsidTr="005C17A9">
        <w:trPr>
          <w:cantSplit/>
        </w:trPr>
        <w:tc>
          <w:tcPr>
            <w:tcW w:w="5000" w:type="pct"/>
            <w:gridSpan w:val="4"/>
            <w:shd w:val="clear" w:color="auto" w:fill="FFFFFF"/>
          </w:tcPr>
          <w:p w:rsidR="00853683" w:rsidRPr="005C17A9" w:rsidRDefault="00853683" w:rsidP="0017554E">
            <w:pPr>
              <w:keepNext/>
              <w:rPr>
                <w:rFonts w:ascii="Arial Narrow" w:hAnsi="Arial Narrow"/>
                <w:iCs/>
                <w:sz w:val="20"/>
                <w:szCs w:val="20"/>
              </w:rPr>
            </w:pPr>
            <w:r w:rsidRPr="005C17A9">
              <w:rPr>
                <w:rFonts w:ascii="Arial Narrow" w:hAnsi="Arial Narrow"/>
                <w:b/>
                <w:sz w:val="20"/>
                <w:szCs w:val="20"/>
              </w:rPr>
              <w:t>Investigator-assessed</w:t>
            </w:r>
          </w:p>
        </w:tc>
      </w:tr>
      <w:tr w:rsidR="00853683" w:rsidRPr="00EF4FFA" w:rsidTr="005C17A9">
        <w:trPr>
          <w:cantSplit/>
        </w:trPr>
        <w:tc>
          <w:tcPr>
            <w:tcW w:w="1631" w:type="pct"/>
            <w:vAlign w:val="center"/>
          </w:tcPr>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Earliest event total, n (%)</w:t>
            </w:r>
          </w:p>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 Progression, n</w:t>
            </w:r>
          </w:p>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 Death, n</w:t>
            </w:r>
          </w:p>
        </w:tc>
        <w:tc>
          <w:tcPr>
            <w:tcW w:w="1123" w:type="pct"/>
            <w:shd w:val="clear" w:color="auto" w:fill="FFFFFF"/>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15 (8.4</w:t>
            </w:r>
            <w:r w:rsidR="00AE04C5" w:rsidRPr="005C17A9">
              <w:rPr>
                <w:rFonts w:ascii="Arial Narrow" w:hAnsi="Arial Narrow"/>
                <w:iCs/>
                <w:sz w:val="20"/>
                <w:szCs w:val="20"/>
              </w:rPr>
              <w:t>%</w:t>
            </w:r>
            <w:r w:rsidRPr="005C17A9">
              <w:rPr>
                <w:rFonts w:ascii="Arial Narrow" w:hAnsi="Arial Narrow"/>
                <w:iCs/>
                <w:sz w:val="20"/>
                <w:szCs w:val="20"/>
              </w:rPr>
              <w:t>)</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9</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6</w:t>
            </w:r>
          </w:p>
        </w:tc>
        <w:tc>
          <w:tcPr>
            <w:tcW w:w="1123" w:type="pct"/>
            <w:shd w:val="clear" w:color="auto" w:fill="FFFFFF"/>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19 (10.6</w:t>
            </w:r>
            <w:r w:rsidR="00AE04C5" w:rsidRPr="005C17A9">
              <w:rPr>
                <w:rFonts w:ascii="Arial Narrow" w:hAnsi="Arial Narrow"/>
                <w:iCs/>
                <w:sz w:val="20"/>
                <w:szCs w:val="20"/>
              </w:rPr>
              <w:t>%</w:t>
            </w:r>
            <w:r w:rsidRPr="005C17A9">
              <w:rPr>
                <w:rFonts w:ascii="Arial Narrow" w:hAnsi="Arial Narrow"/>
                <w:iCs/>
                <w:sz w:val="20"/>
                <w:szCs w:val="20"/>
              </w:rPr>
              <w:t>)</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12</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7</w:t>
            </w:r>
          </w:p>
        </w:tc>
        <w:tc>
          <w:tcPr>
            <w:tcW w:w="1123" w:type="pct"/>
            <w:shd w:val="clear" w:color="auto" w:fill="FFFFFF"/>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86 (48.6</w:t>
            </w:r>
            <w:r w:rsidR="00AE04C5" w:rsidRPr="005C17A9">
              <w:rPr>
                <w:rFonts w:ascii="Arial Narrow" w:hAnsi="Arial Narrow"/>
                <w:iCs/>
                <w:sz w:val="20"/>
                <w:szCs w:val="20"/>
              </w:rPr>
              <w:t>%</w:t>
            </w:r>
            <w:r w:rsidRPr="005C17A9">
              <w:rPr>
                <w:rFonts w:ascii="Arial Narrow" w:hAnsi="Arial Narrow"/>
                <w:iCs/>
                <w:sz w:val="20"/>
                <w:szCs w:val="20"/>
              </w:rPr>
              <w:t>)</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75</w:t>
            </w:r>
          </w:p>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11</w:t>
            </w:r>
          </w:p>
        </w:tc>
      </w:tr>
      <w:tr w:rsidR="00853683" w:rsidRPr="00EF4FFA" w:rsidTr="005C17A9">
        <w:tc>
          <w:tcPr>
            <w:tcW w:w="1631" w:type="pct"/>
            <w:vAlign w:val="center"/>
          </w:tcPr>
          <w:p w:rsidR="00853683" w:rsidRPr="005C17A9" w:rsidRDefault="00853683" w:rsidP="0017554E">
            <w:pPr>
              <w:keepNext/>
              <w:jc w:val="left"/>
              <w:rPr>
                <w:rFonts w:ascii="Arial Narrow" w:hAnsi="Arial Narrow"/>
                <w:iCs/>
                <w:sz w:val="20"/>
                <w:szCs w:val="20"/>
              </w:rPr>
            </w:pPr>
            <w:r w:rsidRPr="005C17A9">
              <w:rPr>
                <w:rFonts w:ascii="Arial Narrow" w:hAnsi="Arial Narrow"/>
                <w:sz w:val="20"/>
                <w:szCs w:val="20"/>
              </w:rPr>
              <w:t>Median PFS, months (95% CI)</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Not reached (NE)</w:t>
            </w:r>
          </w:p>
        </w:tc>
        <w:tc>
          <w:tcPr>
            <w:tcW w:w="1123" w:type="pct"/>
            <w:shd w:val="clear" w:color="auto" w:fill="FFFFFF"/>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Not reached (NE)</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27.8 (22.6, 28.8)</w:t>
            </w:r>
          </w:p>
        </w:tc>
      </w:tr>
      <w:tr w:rsidR="00853683" w:rsidRPr="00EF4FFA" w:rsidTr="005C17A9">
        <w:tc>
          <w:tcPr>
            <w:tcW w:w="1631" w:type="pct"/>
          </w:tcPr>
          <w:p w:rsidR="00853683" w:rsidRPr="005C17A9" w:rsidRDefault="00853683" w:rsidP="0017554E">
            <w:pPr>
              <w:keepNext/>
              <w:jc w:val="left"/>
              <w:rPr>
                <w:rFonts w:ascii="Arial Narrow" w:hAnsi="Arial Narrow"/>
                <w:sz w:val="20"/>
                <w:szCs w:val="20"/>
              </w:rPr>
            </w:pPr>
            <w:r w:rsidRPr="005C17A9">
              <w:rPr>
                <w:rFonts w:ascii="Arial Narrow" w:hAnsi="Arial Narrow"/>
                <w:sz w:val="20"/>
                <w:szCs w:val="20"/>
              </w:rPr>
              <w:t>Stratified HR vs CHL + OBI (95% CI)</w:t>
            </w:r>
          </w:p>
        </w:tc>
        <w:tc>
          <w:tcPr>
            <w:tcW w:w="1123" w:type="pct"/>
            <w:shd w:val="clear" w:color="auto" w:fill="FFFFFF"/>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0.12 (0.07, 0.21)</w:t>
            </w:r>
          </w:p>
        </w:tc>
        <w:tc>
          <w:tcPr>
            <w:tcW w:w="1123" w:type="pct"/>
            <w:shd w:val="clear" w:color="auto" w:fill="FFFFFF"/>
            <w:vAlign w:val="center"/>
          </w:tcPr>
          <w:p w:rsidR="00853683" w:rsidRPr="005C17A9" w:rsidRDefault="00853683" w:rsidP="0017554E">
            <w:pPr>
              <w:keepNext/>
              <w:jc w:val="center"/>
              <w:rPr>
                <w:rFonts w:ascii="Arial Narrow" w:hAnsi="Arial Narrow"/>
                <w:b/>
                <w:iCs/>
                <w:sz w:val="20"/>
                <w:szCs w:val="20"/>
              </w:rPr>
            </w:pPr>
            <w:r w:rsidRPr="005C17A9">
              <w:rPr>
                <w:rFonts w:ascii="Arial Narrow" w:hAnsi="Arial Narrow"/>
                <w:b/>
                <w:iCs/>
                <w:sz w:val="20"/>
                <w:szCs w:val="20"/>
              </w:rPr>
              <w:t>0.16 (0.10, 0.27)</w:t>
            </w:r>
          </w:p>
        </w:tc>
        <w:tc>
          <w:tcPr>
            <w:tcW w:w="1123" w:type="pct"/>
            <w:shd w:val="clear" w:color="auto" w:fill="FFFFFF"/>
            <w:vAlign w:val="center"/>
          </w:tcPr>
          <w:p w:rsidR="00853683" w:rsidRPr="005C17A9" w:rsidRDefault="00853683" w:rsidP="0017554E">
            <w:pPr>
              <w:keepNext/>
              <w:jc w:val="center"/>
              <w:rPr>
                <w:rFonts w:ascii="Arial Narrow" w:hAnsi="Arial Narrow"/>
                <w:iCs/>
                <w:sz w:val="20"/>
                <w:szCs w:val="20"/>
              </w:rPr>
            </w:pPr>
            <w:r w:rsidRPr="005C17A9">
              <w:rPr>
                <w:rFonts w:ascii="Arial Narrow" w:hAnsi="Arial Narrow"/>
                <w:iCs/>
                <w:sz w:val="20"/>
                <w:szCs w:val="20"/>
              </w:rPr>
              <w:t>-</w:t>
            </w:r>
          </w:p>
        </w:tc>
      </w:tr>
      <w:tr w:rsidR="00EF39D5" w:rsidRPr="00EF4FFA" w:rsidTr="005C17A9">
        <w:tc>
          <w:tcPr>
            <w:tcW w:w="1631" w:type="pct"/>
          </w:tcPr>
          <w:p w:rsidR="00EF39D5" w:rsidRPr="005C17A9" w:rsidRDefault="00EF39D5" w:rsidP="0017554E">
            <w:pPr>
              <w:keepNext/>
              <w:widowControl w:val="0"/>
              <w:jc w:val="left"/>
              <w:rPr>
                <w:rFonts w:ascii="Arial Narrow" w:hAnsi="Arial Narrow"/>
                <w:snapToGrid w:val="0"/>
                <w:sz w:val="20"/>
                <w:szCs w:val="20"/>
              </w:rPr>
            </w:pPr>
            <w:r w:rsidRPr="005C17A9">
              <w:rPr>
                <w:rFonts w:ascii="Arial Narrow" w:hAnsi="Arial Narrow"/>
                <w:snapToGrid w:val="0"/>
                <w:sz w:val="20"/>
                <w:szCs w:val="20"/>
              </w:rPr>
              <w:t>KM estimate of PFS</w:t>
            </w:r>
          </w:p>
          <w:p w:rsidR="00EF39D5" w:rsidRPr="005C17A9" w:rsidRDefault="00EF39D5" w:rsidP="0017554E">
            <w:pPr>
              <w:keepNext/>
              <w:widowControl w:val="0"/>
              <w:jc w:val="left"/>
              <w:rPr>
                <w:rFonts w:ascii="Arial Narrow" w:hAnsi="Arial Narrow"/>
                <w:snapToGrid w:val="0"/>
                <w:sz w:val="20"/>
                <w:szCs w:val="20"/>
              </w:rPr>
            </w:pPr>
            <w:r w:rsidRPr="005C17A9">
              <w:rPr>
                <w:rFonts w:ascii="Arial Narrow" w:hAnsi="Arial Narrow"/>
                <w:snapToGrid w:val="0"/>
                <w:sz w:val="20"/>
                <w:szCs w:val="20"/>
              </w:rPr>
              <w:t>- 6 months, % (95% CI)</w:t>
            </w:r>
          </w:p>
          <w:p w:rsidR="00EF39D5" w:rsidRPr="005C17A9" w:rsidRDefault="00EF39D5" w:rsidP="0017554E">
            <w:pPr>
              <w:keepNext/>
              <w:widowControl w:val="0"/>
              <w:jc w:val="left"/>
              <w:rPr>
                <w:rFonts w:ascii="Arial Narrow" w:hAnsi="Arial Narrow"/>
                <w:snapToGrid w:val="0"/>
                <w:sz w:val="20"/>
                <w:szCs w:val="20"/>
              </w:rPr>
            </w:pPr>
            <w:r w:rsidRPr="005C17A9">
              <w:rPr>
                <w:rFonts w:ascii="Arial Narrow" w:hAnsi="Arial Narrow"/>
                <w:snapToGrid w:val="0"/>
                <w:sz w:val="20"/>
                <w:szCs w:val="20"/>
              </w:rPr>
              <w:t>- 12 months, % (95% CI)</w:t>
            </w:r>
          </w:p>
          <w:p w:rsidR="00EF39D5" w:rsidRPr="005C17A9" w:rsidRDefault="00EF39D5" w:rsidP="0017554E">
            <w:pPr>
              <w:keepNext/>
              <w:jc w:val="left"/>
              <w:rPr>
                <w:rFonts w:ascii="Arial Narrow" w:hAnsi="Arial Narrow"/>
                <w:snapToGrid w:val="0"/>
                <w:sz w:val="20"/>
                <w:szCs w:val="20"/>
              </w:rPr>
            </w:pPr>
            <w:r w:rsidRPr="005C17A9">
              <w:rPr>
                <w:rFonts w:ascii="Arial Narrow" w:hAnsi="Arial Narrow"/>
                <w:snapToGrid w:val="0"/>
                <w:sz w:val="20"/>
                <w:szCs w:val="20"/>
              </w:rPr>
              <w:t>- 18 months, % (95% CI)</w:t>
            </w:r>
          </w:p>
          <w:p w:rsidR="00EF39D5" w:rsidRPr="005C17A9" w:rsidRDefault="00EF39D5" w:rsidP="0017554E">
            <w:pPr>
              <w:keepNext/>
              <w:jc w:val="left"/>
              <w:rPr>
                <w:rFonts w:ascii="Arial Narrow" w:hAnsi="Arial Narrow"/>
                <w:snapToGrid w:val="0"/>
                <w:sz w:val="20"/>
                <w:szCs w:val="20"/>
              </w:rPr>
            </w:pPr>
            <w:r w:rsidRPr="005C17A9">
              <w:rPr>
                <w:rFonts w:ascii="Arial Narrow" w:hAnsi="Arial Narrow"/>
                <w:snapToGrid w:val="0"/>
                <w:sz w:val="20"/>
                <w:szCs w:val="20"/>
              </w:rPr>
              <w:t>- 24 months, % (95% CI)</w:t>
            </w:r>
          </w:p>
          <w:p w:rsidR="00EF39D5" w:rsidRPr="005C17A9" w:rsidRDefault="00EF39D5" w:rsidP="0017554E">
            <w:pPr>
              <w:keepNext/>
              <w:jc w:val="left"/>
              <w:rPr>
                <w:rFonts w:ascii="Arial Narrow" w:hAnsi="Arial Narrow"/>
                <w:snapToGrid w:val="0"/>
                <w:sz w:val="20"/>
                <w:szCs w:val="20"/>
              </w:rPr>
            </w:pPr>
            <w:r w:rsidRPr="005C17A9">
              <w:rPr>
                <w:rFonts w:ascii="Arial Narrow" w:hAnsi="Arial Narrow"/>
                <w:snapToGrid w:val="0"/>
                <w:sz w:val="20"/>
                <w:szCs w:val="20"/>
              </w:rPr>
              <w:t>- 30 months, % (95% CI)</w:t>
            </w:r>
          </w:p>
          <w:p w:rsidR="00EF39D5" w:rsidRPr="005C17A9" w:rsidRDefault="00EF39D5" w:rsidP="0017554E">
            <w:pPr>
              <w:keepNext/>
              <w:jc w:val="left"/>
              <w:rPr>
                <w:rFonts w:ascii="Arial Narrow" w:hAnsi="Arial Narrow"/>
                <w:sz w:val="20"/>
                <w:szCs w:val="20"/>
              </w:rPr>
            </w:pPr>
            <w:r w:rsidRPr="005C17A9">
              <w:rPr>
                <w:rFonts w:ascii="Arial Narrow" w:hAnsi="Arial Narrow"/>
                <w:snapToGrid w:val="0"/>
                <w:sz w:val="20"/>
                <w:szCs w:val="20"/>
              </w:rPr>
              <w:t>- 36 months, % (95% CI)</w:t>
            </w:r>
          </w:p>
        </w:tc>
        <w:tc>
          <w:tcPr>
            <w:tcW w:w="1123" w:type="pct"/>
            <w:shd w:val="clear" w:color="auto" w:fill="FFFFFF"/>
          </w:tcPr>
          <w:p w:rsidR="00EF39D5" w:rsidRPr="005C17A9" w:rsidRDefault="00EF39D5" w:rsidP="0017554E">
            <w:pPr>
              <w:keepNext/>
              <w:jc w:val="center"/>
              <w:rPr>
                <w:rFonts w:ascii="Arial Narrow" w:hAnsi="Arial Narrow"/>
                <w:iCs/>
                <w:sz w:val="20"/>
                <w:szCs w:val="20"/>
              </w:rPr>
            </w:pP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98.3</w:t>
            </w:r>
            <w:r w:rsidR="00AE04C5" w:rsidRPr="005C17A9">
              <w:rPr>
                <w:rFonts w:ascii="Arial Narrow" w:hAnsi="Arial Narrow"/>
                <w:iCs/>
                <w:sz w:val="20"/>
                <w:szCs w:val="20"/>
              </w:rPr>
              <w:t>%</w:t>
            </w:r>
            <w:r w:rsidRPr="005C17A9">
              <w:rPr>
                <w:rFonts w:ascii="Arial Narrow" w:hAnsi="Arial Narrow"/>
                <w:iCs/>
                <w:sz w:val="20"/>
                <w:szCs w:val="20"/>
              </w:rPr>
              <w:t xml:space="preserve"> (94.8, 99.5)</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95.4</w:t>
            </w:r>
            <w:r w:rsidR="00AE04C5" w:rsidRPr="005C17A9">
              <w:rPr>
                <w:rFonts w:ascii="Arial Narrow" w:hAnsi="Arial Narrow"/>
                <w:iCs/>
                <w:sz w:val="20"/>
                <w:szCs w:val="20"/>
              </w:rPr>
              <w:t>%</w:t>
            </w:r>
            <w:r w:rsidRPr="005C17A9">
              <w:rPr>
                <w:rFonts w:ascii="Arial Narrow" w:hAnsi="Arial Narrow"/>
                <w:iCs/>
                <w:sz w:val="20"/>
                <w:szCs w:val="20"/>
              </w:rPr>
              <w:t xml:space="preserve"> (91.1, 97.7)</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94.3</w:t>
            </w:r>
            <w:r w:rsidR="00AE04C5" w:rsidRPr="005C17A9">
              <w:rPr>
                <w:rFonts w:ascii="Arial Narrow" w:hAnsi="Arial Narrow"/>
                <w:iCs/>
                <w:sz w:val="20"/>
                <w:szCs w:val="20"/>
              </w:rPr>
              <w:t>%</w:t>
            </w:r>
            <w:r w:rsidRPr="005C17A9">
              <w:rPr>
                <w:rFonts w:ascii="Arial Narrow" w:hAnsi="Arial Narrow"/>
                <w:iCs/>
                <w:sz w:val="20"/>
                <w:szCs w:val="20"/>
              </w:rPr>
              <w:t xml:space="preserve"> (89.6, 96.9)</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91.9</w:t>
            </w:r>
            <w:r w:rsidR="00AE04C5" w:rsidRPr="005C17A9">
              <w:rPr>
                <w:rFonts w:ascii="Arial Narrow" w:hAnsi="Arial Narrow"/>
                <w:iCs/>
                <w:sz w:val="20"/>
                <w:szCs w:val="20"/>
              </w:rPr>
              <w:t>%</w:t>
            </w:r>
            <w:r w:rsidRPr="005C17A9">
              <w:rPr>
                <w:rFonts w:ascii="Arial Narrow" w:hAnsi="Arial Narrow"/>
                <w:iCs/>
                <w:sz w:val="20"/>
                <w:szCs w:val="20"/>
              </w:rPr>
              <w:t xml:space="preserve"> (86.7, 95.1)</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90.9</w:t>
            </w:r>
            <w:r w:rsidR="00AE04C5" w:rsidRPr="005C17A9">
              <w:rPr>
                <w:rFonts w:ascii="Arial Narrow" w:hAnsi="Arial Narrow"/>
                <w:iCs/>
                <w:sz w:val="20"/>
                <w:szCs w:val="20"/>
              </w:rPr>
              <w:t>%</w:t>
            </w:r>
            <w:r w:rsidRPr="005C17A9">
              <w:rPr>
                <w:rFonts w:ascii="Arial Narrow" w:hAnsi="Arial Narrow"/>
                <w:iCs/>
                <w:sz w:val="20"/>
                <w:szCs w:val="20"/>
              </w:rPr>
              <w:t xml:space="preserve"> (85.3, 94.5)</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90.9</w:t>
            </w:r>
            <w:r w:rsidR="00AE04C5" w:rsidRPr="005C17A9">
              <w:rPr>
                <w:rFonts w:ascii="Arial Narrow" w:hAnsi="Arial Narrow"/>
                <w:iCs/>
                <w:sz w:val="20"/>
                <w:szCs w:val="20"/>
              </w:rPr>
              <w:t>%</w:t>
            </w:r>
            <w:r w:rsidRPr="005C17A9">
              <w:rPr>
                <w:rFonts w:ascii="Arial Narrow" w:hAnsi="Arial Narrow"/>
                <w:iCs/>
                <w:sz w:val="20"/>
                <w:szCs w:val="20"/>
              </w:rPr>
              <w:t xml:space="preserve"> (85.3, 94.5)</w:t>
            </w:r>
          </w:p>
        </w:tc>
        <w:tc>
          <w:tcPr>
            <w:tcW w:w="1123" w:type="pct"/>
            <w:shd w:val="clear" w:color="auto" w:fill="FFFFFF"/>
          </w:tcPr>
          <w:p w:rsidR="00EF39D5" w:rsidRPr="005C17A9" w:rsidRDefault="00EF39D5" w:rsidP="0017554E">
            <w:pPr>
              <w:keepNext/>
              <w:jc w:val="center"/>
              <w:rPr>
                <w:rFonts w:ascii="Arial Narrow" w:hAnsi="Arial Narrow"/>
                <w:iCs/>
                <w:sz w:val="20"/>
                <w:szCs w:val="20"/>
              </w:rPr>
            </w:pP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97.1</w:t>
            </w:r>
            <w:r w:rsidR="00AE04C5" w:rsidRPr="005C17A9">
              <w:rPr>
                <w:rFonts w:ascii="Arial Narrow" w:hAnsi="Arial Narrow"/>
                <w:iCs/>
                <w:sz w:val="20"/>
                <w:szCs w:val="20"/>
              </w:rPr>
              <w:t>%</w:t>
            </w:r>
            <w:r w:rsidRPr="005C17A9">
              <w:rPr>
                <w:rFonts w:ascii="Arial Narrow" w:hAnsi="Arial Narrow"/>
                <w:iCs/>
                <w:sz w:val="20"/>
                <w:szCs w:val="20"/>
              </w:rPr>
              <w:t xml:space="preserve"> (93.2, 98.8)</w:t>
            </w:r>
          </w:p>
          <w:p w:rsidR="00EF39D5" w:rsidRPr="005C17A9" w:rsidRDefault="00AE04C5" w:rsidP="0017554E">
            <w:pPr>
              <w:keepNext/>
              <w:jc w:val="center"/>
              <w:rPr>
                <w:rFonts w:ascii="Arial Narrow" w:hAnsi="Arial Narrow"/>
                <w:iCs/>
                <w:sz w:val="20"/>
                <w:szCs w:val="20"/>
              </w:rPr>
            </w:pPr>
            <w:r w:rsidRPr="005C17A9">
              <w:rPr>
                <w:rFonts w:ascii="Arial Narrow" w:hAnsi="Arial Narrow"/>
                <w:iCs/>
                <w:sz w:val="20"/>
                <w:szCs w:val="20"/>
              </w:rPr>
              <w:t xml:space="preserve">94.7% </w:t>
            </w:r>
            <w:r w:rsidR="00EF39D5" w:rsidRPr="005C17A9">
              <w:rPr>
                <w:rFonts w:ascii="Arial Narrow" w:hAnsi="Arial Narrow"/>
                <w:iCs/>
                <w:sz w:val="20"/>
                <w:szCs w:val="20"/>
              </w:rPr>
              <w:t>(90.1, 97.2)</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92.9</w:t>
            </w:r>
            <w:r w:rsidR="00AE04C5" w:rsidRPr="005C17A9">
              <w:rPr>
                <w:rFonts w:ascii="Arial Narrow" w:hAnsi="Arial Narrow"/>
                <w:iCs/>
                <w:sz w:val="20"/>
                <w:szCs w:val="20"/>
              </w:rPr>
              <w:t>%</w:t>
            </w:r>
            <w:r w:rsidRPr="005C17A9">
              <w:rPr>
                <w:rFonts w:ascii="Arial Narrow" w:hAnsi="Arial Narrow"/>
                <w:iCs/>
                <w:sz w:val="20"/>
                <w:szCs w:val="20"/>
              </w:rPr>
              <w:t xml:space="preserve"> (87.8, 95.9)</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90.4</w:t>
            </w:r>
            <w:r w:rsidR="00AE04C5" w:rsidRPr="005C17A9">
              <w:rPr>
                <w:rFonts w:ascii="Arial Narrow" w:hAnsi="Arial Narrow"/>
                <w:iCs/>
                <w:sz w:val="20"/>
                <w:szCs w:val="20"/>
              </w:rPr>
              <w:t>%</w:t>
            </w:r>
            <w:r w:rsidRPr="005C17A9">
              <w:rPr>
                <w:rFonts w:ascii="Arial Narrow" w:hAnsi="Arial Narrow"/>
                <w:iCs/>
                <w:sz w:val="20"/>
                <w:szCs w:val="20"/>
              </w:rPr>
              <w:t xml:space="preserve"> (84.9, 94.0)</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87.6</w:t>
            </w:r>
            <w:r w:rsidR="00AE04C5" w:rsidRPr="005C17A9">
              <w:rPr>
                <w:rFonts w:ascii="Arial Narrow" w:hAnsi="Arial Narrow"/>
                <w:iCs/>
                <w:sz w:val="20"/>
                <w:szCs w:val="20"/>
              </w:rPr>
              <w:t>%</w:t>
            </w:r>
            <w:r w:rsidRPr="005C17A9">
              <w:rPr>
                <w:rFonts w:ascii="Arial Narrow" w:hAnsi="Arial Narrow"/>
                <w:iCs/>
                <w:sz w:val="20"/>
                <w:szCs w:val="20"/>
              </w:rPr>
              <w:t xml:space="preserve"> (81.0, 92.1)</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87.6</w:t>
            </w:r>
            <w:r w:rsidR="00AE04C5" w:rsidRPr="005C17A9">
              <w:rPr>
                <w:rFonts w:ascii="Arial Narrow" w:hAnsi="Arial Narrow"/>
                <w:iCs/>
                <w:sz w:val="20"/>
                <w:szCs w:val="20"/>
              </w:rPr>
              <w:t>%</w:t>
            </w:r>
            <w:r w:rsidRPr="005C17A9">
              <w:rPr>
                <w:rFonts w:ascii="Arial Narrow" w:hAnsi="Arial Narrow"/>
                <w:iCs/>
                <w:sz w:val="20"/>
                <w:szCs w:val="20"/>
              </w:rPr>
              <w:t xml:space="preserve"> (81.0, 92.1)</w:t>
            </w:r>
          </w:p>
        </w:tc>
        <w:tc>
          <w:tcPr>
            <w:tcW w:w="1123" w:type="pct"/>
            <w:shd w:val="clear" w:color="auto" w:fill="FFFFFF"/>
          </w:tcPr>
          <w:p w:rsidR="00EF39D5" w:rsidRPr="005C17A9" w:rsidRDefault="00EF39D5" w:rsidP="0017554E">
            <w:pPr>
              <w:keepNext/>
              <w:jc w:val="center"/>
              <w:rPr>
                <w:rFonts w:ascii="Arial Narrow" w:hAnsi="Arial Narrow"/>
                <w:iCs/>
                <w:sz w:val="20"/>
                <w:szCs w:val="20"/>
              </w:rPr>
            </w:pP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95.2</w:t>
            </w:r>
            <w:r w:rsidR="00AE04C5" w:rsidRPr="005C17A9">
              <w:rPr>
                <w:rFonts w:ascii="Arial Narrow" w:hAnsi="Arial Narrow"/>
                <w:iCs/>
                <w:sz w:val="20"/>
                <w:szCs w:val="20"/>
              </w:rPr>
              <w:t>%</w:t>
            </w:r>
            <w:r w:rsidRPr="005C17A9">
              <w:rPr>
                <w:rFonts w:ascii="Arial Narrow" w:hAnsi="Arial Narrow"/>
                <w:iCs/>
                <w:sz w:val="20"/>
                <w:szCs w:val="20"/>
              </w:rPr>
              <w:t xml:space="preserve"> (90.7, 97.6)</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85.5</w:t>
            </w:r>
            <w:r w:rsidR="00AE04C5" w:rsidRPr="005C17A9">
              <w:rPr>
                <w:rFonts w:ascii="Arial Narrow" w:hAnsi="Arial Narrow"/>
                <w:iCs/>
                <w:sz w:val="20"/>
                <w:szCs w:val="20"/>
              </w:rPr>
              <w:t>%</w:t>
            </w:r>
            <w:r w:rsidRPr="005C17A9">
              <w:rPr>
                <w:rFonts w:ascii="Arial Narrow" w:hAnsi="Arial Narrow"/>
                <w:iCs/>
                <w:sz w:val="20"/>
                <w:szCs w:val="20"/>
              </w:rPr>
              <w:t xml:space="preserve"> (79.1, 90.0)</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68.8</w:t>
            </w:r>
            <w:r w:rsidR="00AE04C5" w:rsidRPr="005C17A9">
              <w:rPr>
                <w:rFonts w:ascii="Arial Narrow" w:hAnsi="Arial Narrow"/>
                <w:iCs/>
                <w:sz w:val="20"/>
                <w:szCs w:val="20"/>
              </w:rPr>
              <w:t>%</w:t>
            </w:r>
            <w:r w:rsidRPr="005C17A9">
              <w:rPr>
                <w:rFonts w:ascii="Arial Narrow" w:hAnsi="Arial Narrow"/>
                <w:iCs/>
                <w:sz w:val="20"/>
                <w:szCs w:val="20"/>
              </w:rPr>
              <w:t xml:space="preserve"> (61.0, 75.3)</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54.7</w:t>
            </w:r>
            <w:r w:rsidR="00AE04C5" w:rsidRPr="005C17A9">
              <w:rPr>
                <w:rFonts w:ascii="Arial Narrow" w:hAnsi="Arial Narrow"/>
                <w:iCs/>
                <w:sz w:val="20"/>
                <w:szCs w:val="20"/>
              </w:rPr>
              <w:t>%</w:t>
            </w:r>
            <w:r w:rsidRPr="005C17A9">
              <w:rPr>
                <w:rFonts w:ascii="Arial Narrow" w:hAnsi="Arial Narrow"/>
                <w:iCs/>
                <w:sz w:val="20"/>
                <w:szCs w:val="20"/>
              </w:rPr>
              <w:t xml:space="preserve"> (46.7, 62.0)</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39.9</w:t>
            </w:r>
            <w:r w:rsidR="00AE04C5" w:rsidRPr="005C17A9">
              <w:rPr>
                <w:rFonts w:ascii="Arial Narrow" w:hAnsi="Arial Narrow"/>
                <w:iCs/>
                <w:sz w:val="20"/>
                <w:szCs w:val="20"/>
              </w:rPr>
              <w:t>%</w:t>
            </w:r>
            <w:r w:rsidRPr="005C17A9">
              <w:rPr>
                <w:rFonts w:ascii="Arial Narrow" w:hAnsi="Arial Narrow"/>
                <w:iCs/>
                <w:sz w:val="20"/>
                <w:szCs w:val="20"/>
              </w:rPr>
              <w:t xml:space="preserve"> (30.6, 49.1)</w:t>
            </w:r>
          </w:p>
          <w:p w:rsidR="00EF39D5" w:rsidRPr="005C17A9" w:rsidRDefault="00EF39D5" w:rsidP="0017554E">
            <w:pPr>
              <w:keepNext/>
              <w:jc w:val="center"/>
              <w:rPr>
                <w:rFonts w:ascii="Arial Narrow" w:hAnsi="Arial Narrow"/>
                <w:iCs/>
                <w:sz w:val="20"/>
                <w:szCs w:val="20"/>
              </w:rPr>
            </w:pPr>
            <w:r w:rsidRPr="005C17A9">
              <w:rPr>
                <w:rFonts w:ascii="Arial Narrow" w:hAnsi="Arial Narrow"/>
                <w:iCs/>
                <w:sz w:val="20"/>
                <w:szCs w:val="20"/>
              </w:rPr>
              <w:t>36.9</w:t>
            </w:r>
            <w:r w:rsidR="00AE04C5" w:rsidRPr="005C17A9">
              <w:rPr>
                <w:rFonts w:ascii="Arial Narrow" w:hAnsi="Arial Narrow"/>
                <w:iCs/>
                <w:sz w:val="20"/>
                <w:szCs w:val="20"/>
              </w:rPr>
              <w:t>%</w:t>
            </w:r>
            <w:r w:rsidRPr="005C17A9">
              <w:rPr>
                <w:rFonts w:ascii="Arial Narrow" w:hAnsi="Arial Narrow"/>
                <w:iCs/>
                <w:sz w:val="20"/>
                <w:szCs w:val="20"/>
              </w:rPr>
              <w:t xml:space="preserve"> (26.6, 47.1)</w:t>
            </w:r>
          </w:p>
        </w:tc>
      </w:tr>
    </w:tbl>
    <w:p w:rsidR="009728AA" w:rsidRPr="00EF4FFA" w:rsidRDefault="009728AA" w:rsidP="005C17A9">
      <w:pPr>
        <w:pStyle w:val="TableFigureFooter"/>
      </w:pPr>
      <w:r w:rsidRPr="00EF4FFA">
        <w:t xml:space="preserve">ACAL = acalabrutinib; CHL = chlorambucil; CI = confidence interval; HR = hazard ratio; KM = Kaplan-Meier; NE = not estimable; OBI = obinutuzumab; PFS = </w:t>
      </w:r>
      <w:r w:rsidR="008E3636" w:rsidRPr="00EF4FFA">
        <w:t xml:space="preserve">progression </w:t>
      </w:r>
      <w:r w:rsidRPr="00EF4FFA">
        <w:t>free survival.</w:t>
      </w:r>
    </w:p>
    <w:p w:rsidR="00853683" w:rsidRPr="00EF4FFA" w:rsidRDefault="00853683" w:rsidP="005C17A9">
      <w:pPr>
        <w:pStyle w:val="TableFigureFooter"/>
      </w:pPr>
      <w:r w:rsidRPr="00EF4FFA">
        <w:t>Source: Table 2.20, p.65 of the submission; Table 14, pp97-98; Table 22, p.121 of the ELEVATE-TN interim clinical study report.</w:t>
      </w:r>
    </w:p>
    <w:p w:rsidR="00786A6E" w:rsidRDefault="00786A6E" w:rsidP="00786A6E">
      <w:pPr>
        <w:pStyle w:val="ExecSumBodyText"/>
      </w:pPr>
      <w:r>
        <w:rPr>
          <w:snapToGrid/>
        </w:rPr>
        <w:t>6.18</w:t>
      </w:r>
      <w:r>
        <w:rPr>
          <w:snapToGrid/>
        </w:rPr>
        <w:tab/>
      </w:r>
      <w:r w:rsidR="00853683" w:rsidRPr="00EF4FFA">
        <w:rPr>
          <w:snapToGrid/>
        </w:rPr>
        <w:t>At a median duration of follow-up of 28 months, independent review</w:t>
      </w:r>
      <w:r w:rsidR="008E3636" w:rsidRPr="00EF4FFA">
        <w:rPr>
          <w:snapToGrid/>
        </w:rPr>
        <w:t xml:space="preserve"> committee-assessed progression </w:t>
      </w:r>
      <w:r w:rsidR="00853683" w:rsidRPr="00EF4FFA">
        <w:rPr>
          <w:snapToGrid/>
        </w:rPr>
        <w:t>free survival was statistically significantly longer among patients in the acalabrutinib + obinutuzumab and acalabrutinib monotherapy arms compared to the chlorambucil + obinu</w:t>
      </w:r>
      <w:r w:rsidR="008E3636" w:rsidRPr="00EF4FFA">
        <w:rPr>
          <w:snapToGrid/>
        </w:rPr>
        <w:t xml:space="preserve">tuzumab arm (median progression </w:t>
      </w:r>
      <w:r w:rsidR="00853683" w:rsidRPr="00EF4FFA">
        <w:rPr>
          <w:snapToGrid/>
        </w:rPr>
        <w:t>free survival not reached in either acalabrutinib arm versus 22.6 months for chlorambucil + obinutuzumab; HR = 0.10 [95% CI: 0.06, 0.17] for acalabrutinib + obinutuzumab</w:t>
      </w:r>
      <w:r w:rsidR="007C453B" w:rsidRPr="00EF4FFA">
        <w:rPr>
          <w:snapToGrid/>
        </w:rPr>
        <w:t xml:space="preserve"> versus chlorambucil + obinutuzumab</w:t>
      </w:r>
      <w:r w:rsidR="00853683" w:rsidRPr="00EF4FFA">
        <w:rPr>
          <w:snapToGrid/>
        </w:rPr>
        <w:t>; HR = 0.20 [95% CI: 0.13, 0.30]</w:t>
      </w:r>
      <w:r w:rsidR="007C453B" w:rsidRPr="00EF4FFA">
        <w:rPr>
          <w:snapToGrid/>
        </w:rPr>
        <w:t xml:space="preserve"> </w:t>
      </w:r>
      <w:r w:rsidR="00853683" w:rsidRPr="00EF4FFA">
        <w:rPr>
          <w:snapToGrid/>
        </w:rPr>
        <w:t>for acalabrutinib monotherapy</w:t>
      </w:r>
      <w:r w:rsidR="007C453B" w:rsidRPr="00EF4FFA">
        <w:rPr>
          <w:snapToGrid/>
        </w:rPr>
        <w:t xml:space="preserve"> versus chlorambucil + obinutuzumab</w:t>
      </w:r>
      <w:r w:rsidR="00853683" w:rsidRPr="00EF4FFA">
        <w:rPr>
          <w:snapToGrid/>
        </w:rPr>
        <w:t xml:space="preserve">). </w:t>
      </w:r>
      <w:r w:rsidR="003B3F67" w:rsidRPr="00EF4FFA">
        <w:rPr>
          <w:snapToGrid/>
        </w:rPr>
        <w:t>The ESC noted</w:t>
      </w:r>
      <w:r w:rsidR="00F57676" w:rsidRPr="00EF4FFA">
        <w:rPr>
          <w:snapToGrid/>
        </w:rPr>
        <w:t xml:space="preserve"> that the data were immature as median progression free survival had not been reached for </w:t>
      </w:r>
      <w:r w:rsidR="003B3F67" w:rsidRPr="00EF4FFA">
        <w:rPr>
          <w:snapToGrid/>
        </w:rPr>
        <w:t xml:space="preserve">either acalabrutinib arm. </w:t>
      </w:r>
    </w:p>
    <w:p w:rsidR="00853683" w:rsidRPr="00EF4FFA" w:rsidRDefault="00786A6E" w:rsidP="00786A6E">
      <w:pPr>
        <w:pStyle w:val="ExecSumBodyText"/>
      </w:pPr>
      <w:r>
        <w:t>6.19</w:t>
      </w:r>
      <w:r>
        <w:tab/>
      </w:r>
      <w:r w:rsidR="000D1BB8" w:rsidRPr="00EF4FFA">
        <w:rPr>
          <w:snapToGrid/>
        </w:rPr>
        <w:t>Treatment with acalabrutinib + obinutuzumab was associated with a small numerical improvement in pro</w:t>
      </w:r>
      <w:r w:rsidR="008E3636" w:rsidRPr="00EF4FFA">
        <w:rPr>
          <w:snapToGrid/>
        </w:rPr>
        <w:t xml:space="preserve">gression </w:t>
      </w:r>
      <w:r w:rsidR="000D1BB8" w:rsidRPr="00EF4FFA">
        <w:rPr>
          <w:snapToGrid/>
        </w:rPr>
        <w:t>free survival compared to acalabrutinib monotherapy. However, s</w:t>
      </w:r>
      <w:r w:rsidR="00853683" w:rsidRPr="00EF4FFA">
        <w:rPr>
          <w:snapToGrid/>
        </w:rPr>
        <w:t xml:space="preserve">tatistical testing for a difference between the acalabrutinib + </w:t>
      </w:r>
      <w:r w:rsidR="00853683" w:rsidRPr="00EF4FFA">
        <w:rPr>
          <w:snapToGrid/>
        </w:rPr>
        <w:lastRenderedPageBreak/>
        <w:t>obinutuzumab and acalabrutinib monotherapy arms was not included in the submission.</w:t>
      </w:r>
      <w:r w:rsidR="001B00A7" w:rsidRPr="00EF4FFA">
        <w:rPr>
          <w:snapToGrid/>
        </w:rPr>
        <w:t xml:space="preserve"> The </w:t>
      </w:r>
      <w:r w:rsidR="008E771E" w:rsidRPr="00EF4FFA">
        <w:rPr>
          <w:snapToGrid/>
        </w:rPr>
        <w:t>Pre-Sub-Committee Response (</w:t>
      </w:r>
      <w:r w:rsidR="001B00A7" w:rsidRPr="00EF4FFA">
        <w:rPr>
          <w:snapToGrid/>
        </w:rPr>
        <w:t>PSCR</w:t>
      </w:r>
      <w:r w:rsidR="008E771E" w:rsidRPr="00EF4FFA">
        <w:rPr>
          <w:snapToGrid/>
        </w:rPr>
        <w:t>)</w:t>
      </w:r>
      <w:r w:rsidR="001B00A7" w:rsidRPr="00EF4FFA">
        <w:rPr>
          <w:snapToGrid/>
        </w:rPr>
        <w:t xml:space="preserve"> provided results from a post-hoc analysis (Sharman, 2020) which </w:t>
      </w:r>
      <w:r w:rsidR="00C90535" w:rsidRPr="00EF4FFA">
        <w:rPr>
          <w:snapToGrid/>
        </w:rPr>
        <w:t>reported</w:t>
      </w:r>
      <w:r w:rsidR="001B00A7" w:rsidRPr="00EF4FFA">
        <w:rPr>
          <w:snapToGrid/>
        </w:rPr>
        <w:t xml:space="preserve"> that acalabrutinib + obinutuzumab was associated with a greater</w:t>
      </w:r>
      <w:r w:rsidR="00AA7EB5" w:rsidRPr="00EF4FFA">
        <w:rPr>
          <w:snapToGrid/>
        </w:rPr>
        <w:t xml:space="preserve"> independent review committee-assessed</w:t>
      </w:r>
      <w:r w:rsidR="001B00A7" w:rsidRPr="00EF4FFA">
        <w:rPr>
          <w:snapToGrid/>
        </w:rPr>
        <w:t xml:space="preserve"> progression</w:t>
      </w:r>
      <w:r w:rsidR="008E3636" w:rsidRPr="00EF4FFA">
        <w:rPr>
          <w:snapToGrid/>
        </w:rPr>
        <w:t xml:space="preserve"> </w:t>
      </w:r>
      <w:r w:rsidR="001B00A7" w:rsidRPr="00EF4FFA">
        <w:rPr>
          <w:snapToGrid/>
        </w:rPr>
        <w:t xml:space="preserve">free survival compared to acalabrutinib monotherapy (HR = 0.49 </w:t>
      </w:r>
      <w:r w:rsidR="00FE59E4" w:rsidRPr="00EF4FFA">
        <w:rPr>
          <w:snapToGrid/>
        </w:rPr>
        <w:t>[</w:t>
      </w:r>
      <w:r w:rsidR="001B00A7" w:rsidRPr="00EF4FFA">
        <w:rPr>
          <w:snapToGrid/>
        </w:rPr>
        <w:t>95% CI: 0.26, 0.95</w:t>
      </w:r>
      <w:r w:rsidR="00FE59E4" w:rsidRPr="00EF4FFA">
        <w:rPr>
          <w:snapToGrid/>
        </w:rPr>
        <w:t>]</w:t>
      </w:r>
      <w:r w:rsidR="001B00A7" w:rsidRPr="00EF4FFA">
        <w:rPr>
          <w:snapToGrid/>
        </w:rPr>
        <w:t>).</w:t>
      </w:r>
      <w:r w:rsidR="00AA7EB5" w:rsidRPr="00EF4FFA">
        <w:rPr>
          <w:snapToGrid/>
        </w:rPr>
        <w:t xml:space="preserve"> The difference for combination versus monotherapy treatment was smaller based on investigator-assessed progression free survival (Table </w:t>
      </w:r>
      <w:r w:rsidR="00B01885" w:rsidRPr="00EF4FFA">
        <w:rPr>
          <w:snapToGrid/>
        </w:rPr>
        <w:t>4</w:t>
      </w:r>
      <w:r w:rsidR="00AA7EB5" w:rsidRPr="00EF4FFA">
        <w:rPr>
          <w:snapToGrid/>
        </w:rPr>
        <w:t>).</w:t>
      </w:r>
    </w:p>
    <w:p w:rsidR="00E2512A" w:rsidRPr="00EF4FFA" w:rsidRDefault="00786A6E" w:rsidP="00E2512A">
      <w:pPr>
        <w:pStyle w:val="ExecSumBodyText"/>
      </w:pPr>
      <w:r>
        <w:t xml:space="preserve">6.20 </w:t>
      </w:r>
      <w:r>
        <w:tab/>
      </w:r>
      <w:r w:rsidR="00E2512A" w:rsidRPr="00EF4FFA">
        <w:t>Among patients with 17p deletion, independent review</w:t>
      </w:r>
      <w:r w:rsidR="008E3636" w:rsidRPr="00EF4FFA">
        <w:t xml:space="preserve"> committee-assessed progression </w:t>
      </w:r>
      <w:r w:rsidR="00E2512A" w:rsidRPr="00EF4FFA">
        <w:t>free survival was statistically significantly longer in the acalabrutinib + obinutuzumab and acalabrutinib monotherapy arms compared to the chlorambucil + obinutuzumab arm (HR = 0.13 [95% CI: 0.04, 0.46] for acalabrutinib + obinutuzumab; HR = 0.20 [95% CI: 0.06, 0.64] for acalabrutinib monotherapy). The results based on patients with 17p deletion were consistent with the results for the full trial population. However, the results should be interpreted with caution due to the small number of patients with 17p deletion included in the trial (</w:t>
      </w:r>
      <w:r w:rsidR="00737C3E" w:rsidRPr="00EF4FFA">
        <w:t xml:space="preserve">approximately </w:t>
      </w:r>
      <w:r w:rsidR="00E2512A" w:rsidRPr="00EF4FFA">
        <w:t>11% of the trial population).</w:t>
      </w:r>
    </w:p>
    <w:p w:rsidR="00853683" w:rsidRPr="00EF4FFA" w:rsidRDefault="00786A6E" w:rsidP="00853683">
      <w:pPr>
        <w:pStyle w:val="ExecSumBodyText"/>
      </w:pPr>
      <w:r>
        <w:rPr>
          <w:snapToGrid/>
        </w:rPr>
        <w:t>6.21</w:t>
      </w:r>
      <w:r>
        <w:rPr>
          <w:snapToGrid/>
        </w:rPr>
        <w:tab/>
      </w:r>
      <w:r w:rsidR="00853683" w:rsidRPr="00EF4FFA">
        <w:rPr>
          <w:snapToGrid/>
        </w:rPr>
        <w:t xml:space="preserve">Figure </w:t>
      </w:r>
      <w:r w:rsidR="00422F9B" w:rsidRPr="00EF4FFA">
        <w:rPr>
          <w:snapToGrid/>
        </w:rPr>
        <w:t>3</w:t>
      </w:r>
      <w:r w:rsidR="00853683" w:rsidRPr="00EF4FFA">
        <w:rPr>
          <w:snapToGrid/>
        </w:rPr>
        <w:t xml:space="preserve"> presents the Kaplan-Meier plot of overall survival for the ELEVATE-TN trial at the interim analysis.</w:t>
      </w:r>
    </w:p>
    <w:p w:rsidR="00853683" w:rsidRPr="00EF4FFA" w:rsidRDefault="00853683" w:rsidP="00A36715">
      <w:pPr>
        <w:pStyle w:val="TableFigureCaption"/>
      </w:pPr>
      <w:r w:rsidRPr="00EF4FFA">
        <w:t xml:space="preserve">Figure </w:t>
      </w:r>
      <w:r w:rsidR="00422F9B" w:rsidRPr="00EF4FFA">
        <w:t>3</w:t>
      </w:r>
      <w:r w:rsidRPr="00EF4FFA">
        <w:t>: Kaplan-Meier plot of overall survival for the ELEVATE-TN trial at the interim analysis</w:t>
      </w:r>
    </w:p>
    <w:p w:rsidR="00853683" w:rsidRPr="00EF4FFA" w:rsidRDefault="00853683" w:rsidP="00853683">
      <w:pPr>
        <w:rPr>
          <w:color w:val="000000" w:themeColor="text1"/>
          <w:highlight w:val="yellow"/>
        </w:rPr>
      </w:pPr>
      <w:r w:rsidRPr="00EF4FFA">
        <w:rPr>
          <w:noProof/>
          <w:color w:val="000000" w:themeColor="text1"/>
          <w:highlight w:val="yellow"/>
        </w:rPr>
        <w:drawing>
          <wp:inline distT="0" distB="0" distL="0" distR="0" wp14:anchorId="009F6C12" wp14:editId="0B5BBF5E">
            <wp:extent cx="5645426" cy="3880237"/>
            <wp:effectExtent l="0" t="0" r="0" b="6350"/>
            <wp:docPr id="9" name="Picture 9" title="Figure 3: Kaplan-Meier plot of overall survival for the ELEVATE-TN trial at the interi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7744" r="1488" b="1879"/>
                    <a:stretch/>
                  </pic:blipFill>
                  <pic:spPr bwMode="auto">
                    <a:xfrm>
                      <a:off x="0" y="0"/>
                      <a:ext cx="5646836" cy="3881206"/>
                    </a:xfrm>
                    <a:prstGeom prst="rect">
                      <a:avLst/>
                    </a:prstGeom>
                    <a:noFill/>
                    <a:ln>
                      <a:noFill/>
                    </a:ln>
                    <a:extLst>
                      <a:ext uri="{53640926-AAD7-44D8-BBD7-CCE9431645EC}">
                        <a14:shadowObscured xmlns:a14="http://schemas.microsoft.com/office/drawing/2010/main"/>
                      </a:ext>
                    </a:extLst>
                  </pic:spPr>
                </pic:pic>
              </a:graphicData>
            </a:graphic>
          </wp:inline>
        </w:drawing>
      </w:r>
    </w:p>
    <w:p w:rsidR="009728AA" w:rsidRPr="00EF4FFA" w:rsidRDefault="009728AA" w:rsidP="00A36715">
      <w:pPr>
        <w:pStyle w:val="TableFigureFooter"/>
      </w:pPr>
      <w:proofErr w:type="spellStart"/>
      <w:r w:rsidRPr="00EF4FFA">
        <w:t>Acala</w:t>
      </w:r>
      <w:proofErr w:type="spellEnd"/>
      <w:r w:rsidRPr="00EF4FFA">
        <w:t xml:space="preserve"> = acalabrutinib; </w:t>
      </w:r>
      <w:proofErr w:type="spellStart"/>
      <w:r w:rsidRPr="00EF4FFA">
        <w:t>Chlb</w:t>
      </w:r>
      <w:proofErr w:type="spellEnd"/>
      <w:r w:rsidRPr="00EF4FFA">
        <w:t xml:space="preserve"> = chlorambucil; </w:t>
      </w:r>
      <w:proofErr w:type="spellStart"/>
      <w:r w:rsidRPr="00EF4FFA">
        <w:t>Obin</w:t>
      </w:r>
      <w:proofErr w:type="spellEnd"/>
      <w:r w:rsidRPr="00EF4FFA">
        <w:t xml:space="preserve"> = obinutuzumab.</w:t>
      </w:r>
    </w:p>
    <w:p w:rsidR="00853683" w:rsidRPr="00EF4FFA" w:rsidRDefault="00853683" w:rsidP="00A36715">
      <w:pPr>
        <w:pStyle w:val="TableFigureFooter"/>
      </w:pPr>
      <w:r w:rsidRPr="00EF4FFA">
        <w:t>Source: Figure 14.2.4.1, p.195 of the ‘ELEVATE-</w:t>
      </w:r>
      <w:proofErr w:type="spellStart"/>
      <w:r w:rsidRPr="00EF4FFA">
        <w:t>csr</w:t>
      </w:r>
      <w:proofErr w:type="spellEnd"/>
      <w:r w:rsidRPr="00EF4FFA">
        <w:t>-section-tables-listings-figures’ pdf document.</w:t>
      </w:r>
    </w:p>
    <w:p w:rsidR="00853683" w:rsidRPr="00EF4FFA" w:rsidRDefault="00786A6E" w:rsidP="00853683">
      <w:pPr>
        <w:pStyle w:val="ExecSumBodyText"/>
      </w:pPr>
      <w:r>
        <w:rPr>
          <w:snapToGrid/>
        </w:rPr>
        <w:lastRenderedPageBreak/>
        <w:t>6.22</w:t>
      </w:r>
      <w:r>
        <w:rPr>
          <w:snapToGrid/>
        </w:rPr>
        <w:tab/>
      </w:r>
      <w:r w:rsidR="00853683" w:rsidRPr="00EF4FFA">
        <w:rPr>
          <w:snapToGrid/>
        </w:rPr>
        <w:t xml:space="preserve">Table </w:t>
      </w:r>
      <w:r w:rsidR="00422F9B" w:rsidRPr="00EF4FFA">
        <w:rPr>
          <w:snapToGrid/>
        </w:rPr>
        <w:t>5</w:t>
      </w:r>
      <w:r w:rsidR="00853683" w:rsidRPr="00EF4FFA">
        <w:rPr>
          <w:snapToGrid/>
        </w:rPr>
        <w:t xml:space="preserve"> presents the results for overall survival for the ELEVATE-TN trial at the interim analysis</w:t>
      </w:r>
      <w:r w:rsidR="00B30657" w:rsidRPr="00EF4FFA">
        <w:rPr>
          <w:snapToGrid/>
        </w:rPr>
        <w:t xml:space="preserve"> (median follow-up = 28 months)</w:t>
      </w:r>
      <w:r w:rsidR="00853683" w:rsidRPr="00EF4FFA">
        <w:rPr>
          <w:snapToGrid/>
        </w:rPr>
        <w:t>.</w:t>
      </w:r>
    </w:p>
    <w:p w:rsidR="00853683" w:rsidRPr="00EF4FFA" w:rsidRDefault="00853683" w:rsidP="00A36715">
      <w:pPr>
        <w:pStyle w:val="TableFigureCaption"/>
        <w:rPr>
          <w:snapToGrid w:val="0"/>
        </w:rPr>
      </w:pPr>
      <w:r w:rsidRPr="00EF4FFA">
        <w:rPr>
          <w:snapToGrid w:val="0"/>
        </w:rPr>
        <w:t xml:space="preserve">Table </w:t>
      </w:r>
      <w:r w:rsidR="00422F9B" w:rsidRPr="00EF4FFA">
        <w:rPr>
          <w:snapToGrid w:val="0"/>
        </w:rPr>
        <w:t>5</w:t>
      </w:r>
      <w:r w:rsidRPr="00EF4FFA">
        <w:rPr>
          <w:snapToGrid w:val="0"/>
        </w:rPr>
        <w:t>: Overall survival results for the ELEVATE-TN trial at the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23"/>
        <w:gridCol w:w="1933"/>
        <w:gridCol w:w="1931"/>
        <w:gridCol w:w="1930"/>
      </w:tblGrid>
      <w:tr w:rsidR="00853683" w:rsidRPr="00EF4FFA" w:rsidTr="00A36715">
        <w:trPr>
          <w:trHeight w:val="56"/>
        </w:trPr>
        <w:tc>
          <w:tcPr>
            <w:tcW w:w="1787" w:type="pct"/>
            <w:shd w:val="clear" w:color="auto" w:fill="FFFFFF"/>
            <w:vAlign w:val="center"/>
          </w:tcPr>
          <w:p w:rsidR="00853683" w:rsidRPr="00A36715" w:rsidRDefault="00853683" w:rsidP="00F22FCB">
            <w:pPr>
              <w:keepNext/>
              <w:rPr>
                <w:rFonts w:ascii="Arial Narrow" w:hAnsi="Arial Narrow"/>
                <w:b/>
                <w:iCs/>
                <w:sz w:val="20"/>
                <w:szCs w:val="20"/>
              </w:rPr>
            </w:pPr>
            <w:r w:rsidRPr="00A36715">
              <w:rPr>
                <w:rFonts w:ascii="Arial Narrow" w:hAnsi="Arial Narrow"/>
                <w:b/>
                <w:iCs/>
                <w:sz w:val="20"/>
                <w:szCs w:val="20"/>
              </w:rPr>
              <w:t>Cohort</w:t>
            </w:r>
          </w:p>
        </w:tc>
        <w:tc>
          <w:tcPr>
            <w:tcW w:w="1072" w:type="pct"/>
            <w:shd w:val="clear" w:color="auto" w:fill="FFFFFF"/>
          </w:tcPr>
          <w:p w:rsidR="00853683" w:rsidRPr="00A36715" w:rsidRDefault="00853683" w:rsidP="00F22FCB">
            <w:pPr>
              <w:keepNext/>
              <w:jc w:val="center"/>
              <w:rPr>
                <w:rFonts w:ascii="Arial Narrow" w:hAnsi="Arial Narrow"/>
                <w:b/>
                <w:iCs/>
                <w:sz w:val="20"/>
                <w:szCs w:val="20"/>
              </w:rPr>
            </w:pPr>
            <w:r w:rsidRPr="00A36715">
              <w:rPr>
                <w:rFonts w:ascii="Arial Narrow" w:hAnsi="Arial Narrow"/>
                <w:b/>
                <w:iCs/>
                <w:sz w:val="20"/>
                <w:szCs w:val="20"/>
              </w:rPr>
              <w:t>ACAL + OBI</w:t>
            </w:r>
          </w:p>
          <w:p w:rsidR="00853683" w:rsidRPr="00A36715" w:rsidRDefault="00853683" w:rsidP="00F22FCB">
            <w:pPr>
              <w:keepNext/>
              <w:jc w:val="center"/>
              <w:rPr>
                <w:rFonts w:ascii="Arial Narrow" w:hAnsi="Arial Narrow"/>
                <w:b/>
                <w:iCs/>
                <w:sz w:val="20"/>
                <w:szCs w:val="20"/>
              </w:rPr>
            </w:pPr>
            <w:r w:rsidRPr="00A36715">
              <w:rPr>
                <w:rFonts w:ascii="Arial Narrow" w:hAnsi="Arial Narrow"/>
                <w:b/>
                <w:iCs/>
                <w:sz w:val="20"/>
                <w:szCs w:val="20"/>
              </w:rPr>
              <w:t>(N=179)</w:t>
            </w:r>
          </w:p>
        </w:tc>
        <w:tc>
          <w:tcPr>
            <w:tcW w:w="1071" w:type="pct"/>
            <w:shd w:val="clear" w:color="auto" w:fill="FFFFFF"/>
            <w:vAlign w:val="center"/>
          </w:tcPr>
          <w:p w:rsidR="00853683" w:rsidRPr="00A36715" w:rsidRDefault="00853683" w:rsidP="00F22FCB">
            <w:pPr>
              <w:keepNext/>
              <w:jc w:val="center"/>
              <w:rPr>
                <w:rFonts w:ascii="Arial Narrow" w:hAnsi="Arial Narrow"/>
                <w:b/>
                <w:iCs/>
                <w:sz w:val="20"/>
                <w:szCs w:val="20"/>
              </w:rPr>
            </w:pPr>
            <w:r w:rsidRPr="00A36715">
              <w:rPr>
                <w:rFonts w:ascii="Arial Narrow" w:hAnsi="Arial Narrow"/>
                <w:b/>
                <w:iCs/>
                <w:sz w:val="20"/>
                <w:szCs w:val="20"/>
              </w:rPr>
              <w:t xml:space="preserve">ACAL </w:t>
            </w:r>
          </w:p>
          <w:p w:rsidR="00853683" w:rsidRPr="00A36715" w:rsidRDefault="00853683" w:rsidP="00F22FCB">
            <w:pPr>
              <w:keepNext/>
              <w:jc w:val="center"/>
              <w:rPr>
                <w:rFonts w:ascii="Arial Narrow" w:hAnsi="Arial Narrow"/>
                <w:b/>
                <w:iCs/>
                <w:sz w:val="20"/>
                <w:szCs w:val="20"/>
              </w:rPr>
            </w:pPr>
            <w:r w:rsidRPr="00A36715">
              <w:rPr>
                <w:rFonts w:ascii="Arial Narrow" w:hAnsi="Arial Narrow"/>
                <w:b/>
                <w:iCs/>
                <w:sz w:val="20"/>
                <w:szCs w:val="20"/>
              </w:rPr>
              <w:t>(N=179)</w:t>
            </w:r>
          </w:p>
        </w:tc>
        <w:tc>
          <w:tcPr>
            <w:tcW w:w="1070" w:type="pct"/>
            <w:shd w:val="clear" w:color="auto" w:fill="FFFFFF"/>
            <w:vAlign w:val="center"/>
          </w:tcPr>
          <w:p w:rsidR="00853683" w:rsidRPr="00A36715" w:rsidRDefault="00853683" w:rsidP="00F22FCB">
            <w:pPr>
              <w:keepNext/>
              <w:jc w:val="center"/>
              <w:rPr>
                <w:rFonts w:ascii="Arial Narrow" w:hAnsi="Arial Narrow"/>
                <w:b/>
                <w:iCs/>
                <w:sz w:val="20"/>
                <w:szCs w:val="20"/>
              </w:rPr>
            </w:pPr>
            <w:r w:rsidRPr="00A36715">
              <w:rPr>
                <w:rFonts w:ascii="Arial Narrow" w:hAnsi="Arial Narrow"/>
                <w:b/>
                <w:iCs/>
                <w:sz w:val="20"/>
                <w:szCs w:val="20"/>
              </w:rPr>
              <w:t>CHL + OBI</w:t>
            </w:r>
          </w:p>
          <w:p w:rsidR="00853683" w:rsidRPr="00A36715" w:rsidRDefault="00853683" w:rsidP="00F22FCB">
            <w:pPr>
              <w:keepNext/>
              <w:jc w:val="center"/>
              <w:rPr>
                <w:rFonts w:ascii="Arial Narrow" w:hAnsi="Arial Narrow"/>
                <w:b/>
                <w:iCs/>
                <w:sz w:val="20"/>
                <w:szCs w:val="20"/>
              </w:rPr>
            </w:pPr>
            <w:r w:rsidRPr="00A36715">
              <w:rPr>
                <w:rFonts w:ascii="Arial Narrow" w:hAnsi="Arial Narrow"/>
                <w:b/>
                <w:iCs/>
                <w:sz w:val="20"/>
                <w:szCs w:val="20"/>
              </w:rPr>
              <w:t>(N=177)</w:t>
            </w:r>
          </w:p>
        </w:tc>
      </w:tr>
      <w:tr w:rsidR="00674F8F" w:rsidRPr="00EF4FFA" w:rsidTr="00A36715">
        <w:trPr>
          <w:trHeight w:val="92"/>
        </w:trPr>
        <w:tc>
          <w:tcPr>
            <w:tcW w:w="1787" w:type="pct"/>
            <w:shd w:val="clear" w:color="auto" w:fill="FFFFFF"/>
            <w:vAlign w:val="center"/>
          </w:tcPr>
          <w:p w:rsidR="00674F8F" w:rsidRPr="00A36715" w:rsidRDefault="00674F8F" w:rsidP="00F22FCB">
            <w:pPr>
              <w:keepNext/>
              <w:jc w:val="left"/>
              <w:rPr>
                <w:rFonts w:ascii="Arial Narrow" w:hAnsi="Arial Narrow"/>
                <w:iCs/>
                <w:sz w:val="20"/>
                <w:szCs w:val="20"/>
              </w:rPr>
            </w:pPr>
            <w:r w:rsidRPr="00A36715">
              <w:rPr>
                <w:rFonts w:ascii="Arial Narrow" w:hAnsi="Arial Narrow"/>
                <w:iCs/>
                <w:sz w:val="20"/>
                <w:szCs w:val="20"/>
              </w:rPr>
              <w:t>Median duration of follow-up, months (range)</w:t>
            </w:r>
          </w:p>
        </w:tc>
        <w:tc>
          <w:tcPr>
            <w:tcW w:w="1072" w:type="pct"/>
            <w:shd w:val="clear" w:color="auto" w:fill="FFFFFF"/>
            <w:vAlign w:val="center"/>
          </w:tcPr>
          <w:p w:rsidR="00674F8F" w:rsidRPr="00A36715" w:rsidRDefault="00674F8F" w:rsidP="00F22FCB">
            <w:pPr>
              <w:keepNext/>
              <w:jc w:val="center"/>
              <w:rPr>
                <w:rFonts w:ascii="Arial Narrow" w:hAnsi="Arial Narrow"/>
                <w:iCs/>
                <w:sz w:val="20"/>
                <w:szCs w:val="20"/>
              </w:rPr>
            </w:pPr>
            <w:r w:rsidRPr="00A36715">
              <w:rPr>
                <w:rFonts w:ascii="Arial Narrow" w:hAnsi="Arial Narrow"/>
                <w:iCs/>
                <w:sz w:val="20"/>
                <w:szCs w:val="20"/>
              </w:rPr>
              <w:t>28.5 (1.7-40.3)</w:t>
            </w:r>
          </w:p>
        </w:tc>
        <w:tc>
          <w:tcPr>
            <w:tcW w:w="1071" w:type="pct"/>
            <w:shd w:val="clear" w:color="auto" w:fill="FFFFFF"/>
            <w:vAlign w:val="center"/>
          </w:tcPr>
          <w:p w:rsidR="00674F8F" w:rsidRPr="00A36715" w:rsidRDefault="00674F8F" w:rsidP="00F22FCB">
            <w:pPr>
              <w:keepNext/>
              <w:jc w:val="center"/>
              <w:rPr>
                <w:rFonts w:ascii="Arial Narrow" w:hAnsi="Arial Narrow"/>
                <w:iCs/>
                <w:sz w:val="20"/>
                <w:szCs w:val="20"/>
              </w:rPr>
            </w:pPr>
            <w:r w:rsidRPr="00A36715">
              <w:rPr>
                <w:rFonts w:ascii="Arial Narrow" w:hAnsi="Arial Narrow"/>
                <w:iCs/>
                <w:sz w:val="20"/>
                <w:szCs w:val="20"/>
              </w:rPr>
              <w:t>28.4 (0.1-40.8)</w:t>
            </w:r>
          </w:p>
        </w:tc>
        <w:tc>
          <w:tcPr>
            <w:tcW w:w="1070" w:type="pct"/>
            <w:shd w:val="clear" w:color="auto" w:fill="FFFFFF"/>
            <w:vAlign w:val="center"/>
          </w:tcPr>
          <w:p w:rsidR="00674F8F" w:rsidRPr="00A36715" w:rsidRDefault="00674F8F" w:rsidP="00F22FCB">
            <w:pPr>
              <w:keepNext/>
              <w:jc w:val="center"/>
              <w:rPr>
                <w:rFonts w:ascii="Arial Narrow" w:hAnsi="Arial Narrow"/>
                <w:iCs/>
                <w:sz w:val="20"/>
                <w:szCs w:val="20"/>
              </w:rPr>
            </w:pPr>
            <w:r w:rsidRPr="00A36715">
              <w:rPr>
                <w:rFonts w:ascii="Arial Narrow" w:hAnsi="Arial Narrow"/>
                <w:iCs/>
                <w:sz w:val="20"/>
                <w:szCs w:val="20"/>
              </w:rPr>
              <w:t>28.0 (0.0-40.4)</w:t>
            </w:r>
          </w:p>
        </w:tc>
      </w:tr>
      <w:tr w:rsidR="00853683" w:rsidRPr="00EF4FFA" w:rsidTr="00A36715">
        <w:tc>
          <w:tcPr>
            <w:tcW w:w="1787" w:type="pct"/>
            <w:vAlign w:val="center"/>
          </w:tcPr>
          <w:p w:rsidR="00853683" w:rsidRPr="00A36715" w:rsidRDefault="00853683" w:rsidP="00F22FCB">
            <w:pPr>
              <w:keepNext/>
              <w:jc w:val="left"/>
              <w:rPr>
                <w:rFonts w:ascii="Arial Narrow" w:hAnsi="Arial Narrow"/>
                <w:sz w:val="20"/>
                <w:szCs w:val="20"/>
              </w:rPr>
            </w:pPr>
            <w:r w:rsidRPr="00A36715">
              <w:rPr>
                <w:rFonts w:ascii="Arial Narrow" w:hAnsi="Arial Narrow"/>
                <w:sz w:val="20"/>
                <w:szCs w:val="20"/>
              </w:rPr>
              <w:t>Death, n (%)</w:t>
            </w:r>
          </w:p>
        </w:tc>
        <w:tc>
          <w:tcPr>
            <w:tcW w:w="1072" w:type="pct"/>
            <w:shd w:val="clear" w:color="auto" w:fill="FFFFFF"/>
            <w:vAlign w:val="center"/>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9 (5.0</w:t>
            </w:r>
            <w:r w:rsidR="00AE04C5" w:rsidRPr="00A36715">
              <w:rPr>
                <w:rFonts w:ascii="Arial Narrow" w:hAnsi="Arial Narrow"/>
                <w:iCs/>
                <w:sz w:val="20"/>
                <w:szCs w:val="20"/>
              </w:rPr>
              <w:t>%</w:t>
            </w:r>
            <w:r w:rsidRPr="00A36715">
              <w:rPr>
                <w:rFonts w:ascii="Arial Narrow" w:hAnsi="Arial Narrow"/>
                <w:iCs/>
                <w:sz w:val="20"/>
                <w:szCs w:val="20"/>
              </w:rPr>
              <w:t>)</w:t>
            </w:r>
          </w:p>
        </w:tc>
        <w:tc>
          <w:tcPr>
            <w:tcW w:w="1071" w:type="pct"/>
            <w:shd w:val="clear" w:color="auto" w:fill="FFFFFF"/>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11 (6.1</w:t>
            </w:r>
            <w:r w:rsidR="00AE04C5" w:rsidRPr="00A36715">
              <w:rPr>
                <w:rFonts w:ascii="Arial Narrow" w:hAnsi="Arial Narrow"/>
                <w:iCs/>
                <w:sz w:val="20"/>
                <w:szCs w:val="20"/>
              </w:rPr>
              <w:t>%</w:t>
            </w:r>
            <w:r w:rsidRPr="00A36715">
              <w:rPr>
                <w:rFonts w:ascii="Arial Narrow" w:hAnsi="Arial Narrow"/>
                <w:iCs/>
                <w:sz w:val="20"/>
                <w:szCs w:val="20"/>
              </w:rPr>
              <w:t>)</w:t>
            </w:r>
          </w:p>
        </w:tc>
        <w:tc>
          <w:tcPr>
            <w:tcW w:w="1070" w:type="pct"/>
            <w:shd w:val="clear" w:color="auto" w:fill="FFFFFF"/>
            <w:vAlign w:val="center"/>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17 (9.6</w:t>
            </w:r>
            <w:r w:rsidR="00AE04C5" w:rsidRPr="00A36715">
              <w:rPr>
                <w:rFonts w:ascii="Arial Narrow" w:hAnsi="Arial Narrow"/>
                <w:iCs/>
                <w:sz w:val="20"/>
                <w:szCs w:val="20"/>
              </w:rPr>
              <w:t>%</w:t>
            </w:r>
            <w:r w:rsidRPr="00A36715">
              <w:rPr>
                <w:rFonts w:ascii="Arial Narrow" w:hAnsi="Arial Narrow"/>
                <w:iCs/>
                <w:sz w:val="20"/>
                <w:szCs w:val="20"/>
              </w:rPr>
              <w:t>)</w:t>
            </w:r>
          </w:p>
        </w:tc>
      </w:tr>
      <w:tr w:rsidR="00853683" w:rsidRPr="00EF4FFA" w:rsidTr="00A36715">
        <w:tc>
          <w:tcPr>
            <w:tcW w:w="1787" w:type="pct"/>
            <w:vAlign w:val="center"/>
          </w:tcPr>
          <w:p w:rsidR="00853683" w:rsidRPr="00A36715" w:rsidRDefault="00853683" w:rsidP="00F22FCB">
            <w:pPr>
              <w:keepNext/>
              <w:jc w:val="left"/>
              <w:rPr>
                <w:rFonts w:ascii="Arial Narrow" w:hAnsi="Arial Narrow"/>
                <w:iCs/>
                <w:sz w:val="20"/>
                <w:szCs w:val="20"/>
              </w:rPr>
            </w:pPr>
            <w:r w:rsidRPr="00A36715">
              <w:rPr>
                <w:rFonts w:ascii="Arial Narrow" w:hAnsi="Arial Narrow"/>
                <w:sz w:val="20"/>
                <w:szCs w:val="20"/>
              </w:rPr>
              <w:t>Median OS, months (95% CI)</w:t>
            </w:r>
          </w:p>
        </w:tc>
        <w:tc>
          <w:tcPr>
            <w:tcW w:w="1072" w:type="pct"/>
            <w:shd w:val="clear" w:color="auto" w:fill="FFFFFF"/>
            <w:vAlign w:val="center"/>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Not reached (NE)</w:t>
            </w:r>
          </w:p>
        </w:tc>
        <w:tc>
          <w:tcPr>
            <w:tcW w:w="1071" w:type="pct"/>
            <w:shd w:val="clear" w:color="auto" w:fill="FFFFFF"/>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Not reached (NE)</w:t>
            </w:r>
          </w:p>
        </w:tc>
        <w:tc>
          <w:tcPr>
            <w:tcW w:w="1070" w:type="pct"/>
            <w:shd w:val="clear" w:color="auto" w:fill="FFFFFF"/>
            <w:vAlign w:val="center"/>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Not reached (NE)</w:t>
            </w:r>
          </w:p>
        </w:tc>
      </w:tr>
      <w:tr w:rsidR="00853683" w:rsidRPr="00EF4FFA" w:rsidTr="00A36715">
        <w:trPr>
          <w:trHeight w:val="157"/>
        </w:trPr>
        <w:tc>
          <w:tcPr>
            <w:tcW w:w="1787" w:type="pct"/>
          </w:tcPr>
          <w:p w:rsidR="00853683" w:rsidRPr="00A36715" w:rsidRDefault="00853683" w:rsidP="00F22FCB">
            <w:pPr>
              <w:keepNext/>
              <w:jc w:val="left"/>
              <w:rPr>
                <w:rFonts w:ascii="Arial Narrow" w:hAnsi="Arial Narrow"/>
                <w:sz w:val="20"/>
                <w:szCs w:val="20"/>
              </w:rPr>
            </w:pPr>
            <w:r w:rsidRPr="00A36715">
              <w:rPr>
                <w:rFonts w:ascii="Arial Narrow" w:hAnsi="Arial Narrow"/>
                <w:sz w:val="20"/>
                <w:szCs w:val="20"/>
              </w:rPr>
              <w:t>Stratified HR vs CHL + OBI (95% CI)</w:t>
            </w:r>
          </w:p>
        </w:tc>
        <w:tc>
          <w:tcPr>
            <w:tcW w:w="1072" w:type="pct"/>
            <w:shd w:val="clear" w:color="auto" w:fill="FFFFFF"/>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0.47 (0.21, 1.06)</w:t>
            </w:r>
          </w:p>
        </w:tc>
        <w:tc>
          <w:tcPr>
            <w:tcW w:w="1071" w:type="pct"/>
            <w:shd w:val="clear" w:color="auto" w:fill="FFFFFF"/>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0.60 (0.28, 1.27)</w:t>
            </w:r>
          </w:p>
        </w:tc>
        <w:tc>
          <w:tcPr>
            <w:tcW w:w="1070" w:type="pct"/>
            <w:shd w:val="clear" w:color="auto" w:fill="FFFFFF"/>
          </w:tcPr>
          <w:p w:rsidR="00853683" w:rsidRPr="00A36715" w:rsidRDefault="00853683" w:rsidP="00F22FCB">
            <w:pPr>
              <w:keepNext/>
              <w:jc w:val="center"/>
              <w:rPr>
                <w:rFonts w:ascii="Arial Narrow" w:hAnsi="Arial Narrow"/>
                <w:iCs/>
                <w:sz w:val="20"/>
                <w:szCs w:val="20"/>
              </w:rPr>
            </w:pPr>
            <w:r w:rsidRPr="00A36715">
              <w:rPr>
                <w:rFonts w:ascii="Arial Narrow" w:hAnsi="Arial Narrow"/>
                <w:iCs/>
                <w:sz w:val="20"/>
                <w:szCs w:val="20"/>
              </w:rPr>
              <w:t>-</w:t>
            </w:r>
          </w:p>
        </w:tc>
      </w:tr>
      <w:tr w:rsidR="00EF39D5" w:rsidRPr="00EF4FFA" w:rsidTr="00A36715">
        <w:tc>
          <w:tcPr>
            <w:tcW w:w="1787" w:type="pct"/>
          </w:tcPr>
          <w:p w:rsidR="00EF39D5" w:rsidRPr="00A36715" w:rsidRDefault="00EF39D5" w:rsidP="00F22FCB">
            <w:pPr>
              <w:keepNext/>
              <w:widowControl w:val="0"/>
              <w:jc w:val="left"/>
              <w:rPr>
                <w:rFonts w:ascii="Arial Narrow" w:hAnsi="Arial Narrow"/>
                <w:snapToGrid w:val="0"/>
                <w:sz w:val="20"/>
                <w:szCs w:val="20"/>
              </w:rPr>
            </w:pPr>
            <w:r w:rsidRPr="00A36715">
              <w:rPr>
                <w:rFonts w:ascii="Arial Narrow" w:hAnsi="Arial Narrow"/>
                <w:snapToGrid w:val="0"/>
                <w:sz w:val="20"/>
                <w:szCs w:val="20"/>
              </w:rPr>
              <w:t>KM estimate of OS</w:t>
            </w:r>
          </w:p>
          <w:p w:rsidR="00EF39D5" w:rsidRPr="00A36715" w:rsidRDefault="00EF39D5" w:rsidP="00F22FCB">
            <w:pPr>
              <w:keepNext/>
              <w:widowControl w:val="0"/>
              <w:jc w:val="left"/>
              <w:rPr>
                <w:rFonts w:ascii="Arial Narrow" w:hAnsi="Arial Narrow"/>
                <w:snapToGrid w:val="0"/>
                <w:sz w:val="20"/>
                <w:szCs w:val="20"/>
              </w:rPr>
            </w:pPr>
            <w:r w:rsidRPr="00A36715">
              <w:rPr>
                <w:rFonts w:ascii="Arial Narrow" w:hAnsi="Arial Narrow"/>
                <w:snapToGrid w:val="0"/>
                <w:sz w:val="20"/>
                <w:szCs w:val="20"/>
              </w:rPr>
              <w:t>- 6 months, % (95% CI)</w:t>
            </w:r>
          </w:p>
          <w:p w:rsidR="00EF39D5" w:rsidRPr="00A36715" w:rsidRDefault="00EF39D5" w:rsidP="00F22FCB">
            <w:pPr>
              <w:keepNext/>
              <w:widowControl w:val="0"/>
              <w:jc w:val="left"/>
              <w:rPr>
                <w:rFonts w:ascii="Arial Narrow" w:hAnsi="Arial Narrow"/>
                <w:snapToGrid w:val="0"/>
                <w:sz w:val="20"/>
                <w:szCs w:val="20"/>
              </w:rPr>
            </w:pPr>
            <w:r w:rsidRPr="00A36715">
              <w:rPr>
                <w:rFonts w:ascii="Arial Narrow" w:hAnsi="Arial Narrow"/>
                <w:snapToGrid w:val="0"/>
                <w:sz w:val="20"/>
                <w:szCs w:val="20"/>
              </w:rPr>
              <w:t>- 12 months, % (95% CI)</w:t>
            </w:r>
          </w:p>
          <w:p w:rsidR="00EF39D5" w:rsidRPr="00A36715" w:rsidRDefault="00EF39D5" w:rsidP="00F22FCB">
            <w:pPr>
              <w:keepNext/>
              <w:jc w:val="left"/>
              <w:rPr>
                <w:rFonts w:ascii="Arial Narrow" w:hAnsi="Arial Narrow"/>
                <w:snapToGrid w:val="0"/>
                <w:sz w:val="20"/>
                <w:szCs w:val="20"/>
              </w:rPr>
            </w:pPr>
            <w:r w:rsidRPr="00A36715">
              <w:rPr>
                <w:rFonts w:ascii="Arial Narrow" w:hAnsi="Arial Narrow"/>
                <w:snapToGrid w:val="0"/>
                <w:sz w:val="20"/>
                <w:szCs w:val="20"/>
              </w:rPr>
              <w:t>- 18 months, % (95% CI)</w:t>
            </w:r>
          </w:p>
          <w:p w:rsidR="00EF39D5" w:rsidRPr="00A36715" w:rsidRDefault="00EF39D5" w:rsidP="00F22FCB">
            <w:pPr>
              <w:keepNext/>
              <w:jc w:val="left"/>
              <w:rPr>
                <w:rFonts w:ascii="Arial Narrow" w:hAnsi="Arial Narrow"/>
                <w:snapToGrid w:val="0"/>
                <w:sz w:val="20"/>
                <w:szCs w:val="20"/>
              </w:rPr>
            </w:pPr>
            <w:r w:rsidRPr="00A36715">
              <w:rPr>
                <w:rFonts w:ascii="Arial Narrow" w:hAnsi="Arial Narrow"/>
                <w:snapToGrid w:val="0"/>
                <w:sz w:val="20"/>
                <w:szCs w:val="20"/>
              </w:rPr>
              <w:t>- 24 months, % (95% CI)</w:t>
            </w:r>
          </w:p>
          <w:p w:rsidR="00EF39D5" w:rsidRPr="00A36715" w:rsidRDefault="00EF39D5" w:rsidP="00F22FCB">
            <w:pPr>
              <w:keepNext/>
              <w:jc w:val="left"/>
              <w:rPr>
                <w:rFonts w:ascii="Arial Narrow" w:hAnsi="Arial Narrow"/>
                <w:snapToGrid w:val="0"/>
                <w:sz w:val="20"/>
                <w:szCs w:val="20"/>
              </w:rPr>
            </w:pPr>
            <w:r w:rsidRPr="00A36715">
              <w:rPr>
                <w:rFonts w:ascii="Arial Narrow" w:hAnsi="Arial Narrow"/>
                <w:snapToGrid w:val="0"/>
                <w:sz w:val="20"/>
                <w:szCs w:val="20"/>
              </w:rPr>
              <w:t>- 30 months, % (95% CI)</w:t>
            </w:r>
          </w:p>
          <w:p w:rsidR="00EF39D5" w:rsidRPr="00A36715" w:rsidRDefault="00EF39D5" w:rsidP="00F22FCB">
            <w:pPr>
              <w:keepNext/>
              <w:jc w:val="left"/>
              <w:rPr>
                <w:rFonts w:ascii="Arial Narrow" w:hAnsi="Arial Narrow"/>
                <w:sz w:val="20"/>
                <w:szCs w:val="20"/>
              </w:rPr>
            </w:pPr>
            <w:r w:rsidRPr="00A36715">
              <w:rPr>
                <w:rFonts w:ascii="Arial Narrow" w:hAnsi="Arial Narrow"/>
                <w:snapToGrid w:val="0"/>
                <w:sz w:val="20"/>
                <w:szCs w:val="20"/>
              </w:rPr>
              <w:t>- 36 months, % (95% CI)</w:t>
            </w:r>
          </w:p>
        </w:tc>
        <w:tc>
          <w:tcPr>
            <w:tcW w:w="1072" w:type="pct"/>
            <w:shd w:val="clear" w:color="auto" w:fill="FFFFFF"/>
          </w:tcPr>
          <w:p w:rsidR="00EF39D5" w:rsidRPr="00A36715" w:rsidRDefault="00EF39D5" w:rsidP="00F22FCB">
            <w:pPr>
              <w:keepNext/>
              <w:jc w:val="center"/>
              <w:rPr>
                <w:rFonts w:ascii="Arial Narrow" w:hAnsi="Arial Narrow"/>
                <w:iCs/>
                <w:sz w:val="20"/>
                <w:szCs w:val="20"/>
              </w:rPr>
            </w:pP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98.3</w:t>
            </w:r>
            <w:r w:rsidR="00AE04C5" w:rsidRPr="00A36715">
              <w:rPr>
                <w:rFonts w:ascii="Arial Narrow" w:hAnsi="Arial Narrow"/>
                <w:iCs/>
                <w:sz w:val="20"/>
                <w:szCs w:val="20"/>
              </w:rPr>
              <w:t>%</w:t>
            </w:r>
            <w:r w:rsidRPr="00A36715">
              <w:rPr>
                <w:rFonts w:ascii="Arial Narrow" w:hAnsi="Arial Narrow"/>
                <w:iCs/>
                <w:sz w:val="20"/>
                <w:szCs w:val="20"/>
              </w:rPr>
              <w:t xml:space="preserve"> (94.9, 99.5)</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96.1</w:t>
            </w:r>
            <w:r w:rsidR="00AE04C5" w:rsidRPr="00A36715">
              <w:rPr>
                <w:rFonts w:ascii="Arial Narrow" w:hAnsi="Arial Narrow"/>
                <w:iCs/>
                <w:sz w:val="20"/>
                <w:szCs w:val="20"/>
              </w:rPr>
              <w:t>%</w:t>
            </w:r>
            <w:r w:rsidRPr="00A36715">
              <w:rPr>
                <w:rFonts w:ascii="Arial Narrow" w:hAnsi="Arial Narrow"/>
                <w:iCs/>
                <w:sz w:val="20"/>
                <w:szCs w:val="20"/>
              </w:rPr>
              <w:t xml:space="preserve"> (91.9, 98.1)</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94.9</w:t>
            </w:r>
            <w:r w:rsidR="00AE04C5" w:rsidRPr="00A36715">
              <w:rPr>
                <w:rFonts w:ascii="Arial Narrow" w:hAnsi="Arial Narrow"/>
                <w:iCs/>
                <w:sz w:val="20"/>
                <w:szCs w:val="20"/>
              </w:rPr>
              <w:t>%</w:t>
            </w:r>
            <w:r w:rsidRPr="00A36715">
              <w:rPr>
                <w:rFonts w:ascii="Arial Narrow" w:hAnsi="Arial Narrow"/>
                <w:iCs/>
                <w:sz w:val="20"/>
                <w:szCs w:val="20"/>
              </w:rPr>
              <w:t xml:space="preserve"> (90.5, 97.3)</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94.9</w:t>
            </w:r>
            <w:r w:rsidR="00AE04C5" w:rsidRPr="00A36715">
              <w:rPr>
                <w:rFonts w:ascii="Arial Narrow" w:hAnsi="Arial Narrow"/>
                <w:iCs/>
                <w:sz w:val="20"/>
                <w:szCs w:val="20"/>
              </w:rPr>
              <w:t>%</w:t>
            </w:r>
            <w:r w:rsidRPr="00A36715">
              <w:rPr>
                <w:rFonts w:ascii="Arial Narrow" w:hAnsi="Arial Narrow"/>
                <w:iCs/>
                <w:sz w:val="20"/>
                <w:szCs w:val="20"/>
              </w:rPr>
              <w:t xml:space="preserve"> (90.5, 97.3)</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94.9</w:t>
            </w:r>
            <w:r w:rsidR="00AE04C5" w:rsidRPr="00A36715">
              <w:rPr>
                <w:rFonts w:ascii="Arial Narrow" w:hAnsi="Arial Narrow"/>
                <w:iCs/>
                <w:sz w:val="20"/>
                <w:szCs w:val="20"/>
              </w:rPr>
              <w:t>%</w:t>
            </w:r>
            <w:r w:rsidRPr="00A36715">
              <w:rPr>
                <w:rFonts w:ascii="Arial Narrow" w:hAnsi="Arial Narrow"/>
                <w:iCs/>
                <w:sz w:val="20"/>
                <w:szCs w:val="20"/>
              </w:rPr>
              <w:t xml:space="preserve"> (90.5, 97.3)</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94.9</w:t>
            </w:r>
            <w:r w:rsidR="00AE04C5" w:rsidRPr="00A36715">
              <w:rPr>
                <w:rFonts w:ascii="Arial Narrow" w:hAnsi="Arial Narrow"/>
                <w:iCs/>
                <w:sz w:val="20"/>
                <w:szCs w:val="20"/>
              </w:rPr>
              <w:t>%</w:t>
            </w:r>
            <w:r w:rsidRPr="00A36715">
              <w:rPr>
                <w:rFonts w:ascii="Arial Narrow" w:hAnsi="Arial Narrow"/>
                <w:iCs/>
                <w:sz w:val="20"/>
                <w:szCs w:val="20"/>
              </w:rPr>
              <w:t xml:space="preserve"> (90.5, 97.3)</w:t>
            </w:r>
          </w:p>
        </w:tc>
        <w:tc>
          <w:tcPr>
            <w:tcW w:w="1071" w:type="pct"/>
            <w:shd w:val="clear" w:color="auto" w:fill="FFFFFF"/>
          </w:tcPr>
          <w:p w:rsidR="00EF39D5" w:rsidRPr="00A36715" w:rsidRDefault="00EF39D5" w:rsidP="00F22FCB">
            <w:pPr>
              <w:keepNext/>
              <w:jc w:val="center"/>
              <w:rPr>
                <w:rFonts w:ascii="Arial Narrow" w:hAnsi="Arial Narrow"/>
                <w:iCs/>
                <w:sz w:val="20"/>
                <w:szCs w:val="20"/>
              </w:rPr>
            </w:pP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98.9</w:t>
            </w:r>
            <w:r w:rsidR="00AE04C5" w:rsidRPr="00A36715">
              <w:rPr>
                <w:rFonts w:ascii="Arial Narrow" w:hAnsi="Arial Narrow"/>
                <w:iCs/>
                <w:sz w:val="20"/>
                <w:szCs w:val="20"/>
              </w:rPr>
              <w:t>%</w:t>
            </w:r>
            <w:r w:rsidRPr="00A36715">
              <w:rPr>
                <w:rFonts w:ascii="Arial Narrow" w:hAnsi="Arial Narrow"/>
                <w:iCs/>
                <w:sz w:val="20"/>
                <w:szCs w:val="20"/>
              </w:rPr>
              <w:t xml:space="preserve"> (95.5, 99.7)</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98.3</w:t>
            </w:r>
            <w:r w:rsidR="00AE04C5" w:rsidRPr="00A36715">
              <w:rPr>
                <w:rFonts w:ascii="Arial Narrow" w:hAnsi="Arial Narrow"/>
                <w:iCs/>
                <w:sz w:val="20"/>
                <w:szCs w:val="20"/>
              </w:rPr>
              <w:t>%</w:t>
            </w:r>
            <w:r w:rsidRPr="00A36715">
              <w:rPr>
                <w:rFonts w:ascii="Arial Narrow" w:hAnsi="Arial Narrow"/>
                <w:iCs/>
                <w:sz w:val="20"/>
                <w:szCs w:val="20"/>
              </w:rPr>
              <w:t xml:space="preserve"> (94.8, 99.4)</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97.1</w:t>
            </w:r>
            <w:r w:rsidR="00AE04C5" w:rsidRPr="00A36715">
              <w:rPr>
                <w:rFonts w:ascii="Arial Narrow" w:hAnsi="Arial Narrow"/>
                <w:iCs/>
                <w:sz w:val="20"/>
                <w:szCs w:val="20"/>
              </w:rPr>
              <w:t>%</w:t>
            </w:r>
            <w:r w:rsidRPr="00A36715">
              <w:rPr>
                <w:rFonts w:ascii="Arial Narrow" w:hAnsi="Arial Narrow"/>
                <w:iCs/>
                <w:sz w:val="20"/>
                <w:szCs w:val="20"/>
              </w:rPr>
              <w:t xml:space="preserve"> (93.2, 98.8)</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94.7</w:t>
            </w:r>
            <w:r w:rsidR="00AE04C5" w:rsidRPr="00A36715">
              <w:rPr>
                <w:rFonts w:ascii="Arial Narrow" w:hAnsi="Arial Narrow"/>
                <w:iCs/>
                <w:sz w:val="20"/>
                <w:szCs w:val="20"/>
              </w:rPr>
              <w:t>%</w:t>
            </w:r>
            <w:r w:rsidRPr="00A36715">
              <w:rPr>
                <w:rFonts w:ascii="Arial Narrow" w:hAnsi="Arial Narrow"/>
                <w:iCs/>
                <w:sz w:val="20"/>
                <w:szCs w:val="20"/>
              </w:rPr>
              <w:t xml:space="preserve"> (90.2, 97.2)</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93.5</w:t>
            </w:r>
            <w:r w:rsidR="00AE04C5" w:rsidRPr="00A36715">
              <w:rPr>
                <w:rFonts w:ascii="Arial Narrow" w:hAnsi="Arial Narrow"/>
                <w:iCs/>
                <w:sz w:val="20"/>
                <w:szCs w:val="20"/>
              </w:rPr>
              <w:t>%</w:t>
            </w:r>
            <w:r w:rsidRPr="00A36715">
              <w:rPr>
                <w:rFonts w:ascii="Arial Narrow" w:hAnsi="Arial Narrow"/>
                <w:iCs/>
                <w:sz w:val="20"/>
                <w:szCs w:val="20"/>
              </w:rPr>
              <w:t xml:space="preserve"> (88.6, 96.3)</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93.5</w:t>
            </w:r>
            <w:r w:rsidR="00AE04C5" w:rsidRPr="00A36715">
              <w:rPr>
                <w:rFonts w:ascii="Arial Narrow" w:hAnsi="Arial Narrow"/>
                <w:iCs/>
                <w:sz w:val="20"/>
                <w:szCs w:val="20"/>
              </w:rPr>
              <w:t>%</w:t>
            </w:r>
            <w:r w:rsidRPr="00A36715">
              <w:rPr>
                <w:rFonts w:ascii="Arial Narrow" w:hAnsi="Arial Narrow"/>
                <w:iCs/>
                <w:sz w:val="20"/>
                <w:szCs w:val="20"/>
              </w:rPr>
              <w:t xml:space="preserve"> (88.6, 96.3)</w:t>
            </w:r>
          </w:p>
        </w:tc>
        <w:tc>
          <w:tcPr>
            <w:tcW w:w="1070" w:type="pct"/>
            <w:shd w:val="clear" w:color="auto" w:fill="FFFFFF"/>
          </w:tcPr>
          <w:p w:rsidR="00EF39D5" w:rsidRPr="00A36715" w:rsidRDefault="00EF39D5" w:rsidP="00F22FCB">
            <w:pPr>
              <w:keepNext/>
              <w:jc w:val="center"/>
              <w:rPr>
                <w:rFonts w:ascii="Arial Narrow" w:hAnsi="Arial Narrow"/>
                <w:iCs/>
                <w:sz w:val="20"/>
                <w:szCs w:val="20"/>
              </w:rPr>
            </w:pP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97.1</w:t>
            </w:r>
            <w:r w:rsidR="00AE04C5" w:rsidRPr="00A36715">
              <w:rPr>
                <w:rFonts w:ascii="Arial Narrow" w:hAnsi="Arial Narrow"/>
                <w:iCs/>
                <w:sz w:val="20"/>
                <w:szCs w:val="20"/>
              </w:rPr>
              <w:t>%</w:t>
            </w:r>
            <w:r w:rsidRPr="00A36715">
              <w:rPr>
                <w:rFonts w:ascii="Arial Narrow" w:hAnsi="Arial Narrow"/>
                <w:iCs/>
                <w:sz w:val="20"/>
                <w:szCs w:val="20"/>
              </w:rPr>
              <w:t xml:space="preserve"> (93.2, 98.8)</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96.5</w:t>
            </w:r>
            <w:r w:rsidR="00AE04C5" w:rsidRPr="00A36715">
              <w:rPr>
                <w:rFonts w:ascii="Arial Narrow" w:hAnsi="Arial Narrow"/>
                <w:iCs/>
                <w:sz w:val="20"/>
                <w:szCs w:val="20"/>
              </w:rPr>
              <w:t>%</w:t>
            </w:r>
            <w:r w:rsidRPr="00A36715">
              <w:rPr>
                <w:rFonts w:ascii="Arial Narrow" w:hAnsi="Arial Narrow"/>
                <w:iCs/>
                <w:sz w:val="20"/>
                <w:szCs w:val="20"/>
              </w:rPr>
              <w:t xml:space="preserve"> (92.4, 98.4)</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94.7</w:t>
            </w:r>
            <w:r w:rsidR="00AE04C5" w:rsidRPr="00A36715">
              <w:rPr>
                <w:rFonts w:ascii="Arial Narrow" w:hAnsi="Arial Narrow"/>
                <w:iCs/>
                <w:sz w:val="20"/>
                <w:szCs w:val="20"/>
              </w:rPr>
              <w:t>%</w:t>
            </w:r>
            <w:r w:rsidRPr="00A36715">
              <w:rPr>
                <w:rFonts w:ascii="Arial Narrow" w:hAnsi="Arial Narrow"/>
                <w:iCs/>
                <w:sz w:val="20"/>
                <w:szCs w:val="20"/>
              </w:rPr>
              <w:t xml:space="preserve"> (90.1, 97.2)</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91.7</w:t>
            </w:r>
            <w:r w:rsidR="00AE04C5" w:rsidRPr="00A36715">
              <w:rPr>
                <w:rFonts w:ascii="Arial Narrow" w:hAnsi="Arial Narrow"/>
                <w:iCs/>
                <w:sz w:val="20"/>
                <w:szCs w:val="20"/>
              </w:rPr>
              <w:t>%</w:t>
            </w:r>
            <w:r w:rsidRPr="00A36715">
              <w:rPr>
                <w:rFonts w:ascii="Arial Narrow" w:hAnsi="Arial Narrow"/>
                <w:iCs/>
                <w:sz w:val="20"/>
                <w:szCs w:val="20"/>
              </w:rPr>
              <w:t xml:space="preserve"> (86.3, 95.0)</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89.9</w:t>
            </w:r>
            <w:r w:rsidR="00AE04C5" w:rsidRPr="00A36715">
              <w:rPr>
                <w:rFonts w:ascii="Arial Narrow" w:hAnsi="Arial Narrow"/>
                <w:iCs/>
                <w:sz w:val="20"/>
                <w:szCs w:val="20"/>
              </w:rPr>
              <w:t>%</w:t>
            </w:r>
            <w:r w:rsidRPr="00A36715">
              <w:rPr>
                <w:rFonts w:ascii="Arial Narrow" w:hAnsi="Arial Narrow"/>
                <w:iCs/>
                <w:sz w:val="20"/>
                <w:szCs w:val="20"/>
              </w:rPr>
              <w:t xml:space="preserve"> (83.9, 93.7)</w:t>
            </w:r>
          </w:p>
          <w:p w:rsidR="00EF39D5" w:rsidRPr="00A36715" w:rsidRDefault="00EF39D5" w:rsidP="00F22FCB">
            <w:pPr>
              <w:keepNext/>
              <w:jc w:val="center"/>
              <w:rPr>
                <w:rFonts w:ascii="Arial Narrow" w:hAnsi="Arial Narrow"/>
                <w:iCs/>
                <w:sz w:val="20"/>
                <w:szCs w:val="20"/>
              </w:rPr>
            </w:pPr>
            <w:r w:rsidRPr="00A36715">
              <w:rPr>
                <w:rFonts w:ascii="Arial Narrow" w:hAnsi="Arial Narrow"/>
                <w:iCs/>
                <w:sz w:val="20"/>
                <w:szCs w:val="20"/>
              </w:rPr>
              <w:t>88.1</w:t>
            </w:r>
            <w:r w:rsidR="00AE04C5" w:rsidRPr="00A36715">
              <w:rPr>
                <w:rFonts w:ascii="Arial Narrow" w:hAnsi="Arial Narrow"/>
                <w:iCs/>
                <w:sz w:val="20"/>
                <w:szCs w:val="20"/>
              </w:rPr>
              <w:t>%</w:t>
            </w:r>
            <w:r w:rsidRPr="00A36715">
              <w:rPr>
                <w:rFonts w:ascii="Arial Narrow" w:hAnsi="Arial Narrow"/>
                <w:iCs/>
                <w:sz w:val="20"/>
                <w:szCs w:val="20"/>
              </w:rPr>
              <w:t xml:space="preserve"> (80.7, 92.8)</w:t>
            </w:r>
          </w:p>
        </w:tc>
      </w:tr>
    </w:tbl>
    <w:p w:rsidR="009728AA" w:rsidRPr="00EF4FFA" w:rsidRDefault="009728AA" w:rsidP="00A36715">
      <w:pPr>
        <w:pStyle w:val="TableFigureFooter"/>
      </w:pPr>
      <w:r w:rsidRPr="00EF4FFA">
        <w:t>ACAL = acalabrutinib; CHL = chlorambucil; CI = confidence interval; HR = hazard ratio; KM = Kaplan Meier</w:t>
      </w:r>
      <w:r w:rsidR="00C7789E" w:rsidRPr="00EF4FFA">
        <w:t xml:space="preserve">; </w:t>
      </w:r>
      <w:r w:rsidRPr="00EF4FFA">
        <w:t>NE = not estimable; OBI = obinutuzumab; OS = overall survival</w:t>
      </w:r>
    </w:p>
    <w:p w:rsidR="00853683" w:rsidRPr="00EF4FFA" w:rsidRDefault="00853683" w:rsidP="00A36715">
      <w:pPr>
        <w:pStyle w:val="TableFigureFooter"/>
      </w:pPr>
      <w:r w:rsidRPr="00EF4FFA">
        <w:t>Source: Table 2.24, pp69-70 of the submission; Table 22, p.121 of the ELEVATE-TN interim clinical study report.</w:t>
      </w:r>
    </w:p>
    <w:p w:rsidR="00786A6E" w:rsidRDefault="00786A6E" w:rsidP="00786A6E">
      <w:pPr>
        <w:pStyle w:val="ExecSumBodyText"/>
      </w:pPr>
      <w:r>
        <w:rPr>
          <w:snapToGrid/>
        </w:rPr>
        <w:t>6.23</w:t>
      </w:r>
      <w:r>
        <w:rPr>
          <w:snapToGrid/>
        </w:rPr>
        <w:tab/>
      </w:r>
      <w:r w:rsidR="00853683" w:rsidRPr="00EF4FFA">
        <w:rPr>
          <w:snapToGrid/>
        </w:rPr>
        <w:t>At a median duration of follow-up of 28 months, median overall survival was not reached for acalabrutinib + obinutuzumab, acalabrutinib monotherapy or chlorambucil + obinutuzumab. There was no statistically significant difference for acalabrutinib + obinutuzumab, or acalabrutinib monotherapy compared to chlorambucil + obinutuzumab. Low numbers of events in each arm indicate that the overall survival results are immature. Statistical testing for a difference between the acalabrutinib + obinutuzumab and acalabrutinib monotherapy arms was not included in the submission. Overall survival results were impacted by patient crossover from the chlorambucil + obinutuzumab arm to receive treatment with acalabrutinib monotherapy. At the interim analysis, 45 patients (25.4%) in the chlorambucil + obinutuzumab arm who had experienced disease progression had crossed over to receive acalabrutinib.</w:t>
      </w:r>
      <w:r w:rsidR="00723D13" w:rsidRPr="00EF4FFA">
        <w:rPr>
          <w:snapToGrid/>
        </w:rPr>
        <w:t xml:space="preserve"> </w:t>
      </w:r>
      <w:r w:rsidR="00AA7EB5" w:rsidRPr="00EF4FFA">
        <w:rPr>
          <w:snapToGrid/>
        </w:rPr>
        <w:t>O</w:t>
      </w:r>
      <w:r w:rsidR="00723D13" w:rsidRPr="00EF4FFA">
        <w:rPr>
          <w:snapToGrid/>
        </w:rPr>
        <w:t xml:space="preserve">verall survival </w:t>
      </w:r>
      <w:r w:rsidR="00AE65D0" w:rsidRPr="00EF4FFA">
        <w:rPr>
          <w:snapToGrid/>
        </w:rPr>
        <w:t xml:space="preserve">may not </w:t>
      </w:r>
      <w:r w:rsidR="00AA7EB5" w:rsidRPr="00EF4FFA">
        <w:rPr>
          <w:snapToGrid/>
        </w:rPr>
        <w:t xml:space="preserve">be expected to be </w:t>
      </w:r>
      <w:r w:rsidR="00AE65D0" w:rsidRPr="00EF4FFA">
        <w:rPr>
          <w:snapToGrid/>
        </w:rPr>
        <w:t>differ</w:t>
      </w:r>
      <w:r w:rsidR="00AA7EB5" w:rsidRPr="00EF4FFA">
        <w:rPr>
          <w:snapToGrid/>
        </w:rPr>
        <w:t>ent</w:t>
      </w:r>
      <w:r w:rsidR="00723D13" w:rsidRPr="00EF4FFA">
        <w:rPr>
          <w:snapToGrid/>
        </w:rPr>
        <w:t xml:space="preserve"> due to downstream effective treatments and the older mean age at diagnosis (70 years), i.e. patients may die of other causes.</w:t>
      </w:r>
    </w:p>
    <w:p w:rsidR="00853683" w:rsidRPr="00EF4FFA" w:rsidRDefault="00786A6E" w:rsidP="00786A6E">
      <w:pPr>
        <w:pStyle w:val="ExecSumBodyText"/>
      </w:pPr>
      <w:r>
        <w:t>6.24</w:t>
      </w:r>
      <w:r>
        <w:tab/>
      </w:r>
      <w:r w:rsidR="00853683" w:rsidRPr="00EF4FFA">
        <w:rPr>
          <w:snapToGrid/>
        </w:rPr>
        <w:t xml:space="preserve">Table </w:t>
      </w:r>
      <w:r w:rsidR="00422F9B" w:rsidRPr="00EF4FFA">
        <w:rPr>
          <w:snapToGrid/>
        </w:rPr>
        <w:t>6</w:t>
      </w:r>
      <w:r w:rsidR="00853683" w:rsidRPr="00EF4FFA">
        <w:rPr>
          <w:snapToGrid/>
        </w:rPr>
        <w:t xml:space="preserve"> presents the results for independent review committee and investigator-assessed overall response for the ELEVATE-TN trial at the interim analysis.</w:t>
      </w:r>
    </w:p>
    <w:p w:rsidR="00853683" w:rsidRPr="00EF4FFA" w:rsidRDefault="00853683" w:rsidP="00986D56">
      <w:pPr>
        <w:pStyle w:val="TableFigureCaption"/>
        <w:keepLines/>
        <w:widowControl w:val="0"/>
        <w:rPr>
          <w:snapToGrid w:val="0"/>
        </w:rPr>
      </w:pPr>
      <w:r w:rsidRPr="00EF4FFA">
        <w:rPr>
          <w:snapToGrid w:val="0"/>
        </w:rPr>
        <w:lastRenderedPageBreak/>
        <w:t xml:space="preserve">Table </w:t>
      </w:r>
      <w:r w:rsidR="00422F9B" w:rsidRPr="00EF4FFA">
        <w:rPr>
          <w:snapToGrid w:val="0"/>
        </w:rPr>
        <w:t>6</w:t>
      </w:r>
      <w:r w:rsidRPr="00EF4FFA">
        <w:rPr>
          <w:snapToGrid w:val="0"/>
        </w:rPr>
        <w:t>: Overall response results for the ELEVATE-TN trial at the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89"/>
        <w:gridCol w:w="1542"/>
        <w:gridCol w:w="1542"/>
        <w:gridCol w:w="1544"/>
      </w:tblGrid>
      <w:tr w:rsidR="00853683" w:rsidRPr="00EF4FFA" w:rsidTr="00A36715">
        <w:trPr>
          <w:trHeight w:val="698"/>
        </w:trPr>
        <w:tc>
          <w:tcPr>
            <w:tcW w:w="2434" w:type="pct"/>
            <w:shd w:val="clear" w:color="auto" w:fill="FFFFFF"/>
            <w:vAlign w:val="center"/>
          </w:tcPr>
          <w:p w:rsidR="00853683" w:rsidRPr="00EF4FFA" w:rsidRDefault="00853683" w:rsidP="00986D56">
            <w:pPr>
              <w:keepNext/>
              <w:keepLines/>
              <w:widowControl w:val="0"/>
              <w:rPr>
                <w:rFonts w:ascii="Arial Narrow" w:hAnsi="Arial Narrow"/>
                <w:b/>
                <w:iCs/>
                <w:sz w:val="20"/>
              </w:rPr>
            </w:pPr>
            <w:r w:rsidRPr="00EF4FFA">
              <w:rPr>
                <w:rFonts w:ascii="Arial Narrow" w:hAnsi="Arial Narrow"/>
                <w:b/>
                <w:iCs/>
                <w:sz w:val="20"/>
              </w:rPr>
              <w:t>Cohort</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b/>
                <w:iCs/>
                <w:sz w:val="20"/>
                <w:szCs w:val="18"/>
              </w:rPr>
            </w:pPr>
            <w:r w:rsidRPr="00EF4FFA">
              <w:rPr>
                <w:rFonts w:ascii="Arial Narrow" w:hAnsi="Arial Narrow"/>
                <w:b/>
                <w:iCs/>
                <w:sz w:val="20"/>
                <w:szCs w:val="18"/>
              </w:rPr>
              <w:t>ACAL + OBI</w:t>
            </w:r>
          </w:p>
          <w:p w:rsidR="00853683" w:rsidRPr="00EF4FFA" w:rsidRDefault="00853683" w:rsidP="00986D56">
            <w:pPr>
              <w:keepNext/>
              <w:keepLines/>
              <w:widowControl w:val="0"/>
              <w:jc w:val="center"/>
              <w:rPr>
                <w:rFonts w:ascii="Arial Narrow" w:hAnsi="Arial Narrow"/>
                <w:b/>
                <w:iCs/>
                <w:sz w:val="20"/>
              </w:rPr>
            </w:pPr>
            <w:r w:rsidRPr="00EF4FFA">
              <w:rPr>
                <w:rFonts w:ascii="Arial Narrow" w:hAnsi="Arial Narrow"/>
                <w:b/>
                <w:iCs/>
                <w:sz w:val="20"/>
                <w:szCs w:val="18"/>
              </w:rPr>
              <w:t>(N=179)</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b/>
                <w:iCs/>
                <w:sz w:val="20"/>
                <w:szCs w:val="18"/>
              </w:rPr>
            </w:pPr>
            <w:r w:rsidRPr="00EF4FFA">
              <w:rPr>
                <w:rFonts w:ascii="Arial Narrow" w:hAnsi="Arial Narrow"/>
                <w:b/>
                <w:iCs/>
                <w:sz w:val="20"/>
                <w:szCs w:val="18"/>
              </w:rPr>
              <w:t xml:space="preserve">ACAL </w:t>
            </w:r>
          </w:p>
          <w:p w:rsidR="00853683" w:rsidRPr="00EF4FFA" w:rsidRDefault="00853683" w:rsidP="00986D56">
            <w:pPr>
              <w:keepNext/>
              <w:keepLines/>
              <w:widowControl w:val="0"/>
              <w:jc w:val="center"/>
              <w:rPr>
                <w:rFonts w:ascii="Arial Narrow" w:hAnsi="Arial Narrow"/>
                <w:b/>
                <w:iCs/>
                <w:sz w:val="20"/>
              </w:rPr>
            </w:pPr>
            <w:r w:rsidRPr="00EF4FFA">
              <w:rPr>
                <w:rFonts w:ascii="Arial Narrow" w:hAnsi="Arial Narrow"/>
                <w:b/>
                <w:iCs/>
                <w:sz w:val="20"/>
                <w:szCs w:val="18"/>
              </w:rPr>
              <w:t>(N=179)</w:t>
            </w:r>
          </w:p>
        </w:tc>
        <w:tc>
          <w:tcPr>
            <w:tcW w:w="856" w:type="pct"/>
            <w:shd w:val="clear" w:color="auto" w:fill="FFFFFF"/>
            <w:vAlign w:val="center"/>
          </w:tcPr>
          <w:p w:rsidR="00853683" w:rsidRPr="00EF4FFA" w:rsidRDefault="00853683" w:rsidP="00986D56">
            <w:pPr>
              <w:keepNext/>
              <w:keepLines/>
              <w:widowControl w:val="0"/>
              <w:jc w:val="center"/>
              <w:rPr>
                <w:rFonts w:ascii="Arial Narrow" w:hAnsi="Arial Narrow"/>
                <w:b/>
                <w:iCs/>
                <w:sz w:val="20"/>
                <w:szCs w:val="18"/>
              </w:rPr>
            </w:pPr>
            <w:r w:rsidRPr="00EF4FFA">
              <w:rPr>
                <w:rFonts w:ascii="Arial Narrow" w:hAnsi="Arial Narrow"/>
                <w:b/>
                <w:iCs/>
                <w:sz w:val="20"/>
                <w:szCs w:val="18"/>
              </w:rPr>
              <w:t>CHL + OBI</w:t>
            </w:r>
          </w:p>
          <w:p w:rsidR="00853683" w:rsidRPr="00EF4FFA" w:rsidRDefault="00853683" w:rsidP="00986D56">
            <w:pPr>
              <w:keepNext/>
              <w:keepLines/>
              <w:widowControl w:val="0"/>
              <w:jc w:val="center"/>
              <w:rPr>
                <w:rFonts w:ascii="Arial Narrow" w:hAnsi="Arial Narrow"/>
                <w:b/>
                <w:iCs/>
                <w:sz w:val="20"/>
                <w:szCs w:val="18"/>
              </w:rPr>
            </w:pPr>
            <w:r w:rsidRPr="00EF4FFA">
              <w:rPr>
                <w:rFonts w:ascii="Arial Narrow" w:hAnsi="Arial Narrow"/>
                <w:b/>
                <w:iCs/>
                <w:sz w:val="20"/>
                <w:szCs w:val="18"/>
              </w:rPr>
              <w:t>(N=177)</w:t>
            </w:r>
          </w:p>
        </w:tc>
      </w:tr>
      <w:tr w:rsidR="00674F8F" w:rsidRPr="00EF4FFA" w:rsidTr="00A36715">
        <w:tc>
          <w:tcPr>
            <w:tcW w:w="2434" w:type="pct"/>
            <w:shd w:val="clear" w:color="auto" w:fill="FFFFFF"/>
            <w:vAlign w:val="center"/>
          </w:tcPr>
          <w:p w:rsidR="00674F8F" w:rsidRPr="00EF4FFA" w:rsidRDefault="00674F8F" w:rsidP="00986D56">
            <w:pPr>
              <w:keepNext/>
              <w:keepLines/>
              <w:widowControl w:val="0"/>
              <w:jc w:val="left"/>
              <w:rPr>
                <w:rFonts w:ascii="Arial Narrow" w:hAnsi="Arial Narrow"/>
                <w:iCs/>
                <w:sz w:val="20"/>
              </w:rPr>
            </w:pPr>
            <w:r w:rsidRPr="00EF4FFA">
              <w:rPr>
                <w:rFonts w:ascii="Arial Narrow" w:hAnsi="Arial Narrow"/>
                <w:iCs/>
                <w:sz w:val="20"/>
              </w:rPr>
              <w:t>Median duration of follow-up, months (range)</w:t>
            </w:r>
          </w:p>
        </w:tc>
        <w:tc>
          <w:tcPr>
            <w:tcW w:w="855" w:type="pct"/>
            <w:shd w:val="clear" w:color="auto" w:fill="FFFFFF"/>
            <w:vAlign w:val="center"/>
          </w:tcPr>
          <w:p w:rsidR="00674F8F" w:rsidRPr="00EF4FFA" w:rsidRDefault="00674F8F" w:rsidP="00986D56">
            <w:pPr>
              <w:keepNext/>
              <w:keepLines/>
              <w:widowControl w:val="0"/>
              <w:jc w:val="center"/>
              <w:rPr>
                <w:rFonts w:ascii="Arial Narrow" w:hAnsi="Arial Narrow"/>
                <w:iCs/>
                <w:sz w:val="20"/>
              </w:rPr>
            </w:pPr>
            <w:r w:rsidRPr="00EF4FFA">
              <w:rPr>
                <w:rFonts w:ascii="Arial Narrow" w:hAnsi="Arial Narrow"/>
                <w:iCs/>
                <w:sz w:val="20"/>
              </w:rPr>
              <w:t>28.5 (1.7-40.3)</w:t>
            </w:r>
          </w:p>
        </w:tc>
        <w:tc>
          <w:tcPr>
            <w:tcW w:w="855" w:type="pct"/>
            <w:shd w:val="clear" w:color="auto" w:fill="FFFFFF"/>
            <w:vAlign w:val="center"/>
          </w:tcPr>
          <w:p w:rsidR="00674F8F" w:rsidRPr="00EF4FFA" w:rsidRDefault="00674F8F" w:rsidP="00986D56">
            <w:pPr>
              <w:keepNext/>
              <w:keepLines/>
              <w:widowControl w:val="0"/>
              <w:jc w:val="center"/>
              <w:rPr>
                <w:rFonts w:ascii="Arial Narrow" w:hAnsi="Arial Narrow"/>
                <w:iCs/>
                <w:sz w:val="20"/>
              </w:rPr>
            </w:pPr>
            <w:r w:rsidRPr="00EF4FFA">
              <w:rPr>
                <w:rFonts w:ascii="Arial Narrow" w:hAnsi="Arial Narrow"/>
                <w:iCs/>
                <w:sz w:val="20"/>
              </w:rPr>
              <w:t>28.4 (0.1-40.8)</w:t>
            </w:r>
          </w:p>
        </w:tc>
        <w:tc>
          <w:tcPr>
            <w:tcW w:w="856" w:type="pct"/>
            <w:shd w:val="clear" w:color="auto" w:fill="FFFFFF"/>
            <w:vAlign w:val="center"/>
          </w:tcPr>
          <w:p w:rsidR="00674F8F" w:rsidRPr="00EF4FFA" w:rsidRDefault="00674F8F" w:rsidP="00986D56">
            <w:pPr>
              <w:keepNext/>
              <w:keepLines/>
              <w:widowControl w:val="0"/>
              <w:jc w:val="center"/>
              <w:rPr>
                <w:rFonts w:ascii="Arial Narrow" w:hAnsi="Arial Narrow"/>
                <w:iCs/>
                <w:sz w:val="20"/>
              </w:rPr>
            </w:pPr>
            <w:r w:rsidRPr="00EF4FFA">
              <w:rPr>
                <w:rFonts w:ascii="Arial Narrow" w:hAnsi="Arial Narrow"/>
                <w:iCs/>
                <w:sz w:val="20"/>
              </w:rPr>
              <w:t>28.0 (0.0-40.4)</w:t>
            </w:r>
          </w:p>
        </w:tc>
      </w:tr>
      <w:tr w:rsidR="00853683" w:rsidRPr="00EF4FFA" w:rsidTr="00A36715">
        <w:tc>
          <w:tcPr>
            <w:tcW w:w="5000" w:type="pct"/>
            <w:gridSpan w:val="4"/>
            <w:shd w:val="clear" w:color="auto" w:fill="FFFFFF"/>
          </w:tcPr>
          <w:p w:rsidR="00853683" w:rsidRPr="00EF4FFA" w:rsidRDefault="00853683" w:rsidP="00986D56">
            <w:pPr>
              <w:keepNext/>
              <w:keepLines/>
              <w:widowControl w:val="0"/>
              <w:rPr>
                <w:rFonts w:ascii="Arial Narrow" w:hAnsi="Arial Narrow"/>
                <w:b/>
                <w:sz w:val="20"/>
              </w:rPr>
            </w:pPr>
            <w:r w:rsidRPr="00EF4FFA">
              <w:rPr>
                <w:rFonts w:ascii="Arial Narrow" w:hAnsi="Arial Narrow"/>
                <w:b/>
                <w:sz w:val="20"/>
              </w:rPr>
              <w:t>Independent review committee-assessed</w:t>
            </w:r>
          </w:p>
        </w:tc>
      </w:tr>
      <w:tr w:rsidR="00853683" w:rsidRPr="00EF4FFA" w:rsidTr="00A36715">
        <w:tc>
          <w:tcPr>
            <w:tcW w:w="2434" w:type="pct"/>
            <w:shd w:val="clear" w:color="auto" w:fill="FFFFFF" w:themeFill="background1"/>
            <w:vAlign w:val="center"/>
          </w:tcPr>
          <w:p w:rsidR="00853683" w:rsidRPr="00EF4FFA" w:rsidRDefault="00853683" w:rsidP="00986D56">
            <w:pPr>
              <w:keepNext/>
              <w:keepLines/>
              <w:widowControl w:val="0"/>
              <w:jc w:val="left"/>
              <w:rPr>
                <w:rFonts w:ascii="Arial Narrow" w:hAnsi="Arial Narrow"/>
                <w:sz w:val="20"/>
                <w:vertAlign w:val="superscript"/>
              </w:rPr>
            </w:pPr>
            <w:r w:rsidRPr="00EF4FFA">
              <w:rPr>
                <w:rFonts w:ascii="Arial Narrow" w:hAnsi="Arial Narrow"/>
                <w:sz w:val="20"/>
              </w:rPr>
              <w:t xml:space="preserve">ORR (CR + </w:t>
            </w:r>
            <w:proofErr w:type="spellStart"/>
            <w:r w:rsidRPr="00EF4FFA">
              <w:rPr>
                <w:rFonts w:ascii="Arial Narrow" w:hAnsi="Arial Narrow"/>
                <w:sz w:val="20"/>
              </w:rPr>
              <w:t>CRi</w:t>
            </w:r>
            <w:proofErr w:type="spellEnd"/>
            <w:r w:rsidRPr="00EF4FFA">
              <w:rPr>
                <w:rFonts w:ascii="Arial Narrow" w:hAnsi="Arial Narrow"/>
                <w:sz w:val="20"/>
              </w:rPr>
              <w:t xml:space="preserve"> + </w:t>
            </w:r>
            <w:proofErr w:type="spellStart"/>
            <w:r w:rsidRPr="00EF4FFA">
              <w:rPr>
                <w:rFonts w:ascii="Arial Narrow" w:hAnsi="Arial Narrow"/>
                <w:sz w:val="20"/>
              </w:rPr>
              <w:t>nPR</w:t>
            </w:r>
            <w:proofErr w:type="spellEnd"/>
            <w:r w:rsidRPr="00EF4FFA">
              <w:rPr>
                <w:rFonts w:ascii="Arial Narrow" w:hAnsi="Arial Narrow"/>
                <w:sz w:val="20"/>
              </w:rPr>
              <w:t xml:space="preserve"> + PR), n (%)</w:t>
            </w:r>
          </w:p>
        </w:tc>
        <w:tc>
          <w:tcPr>
            <w:tcW w:w="855" w:type="pct"/>
            <w:shd w:val="clear" w:color="auto" w:fill="FFFFFF"/>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168 (93.9</w:t>
            </w:r>
            <w:r w:rsidR="00AE04C5" w:rsidRPr="00EF4FFA">
              <w:rPr>
                <w:rFonts w:ascii="Arial Narrow" w:hAnsi="Arial Narrow"/>
                <w:iCs/>
                <w:sz w:val="20"/>
              </w:rPr>
              <w:t>%</w:t>
            </w:r>
            <w:r w:rsidRPr="00EF4FFA">
              <w:rPr>
                <w:rFonts w:ascii="Arial Narrow" w:hAnsi="Arial Narrow"/>
                <w:iCs/>
                <w:sz w:val="20"/>
              </w:rPr>
              <w:t>)</w:t>
            </w:r>
          </w:p>
        </w:tc>
        <w:tc>
          <w:tcPr>
            <w:tcW w:w="855" w:type="pct"/>
            <w:shd w:val="clear" w:color="auto" w:fill="FFFFFF"/>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153 (85.5</w:t>
            </w:r>
            <w:r w:rsidR="00AE04C5" w:rsidRPr="00EF4FFA">
              <w:rPr>
                <w:rFonts w:ascii="Arial Narrow" w:hAnsi="Arial Narrow"/>
                <w:iCs/>
                <w:sz w:val="20"/>
              </w:rPr>
              <w:t>%</w:t>
            </w:r>
            <w:r w:rsidRPr="00EF4FFA">
              <w:rPr>
                <w:rFonts w:ascii="Arial Narrow" w:hAnsi="Arial Narrow"/>
                <w:iCs/>
                <w:sz w:val="20"/>
              </w:rPr>
              <w:t>)</w:t>
            </w:r>
          </w:p>
        </w:tc>
        <w:tc>
          <w:tcPr>
            <w:tcW w:w="856" w:type="pct"/>
            <w:shd w:val="clear" w:color="auto" w:fill="FFFFFF"/>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139 (78.5</w:t>
            </w:r>
            <w:r w:rsidR="00AE04C5" w:rsidRPr="00EF4FFA">
              <w:rPr>
                <w:rFonts w:ascii="Arial Narrow" w:hAnsi="Arial Narrow"/>
                <w:iCs/>
                <w:sz w:val="20"/>
              </w:rPr>
              <w:t>%</w:t>
            </w:r>
            <w:r w:rsidRPr="00EF4FFA">
              <w:rPr>
                <w:rFonts w:ascii="Arial Narrow" w:hAnsi="Arial Narrow"/>
                <w:iCs/>
                <w:sz w:val="20"/>
              </w:rPr>
              <w:t>)</w:t>
            </w:r>
          </w:p>
        </w:tc>
      </w:tr>
      <w:tr w:rsidR="00853683" w:rsidRPr="00EF4FFA" w:rsidTr="00A36715">
        <w:tc>
          <w:tcPr>
            <w:tcW w:w="2434" w:type="pct"/>
            <w:shd w:val="clear" w:color="auto" w:fill="FFFFFF" w:themeFill="background1"/>
            <w:vAlign w:val="center"/>
          </w:tcPr>
          <w:p w:rsidR="00853683" w:rsidRPr="00EF4FFA" w:rsidRDefault="00853683" w:rsidP="00986D56">
            <w:pPr>
              <w:keepNext/>
              <w:keepLines/>
              <w:widowControl w:val="0"/>
              <w:jc w:val="left"/>
              <w:rPr>
                <w:rFonts w:ascii="Arial Narrow" w:hAnsi="Arial Narrow"/>
                <w:sz w:val="20"/>
              </w:rPr>
            </w:pPr>
            <w:r w:rsidRPr="00EF4FFA">
              <w:rPr>
                <w:rFonts w:ascii="Arial Narrow" w:hAnsi="Arial Narrow"/>
                <w:sz w:val="20"/>
              </w:rPr>
              <w:t>Difference versus CHL + OBI (95% CI)</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15.3 (8.3, 22.3)</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6.9 (-1.0, 14.9)</w:t>
            </w:r>
          </w:p>
        </w:tc>
        <w:tc>
          <w:tcPr>
            <w:tcW w:w="856" w:type="pct"/>
            <w:shd w:val="clear" w:color="auto" w:fill="FFFFFF"/>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w:t>
            </w:r>
          </w:p>
        </w:tc>
      </w:tr>
      <w:tr w:rsidR="00853683" w:rsidRPr="00EF4FFA" w:rsidTr="00A36715">
        <w:tc>
          <w:tcPr>
            <w:tcW w:w="5000" w:type="pct"/>
            <w:gridSpan w:val="4"/>
          </w:tcPr>
          <w:p w:rsidR="00853683" w:rsidRPr="00EF4FFA" w:rsidRDefault="00853683" w:rsidP="00986D56">
            <w:pPr>
              <w:keepNext/>
              <w:keepLines/>
              <w:widowControl w:val="0"/>
              <w:rPr>
                <w:rFonts w:ascii="Arial Narrow" w:hAnsi="Arial Narrow"/>
                <w:b/>
                <w:iCs/>
                <w:sz w:val="20"/>
              </w:rPr>
            </w:pPr>
            <w:r w:rsidRPr="00EF4FFA">
              <w:rPr>
                <w:rFonts w:ascii="Arial Narrow" w:hAnsi="Arial Narrow"/>
                <w:b/>
                <w:iCs/>
                <w:sz w:val="20"/>
              </w:rPr>
              <w:t>Investigator-assessed</w:t>
            </w:r>
          </w:p>
        </w:tc>
      </w:tr>
      <w:tr w:rsidR="00853683" w:rsidRPr="00EF4FFA" w:rsidTr="00A36715">
        <w:tc>
          <w:tcPr>
            <w:tcW w:w="2434" w:type="pct"/>
            <w:shd w:val="clear" w:color="auto" w:fill="FFFFFF" w:themeFill="background1"/>
            <w:vAlign w:val="center"/>
          </w:tcPr>
          <w:p w:rsidR="00853683" w:rsidRPr="00EF4FFA" w:rsidRDefault="00853683" w:rsidP="00986D56">
            <w:pPr>
              <w:keepNext/>
              <w:keepLines/>
              <w:widowControl w:val="0"/>
              <w:jc w:val="left"/>
              <w:rPr>
                <w:rFonts w:ascii="Arial Narrow" w:hAnsi="Arial Narrow"/>
                <w:sz w:val="20"/>
                <w:vertAlign w:val="superscript"/>
              </w:rPr>
            </w:pPr>
            <w:r w:rsidRPr="00EF4FFA">
              <w:rPr>
                <w:rFonts w:ascii="Arial Narrow" w:hAnsi="Arial Narrow"/>
                <w:sz w:val="20"/>
              </w:rPr>
              <w:t xml:space="preserve">ORR (CR + </w:t>
            </w:r>
            <w:proofErr w:type="spellStart"/>
            <w:r w:rsidRPr="00EF4FFA">
              <w:rPr>
                <w:rFonts w:ascii="Arial Narrow" w:hAnsi="Arial Narrow"/>
                <w:sz w:val="20"/>
              </w:rPr>
              <w:t>CRi</w:t>
            </w:r>
            <w:proofErr w:type="spellEnd"/>
            <w:r w:rsidRPr="00EF4FFA">
              <w:rPr>
                <w:rFonts w:ascii="Arial Narrow" w:hAnsi="Arial Narrow"/>
                <w:sz w:val="20"/>
              </w:rPr>
              <w:t xml:space="preserve"> + </w:t>
            </w:r>
            <w:proofErr w:type="spellStart"/>
            <w:r w:rsidRPr="00EF4FFA">
              <w:rPr>
                <w:rFonts w:ascii="Arial Narrow" w:hAnsi="Arial Narrow"/>
                <w:sz w:val="20"/>
              </w:rPr>
              <w:t>nPR</w:t>
            </w:r>
            <w:proofErr w:type="spellEnd"/>
            <w:r w:rsidRPr="00EF4FFA">
              <w:rPr>
                <w:rFonts w:ascii="Arial Narrow" w:hAnsi="Arial Narrow"/>
                <w:sz w:val="20"/>
              </w:rPr>
              <w:t xml:space="preserve"> + PR), n (%)</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172 (96.1</w:t>
            </w:r>
            <w:r w:rsidR="00AE04C5" w:rsidRPr="00EF4FFA">
              <w:rPr>
                <w:rFonts w:ascii="Arial Narrow" w:hAnsi="Arial Narrow"/>
                <w:iCs/>
                <w:sz w:val="20"/>
              </w:rPr>
              <w:t>%</w:t>
            </w:r>
            <w:r w:rsidRPr="00EF4FFA">
              <w:rPr>
                <w:rFonts w:ascii="Arial Narrow" w:hAnsi="Arial Narrow"/>
                <w:iCs/>
                <w:sz w:val="20"/>
              </w:rPr>
              <w:t>)</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160 (89.4</w:t>
            </w:r>
            <w:r w:rsidR="00AE04C5" w:rsidRPr="00EF4FFA">
              <w:rPr>
                <w:rFonts w:ascii="Arial Narrow" w:hAnsi="Arial Narrow"/>
                <w:iCs/>
                <w:sz w:val="20"/>
              </w:rPr>
              <w:t>%</w:t>
            </w:r>
            <w:r w:rsidRPr="00EF4FFA">
              <w:rPr>
                <w:rFonts w:ascii="Arial Narrow" w:hAnsi="Arial Narrow"/>
                <w:iCs/>
                <w:sz w:val="20"/>
              </w:rPr>
              <w:t>)</w:t>
            </w:r>
          </w:p>
        </w:tc>
        <w:tc>
          <w:tcPr>
            <w:tcW w:w="856" w:type="pct"/>
            <w:shd w:val="clear" w:color="auto" w:fill="FFFFFF"/>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146 (82.5</w:t>
            </w:r>
            <w:r w:rsidR="00AE04C5" w:rsidRPr="00EF4FFA">
              <w:rPr>
                <w:rFonts w:ascii="Arial Narrow" w:hAnsi="Arial Narrow"/>
                <w:iCs/>
                <w:sz w:val="20"/>
              </w:rPr>
              <w:t>%</w:t>
            </w:r>
            <w:r w:rsidRPr="00EF4FFA">
              <w:rPr>
                <w:rFonts w:ascii="Arial Narrow" w:hAnsi="Arial Narrow"/>
                <w:iCs/>
                <w:sz w:val="20"/>
              </w:rPr>
              <w:t>)</w:t>
            </w:r>
          </w:p>
        </w:tc>
      </w:tr>
      <w:tr w:rsidR="00853683" w:rsidRPr="00EF4FFA" w:rsidTr="00A36715">
        <w:tc>
          <w:tcPr>
            <w:tcW w:w="2434" w:type="pct"/>
            <w:shd w:val="clear" w:color="auto" w:fill="FFFFFF" w:themeFill="background1"/>
            <w:vAlign w:val="center"/>
          </w:tcPr>
          <w:p w:rsidR="00853683" w:rsidRPr="00EF4FFA" w:rsidRDefault="00853683" w:rsidP="00986D56">
            <w:pPr>
              <w:keepNext/>
              <w:keepLines/>
              <w:widowControl w:val="0"/>
              <w:jc w:val="left"/>
              <w:rPr>
                <w:rFonts w:ascii="Arial Narrow" w:hAnsi="Arial Narrow"/>
                <w:sz w:val="20"/>
              </w:rPr>
            </w:pPr>
            <w:r w:rsidRPr="00EF4FFA">
              <w:rPr>
                <w:rFonts w:ascii="Arial Narrow" w:hAnsi="Arial Narrow"/>
                <w:sz w:val="20"/>
              </w:rPr>
              <w:t>Difference versus CHL + OBI (95% CI)</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13.6 (7.3, 19.9)</w:t>
            </w:r>
          </w:p>
        </w:tc>
        <w:tc>
          <w:tcPr>
            <w:tcW w:w="855" w:type="pct"/>
            <w:shd w:val="clear" w:color="auto" w:fill="FFFFFF"/>
            <w:vAlign w:val="center"/>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6.9 (-0.3, 14.1)</w:t>
            </w:r>
          </w:p>
        </w:tc>
        <w:tc>
          <w:tcPr>
            <w:tcW w:w="856" w:type="pct"/>
            <w:shd w:val="clear" w:color="auto" w:fill="FFFFFF"/>
          </w:tcPr>
          <w:p w:rsidR="00853683" w:rsidRPr="00EF4FFA" w:rsidRDefault="00853683" w:rsidP="00986D56">
            <w:pPr>
              <w:keepNext/>
              <w:keepLines/>
              <w:widowControl w:val="0"/>
              <w:jc w:val="center"/>
              <w:rPr>
                <w:rFonts w:ascii="Arial Narrow" w:hAnsi="Arial Narrow"/>
                <w:iCs/>
                <w:sz w:val="20"/>
              </w:rPr>
            </w:pPr>
            <w:r w:rsidRPr="00EF4FFA">
              <w:rPr>
                <w:rFonts w:ascii="Arial Narrow" w:hAnsi="Arial Narrow"/>
                <w:iCs/>
                <w:sz w:val="20"/>
              </w:rPr>
              <w:t>-</w:t>
            </w:r>
          </w:p>
        </w:tc>
      </w:tr>
    </w:tbl>
    <w:p w:rsidR="009728AA" w:rsidRPr="00EF4FFA" w:rsidRDefault="009728AA" w:rsidP="00986D56">
      <w:pPr>
        <w:pStyle w:val="TableFooter"/>
        <w:keepNext/>
        <w:keepLines/>
        <w:spacing w:after="120"/>
      </w:pPr>
      <w:r w:rsidRPr="00EF4FFA">
        <w:t xml:space="preserve">ACAL = acalabrutinib; CHL = chlorambucil; </w:t>
      </w:r>
      <w:r w:rsidR="00E716A7" w:rsidRPr="00EF4FFA">
        <w:t xml:space="preserve">CI = confidence interval; </w:t>
      </w:r>
      <w:r w:rsidRPr="00EF4FFA">
        <w:t xml:space="preserve">CR = complete response; Cri = complete response with incomplete bone marrow recovery; </w:t>
      </w:r>
      <w:proofErr w:type="spellStart"/>
      <w:proofErr w:type="gramStart"/>
      <w:r w:rsidRPr="00EF4FFA">
        <w:t>nPR</w:t>
      </w:r>
      <w:proofErr w:type="spellEnd"/>
      <w:proofErr w:type="gramEnd"/>
      <w:r w:rsidRPr="00EF4FFA">
        <w:t xml:space="preserve"> = nodular partial response; OBI = obinutuzumab; ORR = overall response rate</w:t>
      </w:r>
      <w:r w:rsidR="00E716A7" w:rsidRPr="00EF4FFA">
        <w:t>; PR = partial response</w:t>
      </w:r>
      <w:r w:rsidRPr="00EF4FFA">
        <w:t>.</w:t>
      </w:r>
    </w:p>
    <w:p w:rsidR="00853683" w:rsidRPr="00EF4FFA" w:rsidRDefault="00853683" w:rsidP="00986D56">
      <w:pPr>
        <w:pStyle w:val="TableFooter"/>
        <w:keepNext/>
        <w:keepLines/>
        <w:spacing w:after="120"/>
      </w:pPr>
      <w:r w:rsidRPr="00EF4FFA">
        <w:t>Source: Table 2.22, pp67-68 of the submission; Table 18, p.110 of the ELEVATE-TN interim clinical study report.</w:t>
      </w:r>
    </w:p>
    <w:p w:rsidR="00853683" w:rsidRPr="00EF4FFA" w:rsidRDefault="00786A6E" w:rsidP="00853683">
      <w:pPr>
        <w:pStyle w:val="ExecSumBodyText"/>
      </w:pPr>
      <w:r>
        <w:rPr>
          <w:snapToGrid/>
        </w:rPr>
        <w:t>6.25</w:t>
      </w:r>
      <w:r>
        <w:rPr>
          <w:snapToGrid/>
        </w:rPr>
        <w:tab/>
      </w:r>
      <w:r w:rsidR="00853683" w:rsidRPr="00EF4FFA">
        <w:rPr>
          <w:snapToGrid/>
        </w:rPr>
        <w:t>Based on the independent review committee-assessed outcomes, the overall response rate was higher in the acalabrutinib + obinutuzumab (93.9%) and acalabrutinib monotherapy (85.5%) arms compared to the chlorambucil + obinutuzumab arm (78.5%). The difference was statistically significant for the acalabrutinib + obinutuzumab</w:t>
      </w:r>
      <w:r w:rsidR="007C453B" w:rsidRPr="00EF4FFA">
        <w:rPr>
          <w:snapToGrid/>
        </w:rPr>
        <w:t xml:space="preserve"> comparison (difference: 15.3% [</w:t>
      </w:r>
      <w:r w:rsidR="00853683" w:rsidRPr="00EF4FFA">
        <w:rPr>
          <w:snapToGrid/>
        </w:rPr>
        <w:t>95% CI: 8.3, 22.3</w:t>
      </w:r>
      <w:r w:rsidR="007C453B" w:rsidRPr="00EF4FFA">
        <w:rPr>
          <w:snapToGrid/>
        </w:rPr>
        <w:t>]</w:t>
      </w:r>
      <w:r w:rsidR="00853683" w:rsidRPr="00EF4FFA">
        <w:rPr>
          <w:snapToGrid/>
        </w:rPr>
        <w:t>), but not the acalabrutinib monothera</w:t>
      </w:r>
      <w:r w:rsidR="007C453B" w:rsidRPr="00EF4FFA">
        <w:rPr>
          <w:snapToGrid/>
        </w:rPr>
        <w:t>py comparison (difference: 6.9%</w:t>
      </w:r>
      <w:r w:rsidR="00853683" w:rsidRPr="00EF4FFA">
        <w:rPr>
          <w:snapToGrid/>
        </w:rPr>
        <w:t xml:space="preserve"> </w:t>
      </w:r>
      <w:r w:rsidR="007C453B" w:rsidRPr="00EF4FFA">
        <w:rPr>
          <w:snapToGrid/>
        </w:rPr>
        <w:t>[</w:t>
      </w:r>
      <w:r w:rsidR="00853683" w:rsidRPr="00EF4FFA">
        <w:rPr>
          <w:snapToGrid/>
        </w:rPr>
        <w:t>95% CI: -1.0, 14.9</w:t>
      </w:r>
      <w:r w:rsidR="007C453B" w:rsidRPr="00EF4FFA">
        <w:rPr>
          <w:snapToGrid/>
        </w:rPr>
        <w:t>]</w:t>
      </w:r>
      <w:r w:rsidR="00853683" w:rsidRPr="00EF4FFA">
        <w:rPr>
          <w:snapToGrid/>
        </w:rPr>
        <w:t>). Statistical testing for a difference between the acalabrutinib + obinutuzumab and acalabrutinib monotherapy arms was not included in the submission.</w:t>
      </w:r>
    </w:p>
    <w:p w:rsidR="00853683" w:rsidRPr="00EF4FFA" w:rsidRDefault="00786A6E" w:rsidP="00853683">
      <w:pPr>
        <w:pStyle w:val="ExecSumBodyText"/>
      </w:pPr>
      <w:r>
        <w:rPr>
          <w:snapToGrid/>
        </w:rPr>
        <w:t>6.26</w:t>
      </w:r>
      <w:r>
        <w:rPr>
          <w:snapToGrid/>
        </w:rPr>
        <w:tab/>
      </w:r>
      <w:r w:rsidR="00422F9B" w:rsidRPr="00EF4FFA">
        <w:rPr>
          <w:snapToGrid/>
        </w:rPr>
        <w:t>Table 7</w:t>
      </w:r>
      <w:r w:rsidR="00853683" w:rsidRPr="00EF4FFA">
        <w:rPr>
          <w:snapToGrid/>
        </w:rPr>
        <w:t xml:space="preserve"> presents the results for time to next anti-CLL treatment for the ELEVATE-TN trial at the interim analysis. A Kaplan-Meier plot of time to next treatment was not included in the submission.</w:t>
      </w:r>
    </w:p>
    <w:p w:rsidR="00853683" w:rsidRPr="00EF4FFA" w:rsidRDefault="00422F9B" w:rsidP="00986D56">
      <w:pPr>
        <w:pStyle w:val="TableFigureCaption"/>
        <w:rPr>
          <w:snapToGrid w:val="0"/>
        </w:rPr>
      </w:pPr>
      <w:r w:rsidRPr="00EF4FFA">
        <w:rPr>
          <w:snapToGrid w:val="0"/>
        </w:rPr>
        <w:t>Table 7</w:t>
      </w:r>
      <w:r w:rsidR="00853683" w:rsidRPr="00EF4FFA">
        <w:rPr>
          <w:snapToGrid w:val="0"/>
        </w:rPr>
        <w:t>: Time to next treatment results for the ELEVATE-TN trial at the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2"/>
        <w:gridCol w:w="1968"/>
        <w:gridCol w:w="1968"/>
        <w:gridCol w:w="1969"/>
      </w:tblGrid>
      <w:tr w:rsidR="00853683" w:rsidRPr="00EF4FFA" w:rsidTr="00986D56">
        <w:trPr>
          <w:trHeight w:val="349"/>
        </w:trPr>
        <w:tc>
          <w:tcPr>
            <w:tcW w:w="1726" w:type="pct"/>
            <w:shd w:val="clear" w:color="auto" w:fill="FFFFFF"/>
            <w:vAlign w:val="center"/>
          </w:tcPr>
          <w:p w:rsidR="00853683" w:rsidRPr="00986D56" w:rsidRDefault="00853683" w:rsidP="00847271">
            <w:pPr>
              <w:rPr>
                <w:rFonts w:ascii="Arial Narrow" w:hAnsi="Arial Narrow"/>
                <w:b/>
                <w:iCs/>
                <w:sz w:val="20"/>
                <w:szCs w:val="20"/>
              </w:rPr>
            </w:pPr>
            <w:r w:rsidRPr="00986D56">
              <w:rPr>
                <w:rFonts w:ascii="Arial Narrow" w:hAnsi="Arial Narrow"/>
                <w:b/>
                <w:iCs/>
                <w:sz w:val="20"/>
                <w:szCs w:val="20"/>
              </w:rPr>
              <w:t>Cohort</w:t>
            </w:r>
          </w:p>
        </w:tc>
        <w:tc>
          <w:tcPr>
            <w:tcW w:w="1091" w:type="pct"/>
            <w:shd w:val="clear" w:color="auto" w:fill="FFFFFF"/>
          </w:tcPr>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ACAL + OBI</w:t>
            </w:r>
          </w:p>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(N=179)</w:t>
            </w:r>
          </w:p>
        </w:tc>
        <w:tc>
          <w:tcPr>
            <w:tcW w:w="1091" w:type="pct"/>
            <w:shd w:val="clear" w:color="auto" w:fill="FFFFFF"/>
            <w:vAlign w:val="center"/>
          </w:tcPr>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 xml:space="preserve">ACAL </w:t>
            </w:r>
          </w:p>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(N=179)</w:t>
            </w:r>
          </w:p>
        </w:tc>
        <w:tc>
          <w:tcPr>
            <w:tcW w:w="1092" w:type="pct"/>
            <w:shd w:val="clear" w:color="auto" w:fill="FFFFFF"/>
            <w:vAlign w:val="center"/>
          </w:tcPr>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CHL + OBI</w:t>
            </w:r>
          </w:p>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(N=177)</w:t>
            </w:r>
          </w:p>
        </w:tc>
      </w:tr>
      <w:tr w:rsidR="00674F8F" w:rsidRPr="00EF4FFA" w:rsidTr="00986D56">
        <w:trPr>
          <w:trHeight w:val="49"/>
        </w:trPr>
        <w:tc>
          <w:tcPr>
            <w:tcW w:w="1726" w:type="pct"/>
            <w:shd w:val="clear" w:color="auto" w:fill="FFFFFF"/>
            <w:vAlign w:val="center"/>
          </w:tcPr>
          <w:p w:rsidR="00674F8F" w:rsidRPr="00986D56" w:rsidRDefault="00674F8F" w:rsidP="00674F8F">
            <w:pPr>
              <w:jc w:val="left"/>
              <w:rPr>
                <w:rFonts w:ascii="Arial Narrow" w:hAnsi="Arial Narrow"/>
                <w:iCs/>
                <w:sz w:val="20"/>
                <w:szCs w:val="20"/>
              </w:rPr>
            </w:pPr>
            <w:r w:rsidRPr="00986D56">
              <w:rPr>
                <w:rFonts w:ascii="Arial Narrow" w:hAnsi="Arial Narrow"/>
                <w:iCs/>
                <w:sz w:val="20"/>
                <w:szCs w:val="20"/>
              </w:rPr>
              <w:t>Median duration of follow-up, months (range)</w:t>
            </w:r>
          </w:p>
        </w:tc>
        <w:tc>
          <w:tcPr>
            <w:tcW w:w="1091" w:type="pct"/>
            <w:shd w:val="clear" w:color="auto" w:fill="FFFFFF"/>
            <w:vAlign w:val="center"/>
          </w:tcPr>
          <w:p w:rsidR="00674F8F" w:rsidRPr="00986D56" w:rsidRDefault="00674F8F" w:rsidP="00674F8F">
            <w:pPr>
              <w:jc w:val="center"/>
              <w:rPr>
                <w:rFonts w:ascii="Arial Narrow" w:hAnsi="Arial Narrow"/>
                <w:iCs/>
                <w:sz w:val="20"/>
                <w:szCs w:val="20"/>
              </w:rPr>
            </w:pPr>
            <w:r w:rsidRPr="00986D56">
              <w:rPr>
                <w:rFonts w:ascii="Arial Narrow" w:hAnsi="Arial Narrow"/>
                <w:iCs/>
                <w:sz w:val="20"/>
                <w:szCs w:val="20"/>
              </w:rPr>
              <w:t>28.5 (1.7-40.3)</w:t>
            </w:r>
          </w:p>
        </w:tc>
        <w:tc>
          <w:tcPr>
            <w:tcW w:w="1091" w:type="pct"/>
            <w:shd w:val="clear" w:color="auto" w:fill="FFFFFF"/>
            <w:vAlign w:val="center"/>
          </w:tcPr>
          <w:p w:rsidR="00674F8F" w:rsidRPr="00986D56" w:rsidRDefault="00674F8F" w:rsidP="00674F8F">
            <w:pPr>
              <w:jc w:val="center"/>
              <w:rPr>
                <w:rFonts w:ascii="Arial Narrow" w:hAnsi="Arial Narrow"/>
                <w:iCs/>
                <w:sz w:val="20"/>
                <w:szCs w:val="20"/>
              </w:rPr>
            </w:pPr>
            <w:r w:rsidRPr="00986D56">
              <w:rPr>
                <w:rFonts w:ascii="Arial Narrow" w:hAnsi="Arial Narrow"/>
                <w:iCs/>
                <w:sz w:val="20"/>
                <w:szCs w:val="20"/>
              </w:rPr>
              <w:t>28.4 (0.1-40.8)</w:t>
            </w:r>
          </w:p>
        </w:tc>
        <w:tc>
          <w:tcPr>
            <w:tcW w:w="1092" w:type="pct"/>
            <w:shd w:val="clear" w:color="auto" w:fill="FFFFFF"/>
            <w:vAlign w:val="center"/>
          </w:tcPr>
          <w:p w:rsidR="00674F8F" w:rsidRPr="00986D56" w:rsidRDefault="00674F8F" w:rsidP="00674F8F">
            <w:pPr>
              <w:jc w:val="center"/>
              <w:rPr>
                <w:rFonts w:ascii="Arial Narrow" w:hAnsi="Arial Narrow"/>
                <w:iCs/>
                <w:sz w:val="20"/>
                <w:szCs w:val="20"/>
              </w:rPr>
            </w:pPr>
            <w:r w:rsidRPr="00986D56">
              <w:rPr>
                <w:rFonts w:ascii="Arial Narrow" w:hAnsi="Arial Narrow"/>
                <w:iCs/>
                <w:sz w:val="20"/>
                <w:szCs w:val="20"/>
              </w:rPr>
              <w:t>28.0 (0.0-40.4)</w:t>
            </w:r>
          </w:p>
        </w:tc>
      </w:tr>
      <w:tr w:rsidR="00853683" w:rsidRPr="00EF4FFA" w:rsidTr="00986D56">
        <w:trPr>
          <w:trHeight w:val="172"/>
        </w:trPr>
        <w:tc>
          <w:tcPr>
            <w:tcW w:w="5000" w:type="pct"/>
            <w:gridSpan w:val="4"/>
            <w:shd w:val="clear" w:color="auto" w:fill="FFFFFF"/>
          </w:tcPr>
          <w:p w:rsidR="00853683" w:rsidRPr="00986D56" w:rsidRDefault="00853683" w:rsidP="00847271">
            <w:pPr>
              <w:rPr>
                <w:rFonts w:ascii="Arial Narrow" w:hAnsi="Arial Narrow"/>
                <w:b/>
                <w:iCs/>
                <w:sz w:val="20"/>
                <w:szCs w:val="20"/>
              </w:rPr>
            </w:pPr>
            <w:r w:rsidRPr="00986D56">
              <w:rPr>
                <w:rFonts w:ascii="Arial Narrow" w:hAnsi="Arial Narrow"/>
                <w:b/>
                <w:sz w:val="20"/>
                <w:szCs w:val="20"/>
              </w:rPr>
              <w:t>Independent review committee-assessed</w:t>
            </w:r>
          </w:p>
        </w:tc>
      </w:tr>
      <w:tr w:rsidR="00853683" w:rsidRPr="00EF4FFA" w:rsidTr="00986D56">
        <w:trPr>
          <w:trHeight w:val="500"/>
        </w:trPr>
        <w:tc>
          <w:tcPr>
            <w:tcW w:w="1726" w:type="pct"/>
            <w:vAlign w:val="center"/>
          </w:tcPr>
          <w:p w:rsidR="00853683" w:rsidRPr="00986D56" w:rsidRDefault="00853683" w:rsidP="00847271">
            <w:pPr>
              <w:jc w:val="left"/>
              <w:rPr>
                <w:rFonts w:ascii="Arial Narrow" w:hAnsi="Arial Narrow"/>
                <w:sz w:val="20"/>
                <w:szCs w:val="20"/>
              </w:rPr>
            </w:pPr>
            <w:r w:rsidRPr="00986D56">
              <w:rPr>
                <w:rFonts w:ascii="Arial Narrow" w:hAnsi="Arial Narrow"/>
                <w:sz w:val="20"/>
                <w:szCs w:val="20"/>
              </w:rPr>
              <w:t>Total events, n (%)</w:t>
            </w:r>
          </w:p>
          <w:p w:rsidR="00853683" w:rsidRPr="00986D56" w:rsidRDefault="00853683" w:rsidP="00847271">
            <w:pPr>
              <w:jc w:val="left"/>
              <w:rPr>
                <w:rFonts w:ascii="Arial Narrow" w:hAnsi="Arial Narrow"/>
                <w:sz w:val="20"/>
                <w:szCs w:val="20"/>
              </w:rPr>
            </w:pPr>
            <w:r w:rsidRPr="00986D56">
              <w:rPr>
                <w:rFonts w:ascii="Arial Narrow" w:hAnsi="Arial Narrow"/>
                <w:sz w:val="20"/>
                <w:szCs w:val="20"/>
              </w:rPr>
              <w:t>- Death, n (%)</w:t>
            </w:r>
          </w:p>
          <w:p w:rsidR="00853683" w:rsidRPr="00986D56" w:rsidRDefault="00853683" w:rsidP="00847271">
            <w:pPr>
              <w:jc w:val="left"/>
              <w:rPr>
                <w:rFonts w:ascii="Arial Narrow" w:hAnsi="Arial Narrow"/>
                <w:sz w:val="20"/>
                <w:szCs w:val="20"/>
              </w:rPr>
            </w:pPr>
            <w:r w:rsidRPr="00986D56">
              <w:rPr>
                <w:rFonts w:ascii="Arial Narrow" w:hAnsi="Arial Narrow"/>
                <w:sz w:val="20"/>
                <w:szCs w:val="20"/>
              </w:rPr>
              <w:t>- Crossover treatment, n (%)</w:t>
            </w:r>
          </w:p>
          <w:p w:rsidR="00853683" w:rsidRPr="00986D56" w:rsidRDefault="00853683" w:rsidP="00847271">
            <w:pPr>
              <w:jc w:val="left"/>
              <w:rPr>
                <w:rFonts w:ascii="Arial Narrow" w:hAnsi="Arial Narrow"/>
                <w:sz w:val="20"/>
                <w:szCs w:val="20"/>
              </w:rPr>
            </w:pPr>
            <w:r w:rsidRPr="00986D56">
              <w:rPr>
                <w:rFonts w:ascii="Arial Narrow" w:hAnsi="Arial Narrow"/>
                <w:sz w:val="20"/>
                <w:szCs w:val="20"/>
              </w:rPr>
              <w:t>- Subsequent anti-cancer therapy, n (%)</w:t>
            </w:r>
          </w:p>
        </w:tc>
        <w:tc>
          <w:tcPr>
            <w:tcW w:w="1091" w:type="pct"/>
            <w:shd w:val="clear" w:color="auto" w:fill="FFFFFF"/>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13 (7.3</w:t>
            </w:r>
            <w:r w:rsidR="00F0797A"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8 (4.5</w:t>
            </w:r>
            <w:r w:rsidR="00AE04C5"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0</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5 (2.8</w:t>
            </w:r>
            <w:r w:rsidR="00AE04C5" w:rsidRPr="00986D56">
              <w:rPr>
                <w:rFonts w:ascii="Arial Narrow" w:hAnsi="Arial Narrow"/>
                <w:iCs/>
                <w:sz w:val="20"/>
                <w:szCs w:val="20"/>
              </w:rPr>
              <w:t>%</w:t>
            </w:r>
            <w:r w:rsidRPr="00986D56">
              <w:rPr>
                <w:rFonts w:ascii="Arial Narrow" w:hAnsi="Arial Narrow"/>
                <w:iCs/>
                <w:sz w:val="20"/>
                <w:szCs w:val="20"/>
              </w:rPr>
              <w:t>)</w:t>
            </w:r>
          </w:p>
        </w:tc>
        <w:tc>
          <w:tcPr>
            <w:tcW w:w="1091" w:type="pct"/>
            <w:shd w:val="clear" w:color="auto" w:fill="FFFFFF"/>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21 (11.7</w:t>
            </w:r>
            <w:r w:rsidR="00AE04C5"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10 (5.6</w:t>
            </w:r>
            <w:r w:rsidR="00AE04C5"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0</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11 (6.1</w:t>
            </w:r>
            <w:r w:rsidR="00AE04C5" w:rsidRPr="00986D56">
              <w:rPr>
                <w:rFonts w:ascii="Arial Narrow" w:hAnsi="Arial Narrow"/>
                <w:iCs/>
                <w:sz w:val="20"/>
                <w:szCs w:val="20"/>
              </w:rPr>
              <w:t>%</w:t>
            </w:r>
            <w:r w:rsidRPr="00986D56">
              <w:rPr>
                <w:rFonts w:ascii="Arial Narrow" w:hAnsi="Arial Narrow"/>
                <w:iCs/>
                <w:sz w:val="20"/>
                <w:szCs w:val="20"/>
              </w:rPr>
              <w:t>)</w:t>
            </w:r>
          </w:p>
        </w:tc>
        <w:tc>
          <w:tcPr>
            <w:tcW w:w="1092" w:type="pct"/>
            <w:shd w:val="clear" w:color="auto" w:fill="FFFFFF"/>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70 (39.5</w:t>
            </w:r>
            <w:r w:rsidR="00AE04C5"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15 (8.5</w:t>
            </w:r>
            <w:r w:rsidR="00AE04C5"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45 (25.4</w:t>
            </w:r>
            <w:r w:rsidR="00AE04C5" w:rsidRPr="00986D56">
              <w:rPr>
                <w:rFonts w:ascii="Arial Narrow" w:hAnsi="Arial Narrow"/>
                <w:iCs/>
                <w:sz w:val="20"/>
                <w:szCs w:val="20"/>
              </w:rPr>
              <w:t>%</w:t>
            </w:r>
            <w:r w:rsidRPr="00986D56">
              <w:rPr>
                <w:rFonts w:ascii="Arial Narrow" w:hAnsi="Arial Narrow"/>
                <w:iCs/>
                <w:sz w:val="20"/>
                <w:szCs w:val="20"/>
              </w:rPr>
              <w:t>)</w:t>
            </w:r>
          </w:p>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10 (5.6</w:t>
            </w:r>
            <w:r w:rsidR="00AE04C5" w:rsidRPr="00986D56">
              <w:rPr>
                <w:rFonts w:ascii="Arial Narrow" w:hAnsi="Arial Narrow"/>
                <w:iCs/>
                <w:sz w:val="20"/>
                <w:szCs w:val="20"/>
              </w:rPr>
              <w:t>%</w:t>
            </w:r>
            <w:r w:rsidRPr="00986D56">
              <w:rPr>
                <w:rFonts w:ascii="Arial Narrow" w:hAnsi="Arial Narrow"/>
                <w:iCs/>
                <w:sz w:val="20"/>
                <w:szCs w:val="20"/>
              </w:rPr>
              <w:t>)</w:t>
            </w:r>
          </w:p>
        </w:tc>
      </w:tr>
      <w:tr w:rsidR="00853683" w:rsidRPr="00EF4FFA" w:rsidTr="00986D56">
        <w:tc>
          <w:tcPr>
            <w:tcW w:w="1726" w:type="pct"/>
            <w:vAlign w:val="center"/>
          </w:tcPr>
          <w:p w:rsidR="00853683" w:rsidRPr="00986D56" w:rsidRDefault="00853683" w:rsidP="00847271">
            <w:pPr>
              <w:jc w:val="left"/>
              <w:rPr>
                <w:rFonts w:ascii="Arial Narrow" w:hAnsi="Arial Narrow"/>
                <w:iCs/>
                <w:sz w:val="20"/>
                <w:szCs w:val="20"/>
              </w:rPr>
            </w:pPr>
            <w:r w:rsidRPr="00986D56">
              <w:rPr>
                <w:rFonts w:ascii="Arial Narrow" w:hAnsi="Arial Narrow"/>
                <w:sz w:val="20"/>
                <w:szCs w:val="20"/>
              </w:rPr>
              <w:t>Median TTNT, months (95% CI)</w:t>
            </w:r>
          </w:p>
        </w:tc>
        <w:tc>
          <w:tcPr>
            <w:tcW w:w="1091" w:type="pct"/>
            <w:shd w:val="clear" w:color="auto" w:fill="FFFFFF"/>
            <w:vAlign w:val="center"/>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Not reached (NE)</w:t>
            </w:r>
          </w:p>
        </w:tc>
        <w:tc>
          <w:tcPr>
            <w:tcW w:w="1091" w:type="pct"/>
            <w:shd w:val="clear" w:color="auto" w:fill="FFFFFF"/>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Not reached (NE)</w:t>
            </w:r>
          </w:p>
        </w:tc>
        <w:tc>
          <w:tcPr>
            <w:tcW w:w="1092" w:type="pct"/>
            <w:shd w:val="clear" w:color="auto" w:fill="FFFFFF"/>
            <w:vAlign w:val="center"/>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Not reached (28.9, NE)</w:t>
            </w:r>
          </w:p>
        </w:tc>
      </w:tr>
      <w:tr w:rsidR="00853683" w:rsidRPr="00EF4FFA" w:rsidTr="00986D56">
        <w:tc>
          <w:tcPr>
            <w:tcW w:w="1726" w:type="pct"/>
          </w:tcPr>
          <w:p w:rsidR="00853683" w:rsidRPr="00986D56" w:rsidRDefault="00853683" w:rsidP="00847271">
            <w:pPr>
              <w:jc w:val="left"/>
              <w:rPr>
                <w:rFonts w:ascii="Arial Narrow" w:hAnsi="Arial Narrow"/>
                <w:sz w:val="20"/>
                <w:szCs w:val="20"/>
              </w:rPr>
            </w:pPr>
            <w:r w:rsidRPr="00986D56">
              <w:rPr>
                <w:rFonts w:ascii="Arial Narrow" w:hAnsi="Arial Narrow"/>
                <w:sz w:val="20"/>
                <w:szCs w:val="20"/>
              </w:rPr>
              <w:t>Stratified HR vs CHL + OBI (95% CI)</w:t>
            </w:r>
          </w:p>
        </w:tc>
        <w:tc>
          <w:tcPr>
            <w:tcW w:w="1091" w:type="pct"/>
            <w:shd w:val="clear" w:color="auto" w:fill="FFFFFF"/>
          </w:tcPr>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0.14 (0.08, 0.26)</w:t>
            </w:r>
          </w:p>
        </w:tc>
        <w:tc>
          <w:tcPr>
            <w:tcW w:w="1091" w:type="pct"/>
            <w:shd w:val="clear" w:color="auto" w:fill="FFFFFF"/>
            <w:vAlign w:val="center"/>
          </w:tcPr>
          <w:p w:rsidR="00853683" w:rsidRPr="00986D56" w:rsidRDefault="00853683" w:rsidP="00847271">
            <w:pPr>
              <w:jc w:val="center"/>
              <w:rPr>
                <w:rFonts w:ascii="Arial Narrow" w:hAnsi="Arial Narrow"/>
                <w:b/>
                <w:iCs/>
                <w:sz w:val="20"/>
                <w:szCs w:val="20"/>
              </w:rPr>
            </w:pPr>
            <w:r w:rsidRPr="00986D56">
              <w:rPr>
                <w:rFonts w:ascii="Arial Narrow" w:hAnsi="Arial Narrow"/>
                <w:b/>
                <w:iCs/>
                <w:sz w:val="20"/>
                <w:szCs w:val="20"/>
              </w:rPr>
              <w:t>0.24 (0.15, 0.40)</w:t>
            </w:r>
          </w:p>
        </w:tc>
        <w:tc>
          <w:tcPr>
            <w:tcW w:w="1092" w:type="pct"/>
            <w:shd w:val="clear" w:color="auto" w:fill="FFFFFF"/>
            <w:vAlign w:val="center"/>
          </w:tcPr>
          <w:p w:rsidR="00853683" w:rsidRPr="00986D56" w:rsidRDefault="00853683" w:rsidP="00847271">
            <w:pPr>
              <w:jc w:val="center"/>
              <w:rPr>
                <w:rFonts w:ascii="Arial Narrow" w:hAnsi="Arial Narrow"/>
                <w:iCs/>
                <w:sz w:val="20"/>
                <w:szCs w:val="20"/>
              </w:rPr>
            </w:pPr>
            <w:r w:rsidRPr="00986D56">
              <w:rPr>
                <w:rFonts w:ascii="Arial Narrow" w:hAnsi="Arial Narrow"/>
                <w:iCs/>
                <w:sz w:val="20"/>
                <w:szCs w:val="20"/>
              </w:rPr>
              <w:t>-</w:t>
            </w:r>
          </w:p>
        </w:tc>
      </w:tr>
      <w:tr w:rsidR="00EF39D5" w:rsidRPr="00EF4FFA" w:rsidTr="00986D56">
        <w:tc>
          <w:tcPr>
            <w:tcW w:w="1726" w:type="pct"/>
          </w:tcPr>
          <w:p w:rsidR="00EF39D5" w:rsidRPr="00986D56" w:rsidRDefault="00EF39D5" w:rsidP="00EF39D5">
            <w:pPr>
              <w:widowControl w:val="0"/>
              <w:jc w:val="left"/>
              <w:rPr>
                <w:rFonts w:ascii="Arial Narrow" w:hAnsi="Arial Narrow"/>
                <w:snapToGrid w:val="0"/>
                <w:sz w:val="20"/>
                <w:szCs w:val="20"/>
              </w:rPr>
            </w:pPr>
            <w:r w:rsidRPr="00986D56">
              <w:rPr>
                <w:rFonts w:ascii="Arial Narrow" w:hAnsi="Arial Narrow"/>
                <w:snapToGrid w:val="0"/>
                <w:sz w:val="20"/>
                <w:szCs w:val="20"/>
              </w:rPr>
              <w:t>KM estimate of TTNT</w:t>
            </w:r>
          </w:p>
          <w:p w:rsidR="00EF39D5" w:rsidRPr="00986D56" w:rsidRDefault="00EF39D5" w:rsidP="00EF39D5">
            <w:pPr>
              <w:widowControl w:val="0"/>
              <w:jc w:val="left"/>
              <w:rPr>
                <w:rFonts w:ascii="Arial Narrow" w:hAnsi="Arial Narrow"/>
                <w:snapToGrid w:val="0"/>
                <w:sz w:val="20"/>
                <w:szCs w:val="20"/>
              </w:rPr>
            </w:pPr>
            <w:r w:rsidRPr="00986D56">
              <w:rPr>
                <w:rFonts w:ascii="Arial Narrow" w:hAnsi="Arial Narrow"/>
                <w:snapToGrid w:val="0"/>
                <w:sz w:val="20"/>
                <w:szCs w:val="20"/>
              </w:rPr>
              <w:t>- 6 months, % (95% CI)</w:t>
            </w:r>
          </w:p>
          <w:p w:rsidR="00EF39D5" w:rsidRPr="00986D56" w:rsidRDefault="00EF39D5" w:rsidP="00EF39D5">
            <w:pPr>
              <w:widowControl w:val="0"/>
              <w:jc w:val="left"/>
              <w:rPr>
                <w:rFonts w:ascii="Arial Narrow" w:hAnsi="Arial Narrow"/>
                <w:snapToGrid w:val="0"/>
                <w:sz w:val="20"/>
                <w:szCs w:val="20"/>
              </w:rPr>
            </w:pPr>
            <w:r w:rsidRPr="00986D56">
              <w:rPr>
                <w:rFonts w:ascii="Arial Narrow" w:hAnsi="Arial Narrow"/>
                <w:snapToGrid w:val="0"/>
                <w:sz w:val="20"/>
                <w:szCs w:val="20"/>
              </w:rPr>
              <w:t>- 12 months, % (95% CI)</w:t>
            </w:r>
          </w:p>
          <w:p w:rsidR="00EF39D5" w:rsidRPr="00986D56" w:rsidRDefault="00EF39D5" w:rsidP="00EF39D5">
            <w:pPr>
              <w:jc w:val="left"/>
              <w:rPr>
                <w:rFonts w:ascii="Arial Narrow" w:hAnsi="Arial Narrow"/>
                <w:snapToGrid w:val="0"/>
                <w:sz w:val="20"/>
                <w:szCs w:val="20"/>
              </w:rPr>
            </w:pPr>
            <w:r w:rsidRPr="00986D56">
              <w:rPr>
                <w:rFonts w:ascii="Arial Narrow" w:hAnsi="Arial Narrow"/>
                <w:snapToGrid w:val="0"/>
                <w:sz w:val="20"/>
                <w:szCs w:val="20"/>
              </w:rPr>
              <w:t>- 18 months, % (95% CI)</w:t>
            </w:r>
          </w:p>
          <w:p w:rsidR="00EF39D5" w:rsidRPr="00986D56" w:rsidRDefault="00EF39D5" w:rsidP="00EF39D5">
            <w:pPr>
              <w:jc w:val="left"/>
              <w:rPr>
                <w:rFonts w:ascii="Arial Narrow" w:hAnsi="Arial Narrow"/>
                <w:snapToGrid w:val="0"/>
                <w:sz w:val="20"/>
                <w:szCs w:val="20"/>
              </w:rPr>
            </w:pPr>
            <w:r w:rsidRPr="00986D56">
              <w:rPr>
                <w:rFonts w:ascii="Arial Narrow" w:hAnsi="Arial Narrow"/>
                <w:snapToGrid w:val="0"/>
                <w:sz w:val="20"/>
                <w:szCs w:val="20"/>
              </w:rPr>
              <w:t>- 24 months, % (95% CI)</w:t>
            </w:r>
          </w:p>
          <w:p w:rsidR="00EF39D5" w:rsidRPr="00986D56" w:rsidRDefault="00EF39D5" w:rsidP="00EF39D5">
            <w:pPr>
              <w:jc w:val="left"/>
              <w:rPr>
                <w:rFonts w:ascii="Arial Narrow" w:hAnsi="Arial Narrow"/>
                <w:snapToGrid w:val="0"/>
                <w:sz w:val="20"/>
                <w:szCs w:val="20"/>
              </w:rPr>
            </w:pPr>
            <w:r w:rsidRPr="00986D56">
              <w:rPr>
                <w:rFonts w:ascii="Arial Narrow" w:hAnsi="Arial Narrow"/>
                <w:snapToGrid w:val="0"/>
                <w:sz w:val="20"/>
                <w:szCs w:val="20"/>
              </w:rPr>
              <w:t>- 30 months, % (95% CI)</w:t>
            </w:r>
          </w:p>
          <w:p w:rsidR="00EF39D5" w:rsidRPr="00986D56" w:rsidRDefault="00EF39D5" w:rsidP="00EF39D5">
            <w:pPr>
              <w:jc w:val="left"/>
              <w:rPr>
                <w:rFonts w:ascii="Arial Narrow" w:hAnsi="Arial Narrow"/>
                <w:sz w:val="20"/>
                <w:szCs w:val="20"/>
              </w:rPr>
            </w:pPr>
            <w:r w:rsidRPr="00986D56">
              <w:rPr>
                <w:rFonts w:ascii="Arial Narrow" w:hAnsi="Arial Narrow"/>
                <w:snapToGrid w:val="0"/>
                <w:sz w:val="20"/>
                <w:szCs w:val="20"/>
              </w:rPr>
              <w:t>- 36 months, % (95% CI)</w:t>
            </w:r>
          </w:p>
        </w:tc>
        <w:tc>
          <w:tcPr>
            <w:tcW w:w="1091" w:type="pct"/>
            <w:shd w:val="clear" w:color="auto" w:fill="FFFFFF"/>
          </w:tcPr>
          <w:p w:rsidR="00EF39D5" w:rsidRPr="00986D56" w:rsidRDefault="00EF39D5" w:rsidP="00EF39D5">
            <w:pPr>
              <w:jc w:val="center"/>
              <w:rPr>
                <w:rFonts w:ascii="Arial Narrow" w:hAnsi="Arial Narrow"/>
                <w:iCs/>
                <w:sz w:val="20"/>
                <w:szCs w:val="20"/>
              </w:rPr>
            </w:pP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97.8</w:t>
            </w:r>
            <w:r w:rsidR="00AE04C5" w:rsidRPr="00986D56">
              <w:rPr>
                <w:rFonts w:ascii="Arial Narrow" w:hAnsi="Arial Narrow"/>
                <w:iCs/>
                <w:sz w:val="20"/>
                <w:szCs w:val="20"/>
              </w:rPr>
              <w:t>%</w:t>
            </w:r>
            <w:r w:rsidRPr="00986D56">
              <w:rPr>
                <w:rFonts w:ascii="Arial Narrow" w:hAnsi="Arial Narrow"/>
                <w:iCs/>
                <w:sz w:val="20"/>
                <w:szCs w:val="20"/>
              </w:rPr>
              <w:t xml:space="preserve"> (94.2, 99.2)</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94.9</w:t>
            </w:r>
            <w:r w:rsidR="00AE04C5" w:rsidRPr="00986D56">
              <w:rPr>
                <w:rFonts w:ascii="Arial Narrow" w:hAnsi="Arial Narrow"/>
                <w:iCs/>
                <w:sz w:val="20"/>
                <w:szCs w:val="20"/>
              </w:rPr>
              <w:t>%</w:t>
            </w:r>
            <w:r w:rsidRPr="00986D56">
              <w:rPr>
                <w:rFonts w:ascii="Arial Narrow" w:hAnsi="Arial Narrow"/>
                <w:iCs/>
                <w:sz w:val="20"/>
                <w:szCs w:val="20"/>
              </w:rPr>
              <w:t xml:space="preserve"> (90.5, 97.3)</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93.2</w:t>
            </w:r>
            <w:r w:rsidR="00AE04C5" w:rsidRPr="00986D56">
              <w:rPr>
                <w:rFonts w:ascii="Arial Narrow" w:hAnsi="Arial Narrow"/>
                <w:iCs/>
                <w:sz w:val="20"/>
                <w:szCs w:val="20"/>
              </w:rPr>
              <w:t>%</w:t>
            </w:r>
            <w:r w:rsidRPr="00986D56">
              <w:rPr>
                <w:rFonts w:ascii="Arial Narrow" w:hAnsi="Arial Narrow"/>
                <w:iCs/>
                <w:sz w:val="20"/>
                <w:szCs w:val="20"/>
              </w:rPr>
              <w:t xml:space="preserve"> (88.4, 96.1)</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93.2</w:t>
            </w:r>
            <w:r w:rsidR="00AE04C5" w:rsidRPr="00986D56">
              <w:rPr>
                <w:rFonts w:ascii="Arial Narrow" w:hAnsi="Arial Narrow"/>
                <w:iCs/>
                <w:sz w:val="20"/>
                <w:szCs w:val="20"/>
              </w:rPr>
              <w:t>%</w:t>
            </w:r>
            <w:r w:rsidRPr="00986D56">
              <w:rPr>
                <w:rFonts w:ascii="Arial Narrow" w:hAnsi="Arial Narrow"/>
                <w:iCs/>
                <w:sz w:val="20"/>
                <w:szCs w:val="20"/>
              </w:rPr>
              <w:t xml:space="preserve"> (88.4, 96.1)</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93.2</w:t>
            </w:r>
            <w:r w:rsidR="00AE04C5" w:rsidRPr="00986D56">
              <w:rPr>
                <w:rFonts w:ascii="Arial Narrow" w:hAnsi="Arial Narrow"/>
                <w:iCs/>
                <w:sz w:val="20"/>
                <w:szCs w:val="20"/>
              </w:rPr>
              <w:t>%</w:t>
            </w:r>
            <w:r w:rsidRPr="00986D56">
              <w:rPr>
                <w:rFonts w:ascii="Arial Narrow" w:hAnsi="Arial Narrow"/>
                <w:iCs/>
                <w:sz w:val="20"/>
                <w:szCs w:val="20"/>
              </w:rPr>
              <w:t xml:space="preserve"> (88.4, 96.1)</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90.0</w:t>
            </w:r>
            <w:r w:rsidR="00AE04C5" w:rsidRPr="00986D56">
              <w:rPr>
                <w:rFonts w:ascii="Arial Narrow" w:hAnsi="Arial Narrow"/>
                <w:iCs/>
                <w:sz w:val="20"/>
                <w:szCs w:val="20"/>
              </w:rPr>
              <w:t>%</w:t>
            </w:r>
            <w:r w:rsidRPr="00986D56">
              <w:rPr>
                <w:rFonts w:ascii="Arial Narrow" w:hAnsi="Arial Narrow"/>
                <w:iCs/>
                <w:sz w:val="20"/>
                <w:szCs w:val="20"/>
              </w:rPr>
              <w:t xml:space="preserve"> (80.0, 95.2)</w:t>
            </w:r>
          </w:p>
        </w:tc>
        <w:tc>
          <w:tcPr>
            <w:tcW w:w="1091" w:type="pct"/>
            <w:shd w:val="clear" w:color="auto" w:fill="FFFFFF"/>
          </w:tcPr>
          <w:p w:rsidR="00EF39D5" w:rsidRPr="00986D56" w:rsidRDefault="00EF39D5" w:rsidP="00EF39D5">
            <w:pPr>
              <w:jc w:val="center"/>
              <w:rPr>
                <w:rFonts w:ascii="Arial Narrow" w:hAnsi="Arial Narrow"/>
                <w:iCs/>
                <w:sz w:val="20"/>
                <w:szCs w:val="20"/>
              </w:rPr>
            </w:pP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96.6</w:t>
            </w:r>
            <w:r w:rsidR="00AE04C5" w:rsidRPr="00986D56">
              <w:rPr>
                <w:rFonts w:ascii="Arial Narrow" w:hAnsi="Arial Narrow"/>
                <w:iCs/>
                <w:sz w:val="20"/>
                <w:szCs w:val="20"/>
              </w:rPr>
              <w:t>%</w:t>
            </w:r>
            <w:r w:rsidRPr="00986D56">
              <w:rPr>
                <w:rFonts w:ascii="Arial Narrow" w:hAnsi="Arial Narrow"/>
                <w:iCs/>
                <w:sz w:val="20"/>
                <w:szCs w:val="20"/>
              </w:rPr>
              <w:t xml:space="preserve"> (92.6, 98.5)</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94.3</w:t>
            </w:r>
            <w:r w:rsidR="00AE04C5" w:rsidRPr="00986D56">
              <w:rPr>
                <w:rFonts w:ascii="Arial Narrow" w:hAnsi="Arial Narrow"/>
                <w:iCs/>
                <w:sz w:val="20"/>
                <w:szCs w:val="20"/>
              </w:rPr>
              <w:t>%</w:t>
            </w:r>
            <w:r w:rsidRPr="00986D56">
              <w:rPr>
                <w:rFonts w:ascii="Arial Narrow" w:hAnsi="Arial Narrow"/>
                <w:iCs/>
                <w:sz w:val="20"/>
                <w:szCs w:val="20"/>
              </w:rPr>
              <w:t xml:space="preserve"> (89.7, 96.9)</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92.6</w:t>
            </w:r>
            <w:r w:rsidR="00AE04C5" w:rsidRPr="00986D56">
              <w:rPr>
                <w:rFonts w:ascii="Arial Narrow" w:hAnsi="Arial Narrow"/>
                <w:iCs/>
                <w:sz w:val="20"/>
                <w:szCs w:val="20"/>
              </w:rPr>
              <w:t>%</w:t>
            </w:r>
            <w:r w:rsidRPr="00986D56">
              <w:rPr>
                <w:rFonts w:ascii="Arial Narrow" w:hAnsi="Arial Narrow"/>
                <w:iCs/>
                <w:sz w:val="20"/>
                <w:szCs w:val="20"/>
              </w:rPr>
              <w:t xml:space="preserve"> (87.5, 95.6)</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90.2</w:t>
            </w:r>
            <w:r w:rsidR="00AE04C5" w:rsidRPr="00986D56">
              <w:rPr>
                <w:rFonts w:ascii="Arial Narrow" w:hAnsi="Arial Narrow"/>
                <w:iCs/>
                <w:sz w:val="20"/>
                <w:szCs w:val="20"/>
              </w:rPr>
              <w:t>%</w:t>
            </w:r>
            <w:r w:rsidRPr="00986D56">
              <w:rPr>
                <w:rFonts w:ascii="Arial Narrow" w:hAnsi="Arial Narrow"/>
                <w:iCs/>
                <w:sz w:val="20"/>
                <w:szCs w:val="20"/>
              </w:rPr>
              <w:t xml:space="preserve"> (84.7, 93.8)</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87.9</w:t>
            </w:r>
            <w:r w:rsidR="00AE04C5" w:rsidRPr="00986D56">
              <w:rPr>
                <w:rFonts w:ascii="Arial Narrow" w:hAnsi="Arial Narrow"/>
                <w:iCs/>
                <w:sz w:val="20"/>
                <w:szCs w:val="20"/>
              </w:rPr>
              <w:t>%</w:t>
            </w:r>
            <w:r w:rsidRPr="00986D56">
              <w:rPr>
                <w:rFonts w:ascii="Arial Narrow" w:hAnsi="Arial Narrow"/>
                <w:iCs/>
                <w:sz w:val="20"/>
                <w:szCs w:val="20"/>
              </w:rPr>
              <w:t xml:space="preserve"> (81.8, 92.1)</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86.3</w:t>
            </w:r>
            <w:r w:rsidR="00AE04C5" w:rsidRPr="00986D56">
              <w:rPr>
                <w:rFonts w:ascii="Arial Narrow" w:hAnsi="Arial Narrow"/>
                <w:iCs/>
                <w:sz w:val="20"/>
                <w:szCs w:val="20"/>
              </w:rPr>
              <w:t>%</w:t>
            </w:r>
            <w:r w:rsidRPr="00986D56">
              <w:rPr>
                <w:rFonts w:ascii="Arial Narrow" w:hAnsi="Arial Narrow"/>
                <w:iCs/>
                <w:sz w:val="20"/>
                <w:szCs w:val="20"/>
              </w:rPr>
              <w:t xml:space="preserve"> (79.2, 91.1)</w:t>
            </w:r>
          </w:p>
        </w:tc>
        <w:tc>
          <w:tcPr>
            <w:tcW w:w="1092" w:type="pct"/>
            <w:shd w:val="clear" w:color="auto" w:fill="FFFFFF"/>
          </w:tcPr>
          <w:p w:rsidR="00EF39D5" w:rsidRPr="00986D56" w:rsidRDefault="00EF39D5" w:rsidP="00EF39D5">
            <w:pPr>
              <w:jc w:val="center"/>
              <w:rPr>
                <w:rFonts w:ascii="Arial Narrow" w:hAnsi="Arial Narrow"/>
                <w:iCs/>
                <w:sz w:val="20"/>
                <w:szCs w:val="20"/>
              </w:rPr>
            </w:pP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95.3</w:t>
            </w:r>
            <w:r w:rsidR="00AE04C5" w:rsidRPr="00986D56">
              <w:rPr>
                <w:rFonts w:ascii="Arial Narrow" w:hAnsi="Arial Narrow"/>
                <w:iCs/>
                <w:sz w:val="20"/>
                <w:szCs w:val="20"/>
              </w:rPr>
              <w:t>%</w:t>
            </w:r>
            <w:r w:rsidRPr="00986D56">
              <w:rPr>
                <w:rFonts w:ascii="Arial Narrow" w:hAnsi="Arial Narrow"/>
                <w:iCs/>
                <w:sz w:val="20"/>
                <w:szCs w:val="20"/>
              </w:rPr>
              <w:t xml:space="preserve"> (90.9, 97.6)</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92.9</w:t>
            </w:r>
            <w:r w:rsidR="00AE04C5" w:rsidRPr="00986D56">
              <w:rPr>
                <w:rFonts w:ascii="Arial Narrow" w:hAnsi="Arial Narrow"/>
                <w:iCs/>
                <w:sz w:val="20"/>
                <w:szCs w:val="20"/>
              </w:rPr>
              <w:t>%</w:t>
            </w:r>
            <w:r w:rsidRPr="00986D56">
              <w:rPr>
                <w:rFonts w:ascii="Arial Narrow" w:hAnsi="Arial Narrow"/>
                <w:iCs/>
                <w:sz w:val="20"/>
                <w:szCs w:val="20"/>
              </w:rPr>
              <w:t xml:space="preserve"> (87.9, 95.9)</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78.5</w:t>
            </w:r>
            <w:r w:rsidR="00AE04C5" w:rsidRPr="00986D56">
              <w:rPr>
                <w:rFonts w:ascii="Arial Narrow" w:hAnsi="Arial Narrow"/>
                <w:iCs/>
                <w:sz w:val="20"/>
                <w:szCs w:val="20"/>
              </w:rPr>
              <w:t>%</w:t>
            </w:r>
            <w:r w:rsidRPr="00986D56">
              <w:rPr>
                <w:rFonts w:ascii="Arial Narrow" w:hAnsi="Arial Narrow"/>
                <w:iCs/>
                <w:sz w:val="20"/>
                <w:szCs w:val="20"/>
              </w:rPr>
              <w:t xml:space="preserve"> (71.5, 84.0)</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67.0</w:t>
            </w:r>
            <w:r w:rsidR="00AE04C5" w:rsidRPr="00986D56">
              <w:rPr>
                <w:rFonts w:ascii="Arial Narrow" w:hAnsi="Arial Narrow"/>
                <w:iCs/>
                <w:sz w:val="20"/>
                <w:szCs w:val="20"/>
              </w:rPr>
              <w:t>%</w:t>
            </w:r>
            <w:r w:rsidRPr="00986D56">
              <w:rPr>
                <w:rFonts w:ascii="Arial Narrow" w:hAnsi="Arial Narrow"/>
                <w:iCs/>
                <w:sz w:val="20"/>
                <w:szCs w:val="20"/>
              </w:rPr>
              <w:t xml:space="preserve"> (59.2, 73.6)</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55.5</w:t>
            </w:r>
            <w:r w:rsidR="00AE04C5" w:rsidRPr="00986D56">
              <w:rPr>
                <w:rFonts w:ascii="Arial Narrow" w:hAnsi="Arial Narrow"/>
                <w:iCs/>
                <w:sz w:val="20"/>
                <w:szCs w:val="20"/>
              </w:rPr>
              <w:t>%</w:t>
            </w:r>
            <w:r w:rsidRPr="00986D56">
              <w:rPr>
                <w:rFonts w:ascii="Arial Narrow" w:hAnsi="Arial Narrow"/>
                <w:iCs/>
                <w:sz w:val="20"/>
                <w:szCs w:val="20"/>
              </w:rPr>
              <w:t xml:space="preserve"> (46.5, 63.5)</w:t>
            </w:r>
          </w:p>
          <w:p w:rsidR="00EF39D5" w:rsidRPr="00986D56" w:rsidRDefault="00EF39D5" w:rsidP="00EF39D5">
            <w:pPr>
              <w:jc w:val="center"/>
              <w:rPr>
                <w:rFonts w:ascii="Arial Narrow" w:hAnsi="Arial Narrow"/>
                <w:iCs/>
                <w:sz w:val="20"/>
                <w:szCs w:val="20"/>
              </w:rPr>
            </w:pPr>
            <w:r w:rsidRPr="00986D56">
              <w:rPr>
                <w:rFonts w:ascii="Arial Narrow" w:hAnsi="Arial Narrow"/>
                <w:iCs/>
                <w:sz w:val="20"/>
                <w:szCs w:val="20"/>
              </w:rPr>
              <w:t>50.2</w:t>
            </w:r>
            <w:r w:rsidR="00AE04C5" w:rsidRPr="00986D56">
              <w:rPr>
                <w:rFonts w:ascii="Arial Narrow" w:hAnsi="Arial Narrow"/>
                <w:iCs/>
                <w:sz w:val="20"/>
                <w:szCs w:val="20"/>
              </w:rPr>
              <w:t>%</w:t>
            </w:r>
            <w:r w:rsidRPr="00986D56">
              <w:rPr>
                <w:rFonts w:ascii="Arial Narrow" w:hAnsi="Arial Narrow"/>
                <w:iCs/>
                <w:sz w:val="20"/>
                <w:szCs w:val="20"/>
              </w:rPr>
              <w:t xml:space="preserve"> (40.3, 59.3)</w:t>
            </w:r>
          </w:p>
        </w:tc>
      </w:tr>
    </w:tbl>
    <w:p w:rsidR="009728AA" w:rsidRPr="00EF4FFA" w:rsidRDefault="009728AA" w:rsidP="00986D56">
      <w:pPr>
        <w:pStyle w:val="TableFigureFooter"/>
      </w:pPr>
      <w:r w:rsidRPr="00EF4FFA">
        <w:t>ACAL = acalabrutinib; CHL = chlorambucil; CI = confidence interval; HR = hazard ratio; KM = Kaplan-Meier; NE = not estimable; OBI = obinutuzumab; TTNT = time to next treatment.</w:t>
      </w:r>
    </w:p>
    <w:p w:rsidR="00853683" w:rsidRPr="00EF4FFA" w:rsidRDefault="00853683" w:rsidP="00986D56">
      <w:pPr>
        <w:pStyle w:val="TableFigureFooter"/>
      </w:pPr>
      <w:r w:rsidRPr="00EF4FFA">
        <w:t>Source: Table 2.23, p.68 of the submission; Table 20, p118 of the ELEVATE-TN interim clinical study report.</w:t>
      </w:r>
    </w:p>
    <w:p w:rsidR="00853683" w:rsidRPr="00EF4FFA" w:rsidRDefault="00786A6E" w:rsidP="00853683">
      <w:pPr>
        <w:pStyle w:val="ExecSumBodyText"/>
      </w:pPr>
      <w:r>
        <w:rPr>
          <w:snapToGrid/>
        </w:rPr>
        <w:t>6.27</w:t>
      </w:r>
      <w:r>
        <w:rPr>
          <w:snapToGrid/>
        </w:rPr>
        <w:tab/>
      </w:r>
      <w:r w:rsidR="00853683" w:rsidRPr="00EF4FFA">
        <w:rPr>
          <w:snapToGrid/>
        </w:rPr>
        <w:t xml:space="preserve">At a median duration of follow-up of 28 months, time to next treatment was statistically significantly longer among patients in the acalabrutinib + obinutuzumab </w:t>
      </w:r>
      <w:r w:rsidR="00853683" w:rsidRPr="00EF4FFA">
        <w:rPr>
          <w:snapToGrid/>
        </w:rPr>
        <w:lastRenderedPageBreak/>
        <w:t>and acalabrutinib monotherapy arms compared to the chlorambucil + obinutuzumab arm (median not reached in any arm; HR = 0.14</w:t>
      </w:r>
      <w:r w:rsidR="007C453B" w:rsidRPr="00EF4FFA">
        <w:rPr>
          <w:snapToGrid/>
        </w:rPr>
        <w:t xml:space="preserve"> [</w:t>
      </w:r>
      <w:r w:rsidR="00853683" w:rsidRPr="00EF4FFA">
        <w:rPr>
          <w:snapToGrid/>
        </w:rPr>
        <w:t>95% CI: 0.08, 0.26</w:t>
      </w:r>
      <w:r w:rsidR="007C453B" w:rsidRPr="00EF4FFA">
        <w:rPr>
          <w:snapToGrid/>
        </w:rPr>
        <w:t xml:space="preserve">] </w:t>
      </w:r>
      <w:r w:rsidR="00853683" w:rsidRPr="00EF4FFA">
        <w:rPr>
          <w:snapToGrid/>
        </w:rPr>
        <w:t>for acalabrutinib + obinutuzumab</w:t>
      </w:r>
      <w:r w:rsidR="007C453B" w:rsidRPr="00EF4FFA">
        <w:rPr>
          <w:snapToGrid/>
        </w:rPr>
        <w:t xml:space="preserve"> versus chlorambucil + obinutuzumab; HR = 0.24 [95% CI 0.15, 0.40] for acalabrutinib monotherapy versus chlorambucil + obinutuzumab)</w:t>
      </w:r>
      <w:r w:rsidR="00853683" w:rsidRPr="00EF4FFA">
        <w:rPr>
          <w:snapToGrid/>
        </w:rPr>
        <w:t>. At the interim analysis, 25% of patients in the chlorambucil + obinutuzumab treatment arm had crossed over to receive acalabrutinib treatment.</w:t>
      </w:r>
      <w:r w:rsidR="00BC66E3" w:rsidRPr="00EF4FFA">
        <w:rPr>
          <w:snapToGrid/>
        </w:rPr>
        <w:t xml:space="preserve"> The availability of </w:t>
      </w:r>
      <w:r w:rsidR="00686EEB" w:rsidRPr="00EF4FFA">
        <w:rPr>
          <w:snapToGrid/>
        </w:rPr>
        <w:t xml:space="preserve">crossover treatment with </w:t>
      </w:r>
      <w:r w:rsidR="00BC66E3" w:rsidRPr="00EF4FFA">
        <w:rPr>
          <w:snapToGrid/>
        </w:rPr>
        <w:t xml:space="preserve">acalabrutinib monotherapy for patients with confirmed disease progression </w:t>
      </w:r>
      <w:r w:rsidR="00686EEB" w:rsidRPr="00EF4FFA">
        <w:rPr>
          <w:snapToGrid/>
        </w:rPr>
        <w:t xml:space="preserve">in the chlorambucil + obinutuzumab arm may </w:t>
      </w:r>
      <w:r w:rsidR="00737C3E" w:rsidRPr="00EF4FFA">
        <w:rPr>
          <w:snapToGrid/>
        </w:rPr>
        <w:t xml:space="preserve">have </w:t>
      </w:r>
      <w:r w:rsidR="00686EEB" w:rsidRPr="00EF4FFA">
        <w:rPr>
          <w:snapToGrid/>
        </w:rPr>
        <w:t>influence</w:t>
      </w:r>
      <w:r w:rsidR="00737C3E" w:rsidRPr="00EF4FFA">
        <w:rPr>
          <w:snapToGrid/>
        </w:rPr>
        <w:t>d</w:t>
      </w:r>
      <w:r w:rsidR="00686EEB" w:rsidRPr="00EF4FFA">
        <w:rPr>
          <w:snapToGrid/>
        </w:rPr>
        <w:t xml:space="preserve"> the time to next treatment in the chlorambucil + obinutuzumab arm.</w:t>
      </w:r>
      <w:r w:rsidR="00686EEB" w:rsidRPr="00EF4FFA">
        <w:rPr>
          <w:i/>
          <w:snapToGrid/>
        </w:rPr>
        <w:t xml:space="preserve"> </w:t>
      </w:r>
    </w:p>
    <w:p w:rsidR="00853683" w:rsidRPr="00EF4FFA" w:rsidRDefault="00786A6E" w:rsidP="00377CAF">
      <w:pPr>
        <w:pStyle w:val="ExecSumBodyText"/>
      </w:pPr>
      <w:r>
        <w:t>6.28</w:t>
      </w:r>
      <w:r>
        <w:tab/>
      </w:r>
      <w:r w:rsidR="00853683" w:rsidRPr="00EF4FFA">
        <w:t xml:space="preserve">Patients across all three arms showed improvements in the FACIT-Fatigue Global Fatigue Score that exceeded the nominated clinically important difference of </w:t>
      </w:r>
      <w:r w:rsidR="0017554E" w:rsidRPr="00EF4FFA">
        <w:t>three</w:t>
      </w:r>
      <w:r w:rsidR="00853683" w:rsidRPr="00EF4FFA">
        <w:t xml:space="preserve"> points. There were no statistically significant differences between groups for any</w:t>
      </w:r>
      <w:r w:rsidR="00377CAF" w:rsidRPr="00EF4FFA">
        <w:t xml:space="preserve"> of the FACIT-Fatigue domains. </w:t>
      </w:r>
    </w:p>
    <w:p w:rsidR="00853683" w:rsidRPr="00EF4FFA" w:rsidRDefault="00786A6E" w:rsidP="00853683">
      <w:pPr>
        <w:pStyle w:val="ExecSumBodyText"/>
      </w:pPr>
      <w:r>
        <w:t>6.29</w:t>
      </w:r>
      <w:r>
        <w:tab/>
      </w:r>
      <w:r w:rsidR="00377CAF" w:rsidRPr="00EF4FFA">
        <w:t xml:space="preserve">For the EORTC QLQ-C30, </w:t>
      </w:r>
      <w:r w:rsidR="00853683" w:rsidRPr="00EF4FFA">
        <w:t xml:space="preserve">statistically significant differences favouring chlorambucil + obinutuzumab </w:t>
      </w:r>
      <w:r w:rsidR="00377CAF" w:rsidRPr="00EF4FFA">
        <w:t xml:space="preserve">were noted for </w:t>
      </w:r>
      <w:r w:rsidR="00853683" w:rsidRPr="00EF4FFA">
        <w:t>role functioning at Week 96, fatigue at Week 24 and diarrhoea at Week 24</w:t>
      </w:r>
      <w:r w:rsidR="00377CAF" w:rsidRPr="00EF4FFA">
        <w:t xml:space="preserve"> compared to acalabrutinib + obinutuzumab, and for </w:t>
      </w:r>
      <w:r w:rsidR="00853683" w:rsidRPr="00EF4FFA">
        <w:t>role functioning at W</w:t>
      </w:r>
      <w:r w:rsidR="00377CAF" w:rsidRPr="00EF4FFA">
        <w:t>eek 96 and diarrhoea at Week 24 compared to acalabrutinib monotherapy.</w:t>
      </w:r>
    </w:p>
    <w:p w:rsidR="00853683" w:rsidRPr="00EF4FFA" w:rsidRDefault="00786A6E" w:rsidP="00377CAF">
      <w:pPr>
        <w:pStyle w:val="ExecSumBodyText"/>
      </w:pPr>
      <w:r>
        <w:t>6.30</w:t>
      </w:r>
      <w:r>
        <w:tab/>
      </w:r>
      <w:r w:rsidR="00853683" w:rsidRPr="00EF4FFA">
        <w:t>There were no statistically significant differences between groups for the EQ-5D visual analogue scale scores at Week 24 or Week 96.</w:t>
      </w:r>
      <w:r w:rsidR="00377CAF" w:rsidRPr="00EF4FFA">
        <w:t xml:space="preserve"> Results for the change from baseline in EQ-5D-5L overall scores were not provided.</w:t>
      </w:r>
    </w:p>
    <w:p w:rsidR="00377CAF" w:rsidRPr="00EF4FFA" w:rsidRDefault="00377CAF" w:rsidP="00377CAF">
      <w:pPr>
        <w:pStyle w:val="4-SubsectSubhead"/>
      </w:pPr>
      <w:bookmarkStart w:id="14" w:name="_Toc30588521"/>
      <w:r w:rsidRPr="00EF4FFA">
        <w:t>Matching adjusted indirect comparisons (MAIC</w:t>
      </w:r>
      <w:r w:rsidR="00A93FAB" w:rsidRPr="00EF4FFA">
        <w:t>s</w:t>
      </w:r>
      <w:r w:rsidRPr="00EF4FFA">
        <w:t>)</w:t>
      </w:r>
      <w:bookmarkEnd w:id="14"/>
    </w:p>
    <w:p w:rsidR="00377CAF" w:rsidRPr="00EF4FFA" w:rsidRDefault="00786A6E" w:rsidP="00377CAF">
      <w:pPr>
        <w:pStyle w:val="ExecSumBodyText"/>
      </w:pPr>
      <w:r>
        <w:t>6.31</w:t>
      </w:r>
      <w:r>
        <w:tab/>
      </w:r>
      <w:r w:rsidR="00377CAF" w:rsidRPr="00EF4FFA">
        <w:t>The submission presented the results of three unanchored MAICs:</w:t>
      </w:r>
    </w:p>
    <w:p w:rsidR="00E7264E" w:rsidRPr="00EF4FFA" w:rsidRDefault="00E7264E" w:rsidP="0093038C">
      <w:pPr>
        <w:pStyle w:val="ListParagraph"/>
        <w:numPr>
          <w:ilvl w:val="0"/>
          <w:numId w:val="24"/>
        </w:numPr>
        <w:ind w:left="1077" w:hanging="357"/>
      </w:pPr>
      <w:r w:rsidRPr="00EF4FFA">
        <w:t>A comparison of acalabrutinib + obinutuzumab versus venetoclax + obinutuzumab based on individual patient data from the ELEVATE-TN trial and published data for the CLL-14 trial;</w:t>
      </w:r>
    </w:p>
    <w:p w:rsidR="00E7264E" w:rsidRPr="00EF4FFA" w:rsidRDefault="00E7264E" w:rsidP="0093038C">
      <w:pPr>
        <w:pStyle w:val="ListParagraph"/>
        <w:numPr>
          <w:ilvl w:val="0"/>
          <w:numId w:val="24"/>
        </w:numPr>
        <w:spacing w:after="120"/>
        <w:ind w:left="1077" w:hanging="357"/>
      </w:pPr>
      <w:r w:rsidRPr="00EF4FFA">
        <w:t>A comparison of acalabrutinib monotherapy versus venetoclax + obinutuzumab based on individual patient data from the ELEVATE-TN trial and published data for the CLL-14 trial;</w:t>
      </w:r>
    </w:p>
    <w:p w:rsidR="00E7264E" w:rsidRPr="00EF4FFA" w:rsidRDefault="00FA6E01" w:rsidP="0093038C">
      <w:pPr>
        <w:pStyle w:val="ListParagraph"/>
        <w:numPr>
          <w:ilvl w:val="0"/>
          <w:numId w:val="24"/>
        </w:numPr>
        <w:spacing w:after="120"/>
        <w:ind w:left="1077" w:hanging="357"/>
      </w:pPr>
      <w:r w:rsidRPr="00EF4FFA">
        <w:t>A comparison of acalabrutinib monotherapy versus ibrutinib monotherapy based on individual patient data from the ELEVATE-TN trial and published data for the RESONATE-2 trial</w:t>
      </w:r>
      <w:r w:rsidR="00E7264E" w:rsidRPr="00EF4FFA">
        <w:t xml:space="preserve">. The RESONATE-2 trial excluded patients with 17p deletion and only 8.9% (16/179) of patients in the acalabrutinib monotherapy arm of the ELEVATE-TN trial had 17p deletion. The submission argued that the results </w:t>
      </w:r>
      <w:r w:rsidR="00737C3E" w:rsidRPr="00EF4FFA">
        <w:t xml:space="preserve">of the comparison </w:t>
      </w:r>
      <w:r w:rsidR="000F0503" w:rsidRPr="00EF4FFA">
        <w:t xml:space="preserve">based on the </w:t>
      </w:r>
      <w:r w:rsidR="00E7264E" w:rsidRPr="00EF4FFA">
        <w:t>full trial population</w:t>
      </w:r>
      <w:r w:rsidR="000F0503" w:rsidRPr="00EF4FFA">
        <w:t>s</w:t>
      </w:r>
      <w:r w:rsidR="00E7264E" w:rsidRPr="00EF4FFA">
        <w:t xml:space="preserve"> could be used as a proxy for patients with 17p deletion. </w:t>
      </w:r>
      <w:r w:rsidR="00487FC1" w:rsidRPr="00EF4FFA">
        <w:t xml:space="preserve">The ESC considered that the </w:t>
      </w:r>
      <w:r w:rsidR="00182872" w:rsidRPr="00EF4FFA">
        <w:t>outcomes</w:t>
      </w:r>
      <w:r w:rsidR="00502903" w:rsidRPr="00EF4FFA">
        <w:t xml:space="preserve"> </w:t>
      </w:r>
      <w:r w:rsidR="00487FC1" w:rsidRPr="00EF4FFA">
        <w:t xml:space="preserve">of BTK inhibitors in patients with 17p deletion would </w:t>
      </w:r>
      <w:r w:rsidR="003D6738" w:rsidRPr="00EF4FFA">
        <w:t xml:space="preserve">likely </w:t>
      </w:r>
      <w:r w:rsidR="00487FC1" w:rsidRPr="00EF4FFA">
        <w:t xml:space="preserve">be similar to the </w:t>
      </w:r>
      <w:r w:rsidR="00182872" w:rsidRPr="00EF4FFA">
        <w:t>outcomes</w:t>
      </w:r>
      <w:r w:rsidR="00502903" w:rsidRPr="00EF4FFA">
        <w:t xml:space="preserve"> </w:t>
      </w:r>
      <w:r w:rsidR="003D6738" w:rsidRPr="00EF4FFA">
        <w:t>in</w:t>
      </w:r>
      <w:r w:rsidR="00487FC1" w:rsidRPr="00EF4FFA">
        <w:t xml:space="preserve"> patients without 17p deletion.</w:t>
      </w:r>
      <w:r w:rsidR="00810607" w:rsidRPr="00EF4FFA">
        <w:t xml:space="preserve"> The PBAC agreed that the </w:t>
      </w:r>
      <w:r w:rsidR="00182872" w:rsidRPr="00EF4FFA">
        <w:t>outcomes</w:t>
      </w:r>
      <w:r w:rsidR="00810607" w:rsidRPr="00EF4FFA">
        <w:t xml:space="preserve"> would likely be similar, but considered that a comparison </w:t>
      </w:r>
      <w:r w:rsidR="00B01885" w:rsidRPr="00EF4FFA">
        <w:t xml:space="preserve">of results for patients with and without 17p deletion </w:t>
      </w:r>
      <w:r w:rsidR="00810607" w:rsidRPr="00EF4FFA">
        <w:t xml:space="preserve">would be </w:t>
      </w:r>
      <w:r w:rsidR="000A5B9B" w:rsidRPr="00EF4FFA">
        <w:t>informative</w:t>
      </w:r>
      <w:r w:rsidR="00810607" w:rsidRPr="00EF4FFA">
        <w:t>.</w:t>
      </w:r>
    </w:p>
    <w:p w:rsidR="002F0A5A" w:rsidRPr="00EF4FFA" w:rsidRDefault="00786A6E" w:rsidP="002F0A5A">
      <w:pPr>
        <w:pStyle w:val="ExecSumBodyText"/>
      </w:pPr>
      <w:r>
        <w:lastRenderedPageBreak/>
        <w:t>6.32</w:t>
      </w:r>
      <w:r>
        <w:tab/>
      </w:r>
      <w:r w:rsidR="002F0A5A" w:rsidRPr="00EF4FFA">
        <w:t>Summary results of the MAICs are presented in Table 8.</w:t>
      </w:r>
    </w:p>
    <w:p w:rsidR="002F0A5A" w:rsidRPr="00EF4FFA" w:rsidRDefault="00FF16EE" w:rsidP="00986D56">
      <w:pPr>
        <w:pStyle w:val="TableFigureCaption"/>
      </w:pPr>
      <w:r w:rsidRPr="00EF4FFA">
        <w:t>Table 8</w:t>
      </w:r>
      <w:r w:rsidR="002F0A5A" w:rsidRPr="00EF4FFA">
        <w:t xml:space="preserve">: </w:t>
      </w:r>
      <w:r w:rsidRPr="00EF4FFA">
        <w:t xml:space="preserve">Results of the </w:t>
      </w:r>
      <w:r w:rsidR="00102DDB" w:rsidRPr="00EF4FFA">
        <w:t>MAICs</w:t>
      </w:r>
      <w:r w:rsidR="002A6EC2" w:rsidRPr="00EF4FFA">
        <w:t xml:space="preserve"> versus ibrutinib monotherapy and venetoclax + obinutuzumab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10"/>
        <w:gridCol w:w="2110"/>
        <w:gridCol w:w="2108"/>
      </w:tblGrid>
      <w:tr w:rsidR="000758A8" w:rsidRPr="00EF4FFA" w:rsidTr="00986D56">
        <w:tc>
          <w:tcPr>
            <w:tcW w:w="1491" w:type="pct"/>
          </w:tcPr>
          <w:p w:rsidR="000758A8" w:rsidRPr="00EF4FFA" w:rsidRDefault="000758A8" w:rsidP="00F22FCB">
            <w:pPr>
              <w:keepNext/>
              <w:rPr>
                <w:rFonts w:ascii="Arial Narrow" w:hAnsi="Arial Narrow"/>
                <w:sz w:val="20"/>
              </w:rPr>
            </w:pPr>
          </w:p>
        </w:tc>
        <w:tc>
          <w:tcPr>
            <w:tcW w:w="1170" w:type="pct"/>
            <w:vAlign w:val="center"/>
          </w:tcPr>
          <w:p w:rsidR="000758A8" w:rsidRPr="00EF4FFA" w:rsidRDefault="000758A8" w:rsidP="00F22FCB">
            <w:pPr>
              <w:keepNext/>
              <w:jc w:val="center"/>
              <w:rPr>
                <w:rFonts w:ascii="Arial Narrow" w:hAnsi="Arial Narrow"/>
                <w:b/>
                <w:sz w:val="20"/>
              </w:rPr>
            </w:pPr>
            <w:r w:rsidRPr="00EF4FFA">
              <w:rPr>
                <w:rFonts w:ascii="Arial Narrow" w:hAnsi="Arial Narrow"/>
                <w:b/>
                <w:sz w:val="20"/>
              </w:rPr>
              <w:t>ACAL+OBI vs VEN+OBI</w:t>
            </w:r>
          </w:p>
        </w:tc>
        <w:tc>
          <w:tcPr>
            <w:tcW w:w="1170" w:type="pct"/>
            <w:vAlign w:val="center"/>
          </w:tcPr>
          <w:p w:rsidR="000758A8" w:rsidRPr="00EF4FFA" w:rsidRDefault="000758A8" w:rsidP="00F22FCB">
            <w:pPr>
              <w:keepNext/>
              <w:jc w:val="center"/>
              <w:rPr>
                <w:rFonts w:ascii="Arial Narrow" w:hAnsi="Arial Narrow"/>
                <w:b/>
                <w:sz w:val="20"/>
              </w:rPr>
            </w:pPr>
            <w:r w:rsidRPr="00EF4FFA">
              <w:rPr>
                <w:rFonts w:ascii="Arial Narrow" w:hAnsi="Arial Narrow"/>
                <w:b/>
                <w:sz w:val="20"/>
              </w:rPr>
              <w:t>ACAL vs VEN+OBI</w:t>
            </w:r>
          </w:p>
        </w:tc>
        <w:tc>
          <w:tcPr>
            <w:tcW w:w="1170" w:type="pct"/>
            <w:vAlign w:val="center"/>
          </w:tcPr>
          <w:p w:rsidR="000758A8" w:rsidRPr="00EF4FFA" w:rsidRDefault="000758A8" w:rsidP="00F22FCB">
            <w:pPr>
              <w:keepNext/>
              <w:jc w:val="center"/>
              <w:rPr>
                <w:rFonts w:ascii="Arial Narrow" w:hAnsi="Arial Narrow"/>
                <w:b/>
                <w:sz w:val="20"/>
              </w:rPr>
            </w:pPr>
            <w:r w:rsidRPr="00EF4FFA">
              <w:rPr>
                <w:rFonts w:ascii="Arial Narrow" w:hAnsi="Arial Narrow"/>
                <w:b/>
                <w:sz w:val="20"/>
              </w:rPr>
              <w:t>ACAL vs IBR</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Patients in acalabrutinib arm in ELEVATE-TN</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179</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179</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179</w:t>
            </w:r>
          </w:p>
        </w:tc>
      </w:tr>
      <w:tr w:rsidR="000758A8" w:rsidRPr="00EF4FFA" w:rsidTr="00986D56">
        <w:tc>
          <w:tcPr>
            <w:tcW w:w="1491" w:type="pct"/>
          </w:tcPr>
          <w:p w:rsidR="000758A8" w:rsidRPr="00EF4FFA" w:rsidRDefault="000758A8" w:rsidP="00F22FCB">
            <w:pPr>
              <w:keepNext/>
              <w:jc w:val="left"/>
              <w:rPr>
                <w:rFonts w:ascii="Arial Narrow" w:hAnsi="Arial Narrow"/>
                <w:sz w:val="20"/>
                <w:vertAlign w:val="superscript"/>
              </w:rPr>
            </w:pPr>
            <w:r w:rsidRPr="00EF4FFA">
              <w:rPr>
                <w:rFonts w:ascii="Arial Narrow" w:hAnsi="Arial Narrow"/>
                <w:sz w:val="20"/>
              </w:rPr>
              <w:t>Acalabrutinib patients included in MAIC prior to matching</w:t>
            </w:r>
            <w:r w:rsidRPr="00EF4FFA">
              <w:rPr>
                <w:rFonts w:ascii="Arial Narrow" w:hAnsi="Arial Narrow"/>
                <w:sz w:val="20"/>
                <w:vertAlign w:val="superscript"/>
              </w:rPr>
              <w:t>1</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136</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Acalabrutinib effective sample size after matching</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79</w:t>
            </w:r>
          </w:p>
        </w:tc>
      </w:tr>
      <w:tr w:rsidR="000758A8" w:rsidRPr="00EF4FFA" w:rsidTr="00986D56">
        <w:tc>
          <w:tcPr>
            <w:tcW w:w="5000" w:type="pct"/>
            <w:gridSpan w:val="4"/>
            <w:vAlign w:val="center"/>
          </w:tcPr>
          <w:p w:rsidR="000758A8" w:rsidRPr="00EF4FFA" w:rsidRDefault="000758A8" w:rsidP="00F22FCB">
            <w:pPr>
              <w:keepNext/>
              <w:rPr>
                <w:rFonts w:ascii="Arial Narrow" w:hAnsi="Arial Narrow"/>
                <w:sz w:val="20"/>
              </w:rPr>
            </w:pPr>
            <w:r w:rsidRPr="00EF4FFA">
              <w:rPr>
                <w:rFonts w:ascii="Arial Narrow" w:hAnsi="Arial Narrow"/>
                <w:b/>
                <w:sz w:val="20"/>
              </w:rPr>
              <w:t>Progression free survival: HR (95% CI)</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Prior to MAIC adjustment (naïve</w:t>
            </w:r>
            <w:r w:rsidR="00E25798">
              <w:rPr>
                <w:rFonts w:ascii="Arial Narrow" w:hAnsi="Arial Narrow"/>
                <w:sz w:val="20"/>
              </w:rPr>
              <w:t xml:space="preserve"> </w:t>
            </w:r>
            <w:r w:rsidRPr="00EF4FFA">
              <w:rPr>
                <w:rFonts w:ascii="Arial Narrow" w:hAnsi="Arial Narrow"/>
                <w:sz w:val="20"/>
              </w:rPr>
              <w:t>comparison)</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0.76 (0.39, 1.51)</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After MAIC adjustment</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0.92 (0.44, 1.95)</w:t>
            </w:r>
          </w:p>
        </w:tc>
      </w:tr>
      <w:tr w:rsidR="000758A8" w:rsidRPr="00EF4FFA" w:rsidTr="00986D56">
        <w:tc>
          <w:tcPr>
            <w:tcW w:w="5000" w:type="pct"/>
            <w:gridSpan w:val="4"/>
            <w:vAlign w:val="center"/>
          </w:tcPr>
          <w:p w:rsidR="000758A8" w:rsidRPr="00BF3740" w:rsidRDefault="000758A8" w:rsidP="00F22FCB">
            <w:pPr>
              <w:keepNext/>
              <w:rPr>
                <w:rFonts w:ascii="Arial Narrow" w:hAnsi="Arial Narrow"/>
                <w:sz w:val="20"/>
              </w:rPr>
            </w:pPr>
            <w:r w:rsidRPr="00625D44">
              <w:rPr>
                <w:rFonts w:ascii="Arial Narrow" w:hAnsi="Arial Narrow"/>
                <w:b/>
                <w:sz w:val="20"/>
              </w:rPr>
              <w:t>Overall survival: HR (95% CI)</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Prior to MAIC adjustment (naïve</w:t>
            </w:r>
            <w:r w:rsidR="00E25798">
              <w:rPr>
                <w:rFonts w:ascii="Arial Narrow" w:hAnsi="Arial Narrow"/>
                <w:sz w:val="20"/>
              </w:rPr>
              <w:t xml:space="preserve"> </w:t>
            </w:r>
            <w:r w:rsidRPr="00EF4FFA">
              <w:rPr>
                <w:rFonts w:ascii="Arial Narrow" w:hAnsi="Arial Narrow"/>
                <w:sz w:val="20"/>
              </w:rPr>
              <w:t>comparison)</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0.64 (0.26, 1.57)</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After MAIC adjustment</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noProof/>
                <w:color w:val="000000"/>
                <w:sz w:val="20"/>
                <w:highlight w:val="black"/>
              </w:rPr>
              <w:t>'''''''''' ''''''''''''' '''''''''''''</w:t>
            </w:r>
          </w:p>
        </w:tc>
        <w:tc>
          <w:tcPr>
            <w:tcW w:w="1170" w:type="pct"/>
            <w:vAlign w:val="center"/>
          </w:tcPr>
          <w:p w:rsidR="000758A8" w:rsidRPr="00EF4FFA" w:rsidRDefault="000758A8" w:rsidP="00F22FCB">
            <w:pPr>
              <w:keepNext/>
              <w:jc w:val="center"/>
              <w:rPr>
                <w:rFonts w:ascii="Arial Narrow" w:hAnsi="Arial Narrow"/>
                <w:sz w:val="20"/>
              </w:rPr>
            </w:pPr>
            <w:r w:rsidRPr="00EF4FFA">
              <w:rPr>
                <w:rFonts w:ascii="Arial Narrow" w:hAnsi="Arial Narrow"/>
                <w:sz w:val="20"/>
              </w:rPr>
              <w:t>0.73 (0.27, 2.02)</w:t>
            </w:r>
          </w:p>
        </w:tc>
      </w:tr>
      <w:tr w:rsidR="000758A8" w:rsidRPr="00EF4FFA" w:rsidTr="00986D56">
        <w:tc>
          <w:tcPr>
            <w:tcW w:w="5000" w:type="pct"/>
            <w:gridSpan w:val="4"/>
          </w:tcPr>
          <w:p w:rsidR="000758A8" w:rsidRPr="00BF3740" w:rsidRDefault="000758A8" w:rsidP="00F22FCB">
            <w:pPr>
              <w:keepNext/>
              <w:jc w:val="left"/>
              <w:rPr>
                <w:rFonts w:ascii="Arial Narrow" w:hAnsi="Arial Narrow"/>
                <w:b/>
                <w:sz w:val="20"/>
              </w:rPr>
            </w:pPr>
            <w:r w:rsidRPr="00625D44">
              <w:rPr>
                <w:rFonts w:ascii="Arial Narrow" w:hAnsi="Arial Narrow"/>
                <w:b/>
                <w:sz w:val="20"/>
              </w:rPr>
              <w:t>Overall response rate: OR (95% CI)</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Prior to MAIC adjustment (naïve</w:t>
            </w:r>
            <w:r w:rsidR="00E25798">
              <w:rPr>
                <w:rFonts w:ascii="Arial Narrow" w:hAnsi="Arial Narrow"/>
                <w:sz w:val="20"/>
              </w:rPr>
              <w:t xml:space="preserve"> </w:t>
            </w:r>
            <w:r w:rsidRPr="00EF4FFA">
              <w:rPr>
                <w:rFonts w:ascii="Arial Narrow" w:hAnsi="Arial Narrow"/>
                <w:sz w:val="20"/>
              </w:rPr>
              <w:t>comparison)</w:t>
            </w:r>
          </w:p>
        </w:tc>
        <w:tc>
          <w:tcPr>
            <w:tcW w:w="1170" w:type="pct"/>
            <w:shd w:val="clear" w:color="auto" w:fill="auto"/>
            <w:vAlign w:val="center"/>
          </w:tcPr>
          <w:p w:rsidR="000758A8" w:rsidRPr="00BF3740" w:rsidRDefault="00BF3740" w:rsidP="00F22FCB">
            <w:pPr>
              <w:keepNext/>
              <w:jc w:val="center"/>
              <w:rPr>
                <w:rFonts w:ascii="Arial Narrow" w:hAnsi="Arial Narrow"/>
                <w:sz w:val="20"/>
                <w:szCs w:val="20"/>
                <w:highlight w:val="black"/>
              </w:rPr>
            </w:pPr>
            <w:r>
              <w:rPr>
                <w:rFonts w:ascii="Arial Narrow" w:hAnsi="Arial Narrow"/>
                <w:noProof/>
                <w:color w:val="000000"/>
                <w:sz w:val="20"/>
                <w:highlight w:val="black"/>
              </w:rPr>
              <w:t>''''''''' ''''''''''' '''''''''''''</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cstheme="minorHAnsi"/>
                <w:noProof/>
                <w:color w:val="000000"/>
                <w:sz w:val="20"/>
                <w:szCs w:val="20"/>
                <w:highlight w:val="black"/>
              </w:rPr>
              <w:t>'''''''' '''''''''''' '''''</w:t>
            </w:r>
          </w:p>
        </w:tc>
        <w:tc>
          <w:tcPr>
            <w:tcW w:w="1170" w:type="pct"/>
            <w:vAlign w:val="center"/>
          </w:tcPr>
          <w:p w:rsidR="000758A8" w:rsidRPr="00EF4FFA" w:rsidRDefault="000758A8" w:rsidP="00F22FCB">
            <w:pPr>
              <w:keepNext/>
              <w:jc w:val="center"/>
              <w:rPr>
                <w:rFonts w:ascii="Arial Narrow" w:hAnsi="Arial Narrow"/>
                <w:sz w:val="20"/>
                <w:szCs w:val="20"/>
              </w:rPr>
            </w:pPr>
            <w:r w:rsidRPr="00EF4FFA">
              <w:rPr>
                <w:rFonts w:ascii="Arial Narrow" w:hAnsi="Arial Narrow"/>
                <w:sz w:val="20"/>
                <w:szCs w:val="20"/>
              </w:rPr>
              <w:t>1.2 (0.5, 2.9)</w:t>
            </w:r>
          </w:p>
        </w:tc>
      </w:tr>
      <w:tr w:rsidR="000758A8" w:rsidRPr="00EF4FFA" w:rsidTr="00986D56">
        <w:tc>
          <w:tcPr>
            <w:tcW w:w="1491" w:type="pct"/>
          </w:tcPr>
          <w:p w:rsidR="000758A8" w:rsidRPr="00EF4FFA" w:rsidRDefault="000758A8" w:rsidP="00F22FCB">
            <w:pPr>
              <w:keepNext/>
              <w:jc w:val="left"/>
              <w:rPr>
                <w:rFonts w:ascii="Arial Narrow" w:hAnsi="Arial Narrow"/>
                <w:sz w:val="20"/>
              </w:rPr>
            </w:pPr>
            <w:r w:rsidRPr="00EF4FFA">
              <w:rPr>
                <w:rFonts w:ascii="Arial Narrow" w:hAnsi="Arial Narrow"/>
                <w:sz w:val="20"/>
              </w:rPr>
              <w:t>After MAIC adjustment</w:t>
            </w:r>
          </w:p>
        </w:tc>
        <w:tc>
          <w:tcPr>
            <w:tcW w:w="1170" w:type="pct"/>
            <w:shd w:val="clear" w:color="auto" w:fill="auto"/>
            <w:vAlign w:val="center"/>
          </w:tcPr>
          <w:p w:rsidR="000758A8" w:rsidRPr="00BF3740" w:rsidRDefault="00BF3740" w:rsidP="00F22FCB">
            <w:pPr>
              <w:keepNext/>
              <w:jc w:val="center"/>
              <w:rPr>
                <w:rFonts w:ascii="Arial Narrow" w:hAnsi="Arial Narrow"/>
                <w:sz w:val="20"/>
                <w:szCs w:val="20"/>
                <w:highlight w:val="black"/>
              </w:rPr>
            </w:pPr>
            <w:r>
              <w:rPr>
                <w:rFonts w:ascii="Arial Narrow" w:hAnsi="Arial Narrow"/>
                <w:noProof/>
                <w:color w:val="000000"/>
                <w:sz w:val="20"/>
                <w:highlight w:val="black"/>
              </w:rPr>
              <w:t>'''''''' ''''''''''' ''''''''''''</w:t>
            </w:r>
          </w:p>
        </w:tc>
        <w:tc>
          <w:tcPr>
            <w:tcW w:w="1170" w:type="pct"/>
            <w:vAlign w:val="center"/>
          </w:tcPr>
          <w:p w:rsidR="000758A8" w:rsidRPr="00BF3740" w:rsidRDefault="00BF3740" w:rsidP="00F22FCB">
            <w:pPr>
              <w:keepNext/>
              <w:jc w:val="center"/>
              <w:rPr>
                <w:rFonts w:ascii="Arial Narrow" w:hAnsi="Arial Narrow"/>
                <w:sz w:val="20"/>
                <w:highlight w:val="black"/>
              </w:rPr>
            </w:pPr>
            <w:r>
              <w:rPr>
                <w:rFonts w:ascii="Arial Narrow" w:hAnsi="Arial Narrow" w:cstheme="minorHAnsi"/>
                <w:noProof/>
                <w:color w:val="000000"/>
                <w:sz w:val="20"/>
                <w:szCs w:val="20"/>
                <w:highlight w:val="black"/>
              </w:rPr>
              <w:t>''' ''''''' ''''''''</w:t>
            </w:r>
          </w:p>
        </w:tc>
        <w:tc>
          <w:tcPr>
            <w:tcW w:w="1170" w:type="pct"/>
            <w:vAlign w:val="center"/>
          </w:tcPr>
          <w:p w:rsidR="000758A8" w:rsidRPr="00EF4FFA" w:rsidRDefault="000758A8" w:rsidP="00F22FCB">
            <w:pPr>
              <w:keepNext/>
              <w:jc w:val="center"/>
              <w:rPr>
                <w:rFonts w:ascii="Arial Narrow" w:hAnsi="Arial Narrow"/>
                <w:sz w:val="20"/>
                <w:szCs w:val="20"/>
              </w:rPr>
            </w:pPr>
            <w:r w:rsidRPr="00EF4FFA">
              <w:rPr>
                <w:rFonts w:ascii="Arial Narrow" w:hAnsi="Arial Narrow"/>
                <w:sz w:val="20"/>
                <w:szCs w:val="20"/>
              </w:rPr>
              <w:t>0.9 (0.4, 2.1)</w:t>
            </w:r>
          </w:p>
        </w:tc>
      </w:tr>
    </w:tbl>
    <w:p w:rsidR="009728AA" w:rsidRPr="00EF4FFA" w:rsidRDefault="009728AA" w:rsidP="00986D56">
      <w:pPr>
        <w:pStyle w:val="TableFigureFooter"/>
      </w:pPr>
      <w:r w:rsidRPr="00EF4FFA">
        <w:t>ACAL = acalabrutinib; CI = confidence interval; HR</w:t>
      </w:r>
      <w:r w:rsidR="00102DDB" w:rsidRPr="00EF4FFA">
        <w:t xml:space="preserve"> =</w:t>
      </w:r>
      <w:r w:rsidRPr="00EF4FFA">
        <w:t xml:space="preserve"> hazard ratio; IBR</w:t>
      </w:r>
      <w:r w:rsidR="00102DDB" w:rsidRPr="00EF4FFA">
        <w:t xml:space="preserve"> =</w:t>
      </w:r>
      <w:r w:rsidRPr="00EF4FFA">
        <w:t xml:space="preserve"> ibrutinib; </w:t>
      </w:r>
      <w:r w:rsidR="00102DDB" w:rsidRPr="00EF4FFA">
        <w:t xml:space="preserve">MAIC = matching adjusted indirect comparison; </w:t>
      </w:r>
      <w:r w:rsidRPr="00EF4FFA">
        <w:t>OBI</w:t>
      </w:r>
      <w:r w:rsidR="00102DDB" w:rsidRPr="00EF4FFA">
        <w:t xml:space="preserve"> =</w:t>
      </w:r>
      <w:r w:rsidRPr="00EF4FFA">
        <w:t xml:space="preserve"> obinutuzumab; OR</w:t>
      </w:r>
      <w:r w:rsidR="00102DDB" w:rsidRPr="00EF4FFA">
        <w:t xml:space="preserve"> =</w:t>
      </w:r>
      <w:r w:rsidRPr="00EF4FFA">
        <w:t xml:space="preserve"> odds ratio; VEN</w:t>
      </w:r>
      <w:r w:rsidR="00102DDB" w:rsidRPr="00EF4FFA">
        <w:t xml:space="preserve"> =</w:t>
      </w:r>
      <w:r w:rsidRPr="00EF4FFA">
        <w:t xml:space="preserve"> venetoclax. </w:t>
      </w:r>
    </w:p>
    <w:p w:rsidR="00FF16EE" w:rsidRPr="005770AE" w:rsidRDefault="00FF16EE" w:rsidP="00986D56">
      <w:pPr>
        <w:pStyle w:val="TableFigureFooter"/>
      </w:pPr>
      <w:r w:rsidRPr="00EF4FFA">
        <w:t xml:space="preserve">Source: </w:t>
      </w:r>
      <w:r w:rsidR="00E841F1" w:rsidRPr="00EF4FFA">
        <w:t>Table 2.41, p.91; Table 2.42</w:t>
      </w:r>
      <w:r w:rsidR="00E841F1" w:rsidRPr="005770AE">
        <w:t>, p.92; Table 2.43, p.92; Table 2.44, p.92</w:t>
      </w:r>
      <w:r w:rsidR="002A6EC2" w:rsidRPr="005770AE">
        <w:t xml:space="preserve"> of the submission.</w:t>
      </w:r>
    </w:p>
    <w:p w:rsidR="002F0A5A" w:rsidRPr="005770AE" w:rsidRDefault="002F0A5A" w:rsidP="00986D56">
      <w:pPr>
        <w:pStyle w:val="TableFigureFooter"/>
      </w:pPr>
      <w:r w:rsidRPr="005770AE">
        <w:rPr>
          <w:vertAlign w:val="superscript"/>
        </w:rPr>
        <w:t>1</w:t>
      </w:r>
      <w:r w:rsidRPr="005770AE">
        <w:t xml:space="preserve"> </w:t>
      </w:r>
      <w:r w:rsidR="002A6EC2" w:rsidRPr="005770AE">
        <w:t xml:space="preserve">For the </w:t>
      </w:r>
      <w:r w:rsidR="007D529F" w:rsidRPr="005770AE">
        <w:t>MAIC</w:t>
      </w:r>
      <w:r w:rsidR="002A6EC2" w:rsidRPr="005770AE">
        <w:t xml:space="preserve"> of acalabrutinib monotherapy versus ibrutinib monotherapy, 43 out of 179 patients in the acalabrutinib arm were excluded</w:t>
      </w:r>
      <w:r w:rsidR="007D529F" w:rsidRPr="005770AE">
        <w:t>; f</w:t>
      </w:r>
      <w:r w:rsidR="002A6EC2" w:rsidRPr="005770AE">
        <w:t xml:space="preserve">or the </w:t>
      </w:r>
      <w:r w:rsidR="007D529F" w:rsidRPr="005770AE">
        <w:t xml:space="preserve">MAIC </w:t>
      </w:r>
      <w:r w:rsidR="002A6EC2" w:rsidRPr="005770AE">
        <w:t>of acalabrutinib + obinutuzumab vers</w:t>
      </w:r>
      <w:r w:rsidR="007D529F" w:rsidRPr="005770AE">
        <w:t>us venetoclax + obinutuzumab, 96</w:t>
      </w:r>
      <w:r w:rsidR="002A6EC2" w:rsidRPr="005770AE">
        <w:t xml:space="preserve"> out of 179 patients in the acalabrutinib +</w:t>
      </w:r>
      <w:r w:rsidR="007D529F" w:rsidRPr="005770AE">
        <w:t xml:space="preserve"> obinutuzumab arm were excluded; f</w:t>
      </w:r>
      <w:r w:rsidR="002A6EC2" w:rsidRPr="005770AE">
        <w:t xml:space="preserve">or </w:t>
      </w:r>
      <w:r w:rsidR="007D529F" w:rsidRPr="005770AE">
        <w:t>the MAIC</w:t>
      </w:r>
      <w:r w:rsidR="002A6EC2" w:rsidRPr="005770AE">
        <w:t xml:space="preserve"> of acalabrutinib monotherapy versus venetoclax</w:t>
      </w:r>
      <w:r w:rsidR="007D529F" w:rsidRPr="005770AE">
        <w:t xml:space="preserve"> + obinutuzumab, 83</w:t>
      </w:r>
      <w:r w:rsidR="002A6EC2" w:rsidRPr="005770AE">
        <w:t xml:space="preserve"> out of 179 patients in the acalabrutinib monotherapy arm were excluded</w:t>
      </w:r>
      <w:r w:rsidR="002A6EC2" w:rsidRPr="005770AE">
        <w:rPr>
          <w:i/>
        </w:rPr>
        <w:t>.</w:t>
      </w:r>
      <w:r w:rsidR="007D529F" w:rsidRPr="005770AE">
        <w:rPr>
          <w:i/>
        </w:rPr>
        <w:t xml:space="preserve"> </w:t>
      </w:r>
      <w:r w:rsidR="007D529F" w:rsidRPr="005770AE">
        <w:t>The underlying reasons for exclusion were not adequately detailed in the submission.</w:t>
      </w:r>
    </w:p>
    <w:p w:rsidR="00786A6E" w:rsidRPr="005770AE" w:rsidRDefault="00786A6E" w:rsidP="00786A6E">
      <w:pPr>
        <w:pStyle w:val="ExecSumBodyText"/>
      </w:pPr>
      <w:r w:rsidRPr="005770AE">
        <w:t>6.33</w:t>
      </w:r>
      <w:r w:rsidRPr="005770AE">
        <w:tab/>
      </w:r>
      <w:r w:rsidR="00052C1D" w:rsidRPr="005770AE">
        <w:t>The PBAC noted that a</w:t>
      </w:r>
      <w:r w:rsidR="00932835" w:rsidRPr="005770AE">
        <w:t xml:space="preserve"> large number of patients were e</w:t>
      </w:r>
      <w:r w:rsidR="000758A8" w:rsidRPr="005770AE">
        <w:t>xcluded from the MAIC analyse</w:t>
      </w:r>
      <w:r w:rsidR="005770AE">
        <w:t>s</w:t>
      </w:r>
      <w:r w:rsidR="00932835" w:rsidRPr="005770AE">
        <w:t xml:space="preserve"> </w:t>
      </w:r>
      <w:r w:rsidR="005770AE">
        <w:t xml:space="preserve">(96 out of 179) </w:t>
      </w:r>
      <w:r w:rsidR="00932835" w:rsidRPr="005770AE">
        <w:t xml:space="preserve">in the acalabrutinib + obinutuzumab arm </w:t>
      </w:r>
      <w:r w:rsidR="000758A8" w:rsidRPr="005770AE">
        <w:t>for</w:t>
      </w:r>
      <w:r w:rsidR="00932835" w:rsidRPr="005770AE">
        <w:t xml:space="preserve"> the comparison versus venetoclax + obinutuzumab; </w:t>
      </w:r>
      <w:r w:rsidR="005770AE">
        <w:t xml:space="preserve">83 out of 179 patients </w:t>
      </w:r>
      <w:r w:rsidR="00932835" w:rsidRPr="005770AE">
        <w:t xml:space="preserve">in the acalabrutinib monotherapy arm </w:t>
      </w:r>
      <w:r w:rsidR="000758A8" w:rsidRPr="005770AE">
        <w:t>for</w:t>
      </w:r>
      <w:r w:rsidR="00932835" w:rsidRPr="005770AE">
        <w:t xml:space="preserve"> the comparison versus venetoclax + obinutuzumab; 43 out of 179 patients in the acalabrutinib arm for the comparison versus ibrutinib monotherapy). </w:t>
      </w:r>
      <w:r w:rsidR="000758A8" w:rsidRPr="005770AE">
        <w:t xml:space="preserve">While these exclusions are likely to be related to differences between the trials in eligibility criteria, the underlying reasons were not adequately </w:t>
      </w:r>
      <w:r w:rsidR="00C719FC" w:rsidRPr="005770AE">
        <w:t>documented</w:t>
      </w:r>
      <w:r w:rsidR="000758A8" w:rsidRPr="005770AE">
        <w:t xml:space="preserve"> in the submission.</w:t>
      </w:r>
    </w:p>
    <w:p w:rsidR="002F0A5A" w:rsidRPr="00EF4FFA" w:rsidRDefault="00786A6E" w:rsidP="00786A6E">
      <w:pPr>
        <w:pStyle w:val="ExecSumBodyText"/>
      </w:pPr>
      <w:r w:rsidRPr="005770AE">
        <w:t>6.34</w:t>
      </w:r>
      <w:r w:rsidRPr="005770AE">
        <w:tab/>
      </w:r>
      <w:r w:rsidR="002F0A5A" w:rsidRPr="005770AE">
        <w:t xml:space="preserve">Matching for the selected variables resulted in an effective sample size of 79 patients for the comparison of acalabrutinib with ibrutinib, </w:t>
      </w:r>
      <w:r w:rsidR="005770AE">
        <w:t>43</w:t>
      </w:r>
      <w:r w:rsidR="002F0A5A" w:rsidRPr="005770AE">
        <w:t xml:space="preserve">patients for the comparison of acalabrutinib + obinutuzumab and venetoclax + obinutuzumab, and </w:t>
      </w:r>
      <w:r w:rsidR="005770AE">
        <w:t>51</w:t>
      </w:r>
      <w:r w:rsidR="002F0A5A" w:rsidRPr="005770AE">
        <w:t>patients for the comparison of acalabrutinib and venetoclax + obinutuzumab, suggesting poor overlap between the trial populations. Post-matching characteristics for variables</w:t>
      </w:r>
      <w:r w:rsidR="002F0A5A" w:rsidRPr="00EF4FFA">
        <w:t xml:space="preserve"> not chosen for matching were not provided and therefore, the impact of the matching on baseline variables that were not </w:t>
      </w:r>
      <w:r w:rsidR="00AA47F2" w:rsidRPr="00EF4FFA">
        <w:t xml:space="preserve">included in the MAIC </w:t>
      </w:r>
      <w:r w:rsidR="002F0A5A" w:rsidRPr="00EF4FFA">
        <w:t>is unclear. Due to the interdependence of variables, and different weights applied to each patient, matching of specific characteristics is likely to affect the distribution of other characteristics. It was unclear whether all relevant prognostic and effect modifier variables were identified.</w:t>
      </w:r>
    </w:p>
    <w:p w:rsidR="00340102" w:rsidRPr="00EF4FFA" w:rsidRDefault="00786A6E" w:rsidP="001812AF">
      <w:pPr>
        <w:pStyle w:val="ExecSumBodyText"/>
      </w:pPr>
      <w:r>
        <w:lastRenderedPageBreak/>
        <w:t>6.35</w:t>
      </w:r>
      <w:r>
        <w:tab/>
      </w:r>
      <w:r w:rsidR="002F0A5A" w:rsidRPr="00EF4FFA">
        <w:t xml:space="preserve">In </w:t>
      </w:r>
      <w:r w:rsidR="00F43923" w:rsidRPr="00EF4FFA">
        <w:t>each</w:t>
      </w:r>
      <w:r w:rsidR="002F0A5A" w:rsidRPr="00EF4FFA">
        <w:t xml:space="preserve"> of the comparisons</w:t>
      </w:r>
      <w:r w:rsidR="00F43923" w:rsidRPr="00EF4FFA">
        <w:t xml:space="preserve"> for pr</w:t>
      </w:r>
      <w:r w:rsidR="008E3636" w:rsidRPr="00EF4FFA">
        <w:t xml:space="preserve">ogression </w:t>
      </w:r>
      <w:r w:rsidR="00F43923" w:rsidRPr="00EF4FFA">
        <w:t>free survival and overall survival</w:t>
      </w:r>
      <w:r w:rsidR="002F0A5A" w:rsidRPr="00EF4FFA">
        <w:t>, there was no stati</w:t>
      </w:r>
      <w:r w:rsidR="00F43923" w:rsidRPr="00EF4FFA">
        <w:t>stically significant difference</w:t>
      </w:r>
      <w:r w:rsidR="002F0A5A" w:rsidRPr="00EF4FFA">
        <w:t xml:space="preserve"> between treatments prior to matching and results remained statistically </w:t>
      </w:r>
      <w:r w:rsidR="007D2CB9">
        <w:t>non-</w:t>
      </w:r>
      <w:r w:rsidR="002F0A5A" w:rsidRPr="00EF4FFA">
        <w:t>significant after matching. A non-inferiority margin was not proposed in the submiss</w:t>
      </w:r>
      <w:r w:rsidR="008E3636" w:rsidRPr="00EF4FFA">
        <w:t xml:space="preserve">ion for progression </w:t>
      </w:r>
      <w:r w:rsidR="002F0A5A" w:rsidRPr="00EF4FFA">
        <w:t>free survival or overall survival. The lack of a statistically significant difference may not be sufficient to establish non-inferiority, as the 95% confidence intervals are wide and likely to include clinically important difference</w:t>
      </w:r>
      <w:r w:rsidR="007D2CB9">
        <w:t>s</w:t>
      </w:r>
      <w:r w:rsidR="002F0A5A" w:rsidRPr="00EF4FFA">
        <w:t>. The results should be interpreted with caution due to the low effective sample size in the acalabrutinib arms after matching.</w:t>
      </w:r>
    </w:p>
    <w:p w:rsidR="00B60939" w:rsidRPr="00EF4FFA" w:rsidRDefault="00B60939" w:rsidP="00D86231">
      <w:pPr>
        <w:pStyle w:val="3-SubsectionHeading"/>
      </w:pPr>
      <w:bookmarkStart w:id="15" w:name="_Toc22897642"/>
      <w:bookmarkStart w:id="16" w:name="_Toc40350901"/>
      <w:r w:rsidRPr="00EF4FFA">
        <w:t>Comparative harms</w:t>
      </w:r>
      <w:bookmarkEnd w:id="15"/>
      <w:bookmarkEnd w:id="16"/>
    </w:p>
    <w:p w:rsidR="00B60939" w:rsidRPr="00EF4FFA" w:rsidRDefault="00786A6E" w:rsidP="00340102">
      <w:pPr>
        <w:pStyle w:val="ExecSumBodyText"/>
      </w:pPr>
      <w:r>
        <w:t>6.36</w:t>
      </w:r>
      <w:r>
        <w:tab/>
      </w:r>
      <w:r w:rsidR="00981F1D" w:rsidRPr="00EF4FFA">
        <w:t>Table 9</w:t>
      </w:r>
      <w:r w:rsidR="00340102" w:rsidRPr="00EF4FFA">
        <w:t xml:space="preserve"> summarises the results of safety outcomes for the ELEVATE-TN trial at the interim analysis.</w:t>
      </w:r>
    </w:p>
    <w:p w:rsidR="00340102" w:rsidRPr="00EF4FFA" w:rsidRDefault="00981F1D" w:rsidP="00986D56">
      <w:pPr>
        <w:pStyle w:val="TableFigureCaption"/>
      </w:pPr>
      <w:r w:rsidRPr="00EF4FFA">
        <w:t>Table 9</w:t>
      </w:r>
      <w:r w:rsidR="00340102" w:rsidRPr="00EF4FFA">
        <w:t>: Summary of adverse events for the ELEVATE-TN trial at the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1778"/>
        <w:gridCol w:w="1778"/>
        <w:gridCol w:w="1778"/>
      </w:tblGrid>
      <w:tr w:rsidR="00340102" w:rsidRPr="00EF4FFA" w:rsidTr="00986D56">
        <w:tc>
          <w:tcPr>
            <w:tcW w:w="2042" w:type="pct"/>
          </w:tcPr>
          <w:p w:rsidR="00340102" w:rsidRPr="00986D56" w:rsidRDefault="00340102" w:rsidP="00847271">
            <w:pPr>
              <w:rPr>
                <w:rFonts w:ascii="Arial Narrow" w:hAnsi="Arial Narrow"/>
                <w:sz w:val="20"/>
                <w:szCs w:val="20"/>
              </w:rPr>
            </w:pPr>
          </w:p>
        </w:tc>
        <w:tc>
          <w:tcPr>
            <w:tcW w:w="986" w:type="pct"/>
            <w:vAlign w:val="center"/>
          </w:tcPr>
          <w:p w:rsidR="00340102" w:rsidRPr="00986D56" w:rsidRDefault="00340102" w:rsidP="00847271">
            <w:pPr>
              <w:jc w:val="center"/>
              <w:rPr>
                <w:rFonts w:ascii="Arial Narrow" w:hAnsi="Arial Narrow"/>
                <w:b/>
                <w:iCs/>
                <w:sz w:val="20"/>
                <w:szCs w:val="20"/>
              </w:rPr>
            </w:pPr>
            <w:r w:rsidRPr="00986D56">
              <w:rPr>
                <w:rFonts w:ascii="Arial Narrow" w:hAnsi="Arial Narrow"/>
                <w:b/>
                <w:iCs/>
                <w:sz w:val="20"/>
                <w:szCs w:val="20"/>
              </w:rPr>
              <w:t>ACAL + OBI</w:t>
            </w:r>
          </w:p>
          <w:p w:rsidR="00340102" w:rsidRPr="00986D56" w:rsidRDefault="00340102" w:rsidP="00847271">
            <w:pPr>
              <w:jc w:val="center"/>
              <w:rPr>
                <w:rFonts w:ascii="Arial Narrow" w:hAnsi="Arial Narrow"/>
                <w:b/>
                <w:sz w:val="20"/>
                <w:szCs w:val="20"/>
              </w:rPr>
            </w:pPr>
            <w:r w:rsidRPr="00986D56">
              <w:rPr>
                <w:rFonts w:ascii="Arial Narrow" w:hAnsi="Arial Narrow"/>
                <w:b/>
                <w:iCs/>
                <w:sz w:val="20"/>
                <w:szCs w:val="20"/>
              </w:rPr>
              <w:t>N=178</w:t>
            </w:r>
          </w:p>
        </w:tc>
        <w:tc>
          <w:tcPr>
            <w:tcW w:w="986" w:type="pct"/>
            <w:vAlign w:val="center"/>
          </w:tcPr>
          <w:p w:rsidR="00340102" w:rsidRPr="00986D56" w:rsidRDefault="00340102" w:rsidP="00847271">
            <w:pPr>
              <w:jc w:val="center"/>
              <w:rPr>
                <w:rFonts w:ascii="Arial Narrow" w:hAnsi="Arial Narrow"/>
                <w:b/>
                <w:sz w:val="20"/>
                <w:szCs w:val="20"/>
              </w:rPr>
            </w:pPr>
            <w:r w:rsidRPr="00986D56">
              <w:rPr>
                <w:rFonts w:ascii="Arial Narrow" w:hAnsi="Arial Narrow"/>
                <w:b/>
                <w:sz w:val="20"/>
                <w:szCs w:val="20"/>
              </w:rPr>
              <w:t>ACAL</w:t>
            </w:r>
          </w:p>
          <w:p w:rsidR="00340102" w:rsidRPr="00986D56" w:rsidRDefault="00340102" w:rsidP="00847271">
            <w:pPr>
              <w:jc w:val="center"/>
              <w:rPr>
                <w:rFonts w:ascii="Arial Narrow" w:hAnsi="Arial Narrow"/>
                <w:b/>
                <w:sz w:val="20"/>
                <w:szCs w:val="20"/>
              </w:rPr>
            </w:pPr>
            <w:r w:rsidRPr="00986D56">
              <w:rPr>
                <w:rFonts w:ascii="Arial Narrow" w:hAnsi="Arial Narrow"/>
                <w:b/>
                <w:sz w:val="20"/>
                <w:szCs w:val="20"/>
              </w:rPr>
              <w:t>N=179</w:t>
            </w:r>
          </w:p>
        </w:tc>
        <w:tc>
          <w:tcPr>
            <w:tcW w:w="986" w:type="pct"/>
            <w:vAlign w:val="center"/>
          </w:tcPr>
          <w:p w:rsidR="00340102" w:rsidRPr="00986D56" w:rsidRDefault="00340102" w:rsidP="00847271">
            <w:pPr>
              <w:jc w:val="center"/>
              <w:rPr>
                <w:rFonts w:ascii="Arial Narrow" w:hAnsi="Arial Narrow"/>
                <w:b/>
                <w:sz w:val="20"/>
                <w:szCs w:val="20"/>
              </w:rPr>
            </w:pPr>
            <w:r w:rsidRPr="00986D56">
              <w:rPr>
                <w:rFonts w:ascii="Arial Narrow" w:hAnsi="Arial Narrow"/>
                <w:b/>
                <w:sz w:val="20"/>
                <w:szCs w:val="20"/>
              </w:rPr>
              <w:t>CHL + OBI</w:t>
            </w:r>
          </w:p>
          <w:p w:rsidR="00340102" w:rsidRPr="00986D56" w:rsidRDefault="00340102" w:rsidP="00847271">
            <w:pPr>
              <w:jc w:val="center"/>
              <w:rPr>
                <w:rFonts w:ascii="Arial Narrow" w:hAnsi="Arial Narrow"/>
                <w:b/>
                <w:sz w:val="20"/>
                <w:szCs w:val="20"/>
              </w:rPr>
            </w:pPr>
            <w:r w:rsidRPr="00986D56">
              <w:rPr>
                <w:rFonts w:ascii="Arial Narrow" w:hAnsi="Arial Narrow"/>
                <w:b/>
                <w:sz w:val="20"/>
                <w:szCs w:val="20"/>
              </w:rPr>
              <w:t>N=169</w:t>
            </w:r>
          </w:p>
        </w:tc>
      </w:tr>
      <w:tr w:rsidR="00674F8F" w:rsidRPr="00EF4FFA" w:rsidTr="00986D56">
        <w:tc>
          <w:tcPr>
            <w:tcW w:w="2042" w:type="pct"/>
          </w:tcPr>
          <w:p w:rsidR="00674F8F" w:rsidRPr="00986D56" w:rsidRDefault="00674F8F" w:rsidP="00674F8F">
            <w:pPr>
              <w:jc w:val="left"/>
              <w:rPr>
                <w:rFonts w:ascii="Arial Narrow" w:hAnsi="Arial Narrow"/>
                <w:sz w:val="20"/>
                <w:szCs w:val="20"/>
              </w:rPr>
            </w:pPr>
            <w:r w:rsidRPr="00986D56">
              <w:rPr>
                <w:rFonts w:ascii="Arial Narrow" w:hAnsi="Arial Narrow"/>
                <w:sz w:val="20"/>
                <w:szCs w:val="20"/>
              </w:rPr>
              <w:t>Median duration of follow-up, months (range)</w:t>
            </w:r>
          </w:p>
        </w:tc>
        <w:tc>
          <w:tcPr>
            <w:tcW w:w="986" w:type="pct"/>
            <w:vAlign w:val="center"/>
          </w:tcPr>
          <w:p w:rsidR="00674F8F" w:rsidRPr="00986D56" w:rsidRDefault="00674F8F" w:rsidP="00B01885">
            <w:pPr>
              <w:jc w:val="center"/>
              <w:rPr>
                <w:rFonts w:ascii="Arial Narrow" w:hAnsi="Arial Narrow"/>
                <w:sz w:val="20"/>
                <w:szCs w:val="20"/>
              </w:rPr>
            </w:pPr>
            <w:r w:rsidRPr="00986D56">
              <w:rPr>
                <w:rFonts w:ascii="Arial Narrow" w:hAnsi="Arial Narrow"/>
                <w:iCs/>
                <w:sz w:val="20"/>
                <w:szCs w:val="20"/>
              </w:rPr>
              <w:t>28.5 (1.7-40.3)</w:t>
            </w:r>
          </w:p>
        </w:tc>
        <w:tc>
          <w:tcPr>
            <w:tcW w:w="986" w:type="pct"/>
            <w:vAlign w:val="center"/>
          </w:tcPr>
          <w:p w:rsidR="00674F8F" w:rsidRPr="00986D56" w:rsidRDefault="00674F8F" w:rsidP="00B01885">
            <w:pPr>
              <w:jc w:val="center"/>
              <w:rPr>
                <w:rFonts w:ascii="Arial Narrow" w:hAnsi="Arial Narrow"/>
                <w:sz w:val="20"/>
                <w:szCs w:val="20"/>
              </w:rPr>
            </w:pPr>
            <w:r w:rsidRPr="00986D56">
              <w:rPr>
                <w:rFonts w:ascii="Arial Narrow" w:hAnsi="Arial Narrow"/>
                <w:iCs/>
                <w:sz w:val="20"/>
                <w:szCs w:val="20"/>
              </w:rPr>
              <w:t>28.4 (0.1-40.8)</w:t>
            </w:r>
          </w:p>
        </w:tc>
        <w:tc>
          <w:tcPr>
            <w:tcW w:w="986" w:type="pct"/>
            <w:vAlign w:val="center"/>
          </w:tcPr>
          <w:p w:rsidR="00674F8F" w:rsidRPr="00986D56" w:rsidRDefault="00674F8F" w:rsidP="00B01885">
            <w:pPr>
              <w:jc w:val="center"/>
              <w:rPr>
                <w:rFonts w:ascii="Arial Narrow" w:hAnsi="Arial Narrow"/>
                <w:sz w:val="20"/>
                <w:szCs w:val="20"/>
              </w:rPr>
            </w:pPr>
            <w:r w:rsidRPr="00986D56">
              <w:rPr>
                <w:rFonts w:ascii="Arial Narrow" w:hAnsi="Arial Narrow"/>
                <w:iCs/>
                <w:sz w:val="20"/>
                <w:szCs w:val="20"/>
              </w:rPr>
              <w:t>28.0 (0.0-40.4)</w:t>
            </w:r>
          </w:p>
        </w:tc>
      </w:tr>
      <w:tr w:rsidR="00340102" w:rsidRPr="00EF4FFA" w:rsidTr="00986D56">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Grade ≥</w:t>
            </w:r>
            <w:r w:rsidR="00F0797A" w:rsidRPr="00986D56">
              <w:rPr>
                <w:rFonts w:ascii="Arial Narrow" w:hAnsi="Arial Narrow"/>
                <w:sz w:val="20"/>
                <w:szCs w:val="20"/>
              </w:rPr>
              <w:t xml:space="preserve"> </w:t>
            </w:r>
            <w:r w:rsidRPr="00986D56">
              <w:rPr>
                <w:rFonts w:ascii="Arial Narrow" w:hAnsi="Arial Narrow"/>
                <w:sz w:val="20"/>
                <w:szCs w:val="20"/>
              </w:rPr>
              <w:t>3 AE, n (%)</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125 (70.2</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89 (49.7</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118 (69.8</w:t>
            </w:r>
            <w:r w:rsidR="00F0797A" w:rsidRPr="00986D56">
              <w:rPr>
                <w:rFonts w:ascii="Arial Narrow" w:hAnsi="Arial Narrow"/>
                <w:sz w:val="20"/>
                <w:szCs w:val="20"/>
              </w:rPr>
              <w:t>%</w:t>
            </w:r>
            <w:r w:rsidRPr="00986D56">
              <w:rPr>
                <w:rFonts w:ascii="Arial Narrow" w:hAnsi="Arial Narrow"/>
                <w:sz w:val="20"/>
                <w:szCs w:val="20"/>
              </w:rPr>
              <w:t>)</w:t>
            </w:r>
          </w:p>
        </w:tc>
      </w:tr>
      <w:tr w:rsidR="00340102" w:rsidRPr="00EF4FFA" w:rsidTr="00986D56">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Serious AE, n (%)</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69 (38.8</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57 (31.8</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37 (21.9</w:t>
            </w:r>
            <w:r w:rsidR="00F0797A" w:rsidRPr="00986D56">
              <w:rPr>
                <w:rFonts w:ascii="Arial Narrow" w:hAnsi="Arial Narrow"/>
                <w:sz w:val="20"/>
                <w:szCs w:val="20"/>
              </w:rPr>
              <w:t>%</w:t>
            </w:r>
            <w:r w:rsidRPr="00986D56">
              <w:rPr>
                <w:rFonts w:ascii="Arial Narrow" w:hAnsi="Arial Narrow"/>
                <w:sz w:val="20"/>
                <w:szCs w:val="20"/>
              </w:rPr>
              <w:t>)</w:t>
            </w:r>
          </w:p>
        </w:tc>
      </w:tr>
      <w:tr w:rsidR="00340102" w:rsidRPr="00EF4FFA" w:rsidTr="00986D56">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Discontinuation due to AE, n (%)</w:t>
            </w:r>
          </w:p>
          <w:p w:rsidR="00340102" w:rsidRPr="00986D56" w:rsidRDefault="00340102" w:rsidP="0093038C">
            <w:pPr>
              <w:pStyle w:val="ListParagraph"/>
              <w:numPr>
                <w:ilvl w:val="0"/>
                <w:numId w:val="8"/>
              </w:numPr>
              <w:ind w:left="170" w:hanging="170"/>
              <w:jc w:val="left"/>
              <w:rPr>
                <w:rFonts w:ascii="Arial Narrow" w:hAnsi="Arial Narrow"/>
                <w:sz w:val="20"/>
                <w:szCs w:val="20"/>
              </w:rPr>
            </w:pPr>
            <w:r w:rsidRPr="00986D56">
              <w:rPr>
                <w:rFonts w:ascii="Arial Narrow" w:hAnsi="Arial Narrow"/>
                <w:sz w:val="20"/>
                <w:szCs w:val="20"/>
              </w:rPr>
              <w:t>Acalabrutinib</w:t>
            </w:r>
          </w:p>
          <w:p w:rsidR="00340102" w:rsidRPr="00986D56" w:rsidRDefault="00340102" w:rsidP="0093038C">
            <w:pPr>
              <w:pStyle w:val="ListParagraph"/>
              <w:numPr>
                <w:ilvl w:val="0"/>
                <w:numId w:val="8"/>
              </w:numPr>
              <w:ind w:left="170" w:hanging="170"/>
              <w:jc w:val="left"/>
              <w:rPr>
                <w:rFonts w:ascii="Arial Narrow" w:hAnsi="Arial Narrow"/>
                <w:sz w:val="20"/>
                <w:szCs w:val="20"/>
              </w:rPr>
            </w:pPr>
            <w:r w:rsidRPr="00986D56">
              <w:rPr>
                <w:rFonts w:ascii="Arial Narrow" w:hAnsi="Arial Narrow"/>
                <w:sz w:val="20"/>
                <w:szCs w:val="20"/>
              </w:rPr>
              <w:t>Obinutuzumab</w:t>
            </w:r>
          </w:p>
          <w:p w:rsidR="00340102" w:rsidRPr="00986D56" w:rsidRDefault="00340102" w:rsidP="0093038C">
            <w:pPr>
              <w:pStyle w:val="ListParagraph"/>
              <w:numPr>
                <w:ilvl w:val="0"/>
                <w:numId w:val="8"/>
              </w:numPr>
              <w:ind w:left="170" w:hanging="170"/>
              <w:jc w:val="left"/>
              <w:rPr>
                <w:rFonts w:ascii="Arial Narrow" w:hAnsi="Arial Narrow"/>
                <w:sz w:val="20"/>
                <w:szCs w:val="20"/>
              </w:rPr>
            </w:pPr>
            <w:r w:rsidRPr="00986D56">
              <w:rPr>
                <w:rFonts w:ascii="Arial Narrow" w:hAnsi="Arial Narrow"/>
                <w:sz w:val="20"/>
                <w:szCs w:val="20"/>
              </w:rPr>
              <w:t>Chlorambucil</w:t>
            </w:r>
          </w:p>
        </w:tc>
        <w:tc>
          <w:tcPr>
            <w:tcW w:w="986" w:type="pct"/>
          </w:tcPr>
          <w:p w:rsidR="00340102" w:rsidRPr="00986D56" w:rsidRDefault="00340102" w:rsidP="00847271">
            <w:pPr>
              <w:jc w:val="center"/>
              <w:rPr>
                <w:rFonts w:ascii="Arial Narrow" w:hAnsi="Arial Narrow"/>
                <w:sz w:val="20"/>
                <w:szCs w:val="20"/>
              </w:rPr>
            </w:pP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19 (10.7</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11 (6.2</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17 (9.5</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10 (5.9</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24 (14.2</w:t>
            </w:r>
            <w:r w:rsidR="00F0797A" w:rsidRPr="00986D56">
              <w:rPr>
                <w:rFonts w:ascii="Arial Narrow" w:hAnsi="Arial Narrow"/>
                <w:sz w:val="20"/>
                <w:szCs w:val="20"/>
              </w:rPr>
              <w:t>%</w:t>
            </w:r>
            <w:r w:rsidRPr="00986D56">
              <w:rPr>
                <w:rFonts w:ascii="Arial Narrow" w:hAnsi="Arial Narrow"/>
                <w:sz w:val="20"/>
                <w:szCs w:val="20"/>
              </w:rPr>
              <w:t>)</w:t>
            </w:r>
          </w:p>
        </w:tc>
      </w:tr>
      <w:tr w:rsidR="00340102" w:rsidRPr="00EF4FFA" w:rsidTr="00986D56">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AE leading to death, n (%)</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4 (2.2</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6 (3.4</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10 (5.9</w:t>
            </w:r>
            <w:r w:rsidR="00F0797A" w:rsidRPr="00986D56">
              <w:rPr>
                <w:rFonts w:ascii="Arial Narrow" w:hAnsi="Arial Narrow"/>
                <w:sz w:val="20"/>
                <w:szCs w:val="20"/>
              </w:rPr>
              <w:t>%</w:t>
            </w:r>
            <w:r w:rsidRPr="00986D56">
              <w:rPr>
                <w:rFonts w:ascii="Arial Narrow" w:hAnsi="Arial Narrow"/>
                <w:sz w:val="20"/>
                <w:szCs w:val="20"/>
              </w:rPr>
              <w:t>)</w:t>
            </w:r>
          </w:p>
        </w:tc>
      </w:tr>
      <w:tr w:rsidR="00340102" w:rsidRPr="00EF4FFA" w:rsidTr="00986D56">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Treatment-related AE, n (%)</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144 (80.9</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118 (65.9</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154 (91.1</w:t>
            </w:r>
            <w:r w:rsidR="00F0797A" w:rsidRPr="00986D56">
              <w:rPr>
                <w:rFonts w:ascii="Arial Narrow" w:hAnsi="Arial Narrow"/>
                <w:sz w:val="20"/>
                <w:szCs w:val="20"/>
              </w:rPr>
              <w:t>%</w:t>
            </w:r>
            <w:r w:rsidRPr="00986D56">
              <w:rPr>
                <w:rFonts w:ascii="Arial Narrow" w:hAnsi="Arial Narrow"/>
                <w:sz w:val="20"/>
                <w:szCs w:val="20"/>
              </w:rPr>
              <w:t>)</w:t>
            </w:r>
          </w:p>
        </w:tc>
      </w:tr>
      <w:tr w:rsidR="00340102" w:rsidRPr="00EF4FFA" w:rsidTr="00986D56">
        <w:trPr>
          <w:trHeight w:val="64"/>
        </w:trPr>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Any AE, n (%)</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171 (96.1</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170 (95.0</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167 (98.8</w:t>
            </w:r>
            <w:r w:rsidR="00F0797A" w:rsidRPr="00986D56">
              <w:rPr>
                <w:rFonts w:ascii="Arial Narrow" w:hAnsi="Arial Narrow"/>
                <w:sz w:val="20"/>
                <w:szCs w:val="20"/>
              </w:rPr>
              <w:t>%</w:t>
            </w:r>
            <w:r w:rsidRPr="00986D56">
              <w:rPr>
                <w:rFonts w:ascii="Arial Narrow" w:hAnsi="Arial Narrow"/>
                <w:sz w:val="20"/>
                <w:szCs w:val="20"/>
              </w:rPr>
              <w:t>)</w:t>
            </w:r>
          </w:p>
        </w:tc>
      </w:tr>
      <w:tr w:rsidR="00340102" w:rsidRPr="00EF4FFA" w:rsidTr="00986D56">
        <w:trPr>
          <w:trHeight w:val="49"/>
        </w:trPr>
        <w:tc>
          <w:tcPr>
            <w:tcW w:w="2042" w:type="pct"/>
          </w:tcPr>
          <w:p w:rsidR="00340102" w:rsidRPr="00986D56" w:rsidRDefault="00340102" w:rsidP="00847271">
            <w:pPr>
              <w:jc w:val="left"/>
              <w:rPr>
                <w:rFonts w:ascii="Arial Narrow" w:hAnsi="Arial Narrow"/>
                <w:sz w:val="20"/>
                <w:szCs w:val="20"/>
              </w:rPr>
            </w:pPr>
            <w:r w:rsidRPr="00986D56">
              <w:rPr>
                <w:rFonts w:ascii="Arial Narrow" w:hAnsi="Arial Narrow"/>
                <w:sz w:val="20"/>
                <w:szCs w:val="20"/>
              </w:rPr>
              <w:t>Grade ≥</w:t>
            </w:r>
            <w:r w:rsidR="00F4418D" w:rsidRPr="00986D56">
              <w:rPr>
                <w:rFonts w:ascii="Arial Narrow" w:hAnsi="Arial Narrow"/>
                <w:sz w:val="20"/>
                <w:szCs w:val="20"/>
              </w:rPr>
              <w:t xml:space="preserve"> </w:t>
            </w:r>
            <w:r w:rsidRPr="00986D56">
              <w:rPr>
                <w:rFonts w:ascii="Arial Narrow" w:hAnsi="Arial Narrow"/>
                <w:sz w:val="20"/>
                <w:szCs w:val="20"/>
              </w:rPr>
              <w:t>3 AE incidence &gt;</w:t>
            </w:r>
            <w:r w:rsidR="00E61AED" w:rsidRPr="00986D56">
              <w:rPr>
                <w:rFonts w:ascii="Arial Narrow" w:hAnsi="Arial Narrow"/>
                <w:sz w:val="20"/>
                <w:szCs w:val="20"/>
              </w:rPr>
              <w:t xml:space="preserve"> </w:t>
            </w:r>
            <w:r w:rsidRPr="00986D56">
              <w:rPr>
                <w:rFonts w:ascii="Arial Narrow" w:hAnsi="Arial Narrow"/>
                <w:sz w:val="20"/>
                <w:szCs w:val="20"/>
              </w:rPr>
              <w:t>2%, n (%)</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Neutropenia</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Thrombocytopenia</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Anaemia</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Febrile neutropenia</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Diarrhoea</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Upper respiratory tract infection</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Pneumonia</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Infusion-related reaction</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Alanine aminotransferase increased</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Neutrophil count decreased</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Tumour lysis syndrome</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Syncope</w:t>
            </w:r>
          </w:p>
          <w:p w:rsidR="00340102" w:rsidRPr="00986D56" w:rsidRDefault="00340102" w:rsidP="0093038C">
            <w:pPr>
              <w:pStyle w:val="ListParagraph"/>
              <w:numPr>
                <w:ilvl w:val="0"/>
                <w:numId w:val="11"/>
              </w:numPr>
              <w:ind w:left="170" w:hanging="170"/>
              <w:jc w:val="left"/>
              <w:rPr>
                <w:rFonts w:ascii="Arial Narrow" w:hAnsi="Arial Narrow"/>
                <w:sz w:val="20"/>
                <w:szCs w:val="20"/>
              </w:rPr>
            </w:pPr>
            <w:r w:rsidRPr="00986D56">
              <w:rPr>
                <w:rFonts w:ascii="Arial Narrow" w:hAnsi="Arial Narrow"/>
                <w:sz w:val="20"/>
                <w:szCs w:val="20"/>
              </w:rPr>
              <w:t>Hypertension</w:t>
            </w:r>
          </w:p>
        </w:tc>
        <w:tc>
          <w:tcPr>
            <w:tcW w:w="986" w:type="pct"/>
          </w:tcPr>
          <w:p w:rsidR="001C35D6" w:rsidRPr="00986D56" w:rsidRDefault="001C35D6" w:rsidP="00847271">
            <w:pPr>
              <w:jc w:val="center"/>
              <w:rPr>
                <w:rFonts w:ascii="Arial Narrow" w:hAnsi="Arial Narrow"/>
                <w:sz w:val="20"/>
                <w:szCs w:val="20"/>
              </w:rPr>
            </w:pP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53 (29.8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15 (8.4</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10 (5.6</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3 (1.7</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8 (4.5</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4 (2.2</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10 (5.6</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4 (2.2</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 (2.8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2 (1.1</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2 (1.1</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4 (2.2</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 (2.8</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1C35D6" w:rsidRPr="00986D56" w:rsidRDefault="001C35D6" w:rsidP="00847271">
            <w:pPr>
              <w:jc w:val="center"/>
              <w:rPr>
                <w:rFonts w:ascii="Arial Narrow" w:hAnsi="Arial Narrow"/>
                <w:sz w:val="20"/>
                <w:szCs w:val="20"/>
              </w:rPr>
            </w:pP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17 (9.5</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 (2.8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12 (6.7</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2 (1.1</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 (0.6</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0</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4 (2.2</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0</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 (0.6</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0</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0</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2 (1.1</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4 (2.2</w:t>
            </w:r>
            <w:r w:rsidR="00F0797A" w:rsidRPr="00986D56">
              <w:rPr>
                <w:rFonts w:ascii="Arial Narrow" w:hAnsi="Arial Narrow"/>
                <w:sz w:val="20"/>
                <w:szCs w:val="20"/>
              </w:rPr>
              <w:t>%</w:t>
            </w:r>
            <w:r w:rsidRPr="00986D56">
              <w:rPr>
                <w:rFonts w:ascii="Arial Narrow" w:hAnsi="Arial Narrow"/>
                <w:sz w:val="20"/>
                <w:szCs w:val="20"/>
              </w:rPr>
              <w:t>)</w:t>
            </w:r>
          </w:p>
        </w:tc>
        <w:tc>
          <w:tcPr>
            <w:tcW w:w="986" w:type="pct"/>
          </w:tcPr>
          <w:p w:rsidR="001C35D6" w:rsidRPr="00986D56" w:rsidRDefault="001C35D6" w:rsidP="00847271">
            <w:pPr>
              <w:jc w:val="center"/>
              <w:rPr>
                <w:rFonts w:ascii="Arial Narrow" w:hAnsi="Arial Narrow"/>
                <w:sz w:val="20"/>
                <w:szCs w:val="20"/>
              </w:rPr>
            </w:pP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70 (41.4</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20 (11.8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12 (7.1</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9 (5.3</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3 (1.8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 (0.6</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3 (1.8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9 (5.3</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3 (1.8</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 (3.0</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13 (7.7</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1 (0.6</w:t>
            </w:r>
            <w:r w:rsidR="00F0797A" w:rsidRPr="00986D56">
              <w:rPr>
                <w:rFonts w:ascii="Arial Narrow" w:hAnsi="Arial Narrow"/>
                <w:sz w:val="20"/>
                <w:szCs w:val="20"/>
              </w:rPr>
              <w:t>%</w:t>
            </w:r>
            <w:r w:rsidRPr="00986D56">
              <w:rPr>
                <w:rFonts w:ascii="Arial Narrow" w:hAnsi="Arial Narrow"/>
                <w:sz w:val="20"/>
                <w:szCs w:val="20"/>
              </w:rPr>
              <w:t>)</w:t>
            </w:r>
          </w:p>
          <w:p w:rsidR="00340102" w:rsidRPr="00986D56" w:rsidRDefault="00340102" w:rsidP="00847271">
            <w:pPr>
              <w:jc w:val="center"/>
              <w:rPr>
                <w:rFonts w:ascii="Arial Narrow" w:hAnsi="Arial Narrow"/>
                <w:sz w:val="20"/>
                <w:szCs w:val="20"/>
              </w:rPr>
            </w:pPr>
            <w:r w:rsidRPr="00986D56">
              <w:rPr>
                <w:rFonts w:ascii="Arial Narrow" w:hAnsi="Arial Narrow"/>
                <w:sz w:val="20"/>
                <w:szCs w:val="20"/>
              </w:rPr>
              <w:t>5 (3.0</w:t>
            </w:r>
            <w:r w:rsidR="00F0797A" w:rsidRPr="00986D56">
              <w:rPr>
                <w:rFonts w:ascii="Arial Narrow" w:hAnsi="Arial Narrow"/>
                <w:sz w:val="20"/>
                <w:szCs w:val="20"/>
              </w:rPr>
              <w:t>%</w:t>
            </w:r>
            <w:r w:rsidRPr="00986D56">
              <w:rPr>
                <w:rFonts w:ascii="Arial Narrow" w:hAnsi="Arial Narrow"/>
                <w:sz w:val="20"/>
                <w:szCs w:val="20"/>
              </w:rPr>
              <w:t>)</w:t>
            </w:r>
          </w:p>
        </w:tc>
      </w:tr>
    </w:tbl>
    <w:p w:rsidR="00102DDB" w:rsidRPr="00EF4FFA" w:rsidRDefault="00102DDB" w:rsidP="00986D56">
      <w:pPr>
        <w:pStyle w:val="TableFigureFooter"/>
      </w:pPr>
      <w:r w:rsidRPr="00EF4FFA">
        <w:t>ACAL = acalabrutinib; AE = adverse event; CH =, chlorambucil; OBI = obinutuzumab.</w:t>
      </w:r>
    </w:p>
    <w:p w:rsidR="00340102" w:rsidRPr="00EF4FFA" w:rsidRDefault="00340102" w:rsidP="00986D56">
      <w:pPr>
        <w:pStyle w:val="TableFigureFooter"/>
      </w:pPr>
      <w:r w:rsidRPr="00EF4FFA">
        <w:t>Source: Table 2.28, pp77-78, Table 2.29, pp78-79; Table 2.30, pp79-80; Table 2.31, p.81; Table 2.32, pp82-83; Table 2.33, p.83; Table 2.34, p.84 of the submission.</w:t>
      </w:r>
    </w:p>
    <w:p w:rsidR="00340102" w:rsidRPr="00EF4FFA" w:rsidRDefault="00786A6E" w:rsidP="00340102">
      <w:pPr>
        <w:pStyle w:val="ExecSumBodyText"/>
      </w:pPr>
      <w:r>
        <w:t>6.37</w:t>
      </w:r>
      <w:r>
        <w:tab/>
      </w:r>
      <w:r w:rsidR="00340102" w:rsidRPr="00EF4FFA">
        <w:t>Most patients in each treatment arm experienced at least one treatment-emergent adverse event. Serious adverse events were higher in the acalabrutinib + obinutuzumab (39%) and acalabrutinib monotherapy (32%) arms, compared to the chlorambucil + obinutuzumab arm (22%). Grade ≥</w:t>
      </w:r>
      <w:r w:rsidR="00F0797A" w:rsidRPr="00EF4FFA">
        <w:t xml:space="preserve"> </w:t>
      </w:r>
      <w:r w:rsidR="00340102" w:rsidRPr="00EF4FFA">
        <w:t xml:space="preserve">3 adverse events were higher in the acalabrutinib + obinutuzumab (70%) and chlorambucil + obinutuzumab arms (70%) compared to the acalabrutinib monotherapy arm (50%). Treatment-related adverse </w:t>
      </w:r>
      <w:r w:rsidR="00340102" w:rsidRPr="00EF4FFA">
        <w:lastRenderedPageBreak/>
        <w:t>events were higher in the chlorambucil + obinutuzumab arm (91%), compared to the acalabrutinib + obinutuzumab arm (81%) and acalabrutinib monotherapy arm (66%).</w:t>
      </w:r>
    </w:p>
    <w:p w:rsidR="00340102" w:rsidRPr="00EF4FFA" w:rsidRDefault="00786A6E" w:rsidP="00340102">
      <w:pPr>
        <w:pStyle w:val="ExecSumBodyText"/>
      </w:pPr>
      <w:r>
        <w:t>6.38</w:t>
      </w:r>
      <w:r>
        <w:tab/>
      </w:r>
      <w:r w:rsidR="00340102" w:rsidRPr="00EF4FFA">
        <w:t>The most commonly reported adverse events in the acalabrutinib + obinutuzumab arm (&gt;</w:t>
      </w:r>
      <w:r w:rsidR="00F0797A" w:rsidRPr="00EF4FFA">
        <w:t xml:space="preserve"> </w:t>
      </w:r>
      <w:r w:rsidR="00340102" w:rsidRPr="00EF4FFA">
        <w:t>20%) were headache (40%), diarrhoea (39%), neutropenia (32%), fatigue (28%), contusion (24%), arthralgia (22%), cough (22%), upper respiratory infection (21%) and nausea (20%). The most commonly reported adverse events in the acalabrutinib monotherapy arm (&gt;</w:t>
      </w:r>
      <w:r w:rsidR="00F0797A" w:rsidRPr="00EF4FFA">
        <w:t xml:space="preserve"> </w:t>
      </w:r>
      <w:r w:rsidR="00340102" w:rsidRPr="00EF4FFA">
        <w:t>20%) were headache (37%), diarrhoea (35%) and nausea (22%).</w:t>
      </w:r>
    </w:p>
    <w:p w:rsidR="00FE59E4" w:rsidRPr="00EF4FFA" w:rsidRDefault="00786A6E" w:rsidP="00340102">
      <w:pPr>
        <w:pStyle w:val="ExecSumBodyText"/>
      </w:pPr>
      <w:r>
        <w:t>6.39</w:t>
      </w:r>
      <w:r>
        <w:tab/>
      </w:r>
      <w:r w:rsidR="00FE59E4" w:rsidRPr="00EF4FFA">
        <w:t xml:space="preserve">The PSCR stated that despite the longer treatment duration of acalabrutinib-based treatments (ongoing until disease progression) compared to chlorambucil (up to 24 weeks), </w:t>
      </w:r>
      <w:r w:rsidR="00DF59EF" w:rsidRPr="00EF4FFA">
        <w:t xml:space="preserve">the trial evidence demonstrated that the incidence </w:t>
      </w:r>
      <w:r w:rsidR="0049565B" w:rsidRPr="00EF4FFA">
        <w:t>of treatment related adverse events, any adverse events and adverse events resulting in death</w:t>
      </w:r>
      <w:r w:rsidR="00DF59EF" w:rsidRPr="00EF4FFA">
        <w:t xml:space="preserve"> w</w:t>
      </w:r>
      <w:r w:rsidR="0049565B" w:rsidRPr="00EF4FFA">
        <w:t>ere</w:t>
      </w:r>
      <w:r w:rsidR="00DF59EF" w:rsidRPr="00EF4FFA">
        <w:t xml:space="preserve"> higher in the chlorambucil + obinutuzumab arm. In addition, the reporting periods for adverse event follow-up were biased against the acalabrutinib-based arms (28 months, compared to 6 months for chlorambucil). </w:t>
      </w:r>
      <w:r w:rsidR="0049565B" w:rsidRPr="00EF4FFA">
        <w:t xml:space="preserve">The ESC noted that </w:t>
      </w:r>
      <w:r w:rsidR="0049565B" w:rsidRPr="00EF4FFA">
        <w:rPr>
          <w:rFonts w:cstheme="minorHAnsi"/>
        </w:rPr>
        <w:t>≥</w:t>
      </w:r>
      <w:r w:rsidR="0049565B" w:rsidRPr="00EF4FFA">
        <w:t xml:space="preserve"> Grade 3 adverse events and serious adverse events were higher for the acalabrutinib-based therapies.</w:t>
      </w:r>
    </w:p>
    <w:p w:rsidR="00340102" w:rsidRPr="00EF4FFA" w:rsidRDefault="00AD2A9D" w:rsidP="00AD2A9D">
      <w:pPr>
        <w:pStyle w:val="4-SubsectSubhead"/>
      </w:pPr>
      <w:r w:rsidRPr="00EF4FFA">
        <w:t>Matching adjusted indirect comparisons (</w:t>
      </w:r>
      <w:r w:rsidR="00340102" w:rsidRPr="00EF4FFA">
        <w:t>MAIC</w:t>
      </w:r>
      <w:r w:rsidRPr="00EF4FFA">
        <w:t>s)</w:t>
      </w:r>
    </w:p>
    <w:p w:rsidR="00786A6E" w:rsidRDefault="00786A6E" w:rsidP="00786A6E">
      <w:pPr>
        <w:pStyle w:val="ExecSumBodyText"/>
      </w:pPr>
      <w:r>
        <w:t>6.40</w:t>
      </w:r>
      <w:r>
        <w:tab/>
      </w:r>
      <w:r w:rsidR="00AD2A9D" w:rsidRPr="00EF4FFA">
        <w:t>The submission presented MAICs for selected adverse events for comparisons of acalabrutinib with ibrutinib, acalabrutinib + obinutuzumab and venetoclax + obinutuzumab, and acalabrutinib and venetoclax + obinutuzumab</w:t>
      </w:r>
      <w:r w:rsidR="0069004F" w:rsidRPr="00EF4FFA">
        <w:t xml:space="preserve">. </w:t>
      </w:r>
      <w:r w:rsidR="00AD2A9D" w:rsidRPr="00EF4FFA">
        <w:t>The submission did not adequately justify the application of the MAIC methodology to adverse event data. The MAICs were conducted by matching patient characteristics that were considered to be prognostic and treatment effect modifier variables for CLL/SLL disease. These variables may not be relevant to the occurrence of adverse events. This approach has not been validated and is unlikely to be reliable</w:t>
      </w:r>
      <w:r w:rsidR="00B01885" w:rsidRPr="00EF4FFA">
        <w:t xml:space="preserve"> and t</w:t>
      </w:r>
      <w:r w:rsidR="00AD2A9D" w:rsidRPr="00EF4FFA">
        <w:t>here was inadequate documentation on the selection of adverse events included in the MAIC.</w:t>
      </w:r>
      <w:r w:rsidR="00B01885" w:rsidRPr="00EF4FFA">
        <w:t xml:space="preserve"> Therefore, the results should be interpreted with caution.</w:t>
      </w:r>
    </w:p>
    <w:p w:rsidR="00340102" w:rsidRPr="00540AC4" w:rsidRDefault="00786A6E" w:rsidP="008A08A8">
      <w:pPr>
        <w:pStyle w:val="ExecSumBodyText"/>
        <w:shd w:val="clear" w:color="auto" w:fill="FFFFFF" w:themeFill="background1"/>
      </w:pPr>
      <w:r>
        <w:t>6.41</w:t>
      </w:r>
      <w:r>
        <w:tab/>
      </w:r>
      <w:r w:rsidR="00E444B2" w:rsidRPr="005770AE">
        <w:t xml:space="preserve">For the MAIC of acalabrutinib + obinutuzumab versus venetoclax + obinutuzumab, </w:t>
      </w:r>
      <w:r w:rsidR="00E444B2" w:rsidRPr="008A08A8">
        <w:rPr>
          <w:shd w:val="clear" w:color="auto" w:fill="FFFFFF" w:themeFill="background1"/>
        </w:rPr>
        <w:t>there was a statistically significant difference favouring acalabrutinib + obinutuzumab for infusion reaction, and favouring venetoclax + obinutuzumab for leukopenia and neutropenia</w:t>
      </w:r>
      <w:r w:rsidR="00EA0922" w:rsidRPr="008A08A8">
        <w:rPr>
          <w:shd w:val="clear" w:color="auto" w:fill="FFFFFF" w:themeFill="background1"/>
        </w:rPr>
        <w:t xml:space="preserve"> p</w:t>
      </w:r>
      <w:r w:rsidR="001E7CCF" w:rsidRPr="008A08A8">
        <w:rPr>
          <w:shd w:val="clear" w:color="auto" w:fill="FFFFFF" w:themeFill="background1"/>
        </w:rPr>
        <w:t>rior to MAIC adjustment (i.e. based on a naïve comparison of acalabrutinib + obinutuzumab and venetoclax + obinutuzumab)</w:t>
      </w:r>
      <w:r w:rsidR="00E444B2" w:rsidRPr="008A08A8">
        <w:rPr>
          <w:shd w:val="clear" w:color="auto" w:fill="FFFFFF" w:themeFill="background1"/>
        </w:rPr>
        <w:t>.</w:t>
      </w:r>
      <w:r w:rsidR="001E7CCF" w:rsidRPr="008A08A8">
        <w:rPr>
          <w:shd w:val="clear" w:color="auto" w:fill="FFFFFF" w:themeFill="background1"/>
        </w:rPr>
        <w:t xml:space="preserve"> After MAIC adjustment, the differences remained statistically significant.</w:t>
      </w:r>
      <w:r w:rsidR="001E7CCF" w:rsidRPr="00540AC4">
        <w:t xml:space="preserve"> </w:t>
      </w:r>
    </w:p>
    <w:p w:rsidR="001E7CCF" w:rsidRPr="00EF4FFA" w:rsidRDefault="00786A6E" w:rsidP="008A08A8">
      <w:pPr>
        <w:pStyle w:val="ExecSumBodyText"/>
        <w:shd w:val="clear" w:color="auto" w:fill="FFFFFF" w:themeFill="background1"/>
      </w:pPr>
      <w:r w:rsidRPr="00540AC4">
        <w:t>6.42</w:t>
      </w:r>
      <w:r w:rsidRPr="00540AC4">
        <w:tab/>
      </w:r>
      <w:r w:rsidR="00E444B2" w:rsidRPr="00540AC4">
        <w:t xml:space="preserve">For the MAIC of acalabrutinib monotherapy versus venetoclax + obinutuzumab, </w:t>
      </w:r>
      <w:r w:rsidR="001E7CCF" w:rsidRPr="008A08A8">
        <w:rPr>
          <w:shd w:val="clear" w:color="auto" w:fill="FFFFFF" w:themeFill="background1"/>
        </w:rPr>
        <w:t>there was a statistically significant difference favouring acalabrutinib for febrile neutropenia, infusion reaction, neutropenia, diarrhoea and thrombocytopenia, and favouring venetoclax + obinutuzumab for leukopenia</w:t>
      </w:r>
      <w:r w:rsidR="00E444B2" w:rsidRPr="008A08A8">
        <w:rPr>
          <w:shd w:val="clear" w:color="auto" w:fill="FFFFFF" w:themeFill="background1"/>
        </w:rPr>
        <w:t xml:space="preserve"> prior to MAIC adjustment (i.e. based on a naïve comparison of acalabrutinib and venetoclax + obinutuzumab)</w:t>
      </w:r>
      <w:r w:rsidR="001E7CCF" w:rsidRPr="008A08A8">
        <w:rPr>
          <w:shd w:val="clear" w:color="auto" w:fill="FFFFFF" w:themeFill="background1"/>
        </w:rPr>
        <w:t xml:space="preserve">. </w:t>
      </w:r>
      <w:r w:rsidR="001E7CCF" w:rsidRPr="00540AC4">
        <w:t xml:space="preserve">After MAIC adjustment, </w:t>
      </w:r>
      <w:r w:rsidR="001E7CCF" w:rsidRPr="008A08A8">
        <w:rPr>
          <w:shd w:val="clear" w:color="auto" w:fill="FFFFFF" w:themeFill="background1"/>
        </w:rPr>
        <w:t>there was a statistically significant difference favouring</w:t>
      </w:r>
      <w:r w:rsidR="001E7CCF" w:rsidRPr="00EF4FFA">
        <w:t xml:space="preserve"> </w:t>
      </w:r>
      <w:r w:rsidR="001E7CCF" w:rsidRPr="00540AC4">
        <w:lastRenderedPageBreak/>
        <w:t>acalabrutinib for infusion reaction, neutropenia, diarrhoea, thrombocytopenia and infections, and favouring venetoclax + obinutuzumab for leukopenia.</w:t>
      </w:r>
      <w:r w:rsidR="001E7CCF" w:rsidRPr="00EF4FFA">
        <w:t xml:space="preserve"> </w:t>
      </w:r>
    </w:p>
    <w:p w:rsidR="00DD50A0" w:rsidRPr="00EF4FFA" w:rsidRDefault="00786A6E" w:rsidP="00DD50A0">
      <w:pPr>
        <w:pStyle w:val="ExecSumBodyText"/>
      </w:pPr>
      <w:r>
        <w:t>6.43</w:t>
      </w:r>
      <w:r>
        <w:tab/>
      </w:r>
      <w:r w:rsidR="00E444B2" w:rsidRPr="00EF4FFA">
        <w:t xml:space="preserve">For the MAIC of acalabrutinib monotherapy versus ibrutinib monotherapy, </w:t>
      </w:r>
      <w:r w:rsidR="00DD50A0" w:rsidRPr="00EF4FFA">
        <w:t>there was a statistically significant difference favouring acalabrutinib for pyrexia (any grade), hypertension (any grade), major haemorrhage (any grade), fatigue (any grade), peripheral oedema (any grade), atrial fibrillation (Grade 3/4), and infections (Grade 3/4)</w:t>
      </w:r>
      <w:r w:rsidR="00E444B2" w:rsidRPr="00EF4FFA">
        <w:t xml:space="preserve"> prior to MAIC adjustment (i.e. based on a naïve comparison of acalabrutinib monotherapy and ibrutinib monotherapy). </w:t>
      </w:r>
      <w:r w:rsidR="00DD50A0" w:rsidRPr="00EF4FFA">
        <w:t xml:space="preserve">After MAIC adjustment, the difference in these outcomes remained statistically significant. </w:t>
      </w:r>
    </w:p>
    <w:p w:rsidR="00DF59EF" w:rsidRPr="00EF4FFA" w:rsidRDefault="00786A6E" w:rsidP="00DD50A0">
      <w:pPr>
        <w:pStyle w:val="ExecSumBodyText"/>
      </w:pPr>
      <w:r>
        <w:t>6.44</w:t>
      </w:r>
      <w:r>
        <w:tab/>
      </w:r>
      <w:r w:rsidR="0017554E" w:rsidRPr="00EF4FFA">
        <w:t>As per the comparison with chlorambucil + obinutuzumab, t</w:t>
      </w:r>
      <w:r w:rsidR="00DF59EF" w:rsidRPr="00EF4FFA">
        <w:t xml:space="preserve">he PSCR noted that </w:t>
      </w:r>
      <w:r w:rsidR="00843D34" w:rsidRPr="00EF4FFA">
        <w:t xml:space="preserve">despite </w:t>
      </w:r>
      <w:r w:rsidR="00DF59EF" w:rsidRPr="00EF4FFA">
        <w:t xml:space="preserve">the </w:t>
      </w:r>
      <w:r w:rsidR="00843D34" w:rsidRPr="00EF4FFA">
        <w:t xml:space="preserve">longer </w:t>
      </w:r>
      <w:r w:rsidR="00DF59EF" w:rsidRPr="00EF4FFA">
        <w:t xml:space="preserve">treatment duration for acalabrutinib-based therapies </w:t>
      </w:r>
      <w:r w:rsidR="00843D34" w:rsidRPr="00EF4FFA">
        <w:t>compared to</w:t>
      </w:r>
      <w:r w:rsidR="00DF59EF" w:rsidRPr="00EF4FFA">
        <w:t xml:space="preserve"> venetoclax (up to 48 weeks)</w:t>
      </w:r>
      <w:r w:rsidR="00843D34" w:rsidRPr="00EF4FFA">
        <w:t>, the safety profile for acalabrutinib + obinutuzumab was comparable to venetoclax + obinutuzumab</w:t>
      </w:r>
      <w:r w:rsidR="007D16FA" w:rsidRPr="00EF4FFA">
        <w:t>.</w:t>
      </w:r>
    </w:p>
    <w:p w:rsidR="007F1017" w:rsidRPr="00EF4FFA" w:rsidRDefault="007F1017" w:rsidP="00D86231">
      <w:pPr>
        <w:pStyle w:val="3-SubsectionHeading"/>
      </w:pPr>
      <w:bookmarkStart w:id="17" w:name="_Toc22897643"/>
      <w:bookmarkStart w:id="18" w:name="_Toc40350902"/>
      <w:r w:rsidRPr="00EF4FFA">
        <w:t>Benefits/harms</w:t>
      </w:r>
      <w:bookmarkEnd w:id="17"/>
      <w:bookmarkEnd w:id="18"/>
    </w:p>
    <w:p w:rsidR="00EB1E90" w:rsidRPr="00EF4FFA" w:rsidRDefault="005F0621" w:rsidP="00786A6E">
      <w:pPr>
        <w:pStyle w:val="3-BodyText"/>
        <w:numPr>
          <w:ilvl w:val="1"/>
          <w:numId w:val="46"/>
        </w:numPr>
      </w:pPr>
      <w:r w:rsidRPr="00EF4FFA">
        <w:t>On the basis of the direct evidence presented in the submission, for every 100 patients treated with acalabrutinib + obinutuzumab in comparison with chlorambucil + obinutuzumab:</w:t>
      </w:r>
      <w:r w:rsidR="00EB1E90" w:rsidRPr="00EF4FFA">
        <w:t xml:space="preserve"> </w:t>
      </w:r>
    </w:p>
    <w:p w:rsidR="00EB1E90" w:rsidRPr="00EF4FFA" w:rsidRDefault="005F0621" w:rsidP="0093038C">
      <w:pPr>
        <w:pStyle w:val="ExecSumBodyText"/>
        <w:numPr>
          <w:ilvl w:val="0"/>
          <w:numId w:val="13"/>
        </w:numPr>
        <w:spacing w:after="0"/>
        <w:ind w:hanging="229"/>
      </w:pPr>
      <w:r w:rsidRPr="00EF4FFA">
        <w:t>A</w:t>
      </w:r>
      <w:r w:rsidR="00EB1E90" w:rsidRPr="00EF4FFA">
        <w:t>pproximately</w:t>
      </w:r>
      <w:r w:rsidRPr="00EF4FFA">
        <w:t xml:space="preserve"> 46 additional patients will remain progression free at two years</w:t>
      </w:r>
      <w:r w:rsidR="00564A62" w:rsidRPr="00EF4FFA">
        <w:t>.</w:t>
      </w:r>
      <w:r w:rsidR="00EB1E90" w:rsidRPr="00EF4FFA">
        <w:t xml:space="preserve"> </w:t>
      </w:r>
    </w:p>
    <w:p w:rsidR="00EB1E90" w:rsidRPr="00EF4FFA" w:rsidRDefault="005F0621" w:rsidP="0093038C">
      <w:pPr>
        <w:pStyle w:val="ExecSumBodyText"/>
        <w:numPr>
          <w:ilvl w:val="0"/>
          <w:numId w:val="13"/>
        </w:numPr>
        <w:spacing w:after="0"/>
        <w:ind w:hanging="229"/>
      </w:pPr>
      <w:r w:rsidRPr="00EF4FFA">
        <w:t>A</w:t>
      </w:r>
      <w:r w:rsidR="00EB1E90" w:rsidRPr="00EF4FFA">
        <w:t xml:space="preserve">pproximately </w:t>
      </w:r>
      <w:r w:rsidR="00564A62" w:rsidRPr="00EF4FFA">
        <w:t>12 fewer patients will experience life-threatening or severe</w:t>
      </w:r>
      <w:r w:rsidR="00981F1D" w:rsidRPr="00EF4FFA">
        <w:t xml:space="preserve"> neutropenia.</w:t>
      </w:r>
    </w:p>
    <w:p w:rsidR="00564A62" w:rsidRPr="00EF4FFA" w:rsidRDefault="00981F1D" w:rsidP="0093038C">
      <w:pPr>
        <w:pStyle w:val="ExecSumBodyText"/>
        <w:numPr>
          <w:ilvl w:val="0"/>
          <w:numId w:val="13"/>
        </w:numPr>
        <w:spacing w:after="0"/>
        <w:ind w:hanging="229"/>
      </w:pPr>
      <w:r w:rsidRPr="00EF4FFA">
        <w:t>Approximately 7</w:t>
      </w:r>
      <w:r w:rsidR="00564A62" w:rsidRPr="00EF4FFA">
        <w:t xml:space="preserve"> fewer patients will experience life-threatening or severe </w:t>
      </w:r>
      <w:r w:rsidRPr="00EF4FFA">
        <w:t>tumour lysis syndrome.</w:t>
      </w:r>
    </w:p>
    <w:p w:rsidR="00EB1E90" w:rsidRPr="00EF4FFA" w:rsidRDefault="00564A62" w:rsidP="0093038C">
      <w:pPr>
        <w:pStyle w:val="ExecSumBodyText"/>
        <w:numPr>
          <w:ilvl w:val="0"/>
          <w:numId w:val="13"/>
        </w:numPr>
        <w:ind w:left="1078" w:hanging="227"/>
      </w:pPr>
      <w:r w:rsidRPr="00EF4FFA">
        <w:t>Approximately</w:t>
      </w:r>
      <w:r w:rsidR="00981F1D" w:rsidRPr="00EF4FFA">
        <w:t xml:space="preserve"> 4 additional patients will experience life-threatening or severe pneumonia.</w:t>
      </w:r>
    </w:p>
    <w:p w:rsidR="00EB1E90" w:rsidRPr="00EF4FFA" w:rsidRDefault="005F0621" w:rsidP="00EB1E90">
      <w:pPr>
        <w:pStyle w:val="ExecSumBodyText"/>
        <w:numPr>
          <w:ilvl w:val="1"/>
          <w:numId w:val="1"/>
        </w:numPr>
      </w:pPr>
      <w:r w:rsidRPr="00EF4FFA">
        <w:t xml:space="preserve">On the basis of the direct evidence presented in the submission, for every 100 patients treated with acalabrutinib monotherapy in comparison with chlorambucil + obinutuzumab: </w:t>
      </w:r>
    </w:p>
    <w:p w:rsidR="00564A62" w:rsidRPr="00EF4FFA" w:rsidRDefault="005F0621" w:rsidP="0093038C">
      <w:pPr>
        <w:pStyle w:val="ExecSumBodyText"/>
        <w:numPr>
          <w:ilvl w:val="0"/>
          <w:numId w:val="13"/>
        </w:numPr>
        <w:spacing w:after="0"/>
        <w:ind w:hanging="229"/>
      </w:pPr>
      <w:r w:rsidRPr="00EF4FFA">
        <w:t>A</w:t>
      </w:r>
      <w:r w:rsidR="00EB1E90" w:rsidRPr="00EF4FFA">
        <w:t>pproximately</w:t>
      </w:r>
      <w:r w:rsidRPr="00EF4FFA">
        <w:t xml:space="preserve"> 41 additional patients will remain progression free at two years</w:t>
      </w:r>
      <w:r w:rsidR="00564A62" w:rsidRPr="00EF4FFA">
        <w:t>.</w:t>
      </w:r>
    </w:p>
    <w:p w:rsidR="00EB1E90" w:rsidRPr="00EF4FFA" w:rsidRDefault="00564A62" w:rsidP="0093038C">
      <w:pPr>
        <w:pStyle w:val="ExecSumBodyText"/>
        <w:numPr>
          <w:ilvl w:val="0"/>
          <w:numId w:val="13"/>
        </w:numPr>
        <w:spacing w:after="0"/>
        <w:ind w:hanging="229"/>
      </w:pPr>
      <w:r w:rsidRPr="00EF4FFA">
        <w:t>A</w:t>
      </w:r>
      <w:r w:rsidR="00EB1E90" w:rsidRPr="00EF4FFA">
        <w:t>pproximately</w:t>
      </w:r>
      <w:r w:rsidRPr="00EF4FFA">
        <w:t xml:space="preserve"> 32 fewer patients will experience life-threatening or severe neutropenia.</w:t>
      </w:r>
    </w:p>
    <w:p w:rsidR="00564A62" w:rsidRPr="00EF4FFA" w:rsidRDefault="00981F1D" w:rsidP="0093038C">
      <w:pPr>
        <w:pStyle w:val="ExecSumBodyText"/>
        <w:numPr>
          <w:ilvl w:val="0"/>
          <w:numId w:val="13"/>
        </w:numPr>
        <w:spacing w:after="0"/>
        <w:ind w:hanging="229"/>
      </w:pPr>
      <w:r w:rsidRPr="00EF4FFA">
        <w:t>Approximately 9</w:t>
      </w:r>
      <w:r w:rsidR="00564A62" w:rsidRPr="00EF4FFA">
        <w:t xml:space="preserve"> fewer patients will experience life-threatening or severe thrombocytopenia.</w:t>
      </w:r>
    </w:p>
    <w:p w:rsidR="00981F1D" w:rsidRPr="00EF4FFA" w:rsidRDefault="00981F1D" w:rsidP="0093038C">
      <w:pPr>
        <w:pStyle w:val="ExecSumBodyText"/>
        <w:numPr>
          <w:ilvl w:val="0"/>
          <w:numId w:val="13"/>
        </w:numPr>
        <w:spacing w:after="0"/>
        <w:ind w:hanging="229"/>
      </w:pPr>
      <w:r w:rsidRPr="00EF4FFA">
        <w:t>Approximately 8 fewer patients will experience life-threatening or severe tumour lysis syndrome.</w:t>
      </w:r>
    </w:p>
    <w:p w:rsidR="00EB1E90" w:rsidRPr="00EF4FFA" w:rsidRDefault="00981F1D" w:rsidP="0093038C">
      <w:pPr>
        <w:pStyle w:val="ExecSumBodyText"/>
        <w:numPr>
          <w:ilvl w:val="0"/>
          <w:numId w:val="13"/>
        </w:numPr>
        <w:ind w:left="1078" w:hanging="227"/>
      </w:pPr>
      <w:r w:rsidRPr="00EF4FFA">
        <w:t xml:space="preserve">Approximately 5 fewer patients </w:t>
      </w:r>
      <w:r w:rsidR="00C53415" w:rsidRPr="00EF4FFA">
        <w:t>will experience a life-threatening or severe infusion-related reaction.</w:t>
      </w:r>
    </w:p>
    <w:p w:rsidR="00B60939" w:rsidRPr="00EF4FFA" w:rsidRDefault="00B60939" w:rsidP="00E9094A">
      <w:pPr>
        <w:pStyle w:val="3-SubsectionHeading"/>
      </w:pPr>
      <w:bookmarkStart w:id="19" w:name="_Toc22897644"/>
      <w:bookmarkStart w:id="20" w:name="_Toc40350903"/>
      <w:r w:rsidRPr="00EF4FFA">
        <w:t>Clinical claim</w:t>
      </w:r>
      <w:bookmarkEnd w:id="19"/>
      <w:bookmarkEnd w:id="20"/>
    </w:p>
    <w:p w:rsidR="0062794D" w:rsidRPr="00EF4FFA" w:rsidRDefault="00786A6E" w:rsidP="0062794D">
      <w:pPr>
        <w:pStyle w:val="ExecSumBodyText"/>
        <w:rPr>
          <w:i/>
        </w:rPr>
      </w:pPr>
      <w:r>
        <w:t>6.47</w:t>
      </w:r>
      <w:r>
        <w:tab/>
      </w:r>
      <w:r w:rsidR="0062794D" w:rsidRPr="00EF4FFA">
        <w:t>The submission described acalabrutinib + obinutuzumab as superior in terms of efficacy, and no worse in terms of safety compared to chlorambucil + obinutuzumab.</w:t>
      </w:r>
    </w:p>
    <w:p w:rsidR="0062794D" w:rsidRPr="00EF4FFA" w:rsidRDefault="004E0C96" w:rsidP="0093038C">
      <w:pPr>
        <w:pStyle w:val="ExecSumBodyText"/>
        <w:numPr>
          <w:ilvl w:val="1"/>
          <w:numId w:val="18"/>
        </w:numPr>
        <w:spacing w:after="0"/>
        <w:ind w:left="1077" w:hanging="357"/>
      </w:pPr>
      <w:r w:rsidRPr="00EF4FFA">
        <w:lastRenderedPageBreak/>
        <w:t xml:space="preserve">The </w:t>
      </w:r>
      <w:r w:rsidR="003B3F67" w:rsidRPr="00EF4FFA">
        <w:t xml:space="preserve">ESC considered that the </w:t>
      </w:r>
      <w:r w:rsidRPr="00EF4FFA">
        <w:t xml:space="preserve">efficacy claim was adequately supported. </w:t>
      </w:r>
      <w:r w:rsidR="0062794D" w:rsidRPr="00EF4FFA">
        <w:t>Based on the results of the ELEVATE-TN trial, treatment with acalabrutinib + obinutuzumab was associated with statistically signific</w:t>
      </w:r>
      <w:r w:rsidR="008E3636" w:rsidRPr="00EF4FFA">
        <w:t xml:space="preserve">ant improvements in progression </w:t>
      </w:r>
      <w:r w:rsidR="0062794D" w:rsidRPr="00EF4FFA">
        <w:t xml:space="preserve">free survival and overall response rates compared to chlorambucil + obinutuzumab. There was no statistically significant difference in overall survival. </w:t>
      </w:r>
      <w:r w:rsidR="003B3F67" w:rsidRPr="00EF4FFA">
        <w:t xml:space="preserve">The ESC noted that the efficacy data were immature and considered that more mature data would provide further certainty to </w:t>
      </w:r>
      <w:r w:rsidR="0017554E" w:rsidRPr="00EF4FFA">
        <w:t xml:space="preserve">the </w:t>
      </w:r>
      <w:r w:rsidR="003B3F67" w:rsidRPr="00EF4FFA">
        <w:t>magnitude of the clinical benefit.</w:t>
      </w:r>
    </w:p>
    <w:p w:rsidR="00A93FAB" w:rsidRPr="00EF4FFA" w:rsidRDefault="004E0C96" w:rsidP="0093038C">
      <w:pPr>
        <w:pStyle w:val="ExecSumBodyText"/>
        <w:numPr>
          <w:ilvl w:val="1"/>
          <w:numId w:val="18"/>
        </w:numPr>
        <w:spacing w:after="0"/>
        <w:ind w:left="1077" w:hanging="357"/>
      </w:pPr>
      <w:r w:rsidRPr="00EF4FFA">
        <w:t xml:space="preserve">The </w:t>
      </w:r>
      <w:r w:rsidR="003B3F67" w:rsidRPr="00EF4FFA">
        <w:t xml:space="preserve">ESC considered that the </w:t>
      </w:r>
      <w:r w:rsidRPr="00EF4FFA">
        <w:t xml:space="preserve">safety claim was not adequately supported. </w:t>
      </w:r>
      <w:r w:rsidR="0062794D" w:rsidRPr="00EF4FFA">
        <w:t>Treatment with acalabrutinib + obinutuzumab was associated with a similar incidence of Grade ≥</w:t>
      </w:r>
      <w:r w:rsidR="00384F35" w:rsidRPr="00EF4FFA">
        <w:t xml:space="preserve"> </w:t>
      </w:r>
      <w:r w:rsidR="0062794D" w:rsidRPr="00EF4FFA">
        <w:t xml:space="preserve">3 adverse events, a higher incidence of serious adverse events, and a lower incidence of treatment-related adverse events compared to chlorambucil + obinutuzumab. However, </w:t>
      </w:r>
      <w:r w:rsidR="003B3F67" w:rsidRPr="00EF4FFA">
        <w:t xml:space="preserve">the ESC did note that </w:t>
      </w:r>
      <w:r w:rsidR="0062794D" w:rsidRPr="00EF4FFA">
        <w:t xml:space="preserve">differences in treatment duration </w:t>
      </w:r>
      <w:r w:rsidR="003B3F67" w:rsidRPr="00EF4FFA">
        <w:t>we</w:t>
      </w:r>
      <w:r w:rsidR="0062794D" w:rsidRPr="00EF4FFA">
        <w:t>re likely to impact overall numbers of adverse events (treatment with acalabrutinib is ongoing until disease progression or unacceptable toxicity whereas treatment with chlorambucil was for a fixed treatment duration of 24 weeks).</w:t>
      </w:r>
    </w:p>
    <w:p w:rsidR="00A93FAB" w:rsidRPr="00EF4FFA" w:rsidRDefault="003B3F67" w:rsidP="0093038C">
      <w:pPr>
        <w:pStyle w:val="ExecSumBodyText"/>
        <w:numPr>
          <w:ilvl w:val="1"/>
          <w:numId w:val="18"/>
        </w:numPr>
        <w:ind w:left="1077" w:hanging="357"/>
      </w:pPr>
      <w:r w:rsidRPr="00EF4FFA">
        <w:t xml:space="preserve">Despite the PSCR providing results from a post-hoc analysis which demonstrated that acalabrutinib + obinutuzumab was associated with a greater progression free survival compared to acalabrutinib monotherapy, </w:t>
      </w:r>
      <w:r w:rsidR="00454A0A" w:rsidRPr="00EF4FFA">
        <w:t xml:space="preserve">the ESC considered that </w:t>
      </w:r>
      <w:r w:rsidRPr="00EF4FFA">
        <w:t>it remained</w:t>
      </w:r>
      <w:r w:rsidR="00A93FAB" w:rsidRPr="00EF4FFA">
        <w:t xml:space="preserve"> unclear whether the evidence presented in the submission adequately support</w:t>
      </w:r>
      <w:r w:rsidR="00454A0A" w:rsidRPr="00EF4FFA">
        <w:t>ed</w:t>
      </w:r>
      <w:r w:rsidR="00A93FAB" w:rsidRPr="00EF4FFA">
        <w:t xml:space="preserve"> the use of acalabrutinib in combination with obinutuzumab rather than acalabrutinib monotherapy, given the increased risk of adverse events associated with combination therapy. </w:t>
      </w:r>
    </w:p>
    <w:p w:rsidR="00786A6E" w:rsidRPr="00786A6E" w:rsidRDefault="005F071C" w:rsidP="00786A6E">
      <w:pPr>
        <w:pStyle w:val="3-BodyText"/>
        <w:numPr>
          <w:ilvl w:val="1"/>
          <w:numId w:val="47"/>
        </w:numPr>
        <w:rPr>
          <w:b/>
          <w:color w:val="0066FF"/>
        </w:rPr>
      </w:pPr>
      <w:r w:rsidRPr="00EF4FFA">
        <w:rPr>
          <w:lang w:eastAsia="en-US"/>
        </w:rPr>
        <w:t xml:space="preserve">The PBAC considered the claim that acalabrutinib + obinutuzumab was superior </w:t>
      </w:r>
      <w:r w:rsidR="00A133AC" w:rsidRPr="00EF4FFA">
        <w:rPr>
          <w:lang w:eastAsia="en-US"/>
        </w:rPr>
        <w:t xml:space="preserve">compared to chlorambucil + obinutuzumab in terms of comparative efficacy was reasonable; however, due to the immaturity of the data, the magnitude of the benefit </w:t>
      </w:r>
      <w:r w:rsidR="0066761B" w:rsidRPr="00EF4FFA">
        <w:rPr>
          <w:lang w:eastAsia="en-US"/>
        </w:rPr>
        <w:t>was</w:t>
      </w:r>
      <w:r w:rsidR="00A133AC" w:rsidRPr="00EF4FFA">
        <w:rPr>
          <w:lang w:eastAsia="en-US"/>
        </w:rPr>
        <w:t xml:space="preserve"> uncertain. </w:t>
      </w:r>
    </w:p>
    <w:p w:rsidR="00786A6E" w:rsidRPr="00786A6E" w:rsidRDefault="00A133AC" w:rsidP="00786A6E">
      <w:pPr>
        <w:pStyle w:val="3-BodyText"/>
        <w:rPr>
          <w:b/>
          <w:color w:val="0066FF"/>
        </w:rPr>
      </w:pPr>
      <w:r w:rsidRPr="00EF4FFA">
        <w:rPr>
          <w:lang w:eastAsia="en-US"/>
        </w:rPr>
        <w:t>In terms of safety, the PBAC considered that acalabrutinib + obinutuzumab was likely to result in similar safety outcomes compared to chlorambucil + obinutuzumab.</w:t>
      </w:r>
    </w:p>
    <w:p w:rsidR="0062794D" w:rsidRPr="00786A6E" w:rsidRDefault="0062794D" w:rsidP="00786A6E">
      <w:pPr>
        <w:pStyle w:val="3-BodyText"/>
        <w:rPr>
          <w:b/>
          <w:color w:val="0066FF"/>
        </w:rPr>
      </w:pPr>
      <w:r w:rsidRPr="00EF4FFA">
        <w:t>The submission described acalabrutinib monotherapy as superior in terms of efficacy and safety compared to chlorambucil + obinutuzumab.</w:t>
      </w:r>
    </w:p>
    <w:p w:rsidR="0062794D" w:rsidRPr="00EF4FFA" w:rsidRDefault="004E0C96" w:rsidP="0093038C">
      <w:pPr>
        <w:pStyle w:val="ExecSumBodyText"/>
        <w:numPr>
          <w:ilvl w:val="0"/>
          <w:numId w:val="19"/>
        </w:numPr>
        <w:spacing w:after="0"/>
        <w:ind w:left="1077" w:hanging="357"/>
      </w:pPr>
      <w:r w:rsidRPr="00EF4FFA">
        <w:t xml:space="preserve">The </w:t>
      </w:r>
      <w:r w:rsidR="00454A0A" w:rsidRPr="00EF4FFA">
        <w:t xml:space="preserve">ESC considered that the </w:t>
      </w:r>
      <w:r w:rsidRPr="00EF4FFA">
        <w:t xml:space="preserve">efficacy claim was adequately supported. </w:t>
      </w:r>
      <w:r w:rsidR="0062794D" w:rsidRPr="00EF4FFA">
        <w:t>Based on the results of the ELEVATE-TN trial, treatment with acalabrutinib monotherapy was associated with statistically signific</w:t>
      </w:r>
      <w:r w:rsidR="008E3636" w:rsidRPr="00EF4FFA">
        <w:t xml:space="preserve">ant improvements in progression </w:t>
      </w:r>
      <w:r w:rsidR="0062794D" w:rsidRPr="00EF4FFA">
        <w:t xml:space="preserve">free survival compared to chlorambucil + obinutuzumab, but no statistically significant differences in overall response rates or overall survival. </w:t>
      </w:r>
      <w:r w:rsidR="00454A0A" w:rsidRPr="00EF4FFA">
        <w:t>The ESC noted that the efficacy data were immature and considered that more mature data would provide further certainty to magnitude of the clinical benefit.</w:t>
      </w:r>
    </w:p>
    <w:p w:rsidR="00884723" w:rsidRPr="00EF4FFA" w:rsidRDefault="004E0C96" w:rsidP="0093038C">
      <w:pPr>
        <w:pStyle w:val="ExecSumBodyText"/>
        <w:numPr>
          <w:ilvl w:val="0"/>
          <w:numId w:val="19"/>
        </w:numPr>
        <w:ind w:left="1077" w:hanging="357"/>
      </w:pPr>
      <w:r w:rsidRPr="00EF4FFA">
        <w:t xml:space="preserve">The </w:t>
      </w:r>
      <w:r w:rsidR="00454A0A" w:rsidRPr="00EF4FFA">
        <w:t xml:space="preserve">ESC considered that the </w:t>
      </w:r>
      <w:r w:rsidRPr="00EF4FFA">
        <w:t xml:space="preserve">safety claim was not adequately supported. </w:t>
      </w:r>
      <w:r w:rsidR="0062794D" w:rsidRPr="00EF4FFA">
        <w:t>Treatment with acalabrutinib was associated with lower incidence of Grade ≥</w:t>
      </w:r>
      <w:r w:rsidR="00384F35" w:rsidRPr="00EF4FFA">
        <w:t xml:space="preserve"> </w:t>
      </w:r>
      <w:r w:rsidR="0062794D" w:rsidRPr="00EF4FFA">
        <w:t xml:space="preserve">3 adverse events, a lower incidence of treatment-related adverse events, and a </w:t>
      </w:r>
      <w:r w:rsidR="0062794D" w:rsidRPr="00EF4FFA">
        <w:lastRenderedPageBreak/>
        <w:t xml:space="preserve">higher incidence of serious adverse events compared to chlorambucil + obinutuzumab. However, </w:t>
      </w:r>
      <w:r w:rsidR="00454A0A" w:rsidRPr="00EF4FFA">
        <w:t xml:space="preserve">the ESC did note that </w:t>
      </w:r>
      <w:r w:rsidR="0062794D" w:rsidRPr="00EF4FFA">
        <w:t xml:space="preserve">differences in treatment duration </w:t>
      </w:r>
      <w:r w:rsidR="00454A0A" w:rsidRPr="00EF4FFA">
        <w:t>we</w:t>
      </w:r>
      <w:r w:rsidR="0062794D" w:rsidRPr="00EF4FFA">
        <w:t>re likely to impact overall numbers of adverse events (treatment with acalabrutinib is ongoing until disease progression or unacceptable toxicity whereas treatment with chlorambucil was for a fixed treatment duration of 24 weeks)</w:t>
      </w:r>
      <w:r w:rsidR="00EF4FFA">
        <w:t xml:space="preserve">. </w:t>
      </w:r>
    </w:p>
    <w:p w:rsidR="00786A6E" w:rsidRDefault="00A133AC" w:rsidP="00786A6E">
      <w:pPr>
        <w:pStyle w:val="3-BodyText"/>
        <w:rPr>
          <w:b/>
          <w:color w:val="0066FF"/>
        </w:rPr>
      </w:pPr>
      <w:r w:rsidRPr="00EF4FFA">
        <w:rPr>
          <w:lang w:eastAsia="en-US"/>
        </w:rPr>
        <w:t xml:space="preserve">The PBAC considered that the claim that acalabrutinib monotherapy was superior compared to chlorambucil + obinutuzumab in terms of comparative efficacy was reasonable; however, due to the immaturity of the data, the magnitude of the benefit </w:t>
      </w:r>
      <w:r w:rsidR="004E5A6A" w:rsidRPr="00EF4FFA">
        <w:rPr>
          <w:lang w:eastAsia="en-US"/>
        </w:rPr>
        <w:t>was</w:t>
      </w:r>
      <w:r w:rsidRPr="00EF4FFA">
        <w:rPr>
          <w:lang w:eastAsia="en-US"/>
        </w:rPr>
        <w:t xml:space="preserve"> uncertain. </w:t>
      </w:r>
    </w:p>
    <w:p w:rsidR="00786A6E" w:rsidRPr="00786A6E" w:rsidRDefault="00A133AC" w:rsidP="00786A6E">
      <w:pPr>
        <w:pStyle w:val="3-BodyText"/>
        <w:rPr>
          <w:b/>
          <w:color w:val="0066FF"/>
        </w:rPr>
      </w:pPr>
      <w:r w:rsidRPr="00EF4FFA">
        <w:rPr>
          <w:lang w:eastAsia="en-US"/>
        </w:rPr>
        <w:t xml:space="preserve">In terms of safety, the PBAC considered that acalabrutinib monotherapy was likely to result in </w:t>
      </w:r>
      <w:r w:rsidR="00593F7A" w:rsidRPr="00EF4FFA">
        <w:rPr>
          <w:lang w:eastAsia="en-US"/>
        </w:rPr>
        <w:t>superior</w:t>
      </w:r>
      <w:r w:rsidRPr="00EF4FFA">
        <w:rPr>
          <w:lang w:eastAsia="en-US"/>
        </w:rPr>
        <w:t xml:space="preserve"> safety outcomes compared to chlorambucil + obinutuzumab.</w:t>
      </w:r>
    </w:p>
    <w:p w:rsidR="00FB0C34" w:rsidRPr="00786A6E" w:rsidRDefault="00FB0C34" w:rsidP="00786A6E">
      <w:pPr>
        <w:pStyle w:val="3-BodyText"/>
        <w:rPr>
          <w:b/>
          <w:color w:val="0066FF"/>
        </w:rPr>
      </w:pPr>
      <w:r w:rsidRPr="00EF4FFA">
        <w:t xml:space="preserve">The submission described acalabrutinib monotherapy as non-inferior in terms of effectiveness, and superior in terms of safety compared to ibrutinib monotherapy among patients with a 17p deletion. Although the ESC considered that the </w:t>
      </w:r>
      <w:r w:rsidR="00D02617" w:rsidRPr="00EF4FFA">
        <w:t>outcomes</w:t>
      </w:r>
      <w:r w:rsidRPr="00EF4FFA">
        <w:t xml:space="preserve"> of BTK inhibitors in patients with 17p deletion was likely to be similar to the </w:t>
      </w:r>
      <w:r w:rsidR="00D02617" w:rsidRPr="00EF4FFA">
        <w:t>outcomes</w:t>
      </w:r>
      <w:r w:rsidR="008D26CF" w:rsidRPr="00EF4FFA">
        <w:t xml:space="preserve"> in</w:t>
      </w:r>
      <w:r w:rsidRPr="00EF4FFA">
        <w:t xml:space="preserve"> patients without 17p deletion this claim was not supported due to the following considerations:</w:t>
      </w:r>
    </w:p>
    <w:p w:rsidR="00FB0C34" w:rsidRPr="00EF4FFA" w:rsidRDefault="00FB0C34" w:rsidP="0093038C">
      <w:pPr>
        <w:pStyle w:val="ExecSumBodyText"/>
        <w:numPr>
          <w:ilvl w:val="0"/>
          <w:numId w:val="20"/>
        </w:numPr>
        <w:spacing w:after="0"/>
        <w:ind w:left="1077" w:hanging="357"/>
      </w:pPr>
      <w:r w:rsidRPr="00EF4FFA">
        <w:t xml:space="preserve">The results of the unanchored MAIC of acalabrutinib versus ibrutinib based on the full trial populations for the ELEVATE-TN and RESONATE-2 trials were highly uncertain. Matching of the selected prognostic and treatment effect modifier variables resulted in an effective sample size of 79, suggesting poor overlap between the trial populations. It was unclear whether all relevant prognostic and treatment effect modifier variables were identified and matched in the analysis. </w:t>
      </w:r>
    </w:p>
    <w:p w:rsidR="00FB0C34" w:rsidRPr="00EF4FFA" w:rsidRDefault="00FB0C34" w:rsidP="0093038C">
      <w:pPr>
        <w:pStyle w:val="ExecSumBodyText"/>
        <w:numPr>
          <w:ilvl w:val="0"/>
          <w:numId w:val="20"/>
        </w:numPr>
        <w:spacing w:after="0"/>
        <w:ind w:left="1077" w:hanging="357"/>
      </w:pPr>
      <w:r w:rsidRPr="00EF4FFA">
        <w:t>No non-inferiority margin for progression free survival or overall survival was proposed. The lack of a statistically significant difference may not be sufficient to establish non-inferiority, as the 95% confidence intervals were wide and may include a clinically important difference.</w:t>
      </w:r>
    </w:p>
    <w:p w:rsidR="00FB0C34" w:rsidRPr="00EF4FFA" w:rsidRDefault="00FB0C34" w:rsidP="0093038C">
      <w:pPr>
        <w:pStyle w:val="ExecSumBodyText"/>
        <w:numPr>
          <w:ilvl w:val="0"/>
          <w:numId w:val="20"/>
        </w:numPr>
        <w:ind w:left="1077" w:hanging="357"/>
      </w:pPr>
      <w:r w:rsidRPr="00EF4FFA">
        <w:t>The results of the unanchored MAIC</w:t>
      </w:r>
      <w:r w:rsidR="007D2CB9">
        <w:t>s</w:t>
      </w:r>
      <w:r w:rsidRPr="00EF4FFA">
        <w:t xml:space="preserve"> of selected safety outcomes were unreliable, as the submission did not adequately justify the application of the MAIC methodology (based on adjustment for CLL/SLL disease prognostic and treatment effect modifier variables) to specific adverse event outcomes.</w:t>
      </w:r>
      <w:r w:rsidR="008D26CF" w:rsidRPr="00EF4FFA">
        <w:t xml:space="preserve"> The ESC noted that in considering acalabrutinib in the RR setting, the PBAC </w:t>
      </w:r>
      <w:r w:rsidR="00FF2D52" w:rsidRPr="00EF4FFA">
        <w:t xml:space="preserve">had previously </w:t>
      </w:r>
      <w:r w:rsidR="008D26CF" w:rsidRPr="00EF4FFA">
        <w:t xml:space="preserve">considered that in terms of safety, acalabrutinib was likely to be non-inferior to ibrutinib (paragraph 7.10, acalabrutinib </w:t>
      </w:r>
      <w:r w:rsidR="00BD4187">
        <w:t>Public Summary Document (PSD)</w:t>
      </w:r>
      <w:r w:rsidR="008D26CF" w:rsidRPr="00EF4FFA">
        <w:t xml:space="preserve">, March 2020). The ESC considered that acalabrutinib monotherapy would </w:t>
      </w:r>
      <w:r w:rsidR="00BB4E78" w:rsidRPr="00EF4FFA">
        <w:t xml:space="preserve">similarly </w:t>
      </w:r>
      <w:r w:rsidR="008D26CF" w:rsidRPr="00EF4FFA">
        <w:t xml:space="preserve">be non-inferior </w:t>
      </w:r>
      <w:r w:rsidR="00DF7472" w:rsidRPr="00EF4FFA">
        <w:t xml:space="preserve">in terms of safety </w:t>
      </w:r>
      <w:r w:rsidR="008D26CF" w:rsidRPr="00EF4FFA">
        <w:t>to ibrutinib in the newly diagnosed setting.</w:t>
      </w:r>
    </w:p>
    <w:p w:rsidR="00786A6E" w:rsidRDefault="005F071C" w:rsidP="00786A6E">
      <w:pPr>
        <w:pStyle w:val="3-BodyText"/>
        <w:rPr>
          <w:b/>
          <w:color w:val="0066FF"/>
        </w:rPr>
      </w:pPr>
      <w:r w:rsidRPr="00EF4FFA">
        <w:rPr>
          <w:lang w:eastAsia="en-US"/>
        </w:rPr>
        <w:t>The PBAC considered that the clinical claims describing acalabrutinib monotherapy as non-inferior in terms of effectiveness and superior in terms of safety compared to ibrutinib were not adequately supported by the data.</w:t>
      </w:r>
      <w:r w:rsidR="00D6611E" w:rsidRPr="00EF4FFA">
        <w:rPr>
          <w:lang w:eastAsia="en-US"/>
        </w:rPr>
        <w:t xml:space="preserve"> The PBAC considered that the </w:t>
      </w:r>
      <w:r w:rsidR="00D6611E" w:rsidRPr="00EF4FFA">
        <w:rPr>
          <w:lang w:eastAsia="en-US"/>
        </w:rPr>
        <w:lastRenderedPageBreak/>
        <w:t>MAIC analyses were highly uncertain due to the low sample sizes</w:t>
      </w:r>
      <w:r w:rsidR="00052C1D" w:rsidRPr="00EF4FFA">
        <w:rPr>
          <w:lang w:eastAsia="en-US"/>
        </w:rPr>
        <w:t xml:space="preserve"> and concerns whether all relevant prognostic and effect modifier variables were identified.</w:t>
      </w:r>
      <w:r w:rsidR="00D6611E" w:rsidRPr="00EF4FFA">
        <w:rPr>
          <w:lang w:eastAsia="en-US"/>
        </w:rPr>
        <w:t xml:space="preserve"> </w:t>
      </w:r>
    </w:p>
    <w:p w:rsidR="000A0508" w:rsidRPr="00786A6E" w:rsidRDefault="000A0508" w:rsidP="00786A6E">
      <w:pPr>
        <w:pStyle w:val="3-BodyText"/>
        <w:rPr>
          <w:b/>
          <w:color w:val="0066FF"/>
        </w:rPr>
      </w:pPr>
      <w:r w:rsidRPr="00EF4FFA">
        <w:t>The submission described acalabrutinib + obinutuzumab as non-inferior in terms of progression</w:t>
      </w:r>
      <w:r w:rsidR="008E3636" w:rsidRPr="00EF4FFA">
        <w:t xml:space="preserve"> </w:t>
      </w:r>
      <w:r w:rsidRPr="00EF4FFA">
        <w:t>free survival and overall survival but with a higher objective response rate compared to</w:t>
      </w:r>
      <w:r w:rsidR="00487FC1" w:rsidRPr="00EF4FFA">
        <w:t xml:space="preserve"> the supplementary comparator,</w:t>
      </w:r>
      <w:r w:rsidRPr="00EF4FFA">
        <w:t xml:space="preserve"> venetoclax + obinutuzumab, and non-inferior in terms of safety compared to venetoclax + obinutuzumab.</w:t>
      </w:r>
      <w:r w:rsidR="00786E3F" w:rsidRPr="00EF4FFA">
        <w:t xml:space="preserve"> The submission described acalabrutinib monotherapy as non-inferior in terms of efficacy, and superior in terms of safety compared to venetoclax + obinutuzumab. </w:t>
      </w:r>
      <w:r w:rsidRPr="00EF4FFA">
        <w:t>Th</w:t>
      </w:r>
      <w:r w:rsidR="00786E3F" w:rsidRPr="00EF4FFA">
        <w:t>e</w:t>
      </w:r>
      <w:r w:rsidR="00454A0A" w:rsidRPr="00EF4FFA">
        <w:t xml:space="preserve"> ESC considered that the</w:t>
      </w:r>
      <w:r w:rsidRPr="00EF4FFA">
        <w:t>s</w:t>
      </w:r>
      <w:r w:rsidR="00786E3F" w:rsidRPr="00EF4FFA">
        <w:t xml:space="preserve">e </w:t>
      </w:r>
      <w:r w:rsidRPr="00EF4FFA">
        <w:t>claim</w:t>
      </w:r>
      <w:r w:rsidR="00786E3F" w:rsidRPr="00EF4FFA">
        <w:t>s</w:t>
      </w:r>
      <w:r w:rsidRPr="00EF4FFA">
        <w:t xml:space="preserve"> </w:t>
      </w:r>
      <w:r w:rsidR="00786E3F" w:rsidRPr="00EF4FFA">
        <w:t xml:space="preserve">were </w:t>
      </w:r>
      <w:r w:rsidRPr="00EF4FFA">
        <w:t>not adequately supported due to the following considerations:</w:t>
      </w:r>
    </w:p>
    <w:p w:rsidR="000A0508" w:rsidRPr="00EF4FFA" w:rsidRDefault="000A0508" w:rsidP="0093038C">
      <w:pPr>
        <w:pStyle w:val="ExecSumBodyText"/>
        <w:numPr>
          <w:ilvl w:val="0"/>
          <w:numId w:val="21"/>
        </w:numPr>
        <w:spacing w:after="0"/>
        <w:ind w:left="1077" w:hanging="357"/>
      </w:pPr>
      <w:r w:rsidRPr="00EF4FFA">
        <w:t xml:space="preserve">There were major differences between the ELEVATE-TN and CLL-14 trials in eligibility criteria, and a </w:t>
      </w:r>
      <w:r w:rsidR="005770AE">
        <w:t xml:space="preserve">large </w:t>
      </w:r>
      <w:r w:rsidRPr="00EF4FFA">
        <w:t>number of patients were excluded from the MAIC analys</w:t>
      </w:r>
      <w:r w:rsidR="005B1027" w:rsidRPr="00EF4FFA">
        <w:t>e</w:t>
      </w:r>
      <w:r w:rsidRPr="00EF4FFA">
        <w:t>s.</w:t>
      </w:r>
    </w:p>
    <w:p w:rsidR="000A0508" w:rsidRPr="00EF4FFA" w:rsidRDefault="000A0508" w:rsidP="0093038C">
      <w:pPr>
        <w:pStyle w:val="ExecSumBodyText"/>
        <w:numPr>
          <w:ilvl w:val="0"/>
          <w:numId w:val="21"/>
        </w:numPr>
        <w:spacing w:after="0"/>
        <w:ind w:left="1077" w:hanging="357"/>
      </w:pPr>
      <w:r w:rsidRPr="00EF4FFA">
        <w:t xml:space="preserve">The results of the unanchored MAIC </w:t>
      </w:r>
      <w:r w:rsidR="005B1027" w:rsidRPr="00EF4FFA">
        <w:t xml:space="preserve">analyses </w:t>
      </w:r>
      <w:r w:rsidRPr="00EF4FFA">
        <w:t xml:space="preserve">were highly uncertain. Matching for the selected variables resulted in an effective sample size </w:t>
      </w:r>
      <w:r w:rsidRPr="005770AE">
        <w:t xml:space="preserve">of </w:t>
      </w:r>
      <w:r w:rsidR="005770AE">
        <w:t>43</w:t>
      </w:r>
      <w:r w:rsidR="005B1027" w:rsidRPr="005770AE">
        <w:t>for the acalabrutinib + obinutuzumab comparison, and 51 for the acalabrutinib monotherapy comparison</w:t>
      </w:r>
      <w:r w:rsidRPr="005770AE">
        <w:t>, indicating poor overlap between the included</w:t>
      </w:r>
      <w:r w:rsidRPr="00EF4FFA">
        <w:t xml:space="preserve"> trial populations. Additionally, it was unclear whether all relevant prognostic and treatment effect modifier variables were identified and matched in the analysis. </w:t>
      </w:r>
    </w:p>
    <w:p w:rsidR="000A0508" w:rsidRPr="00EF4FFA" w:rsidRDefault="000A0508" w:rsidP="0093038C">
      <w:pPr>
        <w:pStyle w:val="ExecSumBodyText"/>
        <w:numPr>
          <w:ilvl w:val="0"/>
          <w:numId w:val="21"/>
        </w:numPr>
        <w:spacing w:after="0"/>
        <w:ind w:left="1077" w:hanging="357"/>
      </w:pPr>
      <w:r w:rsidRPr="00EF4FFA">
        <w:t>No non-inf</w:t>
      </w:r>
      <w:r w:rsidR="008E3636" w:rsidRPr="00EF4FFA">
        <w:t xml:space="preserve">eriority margin for progression </w:t>
      </w:r>
      <w:r w:rsidRPr="00EF4FFA">
        <w:t xml:space="preserve">free survival or overall </w:t>
      </w:r>
      <w:r w:rsidR="005B1027" w:rsidRPr="00EF4FFA">
        <w:t xml:space="preserve">survival </w:t>
      </w:r>
      <w:r w:rsidRPr="00EF4FFA">
        <w:t>was proposed. The lack of a statistically significant difference may not be sufficient to establish non-inferiority, as the 95% confidence intervals were wide and may include a clinically important difference.</w:t>
      </w:r>
    </w:p>
    <w:p w:rsidR="005B1027" w:rsidRPr="00EF4FFA" w:rsidRDefault="000A0508" w:rsidP="0093038C">
      <w:pPr>
        <w:pStyle w:val="ExecSumBodyText"/>
        <w:numPr>
          <w:ilvl w:val="0"/>
          <w:numId w:val="21"/>
        </w:numPr>
        <w:spacing w:after="0"/>
        <w:ind w:left="1077" w:hanging="357"/>
      </w:pPr>
      <w:r w:rsidRPr="00EF4FFA">
        <w:t>The results of the unanchored MAIC</w:t>
      </w:r>
      <w:r w:rsidR="005B1027" w:rsidRPr="00EF4FFA">
        <w:t>s</w:t>
      </w:r>
      <w:r w:rsidRPr="00EF4FFA">
        <w:t xml:space="preserve"> of selected safety outcomes were unreliable, as the submission did not adequately justify the application of the MAIC methodology (based on adjustment for CLL/SLL disease prognostic and treatment effect modifier variables) to specific adverse event outcomes.</w:t>
      </w:r>
    </w:p>
    <w:p w:rsidR="0065728B" w:rsidRPr="00EF4FFA" w:rsidRDefault="00487FC1" w:rsidP="0093038C">
      <w:pPr>
        <w:pStyle w:val="ExecSumBodyText"/>
        <w:numPr>
          <w:ilvl w:val="0"/>
          <w:numId w:val="21"/>
        </w:numPr>
        <w:ind w:left="1077" w:hanging="357"/>
        <w:rPr>
          <w:rFonts w:eastAsia="Calibri"/>
        </w:rPr>
      </w:pPr>
      <w:r w:rsidRPr="00EF4FFA">
        <w:t>The ESC noted that d</w:t>
      </w:r>
      <w:r w:rsidR="000A0508" w:rsidRPr="00EF4FFA">
        <w:t>ifferences in treatment duration are likely to impact overall numbers of adverse events. Treatment with acalabrutinib is ongoing until disease progression or unacceptable toxicity</w:t>
      </w:r>
      <w:r w:rsidR="0049565B" w:rsidRPr="00EF4FFA">
        <w:t>; whereas, i</w:t>
      </w:r>
      <w:r w:rsidR="000A0508" w:rsidRPr="00EF4FFA">
        <w:t>n the venetoclax + obinutuzumab regimen, venetoclax was administered for a fixed treatment duration of 12 cycles</w:t>
      </w:r>
      <w:r w:rsidR="009765D7" w:rsidRPr="00EF4FFA">
        <w:t xml:space="preserve"> (48 weeks)</w:t>
      </w:r>
      <w:r w:rsidR="000A0508" w:rsidRPr="00EF4FFA">
        <w:t>.</w:t>
      </w:r>
    </w:p>
    <w:p w:rsidR="0065728B" w:rsidRPr="00EF4FFA" w:rsidRDefault="00786A6E" w:rsidP="0065728B">
      <w:pPr>
        <w:pStyle w:val="ExecSumBodyText"/>
        <w:rPr>
          <w:b/>
          <w:bCs/>
          <w:color w:val="0066FF"/>
        </w:rPr>
      </w:pPr>
      <w:r>
        <w:rPr>
          <w:lang w:eastAsia="en-US"/>
        </w:rPr>
        <w:t>6.56</w:t>
      </w:r>
      <w:r>
        <w:rPr>
          <w:lang w:eastAsia="en-US"/>
        </w:rPr>
        <w:tab/>
      </w:r>
      <w:r w:rsidR="0065728B" w:rsidRPr="00EF4FFA">
        <w:rPr>
          <w:lang w:eastAsia="en-US"/>
        </w:rPr>
        <w:t xml:space="preserve">The PBAC considered that the </w:t>
      </w:r>
      <w:r w:rsidR="00187719" w:rsidRPr="00EF4FFA">
        <w:rPr>
          <w:lang w:eastAsia="en-US"/>
        </w:rPr>
        <w:t xml:space="preserve">clinical </w:t>
      </w:r>
      <w:r w:rsidR="0065728B" w:rsidRPr="00EF4FFA">
        <w:rPr>
          <w:lang w:eastAsia="en-US"/>
        </w:rPr>
        <w:t>claim</w:t>
      </w:r>
      <w:r w:rsidR="00187719" w:rsidRPr="00EF4FFA">
        <w:rPr>
          <w:lang w:eastAsia="en-US"/>
        </w:rPr>
        <w:t xml:space="preserve">s versus venetoclax + obinutuzumab were </w:t>
      </w:r>
      <w:r w:rsidR="0065728B" w:rsidRPr="00EF4FFA">
        <w:rPr>
          <w:lang w:eastAsia="en-US"/>
        </w:rPr>
        <w:t>not adequately supported by the data</w:t>
      </w:r>
      <w:r w:rsidR="00052C1D" w:rsidRPr="00EF4FFA">
        <w:rPr>
          <w:lang w:eastAsia="en-US"/>
        </w:rPr>
        <w:t xml:space="preserve"> as the MAICs were highly uncertain</w:t>
      </w:r>
      <w:r w:rsidR="0065728B" w:rsidRPr="00EF4FFA">
        <w:rPr>
          <w:lang w:eastAsia="en-US"/>
        </w:rPr>
        <w:t>.</w:t>
      </w:r>
    </w:p>
    <w:p w:rsidR="0065728B" w:rsidRPr="00EF4FFA" w:rsidRDefault="0065728B" w:rsidP="0065728B">
      <w:pPr>
        <w:pStyle w:val="3-SubsectionHeading"/>
      </w:pPr>
      <w:bookmarkStart w:id="21" w:name="_Toc22897645"/>
      <w:bookmarkStart w:id="22" w:name="_Toc40350904"/>
      <w:r w:rsidRPr="00EF4FFA">
        <w:t>Economic analysis</w:t>
      </w:r>
      <w:bookmarkEnd w:id="21"/>
      <w:bookmarkEnd w:id="22"/>
      <w:r w:rsidRPr="00EF4FFA">
        <w:t xml:space="preserve"> </w:t>
      </w:r>
    </w:p>
    <w:p w:rsidR="00786A6E" w:rsidRDefault="00786A6E" w:rsidP="00786A6E">
      <w:pPr>
        <w:pStyle w:val="ExecSumBodyText"/>
        <w:rPr>
          <w:b/>
          <w:bCs/>
          <w:color w:val="0066FF"/>
        </w:rPr>
      </w:pPr>
      <w:r>
        <w:t>6.57</w:t>
      </w:r>
      <w:r>
        <w:tab/>
      </w:r>
      <w:r w:rsidR="0065728B" w:rsidRPr="00EF4FFA">
        <w:t>The submission presented a cost-effectiveness analysis comparing acalabrutinib monotherapy or acalabrutinib + obinutuzumab with chlorambucil + obinutuzumab; and a cost-minimisation analysis comparing acalabrutinib monotherapy with ibrutinib monotherapy.</w:t>
      </w:r>
      <w:r w:rsidR="0065728B" w:rsidRPr="00EF4FFA">
        <w:rPr>
          <w:color w:val="0066FF"/>
          <w:highlight w:val="cyan"/>
        </w:rPr>
        <w:t xml:space="preserve"> </w:t>
      </w:r>
    </w:p>
    <w:p w:rsidR="0065728B" w:rsidRPr="00EF4FFA" w:rsidRDefault="00786A6E" w:rsidP="00786A6E">
      <w:pPr>
        <w:pStyle w:val="ExecSumBodyText"/>
        <w:rPr>
          <w:b/>
          <w:bCs/>
          <w:color w:val="0066FF"/>
        </w:rPr>
      </w:pPr>
      <w:r>
        <w:t>6.58</w:t>
      </w:r>
      <w:r>
        <w:tab/>
      </w:r>
      <w:r w:rsidR="0065728B" w:rsidRPr="00EF4FFA">
        <w:t>The poor documentation of many variables (transitions, utilities and costs) made it difficult to assess the validity of the model.</w:t>
      </w:r>
    </w:p>
    <w:p w:rsidR="003F5FBB" w:rsidRPr="00EF4FFA" w:rsidRDefault="003F5FBB" w:rsidP="003F5FBB">
      <w:pPr>
        <w:pStyle w:val="ExecSumBodyText"/>
        <w:ind w:left="0" w:firstLine="0"/>
        <w:rPr>
          <w:b/>
          <w:bCs/>
        </w:rPr>
      </w:pPr>
      <w:r w:rsidRPr="00EF4FFA">
        <w:rPr>
          <w:b/>
        </w:rPr>
        <w:lastRenderedPageBreak/>
        <w:t>Cost effectiveness analysis</w:t>
      </w:r>
    </w:p>
    <w:p w:rsidR="00D913C1" w:rsidRPr="00EF4FFA" w:rsidRDefault="00786A6E" w:rsidP="00D913C1">
      <w:pPr>
        <w:pStyle w:val="ExecSumBodyText"/>
        <w:snapToGrid w:val="0"/>
      </w:pPr>
      <w:r>
        <w:t>6.59</w:t>
      </w:r>
      <w:r>
        <w:tab/>
      </w:r>
      <w:r w:rsidR="00D913C1" w:rsidRPr="00EF4FFA">
        <w:t xml:space="preserve">For previously untreated CLL patients unsuitable for treatment with a purine analogue, the submission presented a modelled economic evaluation </w:t>
      </w:r>
      <w:r w:rsidR="004E5A6A" w:rsidRPr="00EF4FFA">
        <w:t>comparing</w:t>
      </w:r>
      <w:r w:rsidR="00D913C1" w:rsidRPr="00EF4FFA">
        <w:t>:</w:t>
      </w:r>
    </w:p>
    <w:p w:rsidR="00D913C1" w:rsidRPr="00EF4FFA" w:rsidRDefault="00D913C1" w:rsidP="0093038C">
      <w:pPr>
        <w:pStyle w:val="ExecSumBodyText"/>
        <w:numPr>
          <w:ilvl w:val="0"/>
          <w:numId w:val="14"/>
        </w:numPr>
        <w:snapToGrid w:val="0"/>
        <w:ind w:left="1077" w:hanging="357"/>
      </w:pPr>
      <w:r w:rsidRPr="00EF4FFA">
        <w:t xml:space="preserve">sequential treatment with acalabrutinib monotherapy or acalabrutinib with obinutuzumab combination therapy followed by venetoclax with rituximab (80%) or idelalisib with rituximab (20%) followed by best supportive care, </w:t>
      </w:r>
      <w:r w:rsidR="004E5A6A" w:rsidRPr="00EF4FFA">
        <w:t>and</w:t>
      </w:r>
      <w:r w:rsidRPr="00EF4FFA">
        <w:t xml:space="preserve"> </w:t>
      </w:r>
    </w:p>
    <w:p w:rsidR="00D913C1" w:rsidRPr="00EF4FFA" w:rsidRDefault="00D913C1" w:rsidP="0093038C">
      <w:pPr>
        <w:pStyle w:val="ExecSumBodyText"/>
        <w:numPr>
          <w:ilvl w:val="0"/>
          <w:numId w:val="14"/>
        </w:numPr>
        <w:snapToGrid w:val="0"/>
        <w:ind w:left="1077" w:hanging="357"/>
      </w:pPr>
      <w:proofErr w:type="gramStart"/>
      <w:r w:rsidRPr="00EF4FFA">
        <w:t>sequential</w:t>
      </w:r>
      <w:proofErr w:type="gramEnd"/>
      <w:r w:rsidRPr="00EF4FFA">
        <w:t xml:space="preserve"> treatment with chlorambucil with obinutuzumab combination therapy followed by ibrutinib monotherapy followed by best supportive care.</w:t>
      </w:r>
    </w:p>
    <w:p w:rsidR="00D913C1" w:rsidRPr="00EF4FFA" w:rsidRDefault="00D913C1" w:rsidP="00D913C1">
      <w:pPr>
        <w:pStyle w:val="ExecSumBodyText"/>
        <w:ind w:firstLine="0"/>
      </w:pPr>
      <w:r w:rsidRPr="00EF4FFA">
        <w:t>The economic evaluation was based on the ELEVATE-TN trial with additional modelled data. The economic evaluation was presented as a cost-utility analysis.</w:t>
      </w:r>
      <w:r w:rsidRPr="00EF4FFA">
        <w:rPr>
          <w:i/>
        </w:rPr>
        <w:t xml:space="preserve"> </w:t>
      </w:r>
    </w:p>
    <w:p w:rsidR="00120B24" w:rsidRPr="00EF4FFA" w:rsidRDefault="00786A6E" w:rsidP="00D913C1">
      <w:pPr>
        <w:pStyle w:val="ExecSumBodyText"/>
        <w:snapToGrid w:val="0"/>
      </w:pPr>
      <w:r>
        <w:t>6.60</w:t>
      </w:r>
      <w:r>
        <w:tab/>
      </w:r>
      <w:r w:rsidR="00D913C1" w:rsidRPr="00EF4FFA">
        <w:t>The modelling of se</w:t>
      </w:r>
      <w:r w:rsidR="00120B24" w:rsidRPr="00EF4FFA">
        <w:t>quential treatment in the submission assumed that first</w:t>
      </w:r>
      <w:r w:rsidR="00384F35" w:rsidRPr="00EF4FFA">
        <w:t>-</w:t>
      </w:r>
      <w:r w:rsidR="00120B24" w:rsidRPr="00EF4FFA">
        <w:t>line treatment with acalabrutinib would modify second</w:t>
      </w:r>
      <w:r w:rsidR="00384F35" w:rsidRPr="00EF4FFA">
        <w:t>-</w:t>
      </w:r>
      <w:r w:rsidR="00120B24" w:rsidRPr="00EF4FFA">
        <w:t>line treatment options. This may be reasonable</w:t>
      </w:r>
      <w:r w:rsidR="00384F35" w:rsidRPr="00EF4FFA">
        <w:t>;</w:t>
      </w:r>
      <w:r w:rsidR="00120B24" w:rsidRPr="00EF4FFA">
        <w:t xml:space="preserve"> however</w:t>
      </w:r>
      <w:r w:rsidR="00384F35" w:rsidRPr="00EF4FFA">
        <w:t>,</w:t>
      </w:r>
      <w:r w:rsidR="00120B24" w:rsidRPr="00EF4FFA">
        <w:t xml:space="preserve"> the assumed differences in utilisation, efficacy and cost of second-line treatment options for each modelled arm were not adequately justified in the submission.</w:t>
      </w:r>
      <w:r w:rsidR="00D913C1" w:rsidRPr="00EF4FFA">
        <w:t xml:space="preserve"> In particular, the </w:t>
      </w:r>
      <w:r w:rsidR="00946668" w:rsidRPr="00EF4FFA">
        <w:t xml:space="preserve">unsupported </w:t>
      </w:r>
      <w:r w:rsidR="00D913C1" w:rsidRPr="00EF4FFA">
        <w:t>assumption that venetoclax with rituximab will only be used after acalabruti</w:t>
      </w:r>
      <w:r w:rsidR="00946668" w:rsidRPr="00EF4FFA">
        <w:t>nib but not chlorambucil was a key driver of the economic model.</w:t>
      </w:r>
      <w:r w:rsidR="0049565B" w:rsidRPr="00EF4FFA">
        <w:t xml:space="preserve"> The PSCR considered that it was unlikely that patients who had received chlorambucil + obinutuzumab in the first-line setting would receive venetoclax + rituximab in the second-line based on (i) the current low PBS utilisation of venetoclax + rituximab in the RR setting; and (ii) clinical opinion that venetoclax + rituximab is used post BTK inhibitor failure, meaning that ibrutinib is the preferred second-line treatment for these patients.</w:t>
      </w:r>
      <w:r w:rsidR="00B8201B" w:rsidRPr="00EF4FFA">
        <w:t xml:space="preserve"> </w:t>
      </w:r>
    </w:p>
    <w:p w:rsidR="003F5FBB" w:rsidRPr="00EF4FFA" w:rsidRDefault="003F5FBB" w:rsidP="00F22FCB">
      <w:pPr>
        <w:pStyle w:val="TableFigureCaption"/>
        <w:keepLines/>
      </w:pPr>
      <w:r w:rsidRPr="00EF4FFA">
        <w:lastRenderedPageBreak/>
        <w:t xml:space="preserve">Table </w:t>
      </w:r>
      <w:r w:rsidR="00A56E51" w:rsidRPr="00EF4FFA">
        <w:t>10</w:t>
      </w:r>
      <w:r w:rsidRPr="00EF4FFA">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457"/>
      </w:tblGrid>
      <w:tr w:rsidR="003F5FBB" w:rsidRPr="00EF4FFA" w:rsidTr="00480C61">
        <w:trPr>
          <w:cantSplit/>
          <w:trHeight w:val="123"/>
          <w:tblHeader/>
        </w:trPr>
        <w:tc>
          <w:tcPr>
            <w:tcW w:w="865" w:type="pct"/>
            <w:tcBorders>
              <w:top w:val="single" w:sz="4" w:space="0" w:color="auto"/>
              <w:left w:val="single" w:sz="4" w:space="0" w:color="auto"/>
              <w:bottom w:val="single" w:sz="4" w:space="0" w:color="auto"/>
              <w:right w:val="single" w:sz="4" w:space="0" w:color="auto"/>
            </w:tcBorders>
            <w:hideMark/>
          </w:tcPr>
          <w:p w:rsidR="003F5FBB" w:rsidRPr="00EF4FFA" w:rsidRDefault="003F5FBB" w:rsidP="00F22FCB">
            <w:pPr>
              <w:pStyle w:val="TableText"/>
              <w:keepLines/>
              <w:widowControl w:val="0"/>
              <w:rPr>
                <w:b/>
              </w:rPr>
            </w:pPr>
            <w:r w:rsidRPr="00EF4FFA">
              <w:rPr>
                <w:b/>
              </w:rPr>
              <w:t xml:space="preserve">Component </w:t>
            </w:r>
          </w:p>
        </w:tc>
        <w:tc>
          <w:tcPr>
            <w:tcW w:w="4135" w:type="pct"/>
            <w:tcBorders>
              <w:top w:val="single" w:sz="4" w:space="0" w:color="auto"/>
              <w:left w:val="single" w:sz="4" w:space="0" w:color="auto"/>
              <w:bottom w:val="single" w:sz="4" w:space="0" w:color="auto"/>
              <w:right w:val="single" w:sz="4" w:space="0" w:color="auto"/>
            </w:tcBorders>
            <w:hideMark/>
          </w:tcPr>
          <w:p w:rsidR="003F5FBB" w:rsidRPr="00EF4FFA" w:rsidRDefault="003F5FBB" w:rsidP="00F22FCB">
            <w:pPr>
              <w:pStyle w:val="TableText"/>
              <w:keepLines/>
              <w:widowControl w:val="0"/>
              <w:rPr>
                <w:b/>
              </w:rPr>
            </w:pPr>
            <w:r w:rsidRPr="00EF4FFA">
              <w:rPr>
                <w:b/>
              </w:rPr>
              <w:t>Description</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pPr>
            <w:r w:rsidRPr="00EF4FFA">
              <w:t>Treatments</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B94BCF" w:rsidP="0093038C">
            <w:pPr>
              <w:pStyle w:val="TableText"/>
              <w:keepLines/>
              <w:widowControl w:val="0"/>
              <w:numPr>
                <w:ilvl w:val="1"/>
                <w:numId w:val="15"/>
              </w:numPr>
              <w:ind w:left="113" w:hanging="113"/>
              <w:rPr>
                <w:rFonts w:eastAsia="Times New Roman" w:cs="Times New Roman"/>
                <w:szCs w:val="20"/>
              </w:rPr>
            </w:pPr>
            <w:r w:rsidRPr="00EF4FFA">
              <w:rPr>
                <w:rFonts w:eastAsia="Times New Roman" w:cs="Times New Roman"/>
                <w:szCs w:val="20"/>
              </w:rPr>
              <w:t xml:space="preserve"> A</w:t>
            </w:r>
            <w:r w:rsidR="003F5FBB" w:rsidRPr="00EF4FFA">
              <w:rPr>
                <w:rFonts w:eastAsia="Times New Roman" w:cs="Times New Roman"/>
                <w:szCs w:val="20"/>
              </w:rPr>
              <w:t>calabrutinib or acalabrutinib + obinutuzumab, followed by venetoclax + rituximab (80%) or idelalisib + rituximab (20%), followed by best supportive care</w:t>
            </w:r>
          </w:p>
          <w:p w:rsidR="00122DDB" w:rsidRPr="00EF4FFA" w:rsidRDefault="00384F35" w:rsidP="0093038C">
            <w:pPr>
              <w:pStyle w:val="TableText"/>
              <w:keepLines/>
              <w:widowControl w:val="0"/>
              <w:numPr>
                <w:ilvl w:val="1"/>
                <w:numId w:val="15"/>
              </w:numPr>
              <w:ind w:left="113" w:hanging="113"/>
              <w:rPr>
                <w:rFonts w:eastAsia="Times New Roman" w:cs="Times New Roman"/>
                <w:szCs w:val="20"/>
              </w:rPr>
            </w:pPr>
            <w:r w:rsidRPr="00EF4FFA">
              <w:t>C</w:t>
            </w:r>
            <w:r w:rsidR="003F5FBB" w:rsidRPr="00EF4FFA">
              <w:t>hlorambucil + obinutuzumab combination therapy followed by ibrutinib monotherapy followed by best supportive care</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pPr>
            <w:r w:rsidRPr="00EF4FFA">
              <w:t>Time horizon</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rPr>
                <w:rFonts w:eastAsia="Times New Roman" w:cs="Times New Roman"/>
                <w:szCs w:val="20"/>
              </w:rPr>
            </w:pPr>
            <w:r w:rsidRPr="00EF4FFA">
              <w:t>20 years</w:t>
            </w:r>
            <w:r w:rsidR="00FC65BD" w:rsidRPr="00EF4FFA">
              <w:t xml:space="preserve"> versus </w:t>
            </w:r>
            <w:r w:rsidR="00D913C1" w:rsidRPr="00EF4FFA">
              <w:t xml:space="preserve">30 </w:t>
            </w:r>
            <w:r w:rsidR="00FC65BD" w:rsidRPr="00EF4FFA">
              <w:t>months in the ELEVATE-TN trial</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rPr>
                <w:rFonts w:ascii="Times" w:eastAsia="Times New Roman" w:hAnsi="Times" w:cs="Times New Roman"/>
                <w:szCs w:val="20"/>
              </w:rPr>
            </w:pPr>
            <w:r w:rsidRPr="00EF4FFA">
              <w:t>Outcomes</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B94BCF" w:rsidP="00F22FCB">
            <w:pPr>
              <w:pStyle w:val="TableText"/>
              <w:keepLines/>
              <w:widowControl w:val="0"/>
            </w:pPr>
            <w:r w:rsidRPr="00EF4FFA">
              <w:t>QALYs</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rPr>
                <w:rFonts w:ascii="Times" w:eastAsia="Times New Roman" w:hAnsi="Times" w:cs="Times New Roman"/>
                <w:szCs w:val="20"/>
              </w:rPr>
            </w:pPr>
            <w:r w:rsidRPr="00EF4FFA">
              <w:t>Methods used to generate results</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rPr>
                <w:rFonts w:ascii="Times" w:eastAsia="Times New Roman" w:hAnsi="Times" w:cs="Times New Roman"/>
                <w:szCs w:val="20"/>
              </w:rPr>
            </w:pPr>
            <w:r w:rsidRPr="00EF4FFA">
              <w:t>Markov state transition model</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rPr>
                <w:rFonts w:ascii="Times" w:eastAsia="Times New Roman" w:hAnsi="Times" w:cs="Times New Roman"/>
                <w:szCs w:val="20"/>
              </w:rPr>
            </w:pPr>
            <w:r w:rsidRPr="00EF4FFA">
              <w:t>Health states</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B94BCF" w:rsidP="00B94BCF">
            <w:pPr>
              <w:pStyle w:val="TableText"/>
              <w:keepLines/>
              <w:widowControl w:val="0"/>
            </w:pPr>
            <w:r w:rsidRPr="00EF4FFA">
              <w:t>6</w:t>
            </w:r>
            <w:r w:rsidR="003F5FBB" w:rsidRPr="00EF4FFA">
              <w:t xml:space="preserve"> health states </w:t>
            </w:r>
            <w:r w:rsidR="008E3636" w:rsidRPr="00EF4FFA">
              <w:t xml:space="preserve">(progression </w:t>
            </w:r>
            <w:r w:rsidR="003F5FBB" w:rsidRPr="00EF4FFA">
              <w:t>free on-treatment, progr</w:t>
            </w:r>
            <w:r w:rsidR="008E3636" w:rsidRPr="00EF4FFA">
              <w:t xml:space="preserve">ession </w:t>
            </w:r>
            <w:r w:rsidR="003F5FBB" w:rsidRPr="00EF4FFA">
              <w:t>free off-treatment, drug holiday, second-line treatment, best supportive care and dead). The model uses tunnel states to track treatment history.</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rPr>
                <w:rFonts w:ascii="Times" w:eastAsia="Times New Roman" w:hAnsi="Times" w:cs="Times New Roman"/>
                <w:szCs w:val="20"/>
              </w:rPr>
            </w:pPr>
            <w:r w:rsidRPr="00EF4FFA">
              <w:t>Cycle length</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pPr>
            <w:r w:rsidRPr="00EF4FFA">
              <w:t>28 days (with half-cycle correction)</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F22FCB">
            <w:pPr>
              <w:pStyle w:val="TableText"/>
              <w:keepLines/>
              <w:widowControl w:val="0"/>
            </w:pPr>
            <w:r w:rsidRPr="00EF4FFA">
              <w:t xml:space="preserve">Transition probabilities </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93038C">
            <w:pPr>
              <w:pStyle w:val="TableText"/>
              <w:keepLines/>
              <w:widowControl w:val="0"/>
              <w:numPr>
                <w:ilvl w:val="1"/>
                <w:numId w:val="15"/>
              </w:numPr>
              <w:ind w:left="113" w:hanging="113"/>
              <w:rPr>
                <w:rFonts w:eastAsia="Times New Roman" w:cs="Times New Roman"/>
                <w:szCs w:val="20"/>
              </w:rPr>
            </w:pPr>
            <w:r w:rsidRPr="00EF4FFA">
              <w:rPr>
                <w:rFonts w:eastAsia="Times New Roman" w:cs="Times New Roman"/>
                <w:szCs w:val="20"/>
              </w:rPr>
              <w:t>Transition probabilities (based on time-to-discontinuation, time-to-progression and time</w:t>
            </w:r>
            <w:r w:rsidR="008E3636" w:rsidRPr="00EF4FFA">
              <w:rPr>
                <w:rFonts w:eastAsia="Times New Roman" w:cs="Times New Roman"/>
                <w:szCs w:val="20"/>
              </w:rPr>
              <w:t xml:space="preserve">-to-death) from the progression </w:t>
            </w:r>
            <w:proofErr w:type="gramStart"/>
            <w:r w:rsidRPr="00EF4FFA">
              <w:rPr>
                <w:rFonts w:eastAsia="Times New Roman" w:cs="Times New Roman"/>
                <w:szCs w:val="20"/>
              </w:rPr>
              <w:t>free</w:t>
            </w:r>
            <w:proofErr w:type="gramEnd"/>
            <w:r w:rsidRPr="00EF4FFA">
              <w:rPr>
                <w:rFonts w:eastAsia="Times New Roman" w:cs="Times New Roman"/>
                <w:szCs w:val="20"/>
              </w:rPr>
              <w:t xml:space="preserve"> states were derived from the ELEVATE-TN trial with additional assumptions.</w:t>
            </w:r>
          </w:p>
          <w:p w:rsidR="00E90979" w:rsidRPr="00EF4FFA" w:rsidRDefault="003F5FBB" w:rsidP="0093038C">
            <w:pPr>
              <w:pStyle w:val="TableText"/>
              <w:keepLines/>
              <w:widowControl w:val="0"/>
              <w:numPr>
                <w:ilvl w:val="1"/>
                <w:numId w:val="15"/>
              </w:numPr>
              <w:ind w:left="113" w:hanging="113"/>
              <w:rPr>
                <w:rFonts w:eastAsia="Times New Roman" w:cs="Times New Roman"/>
                <w:szCs w:val="20"/>
              </w:rPr>
            </w:pPr>
            <w:r w:rsidRPr="00EF4FFA">
              <w:rPr>
                <w:rFonts w:eastAsia="Times New Roman" w:cs="Times New Roman"/>
                <w:szCs w:val="20"/>
              </w:rPr>
              <w:t>The transition probability from the drug holiday to second-line treatment was based on the assumption that second-line treatment would be delayed for 3 cycles in all progressed patients.</w:t>
            </w:r>
          </w:p>
          <w:p w:rsidR="003F5FBB" w:rsidRPr="00EF4FFA" w:rsidRDefault="003F5FBB" w:rsidP="0093038C">
            <w:pPr>
              <w:pStyle w:val="TableText"/>
              <w:keepLines/>
              <w:widowControl w:val="0"/>
              <w:numPr>
                <w:ilvl w:val="1"/>
                <w:numId w:val="15"/>
              </w:numPr>
              <w:ind w:left="113" w:hanging="113"/>
              <w:rPr>
                <w:rFonts w:eastAsia="Times New Roman" w:cs="Times New Roman"/>
                <w:szCs w:val="20"/>
              </w:rPr>
            </w:pPr>
            <w:r w:rsidRPr="00EF4FFA">
              <w:rPr>
                <w:rFonts w:eastAsia="Times New Roman" w:cs="Times New Roman"/>
                <w:szCs w:val="20"/>
              </w:rPr>
              <w:t>Transition probabilities from drug holiday to death were assumed to be the same as the transition probabilities from second-line treatment to death.</w:t>
            </w:r>
          </w:p>
          <w:p w:rsidR="003F5FBB" w:rsidRPr="00EF4FFA" w:rsidRDefault="003F5FBB" w:rsidP="0093038C">
            <w:pPr>
              <w:pStyle w:val="TableText"/>
              <w:keepLines/>
              <w:widowControl w:val="0"/>
              <w:numPr>
                <w:ilvl w:val="1"/>
                <w:numId w:val="15"/>
              </w:numPr>
              <w:ind w:left="113" w:hanging="113"/>
              <w:rPr>
                <w:rFonts w:eastAsia="Times New Roman" w:cs="Times New Roman"/>
                <w:szCs w:val="20"/>
              </w:rPr>
            </w:pPr>
            <w:r w:rsidRPr="00EF4FFA">
              <w:rPr>
                <w:rFonts w:eastAsia="Times New Roman" w:cs="Times New Roman"/>
                <w:szCs w:val="20"/>
              </w:rPr>
              <w:t xml:space="preserve">Transition probabilities (based on </w:t>
            </w:r>
            <w:r w:rsidR="008E3636" w:rsidRPr="00EF4FFA">
              <w:rPr>
                <w:rFonts w:eastAsia="Times New Roman" w:cs="Times New Roman"/>
                <w:szCs w:val="20"/>
              </w:rPr>
              <w:t>PFS</w:t>
            </w:r>
            <w:r w:rsidRPr="00EF4FFA">
              <w:rPr>
                <w:rFonts w:eastAsia="Times New Roman" w:cs="Times New Roman"/>
                <w:szCs w:val="20"/>
              </w:rPr>
              <w:t xml:space="preserve">, </w:t>
            </w:r>
            <w:r w:rsidR="008E3636" w:rsidRPr="00EF4FFA">
              <w:rPr>
                <w:rFonts w:eastAsia="Times New Roman" w:cs="Times New Roman"/>
                <w:szCs w:val="20"/>
              </w:rPr>
              <w:t>OS</w:t>
            </w:r>
            <w:r w:rsidRPr="00EF4FFA">
              <w:rPr>
                <w:rFonts w:eastAsia="Times New Roman" w:cs="Times New Roman"/>
                <w:szCs w:val="20"/>
              </w:rPr>
              <w:t xml:space="preserve">) from the second-line treatment state were derived from published </w:t>
            </w:r>
            <w:r w:rsidR="00D97DD2" w:rsidRPr="00EF4FFA">
              <w:rPr>
                <w:rFonts w:eastAsia="Times New Roman" w:cs="Times New Roman"/>
                <w:szCs w:val="20"/>
              </w:rPr>
              <w:t>RR</w:t>
            </w:r>
            <w:r w:rsidRPr="00EF4FFA">
              <w:rPr>
                <w:rFonts w:eastAsia="Times New Roman" w:cs="Times New Roman"/>
                <w:szCs w:val="20"/>
              </w:rPr>
              <w:t xml:space="preserve"> trials for venetoclax with rituximab (MURANO), ibrutinib monotherapy (RESONATE), idelalisib with rituximab (using proxy data from ASCEND) with additional assumptions.</w:t>
            </w:r>
          </w:p>
          <w:p w:rsidR="003F5FBB" w:rsidRPr="00EF4FFA" w:rsidRDefault="003F5FBB" w:rsidP="0093038C">
            <w:pPr>
              <w:pStyle w:val="TableText"/>
              <w:keepLines/>
              <w:widowControl w:val="0"/>
              <w:numPr>
                <w:ilvl w:val="1"/>
                <w:numId w:val="15"/>
              </w:numPr>
              <w:ind w:left="113" w:hanging="113"/>
              <w:rPr>
                <w:szCs w:val="20"/>
              </w:rPr>
            </w:pPr>
            <w:r w:rsidRPr="00EF4FFA">
              <w:rPr>
                <w:rFonts w:eastAsia="Times New Roman" w:cs="Times New Roman"/>
                <w:szCs w:val="20"/>
              </w:rPr>
              <w:t>Transition probabilities (based on overall survival) from the best supportive care health state were derived from Australian life tables with a mortality multiplier for CLL disease (Cunha-Bang 2016)</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pPr>
              <w:pStyle w:val="TableText"/>
              <w:keepNext w:val="0"/>
              <w:widowControl w:val="0"/>
            </w:pPr>
            <w:r w:rsidRPr="00EF4FFA">
              <w:t>Extrapolation method</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pPr>
              <w:jc w:val="left"/>
              <w:rPr>
                <w:rFonts w:ascii="Arial Narrow" w:hAnsi="Arial Narrow"/>
                <w:sz w:val="20"/>
                <w:u w:val="single"/>
              </w:rPr>
            </w:pPr>
            <w:r w:rsidRPr="00EF4FFA">
              <w:rPr>
                <w:rFonts w:ascii="Arial Narrow" w:hAnsi="Arial Narrow"/>
                <w:sz w:val="20"/>
                <w:u w:val="single"/>
              </w:rPr>
              <w:t>First-line treatment</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Time to treatment discontinuation was independently extrapolated for acalabrutinib monotherapy (using a generalised gamma function) and acalabrutinib + obinutuzumab (using a log-normal function). The submission assumes no treatment discontinuations in the first 6 cycles for chlorambucil + obinutuzumab, with all patients discontinuing treatment after 6 cycles.</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Time to progression was independently extrapolated for acalabrutinib monotherapy (using an exponential function), acalabrutinib + obinutuzumab (using a log-normal function) and chlorambucil + obinutuzumab (using a Weibull function).</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Time to death was independently extrapolated for acalabrutinib monotherapy (using an exponential function), acalabrutinib + obinutuzumab (using a Gompertz function) and chlorambucil + obinutuzumab (using a Weibull function).</w:t>
            </w:r>
          </w:p>
          <w:p w:rsidR="003F5FBB" w:rsidRPr="00EF4FFA" w:rsidRDefault="003F5FBB" w:rsidP="00F22FCB">
            <w:pPr>
              <w:pStyle w:val="TableText"/>
              <w:keepNext w:val="0"/>
              <w:widowControl w:val="0"/>
              <w:rPr>
                <w:rFonts w:eastAsia="Times New Roman" w:cs="Times New Roman"/>
                <w:szCs w:val="20"/>
                <w:u w:val="single"/>
              </w:rPr>
            </w:pPr>
            <w:r w:rsidRPr="00EF4FFA">
              <w:rPr>
                <w:rFonts w:eastAsia="Times New Roman" w:cs="Times New Roman"/>
                <w:szCs w:val="20"/>
                <w:u w:val="single"/>
              </w:rPr>
              <w:t>Second-line treatment</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P</w:t>
            </w:r>
            <w:r w:rsidR="00B94BCF" w:rsidRPr="00EF4FFA">
              <w:rPr>
                <w:rFonts w:eastAsia="Times New Roman" w:cs="Times New Roman"/>
                <w:szCs w:val="20"/>
              </w:rPr>
              <w:t>FS</w:t>
            </w:r>
            <w:r w:rsidRPr="00EF4FFA">
              <w:rPr>
                <w:rFonts w:eastAsia="Times New Roman" w:cs="Times New Roman"/>
                <w:szCs w:val="20"/>
              </w:rPr>
              <w:t xml:space="preserve"> was independently extrapolated for venetoclax + rituximab (using a Weibull function), idelalisib + rituximab (using a log-logistic function) and ibrutinib (using an exponential function).</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O</w:t>
            </w:r>
            <w:r w:rsidR="00273725" w:rsidRPr="00EF4FFA">
              <w:rPr>
                <w:rFonts w:eastAsia="Times New Roman" w:cs="Times New Roman"/>
                <w:szCs w:val="20"/>
              </w:rPr>
              <w:t>S</w:t>
            </w:r>
            <w:r w:rsidRPr="00EF4FFA">
              <w:rPr>
                <w:rFonts w:eastAsia="Times New Roman" w:cs="Times New Roman"/>
                <w:szCs w:val="20"/>
              </w:rPr>
              <w:t xml:space="preserve"> was independently extrapolated for venetoclax + rituximab (using an exponential function), idelalisib + rituximab (using an exponential function) and ibrutinib (using an exponential function).</w:t>
            </w:r>
          </w:p>
          <w:p w:rsidR="003F5FBB" w:rsidRPr="00EF4FFA" w:rsidRDefault="003F5FBB" w:rsidP="00F22FCB">
            <w:pPr>
              <w:pStyle w:val="TableText"/>
              <w:keepNext w:val="0"/>
              <w:widowControl w:val="0"/>
              <w:rPr>
                <w:szCs w:val="20"/>
                <w:u w:val="single"/>
              </w:rPr>
            </w:pPr>
            <w:r w:rsidRPr="00EF4FFA">
              <w:rPr>
                <w:szCs w:val="20"/>
                <w:u w:val="single"/>
              </w:rPr>
              <w:t>Proportion of incremental costs and outcomes in modelled period</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For the acalabrutinib monotherapy vs chlorambucil with obinutuzumab comparison, 51.2% of incremental costs; 95.2% of incremental QALYs; and 97.0% of incremental life years are accrued in the extrapolated period (beyond 2.3 years, based on 30 cycles).</w:t>
            </w:r>
          </w:p>
          <w:p w:rsidR="003F5FBB" w:rsidRPr="00EF4FFA" w:rsidRDefault="003F5FBB" w:rsidP="0093038C">
            <w:pPr>
              <w:pStyle w:val="TableText"/>
              <w:keepNext w:val="0"/>
              <w:widowControl w:val="0"/>
              <w:numPr>
                <w:ilvl w:val="1"/>
                <w:numId w:val="15"/>
              </w:numPr>
              <w:ind w:left="113" w:hanging="113"/>
              <w:rPr>
                <w:szCs w:val="20"/>
              </w:rPr>
            </w:pPr>
            <w:r w:rsidRPr="00EF4FFA">
              <w:rPr>
                <w:rFonts w:eastAsia="Times New Roman" w:cs="Times New Roman"/>
                <w:szCs w:val="20"/>
              </w:rPr>
              <w:t xml:space="preserve">For the acalabrutinib with obinutuzumab vs chlorambucil with obinutuzumab comparison, 44.5% of incremental costs; 95.8% of incremental QALYs; and 98.2% of incremental life years are accrued in the extrapolated period (beyond 2.3 years, based on 30 cycles). </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pPr>
              <w:pStyle w:val="TableText"/>
              <w:keepNext w:val="0"/>
              <w:widowControl w:val="0"/>
            </w:pPr>
            <w:r w:rsidRPr="00EF4FFA">
              <w:lastRenderedPageBreak/>
              <w:t>Health related quality of life</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Pre-progression utility values were based on mean utility value across all treatment arms in the ELEVATE-TN trial (0.817).</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The utilities associated with progression (0.66 for drug holiday; 0.55 for second line treatment) and subsequent therapy (0.42 for best supportive care) were derived from a published utility study of CLL from the perspective of the UK general public (Kosmas 2015)</w:t>
            </w:r>
            <w:r w:rsidR="00D608CC" w:rsidRPr="00EF4FFA">
              <w:rPr>
                <w:rFonts w:eastAsia="Times New Roman" w:cs="Times New Roman"/>
                <w:szCs w:val="20"/>
              </w:rPr>
              <w:t xml:space="preserve">. </w:t>
            </w:r>
          </w:p>
          <w:p w:rsidR="003F5FBB" w:rsidRPr="00EF4FFA" w:rsidRDefault="00273725" w:rsidP="00D97DD2">
            <w:pPr>
              <w:pStyle w:val="TableText"/>
              <w:keepNext w:val="0"/>
              <w:widowControl w:val="0"/>
              <w:numPr>
                <w:ilvl w:val="1"/>
                <w:numId w:val="15"/>
              </w:numPr>
              <w:ind w:left="113" w:hanging="113"/>
              <w:rPr>
                <w:szCs w:val="20"/>
              </w:rPr>
            </w:pPr>
            <w:r w:rsidRPr="00EF4FFA">
              <w:rPr>
                <w:rFonts w:eastAsia="Times New Roman" w:cs="Times New Roman"/>
                <w:szCs w:val="20"/>
              </w:rPr>
              <w:t>AE</w:t>
            </w:r>
            <w:r w:rsidR="003F5FBB" w:rsidRPr="00EF4FFA">
              <w:rPr>
                <w:rFonts w:eastAsia="Times New Roman" w:cs="Times New Roman"/>
                <w:szCs w:val="20"/>
              </w:rPr>
              <w:t xml:space="preserve"> disutility values were estimated based on various published sources identified primarily through NICE appraisal documents (ID764, ID838, </w:t>
            </w:r>
            <w:proofErr w:type="gramStart"/>
            <w:r w:rsidR="003F5FBB" w:rsidRPr="00EF4FFA">
              <w:rPr>
                <w:rFonts w:eastAsia="Times New Roman" w:cs="Times New Roman"/>
                <w:szCs w:val="20"/>
              </w:rPr>
              <w:t>ID1097</w:t>
            </w:r>
            <w:proofErr w:type="gramEnd"/>
            <w:r w:rsidR="003F5FBB" w:rsidRPr="00EF4FFA">
              <w:rPr>
                <w:rFonts w:eastAsia="Times New Roman" w:cs="Times New Roman"/>
                <w:szCs w:val="20"/>
              </w:rPr>
              <w:t xml:space="preserve">) and a recent conference poster presenting a utility model for </w:t>
            </w:r>
            <w:proofErr w:type="spellStart"/>
            <w:r w:rsidR="003F5FBB" w:rsidRPr="00EF4FFA">
              <w:rPr>
                <w:rFonts w:eastAsia="Times New Roman" w:cs="Times New Roman"/>
                <w:szCs w:val="20"/>
              </w:rPr>
              <w:t>ivosidenib</w:t>
            </w:r>
            <w:proofErr w:type="spellEnd"/>
            <w:r w:rsidR="003F5FBB" w:rsidRPr="00EF4FFA">
              <w:rPr>
                <w:rFonts w:eastAsia="Times New Roman" w:cs="Times New Roman"/>
                <w:szCs w:val="20"/>
              </w:rPr>
              <w:t xml:space="preserve"> in </w:t>
            </w:r>
            <w:r w:rsidR="00D97DD2" w:rsidRPr="00EF4FFA">
              <w:rPr>
                <w:rFonts w:eastAsia="Times New Roman" w:cs="Times New Roman"/>
                <w:szCs w:val="20"/>
              </w:rPr>
              <w:t>RR</w:t>
            </w:r>
            <w:r w:rsidR="003F5FBB" w:rsidRPr="00EF4FFA">
              <w:rPr>
                <w:rFonts w:eastAsia="Times New Roman" w:cs="Times New Roman"/>
                <w:szCs w:val="20"/>
              </w:rPr>
              <w:t xml:space="preserve"> AML (</w:t>
            </w:r>
            <w:proofErr w:type="spellStart"/>
            <w:r w:rsidR="003F5FBB" w:rsidRPr="00EF4FFA">
              <w:rPr>
                <w:rFonts w:eastAsia="Times New Roman" w:cs="Times New Roman"/>
                <w:szCs w:val="20"/>
              </w:rPr>
              <w:t>Boscoe</w:t>
            </w:r>
            <w:proofErr w:type="spellEnd"/>
            <w:r w:rsidR="003F5FBB" w:rsidRPr="00EF4FFA">
              <w:rPr>
                <w:rFonts w:eastAsia="Times New Roman" w:cs="Times New Roman"/>
                <w:szCs w:val="20"/>
              </w:rPr>
              <w:t xml:space="preserve"> 2018).</w:t>
            </w:r>
          </w:p>
        </w:tc>
      </w:tr>
      <w:tr w:rsidR="003F5FBB" w:rsidRPr="00EF4FFA" w:rsidTr="00480C61">
        <w:trPr>
          <w:cantSplit/>
        </w:trPr>
        <w:tc>
          <w:tcPr>
            <w:tcW w:w="86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pPr>
              <w:pStyle w:val="TableText"/>
              <w:keepNext w:val="0"/>
              <w:widowControl w:val="0"/>
            </w:pPr>
            <w:r w:rsidRPr="00EF4FFA">
              <w:t>Costs</w:t>
            </w:r>
          </w:p>
        </w:tc>
        <w:tc>
          <w:tcPr>
            <w:tcW w:w="4135" w:type="pct"/>
            <w:tcBorders>
              <w:top w:val="single" w:sz="4" w:space="0" w:color="auto"/>
              <w:left w:val="single" w:sz="4" w:space="0" w:color="auto"/>
              <w:bottom w:val="single" w:sz="4" w:space="0" w:color="auto"/>
              <w:right w:val="single" w:sz="4" w:space="0" w:color="auto"/>
            </w:tcBorders>
            <w:vAlign w:val="center"/>
            <w:hideMark/>
          </w:tcPr>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Acalabrutinib drug costs were based on the proposed effective price including the effects of both an SPA rebate and an RSA treatment cap. The drug costs for obinutuzumab, venetoclax, ibrutinib and idelalisib were estimated from published DPMQ/DPMA assuming both an SPA rebate and RSA treatment cap, when relevant. The drug costs for rituximab was based on the published DPMA.</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A</w:t>
            </w:r>
            <w:r w:rsidR="00273725" w:rsidRPr="00EF4FFA">
              <w:rPr>
                <w:rFonts w:eastAsia="Times New Roman" w:cs="Times New Roman"/>
                <w:szCs w:val="20"/>
              </w:rPr>
              <w:t>E</w:t>
            </w:r>
            <w:r w:rsidRPr="00EF4FFA">
              <w:rPr>
                <w:rFonts w:eastAsia="Times New Roman" w:cs="Times New Roman"/>
                <w:szCs w:val="20"/>
              </w:rPr>
              <w:t xml:space="preserve"> costs were primarily estimated based on AR-DRG items with additional estimates from an unpublished thesis (Pearce 2013) and additional assumptions.</w:t>
            </w:r>
          </w:p>
          <w:p w:rsidR="003F5FBB" w:rsidRPr="00EF4FFA" w:rsidRDefault="003F5FBB" w:rsidP="0093038C">
            <w:pPr>
              <w:pStyle w:val="TableText"/>
              <w:keepNext w:val="0"/>
              <w:widowControl w:val="0"/>
              <w:numPr>
                <w:ilvl w:val="1"/>
                <w:numId w:val="15"/>
              </w:numPr>
              <w:ind w:left="113" w:hanging="113"/>
              <w:rPr>
                <w:rFonts w:eastAsia="Times New Roman" w:cs="Times New Roman"/>
                <w:szCs w:val="20"/>
              </w:rPr>
            </w:pPr>
            <w:r w:rsidRPr="00EF4FFA">
              <w:rPr>
                <w:rFonts w:eastAsia="Times New Roman" w:cs="Times New Roman"/>
                <w:szCs w:val="20"/>
              </w:rPr>
              <w:t>Disease management costs were estimated based on expert advice on health resource use from a NICE appraisal document (ID1097) and costings based on MBS and AR-DRG items.</w:t>
            </w:r>
          </w:p>
          <w:p w:rsidR="003F5FBB" w:rsidRPr="00EF4FFA" w:rsidRDefault="003F5FBB" w:rsidP="0093038C">
            <w:pPr>
              <w:pStyle w:val="TableText"/>
              <w:keepNext w:val="0"/>
              <w:widowControl w:val="0"/>
              <w:numPr>
                <w:ilvl w:val="1"/>
                <w:numId w:val="15"/>
              </w:numPr>
              <w:ind w:left="113" w:hanging="113"/>
              <w:rPr>
                <w:szCs w:val="20"/>
              </w:rPr>
            </w:pPr>
            <w:r w:rsidRPr="00EF4FFA">
              <w:rPr>
                <w:rFonts w:eastAsia="Times New Roman" w:cs="Times New Roman"/>
                <w:szCs w:val="20"/>
              </w:rPr>
              <w:t>Terminal care costs were estimated based on a review of hospital claims data from New South Wales for older persons in their last year of life (</w:t>
            </w:r>
            <w:proofErr w:type="spellStart"/>
            <w:r w:rsidRPr="00EF4FFA">
              <w:rPr>
                <w:rFonts w:eastAsia="Times New Roman" w:cs="Times New Roman"/>
                <w:szCs w:val="20"/>
              </w:rPr>
              <w:t>Kardamanidis</w:t>
            </w:r>
            <w:proofErr w:type="spellEnd"/>
            <w:r w:rsidRPr="00EF4FFA">
              <w:rPr>
                <w:rFonts w:eastAsia="Times New Roman" w:cs="Times New Roman"/>
                <w:szCs w:val="20"/>
              </w:rPr>
              <w:t xml:space="preserve"> 2007).</w:t>
            </w:r>
          </w:p>
        </w:tc>
      </w:tr>
    </w:tbl>
    <w:p w:rsidR="00102DDB" w:rsidRPr="00EF4FFA" w:rsidRDefault="00273725" w:rsidP="00480C61">
      <w:pPr>
        <w:pStyle w:val="TableFigureFooter"/>
      </w:pPr>
      <w:r w:rsidRPr="00EF4FFA">
        <w:t xml:space="preserve">AE = adverse event; AML = acute myeloid leukaemia; </w:t>
      </w:r>
      <w:r w:rsidR="00102DDB" w:rsidRPr="00EF4FFA">
        <w:t xml:space="preserve">AR-DRG = Australian refined diagnosis related group; CLL = chronic lymphocytic leukaemia; DPMA = dispensed price for maximum amount; DPMQ = dispensed price for maximum quantity; </w:t>
      </w:r>
      <w:r w:rsidR="00E716A7" w:rsidRPr="00EF4FFA">
        <w:t xml:space="preserve">MBS = Medicare Benefits Schedule; </w:t>
      </w:r>
      <w:r w:rsidR="00102DDB" w:rsidRPr="00EF4FFA">
        <w:t xml:space="preserve">NICE = National Institute for Health and Care Excellence; </w:t>
      </w:r>
      <w:r w:rsidRPr="00EF4FFA">
        <w:t xml:space="preserve">OS = overall survival; PFS = progression free survival; </w:t>
      </w:r>
      <w:r w:rsidR="00102DDB" w:rsidRPr="00EF4FFA">
        <w:t xml:space="preserve">QALY = quality adjusted life year; </w:t>
      </w:r>
      <w:r w:rsidR="00D97DD2" w:rsidRPr="00EF4FFA">
        <w:t xml:space="preserve">RR = relapsed and/or refractory; </w:t>
      </w:r>
      <w:r w:rsidR="00102DDB" w:rsidRPr="00EF4FFA">
        <w:t>RSA = risk sharing arrangement; SPA = special pricing arrangement; UK = United Kingdom</w:t>
      </w:r>
    </w:p>
    <w:p w:rsidR="00102DDB" w:rsidRPr="00EF4FFA" w:rsidRDefault="003F5FBB" w:rsidP="00480C61">
      <w:pPr>
        <w:pStyle w:val="TableFigureFooter"/>
      </w:pPr>
      <w:r w:rsidRPr="00EF4FFA">
        <w:t>Source: Table 3.1 (p 101) of the submission</w:t>
      </w:r>
    </w:p>
    <w:p w:rsidR="00786A6E" w:rsidRDefault="00786A6E" w:rsidP="00786A6E">
      <w:pPr>
        <w:pStyle w:val="ExecSumBodyText"/>
      </w:pPr>
      <w:r>
        <w:t>6.61</w:t>
      </w:r>
      <w:r>
        <w:tab/>
      </w:r>
      <w:r w:rsidR="00AB169B" w:rsidRPr="00EF4FFA">
        <w:t xml:space="preserve">The submission nominated a 20-year time horizon for the economic analysis on the basis that this was appropriate to capture the majority of costs and benefits in a population with previously untreated CLL. However, the PBAC has previously considered a 10-year time horizon to be appropriate for previously untreated patients unsuitable for a purine analogue (Obinutuzumab PSD, July 2014 PBAC meeting; Ibrutinib PSD, November 2017 PBAC meeting). The PBAC </w:t>
      </w:r>
      <w:r w:rsidR="00ED4285" w:rsidRPr="00EF4FFA">
        <w:t xml:space="preserve">previously </w:t>
      </w:r>
      <w:r w:rsidR="00AB169B" w:rsidRPr="00EF4FFA">
        <w:t>noted that longer time horizons may be unreliable due to the immaturity of available clinical trial data and the fragility of patient populations</w:t>
      </w:r>
      <w:r w:rsidR="00D02617" w:rsidRPr="00EF4FFA">
        <w:t>, i.e.</w:t>
      </w:r>
      <w:r w:rsidR="00AB169B" w:rsidRPr="00EF4FFA">
        <w:t xml:space="preserve"> patients &gt;</w:t>
      </w:r>
      <w:r w:rsidR="00384F35" w:rsidRPr="00EF4FFA">
        <w:t xml:space="preserve"> </w:t>
      </w:r>
      <w:r w:rsidR="00AB169B" w:rsidRPr="00EF4FFA">
        <w:t>70 years of age who will likely have comorbidities</w:t>
      </w:r>
      <w:r w:rsidR="00D02617" w:rsidRPr="00EF4FFA">
        <w:t xml:space="preserve"> (I</w:t>
      </w:r>
      <w:r w:rsidR="00AB169B" w:rsidRPr="00EF4FFA">
        <w:t xml:space="preserve">brutinib PSD, November 2017 PBAC meeting). </w:t>
      </w:r>
    </w:p>
    <w:p w:rsidR="00AB169B" w:rsidRPr="00EF4FFA" w:rsidRDefault="00786A6E" w:rsidP="00786A6E">
      <w:pPr>
        <w:pStyle w:val="ExecSumBodyText"/>
      </w:pPr>
      <w:r>
        <w:t>6.62</w:t>
      </w:r>
      <w:r>
        <w:tab/>
      </w:r>
      <w:r w:rsidR="00AB169B" w:rsidRPr="00EF4FFA">
        <w:t xml:space="preserve">The data from the ELEVATE-TN trial were relatively immature compared to the modelled </w:t>
      </w:r>
      <w:r w:rsidR="00D02617" w:rsidRPr="00EF4FFA">
        <w:t>timeframe</w:t>
      </w:r>
      <w:r w:rsidR="00AB169B" w:rsidRPr="00EF4FFA">
        <w:t xml:space="preserve"> (median 2.3 years v</w:t>
      </w:r>
      <w:r w:rsidR="00384F35" w:rsidRPr="00EF4FFA">
        <w:t>ersus</w:t>
      </w:r>
      <w:r w:rsidR="00AB169B" w:rsidRPr="00EF4FFA">
        <w:t xml:space="preserve"> 20 years). As a consequence, most of the survival functions presented in the submission provided very similar goodness-of-fit estimates but lead to widely divergent extrapolated estimates. The differences between these estimates were substantial, with major consequences on the interpretation of long-term treatment effects (see sensitivity analyses). </w:t>
      </w:r>
    </w:p>
    <w:p w:rsidR="00AF16DE" w:rsidRPr="00EF4FFA" w:rsidRDefault="00786A6E" w:rsidP="00AB169B">
      <w:pPr>
        <w:pStyle w:val="ExecSumBodyText"/>
      </w:pPr>
      <w:r>
        <w:t>6.63</w:t>
      </w:r>
      <w:r>
        <w:tab/>
      </w:r>
      <w:r w:rsidR="00AF16DE" w:rsidRPr="00EF4FFA">
        <w:t xml:space="preserve">The PSCR </w:t>
      </w:r>
      <w:r w:rsidR="00B52C56" w:rsidRPr="00EF4FFA">
        <w:t>considered</w:t>
      </w:r>
      <w:r w:rsidR="00AF16DE" w:rsidRPr="00EF4FFA">
        <w:t xml:space="preserve"> that a 20 year time horizon was appropriate. However, the ESC noted that the prop</w:t>
      </w:r>
      <w:r w:rsidR="00342DFE" w:rsidRPr="00EF4FFA">
        <w:t xml:space="preserve">ortions of acalabrutinib monotherapy and acalabrutinib + obinutuzumab patients alive at 20 years (approximately 25% to 30% respectively) were </w:t>
      </w:r>
      <w:r w:rsidR="001903ED" w:rsidRPr="00EF4FFA">
        <w:t xml:space="preserve">unlikely </w:t>
      </w:r>
      <w:r w:rsidR="00342DFE" w:rsidRPr="00EF4FFA">
        <w:t xml:space="preserve">considering </w:t>
      </w:r>
      <w:r w:rsidR="001903ED" w:rsidRPr="00EF4FFA">
        <w:t>p</w:t>
      </w:r>
      <w:r w:rsidR="00342DFE" w:rsidRPr="00EF4FFA">
        <w:t>atients entered the model at 70 years</w:t>
      </w:r>
      <w:r w:rsidR="001903ED" w:rsidRPr="00EF4FFA">
        <w:t>, consisted of 65% males</w:t>
      </w:r>
      <w:r w:rsidR="00342DFE" w:rsidRPr="00EF4FFA">
        <w:t xml:space="preserve"> and were less fit than the general population. </w:t>
      </w:r>
      <w:r w:rsidR="00971B8C" w:rsidRPr="00EF4FFA">
        <w:t xml:space="preserve">The ESC considered that a time horizon of 15 years would mitigate some of the uncertainty in the model, although considered that the extrapolation functions should also be revised to provide more </w:t>
      </w:r>
      <w:r w:rsidR="00971B8C" w:rsidRPr="00EF4FFA">
        <w:lastRenderedPageBreak/>
        <w:t>plausible estimates of long-term survival.</w:t>
      </w:r>
      <w:r w:rsidR="00870992" w:rsidRPr="00EF4FFA">
        <w:t xml:space="preserve"> The PBAC recalled that the March 2020 submission for use of venetoclax in the first-line CLL/SLL setting applied a 10 year time horizon.</w:t>
      </w:r>
    </w:p>
    <w:p w:rsidR="00AB169B" w:rsidRPr="00EF4FFA" w:rsidRDefault="00786A6E" w:rsidP="00AB169B">
      <w:pPr>
        <w:pStyle w:val="ExecSumBodyText"/>
      </w:pPr>
      <w:r>
        <w:t>6.64</w:t>
      </w:r>
      <w:r>
        <w:tab/>
      </w:r>
      <w:r w:rsidR="00AB169B" w:rsidRPr="00EF4FFA">
        <w:t>Key drivers of the economic model are summarised in the table below.</w:t>
      </w:r>
    </w:p>
    <w:p w:rsidR="00AB169B" w:rsidRPr="00EF4FFA" w:rsidRDefault="00AB169B" w:rsidP="00480C61">
      <w:pPr>
        <w:pStyle w:val="TableFigureCaption"/>
        <w:rPr>
          <w:rFonts w:cstheme="minorBidi"/>
          <w:szCs w:val="22"/>
        </w:rPr>
      </w:pPr>
      <w:r w:rsidRPr="00EF4FFA">
        <w:t>Table 1</w:t>
      </w:r>
      <w:r w:rsidR="00A56E51" w:rsidRPr="00EF4FFA">
        <w:t>1</w:t>
      </w:r>
      <w:r w:rsidRPr="00EF4FF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6521"/>
        <w:gridCol w:w="1225"/>
      </w:tblGrid>
      <w:tr w:rsidR="00AB169B" w:rsidRPr="00EF4FFA" w:rsidTr="00480C61">
        <w:trPr>
          <w:cantSplit/>
          <w:tblHeader/>
        </w:trPr>
        <w:tc>
          <w:tcPr>
            <w:tcW w:w="705"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headingrow"/>
              <w:keepNext w:val="0"/>
              <w:jc w:val="center"/>
              <w:rPr>
                <w:szCs w:val="20"/>
                <w:lang w:val="en-AU"/>
              </w:rPr>
            </w:pPr>
            <w:r w:rsidRPr="00480C61">
              <w:rPr>
                <w:szCs w:val="20"/>
                <w:lang w:val="en-AU"/>
              </w:rPr>
              <w:t>Description</w:t>
            </w:r>
          </w:p>
        </w:tc>
        <w:tc>
          <w:tcPr>
            <w:tcW w:w="3616"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headingrow"/>
              <w:keepNext w:val="0"/>
              <w:jc w:val="center"/>
              <w:rPr>
                <w:szCs w:val="20"/>
                <w:lang w:val="en-AU"/>
              </w:rPr>
            </w:pPr>
            <w:r w:rsidRPr="00480C61">
              <w:rPr>
                <w:szCs w:val="20"/>
                <w:lang w:val="en-AU"/>
              </w:rPr>
              <w:t>Method/Value</w:t>
            </w:r>
          </w:p>
        </w:tc>
        <w:tc>
          <w:tcPr>
            <w:tcW w:w="679" w:type="pct"/>
            <w:tcBorders>
              <w:top w:val="single" w:sz="4" w:space="0" w:color="auto"/>
              <w:left w:val="single" w:sz="4" w:space="0" w:color="auto"/>
              <w:bottom w:val="single" w:sz="4" w:space="0" w:color="auto"/>
              <w:right w:val="single" w:sz="4" w:space="0" w:color="auto"/>
            </w:tcBorders>
            <w:vAlign w:val="center"/>
            <w:hideMark/>
          </w:tcPr>
          <w:p w:rsidR="00AB169B" w:rsidRPr="00EF4FFA" w:rsidRDefault="00AB169B">
            <w:pPr>
              <w:pStyle w:val="Tableheadingrow"/>
              <w:keepNext w:val="0"/>
              <w:jc w:val="center"/>
              <w:rPr>
                <w:szCs w:val="20"/>
                <w:lang w:val="en-AU"/>
              </w:rPr>
            </w:pPr>
            <w:r w:rsidRPr="00EF4FFA">
              <w:rPr>
                <w:szCs w:val="20"/>
                <w:lang w:val="en-AU"/>
              </w:rPr>
              <w:t>Impact</w:t>
            </w:r>
          </w:p>
        </w:tc>
      </w:tr>
      <w:tr w:rsidR="00AB169B" w:rsidRPr="00EF4FFA" w:rsidTr="00480C61">
        <w:trPr>
          <w:cantSplit/>
        </w:trPr>
        <w:tc>
          <w:tcPr>
            <w:tcW w:w="705"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Text"/>
              <w:keepNext w:val="0"/>
              <w:jc w:val="center"/>
              <w:rPr>
                <w:szCs w:val="20"/>
              </w:rPr>
            </w:pPr>
            <w:r w:rsidRPr="00480C61">
              <w:rPr>
                <w:szCs w:val="20"/>
              </w:rPr>
              <w:t>Overall survival benefit</w:t>
            </w:r>
          </w:p>
        </w:tc>
        <w:tc>
          <w:tcPr>
            <w:tcW w:w="3616" w:type="pct"/>
            <w:tcBorders>
              <w:top w:val="single" w:sz="4" w:space="0" w:color="auto"/>
              <w:left w:val="single" w:sz="4" w:space="0" w:color="auto"/>
              <w:bottom w:val="single" w:sz="4" w:space="0" w:color="auto"/>
              <w:right w:val="single" w:sz="4" w:space="0" w:color="auto"/>
            </w:tcBorders>
            <w:vAlign w:val="center"/>
            <w:hideMark/>
          </w:tcPr>
          <w:p w:rsidR="00EF5CEB" w:rsidRPr="00480C61" w:rsidRDefault="00EF5CEB">
            <w:pPr>
              <w:pStyle w:val="TableText"/>
              <w:keepNext w:val="0"/>
              <w:spacing w:after="60"/>
              <w:rPr>
                <w:rFonts w:eastAsia="Times New Roman" w:cs="Times New Roman"/>
                <w:szCs w:val="20"/>
              </w:rPr>
            </w:pPr>
            <w:r w:rsidRPr="00480C61">
              <w:rPr>
                <w:rFonts w:eastAsia="Times New Roman" w:cs="Times New Roman"/>
                <w:szCs w:val="20"/>
              </w:rPr>
              <w:t xml:space="preserve">The model generates differences in </w:t>
            </w:r>
            <w:r w:rsidR="00273725" w:rsidRPr="00480C61">
              <w:rPr>
                <w:rFonts w:eastAsia="Times New Roman" w:cs="Times New Roman"/>
                <w:szCs w:val="20"/>
              </w:rPr>
              <w:t>OS</w:t>
            </w:r>
            <w:r w:rsidRPr="00480C61">
              <w:rPr>
                <w:rFonts w:eastAsia="Times New Roman" w:cs="Times New Roman"/>
                <w:szCs w:val="20"/>
              </w:rPr>
              <w:t xml:space="preserve"> between treatments that is not supported by data presented in the submission or in previous PBAC considerations of treatments for </w:t>
            </w:r>
            <w:r w:rsidR="00273725" w:rsidRPr="00480C61">
              <w:rPr>
                <w:rFonts w:eastAsia="Times New Roman" w:cs="Times New Roman"/>
                <w:szCs w:val="20"/>
              </w:rPr>
              <w:t>RR</w:t>
            </w:r>
            <w:r w:rsidRPr="00480C61">
              <w:rPr>
                <w:rFonts w:eastAsia="Times New Roman" w:cs="Times New Roman"/>
                <w:szCs w:val="20"/>
              </w:rPr>
              <w:t xml:space="preserve"> disease.</w:t>
            </w:r>
          </w:p>
          <w:p w:rsidR="00AB169B" w:rsidRPr="00480C61" w:rsidRDefault="00AB169B">
            <w:pPr>
              <w:pStyle w:val="TableText"/>
              <w:keepNext w:val="0"/>
              <w:spacing w:after="60"/>
              <w:rPr>
                <w:szCs w:val="20"/>
              </w:rPr>
            </w:pPr>
            <w:r w:rsidRPr="00480C61">
              <w:rPr>
                <w:szCs w:val="20"/>
              </w:rPr>
              <w:t>In first-line therapy, the submission used separate time to death curves for each treatment arm, which implicitly assumes differences in survival between therapies, which is not supported by the available clinical data from the ELEVATE-TN trial.</w:t>
            </w:r>
            <w:r w:rsidR="00DF59EF" w:rsidRPr="00480C61">
              <w:rPr>
                <w:szCs w:val="20"/>
              </w:rPr>
              <w:t xml:space="preserve"> The PSCR stated that the significant improvement in PFS (PFS at 36 months: acalabrutinib + obinutuzumab = 89.6%; acalabrutinib monotherapy = 63.9%; chlorambucil + obinutuzumab = 31.3%) could be reasonably expected to translate into an </w:t>
            </w:r>
            <w:r w:rsidR="00273725" w:rsidRPr="00480C61">
              <w:rPr>
                <w:szCs w:val="20"/>
              </w:rPr>
              <w:t>OS</w:t>
            </w:r>
            <w:r w:rsidR="00DF59EF" w:rsidRPr="00480C61">
              <w:rPr>
                <w:szCs w:val="20"/>
              </w:rPr>
              <w:t xml:space="preserve"> benefit</w:t>
            </w:r>
            <w:r w:rsidR="00ED39BC" w:rsidRPr="00480C61">
              <w:rPr>
                <w:szCs w:val="20"/>
              </w:rPr>
              <w:t xml:space="preserve"> as the data matured. In addition, the PSCR noted that post-progression crossover to acalabrutinib occurred in approximately 25% of chlorambucil + obinutuzumab patients.</w:t>
            </w:r>
            <w:r w:rsidR="00F012F9" w:rsidRPr="00480C61">
              <w:rPr>
                <w:szCs w:val="20"/>
              </w:rPr>
              <w:t xml:space="preserve"> The PBAC noted that the survival differences in the first-line setting were not supported by data</w:t>
            </w:r>
            <w:r w:rsidR="00501ACE" w:rsidRPr="00480C61">
              <w:rPr>
                <w:szCs w:val="20"/>
              </w:rPr>
              <w:t xml:space="preserve"> from the ELEVATE-TN trial</w:t>
            </w:r>
            <w:r w:rsidR="00F012F9" w:rsidRPr="00480C61">
              <w:rPr>
                <w:szCs w:val="20"/>
              </w:rPr>
              <w:t>.</w:t>
            </w:r>
          </w:p>
          <w:p w:rsidR="00AB169B" w:rsidRPr="00480C61" w:rsidRDefault="00E85CEA">
            <w:pPr>
              <w:pStyle w:val="TableText"/>
              <w:keepNext w:val="0"/>
              <w:spacing w:before="60" w:after="60"/>
              <w:rPr>
                <w:szCs w:val="20"/>
              </w:rPr>
            </w:pPr>
            <w:r w:rsidRPr="00480C61">
              <w:rPr>
                <w:szCs w:val="20"/>
              </w:rPr>
              <w:t xml:space="preserve">Transition probabilities from the second-line treatment state were derived from published </w:t>
            </w:r>
            <w:r w:rsidR="00273725" w:rsidRPr="00480C61">
              <w:rPr>
                <w:szCs w:val="20"/>
              </w:rPr>
              <w:t>RR t</w:t>
            </w:r>
            <w:r w:rsidRPr="00480C61">
              <w:rPr>
                <w:szCs w:val="20"/>
              </w:rPr>
              <w:t xml:space="preserve">rials for venetoclax with rituximab (MURANO), ibrutinib monotherapy (RESONATE), </w:t>
            </w:r>
            <w:r w:rsidR="00EF5CEB" w:rsidRPr="00480C61">
              <w:rPr>
                <w:szCs w:val="20"/>
              </w:rPr>
              <w:t xml:space="preserve">and </w:t>
            </w:r>
            <w:r w:rsidRPr="00480C61">
              <w:rPr>
                <w:szCs w:val="20"/>
              </w:rPr>
              <w:t>idelalisib with rituximab (using proxy data from ASCEND).</w:t>
            </w:r>
            <w:r w:rsidR="00AB169B" w:rsidRPr="00480C61">
              <w:rPr>
                <w:szCs w:val="20"/>
              </w:rPr>
              <w:t>The</w:t>
            </w:r>
            <w:r w:rsidR="00EF5CEB" w:rsidRPr="00480C61">
              <w:rPr>
                <w:szCs w:val="20"/>
              </w:rPr>
              <w:t xml:space="preserve">se trials </w:t>
            </w:r>
            <w:r w:rsidR="00AB169B" w:rsidRPr="00480C61">
              <w:rPr>
                <w:szCs w:val="20"/>
              </w:rPr>
              <w:t xml:space="preserve">appear to have limited applicability to the modelled population as they typically included younger patients, with multiple lines of prior therapy and had prior exposure to a purine analogue. Further, there were substantial differences in age, number of prior therapies and the presence/absence of cytogenetic abnormalities between the second-line treatment arms, which will affect the survival estimates from each treatment arm leading to modelled differences between second-line treatments that may not be reflective of their comparative efficacy. The extrapolated survival curves suggested that there were substantial differences in survival between second-line therapies (ibrutinib monotherapy had superior </w:t>
            </w:r>
            <w:r w:rsidR="00273725" w:rsidRPr="00480C61">
              <w:rPr>
                <w:szCs w:val="20"/>
              </w:rPr>
              <w:t>PFS</w:t>
            </w:r>
            <w:r w:rsidR="00AB169B" w:rsidRPr="00480C61">
              <w:rPr>
                <w:szCs w:val="20"/>
              </w:rPr>
              <w:t xml:space="preserve">; venetoclax with rituximab had superior </w:t>
            </w:r>
            <w:r w:rsidR="00273725" w:rsidRPr="00480C61">
              <w:rPr>
                <w:szCs w:val="20"/>
              </w:rPr>
              <w:t>OS</w:t>
            </w:r>
            <w:r w:rsidR="00AB169B" w:rsidRPr="00480C61">
              <w:rPr>
                <w:szCs w:val="20"/>
              </w:rPr>
              <w:t xml:space="preserve">). </w:t>
            </w:r>
            <w:r w:rsidR="0049565B" w:rsidRPr="00480C61">
              <w:rPr>
                <w:szCs w:val="20"/>
              </w:rPr>
              <w:t>Noting that t</w:t>
            </w:r>
            <w:r w:rsidR="00AB169B" w:rsidRPr="00480C61">
              <w:rPr>
                <w:szCs w:val="20"/>
              </w:rPr>
              <w:t xml:space="preserve">he PBAC has previously considered that venetoclax with rituximab was non-inferior to ibrutinib monotherapy in the </w:t>
            </w:r>
            <w:r w:rsidR="00D97DD2" w:rsidRPr="00480C61">
              <w:rPr>
                <w:szCs w:val="20"/>
              </w:rPr>
              <w:t>RR</w:t>
            </w:r>
            <w:r w:rsidR="00AB169B" w:rsidRPr="00480C61">
              <w:rPr>
                <w:szCs w:val="20"/>
              </w:rPr>
              <w:t xml:space="preserve"> setting (para 6.40, Venetoclax PSD, November 2018 PBAC meeting)</w:t>
            </w:r>
            <w:r w:rsidR="0049565B" w:rsidRPr="00480C61">
              <w:rPr>
                <w:szCs w:val="20"/>
              </w:rPr>
              <w:t xml:space="preserve">, the ESC considered that </w:t>
            </w:r>
            <w:r w:rsidR="00C33652" w:rsidRPr="00480C61">
              <w:rPr>
                <w:szCs w:val="20"/>
              </w:rPr>
              <w:t xml:space="preserve">ibrutinib and venetoclax + rituximab should have the same effectiveness outcomes </w:t>
            </w:r>
            <w:r w:rsidR="00870992" w:rsidRPr="00480C61">
              <w:rPr>
                <w:szCs w:val="20"/>
              </w:rPr>
              <w:t xml:space="preserve">and costs </w:t>
            </w:r>
            <w:r w:rsidR="00C33652" w:rsidRPr="00480C61">
              <w:rPr>
                <w:szCs w:val="20"/>
              </w:rPr>
              <w:t>in the base case</w:t>
            </w:r>
            <w:r w:rsidR="00AB169B" w:rsidRPr="00480C61">
              <w:rPr>
                <w:szCs w:val="20"/>
              </w:rPr>
              <w:t>.</w:t>
            </w:r>
            <w:r w:rsidR="00F012F9" w:rsidRPr="00480C61">
              <w:rPr>
                <w:szCs w:val="20"/>
              </w:rPr>
              <w:t xml:space="preserve"> The pre-PBAC response considered that this was appropriate.</w:t>
            </w:r>
          </w:p>
          <w:p w:rsidR="00AB169B" w:rsidRPr="00480C61" w:rsidRDefault="00AB169B">
            <w:pPr>
              <w:pStyle w:val="TableText"/>
              <w:keepNext w:val="0"/>
              <w:spacing w:before="60" w:after="60"/>
              <w:rPr>
                <w:szCs w:val="20"/>
              </w:rPr>
            </w:pPr>
            <w:r w:rsidRPr="00480C61">
              <w:rPr>
                <w:szCs w:val="20"/>
              </w:rPr>
              <w:t xml:space="preserve">The death transition probabilities for second-line therapies were based on </w:t>
            </w:r>
            <w:r w:rsidR="00273725" w:rsidRPr="00480C61">
              <w:rPr>
                <w:szCs w:val="20"/>
              </w:rPr>
              <w:t>OS</w:t>
            </w:r>
            <w:r w:rsidRPr="00480C61">
              <w:rPr>
                <w:szCs w:val="20"/>
              </w:rPr>
              <w:t xml:space="preserve"> estimates (includes deaths with and without progression). This approach was inconsistent with the estimation of transition probabilities for first line therapies (which were based on deaths without progression). The estimation of death transitions from </w:t>
            </w:r>
            <w:r w:rsidR="00273725" w:rsidRPr="00480C61">
              <w:rPr>
                <w:szCs w:val="20"/>
              </w:rPr>
              <w:t>OS</w:t>
            </w:r>
            <w:r w:rsidRPr="00480C61">
              <w:rPr>
                <w:szCs w:val="20"/>
              </w:rPr>
              <w:t xml:space="preserve"> was inappropriate as the model incorporates three lines of therapy (first line, second line, </w:t>
            </w:r>
            <w:r w:rsidR="00273725" w:rsidRPr="00480C61">
              <w:rPr>
                <w:szCs w:val="20"/>
              </w:rPr>
              <w:t>BSC</w:t>
            </w:r>
            <w:r w:rsidRPr="00480C61">
              <w:rPr>
                <w:szCs w:val="20"/>
              </w:rPr>
              <w:t xml:space="preserve">) and therefore post-progression deaths should be excluded from the second-line transition probabilities (as post-progression deaths will occur in the </w:t>
            </w:r>
            <w:r w:rsidR="00273725" w:rsidRPr="00480C61">
              <w:rPr>
                <w:szCs w:val="20"/>
              </w:rPr>
              <w:t>BSC</w:t>
            </w:r>
            <w:r w:rsidRPr="00480C61">
              <w:rPr>
                <w:szCs w:val="20"/>
              </w:rPr>
              <w:t xml:space="preserve"> phase). </w:t>
            </w:r>
          </w:p>
          <w:p w:rsidR="000451C2" w:rsidRPr="00480C61" w:rsidRDefault="000451C2">
            <w:pPr>
              <w:pStyle w:val="TableText"/>
              <w:keepNext w:val="0"/>
              <w:spacing w:before="60" w:after="60"/>
              <w:rPr>
                <w:szCs w:val="20"/>
              </w:rPr>
            </w:pPr>
            <w:r w:rsidRPr="00480C61">
              <w:rPr>
                <w:szCs w:val="20"/>
              </w:rPr>
              <w:t xml:space="preserve">The ESC noted that the differences in how deaths were modelled in the first-line compared to the second-line resulted in inconsistent patterns in mortality rates (see Figure </w:t>
            </w:r>
            <w:r w:rsidR="006139AA" w:rsidRPr="00480C61">
              <w:rPr>
                <w:szCs w:val="20"/>
              </w:rPr>
              <w:t>4</w:t>
            </w:r>
            <w:r w:rsidRPr="00480C61">
              <w:rPr>
                <w:szCs w:val="20"/>
              </w:rPr>
              <w:t>).</w:t>
            </w:r>
          </w:p>
          <w:p w:rsidR="00AB169B" w:rsidRPr="00480C61" w:rsidRDefault="00AB169B" w:rsidP="00EF5CEB">
            <w:pPr>
              <w:pStyle w:val="TableText"/>
              <w:keepNext w:val="0"/>
              <w:spacing w:before="60"/>
              <w:rPr>
                <w:szCs w:val="20"/>
              </w:rPr>
            </w:pPr>
            <w:r w:rsidRPr="00480C61">
              <w:rPr>
                <w:szCs w:val="20"/>
              </w:rPr>
              <w:t>Most of the survival functions presented in the submission provided very similar goodness-of-fit estimates but lead to widely divergent extrapolated estimates. As a consequence, extrapolated survival in the model was highly uncertain.</w:t>
            </w:r>
          </w:p>
        </w:tc>
        <w:tc>
          <w:tcPr>
            <w:tcW w:w="679" w:type="pct"/>
            <w:tcBorders>
              <w:top w:val="single" w:sz="4" w:space="0" w:color="auto"/>
              <w:left w:val="single" w:sz="4" w:space="0" w:color="auto"/>
              <w:bottom w:val="single" w:sz="4" w:space="0" w:color="auto"/>
              <w:right w:val="single" w:sz="4" w:space="0" w:color="auto"/>
            </w:tcBorders>
            <w:vAlign w:val="center"/>
            <w:hideMark/>
          </w:tcPr>
          <w:p w:rsidR="00AB169B" w:rsidRPr="00EF4FFA" w:rsidRDefault="00AB169B">
            <w:pPr>
              <w:pStyle w:val="TableText"/>
              <w:keepNext w:val="0"/>
              <w:jc w:val="center"/>
              <w:rPr>
                <w:szCs w:val="20"/>
              </w:rPr>
            </w:pPr>
            <w:r w:rsidRPr="00EF4FFA">
              <w:rPr>
                <w:szCs w:val="20"/>
              </w:rPr>
              <w:t>High, favours acalabrutinib</w:t>
            </w:r>
          </w:p>
        </w:tc>
      </w:tr>
      <w:tr w:rsidR="00AB169B" w:rsidRPr="00EF4FFA" w:rsidTr="00480C61">
        <w:trPr>
          <w:cantSplit/>
          <w:trHeight w:val="5261"/>
        </w:trPr>
        <w:tc>
          <w:tcPr>
            <w:tcW w:w="705"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Text"/>
              <w:keepNext w:val="0"/>
              <w:jc w:val="center"/>
              <w:rPr>
                <w:szCs w:val="20"/>
              </w:rPr>
            </w:pPr>
            <w:r w:rsidRPr="00480C61">
              <w:rPr>
                <w:szCs w:val="20"/>
              </w:rPr>
              <w:lastRenderedPageBreak/>
              <w:t>Utilities</w:t>
            </w:r>
          </w:p>
        </w:tc>
        <w:tc>
          <w:tcPr>
            <w:tcW w:w="3616"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Text"/>
              <w:keepNext w:val="0"/>
              <w:spacing w:after="60"/>
              <w:rPr>
                <w:szCs w:val="20"/>
              </w:rPr>
            </w:pPr>
            <w:r w:rsidRPr="00480C61">
              <w:rPr>
                <w:szCs w:val="20"/>
              </w:rPr>
              <w:t>Pre-progression utility values were based on the mean utility value across all treatment arms in the ELEVATE-TN trial. The utilities associated with progression and subsequent therapy were derived from a published utility study (Kosmas 2015).</w:t>
            </w:r>
          </w:p>
          <w:p w:rsidR="00AB169B" w:rsidRPr="00480C61" w:rsidRDefault="00AB169B">
            <w:pPr>
              <w:pStyle w:val="TableText"/>
              <w:keepNext w:val="0"/>
              <w:spacing w:before="60"/>
              <w:rPr>
                <w:szCs w:val="20"/>
              </w:rPr>
            </w:pPr>
            <w:r w:rsidRPr="00480C61">
              <w:rPr>
                <w:szCs w:val="20"/>
              </w:rPr>
              <w:t>The health state utility values used in the model were not adequately supported</w:t>
            </w:r>
            <w:r w:rsidR="00EF5CEB" w:rsidRPr="00480C61">
              <w:rPr>
                <w:szCs w:val="20"/>
              </w:rPr>
              <w:t>,</w:t>
            </w:r>
            <w:r w:rsidRPr="00480C61">
              <w:rPr>
                <w:szCs w:val="20"/>
              </w:rPr>
              <w:t xml:space="preserve"> with</w:t>
            </w:r>
            <w:r w:rsidR="00F05324" w:rsidRPr="00480C61">
              <w:rPr>
                <w:szCs w:val="20"/>
              </w:rPr>
              <w:t xml:space="preserve"> the ESC considering that the </w:t>
            </w:r>
            <w:r w:rsidRPr="00480C61">
              <w:rPr>
                <w:szCs w:val="20"/>
              </w:rPr>
              <w:t>major differences between trial based (ELEVATE-TN) and pu</w:t>
            </w:r>
            <w:r w:rsidR="00EF5CEB" w:rsidRPr="00480C61">
              <w:rPr>
                <w:szCs w:val="20"/>
              </w:rPr>
              <w:t>blished estimates (Kosmas 2015)</w:t>
            </w:r>
            <w:r w:rsidRPr="00480C61">
              <w:rPr>
                <w:szCs w:val="20"/>
              </w:rPr>
              <w:t xml:space="preserve"> indicat</w:t>
            </w:r>
            <w:r w:rsidR="00CE0D2D" w:rsidRPr="00480C61">
              <w:rPr>
                <w:szCs w:val="20"/>
              </w:rPr>
              <w:t>ed</w:t>
            </w:r>
            <w:r w:rsidRPr="00480C61">
              <w:rPr>
                <w:szCs w:val="20"/>
              </w:rPr>
              <w:t xml:space="preserve"> that the two data sources </w:t>
            </w:r>
            <w:r w:rsidR="00CE0D2D" w:rsidRPr="00480C61">
              <w:rPr>
                <w:szCs w:val="20"/>
              </w:rPr>
              <w:t xml:space="preserve">could not </w:t>
            </w:r>
            <w:r w:rsidRPr="00480C61">
              <w:rPr>
                <w:szCs w:val="20"/>
              </w:rPr>
              <w:t>be directly combined to estimate utility losses associated with progression and lines of therapy. Re-anchoring values for progression and subsequent lines of therapy to the Kosmas</w:t>
            </w:r>
            <w:r w:rsidR="00273725" w:rsidRPr="00480C61">
              <w:rPr>
                <w:szCs w:val="20"/>
              </w:rPr>
              <w:t xml:space="preserve"> 2015 </w:t>
            </w:r>
            <w:r w:rsidRPr="00480C61">
              <w:rPr>
                <w:szCs w:val="20"/>
              </w:rPr>
              <w:t>initial therapy values resulted in substantially smaller disutilities associated with progression and subsequent lines of therapy</w:t>
            </w:r>
            <w:r w:rsidR="00F05324" w:rsidRPr="00480C61">
              <w:rPr>
                <w:szCs w:val="20"/>
              </w:rPr>
              <w:t xml:space="preserve"> (see Table 11.1)</w:t>
            </w:r>
            <w:r w:rsidRPr="00480C61">
              <w:rPr>
                <w:szCs w:val="20"/>
              </w:rPr>
              <w:t xml:space="preserve">. </w:t>
            </w:r>
            <w:r w:rsidR="00CE0D2D" w:rsidRPr="00480C61">
              <w:rPr>
                <w:szCs w:val="20"/>
              </w:rPr>
              <w:t xml:space="preserve">The ESC </w:t>
            </w:r>
            <w:r w:rsidR="00870992" w:rsidRPr="00480C61">
              <w:rPr>
                <w:szCs w:val="20"/>
              </w:rPr>
              <w:t xml:space="preserve">and PBAC </w:t>
            </w:r>
            <w:r w:rsidR="00CE0D2D" w:rsidRPr="00480C61">
              <w:rPr>
                <w:szCs w:val="20"/>
              </w:rPr>
              <w:t>considered that the values re-anchored to the oral initial therapy state were the most reasonable.</w:t>
            </w:r>
          </w:p>
          <w:p w:rsidR="00F05324" w:rsidRPr="00480C61" w:rsidRDefault="00F05324">
            <w:pPr>
              <w:pStyle w:val="TableText"/>
              <w:keepNext w:val="0"/>
              <w:spacing w:before="60"/>
              <w:rPr>
                <w:szCs w:val="20"/>
              </w:rPr>
            </w:pPr>
          </w:p>
          <w:p w:rsidR="00500ACD" w:rsidRPr="00480C61" w:rsidRDefault="00F05324" w:rsidP="00F05324">
            <w:pPr>
              <w:pStyle w:val="TableHeading"/>
            </w:pPr>
            <w:r w:rsidRPr="00480C61">
              <w:t>Table 11.1: Comparison of utility values</w:t>
            </w:r>
          </w:p>
          <w:tbl>
            <w:tblPr>
              <w:tblStyle w:val="TableGrid"/>
              <w:tblW w:w="0" w:type="auto"/>
              <w:tblLook w:val="04A0" w:firstRow="1" w:lastRow="0" w:firstColumn="1" w:lastColumn="0" w:noHBand="0" w:noVBand="1"/>
              <w:tblCaption w:val="Table 11.1: Comparison of utility values"/>
            </w:tblPr>
            <w:tblGrid>
              <w:gridCol w:w="2237"/>
              <w:gridCol w:w="992"/>
              <w:gridCol w:w="1560"/>
              <w:gridCol w:w="1666"/>
            </w:tblGrid>
            <w:tr w:rsidR="00500ACD" w:rsidRPr="00480C61" w:rsidTr="00E25798">
              <w:trPr>
                <w:tblHeader/>
              </w:trPr>
              <w:tc>
                <w:tcPr>
                  <w:tcW w:w="2237" w:type="dxa"/>
                  <w:tcMar>
                    <w:left w:w="28" w:type="dxa"/>
                    <w:right w:w="28" w:type="dxa"/>
                  </w:tcMar>
                </w:tcPr>
                <w:p w:rsidR="00500ACD" w:rsidRPr="00480C61" w:rsidRDefault="00500ACD" w:rsidP="00F05324">
                  <w:pPr>
                    <w:pStyle w:val="TableText"/>
                    <w:keepNext w:val="0"/>
                    <w:rPr>
                      <w:b/>
                      <w:szCs w:val="20"/>
                    </w:rPr>
                  </w:pPr>
                  <w:r w:rsidRPr="00480C61">
                    <w:rPr>
                      <w:b/>
                      <w:szCs w:val="20"/>
                    </w:rPr>
                    <w:t>Health state</w:t>
                  </w:r>
                </w:p>
              </w:tc>
              <w:tc>
                <w:tcPr>
                  <w:tcW w:w="992" w:type="dxa"/>
                  <w:tcMar>
                    <w:left w:w="28" w:type="dxa"/>
                    <w:right w:w="28" w:type="dxa"/>
                  </w:tcMar>
                </w:tcPr>
                <w:p w:rsidR="00500ACD" w:rsidRPr="00480C61" w:rsidRDefault="00500ACD" w:rsidP="00F05324">
                  <w:pPr>
                    <w:pStyle w:val="TableText"/>
                    <w:keepNext w:val="0"/>
                    <w:jc w:val="center"/>
                    <w:rPr>
                      <w:b/>
                      <w:szCs w:val="20"/>
                    </w:rPr>
                  </w:pPr>
                  <w:r w:rsidRPr="00480C61">
                    <w:rPr>
                      <w:b/>
                      <w:szCs w:val="20"/>
                    </w:rPr>
                    <w:t>Submission</w:t>
                  </w:r>
                </w:p>
              </w:tc>
              <w:tc>
                <w:tcPr>
                  <w:tcW w:w="1560" w:type="dxa"/>
                  <w:tcMar>
                    <w:left w:w="28" w:type="dxa"/>
                    <w:right w:w="28" w:type="dxa"/>
                  </w:tcMar>
                </w:tcPr>
                <w:p w:rsidR="00500ACD" w:rsidRPr="00480C61" w:rsidRDefault="00F05324" w:rsidP="00F05324">
                  <w:pPr>
                    <w:pStyle w:val="TableText"/>
                    <w:keepNext w:val="0"/>
                    <w:jc w:val="center"/>
                    <w:rPr>
                      <w:b/>
                      <w:szCs w:val="20"/>
                    </w:rPr>
                  </w:pPr>
                  <w:r w:rsidRPr="00480C61">
                    <w:rPr>
                      <w:b/>
                      <w:szCs w:val="20"/>
                    </w:rPr>
                    <w:t>R</w:t>
                  </w:r>
                  <w:r w:rsidR="00500ACD" w:rsidRPr="00480C61">
                    <w:rPr>
                      <w:b/>
                      <w:szCs w:val="20"/>
                    </w:rPr>
                    <w:t>e-anchored to IV initial therapy state</w:t>
                  </w:r>
                </w:p>
              </w:tc>
              <w:tc>
                <w:tcPr>
                  <w:tcW w:w="1666" w:type="dxa"/>
                  <w:tcMar>
                    <w:left w:w="28" w:type="dxa"/>
                    <w:right w:w="28" w:type="dxa"/>
                  </w:tcMar>
                </w:tcPr>
                <w:p w:rsidR="00500ACD" w:rsidRPr="00480C61" w:rsidRDefault="00F05324" w:rsidP="00F05324">
                  <w:pPr>
                    <w:pStyle w:val="TableText"/>
                    <w:keepNext w:val="0"/>
                    <w:jc w:val="center"/>
                    <w:rPr>
                      <w:b/>
                      <w:szCs w:val="20"/>
                    </w:rPr>
                  </w:pPr>
                  <w:r w:rsidRPr="00480C61">
                    <w:rPr>
                      <w:b/>
                      <w:szCs w:val="20"/>
                    </w:rPr>
                    <w:t>R</w:t>
                  </w:r>
                  <w:r w:rsidR="00500ACD" w:rsidRPr="00480C61">
                    <w:rPr>
                      <w:b/>
                      <w:szCs w:val="20"/>
                    </w:rPr>
                    <w:t>e-anchored to oral initial therapy state</w:t>
                  </w:r>
                </w:p>
              </w:tc>
            </w:tr>
            <w:tr w:rsidR="00500ACD" w:rsidRPr="00480C61" w:rsidTr="00CE0D2D">
              <w:tc>
                <w:tcPr>
                  <w:tcW w:w="2237" w:type="dxa"/>
                  <w:tcMar>
                    <w:left w:w="28" w:type="dxa"/>
                    <w:right w:w="28" w:type="dxa"/>
                  </w:tcMar>
                </w:tcPr>
                <w:p w:rsidR="00500ACD" w:rsidRPr="00480C61" w:rsidRDefault="00500ACD" w:rsidP="008E3636">
                  <w:pPr>
                    <w:pStyle w:val="TableText"/>
                    <w:keepNext w:val="0"/>
                    <w:rPr>
                      <w:szCs w:val="20"/>
                    </w:rPr>
                  </w:pPr>
                  <w:r w:rsidRPr="00480C61">
                    <w:rPr>
                      <w:szCs w:val="20"/>
                    </w:rPr>
                    <w:t>Progression</w:t>
                  </w:r>
                  <w:r w:rsidR="008E3636" w:rsidRPr="00480C61">
                    <w:rPr>
                      <w:szCs w:val="20"/>
                    </w:rPr>
                    <w:t xml:space="preserve"> </w:t>
                  </w:r>
                  <w:r w:rsidRPr="00480C61">
                    <w:rPr>
                      <w:szCs w:val="20"/>
                    </w:rPr>
                    <w:t>free on treatment</w:t>
                  </w:r>
                </w:p>
              </w:tc>
              <w:tc>
                <w:tcPr>
                  <w:tcW w:w="992" w:type="dxa"/>
                  <w:tcMar>
                    <w:left w:w="28" w:type="dxa"/>
                    <w:right w:w="28" w:type="dxa"/>
                  </w:tcMar>
                </w:tcPr>
                <w:p w:rsidR="00500ACD" w:rsidRPr="00480C61" w:rsidRDefault="00500ACD" w:rsidP="00F05324">
                  <w:pPr>
                    <w:pStyle w:val="TableText"/>
                    <w:keepNext w:val="0"/>
                    <w:jc w:val="center"/>
                    <w:rPr>
                      <w:szCs w:val="20"/>
                    </w:rPr>
                  </w:pPr>
                  <w:r w:rsidRPr="00480C61">
                    <w:rPr>
                      <w:szCs w:val="20"/>
                    </w:rPr>
                    <w:t>0.817</w:t>
                  </w:r>
                </w:p>
              </w:tc>
              <w:tc>
                <w:tcPr>
                  <w:tcW w:w="1560" w:type="dxa"/>
                  <w:tcMar>
                    <w:left w:w="28" w:type="dxa"/>
                    <w:right w:w="28" w:type="dxa"/>
                  </w:tcMar>
                </w:tcPr>
                <w:p w:rsidR="00500ACD" w:rsidRPr="00480C61" w:rsidRDefault="00F05324" w:rsidP="00F05324">
                  <w:pPr>
                    <w:pStyle w:val="TableText"/>
                    <w:keepNext w:val="0"/>
                    <w:jc w:val="center"/>
                    <w:rPr>
                      <w:szCs w:val="20"/>
                    </w:rPr>
                  </w:pPr>
                  <w:r w:rsidRPr="00480C61">
                    <w:rPr>
                      <w:szCs w:val="20"/>
                    </w:rPr>
                    <w:t>0.817</w:t>
                  </w:r>
                </w:p>
              </w:tc>
              <w:tc>
                <w:tcPr>
                  <w:tcW w:w="1666" w:type="dxa"/>
                  <w:tcMar>
                    <w:left w:w="28" w:type="dxa"/>
                    <w:right w:w="28" w:type="dxa"/>
                  </w:tcMar>
                </w:tcPr>
                <w:p w:rsidR="00500ACD" w:rsidRPr="00480C61" w:rsidRDefault="00F05324" w:rsidP="00F05324">
                  <w:pPr>
                    <w:pStyle w:val="TableText"/>
                    <w:keepNext w:val="0"/>
                    <w:jc w:val="center"/>
                    <w:rPr>
                      <w:szCs w:val="20"/>
                    </w:rPr>
                  </w:pPr>
                  <w:r w:rsidRPr="00480C61">
                    <w:rPr>
                      <w:szCs w:val="20"/>
                    </w:rPr>
                    <w:t>0.817</w:t>
                  </w:r>
                </w:p>
              </w:tc>
            </w:tr>
            <w:tr w:rsidR="00500ACD" w:rsidRPr="00480C61" w:rsidTr="00CE0D2D">
              <w:tc>
                <w:tcPr>
                  <w:tcW w:w="2237" w:type="dxa"/>
                  <w:tcMar>
                    <w:left w:w="28" w:type="dxa"/>
                    <w:right w:w="28" w:type="dxa"/>
                  </w:tcMar>
                </w:tcPr>
                <w:p w:rsidR="00500ACD" w:rsidRPr="00480C61" w:rsidRDefault="00500ACD" w:rsidP="008E3636">
                  <w:pPr>
                    <w:pStyle w:val="TableText"/>
                    <w:keepNext w:val="0"/>
                    <w:rPr>
                      <w:szCs w:val="20"/>
                    </w:rPr>
                  </w:pPr>
                  <w:r w:rsidRPr="00480C61">
                    <w:rPr>
                      <w:szCs w:val="20"/>
                    </w:rPr>
                    <w:t>Progression</w:t>
                  </w:r>
                  <w:r w:rsidR="008E3636" w:rsidRPr="00480C61">
                    <w:rPr>
                      <w:szCs w:val="20"/>
                    </w:rPr>
                    <w:t xml:space="preserve"> </w:t>
                  </w:r>
                  <w:r w:rsidRPr="00480C61">
                    <w:rPr>
                      <w:szCs w:val="20"/>
                    </w:rPr>
                    <w:t>free off treatment</w:t>
                  </w:r>
                </w:p>
              </w:tc>
              <w:tc>
                <w:tcPr>
                  <w:tcW w:w="992" w:type="dxa"/>
                  <w:tcMar>
                    <w:left w:w="28" w:type="dxa"/>
                    <w:right w:w="28" w:type="dxa"/>
                  </w:tcMar>
                </w:tcPr>
                <w:p w:rsidR="00500ACD" w:rsidRPr="00480C61" w:rsidRDefault="00F05324" w:rsidP="00F05324">
                  <w:pPr>
                    <w:pStyle w:val="TableText"/>
                    <w:keepNext w:val="0"/>
                    <w:jc w:val="center"/>
                    <w:rPr>
                      <w:szCs w:val="20"/>
                    </w:rPr>
                  </w:pPr>
                  <w:r w:rsidRPr="00480C61">
                    <w:rPr>
                      <w:szCs w:val="20"/>
                    </w:rPr>
                    <w:t>0.817</w:t>
                  </w:r>
                </w:p>
              </w:tc>
              <w:tc>
                <w:tcPr>
                  <w:tcW w:w="1560" w:type="dxa"/>
                  <w:tcMar>
                    <w:left w:w="28" w:type="dxa"/>
                    <w:right w:w="28" w:type="dxa"/>
                  </w:tcMar>
                </w:tcPr>
                <w:p w:rsidR="00500ACD" w:rsidRPr="00480C61" w:rsidRDefault="00F05324" w:rsidP="00F05324">
                  <w:pPr>
                    <w:pStyle w:val="TableText"/>
                    <w:keepNext w:val="0"/>
                    <w:jc w:val="center"/>
                    <w:rPr>
                      <w:szCs w:val="20"/>
                    </w:rPr>
                  </w:pPr>
                  <w:r w:rsidRPr="00480C61">
                    <w:rPr>
                      <w:szCs w:val="20"/>
                    </w:rPr>
                    <w:t>0.817</w:t>
                  </w:r>
                </w:p>
              </w:tc>
              <w:tc>
                <w:tcPr>
                  <w:tcW w:w="1666" w:type="dxa"/>
                  <w:tcMar>
                    <w:left w:w="28" w:type="dxa"/>
                    <w:right w:w="28" w:type="dxa"/>
                  </w:tcMar>
                </w:tcPr>
                <w:p w:rsidR="00500ACD" w:rsidRPr="00480C61" w:rsidRDefault="00F05324" w:rsidP="00F05324">
                  <w:pPr>
                    <w:pStyle w:val="TableText"/>
                    <w:keepNext w:val="0"/>
                    <w:jc w:val="center"/>
                    <w:rPr>
                      <w:szCs w:val="20"/>
                    </w:rPr>
                  </w:pPr>
                  <w:r w:rsidRPr="00480C61">
                    <w:rPr>
                      <w:szCs w:val="20"/>
                    </w:rPr>
                    <w:t>0.817</w:t>
                  </w:r>
                </w:p>
              </w:tc>
            </w:tr>
            <w:tr w:rsidR="00500ACD" w:rsidRPr="00480C61" w:rsidTr="00CE0D2D">
              <w:tc>
                <w:tcPr>
                  <w:tcW w:w="2237" w:type="dxa"/>
                  <w:tcMar>
                    <w:left w:w="28" w:type="dxa"/>
                    <w:right w:w="28" w:type="dxa"/>
                  </w:tcMar>
                </w:tcPr>
                <w:p w:rsidR="00500ACD" w:rsidRPr="00480C61" w:rsidRDefault="00500ACD" w:rsidP="00F05324">
                  <w:pPr>
                    <w:pStyle w:val="TableText"/>
                    <w:keepNext w:val="0"/>
                    <w:rPr>
                      <w:szCs w:val="20"/>
                    </w:rPr>
                  </w:pPr>
                  <w:r w:rsidRPr="00480C61">
                    <w:rPr>
                      <w:szCs w:val="20"/>
                    </w:rPr>
                    <w:t>Drug holiday</w:t>
                  </w:r>
                </w:p>
              </w:tc>
              <w:tc>
                <w:tcPr>
                  <w:tcW w:w="992" w:type="dxa"/>
                  <w:tcMar>
                    <w:left w:w="28" w:type="dxa"/>
                    <w:right w:w="28" w:type="dxa"/>
                  </w:tcMar>
                </w:tcPr>
                <w:p w:rsidR="00500ACD" w:rsidRPr="00480C61" w:rsidRDefault="00F05324" w:rsidP="00F05324">
                  <w:pPr>
                    <w:pStyle w:val="TableText"/>
                    <w:keepNext w:val="0"/>
                    <w:jc w:val="center"/>
                    <w:rPr>
                      <w:szCs w:val="20"/>
                    </w:rPr>
                  </w:pPr>
                  <w:r w:rsidRPr="00480C61">
                    <w:rPr>
                      <w:szCs w:val="20"/>
                    </w:rPr>
                    <w:t>0.660</w:t>
                  </w:r>
                </w:p>
              </w:tc>
              <w:tc>
                <w:tcPr>
                  <w:tcW w:w="1560" w:type="dxa"/>
                  <w:tcMar>
                    <w:left w:w="28" w:type="dxa"/>
                    <w:right w:w="28" w:type="dxa"/>
                  </w:tcMar>
                </w:tcPr>
                <w:p w:rsidR="00500ACD" w:rsidRPr="00480C61" w:rsidRDefault="00F05324" w:rsidP="00F05324">
                  <w:pPr>
                    <w:pStyle w:val="TableText"/>
                    <w:keepNext w:val="0"/>
                    <w:jc w:val="center"/>
                    <w:rPr>
                      <w:szCs w:val="20"/>
                    </w:rPr>
                  </w:pPr>
                  <w:r w:rsidRPr="00480C61">
                    <w:rPr>
                      <w:szCs w:val="20"/>
                    </w:rPr>
                    <w:t>0.807</w:t>
                  </w:r>
                </w:p>
              </w:tc>
              <w:tc>
                <w:tcPr>
                  <w:tcW w:w="1666" w:type="dxa"/>
                  <w:tcMar>
                    <w:left w:w="28" w:type="dxa"/>
                    <w:right w:w="28" w:type="dxa"/>
                  </w:tcMar>
                </w:tcPr>
                <w:p w:rsidR="00500ACD" w:rsidRPr="00480C61" w:rsidRDefault="00F05324" w:rsidP="00F05324">
                  <w:pPr>
                    <w:pStyle w:val="TableText"/>
                    <w:keepNext w:val="0"/>
                    <w:jc w:val="center"/>
                    <w:rPr>
                      <w:szCs w:val="20"/>
                    </w:rPr>
                  </w:pPr>
                  <w:r w:rsidRPr="00480C61">
                    <w:rPr>
                      <w:szCs w:val="20"/>
                    </w:rPr>
                    <w:t>0.777</w:t>
                  </w:r>
                </w:p>
              </w:tc>
            </w:tr>
            <w:tr w:rsidR="00500ACD" w:rsidRPr="00480C61" w:rsidTr="00CE0D2D">
              <w:tc>
                <w:tcPr>
                  <w:tcW w:w="2237" w:type="dxa"/>
                  <w:tcMar>
                    <w:left w:w="28" w:type="dxa"/>
                    <w:right w:w="28" w:type="dxa"/>
                  </w:tcMar>
                </w:tcPr>
                <w:p w:rsidR="00500ACD" w:rsidRPr="00480C61" w:rsidRDefault="00500ACD" w:rsidP="00F05324">
                  <w:pPr>
                    <w:pStyle w:val="TableText"/>
                    <w:keepNext w:val="0"/>
                    <w:rPr>
                      <w:szCs w:val="20"/>
                    </w:rPr>
                  </w:pPr>
                  <w:r w:rsidRPr="00480C61">
                    <w:rPr>
                      <w:szCs w:val="20"/>
                    </w:rPr>
                    <w:t>Second-line treatment</w:t>
                  </w:r>
                </w:p>
              </w:tc>
              <w:tc>
                <w:tcPr>
                  <w:tcW w:w="992" w:type="dxa"/>
                  <w:tcMar>
                    <w:left w:w="28" w:type="dxa"/>
                    <w:right w:w="28" w:type="dxa"/>
                  </w:tcMar>
                </w:tcPr>
                <w:p w:rsidR="00500ACD" w:rsidRPr="00480C61" w:rsidRDefault="00F05324" w:rsidP="00F05324">
                  <w:pPr>
                    <w:pStyle w:val="TableText"/>
                    <w:keepNext w:val="0"/>
                    <w:jc w:val="center"/>
                    <w:rPr>
                      <w:szCs w:val="20"/>
                    </w:rPr>
                  </w:pPr>
                  <w:r w:rsidRPr="00480C61">
                    <w:rPr>
                      <w:szCs w:val="20"/>
                    </w:rPr>
                    <w:t>0.550</w:t>
                  </w:r>
                </w:p>
              </w:tc>
              <w:tc>
                <w:tcPr>
                  <w:tcW w:w="1560" w:type="dxa"/>
                  <w:tcMar>
                    <w:left w:w="28" w:type="dxa"/>
                    <w:right w:w="28" w:type="dxa"/>
                  </w:tcMar>
                </w:tcPr>
                <w:p w:rsidR="00500ACD" w:rsidRPr="00480C61" w:rsidRDefault="00F05324" w:rsidP="00F05324">
                  <w:pPr>
                    <w:pStyle w:val="TableText"/>
                    <w:keepNext w:val="0"/>
                    <w:jc w:val="center"/>
                    <w:rPr>
                      <w:szCs w:val="20"/>
                    </w:rPr>
                  </w:pPr>
                  <w:r w:rsidRPr="00480C61">
                    <w:rPr>
                      <w:szCs w:val="20"/>
                    </w:rPr>
                    <w:t>0.697</w:t>
                  </w:r>
                </w:p>
              </w:tc>
              <w:tc>
                <w:tcPr>
                  <w:tcW w:w="1666" w:type="dxa"/>
                  <w:tcMar>
                    <w:left w:w="28" w:type="dxa"/>
                    <w:right w:w="28" w:type="dxa"/>
                  </w:tcMar>
                </w:tcPr>
                <w:p w:rsidR="00500ACD" w:rsidRPr="00480C61" w:rsidRDefault="00F05324" w:rsidP="00F05324">
                  <w:pPr>
                    <w:pStyle w:val="TableText"/>
                    <w:keepNext w:val="0"/>
                    <w:jc w:val="center"/>
                    <w:rPr>
                      <w:szCs w:val="20"/>
                    </w:rPr>
                  </w:pPr>
                  <w:r w:rsidRPr="00480C61">
                    <w:rPr>
                      <w:szCs w:val="20"/>
                    </w:rPr>
                    <w:t>0.657</w:t>
                  </w:r>
                </w:p>
              </w:tc>
            </w:tr>
            <w:tr w:rsidR="00500ACD" w:rsidRPr="00480C61" w:rsidTr="00CE0D2D">
              <w:tc>
                <w:tcPr>
                  <w:tcW w:w="2237" w:type="dxa"/>
                  <w:tcMar>
                    <w:left w:w="28" w:type="dxa"/>
                    <w:right w:w="28" w:type="dxa"/>
                  </w:tcMar>
                </w:tcPr>
                <w:p w:rsidR="00500ACD" w:rsidRPr="00480C61" w:rsidRDefault="00500ACD" w:rsidP="00F05324">
                  <w:pPr>
                    <w:pStyle w:val="TableText"/>
                    <w:keepNext w:val="0"/>
                    <w:rPr>
                      <w:szCs w:val="20"/>
                    </w:rPr>
                  </w:pPr>
                  <w:r w:rsidRPr="00480C61">
                    <w:rPr>
                      <w:szCs w:val="20"/>
                    </w:rPr>
                    <w:t>Best supportive care</w:t>
                  </w:r>
                </w:p>
              </w:tc>
              <w:tc>
                <w:tcPr>
                  <w:tcW w:w="992" w:type="dxa"/>
                  <w:tcMar>
                    <w:left w:w="28" w:type="dxa"/>
                    <w:right w:w="28" w:type="dxa"/>
                  </w:tcMar>
                </w:tcPr>
                <w:p w:rsidR="00500ACD" w:rsidRPr="00480C61" w:rsidRDefault="00F05324" w:rsidP="00F05324">
                  <w:pPr>
                    <w:pStyle w:val="TableText"/>
                    <w:keepNext w:val="0"/>
                    <w:jc w:val="center"/>
                    <w:rPr>
                      <w:szCs w:val="20"/>
                    </w:rPr>
                  </w:pPr>
                  <w:r w:rsidRPr="00480C61">
                    <w:rPr>
                      <w:szCs w:val="20"/>
                    </w:rPr>
                    <w:t>0.420</w:t>
                  </w:r>
                </w:p>
              </w:tc>
              <w:tc>
                <w:tcPr>
                  <w:tcW w:w="1560" w:type="dxa"/>
                  <w:tcMar>
                    <w:left w:w="28" w:type="dxa"/>
                    <w:right w:w="28" w:type="dxa"/>
                  </w:tcMar>
                </w:tcPr>
                <w:p w:rsidR="00500ACD" w:rsidRPr="00480C61" w:rsidRDefault="00F05324" w:rsidP="00F05324">
                  <w:pPr>
                    <w:pStyle w:val="TableText"/>
                    <w:keepNext w:val="0"/>
                    <w:jc w:val="center"/>
                    <w:rPr>
                      <w:szCs w:val="20"/>
                    </w:rPr>
                  </w:pPr>
                  <w:r w:rsidRPr="00480C61">
                    <w:rPr>
                      <w:szCs w:val="20"/>
                    </w:rPr>
                    <w:t>0.567</w:t>
                  </w:r>
                </w:p>
              </w:tc>
              <w:tc>
                <w:tcPr>
                  <w:tcW w:w="1666" w:type="dxa"/>
                  <w:tcMar>
                    <w:left w:w="28" w:type="dxa"/>
                    <w:right w:w="28" w:type="dxa"/>
                  </w:tcMar>
                </w:tcPr>
                <w:p w:rsidR="00500ACD" w:rsidRPr="00480C61" w:rsidRDefault="00F05324" w:rsidP="00F05324">
                  <w:pPr>
                    <w:pStyle w:val="TableText"/>
                    <w:keepNext w:val="0"/>
                    <w:jc w:val="center"/>
                    <w:rPr>
                      <w:szCs w:val="20"/>
                    </w:rPr>
                  </w:pPr>
                  <w:r w:rsidRPr="00480C61">
                    <w:rPr>
                      <w:szCs w:val="20"/>
                    </w:rPr>
                    <w:t>0.527</w:t>
                  </w:r>
                </w:p>
              </w:tc>
            </w:tr>
          </w:tbl>
          <w:p w:rsidR="00500ACD" w:rsidRPr="00480C61" w:rsidRDefault="00F05324" w:rsidP="00F05324">
            <w:pPr>
              <w:pStyle w:val="TableFooter"/>
              <w:rPr>
                <w:sz w:val="20"/>
              </w:rPr>
            </w:pPr>
            <w:r w:rsidRPr="00480C61">
              <w:rPr>
                <w:sz w:val="20"/>
              </w:rPr>
              <w:t>IV = intravenous</w:t>
            </w:r>
          </w:p>
          <w:p w:rsidR="00F05324" w:rsidRPr="00480C61" w:rsidRDefault="00F05324" w:rsidP="00CE0D2D">
            <w:pPr>
              <w:pStyle w:val="TableFooter"/>
              <w:rPr>
                <w:sz w:val="20"/>
              </w:rPr>
            </w:pPr>
            <w:r w:rsidRPr="00480C61">
              <w:rPr>
                <w:sz w:val="20"/>
              </w:rPr>
              <w:t xml:space="preserve">Source = Source: Table 3.21 (p 144), Table 3.22 (p 144) of the submission </w:t>
            </w:r>
          </w:p>
        </w:tc>
        <w:tc>
          <w:tcPr>
            <w:tcW w:w="679" w:type="pct"/>
            <w:tcBorders>
              <w:top w:val="single" w:sz="4" w:space="0" w:color="auto"/>
              <w:left w:val="single" w:sz="4" w:space="0" w:color="auto"/>
              <w:bottom w:val="single" w:sz="4" w:space="0" w:color="auto"/>
              <w:right w:val="single" w:sz="4" w:space="0" w:color="auto"/>
            </w:tcBorders>
            <w:vAlign w:val="center"/>
            <w:hideMark/>
          </w:tcPr>
          <w:p w:rsidR="00AB169B" w:rsidRPr="00EF4FFA" w:rsidRDefault="00AB169B">
            <w:pPr>
              <w:pStyle w:val="TableText"/>
              <w:keepNext w:val="0"/>
              <w:jc w:val="center"/>
              <w:rPr>
                <w:szCs w:val="20"/>
              </w:rPr>
            </w:pPr>
            <w:r w:rsidRPr="00EF4FFA">
              <w:rPr>
                <w:szCs w:val="20"/>
              </w:rPr>
              <w:t>Moderate, favours acalabrutinib</w:t>
            </w:r>
          </w:p>
        </w:tc>
      </w:tr>
      <w:tr w:rsidR="00AB169B" w:rsidRPr="00EF4FFA" w:rsidTr="00480C61">
        <w:trPr>
          <w:cantSplit/>
        </w:trPr>
        <w:tc>
          <w:tcPr>
            <w:tcW w:w="705"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Text"/>
              <w:keepNext w:val="0"/>
              <w:jc w:val="center"/>
              <w:rPr>
                <w:szCs w:val="20"/>
              </w:rPr>
            </w:pPr>
            <w:r w:rsidRPr="00480C61">
              <w:rPr>
                <w:szCs w:val="20"/>
              </w:rPr>
              <w:t>Disconnect between time to treatment discontinuation and time to progression</w:t>
            </w:r>
          </w:p>
        </w:tc>
        <w:tc>
          <w:tcPr>
            <w:tcW w:w="3616" w:type="pct"/>
            <w:tcBorders>
              <w:top w:val="single" w:sz="4" w:space="0" w:color="auto"/>
              <w:left w:val="single" w:sz="4" w:space="0" w:color="auto"/>
              <w:bottom w:val="single" w:sz="4" w:space="0" w:color="auto"/>
              <w:right w:val="single" w:sz="4" w:space="0" w:color="auto"/>
            </w:tcBorders>
            <w:vAlign w:val="center"/>
            <w:hideMark/>
          </w:tcPr>
          <w:p w:rsidR="006544EF" w:rsidRPr="00480C61" w:rsidRDefault="00AB169B" w:rsidP="006139AA">
            <w:pPr>
              <w:pStyle w:val="TableText"/>
              <w:keepNext w:val="0"/>
              <w:rPr>
                <w:szCs w:val="20"/>
              </w:rPr>
            </w:pPr>
            <w:r w:rsidRPr="00480C61">
              <w:rPr>
                <w:szCs w:val="20"/>
              </w:rPr>
              <w:t>The submission assumed that the risk of progression or death does not change depending on whether patients are receiving active therapy with acalabrutinib. In the model, patients in the progression free off-treatment state in the acalabrutinib monotherapy and acalabrutinib with obinutuzumab arms spend on average 9.2 and 10.6 years, respectively, progression</w:t>
            </w:r>
            <w:r w:rsidR="008E3636" w:rsidRPr="00480C61">
              <w:rPr>
                <w:szCs w:val="20"/>
              </w:rPr>
              <w:t xml:space="preserve"> </w:t>
            </w:r>
            <w:r w:rsidRPr="00480C61">
              <w:rPr>
                <w:szCs w:val="20"/>
              </w:rPr>
              <w:t xml:space="preserve">free while not receiving treatment. </w:t>
            </w:r>
            <w:r w:rsidR="006544EF" w:rsidRPr="00480C61">
              <w:rPr>
                <w:szCs w:val="20"/>
              </w:rPr>
              <w:t>The PSCR stated that patients occupied the progression free off-treatment state for a mean of 1.3 and 1.5 years respectively</w:t>
            </w:r>
            <w:r w:rsidR="006021D8" w:rsidRPr="00480C61">
              <w:rPr>
                <w:szCs w:val="20"/>
              </w:rPr>
              <w:t xml:space="preserve"> (as demonstrated by the orange lines in Figures 5 and 6)</w:t>
            </w:r>
            <w:r w:rsidR="006544EF" w:rsidRPr="00480C61">
              <w:rPr>
                <w:szCs w:val="20"/>
              </w:rPr>
              <w:t>. However, the ESC noted that this was based on the average time spent in this state for the entire cohort of patients, whereas the times of 9.2 and 10.6 years were based on the average time spent in this state for the patients who discontinued therapy.</w:t>
            </w:r>
          </w:p>
          <w:p w:rsidR="006544EF" w:rsidRPr="00480C61" w:rsidRDefault="006544EF" w:rsidP="006544EF">
            <w:pPr>
              <w:pStyle w:val="TableText"/>
              <w:keepNext w:val="0"/>
              <w:rPr>
                <w:szCs w:val="20"/>
              </w:rPr>
            </w:pPr>
            <w:r w:rsidRPr="00480C61">
              <w:rPr>
                <w:szCs w:val="20"/>
              </w:rPr>
              <w:t>Although the evaluators noted that the time in the progression free off-treatment state was</w:t>
            </w:r>
            <w:r w:rsidR="00AB169B" w:rsidRPr="00480C61">
              <w:rPr>
                <w:szCs w:val="20"/>
              </w:rPr>
              <w:t xml:space="preserve"> inconsistent with existing data from BTK inhibitors which suggest</w:t>
            </w:r>
            <w:r w:rsidRPr="00480C61">
              <w:rPr>
                <w:szCs w:val="20"/>
              </w:rPr>
              <w:t>ed</w:t>
            </w:r>
            <w:r w:rsidR="00AB169B" w:rsidRPr="00480C61">
              <w:rPr>
                <w:szCs w:val="20"/>
              </w:rPr>
              <w:t xml:space="preserve"> accelerated disease progression after the cessation of therapy (NCCN CLL guidelines version 4.2020)</w:t>
            </w:r>
            <w:r w:rsidRPr="00480C61">
              <w:rPr>
                <w:szCs w:val="20"/>
              </w:rPr>
              <w:t>, the ESC noted that this evidence was from clinical trials in the RR setting</w:t>
            </w:r>
            <w:r w:rsidR="00AB169B" w:rsidRPr="00480C61">
              <w:rPr>
                <w:szCs w:val="20"/>
              </w:rPr>
              <w:t>.</w:t>
            </w:r>
            <w:r w:rsidRPr="00480C61">
              <w:rPr>
                <w:szCs w:val="20"/>
              </w:rPr>
              <w:t xml:space="preserve"> The ESC considered that the effect of BTK inhibitors on disease progression in the first-line setting was unknown.</w:t>
            </w:r>
          </w:p>
        </w:tc>
        <w:tc>
          <w:tcPr>
            <w:tcW w:w="679" w:type="pct"/>
            <w:tcBorders>
              <w:top w:val="single" w:sz="4" w:space="0" w:color="auto"/>
              <w:left w:val="single" w:sz="4" w:space="0" w:color="auto"/>
              <w:bottom w:val="single" w:sz="4" w:space="0" w:color="auto"/>
              <w:right w:val="single" w:sz="4" w:space="0" w:color="auto"/>
            </w:tcBorders>
            <w:vAlign w:val="center"/>
            <w:hideMark/>
          </w:tcPr>
          <w:p w:rsidR="00AB169B" w:rsidRPr="00EF4FFA" w:rsidRDefault="00AB169B">
            <w:pPr>
              <w:pStyle w:val="TableText"/>
              <w:keepNext w:val="0"/>
              <w:jc w:val="center"/>
              <w:rPr>
                <w:szCs w:val="20"/>
              </w:rPr>
            </w:pPr>
            <w:r w:rsidRPr="00EF4FFA">
              <w:rPr>
                <w:szCs w:val="20"/>
              </w:rPr>
              <w:t>High, favours acalabrutinib</w:t>
            </w:r>
          </w:p>
        </w:tc>
      </w:tr>
      <w:tr w:rsidR="00AB169B" w:rsidRPr="00EF4FFA" w:rsidTr="00480C61">
        <w:trPr>
          <w:cantSplit/>
        </w:trPr>
        <w:tc>
          <w:tcPr>
            <w:tcW w:w="705"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pPr>
              <w:pStyle w:val="TableText"/>
              <w:keepNext w:val="0"/>
              <w:jc w:val="center"/>
              <w:rPr>
                <w:szCs w:val="20"/>
              </w:rPr>
            </w:pPr>
            <w:r w:rsidRPr="00480C61">
              <w:rPr>
                <w:szCs w:val="20"/>
              </w:rPr>
              <w:t>Impact of SPAs and RSAs</w:t>
            </w:r>
          </w:p>
        </w:tc>
        <w:tc>
          <w:tcPr>
            <w:tcW w:w="3616"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273725">
            <w:pPr>
              <w:pStyle w:val="TableText"/>
              <w:keepNext w:val="0"/>
              <w:rPr>
                <w:szCs w:val="20"/>
              </w:rPr>
            </w:pPr>
            <w:r w:rsidRPr="00480C61">
              <w:rPr>
                <w:szCs w:val="20"/>
              </w:rPr>
              <w:t xml:space="preserve">The submission proposed a </w:t>
            </w:r>
            <w:r w:rsidR="00273725" w:rsidRPr="00480C61">
              <w:rPr>
                <w:szCs w:val="20"/>
              </w:rPr>
              <w:t>SPA</w:t>
            </w:r>
            <w:r w:rsidRPr="00480C61">
              <w:rPr>
                <w:szCs w:val="20"/>
              </w:rPr>
              <w:t xml:space="preserve"> for acalabrutinib (based on a </w:t>
            </w:r>
            <w:r w:rsidR="00BF3740">
              <w:rPr>
                <w:noProof/>
                <w:color w:val="000000"/>
                <w:szCs w:val="20"/>
                <w:highlight w:val="black"/>
              </w:rPr>
              <w:t>'''''''''''</w:t>
            </w:r>
            <w:r w:rsidRPr="00480C61">
              <w:rPr>
                <w:szCs w:val="20"/>
              </w:rPr>
              <w:t xml:space="preserve">% rebate on the published price) and used the effective price in the model. The submission noted that obinutuzumab, ibrutinib, venetoclax and idelalisib are subject to </w:t>
            </w:r>
            <w:r w:rsidR="00273725" w:rsidRPr="00480C61">
              <w:rPr>
                <w:szCs w:val="20"/>
              </w:rPr>
              <w:t>SPA</w:t>
            </w:r>
            <w:r w:rsidRPr="00480C61">
              <w:rPr>
                <w:szCs w:val="20"/>
              </w:rPr>
              <w:t xml:space="preserve">s and assumed an effective prices based on a 30% rebate on their published prices. The submission proposed a </w:t>
            </w:r>
            <w:r w:rsidR="00273725" w:rsidRPr="00480C61">
              <w:rPr>
                <w:szCs w:val="20"/>
              </w:rPr>
              <w:t>RSA</w:t>
            </w:r>
            <w:r w:rsidRPr="00480C61">
              <w:rPr>
                <w:szCs w:val="20"/>
              </w:rPr>
              <w:t xml:space="preserve"> capping government expenditure on acalabrutinib to </w:t>
            </w:r>
            <w:r w:rsidR="00BF3740">
              <w:rPr>
                <w:noProof/>
                <w:color w:val="000000"/>
                <w:szCs w:val="20"/>
                <w:highlight w:val="black"/>
              </w:rPr>
              <w:t>''''''''''</w:t>
            </w:r>
            <w:r w:rsidRPr="00480C61">
              <w:rPr>
                <w:szCs w:val="20"/>
              </w:rPr>
              <w:t xml:space="preserve"> cycles of therapy (approximately </w:t>
            </w:r>
            <w:r w:rsidR="00BF3740">
              <w:rPr>
                <w:noProof/>
                <w:color w:val="000000"/>
                <w:szCs w:val="20"/>
                <w:highlight w:val="black"/>
              </w:rPr>
              <w:t>''''''''</w:t>
            </w:r>
            <w:r w:rsidRPr="00480C61">
              <w:rPr>
                <w:szCs w:val="20"/>
              </w:rPr>
              <w:t xml:space="preserve"> years). The submission noted that ibrutinib, venetoclax and idelalisib are also subject to </w:t>
            </w:r>
            <w:r w:rsidR="00273725" w:rsidRPr="00480C61">
              <w:rPr>
                <w:szCs w:val="20"/>
              </w:rPr>
              <w:t>RSAs</w:t>
            </w:r>
            <w:r w:rsidRPr="00480C61">
              <w:rPr>
                <w:szCs w:val="20"/>
              </w:rPr>
              <w:t xml:space="preserve">, which the submission assumed were based on a maximum duration treatment cap. The treatment cap estimates calculated in the submission were poorly documented and could not be validated during the evaluation. The assumed rebates and treatment caps may not be reflective of the SPAs and RSAs in place for these therapies and will affect the estimated cost-effectiveness of acalabrutinib. </w:t>
            </w:r>
          </w:p>
        </w:tc>
        <w:tc>
          <w:tcPr>
            <w:tcW w:w="679" w:type="pct"/>
            <w:tcBorders>
              <w:top w:val="single" w:sz="4" w:space="0" w:color="auto"/>
              <w:left w:val="single" w:sz="4" w:space="0" w:color="auto"/>
              <w:bottom w:val="single" w:sz="4" w:space="0" w:color="auto"/>
              <w:right w:val="single" w:sz="4" w:space="0" w:color="auto"/>
            </w:tcBorders>
            <w:vAlign w:val="center"/>
            <w:hideMark/>
          </w:tcPr>
          <w:p w:rsidR="00AB169B" w:rsidRPr="00EF4FFA" w:rsidRDefault="00AB169B">
            <w:pPr>
              <w:pStyle w:val="TableText"/>
              <w:keepNext w:val="0"/>
              <w:jc w:val="center"/>
              <w:rPr>
                <w:szCs w:val="20"/>
              </w:rPr>
            </w:pPr>
            <w:r w:rsidRPr="00EF4FFA">
              <w:rPr>
                <w:szCs w:val="20"/>
              </w:rPr>
              <w:t>Unclear impact</w:t>
            </w:r>
          </w:p>
        </w:tc>
      </w:tr>
    </w:tbl>
    <w:p w:rsidR="00102DDB" w:rsidRPr="00EF4FFA" w:rsidRDefault="00273725" w:rsidP="00480C61">
      <w:pPr>
        <w:pStyle w:val="TableFigureFooter"/>
      </w:pPr>
      <w:r w:rsidRPr="00EF4FFA">
        <w:t xml:space="preserve">BSC = best supportive care; </w:t>
      </w:r>
      <w:r w:rsidR="00621392" w:rsidRPr="00EF4FFA">
        <w:t xml:space="preserve">BTK = </w:t>
      </w:r>
      <w:proofErr w:type="spellStart"/>
      <w:r w:rsidR="00621392" w:rsidRPr="00EF4FFA">
        <w:t>Bruton’s</w:t>
      </w:r>
      <w:proofErr w:type="spellEnd"/>
      <w:r w:rsidR="00621392" w:rsidRPr="00EF4FFA">
        <w:t xml:space="preserve"> tyrosine kinase; </w:t>
      </w:r>
      <w:r w:rsidR="00657A48" w:rsidRPr="00EF4FFA">
        <w:t xml:space="preserve">CLL = chronic lymphocytic leukaemia; </w:t>
      </w:r>
      <w:r w:rsidR="00102DDB" w:rsidRPr="00EF4FFA">
        <w:t xml:space="preserve">ESC = Economic Sub-Committee; </w:t>
      </w:r>
      <w:r w:rsidR="00621392" w:rsidRPr="00EF4FFA">
        <w:t>IV = intravenous; NCCN = National Comprehensive Cancer Network;</w:t>
      </w:r>
      <w:r w:rsidR="00102DDB" w:rsidRPr="00EF4FFA">
        <w:t xml:space="preserve"> </w:t>
      </w:r>
      <w:r w:rsidRPr="00EF4FFA">
        <w:t xml:space="preserve">OS = overall survival; </w:t>
      </w:r>
      <w:r w:rsidR="00657A48" w:rsidRPr="00EF4FFA">
        <w:t xml:space="preserve">PBAC = Pharmaceutical Benefits Advisory </w:t>
      </w:r>
      <w:r w:rsidR="00657A48" w:rsidRPr="00EF4FFA">
        <w:lastRenderedPageBreak/>
        <w:t xml:space="preserve">Committee; </w:t>
      </w:r>
      <w:r w:rsidR="00102DDB" w:rsidRPr="00EF4FFA">
        <w:t xml:space="preserve">PFS = progression free survival; PSCR = pre-Sub-Committee Response; PSD = Public Summary Document; </w:t>
      </w:r>
      <w:r w:rsidRPr="00EF4FFA">
        <w:t xml:space="preserve">RR = relapsed and/or refractory; </w:t>
      </w:r>
      <w:r w:rsidR="00102DDB" w:rsidRPr="00EF4FFA">
        <w:t>RSA = risk sharing arrangement; SPA = special pricing arrangement</w:t>
      </w:r>
    </w:p>
    <w:p w:rsidR="007D16FA" w:rsidRPr="00EF4FFA" w:rsidRDefault="00AB169B" w:rsidP="00480C61">
      <w:pPr>
        <w:pStyle w:val="TableFigureFooter"/>
      </w:pPr>
      <w:r w:rsidRPr="00EF4FFA">
        <w:t>Source: Constructed during the evaluation</w:t>
      </w:r>
    </w:p>
    <w:p w:rsidR="00C33652" w:rsidRPr="00EF4FFA" w:rsidRDefault="00786A6E" w:rsidP="00EC118A">
      <w:pPr>
        <w:pStyle w:val="ExecSumBodyText"/>
      </w:pPr>
      <w:r>
        <w:t>6.65</w:t>
      </w:r>
      <w:r>
        <w:tab/>
      </w:r>
      <w:r w:rsidR="000451C2" w:rsidRPr="00EF4FFA">
        <w:t xml:space="preserve">The ESC </w:t>
      </w:r>
      <w:r w:rsidR="00F012F9" w:rsidRPr="00EF4FFA">
        <w:t xml:space="preserve">and PBAC </w:t>
      </w:r>
      <w:r w:rsidR="000451C2" w:rsidRPr="00EF4FFA">
        <w:t xml:space="preserve">noted that differences in how first and second-line mortality was modelled resulted in inconsistencies which lacked face validity. The average mortality rates </w:t>
      </w:r>
      <w:r w:rsidR="006021D8" w:rsidRPr="00EF4FFA">
        <w:t>for patients receiving first-li</w:t>
      </w:r>
      <w:r w:rsidR="005C10A0" w:rsidRPr="00EF4FFA">
        <w:t>ne</w:t>
      </w:r>
      <w:r w:rsidR="006021D8" w:rsidRPr="00EF4FFA">
        <w:t xml:space="preserve"> (acalabrutinib, acalabrutinib + obinutuzumab</w:t>
      </w:r>
      <w:r w:rsidR="005C10A0" w:rsidRPr="00EF4FFA">
        <w:t xml:space="preserve"> and chlorambucil + obinutuzumab) and second-line (venetoclax + rituximab, idelalisib + rituximab and ibrutinib) treatments were </w:t>
      </w:r>
      <w:r w:rsidR="000451C2" w:rsidRPr="00EF4FFA">
        <w:t>higher</w:t>
      </w:r>
      <w:r w:rsidR="007F4556" w:rsidRPr="00EF4FFA">
        <w:t xml:space="preserve"> than </w:t>
      </w:r>
      <w:r w:rsidR="005C10A0" w:rsidRPr="00EF4FFA">
        <w:t>for patients receiving third-line treatment (</w:t>
      </w:r>
      <w:r w:rsidR="007F4556" w:rsidRPr="00EF4FFA">
        <w:t>best supportive car</w:t>
      </w:r>
      <w:r w:rsidR="000451C2" w:rsidRPr="00EF4FFA">
        <w:t>e</w:t>
      </w:r>
      <w:r w:rsidR="005C10A0" w:rsidRPr="00EF4FFA">
        <w:t>)</w:t>
      </w:r>
      <w:r w:rsidR="000451C2" w:rsidRPr="00EF4FFA">
        <w:t xml:space="preserve"> for the first two years of the model, </w:t>
      </w:r>
      <w:r w:rsidR="005C10A0" w:rsidRPr="00EF4FFA">
        <w:t xml:space="preserve">and </w:t>
      </w:r>
      <w:r w:rsidR="000451C2" w:rsidRPr="00EF4FFA">
        <w:t xml:space="preserve">with mortality rates </w:t>
      </w:r>
      <w:r w:rsidR="005C10A0" w:rsidRPr="00EF4FFA">
        <w:t xml:space="preserve">for patients treated with ibrutinib </w:t>
      </w:r>
      <w:r w:rsidR="000451C2" w:rsidRPr="00EF4FFA">
        <w:t xml:space="preserve">in the second-line setting remaining higher than </w:t>
      </w:r>
      <w:r w:rsidR="005C10A0" w:rsidRPr="00EF4FFA">
        <w:t xml:space="preserve">for patients treated with </w:t>
      </w:r>
      <w:r w:rsidR="000451C2" w:rsidRPr="00EF4FFA">
        <w:t>best supportive care until Year 18</w:t>
      </w:r>
      <w:r w:rsidR="007F4556" w:rsidRPr="00EF4FFA">
        <w:t xml:space="preserve"> (see Figure </w:t>
      </w:r>
      <w:r w:rsidR="006139AA" w:rsidRPr="00EF4FFA">
        <w:t>4</w:t>
      </w:r>
      <w:r w:rsidR="007F4556" w:rsidRPr="00EF4FFA">
        <w:t>).</w:t>
      </w:r>
    </w:p>
    <w:p w:rsidR="007F4556" w:rsidRPr="00EF4FFA" w:rsidRDefault="007F4556" w:rsidP="00480C61">
      <w:pPr>
        <w:pStyle w:val="TableFigureCaption"/>
      </w:pPr>
      <w:r w:rsidRPr="00EF4FFA">
        <w:t xml:space="preserve">Figure </w:t>
      </w:r>
      <w:r w:rsidR="006139AA" w:rsidRPr="00EF4FFA">
        <w:t>4</w:t>
      </w:r>
      <w:r w:rsidRPr="00EF4FFA">
        <w:t>: Average mortality rates used in the economic model for different lines of therapy.</w:t>
      </w:r>
    </w:p>
    <w:p w:rsidR="007F4556" w:rsidRPr="00EF4FFA" w:rsidRDefault="007F4556" w:rsidP="007F4556">
      <w:pPr>
        <w:rPr>
          <w:rFonts w:ascii="Arial Narrow" w:hAnsi="Arial Narrow"/>
          <w:sz w:val="18"/>
        </w:rPr>
      </w:pPr>
      <w:r w:rsidRPr="00EF4FFA">
        <w:rPr>
          <w:noProof/>
          <w:color w:val="3366FF"/>
        </w:rPr>
        <w:drawing>
          <wp:inline distT="0" distB="0" distL="0" distR="0" wp14:anchorId="2EBDEE0C" wp14:editId="476203FF">
            <wp:extent cx="5724525" cy="3743325"/>
            <wp:effectExtent l="0" t="0" r="9525" b="9525"/>
            <wp:docPr id="2" name="Picture 2" title="Figure 4: Average mortality rates used in the economic model for different lines of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743325"/>
                    </a:xfrm>
                    <a:prstGeom prst="rect">
                      <a:avLst/>
                    </a:prstGeom>
                    <a:noFill/>
                    <a:ln>
                      <a:noFill/>
                    </a:ln>
                  </pic:spPr>
                </pic:pic>
              </a:graphicData>
            </a:graphic>
          </wp:inline>
        </w:drawing>
      </w:r>
    </w:p>
    <w:p w:rsidR="007F4556" w:rsidRPr="00EF4FFA" w:rsidRDefault="007F4556" w:rsidP="00480C61">
      <w:pPr>
        <w:pStyle w:val="TableFigureFooter"/>
      </w:pPr>
      <w:r w:rsidRPr="00EF4FFA">
        <w:t xml:space="preserve">ACAL = acalabrutinib; BSC = best supportive care; CHL = chlorambucil; </w:t>
      </w:r>
      <w:r w:rsidR="00657A48" w:rsidRPr="00EF4FFA">
        <w:t xml:space="preserve">IBR = ibrutinib; </w:t>
      </w:r>
      <w:r w:rsidRPr="00EF4FFA">
        <w:t>IDEL = idelalisib; OBI = obinutuzumab; RIT = rituximab; VEN = venetoclax</w:t>
      </w:r>
    </w:p>
    <w:p w:rsidR="007F4556" w:rsidRPr="00480C61" w:rsidRDefault="007F4556" w:rsidP="00480C61">
      <w:pPr>
        <w:pStyle w:val="TableFigureFooter"/>
        <w:rPr>
          <w:rStyle w:val="TableHeadingChar"/>
          <w:rFonts w:eastAsia="Times New Roman"/>
          <w:b w:val="0"/>
          <w:lang w:bidi="ar-SA"/>
        </w:rPr>
      </w:pPr>
      <w:r w:rsidRPr="00EF4FFA">
        <w:t>Source: Constructed during the evaluation based on data in the ‘Acalabrutinib (Calquence</w:t>
      </w:r>
      <w:proofErr w:type="gramStart"/>
      <w:r w:rsidRPr="00EF4FFA">
        <w:t>)_</w:t>
      </w:r>
      <w:proofErr w:type="spellStart"/>
      <w:proofErr w:type="gramEnd"/>
      <w:r w:rsidRPr="00EF4FFA">
        <w:t>CEA_model</w:t>
      </w:r>
      <w:proofErr w:type="spellEnd"/>
      <w:r w:rsidRPr="00EF4FFA">
        <w:t xml:space="preserve"> calculations_10Mar20’ Excel spreadsheet included in the submission</w:t>
      </w:r>
    </w:p>
    <w:p w:rsidR="00EC118A" w:rsidRPr="00EF4FFA" w:rsidRDefault="00786A6E" w:rsidP="00EC118A">
      <w:pPr>
        <w:pStyle w:val="ExecSumBodyText"/>
      </w:pPr>
      <w:r>
        <w:t>6.66</w:t>
      </w:r>
      <w:r>
        <w:tab/>
      </w:r>
      <w:r w:rsidR="00EC118A" w:rsidRPr="00EF4FFA">
        <w:t>An additional limitation of the economic evaluation was the inadequate approach</w:t>
      </w:r>
      <w:r w:rsidR="00E25798">
        <w:t xml:space="preserve"> </w:t>
      </w:r>
      <w:r w:rsidR="00EC118A" w:rsidRPr="00EF4FFA">
        <w:t>to modelling adverse events (based on incidence and applied in the first cycle only) given the substantial difference in modelled treatment exposure between arms (approximately 8.9 years v</w:t>
      </w:r>
      <w:r w:rsidR="00384F35" w:rsidRPr="00EF4FFA">
        <w:t>ersus</w:t>
      </w:r>
      <w:r w:rsidR="00EC118A" w:rsidRPr="00EF4FFA">
        <w:t xml:space="preserve"> 6 months). Additionally, the submission inadequately justified the use of severe treatment-related events (which includes abnormal laboratory values) versus serious adverse events (which require hospitalisation).</w:t>
      </w:r>
      <w:r w:rsidR="00AD6E35" w:rsidRPr="00EF4FFA">
        <w:t xml:space="preserve"> The PSCR stated that the approach to modelling adverse events was reasonable as the majority of adverse events occurred within the trial period.</w:t>
      </w:r>
    </w:p>
    <w:p w:rsidR="00250000" w:rsidRPr="00EF4FFA" w:rsidRDefault="00786A6E" w:rsidP="00250000">
      <w:pPr>
        <w:pStyle w:val="ExecSumBodyText"/>
      </w:pPr>
      <w:r>
        <w:lastRenderedPageBreak/>
        <w:t>6.67</w:t>
      </w:r>
      <w:r>
        <w:tab/>
      </w:r>
      <w:r w:rsidR="00250000" w:rsidRPr="00EF4FFA">
        <w:t xml:space="preserve">Model traces indicate rapid separation between treatment arms in the proportion of patients </w:t>
      </w:r>
      <w:r w:rsidR="00384F35" w:rsidRPr="00EF4FFA">
        <w:t xml:space="preserve">who remain </w:t>
      </w:r>
      <w:r w:rsidR="00250000" w:rsidRPr="00EF4FFA">
        <w:t>progression free after the first 6 months</w:t>
      </w:r>
      <w:r w:rsidR="00BD0FFF" w:rsidRPr="00EF4FFA">
        <w:t>. A</w:t>
      </w:r>
      <w:r w:rsidR="00250000" w:rsidRPr="00EF4FFA">
        <w:t xml:space="preserve"> higher proportion of patients in the chlorambucil with obinutuzumab arm progress to second-line treatment and best supportive care, with a corresponding higher proportion of deaths in the chlorambucil with obinutuzumab arm</w:t>
      </w:r>
      <w:r w:rsidR="00743F69" w:rsidRPr="00EF4FFA">
        <w:t>.</w:t>
      </w:r>
    </w:p>
    <w:p w:rsidR="00250000" w:rsidRPr="00EF4FFA" w:rsidRDefault="00250000" w:rsidP="00480C61">
      <w:pPr>
        <w:pStyle w:val="TableFigureCaption"/>
        <w:rPr>
          <w:color w:val="3366FF"/>
        </w:rPr>
      </w:pPr>
      <w:r w:rsidRPr="00EF4FFA">
        <w:t xml:space="preserve">Figure </w:t>
      </w:r>
      <w:r w:rsidR="006139AA" w:rsidRPr="00EF4FFA">
        <w:t>5</w:t>
      </w:r>
      <w:r w:rsidRPr="00EF4FFA">
        <w:t xml:space="preserve">: Model trace: acalabrutinib monotherapy versus chlorambucil + obinutuzumab </w:t>
      </w:r>
    </w:p>
    <w:p w:rsidR="00250000" w:rsidRPr="00EF4FFA" w:rsidRDefault="00250000" w:rsidP="00250000">
      <w:pPr>
        <w:pStyle w:val="TableFooter"/>
      </w:pPr>
      <w:r w:rsidRPr="00EF4FFA">
        <w:rPr>
          <w:noProof/>
          <w:lang w:eastAsia="en-AU"/>
        </w:rPr>
        <w:drawing>
          <wp:inline distT="0" distB="0" distL="0" distR="0" wp14:anchorId="537D560C" wp14:editId="49C583C0">
            <wp:extent cx="5372100" cy="3507405"/>
            <wp:effectExtent l="0" t="0" r="0" b="0"/>
            <wp:docPr id="39" name="Picture 39" title="Figure 5: Model trace: acalabrutinib monotherapy versus chlorambucil + obinutuzum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062" cy="3544595"/>
                    </a:xfrm>
                    <a:prstGeom prst="rect">
                      <a:avLst/>
                    </a:prstGeom>
                    <a:noFill/>
                    <a:ln>
                      <a:noFill/>
                    </a:ln>
                  </pic:spPr>
                </pic:pic>
              </a:graphicData>
            </a:graphic>
          </wp:inline>
        </w:drawing>
      </w:r>
    </w:p>
    <w:p w:rsidR="00621392" w:rsidRPr="00EF4FFA" w:rsidRDefault="00621392" w:rsidP="00480C61">
      <w:pPr>
        <w:pStyle w:val="TableFigureFooter"/>
      </w:pPr>
      <w:r w:rsidRPr="00EF4FFA">
        <w:t xml:space="preserve">ACAL = acalabrutinib; BSC = best supportive care; CHL = chlorambucil; OBI = obinutuzumab; PF = progression free; </w:t>
      </w:r>
      <w:proofErr w:type="spellStart"/>
      <w:proofErr w:type="gramStart"/>
      <w:r w:rsidRPr="00EF4FFA">
        <w:t>tx</w:t>
      </w:r>
      <w:proofErr w:type="spellEnd"/>
      <w:proofErr w:type="gramEnd"/>
      <w:r w:rsidRPr="00EF4FFA">
        <w:t xml:space="preserve"> = treatment; 1L = first-line; 2L = second-line</w:t>
      </w:r>
    </w:p>
    <w:p w:rsidR="00250000" w:rsidRPr="00EF4FFA" w:rsidRDefault="00250000" w:rsidP="00480C61">
      <w:pPr>
        <w:pStyle w:val="TableFigureFooter"/>
      </w:pPr>
      <w:r w:rsidRPr="00EF4FFA">
        <w:t>Source: Constructed during the evaluation using the Acalabrutinib (CALQUENCE</w:t>
      </w:r>
      <w:proofErr w:type="gramStart"/>
      <w:r w:rsidRPr="00EF4FFA">
        <w:t>)_</w:t>
      </w:r>
      <w:proofErr w:type="gramEnd"/>
      <w:r w:rsidRPr="00EF4FFA">
        <w:t xml:space="preserve">1L CLL_PBAC CE </w:t>
      </w:r>
      <w:proofErr w:type="spellStart"/>
      <w:r w:rsidRPr="00EF4FFA">
        <w:t>Model_FINAL</w:t>
      </w:r>
      <w:proofErr w:type="spellEnd"/>
      <w:r w:rsidRPr="00EF4FFA">
        <w:t xml:space="preserve"> </w:t>
      </w:r>
      <w:proofErr w:type="spellStart"/>
      <w:r w:rsidRPr="00EF4FFA">
        <w:t>TreeAge</w:t>
      </w:r>
      <w:proofErr w:type="spellEnd"/>
      <w:r w:rsidRPr="00EF4FFA">
        <w:t xml:space="preserve"> model provided with the submission</w:t>
      </w:r>
    </w:p>
    <w:p w:rsidR="00250000" w:rsidRPr="00EF4FFA" w:rsidRDefault="00250000" w:rsidP="00480C61">
      <w:pPr>
        <w:pStyle w:val="TableFigureCaption"/>
        <w:rPr>
          <w:color w:val="3366FF"/>
        </w:rPr>
      </w:pPr>
      <w:r w:rsidRPr="00EF4FFA">
        <w:lastRenderedPageBreak/>
        <w:t xml:space="preserve">Figure </w:t>
      </w:r>
      <w:r w:rsidR="006139AA" w:rsidRPr="00EF4FFA">
        <w:t>6</w:t>
      </w:r>
      <w:r w:rsidRPr="00EF4FFA">
        <w:t xml:space="preserve">: Model trace: acalabrutinib + obinutuzumab versus chlorambucil + obinutuzumab </w:t>
      </w:r>
    </w:p>
    <w:p w:rsidR="00250000" w:rsidRPr="00EF4FFA" w:rsidRDefault="00250000" w:rsidP="00250000">
      <w:pPr>
        <w:rPr>
          <w:color w:val="3366FF"/>
        </w:rPr>
      </w:pPr>
      <w:r w:rsidRPr="00EF4FFA">
        <w:rPr>
          <w:noProof/>
        </w:rPr>
        <w:drawing>
          <wp:inline distT="0" distB="0" distL="0" distR="0" wp14:anchorId="590907EB" wp14:editId="6F7C04B1">
            <wp:extent cx="5343525" cy="3497258"/>
            <wp:effectExtent l="0" t="0" r="0" b="8255"/>
            <wp:docPr id="40" name="Picture 40" title="Figure 6: Model trace: acalabrutinib + obinutuzumab versus chlorambucil + obinutuzum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8821" cy="3533448"/>
                    </a:xfrm>
                    <a:prstGeom prst="rect">
                      <a:avLst/>
                    </a:prstGeom>
                    <a:noFill/>
                    <a:ln>
                      <a:noFill/>
                    </a:ln>
                  </pic:spPr>
                </pic:pic>
              </a:graphicData>
            </a:graphic>
          </wp:inline>
        </w:drawing>
      </w:r>
    </w:p>
    <w:p w:rsidR="00621392" w:rsidRPr="00EF4FFA" w:rsidRDefault="00621392" w:rsidP="00480C61">
      <w:pPr>
        <w:pStyle w:val="TableFigureFooter"/>
      </w:pPr>
      <w:r w:rsidRPr="00EF4FFA">
        <w:t xml:space="preserve">ACAL = acalabrutinib; BSC = best supportive care; CHL = chlorambucil; OBI = obinutuzumab; PF = progression free; </w:t>
      </w:r>
      <w:proofErr w:type="spellStart"/>
      <w:proofErr w:type="gramStart"/>
      <w:r w:rsidRPr="00EF4FFA">
        <w:t>tx</w:t>
      </w:r>
      <w:proofErr w:type="spellEnd"/>
      <w:proofErr w:type="gramEnd"/>
      <w:r w:rsidRPr="00EF4FFA">
        <w:t xml:space="preserve"> = treatment; 1L = first-line; 2L = second-line </w:t>
      </w:r>
    </w:p>
    <w:p w:rsidR="00250000" w:rsidRPr="00EF4FFA" w:rsidRDefault="00250000" w:rsidP="00480C61">
      <w:pPr>
        <w:pStyle w:val="TableFigureFooter"/>
      </w:pPr>
      <w:r w:rsidRPr="00EF4FFA">
        <w:t>Source: Constructed during the evaluation using the Acalabrutinib (CALQUENCE</w:t>
      </w:r>
      <w:proofErr w:type="gramStart"/>
      <w:r w:rsidRPr="00EF4FFA">
        <w:t>)_</w:t>
      </w:r>
      <w:proofErr w:type="gramEnd"/>
      <w:r w:rsidRPr="00EF4FFA">
        <w:t xml:space="preserve">1L CLL_PBAC CE </w:t>
      </w:r>
      <w:proofErr w:type="spellStart"/>
      <w:r w:rsidRPr="00EF4FFA">
        <w:t>Model_FINAL</w:t>
      </w:r>
      <w:proofErr w:type="spellEnd"/>
      <w:r w:rsidRPr="00EF4FFA">
        <w:t xml:space="preserve"> </w:t>
      </w:r>
      <w:proofErr w:type="spellStart"/>
      <w:r w:rsidRPr="00EF4FFA">
        <w:t>TreeAge</w:t>
      </w:r>
      <w:proofErr w:type="spellEnd"/>
      <w:r w:rsidRPr="00EF4FFA">
        <w:t xml:space="preserve"> model provided with the submission</w:t>
      </w:r>
    </w:p>
    <w:p w:rsidR="007A7780" w:rsidRPr="00EF4FFA" w:rsidRDefault="00786A6E" w:rsidP="00D02617">
      <w:pPr>
        <w:pStyle w:val="ExecSumBodyText"/>
      </w:pPr>
      <w:r>
        <w:t>6.68</w:t>
      </w:r>
      <w:r>
        <w:tab/>
      </w:r>
      <w:r w:rsidR="00AB169B" w:rsidRPr="00EF4FFA">
        <w:t xml:space="preserve">The results of the modelled economic evaluation </w:t>
      </w:r>
      <w:r w:rsidR="00152F8E" w:rsidRPr="00EF4FFA">
        <w:t xml:space="preserve">using </w:t>
      </w:r>
      <w:r w:rsidR="005F4590" w:rsidRPr="00EF4FFA">
        <w:t xml:space="preserve">assumed </w:t>
      </w:r>
      <w:r w:rsidR="00EC118A" w:rsidRPr="00EF4FFA">
        <w:t>effective</w:t>
      </w:r>
      <w:r w:rsidR="00152F8E" w:rsidRPr="00EF4FFA">
        <w:t xml:space="preserve"> prices for obinutuzumab, ibrutinib, venetoclax and idelalisib </w:t>
      </w:r>
      <w:r w:rsidR="00AB169B" w:rsidRPr="00EF4FFA">
        <w:t xml:space="preserve">are summarised in </w:t>
      </w:r>
      <w:r w:rsidR="00152F8E" w:rsidRPr="00EF4FFA">
        <w:t>T</w:t>
      </w:r>
      <w:r w:rsidR="00AB169B" w:rsidRPr="00EF4FFA">
        <w:t>able</w:t>
      </w:r>
      <w:r w:rsidR="00152F8E" w:rsidRPr="00EF4FFA">
        <w:t xml:space="preserve"> 1</w:t>
      </w:r>
      <w:r w:rsidR="00A56E51" w:rsidRPr="00EF4FFA">
        <w:t>2</w:t>
      </w:r>
      <w:r w:rsidR="00AB169B" w:rsidRPr="00EF4FFA">
        <w:t>.</w:t>
      </w:r>
      <w:r w:rsidR="00152F8E" w:rsidRPr="00EF4FFA">
        <w:t xml:space="preserve"> </w:t>
      </w:r>
    </w:p>
    <w:p w:rsidR="00ED39BC" w:rsidRPr="00EF4FFA" w:rsidRDefault="00ED39BC" w:rsidP="00480C61">
      <w:pPr>
        <w:pStyle w:val="TableFigureCaption"/>
      </w:pPr>
      <w:r w:rsidRPr="00EF4FFA">
        <w:t xml:space="preserve">Table 12: Results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75"/>
        <w:gridCol w:w="2263"/>
        <w:gridCol w:w="2404"/>
        <w:gridCol w:w="2375"/>
      </w:tblGrid>
      <w:tr w:rsidR="00ED39BC" w:rsidRPr="00EF4FFA" w:rsidTr="00480C61">
        <w:trPr>
          <w:tblHeader/>
        </w:trPr>
        <w:tc>
          <w:tcPr>
            <w:tcW w:w="109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rPr>
                <w:szCs w:val="20"/>
              </w:rPr>
            </w:pPr>
            <w:r w:rsidRPr="00EF4FFA">
              <w:rPr>
                <w:b/>
                <w:szCs w:val="20"/>
              </w:rPr>
              <w:t>Component</w:t>
            </w:r>
          </w:p>
        </w:tc>
        <w:tc>
          <w:tcPr>
            <w:tcW w:w="125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zCs w:val="20"/>
              </w:rPr>
            </w:pPr>
            <w:r w:rsidRPr="00EF4FFA">
              <w:rPr>
                <w:b/>
                <w:szCs w:val="20"/>
              </w:rPr>
              <w:t>ACAL mono</w:t>
            </w:r>
          </w:p>
        </w:tc>
        <w:tc>
          <w:tcPr>
            <w:tcW w:w="1333"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zCs w:val="20"/>
              </w:rPr>
            </w:pPr>
            <w:r w:rsidRPr="00EF4FFA">
              <w:rPr>
                <w:b/>
                <w:szCs w:val="20"/>
              </w:rPr>
              <w:t>CHL + OBI</w:t>
            </w:r>
          </w:p>
        </w:tc>
        <w:tc>
          <w:tcPr>
            <w:tcW w:w="1317"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zCs w:val="20"/>
              </w:rPr>
            </w:pPr>
            <w:r w:rsidRPr="00EF4FFA">
              <w:rPr>
                <w:b/>
                <w:szCs w:val="20"/>
              </w:rPr>
              <w:t>Increment</w:t>
            </w:r>
          </w:p>
        </w:tc>
      </w:tr>
      <w:tr w:rsidR="00ED39BC" w:rsidRPr="00EF4FFA" w:rsidTr="00480C61">
        <w:tc>
          <w:tcPr>
            <w:tcW w:w="109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rPr>
                <w:szCs w:val="20"/>
                <w:vertAlign w:val="superscript"/>
              </w:rPr>
            </w:pPr>
            <w:proofErr w:type="spellStart"/>
            <w:r w:rsidRPr="00EF4FFA">
              <w:rPr>
                <w:szCs w:val="20"/>
              </w:rPr>
              <w:t>Costs</w:t>
            </w:r>
            <w:r w:rsidRPr="00EF4FFA">
              <w:rPr>
                <w:szCs w:val="20"/>
                <w:vertAlign w:val="superscript"/>
              </w:rPr>
              <w:t>a</w:t>
            </w:r>
            <w:proofErr w:type="spellEnd"/>
          </w:p>
        </w:tc>
        <w:tc>
          <w:tcPr>
            <w:tcW w:w="1255" w:type="pct"/>
            <w:tcBorders>
              <w:top w:val="single" w:sz="4" w:space="0" w:color="auto"/>
              <w:left w:val="single" w:sz="4" w:space="0" w:color="D9D9D9"/>
              <w:bottom w:val="single" w:sz="4" w:space="0" w:color="auto"/>
              <w:right w:val="single" w:sz="4" w:space="0" w:color="auto"/>
            </w:tcBorders>
            <w:shd w:val="clear" w:color="auto" w:fill="FFFFFF"/>
            <w:vAlign w:val="center"/>
            <w:hideMark/>
          </w:tcPr>
          <w:p w:rsidR="00ED39BC" w:rsidRPr="00EF4FFA" w:rsidRDefault="00ED39BC" w:rsidP="00C90535">
            <w:pPr>
              <w:pStyle w:val="Tabletext0"/>
              <w:jc w:val="center"/>
              <w:rPr>
                <w:szCs w:val="20"/>
              </w:rPr>
            </w:pPr>
            <w:r w:rsidRPr="00EF4FFA">
              <w:t>$</w:t>
            </w:r>
            <w:r w:rsidR="00BF3740">
              <w:rPr>
                <w:noProof/>
                <w:color w:val="000000"/>
                <w:highlight w:val="black"/>
              </w:rPr>
              <w:t>'''''''''''''''''''</w:t>
            </w:r>
          </w:p>
        </w:tc>
        <w:tc>
          <w:tcPr>
            <w:tcW w:w="13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D39BC" w:rsidRPr="00EF4FFA" w:rsidRDefault="00ED39BC" w:rsidP="00C90535">
            <w:pPr>
              <w:pStyle w:val="Tabletext0"/>
              <w:jc w:val="center"/>
              <w:rPr>
                <w:szCs w:val="20"/>
              </w:rPr>
            </w:pPr>
            <w:r w:rsidRPr="00EF4FFA">
              <w:rPr>
                <w:szCs w:val="20"/>
              </w:rPr>
              <w:t>$</w:t>
            </w:r>
            <w:r w:rsidR="00BF3740">
              <w:rPr>
                <w:noProof/>
                <w:color w:val="000000"/>
                <w:szCs w:val="20"/>
                <w:highlight w:val="black"/>
              </w:rPr>
              <w:t>'''''''''''''''''''''</w:t>
            </w:r>
          </w:p>
        </w:tc>
        <w:tc>
          <w:tcPr>
            <w:tcW w:w="13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D39BC" w:rsidRPr="00EF4FFA" w:rsidRDefault="00ED39BC" w:rsidP="00C90535">
            <w:pPr>
              <w:pStyle w:val="Tabletext0"/>
              <w:jc w:val="center"/>
              <w:rPr>
                <w:szCs w:val="20"/>
              </w:rPr>
            </w:pPr>
            <w:r w:rsidRPr="00EF4FFA">
              <w:t>$</w:t>
            </w:r>
            <w:r w:rsidR="00BF3740">
              <w:rPr>
                <w:noProof/>
                <w:color w:val="000000"/>
                <w:highlight w:val="black"/>
              </w:rPr>
              <w:t>''''''''''''''''''''</w:t>
            </w:r>
          </w:p>
        </w:tc>
      </w:tr>
      <w:tr w:rsidR="00ED39BC" w:rsidRPr="00EF4FFA" w:rsidTr="00480C61">
        <w:tc>
          <w:tcPr>
            <w:tcW w:w="109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rPr>
                <w:szCs w:val="20"/>
              </w:rPr>
            </w:pPr>
            <w:r w:rsidRPr="00EF4FFA">
              <w:rPr>
                <w:szCs w:val="20"/>
              </w:rPr>
              <w:t>QALYs</w:t>
            </w:r>
          </w:p>
        </w:tc>
        <w:tc>
          <w:tcPr>
            <w:tcW w:w="1255" w:type="pct"/>
            <w:tcBorders>
              <w:top w:val="single" w:sz="4" w:space="0" w:color="auto"/>
              <w:left w:val="single" w:sz="4" w:space="0" w:color="D9D9D9"/>
              <w:bottom w:val="single" w:sz="4" w:space="0" w:color="auto"/>
              <w:right w:val="single" w:sz="4" w:space="0" w:color="auto"/>
            </w:tcBorders>
            <w:shd w:val="clear" w:color="auto" w:fill="FFFFFF"/>
            <w:vAlign w:val="center"/>
            <w:hideMark/>
          </w:tcPr>
          <w:p w:rsidR="00ED39BC" w:rsidRPr="002B31EB" w:rsidRDefault="00ED39BC" w:rsidP="00C90535">
            <w:pPr>
              <w:pStyle w:val="Tabletext0"/>
              <w:jc w:val="center"/>
              <w:rPr>
                <w:szCs w:val="20"/>
              </w:rPr>
            </w:pPr>
            <w:r w:rsidRPr="002B31EB">
              <w:rPr>
                <w:szCs w:val="20"/>
              </w:rPr>
              <w:t>6.84</w:t>
            </w:r>
          </w:p>
        </w:tc>
        <w:tc>
          <w:tcPr>
            <w:tcW w:w="13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D39BC" w:rsidRPr="002B31EB" w:rsidRDefault="00ED39BC" w:rsidP="00C90535">
            <w:pPr>
              <w:pStyle w:val="Tabletext0"/>
              <w:jc w:val="center"/>
              <w:rPr>
                <w:szCs w:val="20"/>
              </w:rPr>
            </w:pPr>
            <w:r w:rsidRPr="002B31EB">
              <w:rPr>
                <w:szCs w:val="20"/>
              </w:rPr>
              <w:t>4.59</w:t>
            </w:r>
          </w:p>
        </w:tc>
        <w:tc>
          <w:tcPr>
            <w:tcW w:w="13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D39BC" w:rsidRPr="00EF4FFA" w:rsidRDefault="00ED39BC" w:rsidP="00C90535">
            <w:pPr>
              <w:pStyle w:val="Tabletext0"/>
              <w:jc w:val="center"/>
              <w:rPr>
                <w:szCs w:val="20"/>
              </w:rPr>
            </w:pPr>
            <w:r w:rsidRPr="00EF4FFA">
              <w:rPr>
                <w:szCs w:val="20"/>
              </w:rPr>
              <w:t>2.25</w:t>
            </w:r>
          </w:p>
        </w:tc>
      </w:tr>
      <w:tr w:rsidR="00ED39BC" w:rsidRPr="00EF4FFA" w:rsidTr="00480C61">
        <w:tc>
          <w:tcPr>
            <w:tcW w:w="3683" w:type="pct"/>
            <w:gridSpan w:val="3"/>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right"/>
              <w:rPr>
                <w:b/>
                <w:szCs w:val="20"/>
              </w:rPr>
            </w:pPr>
            <w:r w:rsidRPr="00EF4FFA">
              <w:rPr>
                <w:b/>
                <w:szCs w:val="20"/>
              </w:rPr>
              <w:t>Incremental cost per QALY gained</w:t>
            </w:r>
          </w:p>
        </w:tc>
        <w:tc>
          <w:tcPr>
            <w:tcW w:w="1317"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napToGrid/>
                <w:szCs w:val="20"/>
              </w:rPr>
            </w:pPr>
            <w:r w:rsidRPr="00EF4FFA">
              <w:rPr>
                <w:b/>
                <w:szCs w:val="20"/>
              </w:rPr>
              <w:t>$</w:t>
            </w:r>
            <w:r w:rsidR="00BF3740">
              <w:rPr>
                <w:b/>
                <w:noProof/>
                <w:color w:val="000000"/>
                <w:szCs w:val="20"/>
                <w:highlight w:val="black"/>
              </w:rPr>
              <w:t>''''''''''''''</w:t>
            </w:r>
          </w:p>
        </w:tc>
      </w:tr>
      <w:tr w:rsidR="00ED39BC" w:rsidRPr="00EF4FFA" w:rsidTr="00480C61">
        <w:trPr>
          <w:tblHeader/>
        </w:trPr>
        <w:tc>
          <w:tcPr>
            <w:tcW w:w="109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rPr>
                <w:b/>
                <w:szCs w:val="20"/>
              </w:rPr>
            </w:pPr>
            <w:r w:rsidRPr="00EF4FFA">
              <w:rPr>
                <w:b/>
                <w:szCs w:val="20"/>
              </w:rPr>
              <w:t>Component</w:t>
            </w:r>
          </w:p>
        </w:tc>
        <w:tc>
          <w:tcPr>
            <w:tcW w:w="125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zCs w:val="20"/>
              </w:rPr>
            </w:pPr>
            <w:r w:rsidRPr="00EF4FFA">
              <w:rPr>
                <w:b/>
                <w:szCs w:val="20"/>
              </w:rPr>
              <w:t>ACAL + OBI</w:t>
            </w:r>
          </w:p>
        </w:tc>
        <w:tc>
          <w:tcPr>
            <w:tcW w:w="1333"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zCs w:val="20"/>
              </w:rPr>
            </w:pPr>
            <w:r w:rsidRPr="00EF4FFA">
              <w:rPr>
                <w:b/>
                <w:szCs w:val="20"/>
              </w:rPr>
              <w:t>CHL + OBI</w:t>
            </w:r>
          </w:p>
        </w:tc>
        <w:tc>
          <w:tcPr>
            <w:tcW w:w="1317"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zCs w:val="20"/>
              </w:rPr>
            </w:pPr>
            <w:r w:rsidRPr="00EF4FFA">
              <w:rPr>
                <w:b/>
                <w:szCs w:val="20"/>
              </w:rPr>
              <w:t>Increment</w:t>
            </w:r>
          </w:p>
        </w:tc>
      </w:tr>
      <w:tr w:rsidR="00ED39BC" w:rsidRPr="00EF4FFA" w:rsidTr="00480C61">
        <w:tc>
          <w:tcPr>
            <w:tcW w:w="109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rPr>
                <w:szCs w:val="20"/>
                <w:vertAlign w:val="superscript"/>
              </w:rPr>
            </w:pPr>
            <w:proofErr w:type="spellStart"/>
            <w:r w:rsidRPr="00EF4FFA">
              <w:rPr>
                <w:szCs w:val="20"/>
              </w:rPr>
              <w:t>Costs</w:t>
            </w:r>
            <w:r w:rsidRPr="00EF4FFA">
              <w:rPr>
                <w:szCs w:val="20"/>
                <w:vertAlign w:val="superscript"/>
              </w:rPr>
              <w:t>a</w:t>
            </w:r>
            <w:proofErr w:type="spellEnd"/>
          </w:p>
        </w:tc>
        <w:tc>
          <w:tcPr>
            <w:tcW w:w="1255" w:type="pct"/>
            <w:tcBorders>
              <w:top w:val="single" w:sz="4" w:space="0" w:color="auto"/>
              <w:left w:val="single" w:sz="4" w:space="0" w:color="auto"/>
              <w:bottom w:val="single" w:sz="4" w:space="0" w:color="auto"/>
              <w:right w:val="single" w:sz="4" w:space="0" w:color="auto"/>
            </w:tcBorders>
            <w:hideMark/>
          </w:tcPr>
          <w:p w:rsidR="00ED39BC" w:rsidRPr="00EF4FFA" w:rsidRDefault="00ED39BC" w:rsidP="00C90535">
            <w:pPr>
              <w:pStyle w:val="Tabletext0"/>
              <w:jc w:val="center"/>
              <w:rPr>
                <w:szCs w:val="20"/>
              </w:rPr>
            </w:pPr>
            <w:r w:rsidRPr="00EF4FFA">
              <w:t>$</w:t>
            </w:r>
            <w:r w:rsidR="00BF3740">
              <w:rPr>
                <w:noProof/>
                <w:color w:val="000000"/>
                <w:highlight w:val="black"/>
              </w:rPr>
              <w:t>''''''''''''''''''''</w:t>
            </w:r>
          </w:p>
        </w:tc>
        <w:tc>
          <w:tcPr>
            <w:tcW w:w="1333"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szCs w:val="20"/>
              </w:rPr>
            </w:pPr>
            <w:r w:rsidRPr="00EF4FFA">
              <w:rPr>
                <w:szCs w:val="20"/>
              </w:rPr>
              <w:t>$</w:t>
            </w:r>
            <w:r w:rsidR="00BF3740">
              <w:rPr>
                <w:noProof/>
                <w:color w:val="000000"/>
                <w:szCs w:val="20"/>
                <w:highlight w:val="black"/>
              </w:rPr>
              <w:t>'''''''''''''''''''</w:t>
            </w:r>
          </w:p>
        </w:tc>
        <w:tc>
          <w:tcPr>
            <w:tcW w:w="1317" w:type="pct"/>
            <w:tcBorders>
              <w:top w:val="single" w:sz="4" w:space="0" w:color="auto"/>
              <w:left w:val="single" w:sz="4" w:space="0" w:color="auto"/>
              <w:bottom w:val="single" w:sz="4" w:space="0" w:color="auto"/>
              <w:right w:val="single" w:sz="4" w:space="0" w:color="auto"/>
            </w:tcBorders>
            <w:hideMark/>
          </w:tcPr>
          <w:p w:rsidR="00ED39BC" w:rsidRPr="00EF4FFA" w:rsidRDefault="00ED39BC" w:rsidP="00C90535">
            <w:pPr>
              <w:pStyle w:val="Tabletext0"/>
              <w:jc w:val="center"/>
              <w:rPr>
                <w:szCs w:val="20"/>
              </w:rPr>
            </w:pPr>
            <w:r w:rsidRPr="00EF4FFA">
              <w:t>$</w:t>
            </w:r>
            <w:r w:rsidR="00BF3740">
              <w:rPr>
                <w:noProof/>
                <w:color w:val="000000"/>
                <w:highlight w:val="black"/>
              </w:rPr>
              <w:t>''''''''''''''''''''</w:t>
            </w:r>
          </w:p>
        </w:tc>
      </w:tr>
      <w:tr w:rsidR="00ED39BC" w:rsidRPr="00EF4FFA" w:rsidTr="00480C61">
        <w:tc>
          <w:tcPr>
            <w:tcW w:w="1095"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rPr>
                <w:szCs w:val="20"/>
              </w:rPr>
            </w:pPr>
            <w:r w:rsidRPr="00EF4FFA">
              <w:rPr>
                <w:szCs w:val="20"/>
              </w:rPr>
              <w:t>QALYs</w:t>
            </w:r>
          </w:p>
        </w:tc>
        <w:tc>
          <w:tcPr>
            <w:tcW w:w="1255" w:type="pct"/>
            <w:tcBorders>
              <w:top w:val="single" w:sz="4" w:space="0" w:color="auto"/>
              <w:left w:val="single" w:sz="4" w:space="0" w:color="auto"/>
              <w:bottom w:val="single" w:sz="4" w:space="0" w:color="auto"/>
              <w:right w:val="single" w:sz="4" w:space="0" w:color="auto"/>
            </w:tcBorders>
            <w:hideMark/>
          </w:tcPr>
          <w:p w:rsidR="00ED39BC" w:rsidRPr="002B31EB" w:rsidRDefault="00ED39BC" w:rsidP="00C90535">
            <w:pPr>
              <w:pStyle w:val="Tabletext0"/>
              <w:jc w:val="center"/>
              <w:rPr>
                <w:szCs w:val="20"/>
              </w:rPr>
            </w:pPr>
            <w:r w:rsidRPr="002B31EB">
              <w:rPr>
                <w:szCs w:val="20"/>
              </w:rPr>
              <w:t>7.28</w:t>
            </w:r>
          </w:p>
        </w:tc>
        <w:tc>
          <w:tcPr>
            <w:tcW w:w="1333" w:type="pct"/>
            <w:tcBorders>
              <w:top w:val="single" w:sz="4" w:space="0" w:color="auto"/>
              <w:left w:val="single" w:sz="4" w:space="0" w:color="auto"/>
              <w:bottom w:val="single" w:sz="4" w:space="0" w:color="auto"/>
              <w:right w:val="single" w:sz="4" w:space="0" w:color="auto"/>
            </w:tcBorders>
            <w:vAlign w:val="center"/>
            <w:hideMark/>
          </w:tcPr>
          <w:p w:rsidR="00ED39BC" w:rsidRPr="002B31EB" w:rsidRDefault="00ED39BC" w:rsidP="00C90535">
            <w:pPr>
              <w:pStyle w:val="Tabletext0"/>
              <w:jc w:val="center"/>
              <w:rPr>
                <w:szCs w:val="20"/>
              </w:rPr>
            </w:pPr>
            <w:r w:rsidRPr="002B31EB">
              <w:rPr>
                <w:szCs w:val="20"/>
              </w:rPr>
              <w:t>4.59</w:t>
            </w:r>
          </w:p>
        </w:tc>
        <w:tc>
          <w:tcPr>
            <w:tcW w:w="1317" w:type="pct"/>
            <w:tcBorders>
              <w:top w:val="single" w:sz="4" w:space="0" w:color="auto"/>
              <w:left w:val="single" w:sz="4" w:space="0" w:color="auto"/>
              <w:bottom w:val="single" w:sz="4" w:space="0" w:color="auto"/>
              <w:right w:val="single" w:sz="4" w:space="0" w:color="auto"/>
            </w:tcBorders>
            <w:hideMark/>
          </w:tcPr>
          <w:p w:rsidR="00ED39BC" w:rsidRPr="00EF4FFA" w:rsidRDefault="00ED39BC" w:rsidP="00C90535">
            <w:pPr>
              <w:pStyle w:val="Tabletext0"/>
              <w:jc w:val="center"/>
              <w:rPr>
                <w:szCs w:val="20"/>
              </w:rPr>
            </w:pPr>
            <w:r w:rsidRPr="00EF4FFA">
              <w:rPr>
                <w:szCs w:val="20"/>
              </w:rPr>
              <w:t>2.69</w:t>
            </w:r>
          </w:p>
        </w:tc>
      </w:tr>
      <w:tr w:rsidR="00ED39BC" w:rsidRPr="00EF4FFA" w:rsidTr="00480C61">
        <w:tc>
          <w:tcPr>
            <w:tcW w:w="3683" w:type="pct"/>
            <w:gridSpan w:val="3"/>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right"/>
              <w:rPr>
                <w:b/>
                <w:szCs w:val="20"/>
              </w:rPr>
            </w:pPr>
            <w:r w:rsidRPr="00EF4FFA">
              <w:rPr>
                <w:b/>
                <w:szCs w:val="20"/>
              </w:rPr>
              <w:t>Incremental cost per QALY gained</w:t>
            </w:r>
          </w:p>
        </w:tc>
        <w:tc>
          <w:tcPr>
            <w:tcW w:w="1317" w:type="pct"/>
            <w:tcBorders>
              <w:top w:val="single" w:sz="4" w:space="0" w:color="auto"/>
              <w:left w:val="single" w:sz="4" w:space="0" w:color="auto"/>
              <w:bottom w:val="single" w:sz="4" w:space="0" w:color="auto"/>
              <w:right w:val="single" w:sz="4" w:space="0" w:color="auto"/>
            </w:tcBorders>
            <w:vAlign w:val="center"/>
            <w:hideMark/>
          </w:tcPr>
          <w:p w:rsidR="00ED39BC" w:rsidRPr="00EF4FFA" w:rsidRDefault="00ED39BC" w:rsidP="00C90535">
            <w:pPr>
              <w:pStyle w:val="Tabletext0"/>
              <w:jc w:val="center"/>
              <w:rPr>
                <w:b/>
                <w:snapToGrid/>
                <w:szCs w:val="20"/>
              </w:rPr>
            </w:pPr>
            <w:r w:rsidRPr="00EF4FFA">
              <w:rPr>
                <w:b/>
                <w:szCs w:val="20"/>
              </w:rPr>
              <w:t>$</w:t>
            </w:r>
            <w:r w:rsidR="00BF3740">
              <w:rPr>
                <w:b/>
                <w:noProof/>
                <w:color w:val="000000"/>
                <w:szCs w:val="20"/>
                <w:highlight w:val="black"/>
              </w:rPr>
              <w:t>''''''''''''</w:t>
            </w:r>
          </w:p>
        </w:tc>
      </w:tr>
    </w:tbl>
    <w:p w:rsidR="00621392" w:rsidRPr="00EF4FFA" w:rsidRDefault="00621392" w:rsidP="00480C61">
      <w:pPr>
        <w:pStyle w:val="TableFigureFooter"/>
      </w:pPr>
      <w:r w:rsidRPr="00EF4FFA">
        <w:t>ACAL = acalabrutinib; AEMP = approved ex-manufacturer price; CHL = chlorambucil; DPMQ = dispensed price for maximum quantity; OBI = obinutuzumab; QALY = quality adjusted life year</w:t>
      </w:r>
    </w:p>
    <w:p w:rsidR="00ED39BC" w:rsidRPr="00EF4FFA" w:rsidRDefault="00ED39BC" w:rsidP="00480C61">
      <w:pPr>
        <w:pStyle w:val="TableFigureFooter"/>
      </w:pPr>
      <w:r w:rsidRPr="00EF4FFA">
        <w:t>Source: Table 3.36 (p 156) of the submission</w:t>
      </w:r>
    </w:p>
    <w:p w:rsidR="00ED39BC" w:rsidRPr="00EF4FFA" w:rsidRDefault="00ED39BC" w:rsidP="00480C61">
      <w:pPr>
        <w:pStyle w:val="TableFigureFooter"/>
      </w:pPr>
      <w:proofErr w:type="spellStart"/>
      <w:proofErr w:type="gramStart"/>
      <w:r w:rsidRPr="00EF4FFA">
        <w:rPr>
          <w:vertAlign w:val="superscript"/>
        </w:rPr>
        <w:t>a</w:t>
      </w:r>
      <w:proofErr w:type="spellEnd"/>
      <w:proofErr w:type="gramEnd"/>
      <w:r w:rsidRPr="00EF4FFA">
        <w:t xml:space="preserve"> Includes correction of acalabrutinib drug cost from effective AEMP to effective DPMQ</w:t>
      </w:r>
    </w:p>
    <w:p w:rsidR="00ED39BC" w:rsidRPr="00EF4FFA" w:rsidRDefault="00786A6E" w:rsidP="00ED39BC">
      <w:pPr>
        <w:pStyle w:val="ExecSumBodyText"/>
      </w:pPr>
      <w:r>
        <w:t>6.69</w:t>
      </w:r>
      <w:r>
        <w:tab/>
      </w:r>
      <w:r w:rsidR="00ED39BC" w:rsidRPr="00EF4FFA">
        <w:t>Based on the economic model:</w:t>
      </w:r>
    </w:p>
    <w:p w:rsidR="00ED39BC" w:rsidRPr="00EF4FFA" w:rsidRDefault="00ED39BC" w:rsidP="0093038C">
      <w:pPr>
        <w:pStyle w:val="ExecSumBodyText"/>
        <w:numPr>
          <w:ilvl w:val="0"/>
          <w:numId w:val="14"/>
        </w:numPr>
        <w:snapToGrid w:val="0"/>
        <w:ind w:left="1077" w:hanging="357"/>
      </w:pPr>
      <w:proofErr w:type="gramStart"/>
      <w:r w:rsidRPr="00EF4FFA">
        <w:t>treatment</w:t>
      </w:r>
      <w:proofErr w:type="gramEnd"/>
      <w:r w:rsidRPr="00EF4FFA">
        <w:t xml:space="preserve"> with acalabrutinib monotherapy was associated with a cost per QALY gained of </w:t>
      </w:r>
      <w:r w:rsidR="00C46422">
        <w:t>$45,000 to &lt; $55,000/QALY</w:t>
      </w:r>
      <w:r w:rsidRPr="00EF4FFA">
        <w:t xml:space="preserve"> compared to chlorambucil with obinutuzumab combination therapy. </w:t>
      </w:r>
    </w:p>
    <w:p w:rsidR="00ED39BC" w:rsidRPr="00EF4FFA" w:rsidRDefault="00ED39BC" w:rsidP="0093038C">
      <w:pPr>
        <w:pStyle w:val="ExecSumBodyText"/>
        <w:numPr>
          <w:ilvl w:val="0"/>
          <w:numId w:val="14"/>
        </w:numPr>
        <w:snapToGrid w:val="0"/>
        <w:ind w:left="1077" w:hanging="357"/>
      </w:pPr>
      <w:proofErr w:type="gramStart"/>
      <w:r w:rsidRPr="00EF4FFA">
        <w:lastRenderedPageBreak/>
        <w:t>treatment</w:t>
      </w:r>
      <w:proofErr w:type="gramEnd"/>
      <w:r w:rsidRPr="00EF4FFA">
        <w:t xml:space="preserve"> with acalabrutinib and obinutuzumab combination therapy was associated with a cost per QALY gained of </w:t>
      </w:r>
      <w:r w:rsidR="00C46422">
        <w:t>$55,000 to &lt; $75,000/QALY</w:t>
      </w:r>
      <w:r w:rsidRPr="00EF4FFA">
        <w:t xml:space="preserve"> compared to chlorambucil with obinutuzumab combination therapy.</w:t>
      </w:r>
    </w:p>
    <w:p w:rsidR="00AB169B" w:rsidRPr="00EF4FFA" w:rsidRDefault="00786A6E" w:rsidP="00AB169B">
      <w:pPr>
        <w:pStyle w:val="ExecSumBodyText"/>
      </w:pPr>
      <w:r>
        <w:t>6.70</w:t>
      </w:r>
      <w:r>
        <w:tab/>
      </w:r>
      <w:r w:rsidR="00ED39BC" w:rsidRPr="00EF4FFA">
        <w:t xml:space="preserve">The results of key univariate sensitivity analyses are summarised in </w:t>
      </w:r>
      <w:r w:rsidR="000E7305" w:rsidRPr="00EF4FFA">
        <w:t>Table 13</w:t>
      </w:r>
      <w:r w:rsidR="00ED39BC" w:rsidRPr="00EF4FFA">
        <w:t xml:space="preserve">. </w:t>
      </w:r>
    </w:p>
    <w:p w:rsidR="00122DDB" w:rsidRPr="00EF4FFA" w:rsidRDefault="00786A6E" w:rsidP="00122DDB">
      <w:pPr>
        <w:pStyle w:val="ExecSumBodyText"/>
      </w:pPr>
      <w:r>
        <w:t>6.71</w:t>
      </w:r>
      <w:r>
        <w:tab/>
      </w:r>
      <w:r w:rsidR="00122DDB" w:rsidRPr="00EF4FFA">
        <w:t>The PSCR provided a number of alternate sensitivity analyses, including:</w:t>
      </w:r>
    </w:p>
    <w:p w:rsidR="00122DDB" w:rsidRPr="00EF4FFA" w:rsidRDefault="00122DDB" w:rsidP="0093038C">
      <w:pPr>
        <w:pStyle w:val="ExecSumBodyText"/>
        <w:numPr>
          <w:ilvl w:val="1"/>
          <w:numId w:val="33"/>
        </w:numPr>
        <w:ind w:left="1077" w:hanging="357"/>
      </w:pPr>
      <w:proofErr w:type="gramStart"/>
      <w:r w:rsidRPr="00EF4FFA">
        <w:t>a</w:t>
      </w:r>
      <w:proofErr w:type="gramEnd"/>
      <w:r w:rsidRPr="00EF4FFA">
        <w:t xml:space="preserve"> scenario (#1) where there was no difference in time to death </w:t>
      </w:r>
      <w:r w:rsidR="004F4B8A" w:rsidRPr="00EF4FFA">
        <w:t xml:space="preserve">in the first-line setting </w:t>
      </w:r>
      <w:r w:rsidRPr="00EF4FFA">
        <w:t>(i.e. time to death curve from acalabrutinib monotherapy was applied to each of the first-line treatment arms)</w:t>
      </w:r>
      <w:r w:rsidR="005C10A0" w:rsidRPr="00EF4FFA">
        <w:t>. The ESC noted that this differed from the analysis conducted during the evaluation which applied the time to death curve from the chlorambucil + obinutuzumab arm to each of the first-line treatments</w:t>
      </w:r>
      <w:r w:rsidRPr="00EF4FFA">
        <w:t>;</w:t>
      </w:r>
    </w:p>
    <w:p w:rsidR="00122DDB" w:rsidRPr="00EF4FFA" w:rsidRDefault="00122DDB" w:rsidP="0093038C">
      <w:pPr>
        <w:pStyle w:val="ExecSumBodyText"/>
        <w:numPr>
          <w:ilvl w:val="1"/>
          <w:numId w:val="33"/>
        </w:numPr>
        <w:ind w:left="1077" w:hanging="357"/>
      </w:pPr>
      <w:proofErr w:type="gramStart"/>
      <w:r w:rsidRPr="00EF4FFA">
        <w:t>a</w:t>
      </w:r>
      <w:proofErr w:type="gramEnd"/>
      <w:r w:rsidRPr="00EF4FFA">
        <w:t xml:space="preserve"> scenario (#2) in which the second-line efficacy of ibrutinib and venetoclax + rituximab were assumed to be equal and based on the ibrutinib arm of the RESONATE tr</w:t>
      </w:r>
      <w:r w:rsidR="00D763B2" w:rsidRPr="00EF4FFA">
        <w:t>i</w:t>
      </w:r>
      <w:r w:rsidRPr="00EF4FFA">
        <w:t>al</w:t>
      </w:r>
      <w:r w:rsidR="0052198E" w:rsidRPr="00EF4FFA">
        <w:t xml:space="preserve">. The ESC noted that although the PSCR analysis assumed equal benefits, the costs of ibrutinib and venetoclax + rituximab in the second were not assumed to be equal. </w:t>
      </w:r>
      <w:r w:rsidR="00BD4AA5" w:rsidRPr="00EF4FFA">
        <w:t xml:space="preserve">The ESC noted that this differed from the analysis conducted during the evaluation in which </w:t>
      </w:r>
      <w:r w:rsidR="00B02C86" w:rsidRPr="00EF4FFA">
        <w:t>ibrutinib and venetoclax + rituximab</w:t>
      </w:r>
      <w:r w:rsidR="00BD4AA5" w:rsidRPr="00EF4FFA">
        <w:t xml:space="preserve"> were assumed to be equal by applying the costs and benefits of venetoclax + rituximab to all second-line patients</w:t>
      </w:r>
      <w:r w:rsidR="00E212B1" w:rsidRPr="00EF4FFA">
        <w:t>. The pre-PBAC response agreed that the costs and efficacy of second-line therapies should be equal</w:t>
      </w:r>
      <w:r w:rsidR="00BD4AA5" w:rsidRPr="00EF4FFA">
        <w:t>; and</w:t>
      </w:r>
      <w:r w:rsidR="00324AE7" w:rsidRPr="00EF4FFA">
        <w:t xml:space="preserve"> </w:t>
      </w:r>
    </w:p>
    <w:p w:rsidR="00122DDB" w:rsidRPr="00EF4FFA" w:rsidRDefault="00D763B2" w:rsidP="0093038C">
      <w:pPr>
        <w:pStyle w:val="ExecSumBodyText"/>
        <w:numPr>
          <w:ilvl w:val="1"/>
          <w:numId w:val="33"/>
        </w:numPr>
        <w:ind w:left="1077" w:hanging="357"/>
      </w:pPr>
      <w:proofErr w:type="gramStart"/>
      <w:r w:rsidRPr="00EF4FFA">
        <w:t>a</w:t>
      </w:r>
      <w:proofErr w:type="gramEnd"/>
      <w:r w:rsidRPr="00EF4FFA">
        <w:t xml:space="preserve"> scenario (#3) in which there was 100% venetoclax + rituximab utilisation in the second-line for acalabrutinib monotherapy and acalabrutinib + obinutuzumab patients.</w:t>
      </w:r>
      <w:r w:rsidR="00BD4AA5" w:rsidRPr="00EF4FFA">
        <w:t xml:space="preserve"> </w:t>
      </w:r>
    </w:p>
    <w:p w:rsidR="00AB169B" w:rsidRPr="00EF4FFA" w:rsidRDefault="00ED39BC" w:rsidP="00480C61">
      <w:pPr>
        <w:pStyle w:val="TableFigureCaption"/>
      </w:pPr>
      <w:r w:rsidRPr="00EF4FFA">
        <w:lastRenderedPageBreak/>
        <w:t>T</w:t>
      </w:r>
      <w:r w:rsidR="00AB169B" w:rsidRPr="00EF4FFA">
        <w:t>able 1</w:t>
      </w:r>
      <w:r w:rsidR="00B43A95" w:rsidRPr="00EF4FFA">
        <w:t>3</w:t>
      </w:r>
      <w:r w:rsidR="00AB169B" w:rsidRPr="00EF4FFA">
        <w:t>:</w:t>
      </w:r>
      <w:r w:rsidR="00E25798">
        <w:t xml:space="preserve"> </w:t>
      </w:r>
      <w:r w:rsidR="00AB169B" w:rsidRPr="00EF4FFA">
        <w:t>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715"/>
        <w:gridCol w:w="932"/>
        <w:gridCol w:w="972"/>
        <w:gridCol w:w="772"/>
        <w:gridCol w:w="866"/>
        <w:gridCol w:w="957"/>
        <w:gridCol w:w="803"/>
      </w:tblGrid>
      <w:tr w:rsidR="00AB169B" w:rsidRPr="00EF4FFA" w:rsidTr="00480C61">
        <w:trPr>
          <w:tblHeader/>
        </w:trPr>
        <w:tc>
          <w:tcPr>
            <w:tcW w:w="2061" w:type="pct"/>
            <w:vMerge w:val="restar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tabs>
                <w:tab w:val="left" w:pos="142"/>
              </w:tabs>
              <w:spacing w:line="254" w:lineRule="auto"/>
              <w:rPr>
                <w:b/>
                <w:szCs w:val="20"/>
              </w:rPr>
            </w:pPr>
            <w:r w:rsidRPr="00480C61">
              <w:rPr>
                <w:b/>
                <w:szCs w:val="20"/>
              </w:rPr>
              <w:t>Analyses</w:t>
            </w:r>
          </w:p>
        </w:tc>
        <w:tc>
          <w:tcPr>
            <w:tcW w:w="1484" w:type="pct"/>
            <w:gridSpan w:val="3"/>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b/>
                <w:szCs w:val="20"/>
              </w:rPr>
            </w:pPr>
            <w:r w:rsidRPr="00480C61">
              <w:rPr>
                <w:b/>
                <w:szCs w:val="20"/>
              </w:rPr>
              <w:t>ACAL versus CHL+OBI</w:t>
            </w:r>
          </w:p>
        </w:tc>
        <w:tc>
          <w:tcPr>
            <w:tcW w:w="1454" w:type="pct"/>
            <w:gridSpan w:val="3"/>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b/>
                <w:szCs w:val="20"/>
              </w:rPr>
            </w:pPr>
            <w:r w:rsidRPr="00480C61">
              <w:rPr>
                <w:b/>
                <w:szCs w:val="20"/>
              </w:rPr>
              <w:t>ACAL+OBI</w:t>
            </w:r>
            <w:r w:rsidR="00E25798">
              <w:rPr>
                <w:b/>
                <w:szCs w:val="20"/>
              </w:rPr>
              <w:t xml:space="preserve"> </w:t>
            </w:r>
            <w:r w:rsidRPr="00480C61">
              <w:rPr>
                <w:b/>
                <w:szCs w:val="20"/>
              </w:rPr>
              <w:t>versus CHL+OBI</w:t>
            </w:r>
          </w:p>
        </w:tc>
      </w:tr>
      <w:tr w:rsidR="00AB169B" w:rsidRPr="00EF4FFA" w:rsidTr="00480C61">
        <w:trPr>
          <w:tblHeader/>
        </w:trPr>
        <w:tc>
          <w:tcPr>
            <w:tcW w:w="2061" w:type="pct"/>
            <w:vMerge/>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keepNext/>
              <w:jc w:val="left"/>
              <w:rPr>
                <w:rFonts w:ascii="Arial Narrow" w:hAnsi="Arial Narrow" w:cs="Times New Roman"/>
                <w:b/>
                <w:sz w:val="20"/>
                <w:szCs w:val="20"/>
                <w:lang w:eastAsia="en-US"/>
              </w:rPr>
            </w:pP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b/>
                <w:szCs w:val="20"/>
              </w:rPr>
            </w:pPr>
            <w:proofErr w:type="spellStart"/>
            <w:r w:rsidRPr="00480C61">
              <w:rPr>
                <w:b/>
                <w:szCs w:val="20"/>
              </w:rPr>
              <w:t>Incr</w:t>
            </w:r>
            <w:proofErr w:type="spellEnd"/>
            <w:r w:rsidRPr="00480C61">
              <w:rPr>
                <w:b/>
                <w:szCs w:val="20"/>
              </w:rPr>
              <w:t xml:space="preserve"> cost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b/>
                <w:szCs w:val="20"/>
              </w:rPr>
            </w:pPr>
            <w:proofErr w:type="spellStart"/>
            <w:r w:rsidRPr="00480C61">
              <w:rPr>
                <w:b/>
                <w:szCs w:val="20"/>
              </w:rPr>
              <w:t>Incr</w:t>
            </w:r>
            <w:proofErr w:type="spellEnd"/>
            <w:r w:rsidRPr="00480C61">
              <w:rPr>
                <w:b/>
                <w:szCs w:val="20"/>
              </w:rPr>
              <w:t xml:space="preserve"> QALY</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b/>
                <w:szCs w:val="20"/>
              </w:rPr>
            </w:pPr>
            <w:r w:rsidRPr="00480C61">
              <w:rPr>
                <w:b/>
                <w:szCs w:val="20"/>
              </w:rPr>
              <w:t>ICER</w:t>
            </w:r>
          </w:p>
        </w:tc>
        <w:tc>
          <w:tcPr>
            <w:tcW w:w="480" w:type="pct"/>
            <w:tcBorders>
              <w:top w:val="single" w:sz="4" w:space="0" w:color="auto"/>
              <w:left w:val="double" w:sz="4" w:space="0" w:color="auto"/>
              <w:bottom w:val="single" w:sz="4" w:space="0" w:color="auto"/>
              <w:right w:val="single" w:sz="4" w:space="0" w:color="auto"/>
            </w:tcBorders>
            <w:tcMar>
              <w:left w:w="28" w:type="dxa"/>
              <w:right w:w="28" w:type="dxa"/>
            </w:tcMar>
            <w:vAlign w:val="center"/>
            <w:hideMark/>
          </w:tcPr>
          <w:p w:rsidR="00AB169B" w:rsidRPr="00480C61" w:rsidRDefault="00AB169B" w:rsidP="00F22FCB">
            <w:pPr>
              <w:pStyle w:val="Tabletext0"/>
              <w:keepNext/>
              <w:spacing w:line="254" w:lineRule="auto"/>
              <w:jc w:val="center"/>
              <w:rPr>
                <w:b/>
                <w:szCs w:val="20"/>
              </w:rPr>
            </w:pPr>
            <w:proofErr w:type="spellStart"/>
            <w:r w:rsidRPr="00480C61">
              <w:rPr>
                <w:b/>
                <w:szCs w:val="20"/>
              </w:rPr>
              <w:t>Incr</w:t>
            </w:r>
            <w:proofErr w:type="spellEnd"/>
            <w:r w:rsidRPr="00480C61">
              <w:rPr>
                <w:b/>
                <w:szCs w:val="20"/>
              </w:rPr>
              <w:t xml:space="preserve"> cost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b/>
                <w:szCs w:val="20"/>
              </w:rPr>
            </w:pPr>
            <w:proofErr w:type="spellStart"/>
            <w:r w:rsidRPr="00480C61">
              <w:rPr>
                <w:b/>
                <w:szCs w:val="20"/>
              </w:rPr>
              <w:t>Incr</w:t>
            </w:r>
            <w:proofErr w:type="spellEnd"/>
            <w:r w:rsidRPr="00480C61">
              <w:rPr>
                <w:b/>
                <w:szCs w:val="20"/>
              </w:rPr>
              <w:t xml:space="preserve"> QALY</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b/>
                <w:szCs w:val="20"/>
              </w:rPr>
            </w:pPr>
            <w:r w:rsidRPr="00480C61">
              <w:rPr>
                <w:b/>
                <w:szCs w:val="20"/>
              </w:rPr>
              <w:t>ICER</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142"/>
              </w:tabs>
              <w:spacing w:line="254" w:lineRule="auto"/>
              <w:rPr>
                <w:b/>
                <w:szCs w:val="20"/>
                <w:vertAlign w:val="superscript"/>
              </w:rPr>
            </w:pPr>
            <w:r w:rsidRPr="00480C61">
              <w:rPr>
                <w:b/>
                <w:szCs w:val="20"/>
              </w:rPr>
              <w:t xml:space="preserve">Base </w:t>
            </w:r>
            <w:proofErr w:type="spellStart"/>
            <w:r w:rsidRPr="00480C61">
              <w:rPr>
                <w:b/>
                <w:szCs w:val="20"/>
              </w:rPr>
              <w:t>case</w:t>
            </w:r>
            <w:r w:rsidRPr="00480C61">
              <w:rPr>
                <w:b/>
                <w:szCs w:val="20"/>
                <w:vertAlign w:val="superscript"/>
              </w:rPr>
              <w:t>a</w:t>
            </w:r>
            <w:proofErr w:type="spellEnd"/>
          </w:p>
        </w:tc>
        <w:tc>
          <w:tcPr>
            <w:tcW w:w="518"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b/>
                <w:szCs w:val="20"/>
              </w:rPr>
            </w:pPr>
            <w:r w:rsidRPr="00480C61">
              <w:rPr>
                <w:szCs w:val="20"/>
              </w:rPr>
              <w:t>2.25</w:t>
            </w:r>
          </w:p>
        </w:tc>
        <w:tc>
          <w:tcPr>
            <w:tcW w:w="427" w:type="pct"/>
            <w:tcBorders>
              <w:top w:val="single" w:sz="4" w:space="0" w:color="auto"/>
              <w:left w:val="single" w:sz="4" w:space="0" w:color="auto"/>
              <w:bottom w:val="single" w:sz="4" w:space="0" w:color="auto"/>
              <w:right w:val="double" w:sz="4" w:space="0" w:color="auto"/>
            </w:tcBorders>
            <w:hideMark/>
          </w:tcPr>
          <w:p w:rsidR="00AB169B" w:rsidRPr="00480C61" w:rsidRDefault="00AB169B" w:rsidP="00F22FCB">
            <w:pPr>
              <w:pStyle w:val="Tabletext0"/>
              <w:keepNext/>
              <w:spacing w:line="254" w:lineRule="auto"/>
              <w:jc w:val="center"/>
              <w:rPr>
                <w:b/>
                <w:szCs w:val="20"/>
              </w:rPr>
            </w:pPr>
            <w:r w:rsidRPr="00480C61">
              <w:rPr>
                <w:b/>
                <w:szCs w:val="20"/>
              </w:rPr>
              <w:t>$</w:t>
            </w:r>
            <w:r w:rsidR="00BF3740">
              <w:rPr>
                <w:b/>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b/>
                <w:szCs w:val="20"/>
              </w:rPr>
            </w:pPr>
            <w:r w:rsidRPr="00480C61">
              <w:rPr>
                <w:b/>
                <w:szCs w:val="20"/>
              </w:rPr>
              <w:t>$</w:t>
            </w:r>
            <w:r w:rsidR="00BF3740">
              <w:rPr>
                <w:b/>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b/>
                <w:szCs w:val="20"/>
              </w:rPr>
            </w:pPr>
            <w:r w:rsidRPr="00480C61">
              <w:rPr>
                <w:b/>
                <w:szCs w:val="20"/>
              </w:rPr>
              <w:t>2.69</w:t>
            </w:r>
          </w:p>
        </w:tc>
        <w:tc>
          <w:tcPr>
            <w:tcW w:w="443"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b/>
                <w:szCs w:val="20"/>
              </w:rPr>
            </w:pPr>
            <w:r w:rsidRPr="00480C61">
              <w:rPr>
                <w:b/>
                <w:szCs w:val="20"/>
              </w:rPr>
              <w:t>$</w:t>
            </w:r>
            <w:r w:rsidR="00BF3740">
              <w:rPr>
                <w:b/>
                <w:noProof/>
                <w:color w:val="000000"/>
                <w:szCs w:val="20"/>
                <w:highlight w:val="black"/>
              </w:rPr>
              <w:t>''''''''''''''</w:t>
            </w:r>
          </w:p>
        </w:tc>
      </w:tr>
      <w:tr w:rsidR="00AB169B" w:rsidRPr="00EF4FFA" w:rsidTr="00480C61">
        <w:tc>
          <w:tcPr>
            <w:tcW w:w="5000" w:type="pct"/>
            <w:gridSpan w:val="7"/>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rPr>
                <w:b/>
                <w:szCs w:val="20"/>
              </w:rPr>
            </w:pPr>
            <w:r w:rsidRPr="00480C61">
              <w:rPr>
                <w:b/>
                <w:szCs w:val="20"/>
              </w:rPr>
              <w:t>Time horizon (base case 20 years)</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ind w:left="142" w:hanging="108"/>
              <w:rPr>
                <w:szCs w:val="20"/>
              </w:rPr>
            </w:pPr>
            <w:r w:rsidRPr="00480C61">
              <w:rPr>
                <w:szCs w:val="20"/>
              </w:rPr>
              <w:t>10 years (130 cycles)</w:t>
            </w:r>
          </w:p>
        </w:tc>
        <w:tc>
          <w:tcPr>
            <w:tcW w:w="518"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1.38</w:t>
            </w:r>
          </w:p>
        </w:tc>
        <w:tc>
          <w:tcPr>
            <w:tcW w:w="427" w:type="pct"/>
            <w:tcBorders>
              <w:top w:val="single" w:sz="4" w:space="0" w:color="auto"/>
              <w:left w:val="single" w:sz="4" w:space="0" w:color="auto"/>
              <w:bottom w:val="single" w:sz="4" w:space="0" w:color="auto"/>
              <w:right w:val="doub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1.60</w:t>
            </w:r>
          </w:p>
        </w:tc>
        <w:tc>
          <w:tcPr>
            <w:tcW w:w="443"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142"/>
              </w:tabs>
              <w:spacing w:line="254" w:lineRule="auto"/>
              <w:ind w:left="142" w:hanging="108"/>
              <w:rPr>
                <w:szCs w:val="20"/>
              </w:rPr>
            </w:pPr>
            <w:r w:rsidRPr="00480C61">
              <w:rPr>
                <w:szCs w:val="20"/>
              </w:rPr>
              <w:t>15 years (196 cycles)</w:t>
            </w:r>
          </w:p>
        </w:tc>
        <w:tc>
          <w:tcPr>
            <w:tcW w:w="518"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1.96</w:t>
            </w:r>
          </w:p>
        </w:tc>
        <w:tc>
          <w:tcPr>
            <w:tcW w:w="427" w:type="pct"/>
            <w:tcBorders>
              <w:top w:val="single" w:sz="4" w:space="0" w:color="auto"/>
              <w:left w:val="single" w:sz="4" w:space="0" w:color="auto"/>
              <w:bottom w:val="single" w:sz="4" w:space="0" w:color="auto"/>
              <w:right w:val="doub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2.30</w:t>
            </w:r>
          </w:p>
        </w:tc>
        <w:tc>
          <w:tcPr>
            <w:tcW w:w="443"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5000" w:type="pct"/>
            <w:gridSpan w:val="7"/>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rPr>
                <w:b/>
                <w:szCs w:val="20"/>
              </w:rPr>
            </w:pPr>
            <w:r w:rsidRPr="00480C61">
              <w:rPr>
                <w:b/>
                <w:szCs w:val="20"/>
              </w:rPr>
              <w:t>First-line survival extrapolations (base case: individual extrapolated curves assumed differences in survival between treatment arms; extrapolation functions based on best AIC/BIC estimate)</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B80E05">
            <w:pPr>
              <w:pStyle w:val="Tabletext0"/>
              <w:keepNext/>
              <w:tabs>
                <w:tab w:val="left" w:pos="37"/>
              </w:tabs>
              <w:spacing w:line="254" w:lineRule="auto"/>
              <w:ind w:left="37"/>
              <w:rPr>
                <w:szCs w:val="20"/>
              </w:rPr>
            </w:pPr>
            <w:r w:rsidRPr="00480C61">
              <w:rPr>
                <w:szCs w:val="20"/>
              </w:rPr>
              <w:t xml:space="preserve">Patients treated with </w:t>
            </w:r>
            <w:r w:rsidR="00B80E05" w:rsidRPr="00480C61">
              <w:rPr>
                <w:szCs w:val="20"/>
              </w:rPr>
              <w:t xml:space="preserve">ACAL/ACAL + OBI </w:t>
            </w:r>
            <w:r w:rsidRPr="00480C61">
              <w:rPr>
                <w:szCs w:val="20"/>
              </w:rPr>
              <w:t xml:space="preserve">experience progression </w:t>
            </w:r>
            <w:r w:rsidR="00BD0FFF" w:rsidRPr="00480C61">
              <w:rPr>
                <w:szCs w:val="20"/>
              </w:rPr>
              <w:t>1</w:t>
            </w:r>
            <w:r w:rsidRPr="00480C61">
              <w:rPr>
                <w:szCs w:val="20"/>
              </w:rPr>
              <w:t xml:space="preserve"> cycle after discontinuation</w:t>
            </w:r>
            <w:r w:rsidR="00BD0FFF" w:rsidRPr="00480C61">
              <w:rPr>
                <w:szCs w:val="20"/>
              </w:rPr>
              <w:t xml:space="preserve"> (base case 9.2/10.6 years)</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1.86</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2.24</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Most pessimistic TTP extrapolation curve for ACAL mono/ACAL</w:t>
            </w:r>
            <w:r w:rsidR="00BD4AA5" w:rsidRPr="00480C61">
              <w:rPr>
                <w:szCs w:val="20"/>
              </w:rPr>
              <w:t xml:space="preserve"> </w:t>
            </w:r>
            <w:r w:rsidRPr="00480C61">
              <w:rPr>
                <w:szCs w:val="20"/>
              </w:rPr>
              <w:t>+</w:t>
            </w:r>
            <w:r w:rsidR="00BD4AA5" w:rsidRPr="00480C61">
              <w:rPr>
                <w:szCs w:val="20"/>
              </w:rPr>
              <w:t xml:space="preserve"> </w:t>
            </w:r>
            <w:r w:rsidRPr="00480C61">
              <w:rPr>
                <w:szCs w:val="20"/>
              </w:rPr>
              <w:t>OBI (Gompertz)</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1.36</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1.29</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Most optimistic TTP extrapolation curve for ACAL mono (lognormal)/ACAL</w:t>
            </w:r>
            <w:r w:rsidR="00B80E05" w:rsidRPr="00480C61">
              <w:rPr>
                <w:szCs w:val="20"/>
              </w:rPr>
              <w:t xml:space="preserve"> </w:t>
            </w:r>
            <w:r w:rsidRPr="00480C61">
              <w:rPr>
                <w:szCs w:val="20"/>
              </w:rPr>
              <w:t>+</w:t>
            </w:r>
            <w:r w:rsidR="00B80E05" w:rsidRPr="00480C61">
              <w:rPr>
                <w:szCs w:val="20"/>
              </w:rPr>
              <w:t xml:space="preserve"> </w:t>
            </w:r>
            <w:r w:rsidRPr="00480C61">
              <w:rPr>
                <w:szCs w:val="20"/>
              </w:rPr>
              <w:t>OBI (generalised gamma)</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2.52</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2.89</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E86946">
            <w:pPr>
              <w:pStyle w:val="Tabletext0"/>
              <w:keepNext/>
              <w:tabs>
                <w:tab w:val="left" w:pos="37"/>
              </w:tabs>
              <w:spacing w:line="254" w:lineRule="auto"/>
              <w:ind w:left="37"/>
              <w:rPr>
                <w:szCs w:val="20"/>
              </w:rPr>
            </w:pPr>
            <w:r w:rsidRPr="00480C61">
              <w:rPr>
                <w:szCs w:val="20"/>
              </w:rPr>
              <w:t xml:space="preserve">No difference in </w:t>
            </w:r>
            <w:r w:rsidR="00BD4AA5" w:rsidRPr="00480C61">
              <w:rPr>
                <w:szCs w:val="20"/>
              </w:rPr>
              <w:t>1</w:t>
            </w:r>
            <w:r w:rsidR="00BD4AA5" w:rsidRPr="00480C61">
              <w:rPr>
                <w:szCs w:val="20"/>
                <w:vertAlign w:val="superscript"/>
              </w:rPr>
              <w:t>st</w:t>
            </w:r>
            <w:r w:rsidR="00BD4AA5" w:rsidRPr="00480C61">
              <w:rPr>
                <w:szCs w:val="20"/>
              </w:rPr>
              <w:t xml:space="preserve">-line survival (CHL + OBI </w:t>
            </w:r>
            <w:r w:rsidRPr="00480C61">
              <w:rPr>
                <w:szCs w:val="20"/>
              </w:rPr>
              <w:t>arm</w:t>
            </w:r>
            <w:r w:rsidR="00BD4AA5" w:rsidRPr="00480C61">
              <w:rPr>
                <w:szCs w:val="20"/>
              </w:rPr>
              <w:t xml:space="preserve"> </w:t>
            </w:r>
            <w:r w:rsidR="00E86946" w:rsidRPr="00480C61">
              <w:rPr>
                <w:szCs w:val="20"/>
              </w:rPr>
              <w:t xml:space="preserve">time to death </w:t>
            </w:r>
            <w:r w:rsidR="00BD4AA5" w:rsidRPr="00480C61">
              <w:rPr>
                <w:szCs w:val="20"/>
              </w:rPr>
              <w:t>used for all treatments</w:t>
            </w:r>
            <w:r w:rsidRPr="00480C61">
              <w:rPr>
                <w:szCs w:val="20"/>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2.04</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2.38</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661D45" w:rsidRPr="00EF4FFA" w:rsidTr="00480C61">
        <w:tc>
          <w:tcPr>
            <w:tcW w:w="2061" w:type="pct"/>
            <w:tcBorders>
              <w:top w:val="single" w:sz="4" w:space="0" w:color="auto"/>
              <w:left w:val="single" w:sz="4" w:space="0" w:color="auto"/>
              <w:bottom w:val="single" w:sz="4" w:space="0" w:color="auto"/>
              <w:right w:val="single" w:sz="4" w:space="0" w:color="auto"/>
            </w:tcBorders>
          </w:tcPr>
          <w:p w:rsidR="00661D45" w:rsidRPr="00480C61" w:rsidRDefault="00661D45" w:rsidP="00E86946">
            <w:pPr>
              <w:pStyle w:val="Tabletext0"/>
              <w:keepNext/>
              <w:tabs>
                <w:tab w:val="left" w:pos="142"/>
              </w:tabs>
              <w:spacing w:line="254" w:lineRule="auto"/>
              <w:rPr>
                <w:szCs w:val="20"/>
              </w:rPr>
            </w:pPr>
            <w:r w:rsidRPr="00480C61">
              <w:rPr>
                <w:szCs w:val="20"/>
              </w:rPr>
              <w:t>PSCR #1</w:t>
            </w:r>
            <w:r w:rsidR="00CE0D2D" w:rsidRPr="00480C61">
              <w:rPr>
                <w:szCs w:val="20"/>
              </w:rPr>
              <w:t>:</w:t>
            </w:r>
            <w:r w:rsidRPr="00480C61">
              <w:rPr>
                <w:szCs w:val="20"/>
              </w:rPr>
              <w:t xml:space="preserve"> No difference in 1</w:t>
            </w:r>
            <w:r w:rsidRPr="00480C61">
              <w:rPr>
                <w:szCs w:val="20"/>
                <w:vertAlign w:val="superscript"/>
              </w:rPr>
              <w:t>st</w:t>
            </w:r>
            <w:r w:rsidRPr="00480C61">
              <w:rPr>
                <w:szCs w:val="20"/>
              </w:rPr>
              <w:t xml:space="preserve">-line survival (ACAL mono </w:t>
            </w:r>
            <w:r w:rsidR="00BD4AA5" w:rsidRPr="00480C61">
              <w:rPr>
                <w:szCs w:val="20"/>
              </w:rPr>
              <w:t xml:space="preserve">arm </w:t>
            </w:r>
            <w:r w:rsidR="00E86946" w:rsidRPr="00480C61">
              <w:rPr>
                <w:szCs w:val="20"/>
              </w:rPr>
              <w:t xml:space="preserve">time to death </w:t>
            </w:r>
            <w:r w:rsidRPr="00480C61">
              <w:rPr>
                <w:szCs w:val="20"/>
              </w:rPr>
              <w:t>used for all treatments)</w:t>
            </w:r>
          </w:p>
        </w:tc>
        <w:tc>
          <w:tcPr>
            <w:tcW w:w="518" w:type="pct"/>
            <w:tcBorders>
              <w:top w:val="single" w:sz="4" w:space="0" w:color="auto"/>
              <w:left w:val="sing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2.12</w:t>
            </w:r>
          </w:p>
        </w:tc>
        <w:tc>
          <w:tcPr>
            <w:tcW w:w="427" w:type="pct"/>
            <w:tcBorders>
              <w:top w:val="single" w:sz="4" w:space="0" w:color="auto"/>
              <w:left w:val="single" w:sz="4" w:space="0" w:color="auto"/>
              <w:bottom w:val="single" w:sz="4" w:space="0" w:color="auto"/>
              <w:right w:val="doub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61D45" w:rsidRPr="00480C61" w:rsidRDefault="00661D45" w:rsidP="00C90535">
            <w:pPr>
              <w:pStyle w:val="Tabletext0"/>
              <w:keepNext/>
              <w:spacing w:line="254" w:lineRule="auto"/>
              <w:jc w:val="center"/>
              <w:rPr>
                <w:b/>
                <w:szCs w:val="20"/>
              </w:rPr>
            </w:pPr>
            <w:r w:rsidRPr="00480C61">
              <w:rPr>
                <w:szCs w:val="20"/>
              </w:rPr>
              <w:t>2.47</w:t>
            </w:r>
          </w:p>
        </w:tc>
        <w:tc>
          <w:tcPr>
            <w:tcW w:w="443" w:type="pct"/>
            <w:tcBorders>
              <w:top w:val="single" w:sz="4" w:space="0" w:color="auto"/>
              <w:left w:val="sing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r>
      <w:tr w:rsidR="00AB169B" w:rsidRPr="00EF4FFA" w:rsidTr="00480C61">
        <w:tc>
          <w:tcPr>
            <w:tcW w:w="5000" w:type="pct"/>
            <w:gridSpan w:val="7"/>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spacing w:line="254" w:lineRule="auto"/>
              <w:rPr>
                <w:b/>
                <w:szCs w:val="20"/>
              </w:rPr>
            </w:pPr>
            <w:r w:rsidRPr="00480C61">
              <w:rPr>
                <w:b/>
                <w:szCs w:val="20"/>
              </w:rPr>
              <w:t>Second-line therapy (base case: acalabrutinib switches to venetoclax with rituximab - 80% or idelalisib with rituximab -</w:t>
            </w:r>
            <w:r w:rsidR="00324AE7" w:rsidRPr="00480C61">
              <w:rPr>
                <w:b/>
                <w:szCs w:val="20"/>
              </w:rPr>
              <w:t xml:space="preserve"> </w:t>
            </w:r>
            <w:r w:rsidRPr="00480C61">
              <w:rPr>
                <w:b/>
                <w:szCs w:val="20"/>
              </w:rPr>
              <w:t>20%; chlorambucil with obinutuzumab switches to ibrutinib)</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Both treatment arms switch to venetoclax with rituximab 80% or idelalisib with rituximab 20%</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1.95</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2.39</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Both treatment arms switch to venetoclax with rituximab 100%</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1.88</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2.30</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Both treatment arms switch to idelalisib with rituximab 100%</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2.06</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2.52</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661D45" w:rsidRPr="00EF4FFA" w:rsidTr="00480C61">
        <w:tc>
          <w:tcPr>
            <w:tcW w:w="2061" w:type="pct"/>
            <w:tcBorders>
              <w:top w:val="single" w:sz="4" w:space="0" w:color="auto"/>
              <w:left w:val="single" w:sz="4" w:space="0" w:color="auto"/>
              <w:bottom w:val="single" w:sz="4" w:space="0" w:color="auto"/>
              <w:right w:val="single" w:sz="4" w:space="0" w:color="auto"/>
            </w:tcBorders>
          </w:tcPr>
          <w:p w:rsidR="00661D45" w:rsidRPr="00480C61" w:rsidRDefault="00661D45" w:rsidP="00C90535">
            <w:pPr>
              <w:pStyle w:val="Tabletext0"/>
              <w:keepNext/>
              <w:tabs>
                <w:tab w:val="left" w:pos="142"/>
              </w:tabs>
              <w:spacing w:line="254" w:lineRule="auto"/>
              <w:rPr>
                <w:szCs w:val="20"/>
              </w:rPr>
            </w:pPr>
            <w:r w:rsidRPr="00480C61">
              <w:rPr>
                <w:szCs w:val="20"/>
              </w:rPr>
              <w:t>PSCR #2</w:t>
            </w:r>
            <w:r w:rsidR="00CE0D2D" w:rsidRPr="00480C61">
              <w:rPr>
                <w:szCs w:val="20"/>
              </w:rPr>
              <w:t>:</w:t>
            </w:r>
            <w:r w:rsidRPr="00480C61">
              <w:rPr>
                <w:szCs w:val="20"/>
              </w:rPr>
              <w:t xml:space="preserve"> 2</w:t>
            </w:r>
            <w:r w:rsidRPr="00480C61">
              <w:rPr>
                <w:szCs w:val="20"/>
                <w:vertAlign w:val="superscript"/>
              </w:rPr>
              <w:t>nd</w:t>
            </w:r>
            <w:r w:rsidRPr="00480C61">
              <w:rPr>
                <w:szCs w:val="20"/>
              </w:rPr>
              <w:t>-line efficacy of ibrutinib and venetoclax + rituximab equal (ibrutinib effectiveness from RESONATE used)</w:t>
            </w:r>
          </w:p>
        </w:tc>
        <w:tc>
          <w:tcPr>
            <w:tcW w:w="518" w:type="pct"/>
            <w:tcBorders>
              <w:top w:val="single" w:sz="4" w:space="0" w:color="auto"/>
              <w:left w:val="sing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2.13</w:t>
            </w:r>
          </w:p>
        </w:tc>
        <w:tc>
          <w:tcPr>
            <w:tcW w:w="427" w:type="pct"/>
            <w:tcBorders>
              <w:top w:val="single" w:sz="4" w:space="0" w:color="auto"/>
              <w:left w:val="single" w:sz="4" w:space="0" w:color="auto"/>
              <w:bottom w:val="single" w:sz="4" w:space="0" w:color="auto"/>
              <w:right w:val="doub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61D45" w:rsidRPr="00480C61" w:rsidRDefault="00661D45" w:rsidP="00C90535">
            <w:pPr>
              <w:pStyle w:val="Tabletext0"/>
              <w:keepNext/>
              <w:spacing w:line="254" w:lineRule="auto"/>
              <w:jc w:val="center"/>
              <w:rPr>
                <w:b/>
                <w:szCs w:val="20"/>
              </w:rPr>
            </w:pPr>
            <w:r w:rsidRPr="00480C61">
              <w:rPr>
                <w:szCs w:val="20"/>
              </w:rPr>
              <w:t>2.60</w:t>
            </w:r>
          </w:p>
        </w:tc>
        <w:tc>
          <w:tcPr>
            <w:tcW w:w="443" w:type="pct"/>
            <w:tcBorders>
              <w:top w:val="single" w:sz="4" w:space="0" w:color="auto"/>
              <w:left w:val="single" w:sz="4" w:space="0" w:color="auto"/>
              <w:bottom w:val="single" w:sz="4" w:space="0" w:color="auto"/>
              <w:right w:val="single" w:sz="4" w:space="0" w:color="auto"/>
            </w:tcBorders>
            <w:vAlign w:val="center"/>
          </w:tcPr>
          <w:p w:rsidR="00661D45" w:rsidRPr="00480C61" w:rsidRDefault="00661D45" w:rsidP="00C90535">
            <w:pPr>
              <w:pStyle w:val="Tabletext0"/>
              <w:keepNext/>
              <w:spacing w:line="254" w:lineRule="auto"/>
              <w:jc w:val="center"/>
              <w:rPr>
                <w:b/>
                <w:szCs w:val="20"/>
              </w:rPr>
            </w:pPr>
            <w:r w:rsidRPr="00480C61">
              <w:rPr>
                <w:szCs w:val="20"/>
              </w:rPr>
              <w:t>$</w:t>
            </w:r>
            <w:r w:rsidR="00BF3740">
              <w:rPr>
                <w:noProof/>
                <w:color w:val="000000"/>
                <w:szCs w:val="20"/>
                <w:highlight w:val="black"/>
              </w:rPr>
              <w:t>'''''''''''''''</w:t>
            </w:r>
          </w:p>
        </w:tc>
      </w:tr>
      <w:tr w:rsidR="00122DDB" w:rsidRPr="00EF4FFA" w:rsidTr="00480C61">
        <w:tc>
          <w:tcPr>
            <w:tcW w:w="2061" w:type="pct"/>
            <w:tcBorders>
              <w:top w:val="single" w:sz="4" w:space="0" w:color="auto"/>
              <w:left w:val="single" w:sz="4" w:space="0" w:color="auto"/>
              <w:bottom w:val="single" w:sz="4" w:space="0" w:color="auto"/>
              <w:right w:val="single" w:sz="4" w:space="0" w:color="auto"/>
            </w:tcBorders>
          </w:tcPr>
          <w:p w:rsidR="00122DDB" w:rsidRPr="00480C61" w:rsidRDefault="00122DDB" w:rsidP="00BD4AA5">
            <w:pPr>
              <w:pStyle w:val="Tabletext0"/>
              <w:keepNext/>
              <w:tabs>
                <w:tab w:val="left" w:pos="142"/>
              </w:tabs>
              <w:spacing w:line="254" w:lineRule="auto"/>
              <w:rPr>
                <w:szCs w:val="20"/>
              </w:rPr>
            </w:pPr>
            <w:r w:rsidRPr="00480C61">
              <w:rPr>
                <w:szCs w:val="20"/>
              </w:rPr>
              <w:t>PSCR #3</w:t>
            </w:r>
            <w:r w:rsidR="00CE0D2D" w:rsidRPr="00480C61">
              <w:rPr>
                <w:szCs w:val="20"/>
              </w:rPr>
              <w:t>:</w:t>
            </w:r>
            <w:r w:rsidRPr="00480C61">
              <w:rPr>
                <w:szCs w:val="20"/>
              </w:rPr>
              <w:t xml:space="preserve"> ACAL arms </w:t>
            </w:r>
            <w:r w:rsidR="00BD4AA5" w:rsidRPr="00480C61">
              <w:rPr>
                <w:szCs w:val="20"/>
              </w:rPr>
              <w:t xml:space="preserve">only </w:t>
            </w:r>
            <w:r w:rsidRPr="00480C61">
              <w:rPr>
                <w:szCs w:val="20"/>
              </w:rPr>
              <w:t>receive 100% venetoclax + rituximab</w:t>
            </w:r>
          </w:p>
        </w:tc>
        <w:tc>
          <w:tcPr>
            <w:tcW w:w="518" w:type="pct"/>
            <w:tcBorders>
              <w:top w:val="single" w:sz="4" w:space="0" w:color="auto"/>
              <w:left w:val="single" w:sz="4" w:space="0" w:color="auto"/>
              <w:bottom w:val="single" w:sz="4" w:space="0" w:color="auto"/>
              <w:right w:val="single" w:sz="4" w:space="0" w:color="auto"/>
            </w:tcBorders>
            <w:vAlign w:val="center"/>
          </w:tcPr>
          <w:p w:rsidR="00122DDB" w:rsidRPr="00480C61" w:rsidRDefault="00122DDB" w:rsidP="00122DD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tcPr>
          <w:p w:rsidR="00122DDB" w:rsidRPr="00480C61" w:rsidRDefault="00122DDB" w:rsidP="00122DDB">
            <w:pPr>
              <w:pStyle w:val="Tabletext0"/>
              <w:keepNext/>
              <w:spacing w:line="254" w:lineRule="auto"/>
              <w:jc w:val="center"/>
              <w:rPr>
                <w:szCs w:val="20"/>
              </w:rPr>
            </w:pPr>
            <w:r w:rsidRPr="00480C61">
              <w:rPr>
                <w:szCs w:val="20"/>
              </w:rPr>
              <w:t>2.32</w:t>
            </w:r>
          </w:p>
        </w:tc>
        <w:tc>
          <w:tcPr>
            <w:tcW w:w="427" w:type="pct"/>
            <w:tcBorders>
              <w:top w:val="single" w:sz="4" w:space="0" w:color="auto"/>
              <w:left w:val="single" w:sz="4" w:space="0" w:color="auto"/>
              <w:bottom w:val="single" w:sz="4" w:space="0" w:color="auto"/>
              <w:right w:val="double" w:sz="4" w:space="0" w:color="auto"/>
            </w:tcBorders>
            <w:vAlign w:val="center"/>
          </w:tcPr>
          <w:p w:rsidR="00122DDB" w:rsidRPr="00480C61" w:rsidRDefault="00122DDB" w:rsidP="00122DD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tcPr>
          <w:p w:rsidR="00122DDB" w:rsidRPr="00480C61" w:rsidRDefault="00122DDB" w:rsidP="00122DD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22DDB" w:rsidRPr="00480C61" w:rsidRDefault="00122DDB" w:rsidP="00122DDB">
            <w:pPr>
              <w:pStyle w:val="Tabletext0"/>
              <w:keepNext/>
              <w:spacing w:line="254" w:lineRule="auto"/>
              <w:jc w:val="center"/>
              <w:rPr>
                <w:szCs w:val="20"/>
              </w:rPr>
            </w:pPr>
            <w:r w:rsidRPr="00480C61">
              <w:rPr>
                <w:szCs w:val="20"/>
              </w:rPr>
              <w:t>2.74</w:t>
            </w:r>
          </w:p>
        </w:tc>
        <w:tc>
          <w:tcPr>
            <w:tcW w:w="443" w:type="pct"/>
            <w:tcBorders>
              <w:top w:val="single" w:sz="4" w:space="0" w:color="auto"/>
              <w:left w:val="single" w:sz="4" w:space="0" w:color="auto"/>
              <w:bottom w:val="single" w:sz="4" w:space="0" w:color="auto"/>
              <w:right w:val="single" w:sz="4" w:space="0" w:color="auto"/>
            </w:tcBorders>
            <w:vAlign w:val="center"/>
          </w:tcPr>
          <w:p w:rsidR="00122DDB" w:rsidRPr="00480C61" w:rsidRDefault="00122DDB" w:rsidP="00122DD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5000" w:type="pct"/>
            <w:gridSpan w:val="7"/>
            <w:tcBorders>
              <w:top w:val="single" w:sz="4" w:space="0" w:color="auto"/>
              <w:left w:val="single" w:sz="4" w:space="0" w:color="auto"/>
              <w:bottom w:val="single" w:sz="4" w:space="0" w:color="auto"/>
              <w:right w:val="single" w:sz="4" w:space="0" w:color="auto"/>
            </w:tcBorders>
            <w:hideMark/>
          </w:tcPr>
          <w:p w:rsidR="00AB169B" w:rsidRPr="00480C61" w:rsidRDefault="00AB169B" w:rsidP="008E3636">
            <w:pPr>
              <w:pStyle w:val="Tabletext0"/>
              <w:keepNext/>
              <w:tabs>
                <w:tab w:val="left" w:pos="37"/>
              </w:tabs>
              <w:spacing w:line="254" w:lineRule="auto"/>
              <w:ind w:left="37"/>
              <w:rPr>
                <w:b/>
                <w:szCs w:val="20"/>
              </w:rPr>
            </w:pPr>
            <w:r w:rsidRPr="00480C61">
              <w:rPr>
                <w:b/>
                <w:szCs w:val="20"/>
              </w:rPr>
              <w:t>Utilities (base case: progression</w:t>
            </w:r>
            <w:r w:rsidR="008E3636" w:rsidRPr="00480C61">
              <w:rPr>
                <w:b/>
                <w:szCs w:val="20"/>
              </w:rPr>
              <w:t xml:space="preserve"> </w:t>
            </w:r>
            <w:r w:rsidRPr="00480C61">
              <w:rPr>
                <w:b/>
                <w:szCs w:val="20"/>
              </w:rPr>
              <w:t>free utility based on ELEVATE-TN, progression and subsequent line therapy based on Kosmas 2015)</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Utility values re-anchored to IV initial therapy state from Kosmas 2015</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1.89</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2.22</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Utility values re-anchored to oral initial therapy state from Kosmas 2015</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1.99</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2.35</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r w:rsidR="00AB169B" w:rsidRPr="00EF4FFA" w:rsidTr="00480C61">
        <w:tc>
          <w:tcPr>
            <w:tcW w:w="5000" w:type="pct"/>
            <w:gridSpan w:val="7"/>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b/>
                <w:szCs w:val="20"/>
              </w:rPr>
            </w:pPr>
            <w:r w:rsidRPr="00480C61">
              <w:rPr>
                <w:b/>
                <w:szCs w:val="20"/>
              </w:rPr>
              <w:t>Treatment Costs (base case: acalabrutinib – effective DPMQ with 116 cycle cap)</w:t>
            </w:r>
          </w:p>
        </w:tc>
      </w:tr>
      <w:tr w:rsidR="00AB169B" w:rsidRPr="00EF4FFA" w:rsidTr="00480C61">
        <w:tc>
          <w:tcPr>
            <w:tcW w:w="2061" w:type="pct"/>
            <w:tcBorders>
              <w:top w:val="single" w:sz="4" w:space="0" w:color="auto"/>
              <w:left w:val="single" w:sz="4" w:space="0" w:color="auto"/>
              <w:bottom w:val="single" w:sz="4" w:space="0" w:color="auto"/>
              <w:right w:val="single" w:sz="4" w:space="0" w:color="auto"/>
            </w:tcBorders>
            <w:hideMark/>
          </w:tcPr>
          <w:p w:rsidR="00AB169B" w:rsidRPr="00480C61" w:rsidRDefault="00AB169B" w:rsidP="00F22FCB">
            <w:pPr>
              <w:pStyle w:val="Tabletext0"/>
              <w:keepNext/>
              <w:tabs>
                <w:tab w:val="left" w:pos="37"/>
              </w:tabs>
              <w:spacing w:line="254" w:lineRule="auto"/>
              <w:ind w:left="37"/>
              <w:rPr>
                <w:szCs w:val="20"/>
              </w:rPr>
            </w:pPr>
            <w:r w:rsidRPr="00480C61">
              <w:rPr>
                <w:szCs w:val="20"/>
              </w:rPr>
              <w:t>Remove cycle cap for acalabrutinib</w:t>
            </w:r>
          </w:p>
        </w:tc>
        <w:tc>
          <w:tcPr>
            <w:tcW w:w="518"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2.25</w:t>
            </w:r>
          </w:p>
        </w:tc>
        <w:tc>
          <w:tcPr>
            <w:tcW w:w="427"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480"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c>
          <w:tcPr>
            <w:tcW w:w="53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2.69</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F22FCB">
            <w:pPr>
              <w:pStyle w:val="Tabletext0"/>
              <w:keepNext/>
              <w:spacing w:line="254" w:lineRule="auto"/>
              <w:jc w:val="center"/>
              <w:rPr>
                <w:szCs w:val="20"/>
              </w:rPr>
            </w:pPr>
            <w:r w:rsidRPr="00480C61">
              <w:rPr>
                <w:szCs w:val="20"/>
              </w:rPr>
              <w:t>$</w:t>
            </w:r>
            <w:r w:rsidR="00BF3740">
              <w:rPr>
                <w:noProof/>
                <w:color w:val="000000"/>
                <w:szCs w:val="20"/>
                <w:highlight w:val="black"/>
              </w:rPr>
              <w:t>''''''''''''''''''</w:t>
            </w:r>
          </w:p>
        </w:tc>
      </w:tr>
    </w:tbl>
    <w:p w:rsidR="00621392" w:rsidRPr="00EF4FFA" w:rsidRDefault="00621392" w:rsidP="00480C61">
      <w:pPr>
        <w:pStyle w:val="TableFigureFooter"/>
      </w:pPr>
      <w:r w:rsidRPr="00EF4FFA">
        <w:t xml:space="preserve">ACAL = acalabrutinib; AEMP = approved ex-manufacturer price; AIC = </w:t>
      </w:r>
      <w:proofErr w:type="spellStart"/>
      <w:r w:rsidRPr="00EF4FFA">
        <w:t>Akaike</w:t>
      </w:r>
      <w:proofErr w:type="spellEnd"/>
      <w:r w:rsidRPr="00EF4FFA">
        <w:t xml:space="preserve"> information criterion; BIC = Bayesian information criterion; CHL = chlorambucil; DPMQ = dispensed price for maximum quantity; ICER = incremental cost effectiveness ratio; </w:t>
      </w:r>
      <w:proofErr w:type="spellStart"/>
      <w:r w:rsidR="00BA339B" w:rsidRPr="00EF4FFA">
        <w:t>Incr</w:t>
      </w:r>
      <w:proofErr w:type="spellEnd"/>
      <w:r w:rsidR="00BA339B" w:rsidRPr="00EF4FFA">
        <w:t xml:space="preserve"> = incremental; </w:t>
      </w:r>
      <w:r w:rsidRPr="00EF4FFA">
        <w:t xml:space="preserve">IV = intravenous; OBI = obinutuzumab; </w:t>
      </w:r>
      <w:r w:rsidR="00BA339B" w:rsidRPr="00EF4FFA">
        <w:t xml:space="preserve">PSCR = pre-Sub-Committee Response; </w:t>
      </w:r>
      <w:r w:rsidRPr="00EF4FFA">
        <w:t>QALY = quality adjusted life year; TTP = time to progression</w:t>
      </w:r>
    </w:p>
    <w:p w:rsidR="00AB169B" w:rsidRPr="00EF4FFA" w:rsidRDefault="00AB169B" w:rsidP="00480C61">
      <w:pPr>
        <w:pStyle w:val="TableFigureFooter"/>
      </w:pPr>
      <w:r w:rsidRPr="00EF4FFA">
        <w:t>Source: Table 3.39 (p 159) of the submission</w:t>
      </w:r>
    </w:p>
    <w:p w:rsidR="00AB169B" w:rsidRDefault="00AB169B" w:rsidP="00480C61">
      <w:pPr>
        <w:pStyle w:val="TableFigureFooter"/>
      </w:pPr>
      <w:proofErr w:type="spellStart"/>
      <w:proofErr w:type="gramStart"/>
      <w:r w:rsidRPr="00EF4FFA">
        <w:rPr>
          <w:vertAlign w:val="superscript"/>
        </w:rPr>
        <w:t>a</w:t>
      </w:r>
      <w:proofErr w:type="spellEnd"/>
      <w:proofErr w:type="gramEnd"/>
      <w:r w:rsidRPr="00EF4FFA">
        <w:t xml:space="preserve"> Includes correction of acalabrutinib drug cost from effective AEMP to effective DPMQ</w:t>
      </w:r>
    </w:p>
    <w:p w:rsidR="008462B3" w:rsidRDefault="008462B3" w:rsidP="00480C61">
      <w:pPr>
        <w:pStyle w:val="TableFigureFooter"/>
      </w:pPr>
    </w:p>
    <w:p w:rsidR="00A52DBD" w:rsidRPr="005234F5" w:rsidRDefault="00A52DBD" w:rsidP="00A52DBD">
      <w:pPr>
        <w:pStyle w:val="ExecSumBodyText"/>
        <w:ind w:left="0" w:firstLine="0"/>
      </w:pPr>
      <w:r w:rsidRPr="005234F5">
        <w:t>The redacted table shows ICERs in the range of $55,000 to &lt; $75,000 to $115,000 to &lt; $135,000.</w:t>
      </w:r>
    </w:p>
    <w:p w:rsidR="00404E68" w:rsidRPr="00EF4FFA" w:rsidRDefault="00786A6E" w:rsidP="00AB169B">
      <w:pPr>
        <w:pStyle w:val="ExecSumBodyText"/>
      </w:pPr>
      <w:r>
        <w:lastRenderedPageBreak/>
        <w:t>6.72</w:t>
      </w:r>
      <w:r>
        <w:tab/>
      </w:r>
      <w:r w:rsidR="00404E68" w:rsidRPr="00EF4FFA">
        <w:t xml:space="preserve">The ESC, noting </w:t>
      </w:r>
      <w:r w:rsidR="007D4C94" w:rsidRPr="00EF4FFA">
        <w:t xml:space="preserve">the large </w:t>
      </w:r>
      <w:r w:rsidR="00404E68" w:rsidRPr="00EF4FFA">
        <w:t>effect on the ICER of choice of time to progression extrapolation function, considered that the extrapolations in the model were highly uncertain.</w:t>
      </w:r>
    </w:p>
    <w:p w:rsidR="000E7305" w:rsidRPr="00EF4FFA" w:rsidRDefault="00786A6E" w:rsidP="000E7305">
      <w:pPr>
        <w:pStyle w:val="ExecSumBodyText"/>
      </w:pPr>
      <w:r>
        <w:t>6.73</w:t>
      </w:r>
      <w:r>
        <w:tab/>
      </w:r>
      <w:r w:rsidR="000E7305" w:rsidRPr="00EF4FFA">
        <w:t xml:space="preserve">The results of key multivariate sensitivity analyses are summarised in Table 15. </w:t>
      </w:r>
    </w:p>
    <w:p w:rsidR="004F4B8A" w:rsidRPr="00EF4FFA" w:rsidRDefault="00786A6E" w:rsidP="00AB169B">
      <w:pPr>
        <w:pStyle w:val="ExecSumBodyText"/>
      </w:pPr>
      <w:r>
        <w:t>6.74</w:t>
      </w:r>
      <w:r>
        <w:tab/>
      </w:r>
      <w:r w:rsidR="00814637" w:rsidRPr="00EF4FFA">
        <w:t xml:space="preserve">During evaluation an alternative base case was proposed. </w:t>
      </w:r>
      <w:r w:rsidR="004F4B8A" w:rsidRPr="00EF4FFA">
        <w:t xml:space="preserve">Table </w:t>
      </w:r>
      <w:r w:rsidR="00B02C86" w:rsidRPr="00EF4FFA">
        <w:t>14</w:t>
      </w:r>
      <w:r w:rsidR="004F4B8A" w:rsidRPr="00EF4FFA">
        <w:t xml:space="preserve"> provides a comparison of the alternative base case provided in the commentary and the revised alternative base case provided in the PSCR.</w:t>
      </w:r>
    </w:p>
    <w:p w:rsidR="00043362" w:rsidRPr="00EF4FFA" w:rsidRDefault="00043362" w:rsidP="00480C61">
      <w:pPr>
        <w:pStyle w:val="TableFigureCaption"/>
      </w:pPr>
      <w:r w:rsidRPr="00EF4FFA">
        <w:t xml:space="preserve">Table </w:t>
      </w:r>
      <w:r w:rsidR="00B02C86" w:rsidRPr="00EF4FFA">
        <w:t>14</w:t>
      </w:r>
      <w:r w:rsidRPr="00EF4FFA">
        <w:t>: A comparison of the alternative base case as provided in the commentary and the revised alternative base case provided in the PSCR</w:t>
      </w:r>
    </w:p>
    <w:tbl>
      <w:tblPr>
        <w:tblStyle w:val="TableGrid"/>
        <w:tblW w:w="5000" w:type="pct"/>
        <w:tblLook w:val="04A0" w:firstRow="1" w:lastRow="0" w:firstColumn="1" w:lastColumn="0" w:noHBand="0" w:noVBand="1"/>
        <w:tblCaption w:val="Table 14: A comparison of the alternative base case as provided in the commentary and the revised alternative base case provided in the PSCR"/>
      </w:tblPr>
      <w:tblGrid>
        <w:gridCol w:w="1838"/>
        <w:gridCol w:w="1417"/>
        <w:gridCol w:w="1560"/>
        <w:gridCol w:w="1558"/>
        <w:gridCol w:w="1419"/>
        <w:gridCol w:w="1225"/>
      </w:tblGrid>
      <w:tr w:rsidR="00BD0C97" w:rsidRPr="00EF4FFA" w:rsidTr="00E25798">
        <w:trPr>
          <w:tblHeader/>
        </w:trPr>
        <w:tc>
          <w:tcPr>
            <w:tcW w:w="1019" w:type="pct"/>
            <w:tcMar>
              <w:left w:w="28" w:type="dxa"/>
              <w:right w:w="28" w:type="dxa"/>
            </w:tcMar>
          </w:tcPr>
          <w:p w:rsidR="00BD0C97" w:rsidRPr="00EF4FFA" w:rsidRDefault="00BD0C97" w:rsidP="004F4B8A">
            <w:pPr>
              <w:pStyle w:val="TableText"/>
            </w:pPr>
          </w:p>
        </w:tc>
        <w:tc>
          <w:tcPr>
            <w:tcW w:w="1651" w:type="pct"/>
            <w:gridSpan w:val="2"/>
            <w:tcMar>
              <w:left w:w="28" w:type="dxa"/>
              <w:right w:w="28" w:type="dxa"/>
            </w:tcMar>
          </w:tcPr>
          <w:p w:rsidR="00BD0C97" w:rsidRPr="00EF4FFA" w:rsidRDefault="00BD0C97" w:rsidP="00BD0C97">
            <w:pPr>
              <w:pStyle w:val="TableText"/>
              <w:jc w:val="center"/>
              <w:rPr>
                <w:b/>
              </w:rPr>
            </w:pPr>
            <w:r w:rsidRPr="00EF4FFA">
              <w:rPr>
                <w:b/>
              </w:rPr>
              <w:t xml:space="preserve">No difference in time to death in </w:t>
            </w:r>
            <w:r w:rsidR="00043362" w:rsidRPr="00EF4FFA">
              <w:rPr>
                <w:b/>
              </w:rPr>
              <w:br/>
            </w:r>
            <w:r w:rsidRPr="00EF4FFA">
              <w:rPr>
                <w:b/>
              </w:rPr>
              <w:t>1</w:t>
            </w:r>
            <w:r w:rsidRPr="00EF4FFA">
              <w:rPr>
                <w:b/>
                <w:vertAlign w:val="superscript"/>
              </w:rPr>
              <w:t>st</w:t>
            </w:r>
            <w:r w:rsidRPr="00EF4FFA">
              <w:rPr>
                <w:b/>
              </w:rPr>
              <w:t>-line setting</w:t>
            </w:r>
          </w:p>
        </w:tc>
        <w:tc>
          <w:tcPr>
            <w:tcW w:w="1651" w:type="pct"/>
            <w:gridSpan w:val="2"/>
            <w:tcMar>
              <w:left w:w="28" w:type="dxa"/>
              <w:right w:w="28" w:type="dxa"/>
            </w:tcMar>
          </w:tcPr>
          <w:p w:rsidR="00BD0C97" w:rsidRPr="00EF4FFA" w:rsidRDefault="00BD0C97" w:rsidP="00043362">
            <w:pPr>
              <w:pStyle w:val="TableText"/>
              <w:jc w:val="center"/>
              <w:rPr>
                <w:b/>
              </w:rPr>
            </w:pPr>
            <w:r w:rsidRPr="00EF4FFA">
              <w:rPr>
                <w:b/>
              </w:rPr>
              <w:t>2</w:t>
            </w:r>
            <w:r w:rsidRPr="00EF4FFA">
              <w:rPr>
                <w:b/>
                <w:vertAlign w:val="superscript"/>
              </w:rPr>
              <w:t>nd</w:t>
            </w:r>
            <w:r w:rsidRPr="00EF4FFA">
              <w:rPr>
                <w:b/>
              </w:rPr>
              <w:t>-line efficacy</w:t>
            </w:r>
          </w:p>
        </w:tc>
        <w:tc>
          <w:tcPr>
            <w:tcW w:w="679" w:type="pct"/>
            <w:tcMar>
              <w:left w:w="28" w:type="dxa"/>
              <w:right w:w="28" w:type="dxa"/>
            </w:tcMar>
          </w:tcPr>
          <w:p w:rsidR="00BD0C97" w:rsidRPr="00EF4FFA" w:rsidRDefault="00BD0C97" w:rsidP="00BD0C97">
            <w:pPr>
              <w:pStyle w:val="TableText"/>
              <w:jc w:val="center"/>
              <w:rPr>
                <w:b/>
              </w:rPr>
            </w:pPr>
            <w:r w:rsidRPr="00EF4FFA">
              <w:rPr>
                <w:b/>
              </w:rPr>
              <w:t>Health state utilities</w:t>
            </w:r>
          </w:p>
        </w:tc>
      </w:tr>
      <w:tr w:rsidR="00BD0C97" w:rsidRPr="00EF4FFA" w:rsidTr="00E25798">
        <w:trPr>
          <w:tblHeader/>
        </w:trPr>
        <w:tc>
          <w:tcPr>
            <w:tcW w:w="1019" w:type="pct"/>
            <w:tcMar>
              <w:left w:w="28" w:type="dxa"/>
              <w:right w:w="28" w:type="dxa"/>
            </w:tcMar>
          </w:tcPr>
          <w:p w:rsidR="00BD0C97" w:rsidRPr="00EF4FFA" w:rsidRDefault="00BD0C97" w:rsidP="004F4B8A">
            <w:pPr>
              <w:pStyle w:val="TableText"/>
            </w:pPr>
          </w:p>
        </w:tc>
        <w:tc>
          <w:tcPr>
            <w:tcW w:w="786" w:type="pct"/>
            <w:tcMar>
              <w:left w:w="28" w:type="dxa"/>
              <w:right w:w="28" w:type="dxa"/>
            </w:tcMar>
          </w:tcPr>
          <w:p w:rsidR="00BD0C97" w:rsidRPr="00EF4FFA" w:rsidRDefault="00BD0C97" w:rsidP="00BD0C97">
            <w:pPr>
              <w:pStyle w:val="TableText"/>
              <w:jc w:val="center"/>
              <w:rPr>
                <w:b/>
              </w:rPr>
            </w:pPr>
            <w:r w:rsidRPr="00EF4FFA">
              <w:rPr>
                <w:b/>
              </w:rPr>
              <w:t xml:space="preserve">Application of </w:t>
            </w:r>
            <w:r w:rsidR="00043362" w:rsidRPr="00EF4FFA">
              <w:rPr>
                <w:b/>
              </w:rPr>
              <w:br/>
            </w:r>
            <w:r w:rsidRPr="00EF4FFA">
              <w:rPr>
                <w:b/>
              </w:rPr>
              <w:t xml:space="preserve">CHL + OBI curve </w:t>
            </w:r>
            <w:r w:rsidR="00043362" w:rsidRPr="00EF4FFA">
              <w:rPr>
                <w:b/>
              </w:rPr>
              <w:br/>
            </w:r>
            <w:r w:rsidRPr="00EF4FFA">
              <w:rPr>
                <w:b/>
              </w:rPr>
              <w:t>to all arms</w:t>
            </w:r>
          </w:p>
        </w:tc>
        <w:tc>
          <w:tcPr>
            <w:tcW w:w="864" w:type="pct"/>
            <w:tcMar>
              <w:left w:w="28" w:type="dxa"/>
              <w:right w:w="28" w:type="dxa"/>
            </w:tcMar>
          </w:tcPr>
          <w:p w:rsidR="00BD0C97" w:rsidRPr="00EF4FFA" w:rsidRDefault="00BD0C97" w:rsidP="00BD0C97">
            <w:pPr>
              <w:pStyle w:val="TableText"/>
              <w:jc w:val="center"/>
              <w:rPr>
                <w:b/>
              </w:rPr>
            </w:pPr>
            <w:r w:rsidRPr="00EF4FFA">
              <w:rPr>
                <w:b/>
              </w:rPr>
              <w:t xml:space="preserve">Application of </w:t>
            </w:r>
            <w:r w:rsidR="00043362" w:rsidRPr="00EF4FFA">
              <w:rPr>
                <w:b/>
              </w:rPr>
              <w:br/>
            </w:r>
            <w:r w:rsidRPr="00EF4FFA">
              <w:rPr>
                <w:b/>
              </w:rPr>
              <w:t>ACAL mono curve to all arms</w:t>
            </w:r>
          </w:p>
        </w:tc>
        <w:tc>
          <w:tcPr>
            <w:tcW w:w="864" w:type="pct"/>
            <w:tcMar>
              <w:left w:w="28" w:type="dxa"/>
              <w:right w:w="28" w:type="dxa"/>
            </w:tcMar>
          </w:tcPr>
          <w:p w:rsidR="00BD0C97" w:rsidRPr="00EF4FFA" w:rsidRDefault="00BD0C97" w:rsidP="00BD0C97">
            <w:pPr>
              <w:pStyle w:val="TableText"/>
              <w:jc w:val="center"/>
              <w:rPr>
                <w:b/>
              </w:rPr>
            </w:pPr>
            <w:r w:rsidRPr="00EF4FFA">
              <w:rPr>
                <w:b/>
              </w:rPr>
              <w:t xml:space="preserve">Application of </w:t>
            </w:r>
            <w:r w:rsidR="00043362" w:rsidRPr="00EF4FFA">
              <w:rPr>
                <w:b/>
              </w:rPr>
              <w:br/>
            </w:r>
            <w:r w:rsidRPr="00EF4FFA">
              <w:rPr>
                <w:b/>
                <w:u w:val="single"/>
              </w:rPr>
              <w:t>costs and benefits</w:t>
            </w:r>
            <w:r w:rsidRPr="00EF4FFA">
              <w:rPr>
                <w:b/>
              </w:rPr>
              <w:t xml:space="preserve"> </w:t>
            </w:r>
            <w:r w:rsidR="00043362" w:rsidRPr="00EF4FFA">
              <w:rPr>
                <w:b/>
              </w:rPr>
              <w:br/>
            </w:r>
            <w:r w:rsidRPr="00EF4FFA">
              <w:rPr>
                <w:b/>
              </w:rPr>
              <w:t xml:space="preserve">of VEN + RITUX </w:t>
            </w:r>
            <w:r w:rsidR="00043362" w:rsidRPr="00EF4FFA">
              <w:rPr>
                <w:b/>
              </w:rPr>
              <w:br/>
            </w:r>
            <w:r w:rsidRPr="00EF4FFA">
              <w:rPr>
                <w:b/>
              </w:rPr>
              <w:t>to all patients</w:t>
            </w:r>
          </w:p>
        </w:tc>
        <w:tc>
          <w:tcPr>
            <w:tcW w:w="786" w:type="pct"/>
            <w:tcMar>
              <w:left w:w="28" w:type="dxa"/>
              <w:right w:w="28" w:type="dxa"/>
            </w:tcMar>
          </w:tcPr>
          <w:p w:rsidR="00BD0C97" w:rsidRPr="00EF4FFA" w:rsidRDefault="00BD0C97" w:rsidP="00043362">
            <w:pPr>
              <w:pStyle w:val="TableText"/>
              <w:jc w:val="center"/>
              <w:rPr>
                <w:b/>
              </w:rPr>
            </w:pPr>
            <w:r w:rsidRPr="00EF4FFA">
              <w:rPr>
                <w:b/>
              </w:rPr>
              <w:t xml:space="preserve">Application of </w:t>
            </w:r>
            <w:r w:rsidRPr="00EF4FFA">
              <w:rPr>
                <w:b/>
                <w:u w:val="single"/>
              </w:rPr>
              <w:t>benefits only</w:t>
            </w:r>
            <w:r w:rsidRPr="00EF4FFA">
              <w:rPr>
                <w:b/>
              </w:rPr>
              <w:t xml:space="preserve"> </w:t>
            </w:r>
            <w:r w:rsidR="00043362" w:rsidRPr="00EF4FFA">
              <w:rPr>
                <w:b/>
              </w:rPr>
              <w:br/>
            </w:r>
            <w:r w:rsidRPr="00EF4FFA">
              <w:rPr>
                <w:b/>
              </w:rPr>
              <w:t xml:space="preserve">of IBR to </w:t>
            </w:r>
            <w:r w:rsidR="00043362" w:rsidRPr="00EF4FFA">
              <w:rPr>
                <w:b/>
              </w:rPr>
              <w:t>VEN + RITUX patients</w:t>
            </w:r>
          </w:p>
        </w:tc>
        <w:tc>
          <w:tcPr>
            <w:tcW w:w="679" w:type="pct"/>
            <w:tcMar>
              <w:left w:w="28" w:type="dxa"/>
              <w:right w:w="28" w:type="dxa"/>
            </w:tcMar>
          </w:tcPr>
          <w:p w:rsidR="00BD0C97" w:rsidRPr="00EF4FFA" w:rsidRDefault="00BD0C97" w:rsidP="00BD0C97">
            <w:pPr>
              <w:pStyle w:val="TableText"/>
              <w:jc w:val="center"/>
              <w:rPr>
                <w:b/>
              </w:rPr>
            </w:pPr>
            <w:r w:rsidRPr="00EF4FFA">
              <w:rPr>
                <w:b/>
              </w:rPr>
              <w:t>Re-anchored to oral therapy</w:t>
            </w:r>
          </w:p>
        </w:tc>
      </w:tr>
      <w:tr w:rsidR="004F4B8A" w:rsidRPr="00EF4FFA" w:rsidTr="00480C61">
        <w:tc>
          <w:tcPr>
            <w:tcW w:w="1019" w:type="pct"/>
            <w:tcMar>
              <w:left w:w="28" w:type="dxa"/>
              <w:right w:w="28" w:type="dxa"/>
            </w:tcMar>
          </w:tcPr>
          <w:p w:rsidR="004F4B8A" w:rsidRPr="00EF4FFA" w:rsidRDefault="004F4B8A" w:rsidP="004F4B8A">
            <w:pPr>
              <w:pStyle w:val="TableText"/>
            </w:pPr>
            <w:r w:rsidRPr="00EF4FFA">
              <w:t>Alternative base case</w:t>
            </w:r>
          </w:p>
        </w:tc>
        <w:tc>
          <w:tcPr>
            <w:tcW w:w="786" w:type="pct"/>
            <w:tcMar>
              <w:left w:w="28" w:type="dxa"/>
              <w:right w:w="28" w:type="dxa"/>
            </w:tcMar>
          </w:tcPr>
          <w:p w:rsidR="004F4B8A" w:rsidRPr="00EF4FFA" w:rsidRDefault="00BD0C97" w:rsidP="00BD0C97">
            <w:pPr>
              <w:pStyle w:val="TableText"/>
              <w:jc w:val="center"/>
            </w:pPr>
            <w:r w:rsidRPr="00EF4FFA">
              <w:sym w:font="Wingdings" w:char="F0FC"/>
            </w:r>
          </w:p>
        </w:tc>
        <w:tc>
          <w:tcPr>
            <w:tcW w:w="864" w:type="pct"/>
            <w:tcMar>
              <w:left w:w="28" w:type="dxa"/>
              <w:right w:w="28" w:type="dxa"/>
            </w:tcMar>
          </w:tcPr>
          <w:p w:rsidR="004F4B8A" w:rsidRPr="00EF4FFA" w:rsidRDefault="004F4B8A" w:rsidP="00BD0C97">
            <w:pPr>
              <w:pStyle w:val="TableText"/>
              <w:jc w:val="center"/>
            </w:pPr>
          </w:p>
        </w:tc>
        <w:tc>
          <w:tcPr>
            <w:tcW w:w="864" w:type="pct"/>
            <w:tcMar>
              <w:left w:w="28" w:type="dxa"/>
              <w:right w:w="28" w:type="dxa"/>
            </w:tcMar>
          </w:tcPr>
          <w:p w:rsidR="004F4B8A" w:rsidRPr="00EF4FFA" w:rsidRDefault="00BD0C97" w:rsidP="00BD0C97">
            <w:pPr>
              <w:pStyle w:val="TableText"/>
              <w:jc w:val="center"/>
            </w:pPr>
            <w:r w:rsidRPr="00EF4FFA">
              <w:sym w:font="Wingdings" w:char="F0FC"/>
            </w:r>
          </w:p>
        </w:tc>
        <w:tc>
          <w:tcPr>
            <w:tcW w:w="786" w:type="pct"/>
            <w:tcMar>
              <w:left w:w="28" w:type="dxa"/>
              <w:right w:w="28" w:type="dxa"/>
            </w:tcMar>
          </w:tcPr>
          <w:p w:rsidR="004F4B8A" w:rsidRPr="00EF4FFA" w:rsidRDefault="004F4B8A" w:rsidP="00BD0C97">
            <w:pPr>
              <w:pStyle w:val="TableText"/>
              <w:jc w:val="center"/>
            </w:pPr>
          </w:p>
        </w:tc>
        <w:tc>
          <w:tcPr>
            <w:tcW w:w="679" w:type="pct"/>
            <w:tcMar>
              <w:left w:w="28" w:type="dxa"/>
              <w:right w:w="28" w:type="dxa"/>
            </w:tcMar>
          </w:tcPr>
          <w:p w:rsidR="004F4B8A" w:rsidRPr="00EF4FFA" w:rsidRDefault="00BD0C97" w:rsidP="00BD0C97">
            <w:pPr>
              <w:pStyle w:val="TableText"/>
              <w:jc w:val="center"/>
            </w:pPr>
            <w:r w:rsidRPr="00EF4FFA">
              <w:sym w:font="Wingdings" w:char="F0FC"/>
            </w:r>
          </w:p>
        </w:tc>
      </w:tr>
      <w:tr w:rsidR="004F4B8A" w:rsidRPr="00EF4FFA" w:rsidTr="00480C61">
        <w:tc>
          <w:tcPr>
            <w:tcW w:w="1019" w:type="pct"/>
            <w:tcMar>
              <w:left w:w="28" w:type="dxa"/>
              <w:right w:w="28" w:type="dxa"/>
            </w:tcMar>
          </w:tcPr>
          <w:p w:rsidR="004F4B8A" w:rsidRPr="00EF4FFA" w:rsidRDefault="004F4B8A" w:rsidP="004F4B8A">
            <w:pPr>
              <w:pStyle w:val="TableText"/>
            </w:pPr>
            <w:r w:rsidRPr="00EF4FFA">
              <w:t>PSCR alternative base case</w:t>
            </w:r>
          </w:p>
        </w:tc>
        <w:tc>
          <w:tcPr>
            <w:tcW w:w="786" w:type="pct"/>
            <w:tcMar>
              <w:left w:w="28" w:type="dxa"/>
              <w:right w:w="28" w:type="dxa"/>
            </w:tcMar>
            <w:vAlign w:val="center"/>
          </w:tcPr>
          <w:p w:rsidR="004F4B8A" w:rsidRPr="00EF4FFA" w:rsidRDefault="004F4B8A" w:rsidP="00043362">
            <w:pPr>
              <w:pStyle w:val="TableText"/>
              <w:jc w:val="center"/>
            </w:pPr>
          </w:p>
        </w:tc>
        <w:tc>
          <w:tcPr>
            <w:tcW w:w="864" w:type="pct"/>
            <w:tcMar>
              <w:left w:w="28" w:type="dxa"/>
              <w:right w:w="28" w:type="dxa"/>
            </w:tcMar>
            <w:vAlign w:val="center"/>
          </w:tcPr>
          <w:p w:rsidR="004F4B8A" w:rsidRPr="00EF4FFA" w:rsidRDefault="00BD0C97" w:rsidP="00043362">
            <w:pPr>
              <w:pStyle w:val="TableText"/>
              <w:jc w:val="center"/>
            </w:pPr>
            <w:r w:rsidRPr="00EF4FFA">
              <w:sym w:font="Wingdings" w:char="F0FC"/>
            </w:r>
          </w:p>
        </w:tc>
        <w:tc>
          <w:tcPr>
            <w:tcW w:w="864" w:type="pct"/>
            <w:tcMar>
              <w:left w:w="28" w:type="dxa"/>
              <w:right w:w="28" w:type="dxa"/>
            </w:tcMar>
            <w:vAlign w:val="center"/>
          </w:tcPr>
          <w:p w:rsidR="004F4B8A" w:rsidRPr="00EF4FFA" w:rsidRDefault="004F4B8A" w:rsidP="00043362">
            <w:pPr>
              <w:pStyle w:val="TableText"/>
              <w:jc w:val="center"/>
            </w:pPr>
          </w:p>
        </w:tc>
        <w:tc>
          <w:tcPr>
            <w:tcW w:w="786" w:type="pct"/>
            <w:tcMar>
              <w:left w:w="28" w:type="dxa"/>
              <w:right w:w="28" w:type="dxa"/>
            </w:tcMar>
            <w:vAlign w:val="center"/>
          </w:tcPr>
          <w:p w:rsidR="004F4B8A" w:rsidRPr="00EF4FFA" w:rsidRDefault="00BD0C97" w:rsidP="00043362">
            <w:pPr>
              <w:pStyle w:val="TableText"/>
              <w:jc w:val="center"/>
            </w:pPr>
            <w:r w:rsidRPr="00EF4FFA">
              <w:sym w:font="Wingdings" w:char="F0FC"/>
            </w:r>
          </w:p>
        </w:tc>
        <w:tc>
          <w:tcPr>
            <w:tcW w:w="679" w:type="pct"/>
            <w:tcMar>
              <w:left w:w="28" w:type="dxa"/>
              <w:right w:w="28" w:type="dxa"/>
            </w:tcMar>
            <w:vAlign w:val="center"/>
          </w:tcPr>
          <w:p w:rsidR="004F4B8A" w:rsidRPr="00EF4FFA" w:rsidRDefault="00BD0C97" w:rsidP="00043362">
            <w:pPr>
              <w:pStyle w:val="TableText"/>
              <w:jc w:val="center"/>
            </w:pPr>
            <w:r w:rsidRPr="00EF4FFA">
              <w:sym w:font="Wingdings" w:char="F0FC"/>
            </w:r>
          </w:p>
        </w:tc>
      </w:tr>
    </w:tbl>
    <w:p w:rsidR="00043362" w:rsidRPr="00EF4FFA" w:rsidRDefault="00043362" w:rsidP="00480C61">
      <w:pPr>
        <w:pStyle w:val="TableFigureFooter"/>
      </w:pPr>
      <w:r w:rsidRPr="00EF4FFA">
        <w:t>ACAL = acalabrutinib; CHL = chlorambucil; IBR = ibrutinib; OBI = obinutuzumab; PSCR = pre-Sub-Committee response; RITUX = rituximab; VEN = venetoclax</w:t>
      </w:r>
    </w:p>
    <w:p w:rsidR="00814637" w:rsidRPr="00EF4FFA" w:rsidRDefault="00786A6E" w:rsidP="00AB169B">
      <w:pPr>
        <w:pStyle w:val="ExecSumBodyText"/>
      </w:pPr>
      <w:r>
        <w:t>6.75</w:t>
      </w:r>
      <w:r>
        <w:tab/>
      </w:r>
      <w:r w:rsidR="00814637" w:rsidRPr="00EF4FFA">
        <w:t xml:space="preserve">As noted in paragraph </w:t>
      </w:r>
      <w:r w:rsidR="00814637" w:rsidRPr="00A461C5">
        <w:t>6.</w:t>
      </w:r>
      <w:r w:rsidR="00A461C5" w:rsidRPr="00A461C5">
        <w:t>71</w:t>
      </w:r>
      <w:r w:rsidR="00814637" w:rsidRPr="00A461C5">
        <w:t xml:space="preserve"> </w:t>
      </w:r>
      <w:r w:rsidR="00814637" w:rsidRPr="00EF4FFA">
        <w:t>the analysis presented in the PSCR assumed that ibrutinib and venetoclax + obinutuzumab would have the same survival benefit, but different costs. The ESC considered that this analysis was inappropriate and inconsistent with the PBACs previous decision to list venetoclax + rituximab on a cost-minimisation basis versus ibrutinib. Therefore, the PSCR analysis was replicated assuming the same benefit and costs for ibrutinib and venetoclax + rituximab.</w:t>
      </w:r>
    </w:p>
    <w:p w:rsidR="00404E68" w:rsidRPr="00EF4FFA" w:rsidRDefault="00786A6E" w:rsidP="00AB169B">
      <w:pPr>
        <w:pStyle w:val="ExecSumBodyText"/>
      </w:pPr>
      <w:r>
        <w:t>6.76</w:t>
      </w:r>
      <w:r>
        <w:tab/>
      </w:r>
      <w:r w:rsidR="00404E68" w:rsidRPr="00EF4FFA">
        <w:t xml:space="preserve">The ESC considered that </w:t>
      </w:r>
      <w:r w:rsidR="00043362" w:rsidRPr="00EF4FFA">
        <w:t>sensitivity ana</w:t>
      </w:r>
      <w:r w:rsidR="00814637" w:rsidRPr="00EF4FFA">
        <w:t xml:space="preserve">lyses of the alternative base case and the PSCR alternative base case with time horizons of 15 and 10 years would be informative. The ESC noted that </w:t>
      </w:r>
      <w:r w:rsidR="008F32DE" w:rsidRPr="00EF4FFA">
        <w:t xml:space="preserve">resultant ICERs would remain uncertain due to the extrapolation issues identified in paragraph </w:t>
      </w:r>
      <w:r w:rsidR="00A461C5" w:rsidRPr="00A461C5">
        <w:t>6.67</w:t>
      </w:r>
      <w:r w:rsidR="008F32DE" w:rsidRPr="00A461C5">
        <w:t>.</w:t>
      </w:r>
      <w:r w:rsidR="008F32DE" w:rsidRPr="00EF4FFA">
        <w:t xml:space="preserve"> </w:t>
      </w:r>
    </w:p>
    <w:p w:rsidR="00AB169B" w:rsidRPr="00480C61" w:rsidRDefault="00AB169B" w:rsidP="00480C61">
      <w:pPr>
        <w:pStyle w:val="TableFigureCaption"/>
        <w:keepLines/>
        <w:widowControl w:val="0"/>
      </w:pPr>
      <w:r w:rsidRPr="00480C61">
        <w:rPr>
          <w:rStyle w:val="CommentReference"/>
          <w:sz w:val="20"/>
          <w:szCs w:val="24"/>
        </w:rPr>
        <w:lastRenderedPageBreak/>
        <w:t>Table 1</w:t>
      </w:r>
      <w:r w:rsidR="00B02C86" w:rsidRPr="00480C61">
        <w:rPr>
          <w:rStyle w:val="CommentReference"/>
          <w:sz w:val="20"/>
          <w:szCs w:val="24"/>
        </w:rPr>
        <w:t>5</w:t>
      </w:r>
      <w:r w:rsidRPr="00480C61">
        <w:rPr>
          <w:rStyle w:val="CommentReference"/>
          <w:sz w:val="20"/>
          <w:szCs w:val="24"/>
        </w:rPr>
        <w:t xml:space="preserve">: Results of multivariate sensitivity </w:t>
      </w:r>
      <w:proofErr w:type="spellStart"/>
      <w:r w:rsidRPr="00480C61">
        <w:rPr>
          <w:rStyle w:val="CommentReference"/>
          <w:sz w:val="20"/>
          <w:szCs w:val="24"/>
        </w:rPr>
        <w:t>analyses</w:t>
      </w:r>
      <w:r w:rsidR="008F32DE" w:rsidRPr="00480C61">
        <w:rPr>
          <w:rStyle w:val="CommentReference"/>
          <w:sz w:val="20"/>
          <w:szCs w:val="24"/>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8"/>
        <w:gridCol w:w="866"/>
        <w:gridCol w:w="1019"/>
        <w:gridCol w:w="866"/>
        <w:gridCol w:w="835"/>
        <w:gridCol w:w="917"/>
        <w:gridCol w:w="866"/>
      </w:tblGrid>
      <w:tr w:rsidR="00AB169B" w:rsidRPr="00EF4FFA" w:rsidTr="00480C61">
        <w:trPr>
          <w:tblHeader/>
        </w:trPr>
        <w:tc>
          <w:tcPr>
            <w:tcW w:w="2044" w:type="pct"/>
            <w:vMerge w:val="restar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tabs>
                <w:tab w:val="left" w:pos="142"/>
              </w:tabs>
              <w:spacing w:line="254" w:lineRule="auto"/>
              <w:rPr>
                <w:b/>
                <w:szCs w:val="20"/>
              </w:rPr>
            </w:pPr>
            <w:r w:rsidRPr="00480C61">
              <w:rPr>
                <w:b/>
                <w:szCs w:val="20"/>
              </w:rPr>
              <w:t>Analyses</w:t>
            </w:r>
          </w:p>
        </w:tc>
        <w:tc>
          <w:tcPr>
            <w:tcW w:w="1500" w:type="pct"/>
            <w:gridSpan w:val="3"/>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ACAL versus CHL+OBI</w:t>
            </w:r>
          </w:p>
        </w:tc>
        <w:tc>
          <w:tcPr>
            <w:tcW w:w="1456" w:type="pct"/>
            <w:gridSpan w:val="3"/>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ACAL+OBI</w:t>
            </w:r>
            <w:r w:rsidR="00E25798">
              <w:rPr>
                <w:b/>
                <w:szCs w:val="20"/>
              </w:rPr>
              <w:t xml:space="preserve"> </w:t>
            </w:r>
            <w:r w:rsidRPr="00480C61">
              <w:rPr>
                <w:b/>
                <w:szCs w:val="20"/>
              </w:rPr>
              <w:t>versus CHL+OBI</w:t>
            </w:r>
          </w:p>
        </w:tc>
      </w:tr>
      <w:tr w:rsidR="00AB169B" w:rsidRPr="00EF4FFA" w:rsidTr="00480C61">
        <w:trPr>
          <w:tblHeader/>
        </w:trPr>
        <w:tc>
          <w:tcPr>
            <w:tcW w:w="2044" w:type="pct"/>
            <w:vMerge/>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keepNext/>
              <w:keepLines/>
              <w:widowControl w:val="0"/>
              <w:jc w:val="left"/>
              <w:rPr>
                <w:rFonts w:ascii="Arial Narrow" w:hAnsi="Arial Narrow" w:cs="Times New Roman"/>
                <w:b/>
                <w:sz w:val="20"/>
                <w:szCs w:val="20"/>
                <w:lang w:eastAsia="en-US"/>
              </w:rPr>
            </w:pPr>
          </w:p>
        </w:tc>
        <w:tc>
          <w:tcPr>
            <w:tcW w:w="47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proofErr w:type="spellStart"/>
            <w:r w:rsidRPr="00480C61">
              <w:rPr>
                <w:b/>
                <w:szCs w:val="20"/>
              </w:rPr>
              <w:t>Incr</w:t>
            </w:r>
            <w:proofErr w:type="spellEnd"/>
            <w:r w:rsidRPr="00480C61">
              <w:rPr>
                <w:b/>
                <w:szCs w:val="20"/>
              </w:rPr>
              <w:t xml:space="preserve"> cost</w:t>
            </w:r>
          </w:p>
        </w:tc>
        <w:tc>
          <w:tcPr>
            <w:tcW w:w="586"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proofErr w:type="spellStart"/>
            <w:r w:rsidRPr="00480C61">
              <w:rPr>
                <w:b/>
                <w:szCs w:val="20"/>
              </w:rPr>
              <w:t>Incr</w:t>
            </w:r>
            <w:proofErr w:type="spellEnd"/>
            <w:r w:rsidRPr="00480C61">
              <w:rPr>
                <w:b/>
                <w:szCs w:val="20"/>
              </w:rPr>
              <w:t xml:space="preserve"> QALY</w:t>
            </w:r>
          </w:p>
        </w:tc>
        <w:tc>
          <w:tcPr>
            <w:tcW w:w="443"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ICER</w:t>
            </w:r>
          </w:p>
        </w:tc>
        <w:tc>
          <w:tcPr>
            <w:tcW w:w="471"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proofErr w:type="spellStart"/>
            <w:r w:rsidRPr="00480C61">
              <w:rPr>
                <w:b/>
                <w:szCs w:val="20"/>
              </w:rPr>
              <w:t>Incr</w:t>
            </w:r>
            <w:proofErr w:type="spellEnd"/>
            <w:r w:rsidRPr="00480C61">
              <w:rPr>
                <w:b/>
                <w:szCs w:val="20"/>
              </w:rPr>
              <w:t xml:space="preserve"> cost</w:t>
            </w:r>
          </w:p>
        </w:tc>
        <w:tc>
          <w:tcPr>
            <w:tcW w:w="542"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proofErr w:type="spellStart"/>
            <w:r w:rsidRPr="00480C61">
              <w:rPr>
                <w:b/>
                <w:szCs w:val="20"/>
              </w:rPr>
              <w:t>Incr</w:t>
            </w:r>
            <w:proofErr w:type="spellEnd"/>
            <w:r w:rsidRPr="00480C61">
              <w:rPr>
                <w:b/>
                <w:szCs w:val="20"/>
              </w:rPr>
              <w:t xml:space="preserve"> QALY</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ICER</w:t>
            </w:r>
          </w:p>
        </w:tc>
      </w:tr>
      <w:tr w:rsidR="00AB169B" w:rsidRPr="00EF4FFA" w:rsidTr="00480C61">
        <w:tc>
          <w:tcPr>
            <w:tcW w:w="2044" w:type="pct"/>
            <w:tcBorders>
              <w:top w:val="single" w:sz="4" w:space="0" w:color="auto"/>
              <w:left w:val="single" w:sz="4" w:space="0" w:color="auto"/>
              <w:bottom w:val="single" w:sz="4" w:space="0" w:color="auto"/>
              <w:right w:val="single" w:sz="4" w:space="0" w:color="auto"/>
            </w:tcBorders>
            <w:hideMark/>
          </w:tcPr>
          <w:p w:rsidR="00AB169B" w:rsidRPr="00480C61" w:rsidRDefault="00AB169B" w:rsidP="00480C61">
            <w:pPr>
              <w:pStyle w:val="Tabletext0"/>
              <w:keepNext/>
              <w:keepLines/>
              <w:widowControl w:val="0"/>
              <w:tabs>
                <w:tab w:val="left" w:pos="142"/>
              </w:tabs>
              <w:spacing w:line="254" w:lineRule="auto"/>
              <w:rPr>
                <w:b/>
                <w:szCs w:val="20"/>
                <w:vertAlign w:val="superscript"/>
              </w:rPr>
            </w:pPr>
            <w:r w:rsidRPr="00480C61">
              <w:rPr>
                <w:b/>
                <w:szCs w:val="20"/>
              </w:rPr>
              <w:t xml:space="preserve">Alternative base case </w:t>
            </w:r>
            <w:r w:rsidR="000C735C" w:rsidRPr="00480C61">
              <w:rPr>
                <w:b/>
                <w:szCs w:val="20"/>
              </w:rPr>
              <w:t>(evaluation)</w:t>
            </w:r>
          </w:p>
        </w:tc>
        <w:tc>
          <w:tcPr>
            <w:tcW w:w="471"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1.31</w:t>
            </w:r>
          </w:p>
        </w:tc>
        <w:tc>
          <w:tcPr>
            <w:tcW w:w="443" w:type="pct"/>
            <w:tcBorders>
              <w:top w:val="single" w:sz="4" w:space="0" w:color="auto"/>
              <w:left w:val="single" w:sz="4" w:space="0" w:color="auto"/>
              <w:bottom w:val="single" w:sz="4" w:space="0" w:color="auto"/>
              <w:right w:val="doub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1.56</w:t>
            </w:r>
          </w:p>
        </w:tc>
        <w:tc>
          <w:tcPr>
            <w:tcW w:w="443" w:type="pct"/>
            <w:tcBorders>
              <w:top w:val="single" w:sz="4" w:space="0" w:color="auto"/>
              <w:left w:val="single" w:sz="4" w:space="0" w:color="auto"/>
              <w:bottom w:val="single" w:sz="4" w:space="0" w:color="auto"/>
              <w:right w:val="single" w:sz="4" w:space="0" w:color="auto"/>
            </w:tcBorders>
            <w:vAlign w:val="center"/>
            <w:hideMark/>
          </w:tcPr>
          <w:p w:rsidR="00AB169B" w:rsidRPr="00480C61" w:rsidRDefault="00AB169B"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r>
      <w:tr w:rsidR="006C32EE" w:rsidRPr="00EF4FFA" w:rsidTr="00480C61">
        <w:tc>
          <w:tcPr>
            <w:tcW w:w="2044" w:type="pct"/>
            <w:tcBorders>
              <w:top w:val="single" w:sz="4" w:space="0" w:color="auto"/>
              <w:left w:val="single" w:sz="4" w:space="0" w:color="auto"/>
              <w:bottom w:val="single" w:sz="4" w:space="0" w:color="auto"/>
              <w:right w:val="single" w:sz="4" w:space="0" w:color="auto"/>
            </w:tcBorders>
            <w:hideMark/>
          </w:tcPr>
          <w:p w:rsidR="006C32EE" w:rsidRPr="00480C61" w:rsidRDefault="006C32EE" w:rsidP="00480C61">
            <w:pPr>
              <w:pStyle w:val="Tabletext0"/>
              <w:keepNext/>
              <w:keepLines/>
              <w:widowControl w:val="0"/>
              <w:tabs>
                <w:tab w:val="left" w:pos="142"/>
              </w:tabs>
              <w:spacing w:line="254" w:lineRule="auto"/>
              <w:ind w:left="142" w:hanging="108"/>
              <w:rPr>
                <w:szCs w:val="20"/>
              </w:rPr>
            </w:pPr>
            <w:r w:rsidRPr="00480C61">
              <w:rPr>
                <w:szCs w:val="20"/>
              </w:rPr>
              <w:t>+ 15 year time horizon (196 cycles)</w:t>
            </w:r>
          </w:p>
        </w:tc>
        <w:tc>
          <w:tcPr>
            <w:tcW w:w="471" w:type="pct"/>
            <w:tcBorders>
              <w:top w:val="single" w:sz="4" w:space="0" w:color="auto"/>
              <w:left w:val="single" w:sz="4" w:space="0" w:color="auto"/>
              <w:bottom w:val="single" w:sz="4" w:space="0" w:color="auto"/>
              <w:right w:val="single" w:sz="4" w:space="0" w:color="auto"/>
            </w:tcBorders>
            <w:hideMark/>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hideMark/>
          </w:tcPr>
          <w:p w:rsidR="006C32EE" w:rsidRPr="00480C61" w:rsidRDefault="006C32EE" w:rsidP="00480C61">
            <w:pPr>
              <w:pStyle w:val="Tabletext0"/>
              <w:keepNext/>
              <w:keepLines/>
              <w:widowControl w:val="0"/>
              <w:spacing w:line="254" w:lineRule="auto"/>
              <w:jc w:val="center"/>
              <w:rPr>
                <w:szCs w:val="20"/>
              </w:rPr>
            </w:pPr>
            <w:r w:rsidRPr="00480C61">
              <w:rPr>
                <w:szCs w:val="20"/>
              </w:rPr>
              <w:t>1.08</w:t>
            </w:r>
          </w:p>
        </w:tc>
        <w:tc>
          <w:tcPr>
            <w:tcW w:w="443" w:type="pct"/>
            <w:tcBorders>
              <w:top w:val="single" w:sz="4" w:space="0" w:color="auto"/>
              <w:left w:val="single" w:sz="4" w:space="0" w:color="auto"/>
              <w:bottom w:val="single" w:sz="4" w:space="0" w:color="auto"/>
              <w:right w:val="double" w:sz="4" w:space="0" w:color="auto"/>
            </w:tcBorders>
            <w:hideMark/>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hideMark/>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hideMark/>
          </w:tcPr>
          <w:p w:rsidR="006C32EE" w:rsidRPr="00480C61" w:rsidRDefault="006C32EE" w:rsidP="00480C61">
            <w:pPr>
              <w:pStyle w:val="Tabletext0"/>
              <w:keepNext/>
              <w:keepLines/>
              <w:widowControl w:val="0"/>
              <w:spacing w:line="254" w:lineRule="auto"/>
              <w:jc w:val="center"/>
              <w:rPr>
                <w:szCs w:val="20"/>
              </w:rPr>
            </w:pPr>
            <w:r w:rsidRPr="00480C61">
              <w:rPr>
                <w:szCs w:val="20"/>
              </w:rPr>
              <w:t>1.26</w:t>
            </w:r>
          </w:p>
        </w:tc>
        <w:tc>
          <w:tcPr>
            <w:tcW w:w="443" w:type="pct"/>
            <w:tcBorders>
              <w:top w:val="single" w:sz="4" w:space="0" w:color="auto"/>
              <w:left w:val="single" w:sz="4" w:space="0" w:color="auto"/>
              <w:bottom w:val="single" w:sz="4" w:space="0" w:color="auto"/>
              <w:right w:val="single" w:sz="4" w:space="0" w:color="auto"/>
            </w:tcBorders>
            <w:hideMark/>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r>
      <w:tr w:rsidR="008F32DE" w:rsidRPr="00EF4FFA" w:rsidTr="00480C61">
        <w:tc>
          <w:tcPr>
            <w:tcW w:w="2044"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spacing w:line="254" w:lineRule="auto"/>
              <w:ind w:left="142" w:hanging="108"/>
              <w:rPr>
                <w:szCs w:val="20"/>
              </w:rPr>
            </w:pPr>
            <w:r w:rsidRPr="00480C61">
              <w:rPr>
                <w:szCs w:val="20"/>
              </w:rPr>
              <w:t>+ 10 year time horizon (130 cycles)</w:t>
            </w:r>
          </w:p>
        </w:tc>
        <w:tc>
          <w:tcPr>
            <w:tcW w:w="471"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spacing w:line="254" w:lineRule="auto"/>
              <w:jc w:val="center"/>
              <w:rPr>
                <w:szCs w:val="20"/>
              </w:rPr>
            </w:pPr>
            <w:r w:rsidRPr="00480C61">
              <w:rPr>
                <w:szCs w:val="20"/>
              </w:rPr>
              <w:t>0.71</w:t>
            </w:r>
          </w:p>
        </w:tc>
        <w:tc>
          <w:tcPr>
            <w:tcW w:w="443" w:type="pct"/>
            <w:tcBorders>
              <w:top w:val="single" w:sz="4" w:space="0" w:color="auto"/>
              <w:left w:val="single" w:sz="4" w:space="0" w:color="auto"/>
              <w:bottom w:val="single" w:sz="4" w:space="0" w:color="auto"/>
              <w:right w:val="double" w:sz="4" w:space="0" w:color="auto"/>
            </w:tcBorders>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spacing w:line="254" w:lineRule="auto"/>
              <w:jc w:val="center"/>
              <w:rPr>
                <w:szCs w:val="20"/>
              </w:rPr>
            </w:pPr>
            <w:r w:rsidRPr="00480C61">
              <w:rPr>
                <w:szCs w:val="20"/>
              </w:rPr>
              <w:t>0.82</w:t>
            </w:r>
          </w:p>
        </w:tc>
        <w:tc>
          <w:tcPr>
            <w:tcW w:w="443"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r>
      <w:tr w:rsidR="008F32DE" w:rsidRPr="00EF4FFA" w:rsidTr="00480C61">
        <w:tc>
          <w:tcPr>
            <w:tcW w:w="2044"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tabs>
                <w:tab w:val="left" w:pos="37"/>
              </w:tabs>
              <w:spacing w:line="254" w:lineRule="auto"/>
              <w:ind w:left="37"/>
              <w:rPr>
                <w:szCs w:val="20"/>
              </w:rPr>
            </w:pPr>
            <w:r w:rsidRPr="00480C61">
              <w:rPr>
                <w:szCs w:val="20"/>
              </w:rPr>
              <w:t>+ most pessimistic TTP extrapolation curve for ACAL mono (Gompertz)</w:t>
            </w:r>
          </w:p>
        </w:tc>
        <w:tc>
          <w:tcPr>
            <w:tcW w:w="471"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0.70</w:t>
            </w:r>
          </w:p>
        </w:tc>
        <w:tc>
          <w:tcPr>
            <w:tcW w:w="443" w:type="pct"/>
            <w:tcBorders>
              <w:top w:val="single" w:sz="4" w:space="0" w:color="auto"/>
              <w:left w:val="single" w:sz="4" w:space="0" w:color="auto"/>
              <w:bottom w:val="single" w:sz="4" w:space="0" w:color="auto"/>
              <w:right w:val="doub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0.61</w:t>
            </w:r>
          </w:p>
        </w:tc>
        <w:tc>
          <w:tcPr>
            <w:tcW w:w="443"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r>
      <w:tr w:rsidR="008F32DE" w:rsidRPr="00EF4FFA" w:rsidTr="00480C61">
        <w:tc>
          <w:tcPr>
            <w:tcW w:w="2044" w:type="pct"/>
            <w:tcBorders>
              <w:top w:val="single" w:sz="4" w:space="0" w:color="auto"/>
              <w:left w:val="single" w:sz="4" w:space="0" w:color="auto"/>
              <w:bottom w:val="single" w:sz="4" w:space="0" w:color="auto"/>
              <w:right w:val="single" w:sz="4" w:space="0" w:color="auto"/>
            </w:tcBorders>
            <w:hideMark/>
          </w:tcPr>
          <w:p w:rsidR="008F32DE" w:rsidRPr="00480C61" w:rsidRDefault="008F32DE" w:rsidP="00480C61">
            <w:pPr>
              <w:pStyle w:val="Tabletext0"/>
              <w:keepNext/>
              <w:keepLines/>
              <w:widowControl w:val="0"/>
              <w:tabs>
                <w:tab w:val="left" w:pos="37"/>
              </w:tabs>
              <w:spacing w:line="254" w:lineRule="auto"/>
              <w:ind w:left="37"/>
              <w:rPr>
                <w:szCs w:val="20"/>
              </w:rPr>
            </w:pPr>
            <w:r w:rsidRPr="00480C61">
              <w:rPr>
                <w:szCs w:val="20"/>
              </w:rPr>
              <w:t>+ Most optimistic TTP extrapolation curve for ACAL mono (lognormal)</w:t>
            </w:r>
          </w:p>
        </w:tc>
        <w:tc>
          <w:tcPr>
            <w:tcW w:w="471"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1.49</w:t>
            </w:r>
          </w:p>
        </w:tc>
        <w:tc>
          <w:tcPr>
            <w:tcW w:w="443" w:type="pct"/>
            <w:tcBorders>
              <w:top w:val="single" w:sz="4" w:space="0" w:color="auto"/>
              <w:left w:val="single" w:sz="4" w:space="0" w:color="auto"/>
              <w:bottom w:val="single" w:sz="4" w:space="0" w:color="auto"/>
              <w:right w:val="doub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1.69</w:t>
            </w:r>
          </w:p>
        </w:tc>
        <w:tc>
          <w:tcPr>
            <w:tcW w:w="443" w:type="pct"/>
            <w:tcBorders>
              <w:top w:val="single" w:sz="4" w:space="0" w:color="auto"/>
              <w:left w:val="single" w:sz="4" w:space="0" w:color="auto"/>
              <w:bottom w:val="single" w:sz="4" w:space="0" w:color="auto"/>
              <w:right w:val="single" w:sz="4" w:space="0" w:color="auto"/>
            </w:tcBorders>
            <w:vAlign w:val="center"/>
            <w:hideMark/>
          </w:tcPr>
          <w:p w:rsidR="008F32DE" w:rsidRPr="00480C61" w:rsidRDefault="008F32D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r>
      <w:tr w:rsidR="006C32EE" w:rsidRPr="00EF4FFA" w:rsidTr="00480C61">
        <w:tc>
          <w:tcPr>
            <w:tcW w:w="2044" w:type="pct"/>
            <w:tcBorders>
              <w:top w:val="single" w:sz="4" w:space="0" w:color="auto"/>
              <w:left w:val="single" w:sz="4" w:space="0" w:color="auto"/>
              <w:bottom w:val="single" w:sz="4" w:space="0" w:color="auto"/>
              <w:right w:val="single" w:sz="4" w:space="0" w:color="auto"/>
            </w:tcBorders>
          </w:tcPr>
          <w:p w:rsidR="006C32EE" w:rsidRPr="00480C61" w:rsidRDefault="006C32EE" w:rsidP="00480C61">
            <w:pPr>
              <w:pStyle w:val="Tabletext0"/>
              <w:keepNext/>
              <w:keepLines/>
              <w:widowControl w:val="0"/>
              <w:tabs>
                <w:tab w:val="left" w:pos="142"/>
              </w:tabs>
              <w:spacing w:line="254" w:lineRule="auto"/>
              <w:rPr>
                <w:b/>
                <w:szCs w:val="20"/>
              </w:rPr>
            </w:pPr>
            <w:r w:rsidRPr="00480C61">
              <w:rPr>
                <w:b/>
                <w:szCs w:val="20"/>
              </w:rPr>
              <w:t>PSCR alternative base case</w:t>
            </w:r>
            <w:r w:rsidR="000C735C" w:rsidRPr="00480C61">
              <w:rPr>
                <w:b/>
                <w:szCs w:val="20"/>
              </w:rPr>
              <w:t xml:space="preserve"> (ESC corrected)</w:t>
            </w:r>
            <w:r w:rsidRPr="00480C61">
              <w:rPr>
                <w:b/>
                <w:szCs w:val="20"/>
                <w:vertAlign w:val="superscript"/>
              </w:rPr>
              <w:t>b</w:t>
            </w:r>
          </w:p>
        </w:tc>
        <w:tc>
          <w:tcPr>
            <w:tcW w:w="471"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b/>
                <w:szCs w:val="20"/>
              </w:rPr>
            </w:pPr>
            <w:r w:rsidRPr="00480C61">
              <w:rPr>
                <w:b/>
                <w:szCs w:val="20"/>
              </w:rPr>
              <w:t>1.69</w:t>
            </w:r>
          </w:p>
        </w:tc>
        <w:tc>
          <w:tcPr>
            <w:tcW w:w="443" w:type="pct"/>
            <w:tcBorders>
              <w:top w:val="single" w:sz="4" w:space="0" w:color="auto"/>
              <w:left w:val="single" w:sz="4" w:space="0" w:color="auto"/>
              <w:bottom w:val="single" w:sz="4" w:space="0" w:color="auto"/>
              <w:right w:val="double" w:sz="4" w:space="0" w:color="auto"/>
            </w:tcBorders>
            <w:vAlign w:val="center"/>
          </w:tcPr>
          <w:p w:rsidR="006C32EE" w:rsidRPr="00480C61" w:rsidRDefault="006C32EE"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C32EE" w:rsidRPr="00480C61" w:rsidRDefault="006C32EE" w:rsidP="00480C61">
            <w:pPr>
              <w:pStyle w:val="Tabletext0"/>
              <w:keepNext/>
              <w:keepLines/>
              <w:widowControl w:val="0"/>
              <w:spacing w:line="254" w:lineRule="auto"/>
              <w:jc w:val="center"/>
              <w:rPr>
                <w:b/>
                <w:szCs w:val="20"/>
              </w:rPr>
            </w:pPr>
            <w:r w:rsidRPr="00480C61">
              <w:rPr>
                <w:b/>
                <w:szCs w:val="20"/>
              </w:rPr>
              <w:t>2.01</w:t>
            </w:r>
          </w:p>
        </w:tc>
        <w:tc>
          <w:tcPr>
            <w:tcW w:w="443"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b/>
                <w:szCs w:val="20"/>
              </w:rPr>
            </w:pPr>
            <w:r w:rsidRPr="00480C61">
              <w:rPr>
                <w:b/>
                <w:szCs w:val="20"/>
              </w:rPr>
              <w:t>$</w:t>
            </w:r>
            <w:r w:rsidR="00BF3740">
              <w:rPr>
                <w:b/>
                <w:noProof/>
                <w:color w:val="000000"/>
                <w:szCs w:val="20"/>
                <w:highlight w:val="black"/>
              </w:rPr>
              <w:t>'''''''''''''</w:t>
            </w:r>
          </w:p>
        </w:tc>
      </w:tr>
      <w:tr w:rsidR="006C32EE" w:rsidRPr="00EF4FFA" w:rsidTr="00480C61">
        <w:tc>
          <w:tcPr>
            <w:tcW w:w="2044" w:type="pct"/>
            <w:tcBorders>
              <w:top w:val="single" w:sz="4" w:space="0" w:color="auto"/>
              <w:left w:val="single" w:sz="4" w:space="0" w:color="auto"/>
              <w:bottom w:val="single" w:sz="4" w:space="0" w:color="auto"/>
              <w:right w:val="single" w:sz="4" w:space="0" w:color="auto"/>
            </w:tcBorders>
          </w:tcPr>
          <w:p w:rsidR="006C32EE" w:rsidRPr="00480C61" w:rsidRDefault="006C32EE" w:rsidP="00480C61">
            <w:pPr>
              <w:pStyle w:val="Tabletext0"/>
              <w:keepNext/>
              <w:keepLines/>
              <w:widowControl w:val="0"/>
              <w:tabs>
                <w:tab w:val="left" w:pos="142"/>
              </w:tabs>
              <w:spacing w:line="254" w:lineRule="auto"/>
              <w:rPr>
                <w:szCs w:val="20"/>
              </w:rPr>
            </w:pPr>
            <w:r w:rsidRPr="00480C61">
              <w:rPr>
                <w:szCs w:val="20"/>
              </w:rPr>
              <w:t>+ 15 year time horizon (196 cycles)</w:t>
            </w:r>
          </w:p>
        </w:tc>
        <w:tc>
          <w:tcPr>
            <w:tcW w:w="471"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1.43</w:t>
            </w:r>
          </w:p>
        </w:tc>
        <w:tc>
          <w:tcPr>
            <w:tcW w:w="443" w:type="pct"/>
            <w:tcBorders>
              <w:top w:val="single" w:sz="4" w:space="0" w:color="auto"/>
              <w:left w:val="single" w:sz="4" w:space="0" w:color="auto"/>
              <w:bottom w:val="single" w:sz="4" w:space="0" w:color="auto"/>
              <w:right w:val="doub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1.68</w:t>
            </w:r>
          </w:p>
        </w:tc>
        <w:tc>
          <w:tcPr>
            <w:tcW w:w="443"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r>
      <w:tr w:rsidR="006C32EE" w:rsidRPr="00EF4FFA" w:rsidTr="00480C61">
        <w:tc>
          <w:tcPr>
            <w:tcW w:w="2044" w:type="pct"/>
            <w:tcBorders>
              <w:top w:val="single" w:sz="4" w:space="0" w:color="auto"/>
              <w:left w:val="single" w:sz="4" w:space="0" w:color="auto"/>
              <w:bottom w:val="single" w:sz="4" w:space="0" w:color="auto"/>
              <w:right w:val="single" w:sz="4" w:space="0" w:color="auto"/>
            </w:tcBorders>
          </w:tcPr>
          <w:p w:rsidR="006C32EE" w:rsidRPr="00480C61" w:rsidRDefault="006C32EE" w:rsidP="00480C61">
            <w:pPr>
              <w:pStyle w:val="Tabletext0"/>
              <w:keepNext/>
              <w:keepLines/>
              <w:widowControl w:val="0"/>
              <w:tabs>
                <w:tab w:val="left" w:pos="142"/>
              </w:tabs>
              <w:spacing w:line="254" w:lineRule="auto"/>
              <w:rPr>
                <w:szCs w:val="20"/>
              </w:rPr>
            </w:pPr>
            <w:r w:rsidRPr="00480C61">
              <w:rPr>
                <w:szCs w:val="20"/>
              </w:rPr>
              <w:t>+ 10 year time horizon (130 cycles)</w:t>
            </w:r>
          </w:p>
        </w:tc>
        <w:tc>
          <w:tcPr>
            <w:tcW w:w="471"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86"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0.96</w:t>
            </w:r>
          </w:p>
        </w:tc>
        <w:tc>
          <w:tcPr>
            <w:tcW w:w="443" w:type="pct"/>
            <w:tcBorders>
              <w:top w:val="single" w:sz="4" w:space="0" w:color="auto"/>
              <w:left w:val="single" w:sz="4" w:space="0" w:color="auto"/>
              <w:bottom w:val="single" w:sz="4" w:space="0" w:color="auto"/>
              <w:right w:val="doub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471" w:type="pct"/>
            <w:tcBorders>
              <w:top w:val="single" w:sz="4" w:space="0" w:color="auto"/>
              <w:left w:val="doub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c>
          <w:tcPr>
            <w:tcW w:w="5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1.11</w:t>
            </w:r>
          </w:p>
        </w:tc>
        <w:tc>
          <w:tcPr>
            <w:tcW w:w="443" w:type="pct"/>
            <w:tcBorders>
              <w:top w:val="single" w:sz="4" w:space="0" w:color="auto"/>
              <w:left w:val="single" w:sz="4" w:space="0" w:color="auto"/>
              <w:bottom w:val="single" w:sz="4" w:space="0" w:color="auto"/>
              <w:right w:val="single" w:sz="4" w:space="0" w:color="auto"/>
            </w:tcBorders>
            <w:vAlign w:val="center"/>
          </w:tcPr>
          <w:p w:rsidR="006C32EE" w:rsidRPr="00480C61" w:rsidRDefault="006C32EE" w:rsidP="00480C61">
            <w:pPr>
              <w:pStyle w:val="Tabletext0"/>
              <w:keepNext/>
              <w:keepLines/>
              <w:widowControl w:val="0"/>
              <w:spacing w:line="254" w:lineRule="auto"/>
              <w:jc w:val="center"/>
              <w:rPr>
                <w:szCs w:val="20"/>
              </w:rPr>
            </w:pPr>
            <w:r w:rsidRPr="00480C61">
              <w:rPr>
                <w:szCs w:val="20"/>
              </w:rPr>
              <w:t>$</w:t>
            </w:r>
            <w:r w:rsidR="00BF3740">
              <w:rPr>
                <w:noProof/>
                <w:color w:val="000000"/>
                <w:szCs w:val="20"/>
                <w:highlight w:val="black"/>
              </w:rPr>
              <w:t>'''''''''''''''''''''</w:t>
            </w:r>
          </w:p>
        </w:tc>
      </w:tr>
    </w:tbl>
    <w:p w:rsidR="00621392" w:rsidRPr="00EF4FFA" w:rsidRDefault="00621392" w:rsidP="00480C61">
      <w:pPr>
        <w:pStyle w:val="TableFigureFooter"/>
        <w:keepNext/>
        <w:keepLines/>
        <w:widowControl w:val="0"/>
      </w:pPr>
      <w:r w:rsidRPr="00EF4FFA">
        <w:t xml:space="preserve">ACAL = acalabrutinib; </w:t>
      </w:r>
      <w:r w:rsidR="00BA339B" w:rsidRPr="00EF4FFA">
        <w:t xml:space="preserve">AEMP = approved ex-manufacturer price; </w:t>
      </w:r>
      <w:r w:rsidRPr="00EF4FFA">
        <w:t xml:space="preserve">CHL = chlorambucil; </w:t>
      </w:r>
      <w:r w:rsidR="00BA339B" w:rsidRPr="00EF4FFA">
        <w:t xml:space="preserve">DPMQ = dispensed price for maximum quantity; </w:t>
      </w:r>
      <w:r w:rsidRPr="00EF4FFA">
        <w:t xml:space="preserve">ICER = incremental cost effectiveness ratio; </w:t>
      </w:r>
      <w:proofErr w:type="spellStart"/>
      <w:r w:rsidR="00BA339B" w:rsidRPr="00EF4FFA">
        <w:t>Incr</w:t>
      </w:r>
      <w:proofErr w:type="spellEnd"/>
      <w:r w:rsidR="00BA339B" w:rsidRPr="00EF4FFA">
        <w:t xml:space="preserve"> = incremental; </w:t>
      </w:r>
      <w:r w:rsidRPr="00EF4FFA">
        <w:t xml:space="preserve">OBI = obinutuzumab; </w:t>
      </w:r>
      <w:r w:rsidR="00BA339B" w:rsidRPr="00EF4FFA">
        <w:t xml:space="preserve">PSCR = pre-Sub-Committee Response; </w:t>
      </w:r>
      <w:r w:rsidRPr="00EF4FFA">
        <w:t>QALY = quality adjusted life year</w:t>
      </w:r>
      <w:r w:rsidR="00BA339B" w:rsidRPr="00EF4FFA">
        <w:t>; TTP = time to progression</w:t>
      </w:r>
    </w:p>
    <w:p w:rsidR="00AB169B" w:rsidRPr="00EF4FFA" w:rsidRDefault="00AB169B" w:rsidP="00480C61">
      <w:pPr>
        <w:pStyle w:val="TableFigureFooter"/>
        <w:keepNext/>
        <w:keepLines/>
        <w:widowControl w:val="0"/>
      </w:pPr>
      <w:r w:rsidRPr="00EF4FFA">
        <w:t>Source: Table 3.39 (p 159) of the submission</w:t>
      </w:r>
    </w:p>
    <w:p w:rsidR="00AB169B" w:rsidRPr="00EF4FFA" w:rsidRDefault="00AB169B" w:rsidP="00480C61">
      <w:pPr>
        <w:pStyle w:val="TableFigureFooter"/>
        <w:keepNext/>
        <w:keepLines/>
        <w:widowControl w:val="0"/>
      </w:pPr>
      <w:proofErr w:type="spellStart"/>
      <w:proofErr w:type="gramStart"/>
      <w:r w:rsidRPr="00EF4FFA">
        <w:rPr>
          <w:vertAlign w:val="superscript"/>
        </w:rPr>
        <w:t>a</w:t>
      </w:r>
      <w:proofErr w:type="spellEnd"/>
      <w:proofErr w:type="gramEnd"/>
      <w:r w:rsidRPr="00EF4FFA">
        <w:t xml:space="preserve"> Includes correction of acalabrutinib drug cost from effective AEMP to effective DPMQ</w:t>
      </w:r>
    </w:p>
    <w:p w:rsidR="00AB169B" w:rsidRPr="00EF4FFA" w:rsidRDefault="006C32EE" w:rsidP="00480C61">
      <w:pPr>
        <w:pStyle w:val="TableFigureFooter"/>
        <w:keepNext/>
        <w:keepLines/>
        <w:widowControl w:val="0"/>
      </w:pPr>
      <w:proofErr w:type="gramStart"/>
      <w:r w:rsidRPr="00EF4FFA">
        <w:rPr>
          <w:vertAlign w:val="superscript"/>
        </w:rPr>
        <w:t>b</w:t>
      </w:r>
      <w:proofErr w:type="gramEnd"/>
      <w:r w:rsidRPr="00EF4FFA">
        <w:t xml:space="preserve"> The analysis in the PSCR assumed that second-line therapies would have the same survival benefit (based on ibrutinib) but different costs (ibrutinib vs. venetoclax/idelalisib with rituximab) resulting in ICER of </w:t>
      </w:r>
      <w:r w:rsidR="00D5280C">
        <w:t>$55,000 to &lt; $75,000</w:t>
      </w:r>
      <w:r w:rsidRPr="00EF4FFA">
        <w:t xml:space="preserve"> per QALY for acalabrutinib monotherapy and $</w:t>
      </w:r>
      <w:r w:rsidRPr="00D5280C">
        <w:t>75,</w:t>
      </w:r>
      <w:r w:rsidR="00D5280C" w:rsidRPr="00D5280C">
        <w:t>50</w:t>
      </w:r>
      <w:r w:rsidR="00D5280C">
        <w:t>0 to &lt; $95,000</w:t>
      </w:r>
      <w:r w:rsidR="00D5280C" w:rsidRPr="00EF4FFA">
        <w:t xml:space="preserve"> </w:t>
      </w:r>
      <w:r w:rsidRPr="00EF4FFA">
        <w:t>per QALY for acalabrutinib combination therapy. This analysis was inappropriate and inconsistent with PBACs previous recommendation to list venetoclax on a cost-minimisation basis versus ibrutinib. Therefore, the PSCR analysis was replicated assuming that both arms had the same second-line survival benefit and cost (based on ibrutinib).</w:t>
      </w:r>
    </w:p>
    <w:p w:rsidR="00A52DBD" w:rsidRPr="005234F5" w:rsidRDefault="00A52DBD" w:rsidP="00A52DBD">
      <w:pPr>
        <w:rPr>
          <w:b/>
        </w:rPr>
      </w:pPr>
      <w:r w:rsidRPr="005234F5">
        <w:rPr>
          <w:rFonts w:asciiTheme="minorHAnsi" w:hAnsiTheme="minorHAnsi"/>
        </w:rPr>
        <w:t xml:space="preserve">The redacted table shows ICERs in the range of </w:t>
      </w:r>
      <w:r w:rsidRPr="005234F5">
        <w:rPr>
          <w:rFonts w:asciiTheme="minorHAnsi" w:hAnsiTheme="minorHAnsi" w:cstheme="minorHAnsi"/>
        </w:rPr>
        <w:t>$75,000 to &lt; $95,000 to $255,000 to &lt; $355,000.</w:t>
      </w:r>
    </w:p>
    <w:p w:rsidR="00D13124" w:rsidRDefault="00D13124" w:rsidP="00BD4187">
      <w:pPr>
        <w:spacing w:after="120"/>
        <w:rPr>
          <w:b/>
          <w:i/>
        </w:rPr>
      </w:pPr>
    </w:p>
    <w:p w:rsidR="00FF6835" w:rsidRPr="00EF4FFA" w:rsidRDefault="00FF6835" w:rsidP="00BD4187">
      <w:pPr>
        <w:spacing w:after="120"/>
        <w:rPr>
          <w:rFonts w:eastAsia="Calibri"/>
          <w:b/>
          <w:i/>
          <w:szCs w:val="20"/>
        </w:rPr>
      </w:pPr>
      <w:r w:rsidRPr="00EF4FFA">
        <w:rPr>
          <w:b/>
          <w:i/>
        </w:rPr>
        <w:t>Cost minimisation analysis</w:t>
      </w:r>
      <w:r w:rsidRPr="00EF4FFA">
        <w:rPr>
          <w:rFonts w:eastAsia="Calibri"/>
          <w:b/>
          <w:i/>
          <w:szCs w:val="20"/>
        </w:rPr>
        <w:t xml:space="preserve"> </w:t>
      </w:r>
    </w:p>
    <w:p w:rsidR="00FF6835" w:rsidRPr="00EF4FFA" w:rsidRDefault="00786A6E" w:rsidP="00FF6835">
      <w:pPr>
        <w:pStyle w:val="ExecSumBodyText"/>
        <w:rPr>
          <w:rFonts w:eastAsia="Calibri"/>
          <w:szCs w:val="20"/>
        </w:rPr>
      </w:pPr>
      <w:r>
        <w:t>6.77</w:t>
      </w:r>
      <w:r>
        <w:tab/>
      </w:r>
      <w:r w:rsidR="00CF40A3" w:rsidRPr="00EF4FFA">
        <w:t xml:space="preserve">The submission presented a cost minimisation analysis of acalabrutinib monotherapy versus ibrutinib monotherapy </w:t>
      </w:r>
      <w:r w:rsidR="00A940D5" w:rsidRPr="00EF4FFA">
        <w:t>based on the claim of non-inferior effectiveness and superior safety</w:t>
      </w:r>
      <w:r w:rsidR="00E30DEB" w:rsidRPr="00EF4FFA">
        <w:t xml:space="preserve"> in the subset of previously untreated CLL/SLL patients with 17p deletion</w:t>
      </w:r>
      <w:r w:rsidR="00CF40A3" w:rsidRPr="00EF4FFA">
        <w:t>. The su</w:t>
      </w:r>
      <w:r w:rsidR="00A940D5" w:rsidRPr="00EF4FFA">
        <w:t>bmission did not include a cost-</w:t>
      </w:r>
      <w:r w:rsidR="00CF40A3" w:rsidRPr="00EF4FFA">
        <w:t>minimisation analysis of acalabrutinib + obinutuzumab versus ibrutinib monotherapy.</w:t>
      </w:r>
    </w:p>
    <w:p w:rsidR="00CF40A3" w:rsidRPr="00EF4FFA" w:rsidRDefault="00786A6E" w:rsidP="00FF6835">
      <w:pPr>
        <w:pStyle w:val="ExecSumBodyText"/>
        <w:rPr>
          <w:rFonts w:eastAsia="Calibri"/>
          <w:szCs w:val="20"/>
        </w:rPr>
      </w:pPr>
      <w:r>
        <w:t>6.78</w:t>
      </w:r>
      <w:r>
        <w:tab/>
      </w:r>
      <w:r w:rsidR="00CF40A3" w:rsidRPr="00EF4FFA">
        <w:t xml:space="preserve">The submission proposed the following </w:t>
      </w:r>
      <w:proofErr w:type="spellStart"/>
      <w:r w:rsidR="00CF40A3" w:rsidRPr="00EF4FFA">
        <w:t>equi</w:t>
      </w:r>
      <w:proofErr w:type="spellEnd"/>
      <w:r w:rsidR="00CF40A3" w:rsidRPr="00EF4FFA">
        <w:t>-effective doses:</w:t>
      </w:r>
    </w:p>
    <w:p w:rsidR="00CF40A3" w:rsidRPr="00EF4FFA" w:rsidRDefault="00CF40A3" w:rsidP="00BD0FFF">
      <w:pPr>
        <w:pStyle w:val="ExecSumBodyText"/>
        <w:ind w:left="1440" w:firstLine="0"/>
      </w:pPr>
      <w:r w:rsidRPr="00EF4FFA">
        <w:t xml:space="preserve">Acalabrutinib 100 mg twice daily </w:t>
      </w:r>
      <w:r w:rsidR="00BD0FFF" w:rsidRPr="00EF4FFA">
        <w:t>=</w:t>
      </w:r>
      <w:r w:rsidRPr="00EF4FFA">
        <w:t xml:space="preserve"> ibrutinib 420 mg once daily.</w:t>
      </w:r>
    </w:p>
    <w:p w:rsidR="00FF6835" w:rsidRPr="00EF4FFA" w:rsidRDefault="00786A6E" w:rsidP="00FF6835">
      <w:pPr>
        <w:pStyle w:val="ExecSumBodyText"/>
      </w:pPr>
      <w:r>
        <w:t>6.79</w:t>
      </w:r>
      <w:r>
        <w:tab/>
      </w:r>
      <w:r w:rsidR="00CF40A3" w:rsidRPr="00EF4FFA">
        <w:t xml:space="preserve">The </w:t>
      </w:r>
      <w:proofErr w:type="spellStart"/>
      <w:r w:rsidR="00CF40A3" w:rsidRPr="00EF4FFA">
        <w:t>equi</w:t>
      </w:r>
      <w:proofErr w:type="spellEnd"/>
      <w:r w:rsidR="00CF40A3" w:rsidRPr="00EF4FFA">
        <w:t>-effective doses of acalabrutinib and ibrutinib were based on the doses used in the ELEVATE-TN and RESONATE-2 trials. These doses are consistent with the doses recommended in the respective product information documents. For both acalabrutinib and ibrutinib, treatment is recommended to continue until disease progre</w:t>
      </w:r>
      <w:r w:rsidR="00FF6835" w:rsidRPr="00EF4FFA">
        <w:t>ssion or unacceptable toxicity.</w:t>
      </w:r>
    </w:p>
    <w:p w:rsidR="00FF6835" w:rsidRPr="00EF4FFA" w:rsidRDefault="00786A6E" w:rsidP="00FF6835">
      <w:pPr>
        <w:pStyle w:val="ExecSumBodyText"/>
      </w:pPr>
      <w:r>
        <w:t>6.80</w:t>
      </w:r>
      <w:r>
        <w:tab/>
      </w:r>
      <w:r w:rsidR="00A940D5" w:rsidRPr="00EF4FFA">
        <w:t>The cost-minimisation analysis included costs associated with Grade 1/2 diarrhoea, and Grade 3/4 major haemorrhage, infections, and atrial fibrillation.</w:t>
      </w:r>
      <w:r w:rsidR="00B02C86" w:rsidRPr="00EF4FFA">
        <w:t xml:space="preserve"> Table 16</w:t>
      </w:r>
      <w:r w:rsidR="00A940D5" w:rsidRPr="00EF4FFA">
        <w:t xml:space="preserve"> summarises the </w:t>
      </w:r>
      <w:r w:rsidR="00331044" w:rsidRPr="00EF4FFA">
        <w:t xml:space="preserve">derivation of the </w:t>
      </w:r>
      <w:r w:rsidR="00A940D5" w:rsidRPr="00EF4FFA">
        <w:t xml:space="preserve">adverse event costs included in the cost-minimisation analysis. </w:t>
      </w:r>
    </w:p>
    <w:p w:rsidR="00FF6835" w:rsidRPr="00EF4FFA" w:rsidRDefault="00B02C86" w:rsidP="00480C61">
      <w:pPr>
        <w:pStyle w:val="TableFigureCaption"/>
      </w:pPr>
      <w:r w:rsidRPr="00EF4FFA">
        <w:lastRenderedPageBreak/>
        <w:t>Table 16</w:t>
      </w:r>
      <w:r w:rsidR="00FF6835" w:rsidRPr="00EF4FFA">
        <w:t>: Adverse event costs included in the cost-minimisation analysis.</w:t>
      </w:r>
    </w:p>
    <w:tbl>
      <w:tblPr>
        <w:tblW w:w="5000" w:type="pct"/>
        <w:tblLook w:val="04A0" w:firstRow="1" w:lastRow="0" w:firstColumn="1" w:lastColumn="0" w:noHBand="0" w:noVBand="1"/>
      </w:tblPr>
      <w:tblGrid>
        <w:gridCol w:w="2953"/>
        <w:gridCol w:w="1277"/>
        <w:gridCol w:w="1196"/>
        <w:gridCol w:w="1197"/>
        <w:gridCol w:w="1197"/>
        <w:gridCol w:w="1197"/>
      </w:tblGrid>
      <w:tr w:rsidR="00FF6835" w:rsidRPr="00EF4FFA" w:rsidTr="00480C61">
        <w:tc>
          <w:tcPr>
            <w:tcW w:w="1637" w:type="pct"/>
            <w:vMerge w:val="restart"/>
            <w:tcBorders>
              <w:top w:val="single" w:sz="4" w:space="0" w:color="auto"/>
              <w:left w:val="single" w:sz="4" w:space="0" w:color="auto"/>
              <w:bottom w:val="single" w:sz="4" w:space="0" w:color="auto"/>
              <w:right w:val="single" w:sz="4" w:space="0" w:color="auto"/>
            </w:tcBorders>
            <w:noWrap/>
            <w:vAlign w:val="bottom"/>
          </w:tcPr>
          <w:p w:rsidR="00FF6835" w:rsidRPr="00EF4FFA" w:rsidRDefault="00FF6835" w:rsidP="00FC736F">
            <w:pPr>
              <w:pStyle w:val="TableText"/>
              <w:keepLines/>
              <w:rPr>
                <w:bCs w:val="0"/>
                <w:szCs w:val="20"/>
              </w:rPr>
            </w:pPr>
          </w:p>
        </w:tc>
        <w:tc>
          <w:tcPr>
            <w:tcW w:w="708" w:type="pct"/>
            <w:vMerge w:val="restar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
                <w:bCs w:val="0"/>
                <w:szCs w:val="20"/>
              </w:rPr>
            </w:pPr>
            <w:r w:rsidRPr="00EF4FFA">
              <w:rPr>
                <w:b/>
                <w:bCs w:val="0"/>
                <w:szCs w:val="20"/>
              </w:rPr>
              <w:t>Cost</w:t>
            </w:r>
          </w:p>
        </w:tc>
        <w:tc>
          <w:tcPr>
            <w:tcW w:w="1327" w:type="pct"/>
            <w:gridSpan w:val="2"/>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
                <w:bCs w:val="0"/>
                <w:szCs w:val="20"/>
              </w:rPr>
            </w:pPr>
            <w:r w:rsidRPr="00EF4FFA">
              <w:rPr>
                <w:b/>
                <w:bCs w:val="0"/>
                <w:szCs w:val="20"/>
              </w:rPr>
              <w:t>Acalabrutinib</w:t>
            </w:r>
          </w:p>
        </w:tc>
        <w:tc>
          <w:tcPr>
            <w:tcW w:w="1327" w:type="pct"/>
            <w:gridSpan w:val="2"/>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jc w:val="center"/>
              <w:rPr>
                <w:b/>
                <w:bCs w:val="0"/>
                <w:szCs w:val="20"/>
              </w:rPr>
            </w:pPr>
            <w:r w:rsidRPr="00EF4FFA">
              <w:rPr>
                <w:b/>
                <w:bCs w:val="0"/>
                <w:szCs w:val="20"/>
              </w:rPr>
              <w:t>Ibrutinib</w:t>
            </w:r>
          </w:p>
        </w:tc>
      </w:tr>
      <w:tr w:rsidR="00FF6835" w:rsidRPr="00EF4FFA" w:rsidTr="00480C61">
        <w:tc>
          <w:tcPr>
            <w:tcW w:w="1637" w:type="pct"/>
            <w:vMerge/>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FC736F">
            <w:pPr>
              <w:keepNext/>
              <w:keepLines/>
              <w:jc w:val="left"/>
              <w:rPr>
                <w:rFonts w:ascii="Arial Narrow" w:eastAsiaTheme="majorEastAsia" w:hAnsi="Arial Narrow" w:cstheme="majorBidi"/>
                <w:sz w:val="22"/>
                <w:szCs w:val="20"/>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FC736F">
            <w:pPr>
              <w:keepNext/>
              <w:keepLines/>
              <w:jc w:val="center"/>
              <w:rPr>
                <w:rFonts w:ascii="Arial Narrow" w:eastAsiaTheme="majorEastAsia" w:hAnsi="Arial Narrow" w:cstheme="majorBidi"/>
                <w:b/>
                <w:sz w:val="22"/>
                <w:szCs w:val="20"/>
              </w:rPr>
            </w:pPr>
          </w:p>
        </w:tc>
        <w:tc>
          <w:tcPr>
            <w:tcW w:w="663"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
                <w:bCs w:val="0"/>
                <w:szCs w:val="20"/>
                <w:vertAlign w:val="superscript"/>
              </w:rPr>
            </w:pPr>
            <w:r w:rsidRPr="00EF4FFA">
              <w:rPr>
                <w:b/>
                <w:bCs w:val="0"/>
                <w:szCs w:val="20"/>
              </w:rPr>
              <w:t>Proportion</w:t>
            </w:r>
            <w:r w:rsidRPr="00EF4FFA">
              <w:rPr>
                <w:b/>
                <w:bCs w:val="0"/>
                <w:szCs w:val="20"/>
                <w:vertAlign w:val="superscript"/>
              </w:rPr>
              <w:t>1</w:t>
            </w:r>
          </w:p>
        </w:tc>
        <w:tc>
          <w:tcPr>
            <w:tcW w:w="664"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
                <w:bCs w:val="0"/>
                <w:szCs w:val="20"/>
              </w:rPr>
            </w:pPr>
            <w:r w:rsidRPr="00EF4FFA">
              <w:rPr>
                <w:b/>
                <w:bCs w:val="0"/>
                <w:szCs w:val="20"/>
              </w:rPr>
              <w:t>Cost</w:t>
            </w:r>
          </w:p>
        </w:tc>
        <w:tc>
          <w:tcPr>
            <w:tcW w:w="664" w:type="pct"/>
            <w:tcBorders>
              <w:top w:val="single" w:sz="4" w:space="0" w:color="auto"/>
              <w:left w:val="single" w:sz="4" w:space="0" w:color="auto"/>
              <w:bottom w:val="single" w:sz="4" w:space="0" w:color="auto"/>
              <w:right w:val="single" w:sz="4" w:space="0" w:color="auto"/>
            </w:tcBorders>
            <w:noWrap/>
            <w:hideMark/>
          </w:tcPr>
          <w:p w:rsidR="00FF6835" w:rsidRPr="00EF4FFA" w:rsidRDefault="00FF6835" w:rsidP="00FC736F">
            <w:pPr>
              <w:pStyle w:val="TableText"/>
              <w:keepLines/>
              <w:jc w:val="center"/>
              <w:rPr>
                <w:bCs w:val="0"/>
                <w:szCs w:val="20"/>
                <w:vertAlign w:val="superscript"/>
              </w:rPr>
            </w:pPr>
            <w:r w:rsidRPr="00EF4FFA">
              <w:rPr>
                <w:b/>
                <w:bCs w:val="0"/>
                <w:szCs w:val="20"/>
              </w:rPr>
              <w:t>Proportion</w:t>
            </w:r>
            <w:r w:rsidRPr="00EF4FFA">
              <w:rPr>
                <w:b/>
                <w:bCs w:val="0"/>
                <w:szCs w:val="20"/>
                <w:vertAlign w:val="superscript"/>
              </w:rPr>
              <w:t>1</w:t>
            </w:r>
          </w:p>
        </w:tc>
        <w:tc>
          <w:tcPr>
            <w:tcW w:w="664"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
                <w:bCs w:val="0"/>
                <w:szCs w:val="20"/>
              </w:rPr>
              <w:t>Cost</w:t>
            </w:r>
          </w:p>
        </w:tc>
      </w:tr>
      <w:tr w:rsidR="00FF6835" w:rsidRPr="00EF4FFA" w:rsidTr="00480C61">
        <w:tc>
          <w:tcPr>
            <w:tcW w:w="1637"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rPr>
                <w:bCs w:val="0"/>
                <w:szCs w:val="20"/>
              </w:rPr>
            </w:pPr>
            <w:r w:rsidRPr="00EF4FFA">
              <w:rPr>
                <w:bCs w:val="0"/>
                <w:szCs w:val="20"/>
              </w:rPr>
              <w:t xml:space="preserve">Vomiting (Grade 1/2) </w:t>
            </w:r>
          </w:p>
        </w:tc>
        <w:tc>
          <w:tcPr>
            <w:tcW w:w="708"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$44.10</w:t>
            </w:r>
          </w:p>
        </w:tc>
        <w:tc>
          <w:tcPr>
            <w:tcW w:w="663"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3.1%</w:t>
            </w:r>
          </w:p>
        </w:tc>
        <w:tc>
          <w:tcPr>
            <w:tcW w:w="664"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$1.36</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jc w:val="center"/>
              <w:rPr>
                <w:bCs w:val="0"/>
                <w:szCs w:val="20"/>
              </w:rPr>
            </w:pPr>
            <w:r w:rsidRPr="00EF4FFA">
              <w:rPr>
                <w:bCs w:val="0"/>
                <w:szCs w:val="20"/>
              </w:rPr>
              <w:t>7.0%</w:t>
            </w:r>
          </w:p>
        </w:tc>
        <w:tc>
          <w:tcPr>
            <w:tcW w:w="664" w:type="pct"/>
            <w:tcBorders>
              <w:top w:val="single" w:sz="4" w:space="0" w:color="auto"/>
              <w:left w:val="single" w:sz="4" w:space="0" w:color="auto"/>
              <w:bottom w:val="single" w:sz="4" w:space="0" w:color="auto"/>
              <w:right w:val="single" w:sz="4" w:space="0" w:color="auto"/>
            </w:tcBorders>
            <w:vAlign w:val="bottom"/>
            <w:hideMark/>
          </w:tcPr>
          <w:p w:rsidR="00FF6835" w:rsidRPr="00EF4FFA" w:rsidRDefault="00FF6835" w:rsidP="00FC736F">
            <w:pPr>
              <w:pStyle w:val="TableText"/>
              <w:keepLines/>
              <w:jc w:val="center"/>
              <w:rPr>
                <w:bCs w:val="0"/>
                <w:szCs w:val="20"/>
              </w:rPr>
            </w:pPr>
            <w:r w:rsidRPr="00EF4FFA">
              <w:rPr>
                <w:bCs w:val="0"/>
                <w:szCs w:val="20"/>
              </w:rPr>
              <w:t>$3.10</w:t>
            </w:r>
          </w:p>
        </w:tc>
      </w:tr>
      <w:tr w:rsidR="00FF6835" w:rsidRPr="00EF4FFA" w:rsidTr="00480C61">
        <w:tc>
          <w:tcPr>
            <w:tcW w:w="1637"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rPr>
                <w:bCs w:val="0"/>
                <w:szCs w:val="20"/>
              </w:rPr>
            </w:pPr>
            <w:r w:rsidRPr="00EF4FFA">
              <w:rPr>
                <w:szCs w:val="20"/>
              </w:rPr>
              <w:t>Haemorrhage (Grade 3/4)</w:t>
            </w:r>
          </w:p>
        </w:tc>
        <w:tc>
          <w:tcPr>
            <w:tcW w:w="708"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FC736F">
            <w:pPr>
              <w:pStyle w:val="TableText"/>
              <w:keepLines/>
              <w:jc w:val="center"/>
              <w:rPr>
                <w:bCs w:val="0"/>
                <w:szCs w:val="20"/>
              </w:rPr>
            </w:pPr>
            <w:r w:rsidRPr="00EF4FFA">
              <w:rPr>
                <w:szCs w:val="20"/>
              </w:rPr>
              <w:t>$6,770.29</w:t>
            </w:r>
          </w:p>
        </w:tc>
        <w:tc>
          <w:tcPr>
            <w:tcW w:w="663"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0.8%</w:t>
            </w:r>
          </w:p>
        </w:tc>
        <w:tc>
          <w:tcPr>
            <w:tcW w:w="664"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$51.49</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jc w:val="center"/>
              <w:rPr>
                <w:bCs w:val="0"/>
                <w:szCs w:val="20"/>
              </w:rPr>
            </w:pPr>
            <w:r w:rsidRPr="00EF4FFA">
              <w:rPr>
                <w:bCs w:val="0"/>
                <w:szCs w:val="20"/>
              </w:rPr>
              <w:t>2.5%</w:t>
            </w:r>
          </w:p>
        </w:tc>
        <w:tc>
          <w:tcPr>
            <w:tcW w:w="664" w:type="pct"/>
            <w:tcBorders>
              <w:top w:val="single" w:sz="4" w:space="0" w:color="auto"/>
              <w:left w:val="single" w:sz="4" w:space="0" w:color="auto"/>
              <w:bottom w:val="single" w:sz="4" w:space="0" w:color="auto"/>
              <w:right w:val="single" w:sz="4" w:space="0" w:color="auto"/>
            </w:tcBorders>
            <w:vAlign w:val="bottom"/>
            <w:hideMark/>
          </w:tcPr>
          <w:p w:rsidR="00FF6835" w:rsidRPr="00EF4FFA" w:rsidRDefault="00FF6835" w:rsidP="00FC736F">
            <w:pPr>
              <w:pStyle w:val="TableText"/>
              <w:keepLines/>
              <w:jc w:val="center"/>
              <w:rPr>
                <w:bCs w:val="0"/>
                <w:szCs w:val="20"/>
              </w:rPr>
            </w:pPr>
            <w:r w:rsidRPr="00EF4FFA">
              <w:rPr>
                <w:bCs w:val="0"/>
                <w:szCs w:val="20"/>
              </w:rPr>
              <w:t>$168.09</w:t>
            </w:r>
          </w:p>
        </w:tc>
      </w:tr>
      <w:tr w:rsidR="00FF6835" w:rsidRPr="00EF4FFA" w:rsidTr="00480C61">
        <w:tc>
          <w:tcPr>
            <w:tcW w:w="1637"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rPr>
                <w:bCs w:val="0"/>
                <w:szCs w:val="20"/>
              </w:rPr>
            </w:pPr>
            <w:r w:rsidRPr="00EF4FFA">
              <w:rPr>
                <w:bCs w:val="0"/>
                <w:szCs w:val="20"/>
              </w:rPr>
              <w:t xml:space="preserve">Infection (Grade 3/4) </w:t>
            </w:r>
          </w:p>
        </w:tc>
        <w:tc>
          <w:tcPr>
            <w:tcW w:w="708"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$5,243.46</w:t>
            </w:r>
          </w:p>
        </w:tc>
        <w:tc>
          <w:tcPr>
            <w:tcW w:w="663"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5.2%</w:t>
            </w:r>
          </w:p>
        </w:tc>
        <w:tc>
          <w:tcPr>
            <w:tcW w:w="664"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$274.73</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jc w:val="center"/>
              <w:rPr>
                <w:bCs w:val="0"/>
                <w:szCs w:val="20"/>
              </w:rPr>
            </w:pPr>
            <w:r w:rsidRPr="00EF4FFA">
              <w:rPr>
                <w:bCs w:val="0"/>
                <w:szCs w:val="20"/>
              </w:rPr>
              <w:t>9.9%</w:t>
            </w:r>
          </w:p>
        </w:tc>
        <w:tc>
          <w:tcPr>
            <w:tcW w:w="664" w:type="pct"/>
            <w:tcBorders>
              <w:top w:val="single" w:sz="4" w:space="0" w:color="auto"/>
              <w:left w:val="single" w:sz="4" w:space="0" w:color="auto"/>
              <w:bottom w:val="single" w:sz="4" w:space="0" w:color="auto"/>
              <w:right w:val="single" w:sz="4" w:space="0" w:color="auto"/>
            </w:tcBorders>
            <w:vAlign w:val="bottom"/>
            <w:hideMark/>
          </w:tcPr>
          <w:p w:rsidR="00FF6835" w:rsidRPr="00EF4FFA" w:rsidRDefault="00FF6835" w:rsidP="00FC736F">
            <w:pPr>
              <w:pStyle w:val="TableText"/>
              <w:keepLines/>
              <w:jc w:val="center"/>
              <w:rPr>
                <w:bCs w:val="0"/>
                <w:szCs w:val="20"/>
              </w:rPr>
            </w:pPr>
            <w:r w:rsidRPr="00EF4FFA">
              <w:rPr>
                <w:bCs w:val="0"/>
                <w:szCs w:val="20"/>
              </w:rPr>
              <w:t>$520.73</w:t>
            </w:r>
          </w:p>
        </w:tc>
      </w:tr>
      <w:tr w:rsidR="00FF6835" w:rsidRPr="00EF4FFA" w:rsidTr="00480C61">
        <w:tc>
          <w:tcPr>
            <w:tcW w:w="1637"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rPr>
                <w:bCs w:val="0"/>
                <w:szCs w:val="20"/>
              </w:rPr>
            </w:pPr>
            <w:r w:rsidRPr="00EF4FFA">
              <w:rPr>
                <w:bCs w:val="0"/>
              </w:rPr>
              <w:t>Atrial fibrillation (Grade 3/4)</w:t>
            </w:r>
          </w:p>
        </w:tc>
        <w:tc>
          <w:tcPr>
            <w:tcW w:w="708"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FC736F">
            <w:pPr>
              <w:pStyle w:val="TableText"/>
              <w:keepLines/>
              <w:jc w:val="center"/>
              <w:rPr>
                <w:bCs w:val="0"/>
                <w:szCs w:val="20"/>
              </w:rPr>
            </w:pPr>
            <w:r w:rsidRPr="00EF4FFA">
              <w:rPr>
                <w:bCs w:val="0"/>
              </w:rPr>
              <w:t>$3,995.48</w:t>
            </w:r>
          </w:p>
        </w:tc>
        <w:tc>
          <w:tcPr>
            <w:tcW w:w="663"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0%</w:t>
            </w:r>
          </w:p>
        </w:tc>
        <w:tc>
          <w:tcPr>
            <w:tcW w:w="664" w:type="pct"/>
            <w:tcBorders>
              <w:top w:val="single" w:sz="4" w:space="0" w:color="auto"/>
              <w:left w:val="single" w:sz="4" w:space="0" w:color="auto"/>
              <w:bottom w:val="single" w:sz="4" w:space="0" w:color="auto"/>
              <w:right w:val="single" w:sz="4" w:space="0" w:color="auto"/>
            </w:tcBorders>
            <w:hideMark/>
          </w:tcPr>
          <w:p w:rsidR="00FF6835" w:rsidRPr="00EF4FFA" w:rsidRDefault="00FF6835" w:rsidP="00FC736F">
            <w:pPr>
              <w:pStyle w:val="TableText"/>
              <w:keepLines/>
              <w:jc w:val="center"/>
              <w:rPr>
                <w:bCs w:val="0"/>
                <w:szCs w:val="20"/>
              </w:rPr>
            </w:pPr>
            <w:r w:rsidRPr="00EF4FFA">
              <w:rPr>
                <w:bCs w:val="0"/>
                <w:szCs w:val="20"/>
              </w:rPr>
              <w:t>$0</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jc w:val="center"/>
              <w:rPr>
                <w:bCs w:val="0"/>
                <w:szCs w:val="20"/>
              </w:rPr>
            </w:pPr>
            <w:r w:rsidRPr="00EF4FFA">
              <w:rPr>
                <w:bCs w:val="0"/>
                <w:szCs w:val="20"/>
              </w:rPr>
              <w:t>1.7%</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FF6835" w:rsidRPr="00EF4FFA" w:rsidRDefault="00FF6835" w:rsidP="00FC736F">
            <w:pPr>
              <w:pStyle w:val="TableText"/>
              <w:keepLines/>
              <w:jc w:val="center"/>
              <w:rPr>
                <w:bCs w:val="0"/>
                <w:szCs w:val="20"/>
              </w:rPr>
            </w:pPr>
            <w:r w:rsidRPr="00EF4FFA">
              <w:rPr>
                <w:bCs w:val="0"/>
                <w:szCs w:val="20"/>
              </w:rPr>
              <w:t>$66.13</w:t>
            </w:r>
          </w:p>
        </w:tc>
      </w:tr>
    </w:tbl>
    <w:p w:rsidR="00657A48" w:rsidRPr="00EF4FFA" w:rsidRDefault="00657A48" w:rsidP="00480C61">
      <w:pPr>
        <w:pStyle w:val="TableFigureFooter"/>
      </w:pPr>
      <w:r w:rsidRPr="00EF4FFA">
        <w:t>MAIC = matching adjusted indirect comparison</w:t>
      </w:r>
    </w:p>
    <w:p w:rsidR="00FF6835" w:rsidRPr="00EF4FFA" w:rsidRDefault="00FF6835" w:rsidP="00480C61">
      <w:pPr>
        <w:pStyle w:val="TableFigureFooter"/>
      </w:pPr>
      <w:r w:rsidRPr="00EF4FFA">
        <w:t>Source: Table 3.43, p165; Table 3.44, p166; Table 3.45, p166; Table 3.46, p167 of the submission.</w:t>
      </w:r>
    </w:p>
    <w:p w:rsidR="00FF6835" w:rsidRPr="00EF4FFA" w:rsidRDefault="00FF6835" w:rsidP="00480C61">
      <w:pPr>
        <w:pStyle w:val="TableFigureFooter"/>
      </w:pPr>
      <w:r w:rsidRPr="00EF4FFA">
        <w:rPr>
          <w:vertAlign w:val="superscript"/>
        </w:rPr>
        <w:t>1</w:t>
      </w:r>
      <w:r w:rsidRPr="00EF4FFA">
        <w:t xml:space="preserve"> The proportions of patients with adverse events were based on the MAIC analysis, adjusted for the 12 month duration of the analysis.</w:t>
      </w:r>
    </w:p>
    <w:p w:rsidR="00FF6835" w:rsidRPr="00EF4FFA" w:rsidRDefault="00786A6E" w:rsidP="00FF6835">
      <w:pPr>
        <w:pStyle w:val="ExecSumBodyText"/>
      </w:pPr>
      <w:r>
        <w:t>6.81</w:t>
      </w:r>
      <w:r>
        <w:tab/>
      </w:r>
      <w:r w:rsidR="00A940D5" w:rsidRPr="00EF4FFA">
        <w:t xml:space="preserve">Based on the included adverse event costs and proportions, the estimated cost of treating adverse events was $327.58 for acalabrutinib and $758.05 for ibrutinib, a difference of $430.47. </w:t>
      </w:r>
    </w:p>
    <w:p w:rsidR="00FF6835" w:rsidRPr="00EF4FFA" w:rsidRDefault="00786A6E" w:rsidP="00FF6835">
      <w:pPr>
        <w:pStyle w:val="ExecSumBodyText"/>
      </w:pPr>
      <w:r>
        <w:t>6.82</w:t>
      </w:r>
      <w:r>
        <w:tab/>
      </w:r>
      <w:r w:rsidR="00A940D5" w:rsidRPr="00EF4FFA">
        <w:t xml:space="preserve">The results of the cost minimisation analysis of acalabrutinib monotherapy versus ibrutinib monotherapy in the subset of previously untreated CLL/SLL patients with 17p deletion, using the published price of ibrutinib, are summarised in the table below. </w:t>
      </w:r>
    </w:p>
    <w:p w:rsidR="00FF6835" w:rsidRPr="00EF4FFA" w:rsidRDefault="00B02C86" w:rsidP="00480C61">
      <w:pPr>
        <w:pStyle w:val="TableFigureCaption"/>
        <w:rPr>
          <w:rFonts w:cstheme="minorBidi"/>
          <w:szCs w:val="22"/>
        </w:rPr>
      </w:pPr>
      <w:r w:rsidRPr="00EF4FFA">
        <w:t>Table 17</w:t>
      </w:r>
      <w:r w:rsidR="00FF6835" w:rsidRPr="00EF4FFA">
        <w:t>: Derivation of the cost-minimised price for acalabrutinib based on the ibrutinib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08"/>
        <w:gridCol w:w="1876"/>
        <w:gridCol w:w="1733"/>
      </w:tblGrid>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tcPr>
          <w:p w:rsidR="00FF6835" w:rsidRPr="00EF4FFA" w:rsidRDefault="00FF6835" w:rsidP="009728AA">
            <w:pPr>
              <w:pStyle w:val="PBACTableText"/>
              <w:keepNext/>
              <w:tabs>
                <w:tab w:val="left" w:pos="142"/>
              </w:tabs>
              <w:spacing w:before="0" w:after="0" w:line="254" w:lineRule="auto"/>
            </w:pP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rPr>
                <w:b/>
              </w:rPr>
            </w:pPr>
            <w:r w:rsidRPr="00EF4FFA">
              <w:rPr>
                <w:b/>
              </w:rPr>
              <w:t>Ibrutinib</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rPr>
                <w:b/>
              </w:rPr>
            </w:pPr>
            <w:r w:rsidRPr="00EF4FFA">
              <w:rPr>
                <w:b/>
              </w:rPr>
              <w:t>Acalabrutinib</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 xml:space="preserve">Proposed </w:t>
            </w:r>
            <w:proofErr w:type="spellStart"/>
            <w:r w:rsidRPr="00EF4FFA">
              <w:t>equi</w:t>
            </w:r>
            <w:proofErr w:type="spellEnd"/>
            <w:r w:rsidRPr="00EF4FFA">
              <w:t>-effective dose</w:t>
            </w:r>
            <w:r w:rsidR="00E25798">
              <w:t xml:space="preserve"> </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420 mg daily for 12 months</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 xml:space="preserve">100 mg twice daily </w:t>
            </w:r>
          </w:p>
          <w:p w:rsidR="00FF6835" w:rsidRPr="00EF4FFA" w:rsidRDefault="00FF6835" w:rsidP="009728AA">
            <w:pPr>
              <w:pStyle w:val="PBACTableText"/>
              <w:keepNext/>
              <w:spacing w:before="0" w:after="0" w:line="254" w:lineRule="auto"/>
              <w:jc w:val="center"/>
            </w:pPr>
            <w:r w:rsidRPr="00EF4FFA">
              <w:t>for 12 months</w:t>
            </w:r>
          </w:p>
        </w:tc>
      </w:tr>
      <w:tr w:rsidR="00FF6835" w:rsidRPr="00EF4FFA" w:rsidTr="00480C61">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rPr>
                <w:b/>
              </w:rPr>
            </w:pPr>
            <w:r w:rsidRPr="00EF4FFA">
              <w:rPr>
                <w:b/>
              </w:rPr>
              <w:t>Treatment cost (Ibrutinib)</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IBR 140 mg drug cost at AEMP (90 capsules per pack)</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$8,633.29</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IBR drug cost over 12 months (12.18 packs x $8,633.29)</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$105,110.31</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IBR adverse event costs over 12 months</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$758.05</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IBR total treatment costs over 12 months</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$105,868.36</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r>
      <w:tr w:rsidR="00FF6835" w:rsidRPr="00EF4FFA" w:rsidTr="00480C61">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rPr>
                <w:b/>
              </w:rPr>
            </w:pPr>
            <w:r w:rsidRPr="00EF4FFA">
              <w:rPr>
                <w:b/>
              </w:rPr>
              <w:t>Cost-minimisation (Acalabrutinib)</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ACAL total treatment cost over 12 months</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$105,868.36</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ACAL adverse event costs over 12 months</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$327.58</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ACAL drug cost over 12 months ($105,868.36 - $327.58)</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$105,540.78</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jc w:val="left"/>
            </w:pPr>
            <w:r w:rsidRPr="00EF4FFA">
              <w:t>ACAL 100 mg cost-minimised AEMP ($105,540.78 ÷ 13.04 packs)</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$8,090.75</w:t>
            </w:r>
          </w:p>
        </w:tc>
      </w:tr>
      <w:tr w:rsidR="00FF6835" w:rsidRPr="00EF4FFA" w:rsidTr="00480C61">
        <w:tc>
          <w:tcPr>
            <w:tcW w:w="2999"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tabs>
                <w:tab w:val="left" w:pos="142"/>
              </w:tabs>
              <w:spacing w:before="0" w:after="0" w:line="254" w:lineRule="auto"/>
            </w:pPr>
            <w:r w:rsidRPr="00EF4FFA">
              <w:t>ACAL 100 mg cost-minimised DPMQ (56 capsules per pack)</w:t>
            </w:r>
          </w:p>
        </w:tc>
        <w:tc>
          <w:tcPr>
            <w:tcW w:w="1040"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FF6835" w:rsidRPr="00EF4FFA" w:rsidRDefault="00FF6835" w:rsidP="009728AA">
            <w:pPr>
              <w:pStyle w:val="PBACTableText"/>
              <w:keepNext/>
              <w:spacing w:before="0" w:after="0" w:line="254" w:lineRule="auto"/>
              <w:jc w:val="center"/>
            </w:pPr>
            <w:r w:rsidRPr="00EF4FFA">
              <w:t>$9,127.00</w:t>
            </w:r>
          </w:p>
        </w:tc>
      </w:tr>
    </w:tbl>
    <w:p w:rsidR="00BA339B" w:rsidRPr="00EF4FFA" w:rsidRDefault="00657A48" w:rsidP="00480C61">
      <w:pPr>
        <w:pStyle w:val="TableFigureFooter"/>
      </w:pPr>
      <w:r w:rsidRPr="00EF4FFA">
        <w:t xml:space="preserve">ACAL = acalabrutinib; </w:t>
      </w:r>
      <w:r w:rsidR="00BA339B" w:rsidRPr="00EF4FFA">
        <w:t xml:space="preserve">AEMP = approved ex-manufacturer price; DPMQ = dispensed price for maximum quantity; IBR = ibrutinib. </w:t>
      </w:r>
    </w:p>
    <w:p w:rsidR="00FF6835" w:rsidRPr="00EF4FFA" w:rsidRDefault="00FF6835" w:rsidP="00480C61">
      <w:pPr>
        <w:pStyle w:val="TableFigureFooter"/>
      </w:pPr>
      <w:r w:rsidRPr="00EF4FFA">
        <w:t>Source: Table 3.47, p168 of the submission; ‘Acalabrutinib (CALQUENCE</w:t>
      </w:r>
      <w:proofErr w:type="gramStart"/>
      <w:r w:rsidRPr="00EF4FFA">
        <w:t>)_</w:t>
      </w:r>
      <w:proofErr w:type="gramEnd"/>
      <w:r w:rsidRPr="00EF4FFA">
        <w:t xml:space="preserve">1L CLL_PBAC CM </w:t>
      </w:r>
      <w:proofErr w:type="spellStart"/>
      <w:r w:rsidRPr="00EF4FFA">
        <w:t>Model_FINAL</w:t>
      </w:r>
      <w:proofErr w:type="spellEnd"/>
      <w:r w:rsidRPr="00EF4FFA">
        <w:t>’ Excel workbook.</w:t>
      </w:r>
    </w:p>
    <w:p w:rsidR="00FF6835" w:rsidRPr="00EF4FFA" w:rsidRDefault="00786A6E" w:rsidP="00FF6835">
      <w:pPr>
        <w:pStyle w:val="ExecSumBodyText"/>
      </w:pPr>
      <w:r>
        <w:t>6.83</w:t>
      </w:r>
      <w:r>
        <w:tab/>
      </w:r>
      <w:r w:rsidR="00AB169B" w:rsidRPr="00EF4FFA">
        <w:t>Based on the published price of ibrutinib, the cost-minimised DPMQ for ac</w:t>
      </w:r>
      <w:r w:rsidR="00FF6835" w:rsidRPr="00EF4FFA">
        <w:t>alabrutinib was $9,127.00.</w:t>
      </w:r>
    </w:p>
    <w:p w:rsidR="00FF6835" w:rsidRPr="00EF4FFA" w:rsidRDefault="00786A6E" w:rsidP="00FF6835">
      <w:pPr>
        <w:pStyle w:val="ExecSumBodyText"/>
      </w:pPr>
      <w:r>
        <w:t>6.84</w:t>
      </w:r>
      <w:r>
        <w:tab/>
      </w:r>
      <w:r w:rsidR="00AB169B" w:rsidRPr="00EF4FFA">
        <w:t>The results of the cost-minimisation analysis are not reliable due to the following:</w:t>
      </w:r>
    </w:p>
    <w:p w:rsidR="00B07784" w:rsidRPr="00EF4FFA" w:rsidRDefault="00B07784" w:rsidP="0093038C">
      <w:pPr>
        <w:pStyle w:val="ListParagraph"/>
        <w:numPr>
          <w:ilvl w:val="0"/>
          <w:numId w:val="34"/>
        </w:numPr>
        <w:ind w:left="1077" w:hanging="357"/>
      </w:pPr>
      <w:r w:rsidRPr="00EF4FFA">
        <w:t>The submission’s claim of non-inferior efficacy and superior safety of acalabrutinib compared to ibrutinib in patients with 17p deletion was not supported.</w:t>
      </w:r>
    </w:p>
    <w:p w:rsidR="00B07784" w:rsidRPr="00EF4FFA" w:rsidRDefault="00B07784" w:rsidP="0093038C">
      <w:pPr>
        <w:pStyle w:val="ListParagraph"/>
        <w:numPr>
          <w:ilvl w:val="0"/>
          <w:numId w:val="34"/>
        </w:numPr>
        <w:ind w:left="1077" w:hanging="357"/>
      </w:pPr>
      <w:r w:rsidRPr="00EF4FFA">
        <w:t>The submission’s cost offsets were based on the adjusted adverse event rates reported for the MAIC analysis for Grade 1/2 diarrhoea, and Grade 3/4 major haemorrhage, infections, and atrial fibrillation. Given the lack of available head-to-head safety data, and the uncertainty associated with the MAIC analysis of safety outcomes, it may be more appropriate to exclude adverse event costs from the cost-minimisation analysis.</w:t>
      </w:r>
    </w:p>
    <w:p w:rsidR="00B07784" w:rsidRPr="00EF4FFA" w:rsidRDefault="00B07784" w:rsidP="0093038C">
      <w:pPr>
        <w:pStyle w:val="ListParagraph"/>
        <w:numPr>
          <w:ilvl w:val="0"/>
          <w:numId w:val="34"/>
        </w:numPr>
        <w:spacing w:after="120"/>
        <w:ind w:left="1077" w:hanging="357"/>
      </w:pPr>
      <w:r w:rsidRPr="00EF4FFA">
        <w:lastRenderedPageBreak/>
        <w:t xml:space="preserve">The submission argued that the treatment durations for acalabrutinib and ibrutinib are expected to be similar, such that cost-minimisation will hold, regardless of the time on treatment. No evidence was provided to support this claim for the 17p deletion population. </w:t>
      </w:r>
    </w:p>
    <w:p w:rsidR="00B07784" w:rsidRPr="00EF4FFA" w:rsidRDefault="00786A6E" w:rsidP="00B07784">
      <w:pPr>
        <w:pStyle w:val="ExecSumBodyText"/>
      </w:pPr>
      <w:r>
        <w:t>6.85</w:t>
      </w:r>
      <w:r>
        <w:tab/>
      </w:r>
      <w:r w:rsidR="00FF6835" w:rsidRPr="00EF4FFA">
        <w:t>The ESC</w:t>
      </w:r>
      <w:r w:rsidR="00B07784" w:rsidRPr="00EF4FFA">
        <w:t xml:space="preserve"> </w:t>
      </w:r>
      <w:r w:rsidR="00501ACE" w:rsidRPr="00EF4FFA">
        <w:t xml:space="preserve">and PBAC </w:t>
      </w:r>
      <w:r w:rsidR="00B07784" w:rsidRPr="00EF4FFA">
        <w:t>considered that the cost minimisation analysis with ibrutinib should include the combination therapy of acalabrutinib + obinutuzumab as this was the treatment most likely to be used in patients with 17p deletion.</w:t>
      </w:r>
    </w:p>
    <w:p w:rsidR="00B07784" w:rsidRPr="00EF4FFA" w:rsidRDefault="00B07784" w:rsidP="00480C61">
      <w:pPr>
        <w:pStyle w:val="3-SubsectionHeading"/>
      </w:pPr>
      <w:bookmarkStart w:id="23" w:name="_Toc22897646"/>
      <w:bookmarkStart w:id="24" w:name="_Toc40350905"/>
      <w:r w:rsidRPr="00EF4FFA">
        <w:t>Drug cost/patient/year</w:t>
      </w:r>
      <w:bookmarkEnd w:id="23"/>
      <w:bookmarkEnd w:id="24"/>
    </w:p>
    <w:p w:rsidR="00B07784" w:rsidRPr="00EF4FFA" w:rsidRDefault="00786A6E" w:rsidP="00B07784">
      <w:pPr>
        <w:pStyle w:val="ExecSumBodyText"/>
        <w:rPr>
          <w:i/>
        </w:rPr>
      </w:pPr>
      <w:r>
        <w:t>6.86</w:t>
      </w:r>
      <w:r>
        <w:tab/>
      </w:r>
      <w:r w:rsidR="003759BC" w:rsidRPr="00EF4FFA">
        <w:t>The estimated drug cost for acalabrutinib was $</w:t>
      </w:r>
      <w:r w:rsidR="00BF3740">
        <w:rPr>
          <w:noProof/>
          <w:color w:val="000000"/>
          <w:highlight w:val="black"/>
        </w:rPr>
        <w:t>''''''''''''</w:t>
      </w:r>
      <w:r w:rsidR="003759BC" w:rsidRPr="00EF4FFA">
        <w:t xml:space="preserve"> per patient per year (based on 13.04 scripts using the </w:t>
      </w:r>
      <w:r w:rsidR="00692141" w:rsidRPr="00EF4FFA">
        <w:t>requested</w:t>
      </w:r>
      <w:r w:rsidR="005F4590" w:rsidRPr="00EF4FFA">
        <w:t xml:space="preserve"> </w:t>
      </w:r>
      <w:r w:rsidR="003759BC" w:rsidRPr="00EF4FFA">
        <w:t>effective DPMQ $</w:t>
      </w:r>
      <w:r w:rsidR="00BF3740">
        <w:rPr>
          <w:noProof/>
          <w:color w:val="000000"/>
          <w:highlight w:val="black"/>
        </w:rPr>
        <w:t>''''''''''''''''</w:t>
      </w:r>
      <w:r w:rsidR="003759BC" w:rsidRPr="00EF4FFA">
        <w:t xml:space="preserve"> for 28 days treatment).</w:t>
      </w:r>
    </w:p>
    <w:p w:rsidR="00B07784" w:rsidRPr="00EF4FFA" w:rsidRDefault="00786A6E" w:rsidP="00B07784">
      <w:pPr>
        <w:pStyle w:val="ExecSumBodyText"/>
        <w:rPr>
          <w:i/>
        </w:rPr>
      </w:pPr>
      <w:r>
        <w:t>6.87</w:t>
      </w:r>
      <w:r>
        <w:tab/>
      </w:r>
      <w:r w:rsidR="003759BC" w:rsidRPr="00EF4FFA">
        <w:t>The estimated drug cost for obinutuzumab was $43,550 for a single six-month treatment course (based on 8 infusions using the weighted published public/private hospital (42</w:t>
      </w:r>
      <w:r w:rsidR="00A4628B" w:rsidRPr="00EF4FFA">
        <w:t>%</w:t>
      </w:r>
      <w:r w:rsidR="003759BC" w:rsidRPr="00EF4FFA">
        <w:t>:58</w:t>
      </w:r>
      <w:r w:rsidR="00A4628B" w:rsidRPr="00EF4FFA">
        <w:t>%</w:t>
      </w:r>
      <w:r w:rsidR="003759BC" w:rsidRPr="00EF4FFA">
        <w:t>) DPMA $5,443.78).</w:t>
      </w:r>
    </w:p>
    <w:p w:rsidR="00494207" w:rsidRPr="00EF4FFA" w:rsidRDefault="00786A6E" w:rsidP="00B07784">
      <w:pPr>
        <w:pStyle w:val="ExecSumBodyText"/>
        <w:rPr>
          <w:i/>
        </w:rPr>
      </w:pPr>
      <w:r>
        <w:t>6.88</w:t>
      </w:r>
      <w:r>
        <w:tab/>
      </w:r>
      <w:r w:rsidR="003759BC" w:rsidRPr="00EF4FFA">
        <w:t>The estimated drug cost for chlorambucil was $1,604 for a single six-month treatment course (based on 12 scripts using the DPMQ $133.63 for 14 days treatment).</w:t>
      </w:r>
    </w:p>
    <w:p w:rsidR="00B60939" w:rsidRPr="00EF4FFA" w:rsidRDefault="00B60939" w:rsidP="002B05A1">
      <w:pPr>
        <w:pStyle w:val="3-SubsectionHeading"/>
      </w:pPr>
      <w:bookmarkStart w:id="25" w:name="_Toc22897647"/>
      <w:bookmarkStart w:id="26" w:name="_Toc40350906"/>
      <w:r w:rsidRPr="00EF4FFA">
        <w:t>Estimated PBS usage &amp; financial implications</w:t>
      </w:r>
      <w:bookmarkEnd w:id="25"/>
      <w:bookmarkEnd w:id="26"/>
    </w:p>
    <w:p w:rsidR="00DB0A27" w:rsidRPr="00EF4FFA" w:rsidRDefault="00786A6E" w:rsidP="00DB0A27">
      <w:pPr>
        <w:pStyle w:val="ExecSumBodyText"/>
        <w:rPr>
          <w:color w:val="0066FF"/>
        </w:rPr>
      </w:pPr>
      <w:r>
        <w:t>6.89</w:t>
      </w:r>
      <w:r>
        <w:tab/>
      </w:r>
      <w:r w:rsidR="00C25D9C" w:rsidRPr="00EF4FFA">
        <w:t xml:space="preserve">This submission </w:t>
      </w:r>
      <w:r w:rsidR="007011A0" w:rsidRPr="00EF4FFA">
        <w:t>was</w:t>
      </w:r>
      <w:r w:rsidR="0062794D" w:rsidRPr="00EF4FFA">
        <w:t xml:space="preserve"> </w:t>
      </w:r>
      <w:r w:rsidR="00C25D9C" w:rsidRPr="00EF4FFA">
        <w:t>not considered by DUSC.</w:t>
      </w:r>
      <w:r w:rsidR="00DB0A27" w:rsidRPr="00EF4FFA">
        <w:t xml:space="preserve"> The submission used a mixed epidemiological/market share approach to estimate the utilisation and financial impacts associated with the PBS listing of acalabrutinib for use as monotherapy or in combination with obinutuzumab. </w:t>
      </w:r>
    </w:p>
    <w:p w:rsidR="00DB0A27" w:rsidRPr="00EF4FFA" w:rsidRDefault="00786A6E" w:rsidP="00DB0A27">
      <w:pPr>
        <w:pStyle w:val="ExecSumBodyText"/>
      </w:pPr>
      <w:r>
        <w:t>6.90</w:t>
      </w:r>
      <w:r>
        <w:tab/>
      </w:r>
      <w:r w:rsidR="00DB0A27" w:rsidRPr="00EF4FFA">
        <w:t>The sources of data used in the financial estimates are presented in the table below.</w:t>
      </w:r>
    </w:p>
    <w:p w:rsidR="00DB0A27" w:rsidRPr="00480C61" w:rsidRDefault="00DB0A27" w:rsidP="00480C61">
      <w:pPr>
        <w:pStyle w:val="TableFigureCaption"/>
      </w:pPr>
      <w:r w:rsidRPr="00480C61">
        <w:t xml:space="preserve">Table </w:t>
      </w:r>
      <w:r w:rsidR="003759BC" w:rsidRPr="00480C61">
        <w:t>1</w:t>
      </w:r>
      <w:r w:rsidR="00B02C86" w:rsidRPr="00480C61">
        <w:t>8</w:t>
      </w:r>
      <w:r w:rsidRPr="00480C61">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4"/>
        <w:gridCol w:w="3527"/>
        <w:gridCol w:w="3776"/>
      </w:tblGrid>
      <w:tr w:rsidR="00DB0A27" w:rsidRPr="00EF4FFA" w:rsidTr="00480C61">
        <w:trPr>
          <w:tblHeader/>
        </w:trPr>
        <w:tc>
          <w:tcPr>
            <w:tcW w:w="950" w:type="pct"/>
            <w:shd w:val="clear" w:color="auto" w:fill="auto"/>
            <w:vAlign w:val="center"/>
          </w:tcPr>
          <w:p w:rsidR="00DB0A27" w:rsidRPr="00EF4FFA" w:rsidRDefault="00DB0A27" w:rsidP="00F22FCB">
            <w:pPr>
              <w:pStyle w:val="Tableheadingrow"/>
              <w:rPr>
                <w:lang w:val="en-AU"/>
              </w:rPr>
            </w:pPr>
            <w:r w:rsidRPr="00EF4FFA">
              <w:rPr>
                <w:lang w:val="en-AU"/>
              </w:rPr>
              <w:t>Parameter</w:t>
            </w:r>
          </w:p>
        </w:tc>
        <w:tc>
          <w:tcPr>
            <w:tcW w:w="1956" w:type="pct"/>
            <w:shd w:val="clear" w:color="auto" w:fill="auto"/>
            <w:vAlign w:val="center"/>
          </w:tcPr>
          <w:p w:rsidR="00DB0A27" w:rsidRPr="00EF4FFA" w:rsidRDefault="00DB0A27" w:rsidP="00F22FCB">
            <w:pPr>
              <w:pStyle w:val="Tableheadingrow"/>
              <w:rPr>
                <w:lang w:val="en-AU"/>
              </w:rPr>
            </w:pPr>
            <w:r w:rsidRPr="00EF4FFA">
              <w:rPr>
                <w:lang w:val="en-AU"/>
              </w:rPr>
              <w:t>Value applied and source</w:t>
            </w:r>
          </w:p>
        </w:tc>
        <w:tc>
          <w:tcPr>
            <w:tcW w:w="2094" w:type="pct"/>
            <w:shd w:val="clear" w:color="auto" w:fill="auto"/>
            <w:vAlign w:val="center"/>
          </w:tcPr>
          <w:p w:rsidR="00DB0A27" w:rsidRPr="00EF4FFA" w:rsidRDefault="00DB0A27" w:rsidP="00F22FCB">
            <w:pPr>
              <w:pStyle w:val="Tableheadingrow"/>
              <w:rPr>
                <w:lang w:val="en-AU"/>
              </w:rPr>
            </w:pPr>
            <w:r w:rsidRPr="00EF4FFA">
              <w:rPr>
                <w:lang w:val="en-AU"/>
              </w:rPr>
              <w:t>Comment</w:t>
            </w:r>
          </w:p>
        </w:tc>
      </w:tr>
      <w:tr w:rsidR="00DB0A27" w:rsidRPr="00EF4FFA" w:rsidTr="00480C61">
        <w:tc>
          <w:tcPr>
            <w:tcW w:w="950" w:type="pct"/>
            <w:shd w:val="clear" w:color="auto" w:fill="auto"/>
          </w:tcPr>
          <w:p w:rsidR="00DB0A27" w:rsidRPr="00EF4FFA" w:rsidRDefault="00DB0A27" w:rsidP="00F22FCB">
            <w:pPr>
              <w:pStyle w:val="TableText"/>
            </w:pPr>
            <w:r w:rsidRPr="00EF4FFA">
              <w:t>Incident CLL patients</w:t>
            </w:r>
          </w:p>
        </w:tc>
        <w:tc>
          <w:tcPr>
            <w:tcW w:w="1956" w:type="pct"/>
            <w:shd w:val="clear" w:color="auto" w:fill="auto"/>
          </w:tcPr>
          <w:p w:rsidR="00DB0A27" w:rsidRPr="00EF4FFA" w:rsidRDefault="00DB0A27" w:rsidP="00F22FCB">
            <w:pPr>
              <w:pStyle w:val="TableText"/>
            </w:pPr>
            <w:r w:rsidRPr="00EF4FFA">
              <w:t>Incidence of 6.7/100,000 (crude rate; 2015 AIHW estimate) applied to ABS Australian population projections (Series B 3222).</w:t>
            </w:r>
          </w:p>
        </w:tc>
        <w:tc>
          <w:tcPr>
            <w:tcW w:w="2094" w:type="pct"/>
            <w:shd w:val="clear" w:color="auto" w:fill="auto"/>
          </w:tcPr>
          <w:p w:rsidR="00DB0A27" w:rsidRPr="00EF4FFA" w:rsidRDefault="00DB0A27" w:rsidP="00F22FCB">
            <w:pPr>
              <w:pStyle w:val="TableText"/>
            </w:pPr>
            <w:r w:rsidRPr="00EF4FFA">
              <w:t>The submission assumed no growth in the incidence rate over time which may not be reasonable.</w:t>
            </w:r>
          </w:p>
        </w:tc>
      </w:tr>
      <w:tr w:rsidR="007458A6" w:rsidRPr="00EF4FFA" w:rsidTr="00480C61">
        <w:tc>
          <w:tcPr>
            <w:tcW w:w="950" w:type="pct"/>
            <w:shd w:val="clear" w:color="auto" w:fill="auto"/>
          </w:tcPr>
          <w:p w:rsidR="007458A6" w:rsidRPr="00EF4FFA" w:rsidRDefault="007458A6" w:rsidP="00F22FCB">
            <w:pPr>
              <w:pStyle w:val="TableText"/>
            </w:pPr>
            <w:r w:rsidRPr="00EF4FFA">
              <w:t>Probability of survival in CLL patients from diagnosis</w:t>
            </w:r>
          </w:p>
        </w:tc>
        <w:tc>
          <w:tcPr>
            <w:tcW w:w="1956" w:type="pct"/>
            <w:shd w:val="clear" w:color="auto" w:fill="auto"/>
          </w:tcPr>
          <w:p w:rsidR="007458A6" w:rsidRPr="00EF4FFA" w:rsidRDefault="007458A6" w:rsidP="00F22FCB">
            <w:pPr>
              <w:pStyle w:val="TableText"/>
            </w:pPr>
            <w:r w:rsidRPr="00EF4FFA">
              <w:t>The number of incident patients treated in the 9 years following diagnosis was estimated by applying CLL survival data to the incident patient numbers. Data on CLL survival by year after diagnosis was obtained from</w:t>
            </w:r>
            <w:r w:rsidR="009458EC" w:rsidRPr="00EF4FFA">
              <w:t xml:space="preserve"> a</w:t>
            </w:r>
            <w:r w:rsidRPr="00EF4FFA">
              <w:t xml:space="preserve"> Cancer Australia survival plot of survival (Figure B8(c) Cancer Australia, 2019).</w:t>
            </w:r>
          </w:p>
        </w:tc>
        <w:tc>
          <w:tcPr>
            <w:tcW w:w="2094" w:type="pct"/>
            <w:shd w:val="clear" w:color="auto" w:fill="auto"/>
          </w:tcPr>
          <w:p w:rsidR="007458A6" w:rsidRPr="00EF4FFA" w:rsidRDefault="007458A6" w:rsidP="00273725">
            <w:pPr>
              <w:pStyle w:val="TableText"/>
            </w:pPr>
            <w:r w:rsidRPr="00EF4FFA">
              <w:t xml:space="preserve">Based on historic survival data (2007-2011). </w:t>
            </w:r>
            <w:r w:rsidR="00273725" w:rsidRPr="00EF4FFA">
              <w:t>OS</w:t>
            </w:r>
            <w:r w:rsidRPr="00EF4FFA">
              <w:t xml:space="preserve"> rates are likely to have improved with the availability of new treatments.</w:t>
            </w:r>
          </w:p>
        </w:tc>
      </w:tr>
      <w:tr w:rsidR="00DB0A27" w:rsidRPr="00EF4FFA" w:rsidTr="00480C61">
        <w:tc>
          <w:tcPr>
            <w:tcW w:w="950" w:type="pct"/>
            <w:shd w:val="clear" w:color="auto" w:fill="auto"/>
          </w:tcPr>
          <w:p w:rsidR="00DB0A27" w:rsidRPr="00EF4FFA" w:rsidRDefault="00DB0A27" w:rsidP="00F22FCB">
            <w:pPr>
              <w:pStyle w:val="TableText"/>
            </w:pPr>
            <w:r w:rsidRPr="00EF4FFA">
              <w:t>Proportion of first-line eligible patients who are unsuitable for a purine analogue</w:t>
            </w:r>
          </w:p>
        </w:tc>
        <w:tc>
          <w:tcPr>
            <w:tcW w:w="1956" w:type="pct"/>
            <w:shd w:val="clear" w:color="auto" w:fill="auto"/>
          </w:tcPr>
          <w:p w:rsidR="00DB0A27" w:rsidRPr="00EF4FFA" w:rsidRDefault="00DB0A27" w:rsidP="00273725">
            <w:pPr>
              <w:pStyle w:val="TableText"/>
            </w:pPr>
            <w:r w:rsidRPr="00EF4FFA">
              <w:t xml:space="preserve">65%. </w:t>
            </w:r>
            <w:r w:rsidR="007458A6" w:rsidRPr="00EF4FFA">
              <w:t>Assumption based on</w:t>
            </w:r>
            <w:r w:rsidRPr="00EF4FFA">
              <w:t xml:space="preserve"> feedback from Australian clinicians, treatment guidelines (Guidelines from the Croatian Cooperative Group for </w:t>
            </w:r>
            <w:proofErr w:type="spellStart"/>
            <w:r w:rsidRPr="00EF4FFA">
              <w:t>Haematologic</w:t>
            </w:r>
            <w:proofErr w:type="spellEnd"/>
            <w:r w:rsidRPr="00EF4FFA">
              <w:t xml:space="preserve"> Disease; </w:t>
            </w:r>
            <w:proofErr w:type="spellStart"/>
            <w:r w:rsidRPr="00EF4FFA">
              <w:t>Jaksic</w:t>
            </w:r>
            <w:proofErr w:type="spellEnd"/>
            <w:r w:rsidRPr="00EF4FFA">
              <w:t xml:space="preserve"> 2018); and an epidemiology modelling study (</w:t>
            </w:r>
            <w:proofErr w:type="spellStart"/>
            <w:r w:rsidRPr="00EF4FFA">
              <w:t>Jeyakumaran</w:t>
            </w:r>
            <w:proofErr w:type="spellEnd"/>
            <w:r w:rsidRPr="00EF4FFA">
              <w:t xml:space="preserve"> 2016).</w:t>
            </w:r>
          </w:p>
        </w:tc>
        <w:tc>
          <w:tcPr>
            <w:tcW w:w="2094" w:type="pct"/>
            <w:shd w:val="clear" w:color="auto" w:fill="auto"/>
          </w:tcPr>
          <w:p w:rsidR="00DB0A27" w:rsidRPr="00EF4FFA" w:rsidRDefault="00DB0A27" w:rsidP="00F22FCB">
            <w:pPr>
              <w:pStyle w:val="TableText"/>
            </w:pPr>
            <w:r w:rsidRPr="00EF4FFA">
              <w:t xml:space="preserve">The availability of </w:t>
            </w:r>
            <w:r w:rsidR="009458EC" w:rsidRPr="00EF4FFA">
              <w:t xml:space="preserve">a </w:t>
            </w:r>
            <w:r w:rsidRPr="00EF4FFA">
              <w:t xml:space="preserve">new oral treatment may result in increased uptake. </w:t>
            </w:r>
            <w:r w:rsidR="009458EC" w:rsidRPr="00EF4FFA">
              <w:t>Current NCCN treatment guidelines list acalabrutinib monotherapy and acalabrutinib + obinutuzumab as first-line therapies (regardless of age or comorbidities) in preference to fludarabine + cyclophosphamide + rituximab.</w:t>
            </w:r>
          </w:p>
        </w:tc>
      </w:tr>
      <w:tr w:rsidR="00DB0A27" w:rsidRPr="00EF4FFA" w:rsidTr="00480C61">
        <w:tc>
          <w:tcPr>
            <w:tcW w:w="950" w:type="pct"/>
            <w:shd w:val="clear" w:color="auto" w:fill="auto"/>
            <w:vAlign w:val="center"/>
          </w:tcPr>
          <w:p w:rsidR="00DB0A27" w:rsidRPr="00EF4FFA" w:rsidRDefault="00DB0A27" w:rsidP="00F22FCB">
            <w:pPr>
              <w:pStyle w:val="TableText"/>
            </w:pPr>
            <w:r w:rsidRPr="00EF4FFA">
              <w:t>Proportion treated in year of diagnosis</w:t>
            </w:r>
          </w:p>
        </w:tc>
        <w:tc>
          <w:tcPr>
            <w:tcW w:w="1956" w:type="pct"/>
            <w:shd w:val="clear" w:color="auto" w:fill="auto"/>
            <w:vAlign w:val="center"/>
          </w:tcPr>
          <w:p w:rsidR="00DB0A27" w:rsidRPr="00EF4FFA" w:rsidRDefault="00DB0A27" w:rsidP="00F22FCB">
            <w:pPr>
              <w:pStyle w:val="TableText"/>
            </w:pPr>
            <w:r w:rsidRPr="00EF4FFA">
              <w:t>33.3%. Assumption based on Australian clinician advice.</w:t>
            </w:r>
          </w:p>
        </w:tc>
        <w:tc>
          <w:tcPr>
            <w:tcW w:w="2094" w:type="pct"/>
            <w:shd w:val="clear" w:color="auto" w:fill="auto"/>
          </w:tcPr>
          <w:p w:rsidR="00DB0A27" w:rsidRPr="00EF4FFA" w:rsidRDefault="00DB0A27" w:rsidP="00A879A7">
            <w:pPr>
              <w:pStyle w:val="TableText"/>
            </w:pPr>
            <w:r w:rsidRPr="00EF4FFA">
              <w:t>Unclear if reflective of Australian clinical practice</w:t>
            </w:r>
            <w:r w:rsidR="009458EC" w:rsidRPr="00EF4FFA">
              <w:t>.</w:t>
            </w:r>
          </w:p>
        </w:tc>
      </w:tr>
      <w:tr w:rsidR="00DB0A27" w:rsidRPr="00EF4FFA" w:rsidTr="00480C61">
        <w:tc>
          <w:tcPr>
            <w:tcW w:w="950" w:type="pct"/>
            <w:shd w:val="clear" w:color="auto" w:fill="auto"/>
            <w:vAlign w:val="center"/>
          </w:tcPr>
          <w:p w:rsidR="00DB0A27" w:rsidRPr="00EF4FFA" w:rsidRDefault="00DB0A27" w:rsidP="00847271">
            <w:pPr>
              <w:pStyle w:val="TableText"/>
              <w:keepNext w:val="0"/>
            </w:pPr>
            <w:r w:rsidRPr="00EF4FFA">
              <w:t xml:space="preserve">Proportion of CLL patients requiring </w:t>
            </w:r>
            <w:r w:rsidRPr="00EF4FFA">
              <w:lastRenderedPageBreak/>
              <w:t>treatment over a lifetime</w:t>
            </w:r>
          </w:p>
        </w:tc>
        <w:tc>
          <w:tcPr>
            <w:tcW w:w="1956" w:type="pct"/>
            <w:shd w:val="clear" w:color="auto" w:fill="auto"/>
            <w:vAlign w:val="center"/>
          </w:tcPr>
          <w:p w:rsidR="00DB0A27" w:rsidRPr="00EF4FFA" w:rsidRDefault="00DB0A27" w:rsidP="00273725">
            <w:pPr>
              <w:pStyle w:val="TableText"/>
              <w:keepNext w:val="0"/>
            </w:pPr>
            <w:r w:rsidRPr="00EF4FFA">
              <w:lastRenderedPageBreak/>
              <w:t xml:space="preserve">50%. Assumption based on Australian clinician advice. The remaining 16.7% of patients who initiate treatment were assumed to be spread </w:t>
            </w:r>
            <w:r w:rsidRPr="00EF4FFA">
              <w:lastRenderedPageBreak/>
              <w:t>evenly over the following nine years (1.85% per year). The submission argued that this is consistent with an analysis of long-term data from two chlorambucil clinical trials, which showed that after 11 years of follow-up, 49% of patients did not require treatment (</w:t>
            </w:r>
            <w:proofErr w:type="spellStart"/>
            <w:r w:rsidRPr="00EF4FFA">
              <w:t>Dighiero</w:t>
            </w:r>
            <w:proofErr w:type="spellEnd"/>
            <w:r w:rsidRPr="00EF4FFA">
              <w:t xml:space="preserve"> 1998).</w:t>
            </w:r>
          </w:p>
        </w:tc>
        <w:tc>
          <w:tcPr>
            <w:tcW w:w="2094" w:type="pct"/>
            <w:shd w:val="clear" w:color="auto" w:fill="auto"/>
          </w:tcPr>
          <w:p w:rsidR="00DB0A27" w:rsidRPr="00EF4FFA" w:rsidRDefault="00DB0A27" w:rsidP="00273725">
            <w:pPr>
              <w:pStyle w:val="TableText"/>
              <w:keepNext w:val="0"/>
            </w:pPr>
            <w:r w:rsidRPr="00EF4FFA">
              <w:lastRenderedPageBreak/>
              <w:t xml:space="preserve">The assumption that only 50% of patients would be treated over a lifetime was not adequately justified. The results from </w:t>
            </w:r>
            <w:proofErr w:type="spellStart"/>
            <w:r w:rsidRPr="00EF4FFA">
              <w:t>Dighiero</w:t>
            </w:r>
            <w:proofErr w:type="spellEnd"/>
            <w:r w:rsidRPr="00EF4FFA">
              <w:t xml:space="preserve"> </w:t>
            </w:r>
            <w:r w:rsidR="00273725" w:rsidRPr="00EF4FFA">
              <w:t>1998</w:t>
            </w:r>
            <w:r w:rsidRPr="00EF4FFA">
              <w:t xml:space="preserve"> were based on a </w:t>
            </w:r>
            <w:r w:rsidRPr="00EF4FFA">
              <w:lastRenderedPageBreak/>
              <w:t>follow-up of 11 years, and may not be representative of lifetime treatment rates.</w:t>
            </w:r>
          </w:p>
        </w:tc>
      </w:tr>
      <w:tr w:rsidR="00DB0A27" w:rsidRPr="00EF4FFA" w:rsidTr="00480C61">
        <w:tc>
          <w:tcPr>
            <w:tcW w:w="950" w:type="pct"/>
            <w:shd w:val="clear" w:color="auto" w:fill="auto"/>
          </w:tcPr>
          <w:p w:rsidR="00DB0A27" w:rsidRPr="00EF4FFA" w:rsidRDefault="00DB0A27" w:rsidP="00317631">
            <w:pPr>
              <w:pStyle w:val="TableText"/>
              <w:keepNext w:val="0"/>
            </w:pPr>
            <w:r w:rsidRPr="00EF4FFA">
              <w:lastRenderedPageBreak/>
              <w:t xml:space="preserve">Proportion of eligible first-line patients treated with </w:t>
            </w:r>
            <w:r w:rsidR="00317631" w:rsidRPr="00EF4FFA">
              <w:t xml:space="preserve">acalabrutinib </w:t>
            </w:r>
            <w:r w:rsidRPr="00EF4FFA">
              <w:t xml:space="preserve">+ </w:t>
            </w:r>
            <w:r w:rsidR="00317631" w:rsidRPr="00EF4FFA">
              <w:t>obinutuzumab</w:t>
            </w:r>
          </w:p>
        </w:tc>
        <w:tc>
          <w:tcPr>
            <w:tcW w:w="1956" w:type="pct"/>
            <w:shd w:val="clear" w:color="auto" w:fill="auto"/>
          </w:tcPr>
          <w:p w:rsidR="00DB0A27" w:rsidRPr="00EF4FFA" w:rsidRDefault="00DB0A27" w:rsidP="009458EC">
            <w:pPr>
              <w:pStyle w:val="TableText"/>
              <w:keepNext w:val="0"/>
            </w:pPr>
            <w:r w:rsidRPr="00EF4FFA">
              <w:t xml:space="preserve">20%. Assumption. </w:t>
            </w:r>
            <w:r w:rsidR="009458EC" w:rsidRPr="00EF4FFA">
              <w:t xml:space="preserve">The submission argued that most patients would preferentially elect treatment with acalabrutinib monotherapy due to </w:t>
            </w:r>
            <w:r w:rsidRPr="00EF4FFA">
              <w:t>the safety profile of acalabrutinib monotherapy relative to acalabrutinib + obinutuzumab</w:t>
            </w:r>
            <w:r w:rsidR="009458EC" w:rsidRPr="00EF4FFA">
              <w:t>.</w:t>
            </w:r>
          </w:p>
        </w:tc>
        <w:tc>
          <w:tcPr>
            <w:tcW w:w="2094" w:type="pct"/>
            <w:shd w:val="clear" w:color="auto" w:fill="auto"/>
            <w:vAlign w:val="center"/>
          </w:tcPr>
          <w:p w:rsidR="00DB0A27" w:rsidRPr="00EF4FFA" w:rsidRDefault="00DB0A27" w:rsidP="006C32EE">
            <w:pPr>
              <w:pStyle w:val="TableText"/>
              <w:keepNext w:val="0"/>
            </w:pPr>
            <w:r w:rsidRPr="00EF4FFA">
              <w:t>The proportion of patients who will be treated with acalabrutinib monotherapy and acalabrutinib + obinutuzumab is unclear, given similar efficacy results between acalabrutinib monotherapy and acalabrutinib + obinutuzumab, and the additional risk of adverse events with the addition of obinutuzumab.</w:t>
            </w:r>
            <w:r w:rsidR="00B07784" w:rsidRPr="00EF4FFA">
              <w:t xml:space="preserve"> The ESC considered that </w:t>
            </w:r>
            <w:r w:rsidR="006C32EE" w:rsidRPr="00EF4FFA">
              <w:t>the majority</w:t>
            </w:r>
            <w:r w:rsidR="00B07784" w:rsidRPr="00EF4FFA">
              <w:t xml:space="preserve"> of patients without 17p deletion would be treated with acalabrutinib monotherapy, and </w:t>
            </w:r>
            <w:r w:rsidR="006C32EE" w:rsidRPr="00EF4FFA">
              <w:t>the majority</w:t>
            </w:r>
            <w:r w:rsidR="00B07784" w:rsidRPr="00EF4FFA">
              <w:t xml:space="preserve"> of patients with 17p deletion </w:t>
            </w:r>
            <w:r w:rsidR="00A879A7" w:rsidRPr="00EF4FFA">
              <w:t>would be treated with acalabrutinib + obinutuzumab.</w:t>
            </w:r>
          </w:p>
        </w:tc>
      </w:tr>
      <w:tr w:rsidR="00DB0A27" w:rsidRPr="00EF4FFA" w:rsidTr="00480C61">
        <w:tc>
          <w:tcPr>
            <w:tcW w:w="950" w:type="pct"/>
            <w:shd w:val="clear" w:color="auto" w:fill="auto"/>
          </w:tcPr>
          <w:p w:rsidR="00DB0A27" w:rsidRPr="00EF4FFA" w:rsidRDefault="00DB0A27" w:rsidP="00847271">
            <w:pPr>
              <w:pStyle w:val="TableText"/>
              <w:keepNext w:val="0"/>
            </w:pPr>
            <w:r w:rsidRPr="00EF4FFA">
              <w:t>Proportion of patients remaining on treatment after initial treatment year.</w:t>
            </w:r>
          </w:p>
        </w:tc>
        <w:tc>
          <w:tcPr>
            <w:tcW w:w="1956" w:type="pct"/>
            <w:shd w:val="clear" w:color="auto" w:fill="auto"/>
          </w:tcPr>
          <w:p w:rsidR="00DB0A27" w:rsidRPr="00EF4FFA" w:rsidRDefault="00DB0A27" w:rsidP="00B07784">
            <w:pPr>
              <w:pStyle w:val="TableText"/>
            </w:pPr>
            <w:r w:rsidRPr="00EF4FFA">
              <w:t>Derived from time on treatment data sourced from the economic model: 2nd year: 83:0%; 3rd year: 72.9%; 4th year: 66.7%; 5th year: 61.7%; 6th year: 57.1%</w:t>
            </w:r>
          </w:p>
        </w:tc>
        <w:tc>
          <w:tcPr>
            <w:tcW w:w="2094" w:type="pct"/>
            <w:shd w:val="clear" w:color="auto" w:fill="auto"/>
          </w:tcPr>
          <w:p w:rsidR="00DB0A27" w:rsidRPr="00EF4FFA" w:rsidRDefault="00DB0A27" w:rsidP="00847271">
            <w:pPr>
              <w:pStyle w:val="TableText"/>
              <w:keepNext w:val="0"/>
            </w:pPr>
            <w:r w:rsidRPr="00EF4FFA">
              <w:t>Time on treatment in clinical practice may differ from the ELEVATE-TN trial.</w:t>
            </w:r>
          </w:p>
        </w:tc>
      </w:tr>
      <w:tr w:rsidR="00DB0A27" w:rsidRPr="00EF4FFA" w:rsidTr="00480C61">
        <w:tc>
          <w:tcPr>
            <w:tcW w:w="950" w:type="pct"/>
            <w:shd w:val="clear" w:color="auto" w:fill="auto"/>
          </w:tcPr>
          <w:p w:rsidR="00DB0A27" w:rsidRPr="00EF4FFA" w:rsidRDefault="00DB0A27" w:rsidP="00847271">
            <w:pPr>
              <w:pStyle w:val="TableText"/>
              <w:keepNext w:val="0"/>
            </w:pPr>
            <w:r w:rsidRPr="00EF4FFA">
              <w:t>Total dispensed chlorambucil + obinutuzumab scripts</w:t>
            </w:r>
          </w:p>
        </w:tc>
        <w:tc>
          <w:tcPr>
            <w:tcW w:w="1956" w:type="pct"/>
            <w:shd w:val="clear" w:color="auto" w:fill="auto"/>
          </w:tcPr>
          <w:p w:rsidR="00DB0A27" w:rsidRPr="00EF4FFA" w:rsidRDefault="00DB0A27" w:rsidP="00DB0A27">
            <w:pPr>
              <w:jc w:val="left"/>
              <w:rPr>
                <w:rFonts w:ascii="Arial Narrow" w:eastAsiaTheme="majorEastAsia" w:hAnsi="Arial Narrow" w:cstheme="majorBidi"/>
                <w:bCs/>
                <w:sz w:val="20"/>
              </w:rPr>
            </w:pPr>
            <w:r w:rsidRPr="00EF4FFA">
              <w:rPr>
                <w:rFonts w:ascii="Arial Narrow" w:eastAsiaTheme="majorEastAsia" w:hAnsi="Arial Narrow" w:cstheme="majorBidi"/>
                <w:bCs/>
                <w:sz w:val="20"/>
              </w:rPr>
              <w:t xml:space="preserve">3,750 scripts per year. Derived from PBS obinutuzumab dispensing data (PBS Items 10407R and 10418H) from September 2018 to August 2019. </w:t>
            </w:r>
          </w:p>
          <w:p w:rsidR="00DB0A27" w:rsidRPr="00EF4FFA" w:rsidRDefault="00DB0A27" w:rsidP="00847271">
            <w:pPr>
              <w:pStyle w:val="TableText"/>
              <w:keepNext w:val="0"/>
            </w:pPr>
          </w:p>
        </w:tc>
        <w:tc>
          <w:tcPr>
            <w:tcW w:w="2094" w:type="pct"/>
            <w:shd w:val="clear" w:color="auto" w:fill="auto"/>
          </w:tcPr>
          <w:p w:rsidR="00DB0A27" w:rsidRPr="00EF4FFA" w:rsidRDefault="00DB0A27" w:rsidP="005545B9">
            <w:pPr>
              <w:pStyle w:val="TableText"/>
              <w:keepNext w:val="0"/>
            </w:pPr>
            <w:r w:rsidRPr="00EF4FFA">
              <w:t xml:space="preserve">During the evaluation it was noted that the 3,750 scripts </w:t>
            </w:r>
            <w:r w:rsidR="005545B9" w:rsidRPr="00EF4FFA">
              <w:t>were</w:t>
            </w:r>
            <w:r w:rsidRPr="00EF4FFA">
              <w:t xml:space="preserve"> based on a 2-year period (Jan 2018 to Dec 2019) rather than Sep 2018 to Aug 2019 as reported in the submission. The actual underlying script count for 10407R and 10418H (Sep 2018 to Aug 2019) was 1,846 scripts.</w:t>
            </w:r>
          </w:p>
        </w:tc>
      </w:tr>
      <w:tr w:rsidR="007458A6" w:rsidRPr="00EF4FFA" w:rsidTr="00480C61">
        <w:tc>
          <w:tcPr>
            <w:tcW w:w="950" w:type="pct"/>
            <w:shd w:val="clear" w:color="auto" w:fill="auto"/>
          </w:tcPr>
          <w:p w:rsidR="007458A6" w:rsidRPr="00EF4FFA" w:rsidRDefault="007458A6" w:rsidP="00847271">
            <w:pPr>
              <w:pStyle w:val="TableText"/>
              <w:keepNext w:val="0"/>
            </w:pPr>
            <w:r w:rsidRPr="00EF4FFA">
              <w:t>Acalabrutinib price</w:t>
            </w:r>
          </w:p>
        </w:tc>
        <w:tc>
          <w:tcPr>
            <w:tcW w:w="1956" w:type="pct"/>
            <w:shd w:val="clear" w:color="auto" w:fill="auto"/>
          </w:tcPr>
          <w:p w:rsidR="007458A6" w:rsidRPr="00EF4FFA" w:rsidRDefault="007458A6" w:rsidP="007458A6">
            <w:pPr>
              <w:jc w:val="left"/>
              <w:rPr>
                <w:rFonts w:ascii="Arial Narrow" w:eastAsiaTheme="majorEastAsia" w:hAnsi="Arial Narrow" w:cstheme="majorBidi"/>
                <w:bCs/>
                <w:sz w:val="20"/>
              </w:rPr>
            </w:pPr>
            <w:r w:rsidRPr="00EF4FFA">
              <w:rPr>
                <w:rFonts w:ascii="Arial Narrow" w:eastAsiaTheme="majorEastAsia" w:hAnsi="Arial Narrow" w:cstheme="majorBidi"/>
                <w:bCs/>
                <w:sz w:val="20"/>
              </w:rPr>
              <w:t>$</w:t>
            </w:r>
            <w:r w:rsidR="00BF3740">
              <w:rPr>
                <w:rFonts w:ascii="Arial Narrow" w:eastAsiaTheme="majorEastAsia" w:hAnsi="Arial Narrow" w:cstheme="majorBidi"/>
                <w:bCs/>
                <w:noProof/>
                <w:color w:val="000000"/>
                <w:sz w:val="20"/>
                <w:highlight w:val="black"/>
              </w:rPr>
              <w:t>''''''''''''''''''''''</w:t>
            </w:r>
            <w:r w:rsidRPr="00EF4FFA">
              <w:rPr>
                <w:rFonts w:ascii="Arial Narrow" w:eastAsiaTheme="majorEastAsia" w:hAnsi="Arial Narrow" w:cstheme="majorBidi"/>
                <w:bCs/>
                <w:sz w:val="20"/>
              </w:rPr>
              <w:t>. Requested effective DPMQ</w:t>
            </w:r>
          </w:p>
        </w:tc>
        <w:tc>
          <w:tcPr>
            <w:tcW w:w="2094" w:type="pct"/>
            <w:shd w:val="clear" w:color="auto" w:fill="auto"/>
            <w:vAlign w:val="center"/>
          </w:tcPr>
          <w:p w:rsidR="007458A6" w:rsidRPr="00EF4FFA" w:rsidRDefault="007458A6" w:rsidP="007458A6">
            <w:pPr>
              <w:pStyle w:val="TableText"/>
              <w:keepNext w:val="0"/>
              <w:jc w:val="center"/>
            </w:pPr>
            <w:r w:rsidRPr="00EF4FFA">
              <w:t>-</w:t>
            </w:r>
          </w:p>
        </w:tc>
      </w:tr>
      <w:tr w:rsidR="007458A6" w:rsidRPr="00EF4FFA" w:rsidTr="00480C61">
        <w:tc>
          <w:tcPr>
            <w:tcW w:w="950" w:type="pct"/>
            <w:shd w:val="clear" w:color="auto" w:fill="auto"/>
          </w:tcPr>
          <w:p w:rsidR="007458A6" w:rsidRPr="00EF4FFA" w:rsidRDefault="007458A6" w:rsidP="00847271">
            <w:pPr>
              <w:pStyle w:val="TableText"/>
              <w:keepNext w:val="0"/>
            </w:pPr>
            <w:r w:rsidRPr="00EF4FFA">
              <w:t>Obinutuzumab price</w:t>
            </w:r>
          </w:p>
        </w:tc>
        <w:tc>
          <w:tcPr>
            <w:tcW w:w="1956" w:type="pct"/>
            <w:shd w:val="clear" w:color="auto" w:fill="auto"/>
          </w:tcPr>
          <w:p w:rsidR="007458A6" w:rsidRPr="00EF4FFA" w:rsidRDefault="007458A6" w:rsidP="007458A6">
            <w:pPr>
              <w:jc w:val="left"/>
              <w:rPr>
                <w:rFonts w:ascii="Arial Narrow" w:eastAsiaTheme="majorEastAsia" w:hAnsi="Arial Narrow" w:cstheme="majorBidi"/>
                <w:bCs/>
                <w:sz w:val="20"/>
              </w:rPr>
            </w:pPr>
            <w:r w:rsidRPr="00EF4FFA">
              <w:rPr>
                <w:rFonts w:ascii="Arial Narrow" w:eastAsiaTheme="majorEastAsia" w:hAnsi="Arial Narrow" w:cstheme="majorBidi"/>
                <w:bCs/>
                <w:sz w:val="20"/>
              </w:rPr>
              <w:t xml:space="preserve">$5,443.78; Weighted DPMA/DPMQ for Items 10407R and 10418H based on a Public (32.05%) and Private (67.95%) split. </w:t>
            </w:r>
          </w:p>
        </w:tc>
        <w:tc>
          <w:tcPr>
            <w:tcW w:w="2094" w:type="pct"/>
            <w:shd w:val="clear" w:color="auto" w:fill="auto"/>
          </w:tcPr>
          <w:p w:rsidR="007458A6" w:rsidRPr="00EF4FFA" w:rsidRDefault="007458A6" w:rsidP="002E7FA1">
            <w:pPr>
              <w:pStyle w:val="TableText"/>
              <w:keepNext w:val="0"/>
            </w:pPr>
            <w:r w:rsidRPr="00EF4FFA">
              <w:t xml:space="preserve">The submission </w:t>
            </w:r>
            <w:r w:rsidR="002E7FA1" w:rsidRPr="00EF4FFA">
              <w:t xml:space="preserve">assumed </w:t>
            </w:r>
            <w:r w:rsidRPr="00EF4FFA">
              <w:t>the effective obinutuzumab price by applying a 30% discoun</w:t>
            </w:r>
            <w:r w:rsidRPr="00EF4FFA">
              <w:rPr>
                <w:bCs w:val="0"/>
              </w:rPr>
              <w:t>t to the obinutuzumab DPMQ/DMPA</w:t>
            </w:r>
            <w:r w:rsidRPr="00EF4FFA">
              <w:t>.</w:t>
            </w:r>
          </w:p>
        </w:tc>
      </w:tr>
      <w:tr w:rsidR="007458A6" w:rsidRPr="00EF4FFA" w:rsidTr="00480C61">
        <w:tc>
          <w:tcPr>
            <w:tcW w:w="950" w:type="pct"/>
            <w:shd w:val="clear" w:color="auto" w:fill="auto"/>
          </w:tcPr>
          <w:p w:rsidR="007458A6" w:rsidRPr="00EF4FFA" w:rsidRDefault="007458A6" w:rsidP="00847271">
            <w:pPr>
              <w:pStyle w:val="TableText"/>
              <w:keepNext w:val="0"/>
            </w:pPr>
            <w:r w:rsidRPr="00EF4FFA">
              <w:t>Chlorambucil + obinutuzumab price</w:t>
            </w:r>
          </w:p>
        </w:tc>
        <w:tc>
          <w:tcPr>
            <w:tcW w:w="1956" w:type="pct"/>
            <w:shd w:val="clear" w:color="auto" w:fill="auto"/>
          </w:tcPr>
          <w:p w:rsidR="007458A6" w:rsidRPr="00EF4FFA" w:rsidRDefault="007458A6" w:rsidP="007458A6">
            <w:pPr>
              <w:jc w:val="left"/>
              <w:rPr>
                <w:rFonts w:ascii="Arial Narrow" w:eastAsiaTheme="majorEastAsia" w:hAnsi="Arial Narrow" w:cstheme="majorBidi"/>
                <w:bCs/>
                <w:sz w:val="20"/>
              </w:rPr>
            </w:pPr>
            <w:r w:rsidRPr="00EF4FFA">
              <w:rPr>
                <w:rFonts w:ascii="Arial Narrow" w:eastAsiaTheme="majorEastAsia" w:hAnsi="Arial Narrow" w:cstheme="majorBidi"/>
                <w:bCs/>
                <w:sz w:val="20"/>
              </w:rPr>
              <w:t xml:space="preserve">$5,577.41. Derived from sum of the weighted obinutuzumab Public/Private DPMA/DPMQ and the chlorambucil DPMQ. </w:t>
            </w:r>
          </w:p>
        </w:tc>
        <w:tc>
          <w:tcPr>
            <w:tcW w:w="2094" w:type="pct"/>
            <w:shd w:val="clear" w:color="auto" w:fill="auto"/>
          </w:tcPr>
          <w:p w:rsidR="007458A6" w:rsidRPr="00EF4FFA" w:rsidRDefault="007458A6" w:rsidP="002E7FA1">
            <w:pPr>
              <w:pStyle w:val="TableText"/>
              <w:keepNext w:val="0"/>
            </w:pPr>
            <w:r w:rsidRPr="00EF4FFA">
              <w:t xml:space="preserve">The submission </w:t>
            </w:r>
            <w:r w:rsidR="002E7FA1" w:rsidRPr="00EF4FFA">
              <w:t xml:space="preserve">assumed </w:t>
            </w:r>
            <w:r w:rsidRPr="00EF4FFA">
              <w:t>an effective chlorambucil + obinutuzumab price of $3,904.19 by applying a 30% discount to the total chlorambucil + obinutuzumab price.</w:t>
            </w:r>
          </w:p>
        </w:tc>
      </w:tr>
      <w:tr w:rsidR="007458A6" w:rsidRPr="00EF4FFA" w:rsidTr="00480C61">
        <w:tc>
          <w:tcPr>
            <w:tcW w:w="950" w:type="pct"/>
            <w:shd w:val="clear" w:color="auto" w:fill="auto"/>
          </w:tcPr>
          <w:p w:rsidR="007458A6" w:rsidRPr="00EF4FFA" w:rsidRDefault="007458A6" w:rsidP="00847271">
            <w:pPr>
              <w:pStyle w:val="TableText"/>
              <w:keepNext w:val="0"/>
            </w:pPr>
            <w:r w:rsidRPr="00EF4FFA">
              <w:t>Intravenous infusion of cytotoxic chemotherapy</w:t>
            </w:r>
          </w:p>
        </w:tc>
        <w:tc>
          <w:tcPr>
            <w:tcW w:w="1956" w:type="pct"/>
            <w:shd w:val="clear" w:color="auto" w:fill="auto"/>
          </w:tcPr>
          <w:p w:rsidR="007458A6" w:rsidRPr="00EF4FFA" w:rsidRDefault="007458A6" w:rsidP="007458A6">
            <w:pPr>
              <w:jc w:val="left"/>
              <w:rPr>
                <w:rFonts w:ascii="Arial Narrow" w:eastAsiaTheme="majorEastAsia" w:hAnsi="Arial Narrow" w:cstheme="majorBidi"/>
                <w:bCs/>
                <w:sz w:val="20"/>
              </w:rPr>
            </w:pPr>
            <w:r w:rsidRPr="00EF4FFA">
              <w:rPr>
                <w:rFonts w:ascii="Arial Narrow" w:eastAsiaTheme="majorEastAsia" w:hAnsi="Arial Narrow" w:cstheme="majorBidi"/>
                <w:bCs/>
                <w:sz w:val="20"/>
              </w:rPr>
              <w:t>$99.50. MBS item: 13918 (Administration of cytotoxic chemotherapy by intravenous infusion of more than 1 hours duration but not more than 6 hours duration).</w:t>
            </w:r>
          </w:p>
        </w:tc>
        <w:tc>
          <w:tcPr>
            <w:tcW w:w="2094" w:type="pct"/>
            <w:shd w:val="clear" w:color="auto" w:fill="auto"/>
          </w:tcPr>
          <w:p w:rsidR="007458A6" w:rsidRPr="00EF4FFA" w:rsidRDefault="007458A6" w:rsidP="00DB0A27">
            <w:pPr>
              <w:pStyle w:val="TableText"/>
              <w:keepNext w:val="0"/>
            </w:pPr>
            <w:r w:rsidRPr="00EF4FFA">
              <w:t>Applied to each obinutuzumab infusion.</w:t>
            </w:r>
          </w:p>
        </w:tc>
      </w:tr>
    </w:tbl>
    <w:p w:rsidR="00BA339B" w:rsidRPr="00EF4FFA" w:rsidRDefault="00BA339B" w:rsidP="00480C61">
      <w:pPr>
        <w:pStyle w:val="TableFigureFooter"/>
      </w:pPr>
      <w:r w:rsidRPr="00EF4FFA">
        <w:t xml:space="preserve">ABS = Australian Bureau of Statistics; AIHW = Australian Institute of Health and Welfare; CLL = chronic lymphocytic leukaemia; DPMA = dispensed price for maximum amount; DPMQ = dispensed price for maximum quantity; ESC = Economic Sub-Committee; MBS = Medicare Benefits Schedule; NCCN = National Comprehensive Cancer Network; </w:t>
      </w:r>
      <w:r w:rsidR="00273725" w:rsidRPr="00EF4FFA">
        <w:t xml:space="preserve">OS = overall survival; </w:t>
      </w:r>
      <w:r w:rsidRPr="00EF4FFA">
        <w:t>PBS = Pharmaceutical Benefits Scheme</w:t>
      </w:r>
    </w:p>
    <w:p w:rsidR="00BA339B" w:rsidRPr="00EF4FFA" w:rsidRDefault="00DB0A27" w:rsidP="00480C61">
      <w:pPr>
        <w:pStyle w:val="TableFigureFooter"/>
      </w:pPr>
      <w:r w:rsidRPr="00EF4FFA">
        <w:t>Source:</w:t>
      </w:r>
      <w:r w:rsidR="007458A6" w:rsidRPr="00EF4FFA">
        <w:t xml:space="preserve"> Table 4.1, pp171-173 of the submission.</w:t>
      </w:r>
    </w:p>
    <w:p w:rsidR="007458A6" w:rsidRPr="00EF4FFA" w:rsidRDefault="00786A6E" w:rsidP="007458A6">
      <w:pPr>
        <w:pStyle w:val="ExecSumBodyText"/>
      </w:pPr>
      <w:r>
        <w:t>6.91</w:t>
      </w:r>
      <w:r>
        <w:tab/>
      </w:r>
      <w:r w:rsidR="007458A6" w:rsidRPr="00EF4FFA">
        <w:t xml:space="preserve">Table </w:t>
      </w:r>
      <w:r w:rsidR="00B02C86" w:rsidRPr="00EF4FFA">
        <w:t>19</w:t>
      </w:r>
      <w:r w:rsidR="007458A6" w:rsidRPr="00EF4FFA">
        <w:t xml:space="preserve"> presents the estimated net cost to the PBS/RPBS of listing acalabrutinib for previously untreated CLL for patients who are unsuitable for treatment with a purine analogue.</w:t>
      </w:r>
    </w:p>
    <w:p w:rsidR="007458A6" w:rsidRPr="00EF4FFA" w:rsidRDefault="007458A6" w:rsidP="00480C61">
      <w:pPr>
        <w:pStyle w:val="TableFigureCaption"/>
        <w:keepLines/>
        <w:widowControl w:val="0"/>
      </w:pPr>
      <w:r w:rsidRPr="00EF4FFA">
        <w:lastRenderedPageBreak/>
        <w:t xml:space="preserve">Table </w:t>
      </w:r>
      <w:r w:rsidR="00B02C86" w:rsidRPr="00EF4FFA">
        <w:t>19</w:t>
      </w:r>
      <w:r w:rsidRPr="00EF4FFA">
        <w:t>: Financial impact of listing acalabrutinib for previously untreated patients</w:t>
      </w:r>
    </w:p>
    <w:tbl>
      <w:tblPr>
        <w:tblStyle w:val="Summarybox3"/>
        <w:tblW w:w="0" w:type="auto"/>
        <w:tblLayout w:type="fixed"/>
        <w:tblCellMar>
          <w:left w:w="28" w:type="dxa"/>
          <w:right w:w="28" w:type="dxa"/>
        </w:tblCellMar>
        <w:tblLook w:val="04A0" w:firstRow="1" w:lastRow="0" w:firstColumn="1" w:lastColumn="0" w:noHBand="0" w:noVBand="1"/>
        <w:tblCaption w:val="Table 19: Financial impact of listing acalabrutinib for previously untreated patients"/>
      </w:tblPr>
      <w:tblGrid>
        <w:gridCol w:w="2405"/>
        <w:gridCol w:w="1101"/>
        <w:gridCol w:w="1102"/>
        <w:gridCol w:w="1102"/>
        <w:gridCol w:w="1102"/>
        <w:gridCol w:w="1102"/>
        <w:gridCol w:w="1102"/>
      </w:tblGrid>
      <w:tr w:rsidR="007458A6" w:rsidRPr="00EF4FFA" w:rsidTr="00E25798">
        <w:trPr>
          <w:trHeight w:val="209"/>
          <w:tblHeader/>
        </w:trPr>
        <w:tc>
          <w:tcPr>
            <w:tcW w:w="2405" w:type="dxa"/>
            <w:hideMark/>
          </w:tcPr>
          <w:p w:rsidR="007458A6" w:rsidRPr="00480C61" w:rsidRDefault="007458A6" w:rsidP="00480C61">
            <w:pPr>
              <w:pStyle w:val="TableText"/>
              <w:keepLines/>
              <w:widowControl w:val="0"/>
              <w:rPr>
                <w:szCs w:val="20"/>
              </w:rPr>
            </w:pPr>
            <w:r w:rsidRPr="00480C61">
              <w:rPr>
                <w:szCs w:val="20"/>
              </w:rPr>
              <w:t> </w:t>
            </w:r>
          </w:p>
        </w:tc>
        <w:tc>
          <w:tcPr>
            <w:tcW w:w="1101" w:type="dxa"/>
            <w:vAlign w:val="bottom"/>
            <w:hideMark/>
          </w:tcPr>
          <w:p w:rsidR="007458A6" w:rsidRPr="00480C61" w:rsidRDefault="007458A6" w:rsidP="00480C61">
            <w:pPr>
              <w:keepNext/>
              <w:keepLines/>
              <w:widowControl w:val="0"/>
              <w:jc w:val="center"/>
              <w:rPr>
                <w:rFonts w:ascii="Arial Narrow" w:hAnsi="Arial Narrow"/>
                <w:b/>
                <w:bCs/>
                <w:snapToGrid w:val="0"/>
                <w:sz w:val="20"/>
                <w:szCs w:val="20"/>
              </w:rPr>
            </w:pPr>
            <w:r w:rsidRPr="00480C61">
              <w:rPr>
                <w:rFonts w:ascii="Arial Narrow" w:hAnsi="Arial Narrow"/>
                <w:b/>
                <w:bCs/>
                <w:snapToGrid w:val="0"/>
                <w:sz w:val="20"/>
                <w:szCs w:val="20"/>
              </w:rPr>
              <w:t>Year 1</w:t>
            </w:r>
          </w:p>
          <w:p w:rsidR="007458A6" w:rsidRPr="00480C61" w:rsidRDefault="007458A6" w:rsidP="00480C61">
            <w:pPr>
              <w:pStyle w:val="TableText"/>
              <w:keepLines/>
              <w:widowControl w:val="0"/>
              <w:jc w:val="center"/>
              <w:rPr>
                <w:b/>
                <w:szCs w:val="20"/>
              </w:rPr>
            </w:pPr>
            <w:r w:rsidRPr="00480C61">
              <w:rPr>
                <w:rFonts w:eastAsia="Times New Roman" w:cs="Arial"/>
                <w:b/>
                <w:bCs w:val="0"/>
                <w:snapToGrid w:val="0"/>
                <w:szCs w:val="20"/>
              </w:rPr>
              <w:t>(2021)</w:t>
            </w:r>
          </w:p>
        </w:tc>
        <w:tc>
          <w:tcPr>
            <w:tcW w:w="1102" w:type="dxa"/>
            <w:vAlign w:val="bottom"/>
            <w:hideMark/>
          </w:tcPr>
          <w:p w:rsidR="007458A6" w:rsidRPr="00480C61" w:rsidRDefault="007458A6" w:rsidP="00480C61">
            <w:pPr>
              <w:keepNext/>
              <w:keepLines/>
              <w:widowControl w:val="0"/>
              <w:jc w:val="center"/>
              <w:rPr>
                <w:rFonts w:ascii="Arial Narrow" w:hAnsi="Arial Narrow"/>
                <w:b/>
                <w:bCs/>
                <w:snapToGrid w:val="0"/>
                <w:sz w:val="20"/>
                <w:szCs w:val="20"/>
              </w:rPr>
            </w:pPr>
            <w:r w:rsidRPr="00480C61">
              <w:rPr>
                <w:rFonts w:ascii="Arial Narrow" w:hAnsi="Arial Narrow"/>
                <w:b/>
                <w:bCs/>
                <w:snapToGrid w:val="0"/>
                <w:sz w:val="20"/>
                <w:szCs w:val="20"/>
              </w:rPr>
              <w:t>Year 2</w:t>
            </w:r>
          </w:p>
          <w:p w:rsidR="007458A6" w:rsidRPr="00480C61" w:rsidRDefault="007458A6" w:rsidP="00480C61">
            <w:pPr>
              <w:pStyle w:val="TableText"/>
              <w:keepLines/>
              <w:widowControl w:val="0"/>
              <w:jc w:val="center"/>
              <w:rPr>
                <w:b/>
                <w:szCs w:val="20"/>
              </w:rPr>
            </w:pPr>
            <w:r w:rsidRPr="00480C61">
              <w:rPr>
                <w:rFonts w:eastAsia="Times New Roman" w:cs="Arial"/>
                <w:b/>
                <w:bCs w:val="0"/>
                <w:snapToGrid w:val="0"/>
                <w:szCs w:val="20"/>
              </w:rPr>
              <w:t>(2022)</w:t>
            </w:r>
          </w:p>
        </w:tc>
        <w:tc>
          <w:tcPr>
            <w:tcW w:w="1102" w:type="dxa"/>
            <w:vAlign w:val="bottom"/>
            <w:hideMark/>
          </w:tcPr>
          <w:p w:rsidR="007458A6" w:rsidRPr="00480C61" w:rsidRDefault="007458A6" w:rsidP="00480C61">
            <w:pPr>
              <w:pStyle w:val="TableText"/>
              <w:keepLines/>
              <w:widowControl w:val="0"/>
              <w:jc w:val="center"/>
              <w:rPr>
                <w:b/>
                <w:szCs w:val="20"/>
              </w:rPr>
            </w:pPr>
            <w:r w:rsidRPr="00480C61">
              <w:rPr>
                <w:rFonts w:eastAsia="Times New Roman" w:cs="Arial"/>
                <w:b/>
                <w:bCs w:val="0"/>
                <w:snapToGrid w:val="0"/>
                <w:szCs w:val="20"/>
              </w:rPr>
              <w:t>Year 3</w:t>
            </w:r>
            <w:r w:rsidRPr="00480C61">
              <w:rPr>
                <w:rFonts w:eastAsia="Times New Roman" w:cs="Arial"/>
                <w:b/>
                <w:bCs w:val="0"/>
                <w:snapToGrid w:val="0"/>
                <w:szCs w:val="20"/>
              </w:rPr>
              <w:br/>
              <w:t>(2023)</w:t>
            </w:r>
          </w:p>
        </w:tc>
        <w:tc>
          <w:tcPr>
            <w:tcW w:w="1102" w:type="dxa"/>
            <w:vAlign w:val="bottom"/>
            <w:hideMark/>
          </w:tcPr>
          <w:p w:rsidR="007458A6" w:rsidRPr="00480C61" w:rsidRDefault="007458A6" w:rsidP="00480C61">
            <w:pPr>
              <w:keepNext/>
              <w:keepLines/>
              <w:widowControl w:val="0"/>
              <w:jc w:val="center"/>
              <w:rPr>
                <w:rFonts w:ascii="Arial Narrow" w:hAnsi="Arial Narrow"/>
                <w:b/>
                <w:bCs/>
                <w:snapToGrid w:val="0"/>
                <w:sz w:val="20"/>
                <w:szCs w:val="20"/>
              </w:rPr>
            </w:pPr>
            <w:r w:rsidRPr="00480C61">
              <w:rPr>
                <w:rFonts w:ascii="Arial Narrow" w:hAnsi="Arial Narrow"/>
                <w:b/>
                <w:bCs/>
                <w:snapToGrid w:val="0"/>
                <w:sz w:val="20"/>
                <w:szCs w:val="20"/>
              </w:rPr>
              <w:t>Year 4</w:t>
            </w:r>
          </w:p>
          <w:p w:rsidR="007458A6" w:rsidRPr="00480C61" w:rsidRDefault="007458A6" w:rsidP="00480C61">
            <w:pPr>
              <w:pStyle w:val="TableText"/>
              <w:keepLines/>
              <w:widowControl w:val="0"/>
              <w:jc w:val="center"/>
              <w:rPr>
                <w:b/>
                <w:szCs w:val="20"/>
              </w:rPr>
            </w:pPr>
            <w:r w:rsidRPr="00480C61">
              <w:rPr>
                <w:rFonts w:eastAsia="Times New Roman" w:cs="Arial"/>
                <w:b/>
                <w:bCs w:val="0"/>
                <w:snapToGrid w:val="0"/>
                <w:szCs w:val="20"/>
              </w:rPr>
              <w:t>(2024</w:t>
            </w:r>
            <w:bookmarkStart w:id="27" w:name="_GoBack"/>
            <w:bookmarkEnd w:id="27"/>
            <w:r w:rsidRPr="00480C61">
              <w:rPr>
                <w:rFonts w:eastAsia="Times New Roman" w:cs="Arial"/>
                <w:b/>
                <w:bCs w:val="0"/>
                <w:snapToGrid w:val="0"/>
                <w:szCs w:val="20"/>
              </w:rPr>
              <w:t>)</w:t>
            </w:r>
          </w:p>
        </w:tc>
        <w:tc>
          <w:tcPr>
            <w:tcW w:w="1102" w:type="dxa"/>
            <w:vAlign w:val="bottom"/>
            <w:hideMark/>
          </w:tcPr>
          <w:p w:rsidR="007458A6" w:rsidRPr="00480C61" w:rsidRDefault="007458A6" w:rsidP="00480C61">
            <w:pPr>
              <w:keepNext/>
              <w:keepLines/>
              <w:widowControl w:val="0"/>
              <w:jc w:val="center"/>
              <w:rPr>
                <w:rFonts w:ascii="Arial Narrow" w:hAnsi="Arial Narrow"/>
                <w:b/>
                <w:bCs/>
                <w:snapToGrid w:val="0"/>
                <w:sz w:val="20"/>
                <w:szCs w:val="20"/>
              </w:rPr>
            </w:pPr>
            <w:r w:rsidRPr="00480C61">
              <w:rPr>
                <w:rFonts w:ascii="Arial Narrow" w:hAnsi="Arial Narrow"/>
                <w:b/>
                <w:bCs/>
                <w:snapToGrid w:val="0"/>
                <w:sz w:val="20"/>
                <w:szCs w:val="20"/>
              </w:rPr>
              <w:t>Year 5</w:t>
            </w:r>
          </w:p>
          <w:p w:rsidR="007458A6" w:rsidRPr="00480C61" w:rsidRDefault="007458A6" w:rsidP="00480C61">
            <w:pPr>
              <w:pStyle w:val="TableText"/>
              <w:keepLines/>
              <w:widowControl w:val="0"/>
              <w:jc w:val="center"/>
              <w:rPr>
                <w:b/>
                <w:szCs w:val="20"/>
              </w:rPr>
            </w:pPr>
            <w:r w:rsidRPr="00480C61">
              <w:rPr>
                <w:rFonts w:eastAsia="Times New Roman" w:cs="Arial"/>
                <w:b/>
                <w:bCs w:val="0"/>
                <w:snapToGrid w:val="0"/>
                <w:szCs w:val="20"/>
              </w:rPr>
              <w:t>(2025)</w:t>
            </w:r>
          </w:p>
        </w:tc>
        <w:tc>
          <w:tcPr>
            <w:tcW w:w="1102" w:type="dxa"/>
            <w:hideMark/>
          </w:tcPr>
          <w:p w:rsidR="007458A6" w:rsidRPr="00480C61" w:rsidRDefault="007458A6" w:rsidP="00480C61">
            <w:pPr>
              <w:keepNext/>
              <w:keepLines/>
              <w:widowControl w:val="0"/>
              <w:jc w:val="center"/>
              <w:rPr>
                <w:rFonts w:ascii="Arial Narrow" w:hAnsi="Arial Narrow"/>
                <w:b/>
                <w:bCs/>
                <w:snapToGrid w:val="0"/>
                <w:sz w:val="20"/>
                <w:szCs w:val="20"/>
              </w:rPr>
            </w:pPr>
            <w:r w:rsidRPr="00480C61">
              <w:rPr>
                <w:rFonts w:ascii="Arial Narrow" w:hAnsi="Arial Narrow"/>
                <w:b/>
                <w:bCs/>
                <w:snapToGrid w:val="0"/>
                <w:sz w:val="20"/>
                <w:szCs w:val="20"/>
              </w:rPr>
              <w:t>Year 6</w:t>
            </w:r>
          </w:p>
          <w:p w:rsidR="007458A6" w:rsidRPr="00480C61" w:rsidRDefault="007458A6" w:rsidP="00480C61">
            <w:pPr>
              <w:pStyle w:val="TableText"/>
              <w:keepLines/>
              <w:widowControl w:val="0"/>
              <w:jc w:val="center"/>
              <w:rPr>
                <w:b/>
                <w:szCs w:val="20"/>
              </w:rPr>
            </w:pPr>
            <w:r w:rsidRPr="00480C61">
              <w:rPr>
                <w:rFonts w:eastAsia="Times New Roman" w:cs="Arial"/>
                <w:b/>
                <w:bCs w:val="0"/>
                <w:snapToGrid w:val="0"/>
                <w:szCs w:val="20"/>
              </w:rPr>
              <w:t>(2026)</w:t>
            </w:r>
          </w:p>
        </w:tc>
      </w:tr>
      <w:tr w:rsidR="007458A6" w:rsidRPr="00EF4FFA" w:rsidTr="00847271">
        <w:tc>
          <w:tcPr>
            <w:tcW w:w="9016" w:type="dxa"/>
            <w:gridSpan w:val="7"/>
            <w:tcBorders>
              <w:left w:val="single" w:sz="4" w:space="0" w:color="auto"/>
              <w:bottom w:val="single" w:sz="4" w:space="0" w:color="auto"/>
              <w:right w:val="single" w:sz="4" w:space="0" w:color="auto"/>
            </w:tcBorders>
            <w:shd w:val="clear" w:color="auto" w:fill="auto"/>
            <w:noWrap/>
          </w:tcPr>
          <w:p w:rsidR="007458A6" w:rsidRPr="00480C61" w:rsidRDefault="007458A6" w:rsidP="00480C61">
            <w:pPr>
              <w:pStyle w:val="Tabletextcentred"/>
              <w:keepLines/>
              <w:widowControl w:val="0"/>
              <w:jc w:val="left"/>
              <w:rPr>
                <w:b/>
              </w:rPr>
            </w:pPr>
            <w:r w:rsidRPr="00480C61">
              <w:rPr>
                <w:b/>
              </w:rPr>
              <w:t>Acalabrutinib + obinutuzumab scripts</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b/>
                <w:szCs w:val="20"/>
              </w:rPr>
            </w:pPr>
            <w:r w:rsidRPr="00480C61">
              <w:rPr>
                <w:szCs w:val="20"/>
              </w:rPr>
              <w:t xml:space="preserve">Total treated patients </w:t>
            </w:r>
          </w:p>
        </w:tc>
        <w:tc>
          <w:tcPr>
            <w:tcW w:w="1101"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tcBorders>
              <w:bottom w:val="single" w:sz="4" w:space="0" w:color="auto"/>
            </w:tcBorders>
            <w:shd w:val="clear" w:color="auto" w:fill="auto"/>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tcBorders>
              <w:bottom w:val="single" w:sz="4" w:space="0" w:color="auto"/>
            </w:tcBorders>
            <w:shd w:val="clear" w:color="auto" w:fill="auto"/>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tcBorders>
              <w:bottom w:val="single" w:sz="4" w:space="0" w:color="auto"/>
            </w:tcBorders>
            <w:shd w:val="clear" w:color="auto" w:fill="auto"/>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tcBorders>
              <w:bottom w:val="single" w:sz="4" w:space="0" w:color="auto"/>
              <w:right w:val="single" w:sz="4" w:space="0" w:color="auto"/>
            </w:tcBorders>
            <w:shd w:val="clear" w:color="auto" w:fill="auto"/>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tcBorders>
              <w:bottom w:val="single" w:sz="4" w:space="0" w:color="auto"/>
              <w:right w:val="single" w:sz="4" w:space="0" w:color="auto"/>
            </w:tcBorders>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ACAL packs (13 per year)</w:t>
            </w:r>
          </w:p>
        </w:tc>
        <w:tc>
          <w:tcPr>
            <w:tcW w:w="1101" w:type="dxa"/>
            <w:noWrap/>
            <w:vAlign w:val="center"/>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 xml:space="preserve">''''''''''''''' </w:t>
            </w:r>
          </w:p>
        </w:tc>
      </w:tr>
      <w:tr w:rsidR="007458A6" w:rsidRPr="00EF4FFA" w:rsidTr="00847271">
        <w:tc>
          <w:tcPr>
            <w:tcW w:w="2405" w:type="dxa"/>
            <w:tcBorders>
              <w:left w:val="single" w:sz="4" w:space="0" w:color="auto"/>
              <w:bottom w:val="single" w:sz="4" w:space="0" w:color="auto"/>
            </w:tcBorders>
            <w:shd w:val="clear" w:color="auto" w:fill="auto"/>
            <w:noWrap/>
            <w:vAlign w:val="bottom"/>
          </w:tcPr>
          <w:p w:rsidR="007458A6" w:rsidRPr="00480C61" w:rsidRDefault="007458A6" w:rsidP="00480C61">
            <w:pPr>
              <w:pStyle w:val="TableText"/>
              <w:keepLines/>
              <w:widowControl w:val="0"/>
              <w:rPr>
                <w:szCs w:val="20"/>
              </w:rPr>
            </w:pPr>
            <w:r w:rsidRPr="00480C61">
              <w:rPr>
                <w:szCs w:val="20"/>
              </w:rPr>
              <w:t>PBS/RPBS ACAL cost ($</w:t>
            </w:r>
            <w:r w:rsidR="00601F42">
              <w:rPr>
                <w:noProof/>
                <w:color w:val="000000"/>
                <w:szCs w:val="20"/>
                <w:highlight w:val="black"/>
              </w:rPr>
              <w:t>'''''''''''''''''''''</w:t>
            </w:r>
            <w:r w:rsidRPr="00480C61">
              <w:rPr>
                <w:szCs w:val="20"/>
              </w:rPr>
              <w:t xml:space="preserve"> per script)</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Patient copayments ($14.89 per script)</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cost of ACAL</w:t>
            </w:r>
          </w:p>
        </w:tc>
        <w:tc>
          <w:tcPr>
            <w:tcW w:w="1101" w:type="dxa"/>
            <w:noWrap/>
          </w:tcPr>
          <w:p w:rsidR="007458A6" w:rsidRPr="00480C61" w:rsidRDefault="007458A6" w:rsidP="00480C61">
            <w:pPr>
              <w:pStyle w:val="Tabletextcentred"/>
              <w:keepLines/>
              <w:widowControl w:val="0"/>
            </w:pPr>
            <w:r w:rsidRPr="00480C61">
              <w:t>$</w:t>
            </w:r>
            <w:r w:rsidR="00BF3740">
              <w:rPr>
                <w:noProof/>
                <w:color w:val="000000"/>
                <w:highlight w:val="black"/>
              </w:rPr>
              <w:t>'''''''''''''''''''''''''''</w:t>
            </w:r>
            <w:r w:rsidRPr="00480C61">
              <w:t xml:space="preserve"> </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r w:rsidRPr="00480C61">
              <w:t xml:space="preserve"> </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r w:rsidRPr="00480C61">
              <w:t xml:space="preserve"> </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r w:rsidRPr="00480C61">
              <w:t xml:space="preserve"> </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r w:rsidRPr="00480C61">
              <w:t xml:space="preserve"> </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r w:rsidRPr="00480C61">
              <w:t xml:space="preserve"> </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Patients using OBI in combination with ACAL (20%)</w:t>
            </w:r>
          </w:p>
        </w:tc>
        <w:tc>
          <w:tcPr>
            <w:tcW w:w="1101"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OBI scripts (8 per course)</w:t>
            </w:r>
          </w:p>
        </w:tc>
        <w:tc>
          <w:tcPr>
            <w:tcW w:w="1101"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vAlign w:val="bottom"/>
          </w:tcPr>
          <w:p w:rsidR="007458A6" w:rsidRPr="00480C61" w:rsidRDefault="007458A6" w:rsidP="00480C61">
            <w:pPr>
              <w:pStyle w:val="TableText"/>
              <w:keepLines/>
              <w:widowControl w:val="0"/>
              <w:rPr>
                <w:szCs w:val="20"/>
                <w:vertAlign w:val="superscript"/>
              </w:rPr>
            </w:pPr>
            <w:r w:rsidRPr="00480C61">
              <w:rPr>
                <w:szCs w:val="20"/>
              </w:rPr>
              <w:t>Total cost of OBI ($3,810.65 per script)</w:t>
            </w:r>
            <w:r w:rsidRPr="00480C61">
              <w:rPr>
                <w:szCs w:val="20"/>
                <w:vertAlign w:val="superscript"/>
              </w:rPr>
              <w:t>1</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vAlign w:val="bottom"/>
          </w:tcPr>
          <w:p w:rsidR="007458A6" w:rsidRPr="00480C61" w:rsidRDefault="007458A6" w:rsidP="00480C61">
            <w:pPr>
              <w:pStyle w:val="TableText"/>
              <w:keepLines/>
              <w:widowControl w:val="0"/>
              <w:rPr>
                <w:szCs w:val="20"/>
              </w:rPr>
            </w:pPr>
            <w:r w:rsidRPr="00480C61">
              <w:rPr>
                <w:szCs w:val="20"/>
              </w:rPr>
              <w:t>Patient copayments ($14.89 per script)</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cost of OBI</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cost of listing ACAL + OBI</w:t>
            </w:r>
          </w:p>
        </w:tc>
        <w:tc>
          <w:tcPr>
            <w:tcW w:w="1101" w:type="dxa"/>
            <w:noWrap/>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9016" w:type="dxa"/>
            <w:gridSpan w:val="7"/>
            <w:tcBorders>
              <w:left w:val="single" w:sz="4" w:space="0" w:color="auto"/>
              <w:bottom w:val="single" w:sz="4" w:space="0" w:color="auto"/>
            </w:tcBorders>
            <w:shd w:val="clear" w:color="auto" w:fill="auto"/>
            <w:noWrap/>
          </w:tcPr>
          <w:p w:rsidR="007458A6" w:rsidRPr="00480C61" w:rsidRDefault="007458A6" w:rsidP="00480C61">
            <w:pPr>
              <w:pStyle w:val="Tabletextcentred"/>
              <w:keepLines/>
              <w:widowControl w:val="0"/>
              <w:jc w:val="left"/>
              <w:rPr>
                <w:b/>
              </w:rPr>
            </w:pPr>
            <w:r w:rsidRPr="00480C61">
              <w:rPr>
                <w:b/>
              </w:rPr>
              <w:t>Displaced chlorambucil + obinutuzumab scripts</w:t>
            </w:r>
          </w:p>
        </w:tc>
      </w:tr>
      <w:tr w:rsidR="007458A6" w:rsidRPr="00EF4FFA" w:rsidTr="00847271">
        <w:tc>
          <w:tcPr>
            <w:tcW w:w="2405" w:type="dxa"/>
            <w:noWrap/>
          </w:tcPr>
          <w:p w:rsidR="007458A6" w:rsidRPr="00480C61" w:rsidRDefault="007458A6" w:rsidP="00480C61">
            <w:pPr>
              <w:pStyle w:val="TableText"/>
              <w:keepLines/>
              <w:widowControl w:val="0"/>
              <w:rPr>
                <w:szCs w:val="20"/>
                <w:vertAlign w:val="superscript"/>
              </w:rPr>
            </w:pPr>
            <w:r w:rsidRPr="00480C61">
              <w:rPr>
                <w:szCs w:val="20"/>
              </w:rPr>
              <w:t>Total dispensed OBI scripts</w:t>
            </w:r>
            <w:r w:rsidRPr="00480C61">
              <w:rPr>
                <w:szCs w:val="20"/>
                <w:vertAlign w:val="superscript"/>
              </w:rPr>
              <w:t>2</w:t>
            </w:r>
          </w:p>
        </w:tc>
        <w:tc>
          <w:tcPr>
            <w:tcW w:w="1101" w:type="dxa"/>
            <w:noWrap/>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Proportion displaced by ACAL</w:t>
            </w:r>
          </w:p>
        </w:tc>
        <w:tc>
          <w:tcPr>
            <w:tcW w:w="1101"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c>
          <w:tcPr>
            <w:tcW w:w="1102" w:type="dxa"/>
            <w:noWrap/>
            <w:vAlign w:val="center"/>
          </w:tcPr>
          <w:p w:rsidR="007458A6" w:rsidRPr="00BF3740" w:rsidRDefault="00BF3740" w:rsidP="00480C61">
            <w:pPr>
              <w:pStyle w:val="Tabletextcentred"/>
              <w:keepLines/>
              <w:widowControl w:val="0"/>
              <w:rPr>
                <w:highlight w:val="black"/>
              </w:rPr>
            </w:pPr>
            <w:r>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displaced OBI scripts</w:t>
            </w:r>
          </w:p>
        </w:tc>
        <w:tc>
          <w:tcPr>
            <w:tcW w:w="1101" w:type="dxa"/>
            <w:noWrap/>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 xml:space="preserve">'''''''''''' </w:t>
            </w:r>
          </w:p>
        </w:tc>
        <w:tc>
          <w:tcPr>
            <w:tcW w:w="1102" w:type="dxa"/>
            <w:noWrap/>
          </w:tcPr>
          <w:p w:rsidR="007458A6" w:rsidRPr="00BF3740" w:rsidRDefault="00BF3740" w:rsidP="00480C61">
            <w:pPr>
              <w:pStyle w:val="Tabletextcentred"/>
              <w:keepLines/>
              <w:widowControl w:val="0"/>
              <w:rPr>
                <w:highlight w:val="black"/>
              </w:rPr>
            </w:pPr>
            <w:r>
              <w:rPr>
                <w:noProof/>
                <w:color w:val="000000"/>
                <w:highlight w:val="black"/>
              </w:rPr>
              <w:t xml:space="preserve">'''''''''''''' </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vertAlign w:val="superscript"/>
              </w:rPr>
            </w:pPr>
            <w:r w:rsidRPr="00480C61">
              <w:rPr>
                <w:szCs w:val="20"/>
              </w:rPr>
              <w:t>PBS/RPBS CHL + OBI cost ($3,904.19 per script)</w:t>
            </w:r>
            <w:r w:rsidRPr="00480C61">
              <w:rPr>
                <w:szCs w:val="20"/>
                <w:vertAlign w:val="superscript"/>
              </w:rPr>
              <w:t>3</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Patient copayments ($14.89 per script)</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2405" w:type="dxa"/>
            <w:tcBorders>
              <w:left w:val="single" w:sz="4" w:space="0" w:color="auto"/>
              <w:bottom w:val="single" w:sz="4" w:space="0" w:color="auto"/>
            </w:tcBorders>
            <w:shd w:val="clear" w:color="auto" w:fill="auto"/>
            <w:noWrap/>
          </w:tcPr>
          <w:p w:rsidR="007458A6" w:rsidRPr="00480C61" w:rsidRDefault="007458A6" w:rsidP="00480C61">
            <w:pPr>
              <w:pStyle w:val="TableText"/>
              <w:keepLines/>
              <w:widowControl w:val="0"/>
              <w:rPr>
                <w:szCs w:val="20"/>
              </w:rPr>
            </w:pPr>
            <w:r w:rsidRPr="00480C61">
              <w:rPr>
                <w:szCs w:val="20"/>
              </w:rPr>
              <w:t>Total cost of displaced CHL + OBI</w:t>
            </w:r>
          </w:p>
        </w:tc>
        <w:tc>
          <w:tcPr>
            <w:tcW w:w="1101"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7458A6" w:rsidRPr="00480C61" w:rsidRDefault="007458A6" w:rsidP="00480C61">
            <w:pPr>
              <w:pStyle w:val="Tabletextcentred"/>
              <w:keepLines/>
              <w:widowControl w:val="0"/>
            </w:pPr>
            <w:r w:rsidRPr="00480C61">
              <w:t>-$</w:t>
            </w:r>
            <w:r w:rsidR="00BF3740">
              <w:rPr>
                <w:noProof/>
                <w:color w:val="000000"/>
                <w:highlight w:val="black"/>
              </w:rPr>
              <w:t>''''''''''''''''''''''''''''</w:t>
            </w:r>
          </w:p>
        </w:tc>
      </w:tr>
      <w:tr w:rsidR="007458A6" w:rsidRPr="00EF4FFA" w:rsidTr="00847271">
        <w:tc>
          <w:tcPr>
            <w:tcW w:w="9016" w:type="dxa"/>
            <w:gridSpan w:val="7"/>
            <w:noWrap/>
          </w:tcPr>
          <w:p w:rsidR="007458A6" w:rsidRPr="00480C61" w:rsidRDefault="007458A6" w:rsidP="00480C61">
            <w:pPr>
              <w:pStyle w:val="Tabletextcentred"/>
              <w:keepLines/>
              <w:widowControl w:val="0"/>
              <w:jc w:val="left"/>
              <w:rPr>
                <w:b/>
              </w:rPr>
            </w:pPr>
            <w:r w:rsidRPr="00480C61">
              <w:rPr>
                <w:b/>
                <w:lang w:eastAsia="en-AU"/>
              </w:rPr>
              <w:t>Net cost to the PBS/RPBS</w:t>
            </w:r>
          </w:p>
        </w:tc>
      </w:tr>
      <w:tr w:rsidR="007458A6" w:rsidRPr="00EF4FFA" w:rsidTr="00847271">
        <w:tc>
          <w:tcPr>
            <w:tcW w:w="2405" w:type="dxa"/>
            <w:noWrap/>
          </w:tcPr>
          <w:p w:rsidR="007458A6" w:rsidRPr="00480C61" w:rsidRDefault="007458A6" w:rsidP="00480C61">
            <w:pPr>
              <w:pStyle w:val="TableText"/>
              <w:keepLines/>
              <w:widowControl w:val="0"/>
              <w:rPr>
                <w:szCs w:val="20"/>
              </w:rPr>
            </w:pPr>
            <w:r w:rsidRPr="00480C61">
              <w:rPr>
                <w:szCs w:val="20"/>
              </w:rPr>
              <w:t>Cost of listing ACAL + OBI</w:t>
            </w:r>
          </w:p>
        </w:tc>
        <w:tc>
          <w:tcPr>
            <w:tcW w:w="1101"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r>
      <w:tr w:rsidR="007458A6" w:rsidRPr="00EF4FFA" w:rsidTr="00847271">
        <w:tc>
          <w:tcPr>
            <w:tcW w:w="2405" w:type="dxa"/>
            <w:noWrap/>
          </w:tcPr>
          <w:p w:rsidR="007458A6" w:rsidRPr="00480C61" w:rsidRDefault="007458A6" w:rsidP="00480C61">
            <w:pPr>
              <w:pStyle w:val="TableText"/>
              <w:keepLines/>
              <w:widowControl w:val="0"/>
              <w:rPr>
                <w:szCs w:val="20"/>
              </w:rPr>
            </w:pPr>
            <w:r w:rsidRPr="00480C61">
              <w:rPr>
                <w:szCs w:val="20"/>
              </w:rPr>
              <w:t>Displaced CHL + OBI cost</w:t>
            </w:r>
          </w:p>
        </w:tc>
        <w:tc>
          <w:tcPr>
            <w:tcW w:w="1101"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r>
      <w:tr w:rsidR="007458A6" w:rsidRPr="00EF4FFA" w:rsidTr="00847271">
        <w:tc>
          <w:tcPr>
            <w:tcW w:w="2405" w:type="dxa"/>
            <w:noWrap/>
          </w:tcPr>
          <w:p w:rsidR="007458A6" w:rsidRPr="00480C61" w:rsidRDefault="007458A6" w:rsidP="00480C61">
            <w:pPr>
              <w:pStyle w:val="TableText"/>
              <w:keepLines/>
              <w:widowControl w:val="0"/>
              <w:rPr>
                <w:b/>
                <w:szCs w:val="20"/>
              </w:rPr>
            </w:pPr>
            <w:r w:rsidRPr="00480C61">
              <w:rPr>
                <w:b/>
                <w:szCs w:val="20"/>
              </w:rPr>
              <w:t>Net cost to PBS/RPBS</w:t>
            </w:r>
          </w:p>
        </w:tc>
        <w:tc>
          <w:tcPr>
            <w:tcW w:w="1101" w:type="dxa"/>
            <w:noWrap/>
          </w:tcPr>
          <w:p w:rsidR="007458A6" w:rsidRPr="00480C61" w:rsidRDefault="007458A6" w:rsidP="00480C61">
            <w:pPr>
              <w:pStyle w:val="Tabletextcentred"/>
              <w:keepLines/>
              <w:widowControl w:val="0"/>
              <w:rPr>
                <w:b/>
              </w:rPr>
            </w:pPr>
            <w:r w:rsidRPr="00480C61">
              <w:rPr>
                <w:b/>
              </w:rPr>
              <w:t>$</w:t>
            </w:r>
            <w:r w:rsidR="00BF3740">
              <w:rPr>
                <w:b/>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rPr>
                <w:b/>
              </w:rPr>
              <w:t>$</w:t>
            </w:r>
            <w:r w:rsidR="00BF3740">
              <w:rPr>
                <w:b/>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rPr>
                <w:b/>
              </w:rPr>
              <w:t>$</w:t>
            </w:r>
            <w:r w:rsidR="00BF3740">
              <w:rPr>
                <w:b/>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rPr>
                <w:b/>
              </w:rPr>
              <w:t>$</w:t>
            </w:r>
            <w:r w:rsidR="00BF3740">
              <w:rPr>
                <w:b/>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rPr>
                <w:b/>
              </w:rPr>
              <w:t>$</w:t>
            </w:r>
            <w:r w:rsidR="00BF3740">
              <w:rPr>
                <w:b/>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rPr>
                <w:b/>
              </w:rPr>
              <w:t>$</w:t>
            </w:r>
            <w:r w:rsidR="00BF3740">
              <w:rPr>
                <w:b/>
                <w:noProof/>
                <w:color w:val="000000"/>
                <w:highlight w:val="black"/>
              </w:rPr>
              <w:t>''''''''''''''''''''''''</w:t>
            </w:r>
          </w:p>
        </w:tc>
      </w:tr>
      <w:tr w:rsidR="00A96022" w:rsidRPr="00EF4FFA" w:rsidTr="00743F69">
        <w:tc>
          <w:tcPr>
            <w:tcW w:w="2405" w:type="dxa"/>
            <w:noWrap/>
          </w:tcPr>
          <w:p w:rsidR="00A96022" w:rsidRPr="00480C61" w:rsidRDefault="00A96022" w:rsidP="00480C61">
            <w:pPr>
              <w:pStyle w:val="TableText"/>
              <w:keepLines/>
              <w:widowControl w:val="0"/>
              <w:rPr>
                <w:b/>
                <w:szCs w:val="20"/>
              </w:rPr>
            </w:pPr>
            <w:r w:rsidRPr="00480C61">
              <w:rPr>
                <w:b/>
                <w:szCs w:val="20"/>
              </w:rPr>
              <w:t>Net cost to PBS/RPBS (corrected)</w:t>
            </w:r>
            <w:r w:rsidRPr="00480C61">
              <w:rPr>
                <w:b/>
                <w:szCs w:val="20"/>
                <w:vertAlign w:val="superscript"/>
              </w:rPr>
              <w:t>2</w:t>
            </w:r>
          </w:p>
        </w:tc>
        <w:tc>
          <w:tcPr>
            <w:tcW w:w="1101" w:type="dxa"/>
            <w:noWrap/>
            <w:vAlign w:val="center"/>
          </w:tcPr>
          <w:p w:rsidR="00A96022" w:rsidRPr="00480C61" w:rsidRDefault="00A96022" w:rsidP="00480C61">
            <w:pPr>
              <w:pStyle w:val="Tabletextcentred"/>
              <w:keepLines/>
              <w:widowControl w:val="0"/>
              <w:rPr>
                <w:b/>
              </w:rPr>
            </w:pPr>
            <w:r w:rsidRPr="00480C61">
              <w:rPr>
                <w:b/>
              </w:rPr>
              <w:t>$</w:t>
            </w:r>
            <w:r w:rsidR="00BF3740">
              <w:rPr>
                <w:b/>
                <w:noProof/>
                <w:color w:val="000000"/>
                <w:highlight w:val="black"/>
              </w:rPr>
              <w:t>''''''''''''''''''''''</w:t>
            </w:r>
          </w:p>
        </w:tc>
        <w:tc>
          <w:tcPr>
            <w:tcW w:w="1102" w:type="dxa"/>
            <w:noWrap/>
            <w:vAlign w:val="center"/>
          </w:tcPr>
          <w:p w:rsidR="00A96022" w:rsidRPr="00480C61" w:rsidRDefault="00A96022" w:rsidP="00480C61">
            <w:pPr>
              <w:pStyle w:val="Tabletextcentred"/>
              <w:keepLines/>
              <w:widowControl w:val="0"/>
              <w:rPr>
                <w:b/>
              </w:rPr>
            </w:pPr>
            <w:r w:rsidRPr="00480C61">
              <w:rPr>
                <w:b/>
              </w:rPr>
              <w:t>$</w:t>
            </w:r>
            <w:r w:rsidR="00BF3740">
              <w:rPr>
                <w:b/>
                <w:noProof/>
                <w:color w:val="000000"/>
                <w:highlight w:val="black"/>
              </w:rPr>
              <w:t>'''''''''''''''''''''</w:t>
            </w:r>
          </w:p>
        </w:tc>
        <w:tc>
          <w:tcPr>
            <w:tcW w:w="1102" w:type="dxa"/>
            <w:noWrap/>
            <w:vAlign w:val="center"/>
          </w:tcPr>
          <w:p w:rsidR="00A96022" w:rsidRPr="00480C61" w:rsidRDefault="00A96022" w:rsidP="00480C61">
            <w:pPr>
              <w:pStyle w:val="Tabletextcentred"/>
              <w:keepLines/>
              <w:widowControl w:val="0"/>
              <w:rPr>
                <w:b/>
              </w:rPr>
            </w:pPr>
            <w:r w:rsidRPr="00480C61">
              <w:rPr>
                <w:b/>
              </w:rPr>
              <w:t>$</w:t>
            </w:r>
            <w:r w:rsidR="00BF3740">
              <w:rPr>
                <w:b/>
                <w:noProof/>
                <w:color w:val="000000"/>
                <w:highlight w:val="black"/>
              </w:rPr>
              <w:t>'''''''''''''''''''''''</w:t>
            </w:r>
          </w:p>
        </w:tc>
        <w:tc>
          <w:tcPr>
            <w:tcW w:w="1102" w:type="dxa"/>
            <w:noWrap/>
            <w:vAlign w:val="center"/>
          </w:tcPr>
          <w:p w:rsidR="00A96022" w:rsidRPr="00480C61" w:rsidRDefault="00A96022" w:rsidP="00480C61">
            <w:pPr>
              <w:pStyle w:val="Tabletextcentred"/>
              <w:keepLines/>
              <w:widowControl w:val="0"/>
              <w:rPr>
                <w:b/>
              </w:rPr>
            </w:pPr>
            <w:r w:rsidRPr="00480C61">
              <w:rPr>
                <w:b/>
              </w:rPr>
              <w:t>$</w:t>
            </w:r>
            <w:r w:rsidR="00BF3740">
              <w:rPr>
                <w:b/>
                <w:noProof/>
                <w:color w:val="000000"/>
                <w:highlight w:val="black"/>
              </w:rPr>
              <w:t>'''''''''''''''''''''''</w:t>
            </w:r>
          </w:p>
        </w:tc>
        <w:tc>
          <w:tcPr>
            <w:tcW w:w="1102" w:type="dxa"/>
            <w:noWrap/>
            <w:vAlign w:val="center"/>
          </w:tcPr>
          <w:p w:rsidR="00A96022" w:rsidRPr="00480C61" w:rsidRDefault="00A96022" w:rsidP="00480C61">
            <w:pPr>
              <w:pStyle w:val="Tabletextcentred"/>
              <w:keepLines/>
              <w:widowControl w:val="0"/>
              <w:rPr>
                <w:b/>
              </w:rPr>
            </w:pPr>
            <w:r w:rsidRPr="00480C61">
              <w:rPr>
                <w:b/>
              </w:rPr>
              <w:t>$</w:t>
            </w:r>
            <w:r w:rsidR="00BF3740">
              <w:rPr>
                <w:b/>
                <w:noProof/>
                <w:color w:val="000000"/>
                <w:highlight w:val="black"/>
              </w:rPr>
              <w:t>'''''''''''''''''''''''</w:t>
            </w:r>
          </w:p>
        </w:tc>
        <w:tc>
          <w:tcPr>
            <w:tcW w:w="1102" w:type="dxa"/>
            <w:noWrap/>
            <w:vAlign w:val="center"/>
          </w:tcPr>
          <w:p w:rsidR="00A96022" w:rsidRPr="00480C61" w:rsidRDefault="00A96022" w:rsidP="00480C61">
            <w:pPr>
              <w:pStyle w:val="Tabletextcentred"/>
              <w:keepLines/>
              <w:widowControl w:val="0"/>
              <w:rPr>
                <w:b/>
              </w:rPr>
            </w:pPr>
            <w:r w:rsidRPr="00480C61">
              <w:rPr>
                <w:b/>
              </w:rPr>
              <w:t>$</w:t>
            </w:r>
            <w:r w:rsidR="00BF3740">
              <w:rPr>
                <w:b/>
                <w:noProof/>
                <w:color w:val="000000"/>
                <w:highlight w:val="black"/>
              </w:rPr>
              <w:t>''''''''''''''''''''''''</w:t>
            </w:r>
          </w:p>
        </w:tc>
      </w:tr>
      <w:tr w:rsidR="007458A6" w:rsidRPr="00EF4FFA" w:rsidTr="00847271">
        <w:trPr>
          <w:trHeight w:val="58"/>
        </w:trPr>
        <w:tc>
          <w:tcPr>
            <w:tcW w:w="2405" w:type="dxa"/>
            <w:noWrap/>
          </w:tcPr>
          <w:p w:rsidR="007458A6" w:rsidRPr="00480C61" w:rsidRDefault="007458A6" w:rsidP="00480C61">
            <w:pPr>
              <w:pStyle w:val="TableText"/>
              <w:keepLines/>
              <w:widowControl w:val="0"/>
              <w:rPr>
                <w:b/>
                <w:szCs w:val="20"/>
                <w:vertAlign w:val="superscript"/>
              </w:rPr>
            </w:pPr>
            <w:r w:rsidRPr="00480C61">
              <w:rPr>
                <w:szCs w:val="20"/>
              </w:rPr>
              <w:t>Net cost to MBS</w:t>
            </w:r>
            <w:r w:rsidRPr="00480C61">
              <w:rPr>
                <w:szCs w:val="20"/>
                <w:vertAlign w:val="superscript"/>
              </w:rPr>
              <w:t>4</w:t>
            </w:r>
          </w:p>
        </w:tc>
        <w:tc>
          <w:tcPr>
            <w:tcW w:w="1101"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r>
      <w:tr w:rsidR="007458A6" w:rsidRPr="00EF4FFA" w:rsidTr="00847271">
        <w:tc>
          <w:tcPr>
            <w:tcW w:w="2405" w:type="dxa"/>
            <w:noWrap/>
          </w:tcPr>
          <w:p w:rsidR="007458A6" w:rsidRPr="00480C61" w:rsidRDefault="007458A6" w:rsidP="00480C61">
            <w:pPr>
              <w:pStyle w:val="TableText"/>
              <w:keepLines/>
              <w:widowControl w:val="0"/>
              <w:rPr>
                <w:b/>
                <w:szCs w:val="20"/>
              </w:rPr>
            </w:pPr>
            <w:r w:rsidRPr="00480C61">
              <w:rPr>
                <w:szCs w:val="20"/>
              </w:rPr>
              <w:t>Net cost to Government</w:t>
            </w:r>
          </w:p>
        </w:tc>
        <w:tc>
          <w:tcPr>
            <w:tcW w:w="1101"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c>
          <w:tcPr>
            <w:tcW w:w="1102" w:type="dxa"/>
            <w:noWrap/>
          </w:tcPr>
          <w:p w:rsidR="007458A6" w:rsidRPr="00480C61" w:rsidRDefault="007458A6" w:rsidP="00480C61">
            <w:pPr>
              <w:pStyle w:val="Tabletextcentred"/>
              <w:keepLines/>
              <w:widowControl w:val="0"/>
              <w:rPr>
                <w:b/>
              </w:rPr>
            </w:pPr>
            <w:r w:rsidRPr="00480C61">
              <w:t>$</w:t>
            </w:r>
            <w:r w:rsidR="00BF3740">
              <w:rPr>
                <w:noProof/>
                <w:color w:val="000000"/>
                <w:highlight w:val="black"/>
              </w:rPr>
              <w:t>''''''''''''''''''''''''''''</w:t>
            </w:r>
          </w:p>
        </w:tc>
      </w:tr>
      <w:tr w:rsidR="00A96022" w:rsidRPr="00EF4FFA" w:rsidTr="00743F69">
        <w:tc>
          <w:tcPr>
            <w:tcW w:w="2405" w:type="dxa"/>
            <w:noWrap/>
          </w:tcPr>
          <w:p w:rsidR="00A96022" w:rsidRPr="00480C61" w:rsidRDefault="00A96022" w:rsidP="00480C61">
            <w:pPr>
              <w:pStyle w:val="TableText"/>
              <w:keepLines/>
              <w:widowControl w:val="0"/>
              <w:rPr>
                <w:szCs w:val="20"/>
              </w:rPr>
            </w:pPr>
            <w:r w:rsidRPr="00480C61">
              <w:rPr>
                <w:szCs w:val="20"/>
              </w:rPr>
              <w:t>Net cost to Government (corrected)</w:t>
            </w:r>
            <w:r w:rsidRPr="00480C61">
              <w:rPr>
                <w:szCs w:val="20"/>
                <w:vertAlign w:val="superscript"/>
              </w:rPr>
              <w:t>2</w:t>
            </w:r>
          </w:p>
        </w:tc>
        <w:tc>
          <w:tcPr>
            <w:tcW w:w="1101" w:type="dxa"/>
            <w:noWrap/>
            <w:vAlign w:val="center"/>
          </w:tcPr>
          <w:p w:rsidR="00A96022" w:rsidRPr="00480C61" w:rsidRDefault="00A96022"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A96022" w:rsidRPr="00480C61" w:rsidRDefault="00A96022"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A96022" w:rsidRPr="00480C61" w:rsidRDefault="00A96022"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A96022" w:rsidRPr="00480C61" w:rsidRDefault="00A96022"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A96022" w:rsidRPr="00480C61" w:rsidRDefault="00A96022" w:rsidP="00480C61">
            <w:pPr>
              <w:pStyle w:val="Tabletextcentred"/>
              <w:keepLines/>
              <w:widowControl w:val="0"/>
            </w:pPr>
            <w:r w:rsidRPr="00480C61">
              <w:t>$</w:t>
            </w:r>
            <w:r w:rsidR="00BF3740">
              <w:rPr>
                <w:noProof/>
                <w:color w:val="000000"/>
                <w:highlight w:val="black"/>
              </w:rPr>
              <w:t>''''''''''''''''''''''''</w:t>
            </w:r>
          </w:p>
        </w:tc>
        <w:tc>
          <w:tcPr>
            <w:tcW w:w="1102" w:type="dxa"/>
            <w:noWrap/>
            <w:vAlign w:val="center"/>
          </w:tcPr>
          <w:p w:rsidR="00A96022" w:rsidRPr="00480C61" w:rsidRDefault="00A96022" w:rsidP="00480C61">
            <w:pPr>
              <w:pStyle w:val="Tabletextcentred"/>
              <w:keepLines/>
              <w:widowControl w:val="0"/>
            </w:pPr>
            <w:r w:rsidRPr="00480C61">
              <w:t>$</w:t>
            </w:r>
            <w:r w:rsidR="00BF3740">
              <w:rPr>
                <w:noProof/>
                <w:color w:val="000000"/>
                <w:highlight w:val="black"/>
              </w:rPr>
              <w:t>'''''''''''''''''''''''''''''''</w:t>
            </w:r>
          </w:p>
        </w:tc>
      </w:tr>
    </w:tbl>
    <w:p w:rsidR="000210E8" w:rsidRPr="00480C61" w:rsidRDefault="000210E8" w:rsidP="00480C61">
      <w:pPr>
        <w:pStyle w:val="TableFigureFooter"/>
        <w:keepNext/>
        <w:keepLines/>
        <w:widowControl w:val="0"/>
      </w:pPr>
      <w:r w:rsidRPr="00480C61">
        <w:t xml:space="preserve">ACAL = acalabrutinib; CHL = chlorambucil; MBS = Medicare Benefits Schedule; </w:t>
      </w:r>
      <w:r w:rsidR="00317631" w:rsidRPr="00480C61">
        <w:t xml:space="preserve">OBI = obinutuzumab; </w:t>
      </w:r>
      <w:r w:rsidRPr="00480C61">
        <w:t>PBS = Pharmaceutical Benefits Scheme; RPBS = Repatriation Pharmaceutical Benefits Scheme</w:t>
      </w:r>
    </w:p>
    <w:p w:rsidR="007458A6" w:rsidRPr="00480C61" w:rsidRDefault="007458A6" w:rsidP="00480C61">
      <w:pPr>
        <w:pStyle w:val="TableFigureFooter"/>
        <w:keepNext/>
        <w:keepLines/>
        <w:widowControl w:val="0"/>
      </w:pPr>
      <w:r w:rsidRPr="00480C61">
        <w:t>Source: Table 4.9, pp181-182; Table 4.14, p.184; Table 4.15, p.185; Table 4.17, p.186; Table 4.25, pp188-189; Table 4.31, pp191-192; Table 4.36, p194; Table 4.37, p.195 of the submission.</w:t>
      </w:r>
    </w:p>
    <w:p w:rsidR="007458A6" w:rsidRPr="00480C61" w:rsidRDefault="007458A6" w:rsidP="00480C61">
      <w:pPr>
        <w:pStyle w:val="TableFigureFooter"/>
        <w:keepNext/>
        <w:keepLines/>
        <w:widowControl w:val="0"/>
      </w:pPr>
      <w:r w:rsidRPr="00480C61">
        <w:t>1 Weighted price based on 32%/68% Public/Private split for obinutuzumab.</w:t>
      </w:r>
    </w:p>
    <w:p w:rsidR="00D24C3E" w:rsidRPr="00480C61" w:rsidRDefault="00D24C3E" w:rsidP="00480C61">
      <w:pPr>
        <w:pStyle w:val="TableFigureFooter"/>
        <w:keepNext/>
        <w:keepLines/>
        <w:widowControl w:val="0"/>
      </w:pPr>
      <w:r w:rsidRPr="00480C61">
        <w:t xml:space="preserve">2 </w:t>
      </w:r>
      <w:r w:rsidR="00A96022" w:rsidRPr="00480C61">
        <w:t xml:space="preserve">The annual number of displaced obinutuzumab scripts was erroneously based on 2 years of dispensing data for obinutuzumab rather than a single year. Based on a single year, the number of displaced scripts is </w:t>
      </w:r>
      <w:r w:rsidR="00BF3740">
        <w:rPr>
          <w:noProof/>
          <w:color w:val="000000"/>
          <w:highlight w:val="black"/>
        </w:rPr>
        <w:t>'''''''' ''''' '''' '''''''''''</w:t>
      </w:r>
      <w:r w:rsidR="00A96022" w:rsidRPr="00480C61">
        <w:t xml:space="preserve">per year. Additionally, a minor error in the ‘4a. Scripts Changed’ Excel worksheet resulted in displaced script numbers of </w:t>
      </w:r>
      <w:r w:rsidR="00BF3740">
        <w:rPr>
          <w:noProof/>
          <w:color w:val="000000"/>
          <w:highlight w:val="black"/>
        </w:rPr>
        <w:t>'''''''''' ''''' ''' '''''''''''</w:t>
      </w:r>
      <w:r w:rsidR="00E25798">
        <w:t xml:space="preserve"> </w:t>
      </w:r>
      <w:r w:rsidR="00A96022" w:rsidRPr="008A08A8">
        <w:t xml:space="preserve">per year rather than the intended </w:t>
      </w:r>
      <w:r w:rsidR="00BF3740">
        <w:rPr>
          <w:noProof/>
          <w:color w:val="000000"/>
          <w:highlight w:val="black"/>
        </w:rPr>
        <w:t>''''''''' '''' ''' '''''''''''''</w:t>
      </w:r>
      <w:r w:rsidR="00E25798">
        <w:rPr>
          <w:noProof/>
          <w:color w:val="000000"/>
          <w:highlight w:val="black"/>
        </w:rPr>
        <w:t xml:space="preserve"> </w:t>
      </w:r>
      <w:r w:rsidR="00A96022" w:rsidRPr="00480C61">
        <w:t>per year.</w:t>
      </w:r>
    </w:p>
    <w:p w:rsidR="007458A6" w:rsidRPr="00480C61" w:rsidRDefault="007458A6" w:rsidP="00480C61">
      <w:pPr>
        <w:pStyle w:val="TableFigureFooter"/>
        <w:keepNext/>
        <w:keepLines/>
        <w:widowControl w:val="0"/>
      </w:pPr>
      <w:r w:rsidRPr="00480C61">
        <w:t>3 Submission assumed one chlorambucil script for every obinutuzumab script.</w:t>
      </w:r>
    </w:p>
    <w:p w:rsidR="007458A6" w:rsidRDefault="005F5F27" w:rsidP="00480C61">
      <w:pPr>
        <w:pStyle w:val="TableFigureFooter"/>
        <w:keepNext/>
        <w:keepLines/>
        <w:widowControl w:val="0"/>
      </w:pPr>
      <w:r w:rsidRPr="00480C61">
        <w:t>4 Net cost to Medicare calculated by multiplying the net obinutuzumab scripts by $99.50 (Medicare Item 13918).</w:t>
      </w:r>
    </w:p>
    <w:p w:rsidR="002B7795" w:rsidRDefault="002B7795" w:rsidP="00480C61">
      <w:pPr>
        <w:pStyle w:val="TableFigureFooter"/>
        <w:keepNext/>
        <w:keepLines/>
        <w:widowControl w:val="0"/>
      </w:pPr>
    </w:p>
    <w:p w:rsidR="002B7795" w:rsidRPr="002B7795" w:rsidRDefault="002B7795" w:rsidP="00454C02">
      <w:pPr>
        <w:pStyle w:val="ExecSumBodyText"/>
        <w:ind w:left="0" w:firstLine="0"/>
        <w:rPr>
          <w:i/>
        </w:rPr>
      </w:pPr>
      <w:r w:rsidRPr="00454C02">
        <w:lastRenderedPageBreak/>
        <w:t xml:space="preserve">The redacted table shows </w:t>
      </w:r>
      <w:r w:rsidR="000F728D" w:rsidRPr="00454C02">
        <w:t xml:space="preserve">that at Year 6, the estimated number of </w:t>
      </w:r>
      <w:r w:rsidRPr="00454C02">
        <w:t>total treated patients</w:t>
      </w:r>
      <w:r w:rsidR="000F728D" w:rsidRPr="00454C02">
        <w:t xml:space="preserve"> was 500 to &lt; 5,000</w:t>
      </w:r>
      <w:r w:rsidR="001477AA" w:rsidRPr="00454C02">
        <w:t>; total patients using OBI in combination with ACAL was &lt; 500; total dispensed OBI scripts was 500 to &lt; 5,000 and total displaced OBI scripts was 500 to &lt; 5,000</w:t>
      </w:r>
      <w:r w:rsidR="000F728D" w:rsidRPr="00454C02">
        <w:t>.</w:t>
      </w:r>
    </w:p>
    <w:p w:rsidR="005F0621" w:rsidRPr="00EF4FFA" w:rsidRDefault="00786A6E" w:rsidP="002B7795">
      <w:pPr>
        <w:pStyle w:val="ExecSumBodyText"/>
      </w:pPr>
      <w:r>
        <w:t>6.92</w:t>
      </w:r>
      <w:r>
        <w:tab/>
      </w:r>
      <w:r w:rsidR="007458A6" w:rsidRPr="00EF4FFA">
        <w:t xml:space="preserve">The estimated net cost to the PBS was </w:t>
      </w:r>
      <w:r w:rsidR="00B023C0" w:rsidRPr="005A51AA">
        <w:rPr>
          <w:rFonts w:cs="Times New Roman"/>
        </w:rPr>
        <w:t xml:space="preserve">$0 to &lt; $10 </w:t>
      </w:r>
      <w:r w:rsidR="007458A6" w:rsidRPr="00EF4FFA">
        <w:t xml:space="preserve">million in Year 1 of listing, increasing to </w:t>
      </w:r>
      <w:r w:rsidR="00B023C0">
        <w:rPr>
          <w:rFonts w:cs="Times New Roman"/>
        </w:rPr>
        <w:t xml:space="preserve">$100 million to &lt; $200 </w:t>
      </w:r>
      <w:r w:rsidR="007458A6" w:rsidRPr="00EF4FFA">
        <w:t xml:space="preserve">million in Year 6, an estimated net cost of </w:t>
      </w:r>
      <w:r w:rsidR="00B023C0">
        <w:rPr>
          <w:rFonts w:cs="Times New Roman"/>
        </w:rPr>
        <w:t>$300 million to &lt; $400</w:t>
      </w:r>
      <w:r w:rsidR="00B023C0" w:rsidRPr="00EF4FFA">
        <w:t xml:space="preserve"> </w:t>
      </w:r>
      <w:r w:rsidR="007458A6" w:rsidRPr="00EF4FFA">
        <w:t xml:space="preserve">million over the first six years of listing. The estimated net cost to Government was </w:t>
      </w:r>
      <w:r w:rsidR="00B023C0" w:rsidRPr="005A51AA">
        <w:rPr>
          <w:rFonts w:cs="Times New Roman"/>
        </w:rPr>
        <w:t>$0 to &lt; $10</w:t>
      </w:r>
      <w:r w:rsidR="007458A6" w:rsidRPr="00EF4FFA">
        <w:t xml:space="preserve"> million in Year 1 of listing, increasing to </w:t>
      </w:r>
      <w:r w:rsidR="00454C02">
        <w:t>$100 million to &lt;$200</w:t>
      </w:r>
      <w:r w:rsidR="00454C02" w:rsidRPr="00EF4FFA">
        <w:t xml:space="preserve"> </w:t>
      </w:r>
      <w:r w:rsidR="007458A6" w:rsidRPr="00EF4FFA">
        <w:t xml:space="preserve">million in Year 6, an estimated net cost of $308.1 million over the first six years of listing. </w:t>
      </w:r>
    </w:p>
    <w:p w:rsidR="007458A6" w:rsidRPr="00EF4FFA" w:rsidRDefault="00786A6E" w:rsidP="005F0621">
      <w:pPr>
        <w:pStyle w:val="ExecSumBodyText"/>
      </w:pPr>
      <w:r>
        <w:t>6.93</w:t>
      </w:r>
      <w:r>
        <w:tab/>
      </w:r>
      <w:r w:rsidR="007458A6" w:rsidRPr="00EF4FFA">
        <w:t>The utilisation/financial estimates were considered to be uncertain due to the following issues:</w:t>
      </w:r>
    </w:p>
    <w:p w:rsidR="006E27AC" w:rsidRPr="00EF4FFA" w:rsidRDefault="006E27AC" w:rsidP="0093038C">
      <w:pPr>
        <w:pStyle w:val="ListParagraph"/>
        <w:numPr>
          <w:ilvl w:val="0"/>
          <w:numId w:val="25"/>
        </w:numPr>
      </w:pPr>
      <w:r w:rsidRPr="00EF4FFA">
        <w:t>There were limited available data to inform the assumptions used to derive the number of treated patients. In particular, the assumption that only 50% of patients would be treated over a lifetime was not adequately justified. There is potential for additional growth in the number of treated patients (i.e. higher uptake among watch and wait patients) due to the availability</w:t>
      </w:r>
      <w:r w:rsidR="00A613D6" w:rsidRPr="00EF4FFA">
        <w:t xml:space="preserve"> of</w:t>
      </w:r>
      <w:r w:rsidRPr="00EF4FFA">
        <w:t xml:space="preserve"> an effective, and more convenient oral therapy.</w:t>
      </w:r>
      <w:r w:rsidR="00115726" w:rsidRPr="00EF4FFA">
        <w:t xml:space="preserve"> The ESC noted the cost-effectiveness of acalabrutinib</w:t>
      </w:r>
      <w:r w:rsidR="005C4E74" w:rsidRPr="00EF4FFA">
        <w:t xml:space="preserve"> in a broader patient population has not been demonstrated.</w:t>
      </w:r>
    </w:p>
    <w:p w:rsidR="00A74430" w:rsidRPr="00EF4FFA" w:rsidRDefault="006E27AC" w:rsidP="0093038C">
      <w:pPr>
        <w:pStyle w:val="ListParagraph"/>
        <w:numPr>
          <w:ilvl w:val="0"/>
          <w:numId w:val="25"/>
        </w:numPr>
      </w:pPr>
      <w:r w:rsidRPr="00EF4FFA">
        <w:t xml:space="preserve">There is potential for use outside of the proposed restriction among patients who are suitable for treatment with a purine analogue. The NCCN treatment guidelines preference acalabrutinib monotherapy and acalabrutinib + obinutuzumab ahead of fludarabine + cyclophosphamide + rituximab for previously untreated CLL/SLL. </w:t>
      </w:r>
      <w:r w:rsidR="005C4E74" w:rsidRPr="00EF4FFA">
        <w:t>The ESC noted the cost-effectiveness of acalabrutinib as an alternative to treatment with a purine analogue has not been demonstrated.</w:t>
      </w:r>
    </w:p>
    <w:p w:rsidR="00A74430" w:rsidRPr="00EF4FFA" w:rsidRDefault="00A74430" w:rsidP="0093038C">
      <w:pPr>
        <w:pStyle w:val="ListParagraph"/>
        <w:numPr>
          <w:ilvl w:val="0"/>
          <w:numId w:val="25"/>
        </w:numPr>
      </w:pPr>
      <w:r w:rsidRPr="00EF4FFA">
        <w:t xml:space="preserve">Due to the immaturity of the ELEVATE-TN clinical data, the relative proportion of patients who will be treated with acalabrutinib monotherapy and acalabrutinib + obinutuzumab is unclear. </w:t>
      </w:r>
      <w:r w:rsidR="00D715AD" w:rsidRPr="00EF4FFA">
        <w:t>The ESC considered that the majority of patients without the 17p deletion would receive treatment with acalabrutinib monotherapy and that for patients with the 17p deletion, the majority would receive combination therapy of acalabrutinib + obinutuzumab as, per the proposed restriction, these patients are likely to be younger and fitter, and they require a greater depth of response.</w:t>
      </w:r>
    </w:p>
    <w:p w:rsidR="006E27AC" w:rsidRPr="00EF4FFA" w:rsidRDefault="006E27AC" w:rsidP="0093038C">
      <w:pPr>
        <w:pStyle w:val="ListParagraph"/>
        <w:numPr>
          <w:ilvl w:val="0"/>
          <w:numId w:val="25"/>
        </w:numPr>
      </w:pPr>
      <w:r w:rsidRPr="00EF4FFA">
        <w:t>The submission assumed no growth in the number of obinutuzumab scripts from 2019/2020 levels, which may not be reasonable. Additionally, the annual number of displaced scripts was erroneously based on 2 years of dispensing data for obinutuzumab rather than a single year.</w:t>
      </w:r>
    </w:p>
    <w:p w:rsidR="00D715AD" w:rsidRPr="00EF4FFA" w:rsidRDefault="006E27AC" w:rsidP="008E730B">
      <w:pPr>
        <w:pStyle w:val="ListParagraph"/>
        <w:numPr>
          <w:ilvl w:val="0"/>
          <w:numId w:val="25"/>
        </w:numPr>
        <w:ind w:left="1077"/>
      </w:pPr>
      <w:r w:rsidRPr="00EF4FFA">
        <w:t xml:space="preserve">The duration of treatment for acalabrutinib </w:t>
      </w:r>
      <w:r w:rsidR="00D97DD2" w:rsidRPr="00EF4FFA">
        <w:rPr>
          <w:rFonts w:cstheme="minorHAnsi"/>
        </w:rPr>
        <w:t>±</w:t>
      </w:r>
      <w:r w:rsidRPr="00EF4FFA">
        <w:t xml:space="preserve"> obinutuzumab was estimated from time on treatment data extrapolated from the ELEVATE-TN trial. However, it is unclear whether the assumed treatment durations will reflect the time on treatment in clinical practice. </w:t>
      </w:r>
    </w:p>
    <w:p w:rsidR="00A879A7" w:rsidRPr="00EF4FFA" w:rsidRDefault="006E27AC" w:rsidP="008E730B">
      <w:pPr>
        <w:pStyle w:val="ListParagraph"/>
        <w:numPr>
          <w:ilvl w:val="0"/>
          <w:numId w:val="25"/>
        </w:numPr>
        <w:ind w:left="1077"/>
      </w:pPr>
      <w:r w:rsidRPr="00EF4FFA">
        <w:t xml:space="preserve">The assumed uptake rates for acalabrutinib </w:t>
      </w:r>
      <w:r w:rsidR="00D97DD2" w:rsidRPr="00EF4FFA">
        <w:rPr>
          <w:rFonts w:cstheme="minorHAnsi"/>
        </w:rPr>
        <w:t>±</w:t>
      </w:r>
      <w:r w:rsidRPr="00EF4FFA">
        <w:t xml:space="preserve"> obinutuzumab in Years 4 to 6 of listing (100%) may not be realised.</w:t>
      </w:r>
    </w:p>
    <w:p w:rsidR="00576972" w:rsidRPr="00EF4FFA" w:rsidRDefault="00576972" w:rsidP="00606FBA">
      <w:pPr>
        <w:pStyle w:val="3-SubsectionHeading"/>
      </w:pPr>
      <w:bookmarkStart w:id="28" w:name="_Toc22897648"/>
      <w:bookmarkStart w:id="29" w:name="_Toc40350907"/>
      <w:r w:rsidRPr="00EF4FFA">
        <w:lastRenderedPageBreak/>
        <w:t>Quality Use of Medicines</w:t>
      </w:r>
      <w:bookmarkEnd w:id="28"/>
      <w:bookmarkEnd w:id="29"/>
    </w:p>
    <w:p w:rsidR="00576972" w:rsidRPr="00EF4FFA" w:rsidRDefault="00786A6E" w:rsidP="005F0621">
      <w:pPr>
        <w:pStyle w:val="ExecSumBodyText"/>
      </w:pPr>
      <w:r>
        <w:t>6.94</w:t>
      </w:r>
      <w:r>
        <w:tab/>
      </w:r>
      <w:r w:rsidR="005F0621" w:rsidRPr="00EF4FFA">
        <w:t>No quality use of medicines issues were identified in the submission, and no activities to support the quality use of medicines were proposed.</w:t>
      </w:r>
    </w:p>
    <w:p w:rsidR="00576972" w:rsidRPr="00EF4FFA" w:rsidRDefault="00576972" w:rsidP="00606FBA">
      <w:pPr>
        <w:pStyle w:val="3-SubsectionHeading"/>
      </w:pPr>
      <w:bookmarkStart w:id="30" w:name="_Toc22897649"/>
      <w:bookmarkStart w:id="31" w:name="_Toc40350908"/>
      <w:r w:rsidRPr="00EF4FFA">
        <w:t>Financial Management – Risk Sharing Arrangements</w:t>
      </w:r>
      <w:bookmarkEnd w:id="30"/>
      <w:bookmarkEnd w:id="31"/>
    </w:p>
    <w:p w:rsidR="00576972" w:rsidRPr="00EF4FFA" w:rsidRDefault="00786A6E" w:rsidP="00B827B1">
      <w:pPr>
        <w:pStyle w:val="ExecSumBodyText"/>
      </w:pPr>
      <w:r>
        <w:t>6.95</w:t>
      </w:r>
      <w:r>
        <w:tab/>
      </w:r>
      <w:r w:rsidR="00B827B1" w:rsidRPr="00EF4FFA">
        <w:t xml:space="preserve">The submission stated that the sponsor has proposed a risk sharing arrangement capping government expenditure on acalabrutinib to </w:t>
      </w:r>
      <w:r w:rsidR="00BF3740">
        <w:rPr>
          <w:noProof/>
          <w:color w:val="000000"/>
          <w:highlight w:val="black"/>
        </w:rPr>
        <w:t>'''''''</w:t>
      </w:r>
      <w:r w:rsidR="00B827B1" w:rsidRPr="00EF4FFA">
        <w:t xml:space="preserve"> cycles of therapy (approximately </w:t>
      </w:r>
      <w:r w:rsidR="00BF3740">
        <w:rPr>
          <w:noProof/>
          <w:color w:val="000000"/>
          <w:highlight w:val="black"/>
        </w:rPr>
        <w:t>''''''</w:t>
      </w:r>
      <w:r w:rsidR="00B827B1" w:rsidRPr="00EF4FFA">
        <w:t xml:space="preserve"> years of therapy). The submission claimed that this cap was derived based on a mean treatment duration of 7 years from the ELEVATE-TN trial that equated to a maximum treatment duration of </w:t>
      </w:r>
      <w:r w:rsidR="00B827B1" w:rsidRPr="00B71FC1">
        <w:t>8.9</w:t>
      </w:r>
      <w:r w:rsidR="00B827B1" w:rsidRPr="00EF4FFA">
        <w:t xml:space="preserve"> years.</w:t>
      </w:r>
      <w:r w:rsidR="005545B9" w:rsidRPr="00EF4FFA">
        <w:t xml:space="preserve"> The calculation of mean and maximum durations was not adequately documented in the submission and these values could not be validated during the evaluation.</w:t>
      </w:r>
    </w:p>
    <w:p w:rsidR="0065728B" w:rsidRPr="00EF4FFA" w:rsidRDefault="0065728B" w:rsidP="0065728B">
      <w:pPr>
        <w:pStyle w:val="ExecSumBodyText"/>
        <w:ind w:firstLine="0"/>
        <w:rPr>
          <w:i/>
        </w:rPr>
      </w:pPr>
      <w:r w:rsidRPr="00EF4FFA">
        <w:rPr>
          <w:i/>
          <w:snapToGrid/>
        </w:rPr>
        <w:t>For more detail on PBAC’s view, see section 7 PBAC outcome.</w:t>
      </w:r>
    </w:p>
    <w:p w:rsidR="0065728B" w:rsidRPr="00EF4FFA" w:rsidRDefault="0065728B" w:rsidP="00D74C9B">
      <w:pPr>
        <w:pStyle w:val="2-SectionHeading"/>
      </w:pPr>
      <w:r w:rsidRPr="00EF4FFA">
        <w:t>PBAC Outcome</w:t>
      </w:r>
    </w:p>
    <w:p w:rsidR="009E787C" w:rsidRPr="00EF4FFA" w:rsidRDefault="0065728B" w:rsidP="00927E97">
      <w:pPr>
        <w:pStyle w:val="3-BodyText"/>
      </w:pPr>
      <w:r w:rsidRPr="00EF4FFA">
        <w:t>The PBAC did not recommend</w:t>
      </w:r>
      <w:r w:rsidR="009E787C" w:rsidRPr="00EF4FFA">
        <w:t xml:space="preserve"> the listing of acalabrutinib, for use as monotherapy or in combination with obinutuzumab, for the first-line treatment of patients with CLL or SLL who are considered unsuitable for treatment with a purine analogue.</w:t>
      </w:r>
      <w:r w:rsidR="00C56828" w:rsidRPr="00EF4FFA">
        <w:rPr>
          <w:iCs/>
        </w:rPr>
        <w:t xml:space="preserve"> The PBAC considered </w:t>
      </w:r>
      <w:r w:rsidR="000434B5" w:rsidRPr="00EF4FFA">
        <w:rPr>
          <w:iCs/>
        </w:rPr>
        <w:t xml:space="preserve">that </w:t>
      </w:r>
      <w:r w:rsidR="00C56828" w:rsidRPr="00EF4FFA">
        <w:rPr>
          <w:iCs/>
        </w:rPr>
        <w:t>the incremental cost-effectiveness ratio (ICER) was unacceptably high and uncertain at the proposed price.</w:t>
      </w:r>
      <w:r w:rsidR="00F344A9" w:rsidRPr="00EF4FFA">
        <w:rPr>
          <w:rFonts w:cstheme="minorHAnsi"/>
        </w:rPr>
        <w:t xml:space="preserve"> The PBAC did not recommend the listing of </w:t>
      </w:r>
      <w:r w:rsidR="00F344A9" w:rsidRPr="00EF4FFA">
        <w:t xml:space="preserve">acalabrutinib, </w:t>
      </w:r>
      <w:r w:rsidR="00F344A9" w:rsidRPr="00927E97">
        <w:t>for</w:t>
      </w:r>
      <w:r w:rsidR="00F344A9" w:rsidRPr="00EF4FFA">
        <w:t xml:space="preserve"> use as monotherapy or in combination with obinutuzumab, for the first-line treatment of patients with CLL or SLL who harbour a 17p deletion as non-inferiority versus ibrutinib was</w:t>
      </w:r>
      <w:r w:rsidR="00C56828" w:rsidRPr="00EF4FFA">
        <w:t xml:space="preserve"> not adequately demonstrated.</w:t>
      </w:r>
      <w:r w:rsidR="00F344A9" w:rsidRPr="00EF4FFA">
        <w:t xml:space="preserve"> </w:t>
      </w:r>
    </w:p>
    <w:p w:rsidR="00660DE8" w:rsidRPr="00EF4FFA" w:rsidRDefault="00660DE8" w:rsidP="00927E97">
      <w:pPr>
        <w:pStyle w:val="3-BodyText"/>
      </w:pPr>
      <w:r w:rsidRPr="00EF4FFA">
        <w:t xml:space="preserve">The PBAC noted that the comments from consumers and from the Leukaemia Foundation, Lymphoma Australia and Rare Cancers Australia were all in support of the requested listing for acalabrutinib </w:t>
      </w:r>
      <w:r w:rsidRPr="00EF4FFA">
        <w:rPr>
          <w:rFonts w:cstheme="minorHAnsi"/>
        </w:rPr>
        <w:t>±</w:t>
      </w:r>
      <w:r w:rsidRPr="00EF4FFA">
        <w:t xml:space="preserve"> obinutuzumab, describing the need for treatment options in CLL patients unable to tolerate the current standard of care. </w:t>
      </w:r>
    </w:p>
    <w:p w:rsidR="000817CE" w:rsidRPr="00EF4FFA" w:rsidRDefault="000817CE" w:rsidP="00927E97">
      <w:pPr>
        <w:pStyle w:val="3-BodyText"/>
      </w:pPr>
      <w:r w:rsidRPr="00EF4FFA">
        <w:t xml:space="preserve">The PBAC considered the role and likely use of acalabrutinib in combination with obinutuzumab versus acalabrutinib monotherapy was unclear. The PBAC noted that </w:t>
      </w:r>
      <w:r w:rsidR="004E3526" w:rsidRPr="00EF4FFA">
        <w:t xml:space="preserve">although </w:t>
      </w:r>
      <w:r w:rsidR="00CA466C" w:rsidRPr="00EF4FFA">
        <w:t xml:space="preserve">a post hoc analysis of the </w:t>
      </w:r>
      <w:r w:rsidRPr="00EF4FFA">
        <w:t>pivotal clinical trial (ELEVATE-TN)</w:t>
      </w:r>
      <w:r w:rsidR="00CA466C" w:rsidRPr="00EF4FFA">
        <w:t xml:space="preserve"> demonstrated that</w:t>
      </w:r>
      <w:r w:rsidRPr="00EF4FFA">
        <w:t xml:space="preserve"> acalabrutinib + obinutuzumab was superior to acalabrutinib monotherapy on the basis of independent review committee-assessed progression free survival</w:t>
      </w:r>
      <w:r w:rsidR="00CA466C" w:rsidRPr="00EF4FFA">
        <w:t xml:space="preserve"> (HR = 0.49 [95% CI: 0.26, 0.95])</w:t>
      </w:r>
      <w:r w:rsidR="004E3526" w:rsidRPr="00EF4FFA">
        <w:t xml:space="preserve">, </w:t>
      </w:r>
      <w:r w:rsidRPr="00EF4FFA">
        <w:t xml:space="preserve">combination therapy was associated with </w:t>
      </w:r>
      <w:r w:rsidR="00367F91" w:rsidRPr="00EF4FFA">
        <w:t xml:space="preserve">substantial </w:t>
      </w:r>
      <w:r w:rsidRPr="00EF4FFA">
        <w:t xml:space="preserve">additional toxicity. Overall the Committee considered it likely that acalabrutinib monotherapy would be used in the majority of </w:t>
      </w:r>
      <w:r w:rsidR="00367F91" w:rsidRPr="00EF4FFA">
        <w:t>patients unsuitable for treatment with a purine analogue given the</w:t>
      </w:r>
      <w:r w:rsidR="005135B0" w:rsidRPr="00EF4FFA">
        <w:t xml:space="preserve"> additional</w:t>
      </w:r>
      <w:r w:rsidR="00367F91" w:rsidRPr="00EF4FFA">
        <w:t xml:space="preserve"> toxicity of combination therapy together with the </w:t>
      </w:r>
      <w:r w:rsidR="005135B0" w:rsidRPr="00EF4FFA">
        <w:t xml:space="preserve">general frailty of the </w:t>
      </w:r>
      <w:r w:rsidR="00367F91" w:rsidRPr="00EF4FFA">
        <w:t>patient</w:t>
      </w:r>
      <w:r w:rsidR="000434B5" w:rsidRPr="00EF4FFA">
        <w:t xml:space="preserve"> population</w:t>
      </w:r>
      <w:r w:rsidR="00367F91" w:rsidRPr="00EF4FFA">
        <w:t xml:space="preserve">. However, the PBAC considered the submission’s estimate of monotherapy use in 80% of patients was </w:t>
      </w:r>
      <w:r w:rsidR="007D2CB9">
        <w:t>highly uncertain</w:t>
      </w:r>
      <w:r w:rsidR="00367F91" w:rsidRPr="00EF4FFA">
        <w:t xml:space="preserve">, and the patient population in which combination therapy would be used was inadequately defined. The PBAC considered it likely that combination therapy would be used in most patients </w:t>
      </w:r>
      <w:r w:rsidR="000434B5" w:rsidRPr="00EF4FFA">
        <w:t>with</w:t>
      </w:r>
      <w:r w:rsidR="00367F91" w:rsidRPr="00EF4FFA">
        <w:t xml:space="preserve"> 17p deletion</w:t>
      </w:r>
      <w:r w:rsidR="0043076D" w:rsidRPr="00EF4FFA">
        <w:t xml:space="preserve"> as the proposed restriction does not limit </w:t>
      </w:r>
      <w:r w:rsidR="0043076D" w:rsidRPr="00EF4FFA">
        <w:lastRenderedPageBreak/>
        <w:t xml:space="preserve">use in </w:t>
      </w:r>
      <w:r w:rsidR="00065FCD">
        <w:t>such</w:t>
      </w:r>
      <w:r w:rsidR="0043076D" w:rsidRPr="00EF4FFA">
        <w:t xml:space="preserve"> patients to those who are older than 65 years of age or to those with comorbidities</w:t>
      </w:r>
      <w:r w:rsidR="00367F91" w:rsidRPr="00EF4FFA">
        <w:t>.</w:t>
      </w:r>
    </w:p>
    <w:p w:rsidR="00454812" w:rsidRPr="00EF4FFA" w:rsidRDefault="00454812" w:rsidP="00927E97">
      <w:pPr>
        <w:pStyle w:val="3-BodyText"/>
      </w:pPr>
      <w:r w:rsidRPr="00EF4FFA">
        <w:t>For</w:t>
      </w:r>
      <w:r w:rsidR="00AD30BB" w:rsidRPr="00EF4FFA">
        <w:t xml:space="preserve"> patients unsuitable for treatment with a purine analogue</w:t>
      </w:r>
      <w:r w:rsidRPr="00EF4FFA">
        <w:t>, t</w:t>
      </w:r>
      <w:r w:rsidR="00545E70" w:rsidRPr="00EF4FFA">
        <w:t xml:space="preserve">he PBAC </w:t>
      </w:r>
      <w:r w:rsidRPr="00EF4FFA">
        <w:t xml:space="preserve">noted that comparisons were presented </w:t>
      </w:r>
      <w:r w:rsidR="00AD30BB" w:rsidRPr="00EF4FFA">
        <w:t xml:space="preserve">for </w:t>
      </w:r>
      <w:r w:rsidRPr="00EF4FFA">
        <w:t xml:space="preserve">acalabrutinib </w:t>
      </w:r>
      <w:r w:rsidR="009B754B" w:rsidRPr="00EF4FFA">
        <w:t xml:space="preserve">monotherapy </w:t>
      </w:r>
      <w:r w:rsidRPr="00EF4FFA">
        <w:rPr>
          <w:rFonts w:cstheme="minorHAnsi"/>
        </w:rPr>
        <w:t>and acalabrutinib +</w:t>
      </w:r>
      <w:r w:rsidRPr="00EF4FFA">
        <w:t xml:space="preserve"> obinutuzumab </w:t>
      </w:r>
      <w:r w:rsidR="00AD30BB" w:rsidRPr="00EF4FFA">
        <w:t>versus</w:t>
      </w:r>
      <w:r w:rsidRPr="00EF4FFA">
        <w:t xml:space="preserve"> the primary comparator, chlorambucil + obinutuzumab. Supplementary comparisons were also presented versus venetoclax + obinutuzumab. The PBAC considered that th</w:t>
      </w:r>
      <w:r w:rsidR="002E3BA5" w:rsidRPr="00EF4FFA">
        <w:t>ese comparisons were</w:t>
      </w:r>
      <w:r w:rsidRPr="00EF4FFA">
        <w:t xml:space="preserve"> appropriate.</w:t>
      </w:r>
    </w:p>
    <w:p w:rsidR="004E3526" w:rsidRPr="00EF4FFA" w:rsidRDefault="006E5329" w:rsidP="00927E97">
      <w:pPr>
        <w:pStyle w:val="3-BodyText"/>
      </w:pPr>
      <w:r w:rsidRPr="00EF4FFA">
        <w:t xml:space="preserve">For the comparisons versus chlorambucil + obinutuzumab, the submission presented data from </w:t>
      </w:r>
      <w:r w:rsidR="004E3526" w:rsidRPr="00EF4FFA">
        <w:t xml:space="preserve">the ELEVATE-TN trial, which was </w:t>
      </w:r>
      <w:r w:rsidRPr="00EF4FFA">
        <w:t xml:space="preserve">a randomised, open-label trial which </w:t>
      </w:r>
      <w:r w:rsidR="004E3526" w:rsidRPr="00EF4FFA">
        <w:t xml:space="preserve">directly </w:t>
      </w:r>
      <w:r w:rsidRPr="00EF4FFA">
        <w:t>com</w:t>
      </w:r>
      <w:r w:rsidR="009B754B" w:rsidRPr="00EF4FFA">
        <w:t>pared acalabrutinib monotherapy and</w:t>
      </w:r>
      <w:r w:rsidRPr="00EF4FFA">
        <w:t xml:space="preserve"> acalabrutinib + obinutuzumab </w:t>
      </w:r>
      <w:r w:rsidR="009B754B" w:rsidRPr="00EF4FFA">
        <w:t>with</w:t>
      </w:r>
      <w:r w:rsidRPr="00EF4FFA">
        <w:t xml:space="preserve"> chlorambucil + obinutuzumab</w:t>
      </w:r>
      <w:r w:rsidR="00376FDF" w:rsidRPr="00EF4FFA">
        <w:t>. For the analysis presented the</w:t>
      </w:r>
      <w:r w:rsidRPr="00EF4FFA">
        <w:t xml:space="preserve"> median duration of follow up </w:t>
      </w:r>
      <w:r w:rsidR="00376FDF" w:rsidRPr="00EF4FFA">
        <w:t>was</w:t>
      </w:r>
      <w:r w:rsidRPr="00EF4FFA">
        <w:t xml:space="preserve"> 28 months.</w:t>
      </w:r>
    </w:p>
    <w:p w:rsidR="006E3918" w:rsidRPr="00EF4FFA" w:rsidRDefault="006E5329" w:rsidP="00927E97">
      <w:pPr>
        <w:pStyle w:val="3-BodyText"/>
      </w:pPr>
      <w:r w:rsidRPr="00EF4FFA">
        <w:t>The PBAC noted that both acalabrutinib</w:t>
      </w:r>
      <w:r w:rsidR="000C6125" w:rsidRPr="00EF4FFA">
        <w:t xml:space="preserve"> monotherapy </w:t>
      </w:r>
      <w:r w:rsidRPr="00EF4FFA">
        <w:t xml:space="preserve">(HR = 0.20 </w:t>
      </w:r>
      <w:r w:rsidR="004E3526" w:rsidRPr="00EF4FFA">
        <w:t>[</w:t>
      </w:r>
      <w:r w:rsidRPr="00EF4FFA">
        <w:t>95% CI: 0.13, 0.30</w:t>
      </w:r>
      <w:r w:rsidR="004E3526" w:rsidRPr="00EF4FFA">
        <w:t>]</w:t>
      </w:r>
      <w:r w:rsidRPr="00EF4FFA">
        <w:t xml:space="preserve">) and acalabrutinib + obinutuzumab (HR = 0.10 </w:t>
      </w:r>
      <w:r w:rsidR="004E3526" w:rsidRPr="00EF4FFA">
        <w:t>[</w:t>
      </w:r>
      <w:r w:rsidRPr="00EF4FFA">
        <w:t>95% CI: 0.06, 0.17</w:t>
      </w:r>
      <w:r w:rsidR="004E3526" w:rsidRPr="00EF4FFA">
        <w:t>]</w:t>
      </w:r>
      <w:r w:rsidRPr="00EF4FFA">
        <w:t xml:space="preserve">) demonstrated </w:t>
      </w:r>
      <w:r w:rsidR="000D3595" w:rsidRPr="00EF4FFA">
        <w:t xml:space="preserve">a </w:t>
      </w:r>
      <w:r w:rsidRPr="00EF4FFA">
        <w:t>statistically significant improvement compared to chlorambucil + obinutuzumab in terms of</w:t>
      </w:r>
      <w:r w:rsidR="000817CE" w:rsidRPr="00EF4FFA">
        <w:t xml:space="preserve"> </w:t>
      </w:r>
      <w:r w:rsidRPr="00EF4FFA">
        <w:t>progression free survival</w:t>
      </w:r>
      <w:r w:rsidR="005A0B8D" w:rsidRPr="00EF4FFA">
        <w:t>. However</w:t>
      </w:r>
      <w:r w:rsidRPr="00EF4FFA">
        <w:t xml:space="preserve">, the </w:t>
      </w:r>
      <w:r w:rsidR="005A0B8D" w:rsidRPr="00EF4FFA">
        <w:t xml:space="preserve">PBAC considered that </w:t>
      </w:r>
      <w:r w:rsidR="006E3918" w:rsidRPr="00EF4FFA">
        <w:t xml:space="preserve">the </w:t>
      </w:r>
      <w:r w:rsidR="00027E5A" w:rsidRPr="00EF4FFA">
        <w:t xml:space="preserve">magnitude of benefit </w:t>
      </w:r>
      <w:r w:rsidR="00137036" w:rsidRPr="00EF4FFA">
        <w:t>was</w:t>
      </w:r>
      <w:r w:rsidR="00027E5A" w:rsidRPr="00EF4FFA">
        <w:t xml:space="preserve"> uncertain as </w:t>
      </w:r>
      <w:r w:rsidR="005A0B8D" w:rsidRPr="00EF4FFA">
        <w:t xml:space="preserve">the </w:t>
      </w:r>
      <w:r w:rsidRPr="00EF4FFA">
        <w:t>data were immature</w:t>
      </w:r>
      <w:r w:rsidR="00137036" w:rsidRPr="00EF4FFA">
        <w:t>. M</w:t>
      </w:r>
      <w:r w:rsidR="004E3526" w:rsidRPr="00EF4FFA">
        <w:t>edian progression free survival was not reached in either of the acalabrutinib treatment arms</w:t>
      </w:r>
      <w:r w:rsidR="00137036" w:rsidRPr="00EF4FFA">
        <w:t xml:space="preserve">, with only </w:t>
      </w:r>
      <w:r w:rsidR="000D3595" w:rsidRPr="00EF4FFA">
        <w:t>26 (15%)</w:t>
      </w:r>
      <w:r w:rsidR="004E3526" w:rsidRPr="00EF4FFA">
        <w:t xml:space="preserve"> patients in the acalabrutinib monotherapy arm and </w:t>
      </w:r>
      <w:r w:rsidR="000D3595" w:rsidRPr="00EF4FFA">
        <w:t>14 (8%) patients in the a</w:t>
      </w:r>
      <w:r w:rsidR="004E3526" w:rsidRPr="00EF4FFA">
        <w:t>calabrutinib + obinutuzumab arm</w:t>
      </w:r>
      <w:r w:rsidR="00137036" w:rsidRPr="00EF4FFA">
        <w:t xml:space="preserve"> experiencing a progression event</w:t>
      </w:r>
      <w:r w:rsidR="005A0B8D" w:rsidRPr="00EF4FFA">
        <w:t>.</w:t>
      </w:r>
      <w:r w:rsidR="00F6341B" w:rsidRPr="00EF4FFA">
        <w:t xml:space="preserve"> </w:t>
      </w:r>
    </w:p>
    <w:p w:rsidR="00F6341B" w:rsidRPr="00EF4FFA" w:rsidRDefault="00F6341B" w:rsidP="00927E97">
      <w:pPr>
        <w:pStyle w:val="3-BodyText"/>
      </w:pPr>
      <w:r w:rsidRPr="00EF4FFA">
        <w:t>The PBAC noted that there were no statistically significant differences in overall survival</w:t>
      </w:r>
      <w:r w:rsidR="00C351FF" w:rsidRPr="00EF4FFA">
        <w:t>. The PBAC noted that the overall survival results were impacted by</w:t>
      </w:r>
      <w:r w:rsidRPr="00EF4FFA">
        <w:t xml:space="preserve"> patients </w:t>
      </w:r>
      <w:r w:rsidR="00C351FF" w:rsidRPr="00EF4FFA">
        <w:t>in the</w:t>
      </w:r>
      <w:r w:rsidRPr="00EF4FFA">
        <w:t xml:space="preserve"> chlorambucil + obinutuzumab</w:t>
      </w:r>
      <w:r w:rsidR="00C351FF" w:rsidRPr="00EF4FFA">
        <w:t xml:space="preserve"> arm </w:t>
      </w:r>
      <w:r w:rsidRPr="00EF4FFA">
        <w:t>cross</w:t>
      </w:r>
      <w:r w:rsidR="00C351FF" w:rsidRPr="00EF4FFA">
        <w:t>ing</w:t>
      </w:r>
      <w:r w:rsidRPr="00EF4FFA">
        <w:t xml:space="preserve"> over to receive acalabrutinib monotherapy</w:t>
      </w:r>
      <w:r w:rsidR="00C351FF" w:rsidRPr="00EF4FFA">
        <w:t xml:space="preserve"> after progression</w:t>
      </w:r>
      <w:r w:rsidR="00137036" w:rsidRPr="00EF4FFA">
        <w:t>;</w:t>
      </w:r>
      <w:r w:rsidR="00C351FF" w:rsidRPr="00EF4FFA">
        <w:t xml:space="preserve"> however</w:t>
      </w:r>
      <w:r w:rsidR="00137036" w:rsidRPr="00EF4FFA">
        <w:t>,</w:t>
      </w:r>
      <w:r w:rsidR="00C351FF" w:rsidRPr="00EF4FFA">
        <w:t xml:space="preserve"> considered </w:t>
      </w:r>
      <w:r w:rsidR="000434B5" w:rsidRPr="00EF4FFA">
        <w:t xml:space="preserve">that </w:t>
      </w:r>
      <w:r w:rsidR="00C351FF" w:rsidRPr="00EF4FFA">
        <w:t>this reflect</w:t>
      </w:r>
      <w:r w:rsidR="00137036" w:rsidRPr="00EF4FFA">
        <w:t>ed</w:t>
      </w:r>
      <w:r w:rsidR="00C351FF" w:rsidRPr="00EF4FFA">
        <w:t xml:space="preserve"> current clinical practice with the availability of treatments, including ibrutinib, for patients with relapsed or refractory disease</w:t>
      </w:r>
      <w:r w:rsidRPr="00EF4FFA">
        <w:t>.</w:t>
      </w:r>
    </w:p>
    <w:p w:rsidR="00027E5A" w:rsidRPr="00EF4FFA" w:rsidRDefault="00F6341B" w:rsidP="00927E97">
      <w:pPr>
        <w:pStyle w:val="3-BodyText"/>
      </w:pPr>
      <w:r w:rsidRPr="00EF4FFA">
        <w:t>In terms of safety</w:t>
      </w:r>
      <w:r w:rsidR="00027E5A" w:rsidRPr="00EF4FFA">
        <w:t xml:space="preserve"> versus </w:t>
      </w:r>
      <w:r w:rsidRPr="00EF4FFA">
        <w:t xml:space="preserve">chlorambucil + obinutuzumab, the PBAC noted that </w:t>
      </w:r>
      <w:r w:rsidR="00027E5A" w:rsidRPr="00EF4FFA">
        <w:t>the difference in treatment duration (acalabrutinib is given until disease progression; chlorambucil is given for 24 weeks) likely impact</w:t>
      </w:r>
      <w:r w:rsidR="00137036" w:rsidRPr="00EF4FFA">
        <w:t>ed</w:t>
      </w:r>
      <w:r w:rsidR="00027E5A" w:rsidRPr="00EF4FFA">
        <w:t xml:space="preserve"> the overall numbers of adverse events.</w:t>
      </w:r>
      <w:r w:rsidR="0097440B" w:rsidRPr="00EF4FFA">
        <w:t xml:space="preserve"> </w:t>
      </w:r>
      <w:r w:rsidR="006E3918" w:rsidRPr="00EF4FFA">
        <w:t>O</w:t>
      </w:r>
      <w:r w:rsidR="000C6125" w:rsidRPr="00EF4FFA">
        <w:t>verall, t</w:t>
      </w:r>
      <w:r w:rsidR="00027E5A" w:rsidRPr="00EF4FFA">
        <w:t xml:space="preserve">he PBAC </w:t>
      </w:r>
      <w:r w:rsidR="00B21701" w:rsidRPr="00EF4FFA">
        <w:t>considered</w:t>
      </w:r>
      <w:r w:rsidR="00027E5A" w:rsidRPr="00EF4FFA">
        <w:t xml:space="preserve"> that acalabrutinib</w:t>
      </w:r>
      <w:r w:rsidR="006E3918" w:rsidRPr="00EF4FFA">
        <w:t xml:space="preserve"> monotherapy</w:t>
      </w:r>
      <w:r w:rsidR="00027E5A" w:rsidRPr="00EF4FFA">
        <w:t xml:space="preserve"> </w:t>
      </w:r>
      <w:r w:rsidR="000C6125" w:rsidRPr="00EF4FFA">
        <w:t xml:space="preserve">was likely to be superior </w:t>
      </w:r>
      <w:r w:rsidR="009B754B" w:rsidRPr="00EF4FFA">
        <w:t>compared to chlorambucil + obinutuzumab</w:t>
      </w:r>
      <w:r w:rsidR="006E3918" w:rsidRPr="00EF4FFA">
        <w:t>,</w:t>
      </w:r>
      <w:r w:rsidR="00B21701" w:rsidRPr="00EF4FFA">
        <w:t xml:space="preserve"> </w:t>
      </w:r>
      <w:r w:rsidR="000C6125" w:rsidRPr="00EF4FFA">
        <w:t>and acalabrutinib +</w:t>
      </w:r>
      <w:r w:rsidR="00027E5A" w:rsidRPr="00EF4FFA">
        <w:t xml:space="preserve"> obinutuzumab</w:t>
      </w:r>
      <w:r w:rsidR="000C6125" w:rsidRPr="00EF4FFA">
        <w:t xml:space="preserve"> was likely </w:t>
      </w:r>
      <w:r w:rsidR="00137036" w:rsidRPr="00EF4FFA">
        <w:t xml:space="preserve">to </w:t>
      </w:r>
      <w:r w:rsidR="000C6125" w:rsidRPr="00EF4FFA">
        <w:t xml:space="preserve">result in similar safety outcomes compared to chlorambucil + obinutuzumab. </w:t>
      </w:r>
      <w:r w:rsidR="006E3918" w:rsidRPr="00EF4FFA">
        <w:t>However, t</w:t>
      </w:r>
      <w:r w:rsidR="000C6125" w:rsidRPr="00EF4FFA">
        <w:t>he PBAC note</w:t>
      </w:r>
      <w:r w:rsidR="005F3ABC" w:rsidRPr="00EF4FFA">
        <w:t>d</w:t>
      </w:r>
      <w:r w:rsidR="000C6125" w:rsidRPr="00EF4FFA">
        <w:t xml:space="preserve"> that </w:t>
      </w:r>
      <w:r w:rsidR="005F3ABC" w:rsidRPr="00EF4FFA">
        <w:t xml:space="preserve">both </w:t>
      </w:r>
      <w:r w:rsidR="000C6125" w:rsidRPr="00EF4FFA">
        <w:t>acalabrutinib</w:t>
      </w:r>
      <w:r w:rsidR="005F3ABC" w:rsidRPr="00EF4FFA">
        <w:t xml:space="preserve"> monotherapy and </w:t>
      </w:r>
      <w:r w:rsidR="0097440B" w:rsidRPr="00EF4FFA">
        <w:t>acalabrutinib +</w:t>
      </w:r>
      <w:r w:rsidR="000C6125" w:rsidRPr="00EF4FFA">
        <w:t xml:space="preserve"> obinutuzumab</w:t>
      </w:r>
      <w:r w:rsidR="00027E5A" w:rsidRPr="00EF4FFA">
        <w:t xml:space="preserve"> </w:t>
      </w:r>
      <w:r w:rsidR="0097440B" w:rsidRPr="00EF4FFA">
        <w:t>were</w:t>
      </w:r>
      <w:r w:rsidR="00027E5A" w:rsidRPr="00EF4FFA">
        <w:t xml:space="preserve"> associated with a higher incidence of serious adverse events compared to chlorambucil + obinutuzumab.</w:t>
      </w:r>
    </w:p>
    <w:p w:rsidR="0065728B" w:rsidRPr="00EF4FFA" w:rsidRDefault="00027E5A" w:rsidP="00927E97">
      <w:pPr>
        <w:pStyle w:val="3-BodyText"/>
      </w:pPr>
      <w:r w:rsidRPr="00EF4FFA">
        <w:t xml:space="preserve">The PBAC considered that the </w:t>
      </w:r>
      <w:r w:rsidR="000C6125" w:rsidRPr="00EF4FFA">
        <w:t xml:space="preserve">efficacy and safety </w:t>
      </w:r>
      <w:r w:rsidR="00137036" w:rsidRPr="00EF4FFA">
        <w:t>matching adjusted indirect comparisons (</w:t>
      </w:r>
      <w:r w:rsidRPr="00EF4FFA">
        <w:t>MAICs</w:t>
      </w:r>
      <w:r w:rsidR="00137036" w:rsidRPr="00EF4FFA">
        <w:t>)</w:t>
      </w:r>
      <w:r w:rsidRPr="00EF4FFA">
        <w:t xml:space="preserve"> </w:t>
      </w:r>
      <w:r w:rsidR="00137036" w:rsidRPr="00EF4FFA">
        <w:t>between</w:t>
      </w:r>
      <w:r w:rsidRPr="00EF4FFA">
        <w:t xml:space="preserve"> </w:t>
      </w:r>
      <w:r w:rsidR="00137036" w:rsidRPr="00EF4FFA">
        <w:t xml:space="preserve">both </w:t>
      </w:r>
      <w:r w:rsidRPr="00EF4FFA">
        <w:t xml:space="preserve">acalabrutinib </w:t>
      </w:r>
      <w:r w:rsidR="000C6125" w:rsidRPr="00EF4FFA">
        <w:t xml:space="preserve">monotherapy </w:t>
      </w:r>
      <w:r w:rsidRPr="00EF4FFA">
        <w:t xml:space="preserve">and acalabrutinib + obinutuzumab </w:t>
      </w:r>
      <w:r w:rsidR="00137036" w:rsidRPr="00EF4FFA">
        <w:t>and</w:t>
      </w:r>
      <w:r w:rsidRPr="00EF4FFA">
        <w:t xml:space="preserve"> </w:t>
      </w:r>
      <w:r w:rsidR="00B92D60" w:rsidRPr="00EF4FFA">
        <w:t>venetoclax</w:t>
      </w:r>
      <w:r w:rsidRPr="00EF4FFA">
        <w:t xml:space="preserve"> + obinutuzumab were </w:t>
      </w:r>
      <w:r w:rsidR="000C6125" w:rsidRPr="00EF4FFA">
        <w:t xml:space="preserve">highly </w:t>
      </w:r>
      <w:r w:rsidRPr="00EF4FFA">
        <w:t>uncertain</w:t>
      </w:r>
      <w:r w:rsidR="000C6125" w:rsidRPr="00EF4FFA">
        <w:t>. The PBAC noted t</w:t>
      </w:r>
      <w:r w:rsidRPr="00EF4FFA">
        <w:t>he</w:t>
      </w:r>
      <w:r w:rsidR="00233AEB" w:rsidRPr="00EF4FFA">
        <w:t xml:space="preserve"> heterogeneity between the </w:t>
      </w:r>
      <w:r w:rsidR="00605FAE" w:rsidRPr="00EF4FFA">
        <w:t>ELEVATE-TN</w:t>
      </w:r>
      <w:r w:rsidR="00AC2D44" w:rsidRPr="00EF4FFA">
        <w:t xml:space="preserve"> and</w:t>
      </w:r>
      <w:r w:rsidR="00605FAE" w:rsidRPr="00EF4FFA">
        <w:t xml:space="preserve"> </w:t>
      </w:r>
      <w:r w:rsidR="00233AEB" w:rsidRPr="00EF4FFA">
        <w:t>CLL-14 trials</w:t>
      </w:r>
      <w:r w:rsidR="003F1F86" w:rsidRPr="00EF4FFA">
        <w:t xml:space="preserve"> which resulted in poor overlap between the trial populations and </w:t>
      </w:r>
      <w:r w:rsidR="000C6125" w:rsidRPr="00EF4FFA">
        <w:t>small</w:t>
      </w:r>
      <w:r w:rsidRPr="00EF4FFA">
        <w:t xml:space="preserve"> effective sample sizes</w:t>
      </w:r>
      <w:r w:rsidR="00AC2D44" w:rsidRPr="00EF4FFA">
        <w:t xml:space="preserve"> for the MAICs</w:t>
      </w:r>
      <w:r w:rsidR="000C6125" w:rsidRPr="00EF4FFA">
        <w:t xml:space="preserve">, and considered that it was unclear whether all relevant prognostic and effect </w:t>
      </w:r>
      <w:r w:rsidR="000C6125" w:rsidRPr="00EF4FFA">
        <w:lastRenderedPageBreak/>
        <w:t xml:space="preserve">modifier variables had been identified. In addition, the PBAC noted that </w:t>
      </w:r>
      <w:r w:rsidR="00187719" w:rsidRPr="00EF4FFA">
        <w:t xml:space="preserve">although there were no statistically significant differences, </w:t>
      </w:r>
      <w:r w:rsidR="000C6125" w:rsidRPr="00EF4FFA">
        <w:t>no non-inferiority margins had been proposed</w:t>
      </w:r>
      <w:r w:rsidR="00187719" w:rsidRPr="00EF4FFA">
        <w:t xml:space="preserve"> and the confidence intervals were wide</w:t>
      </w:r>
      <w:r w:rsidR="000C6125" w:rsidRPr="00EF4FFA">
        <w:t>.</w:t>
      </w:r>
      <w:r w:rsidR="00187719" w:rsidRPr="00EF4FFA">
        <w:t xml:space="preserve"> </w:t>
      </w:r>
      <w:r w:rsidR="00233AEB" w:rsidRPr="00EF4FFA">
        <w:t>Overall, the</w:t>
      </w:r>
      <w:r w:rsidR="00187719" w:rsidRPr="00EF4FFA">
        <w:t xml:space="preserve"> PBAC considered that the efficacy and safety clinical claims </w:t>
      </w:r>
      <w:r w:rsidR="00D97DD2" w:rsidRPr="00EF4FFA">
        <w:t xml:space="preserve">based on the MAICs </w:t>
      </w:r>
      <w:r w:rsidR="00187719" w:rsidRPr="00EF4FFA">
        <w:t>could not be supported.</w:t>
      </w:r>
    </w:p>
    <w:p w:rsidR="002C203C" w:rsidRPr="00EF4FFA" w:rsidRDefault="002C203C" w:rsidP="00927E97">
      <w:pPr>
        <w:pStyle w:val="3-BodyText"/>
      </w:pPr>
      <w:r w:rsidRPr="00EF4FFA">
        <w:t>The submission presented cost utility analys</w:t>
      </w:r>
      <w:r w:rsidR="00AC2D44" w:rsidRPr="00EF4FFA">
        <w:t>e</w:t>
      </w:r>
      <w:r w:rsidRPr="00EF4FFA">
        <w:t xml:space="preserve">s comparing </w:t>
      </w:r>
      <w:r w:rsidR="00AC2D44" w:rsidRPr="00EF4FFA">
        <w:t xml:space="preserve">(i) </w:t>
      </w:r>
      <w:r w:rsidR="00741DB0" w:rsidRPr="00EF4FFA">
        <w:t>acalabrutinib monotherapy</w:t>
      </w:r>
      <w:r w:rsidRPr="00EF4FFA">
        <w:t xml:space="preserve"> with chlorambucil + obinutuzumab</w:t>
      </w:r>
      <w:r w:rsidR="00AC2D44" w:rsidRPr="00EF4FFA">
        <w:t xml:space="preserve"> and (ii) acalabrutinib + obinutuzumab with chlorambucil + obinutuzumab</w:t>
      </w:r>
      <w:r w:rsidR="009650A5" w:rsidRPr="00EF4FFA">
        <w:t xml:space="preserve">. </w:t>
      </w:r>
      <w:r w:rsidRPr="00EF4FFA">
        <w:t>The PBAC considered that the cost effectiveness of acalabrutinib monotherapy and acalabrutinib + obinutuzumab was difficult to ascertain due to uncertainties including:</w:t>
      </w:r>
    </w:p>
    <w:p w:rsidR="002C203C" w:rsidRPr="00EF4FFA" w:rsidDel="00AC2D44" w:rsidRDefault="003D4921" w:rsidP="00024C2B">
      <w:pPr>
        <w:widowControl w:val="0"/>
        <w:numPr>
          <w:ilvl w:val="1"/>
          <w:numId w:val="42"/>
        </w:numPr>
        <w:spacing w:after="120"/>
        <w:ind w:left="1077" w:hanging="357"/>
        <w:rPr>
          <w:rFonts w:asciiTheme="minorHAnsi" w:hAnsiTheme="minorHAnsi"/>
          <w:bCs/>
          <w:snapToGrid w:val="0"/>
        </w:rPr>
      </w:pPr>
      <w:proofErr w:type="gramStart"/>
      <w:r w:rsidRPr="00EF4FFA" w:rsidDel="00AC2D44">
        <w:rPr>
          <w:rFonts w:asciiTheme="minorHAnsi" w:hAnsiTheme="minorHAnsi"/>
          <w:bCs/>
          <w:snapToGrid w:val="0"/>
        </w:rPr>
        <w:t>t</w:t>
      </w:r>
      <w:r w:rsidR="002C203C" w:rsidRPr="00EF4FFA" w:rsidDel="00AC2D44">
        <w:rPr>
          <w:rFonts w:asciiTheme="minorHAnsi" w:hAnsiTheme="minorHAnsi"/>
          <w:bCs/>
          <w:snapToGrid w:val="0"/>
        </w:rPr>
        <w:t>he</w:t>
      </w:r>
      <w:proofErr w:type="gramEnd"/>
      <w:r w:rsidR="002C203C" w:rsidRPr="00EF4FFA" w:rsidDel="00AC2D44">
        <w:rPr>
          <w:rFonts w:asciiTheme="minorHAnsi" w:hAnsiTheme="minorHAnsi"/>
          <w:bCs/>
          <w:snapToGrid w:val="0"/>
        </w:rPr>
        <w:t xml:space="preserve"> 20 year time horizon. </w:t>
      </w:r>
      <w:r w:rsidRPr="00EF4FFA" w:rsidDel="00AC2D44">
        <w:rPr>
          <w:rFonts w:asciiTheme="minorHAnsi" w:hAnsiTheme="minorHAnsi"/>
          <w:bCs/>
          <w:snapToGrid w:val="0"/>
        </w:rPr>
        <w:t xml:space="preserve">Noting that </w:t>
      </w:r>
      <w:r w:rsidR="00086F22" w:rsidRPr="00EF4FFA" w:rsidDel="00AC2D44">
        <w:rPr>
          <w:rFonts w:asciiTheme="minorHAnsi" w:hAnsiTheme="minorHAnsi"/>
          <w:bCs/>
          <w:snapToGrid w:val="0"/>
        </w:rPr>
        <w:t xml:space="preserve">patients entered the model at 70 years of age, the PBAC considered that </w:t>
      </w:r>
      <w:r w:rsidRPr="00EF4FFA" w:rsidDel="00AC2D44">
        <w:rPr>
          <w:rFonts w:asciiTheme="minorHAnsi" w:hAnsiTheme="minorHAnsi"/>
          <w:bCs/>
          <w:snapToGrid w:val="0"/>
        </w:rPr>
        <w:t>the proportions of acalabrutinib monotherapy and acalabrutinib + obinutuzumab patients alive at 20 years (approximately 25% and 30% respectively) were high</w:t>
      </w:r>
      <w:r w:rsidR="00086F22" w:rsidRPr="00EF4FFA" w:rsidDel="00AC2D44">
        <w:rPr>
          <w:rFonts w:asciiTheme="minorHAnsi" w:hAnsiTheme="minorHAnsi"/>
          <w:bCs/>
          <w:snapToGrid w:val="0"/>
        </w:rPr>
        <w:t>.</w:t>
      </w:r>
      <w:r w:rsidR="0097440B" w:rsidRPr="00EF4FFA">
        <w:rPr>
          <w:rFonts w:asciiTheme="minorHAnsi" w:hAnsiTheme="minorHAnsi"/>
          <w:bCs/>
          <w:snapToGrid w:val="0"/>
        </w:rPr>
        <w:t xml:space="preserve"> </w:t>
      </w:r>
      <w:r w:rsidR="00CF47D5" w:rsidRPr="00EF4FFA">
        <w:rPr>
          <w:rFonts w:asciiTheme="minorHAnsi" w:hAnsiTheme="minorHAnsi"/>
          <w:bCs/>
          <w:snapToGrid w:val="0"/>
        </w:rPr>
        <w:t>T</w:t>
      </w:r>
      <w:r w:rsidRPr="00EF4FFA" w:rsidDel="00AC2D44">
        <w:rPr>
          <w:rFonts w:asciiTheme="minorHAnsi" w:hAnsiTheme="minorHAnsi"/>
          <w:bCs/>
          <w:snapToGrid w:val="0"/>
        </w:rPr>
        <w:t>he PBAC considered that the extrapolation functions should be revised to provide more plausible estimates of long term survival</w:t>
      </w:r>
      <w:r w:rsidR="0097440B" w:rsidRPr="00EF4FFA">
        <w:rPr>
          <w:rFonts w:asciiTheme="minorHAnsi" w:hAnsiTheme="minorHAnsi"/>
          <w:bCs/>
          <w:snapToGrid w:val="0"/>
        </w:rPr>
        <w:t>,</w:t>
      </w:r>
      <w:r w:rsidR="00CF47D5" w:rsidRPr="00EF4FFA">
        <w:rPr>
          <w:rFonts w:asciiTheme="minorHAnsi" w:hAnsiTheme="minorHAnsi"/>
          <w:bCs/>
          <w:snapToGrid w:val="0"/>
        </w:rPr>
        <w:t xml:space="preserve"> and recalled that for </w:t>
      </w:r>
      <w:r w:rsidR="00CF47D5" w:rsidRPr="00EF4FFA" w:rsidDel="00AC2D44">
        <w:rPr>
          <w:rFonts w:asciiTheme="minorHAnsi" w:hAnsiTheme="minorHAnsi"/>
          <w:bCs/>
          <w:snapToGrid w:val="0"/>
        </w:rPr>
        <w:t>the March 2020 submission for venetoclax</w:t>
      </w:r>
      <w:r w:rsidR="00581421" w:rsidRPr="00EF4FFA">
        <w:rPr>
          <w:rFonts w:asciiTheme="minorHAnsi" w:hAnsiTheme="minorHAnsi"/>
          <w:bCs/>
          <w:snapToGrid w:val="0"/>
        </w:rPr>
        <w:t xml:space="preserve"> for CLL</w:t>
      </w:r>
      <w:r w:rsidR="00CF47D5" w:rsidRPr="00EF4FFA" w:rsidDel="00AC2D44">
        <w:rPr>
          <w:rFonts w:asciiTheme="minorHAnsi" w:hAnsiTheme="minorHAnsi"/>
          <w:bCs/>
          <w:snapToGrid w:val="0"/>
        </w:rPr>
        <w:t xml:space="preserve"> in the first-line setting, a 10-year time horizon was considered to be appropriate</w:t>
      </w:r>
      <w:r w:rsidRPr="00EF4FFA" w:rsidDel="00AC2D44">
        <w:rPr>
          <w:rFonts w:asciiTheme="minorHAnsi" w:hAnsiTheme="minorHAnsi"/>
          <w:bCs/>
          <w:snapToGrid w:val="0"/>
        </w:rPr>
        <w:t>;</w:t>
      </w:r>
    </w:p>
    <w:p w:rsidR="00AC2D44" w:rsidRPr="00EF4FFA" w:rsidRDefault="00674B6D" w:rsidP="00024C2B">
      <w:pPr>
        <w:widowControl w:val="0"/>
        <w:numPr>
          <w:ilvl w:val="1"/>
          <w:numId w:val="42"/>
        </w:numPr>
        <w:spacing w:after="120"/>
        <w:ind w:left="1077" w:hanging="357"/>
        <w:rPr>
          <w:rFonts w:asciiTheme="minorHAnsi" w:hAnsiTheme="minorHAnsi"/>
          <w:bCs/>
          <w:snapToGrid w:val="0"/>
        </w:rPr>
      </w:pPr>
      <w:proofErr w:type="gramStart"/>
      <w:r w:rsidRPr="00EF4FFA">
        <w:rPr>
          <w:rFonts w:asciiTheme="minorHAnsi" w:hAnsiTheme="minorHAnsi"/>
          <w:bCs/>
          <w:snapToGrid w:val="0"/>
        </w:rPr>
        <w:t>that</w:t>
      </w:r>
      <w:proofErr w:type="gramEnd"/>
      <w:r w:rsidRPr="00EF4FFA">
        <w:rPr>
          <w:rFonts w:asciiTheme="minorHAnsi" w:hAnsiTheme="minorHAnsi"/>
          <w:bCs/>
          <w:snapToGrid w:val="0"/>
        </w:rPr>
        <w:t xml:space="preserve"> the model generated improvements in overall survival for patients in the acalabrutini</w:t>
      </w:r>
      <w:r w:rsidR="00F65B39" w:rsidRPr="00EF4FFA">
        <w:rPr>
          <w:rFonts w:asciiTheme="minorHAnsi" w:hAnsiTheme="minorHAnsi"/>
          <w:bCs/>
          <w:snapToGrid w:val="0"/>
        </w:rPr>
        <w:t>b</w:t>
      </w:r>
      <w:r w:rsidR="00581421" w:rsidRPr="00EF4FFA">
        <w:rPr>
          <w:rFonts w:asciiTheme="minorHAnsi" w:hAnsiTheme="minorHAnsi"/>
          <w:bCs/>
          <w:snapToGrid w:val="0"/>
        </w:rPr>
        <w:t xml:space="preserve"> </w:t>
      </w:r>
      <w:r w:rsidR="00581421" w:rsidRPr="00EF4FFA">
        <w:rPr>
          <w:rFonts w:asciiTheme="minorHAnsi" w:hAnsiTheme="minorHAnsi" w:cstheme="minorHAnsi"/>
          <w:bCs/>
          <w:snapToGrid w:val="0"/>
        </w:rPr>
        <w:t>±</w:t>
      </w:r>
      <w:r w:rsidR="00581421" w:rsidRPr="00EF4FFA">
        <w:rPr>
          <w:rFonts w:asciiTheme="minorHAnsi" w:hAnsiTheme="minorHAnsi"/>
          <w:bCs/>
          <w:snapToGrid w:val="0"/>
        </w:rPr>
        <w:t xml:space="preserve"> obinutuzumab</w:t>
      </w:r>
      <w:r w:rsidR="00F65B39" w:rsidRPr="00EF4FFA">
        <w:rPr>
          <w:rFonts w:asciiTheme="minorHAnsi" w:hAnsiTheme="minorHAnsi"/>
          <w:bCs/>
          <w:snapToGrid w:val="0"/>
        </w:rPr>
        <w:t xml:space="preserve"> treatment </w:t>
      </w:r>
      <w:r w:rsidR="00AC2D44" w:rsidRPr="00EF4FFA">
        <w:rPr>
          <w:rFonts w:asciiTheme="minorHAnsi" w:hAnsiTheme="minorHAnsi"/>
          <w:bCs/>
          <w:snapToGrid w:val="0"/>
        </w:rPr>
        <w:t>arm</w:t>
      </w:r>
      <w:r w:rsidR="00581421" w:rsidRPr="00EF4FFA">
        <w:rPr>
          <w:rFonts w:asciiTheme="minorHAnsi" w:hAnsiTheme="minorHAnsi"/>
          <w:bCs/>
          <w:snapToGrid w:val="0"/>
        </w:rPr>
        <w:t>s</w:t>
      </w:r>
      <w:r w:rsidR="00AC2D44" w:rsidRPr="00EF4FFA">
        <w:rPr>
          <w:rFonts w:asciiTheme="minorHAnsi" w:hAnsiTheme="minorHAnsi"/>
          <w:bCs/>
          <w:snapToGrid w:val="0"/>
        </w:rPr>
        <w:t xml:space="preserve"> which</w:t>
      </w:r>
      <w:r w:rsidR="00F65B39" w:rsidRPr="00EF4FFA">
        <w:rPr>
          <w:rFonts w:asciiTheme="minorHAnsi" w:hAnsiTheme="minorHAnsi"/>
          <w:bCs/>
          <w:snapToGrid w:val="0"/>
        </w:rPr>
        <w:t xml:space="preserve"> </w:t>
      </w:r>
      <w:r w:rsidR="00AC2D44" w:rsidRPr="00EF4FFA">
        <w:rPr>
          <w:rFonts w:asciiTheme="minorHAnsi" w:hAnsiTheme="minorHAnsi"/>
          <w:bCs/>
          <w:snapToGrid w:val="0"/>
        </w:rPr>
        <w:t>were</w:t>
      </w:r>
      <w:r w:rsidR="00F65B39" w:rsidRPr="00EF4FFA">
        <w:rPr>
          <w:rFonts w:asciiTheme="minorHAnsi" w:hAnsiTheme="minorHAnsi"/>
          <w:bCs/>
          <w:snapToGrid w:val="0"/>
        </w:rPr>
        <w:t xml:space="preserve"> not supported by the data from the ELEVATE</w:t>
      </w:r>
      <w:r w:rsidR="00605FAE" w:rsidRPr="00EF4FFA">
        <w:rPr>
          <w:rFonts w:asciiTheme="minorHAnsi" w:hAnsiTheme="minorHAnsi"/>
          <w:bCs/>
          <w:snapToGrid w:val="0"/>
        </w:rPr>
        <w:t>-TN</w:t>
      </w:r>
      <w:r w:rsidR="00F65B39" w:rsidRPr="00EF4FFA">
        <w:rPr>
          <w:rFonts w:asciiTheme="minorHAnsi" w:hAnsiTheme="minorHAnsi"/>
          <w:bCs/>
          <w:snapToGrid w:val="0"/>
        </w:rPr>
        <w:t xml:space="preserve"> trial.</w:t>
      </w:r>
      <w:r w:rsidR="009538CF" w:rsidRPr="00EF4FFA">
        <w:rPr>
          <w:rFonts w:asciiTheme="minorHAnsi" w:hAnsiTheme="minorHAnsi"/>
          <w:bCs/>
          <w:snapToGrid w:val="0"/>
        </w:rPr>
        <w:t xml:space="preserve"> </w:t>
      </w:r>
      <w:r w:rsidR="00832C1E" w:rsidRPr="00EF4FFA">
        <w:rPr>
          <w:rFonts w:asciiTheme="minorHAnsi" w:hAnsiTheme="minorHAnsi"/>
          <w:bCs/>
          <w:snapToGrid w:val="0"/>
        </w:rPr>
        <w:t xml:space="preserve">The PBAC considered </w:t>
      </w:r>
      <w:r w:rsidR="00776AFA" w:rsidRPr="00EF4FFA">
        <w:rPr>
          <w:rFonts w:asciiTheme="minorHAnsi" w:hAnsiTheme="minorHAnsi"/>
          <w:bCs/>
          <w:snapToGrid w:val="0"/>
        </w:rPr>
        <w:t xml:space="preserve">that, </w:t>
      </w:r>
      <w:r w:rsidR="00832C1E" w:rsidRPr="00EF4FFA">
        <w:rPr>
          <w:rFonts w:asciiTheme="minorHAnsi" w:hAnsiTheme="minorHAnsi"/>
          <w:bCs/>
          <w:snapToGrid w:val="0"/>
        </w:rPr>
        <w:t>based on the available data</w:t>
      </w:r>
      <w:r w:rsidR="00776AFA" w:rsidRPr="00EF4FFA">
        <w:rPr>
          <w:rFonts w:asciiTheme="minorHAnsi" w:hAnsiTheme="minorHAnsi"/>
          <w:bCs/>
          <w:snapToGrid w:val="0"/>
        </w:rPr>
        <w:t>,</w:t>
      </w:r>
      <w:r w:rsidR="00832C1E" w:rsidRPr="00EF4FFA">
        <w:rPr>
          <w:rFonts w:asciiTheme="minorHAnsi" w:hAnsiTheme="minorHAnsi"/>
          <w:bCs/>
          <w:snapToGrid w:val="0"/>
        </w:rPr>
        <w:t xml:space="preserve"> a difference in overall </w:t>
      </w:r>
      <w:r w:rsidR="00CF47D5" w:rsidRPr="00EF4FFA">
        <w:rPr>
          <w:rFonts w:asciiTheme="minorHAnsi" w:hAnsiTheme="minorHAnsi"/>
          <w:bCs/>
          <w:snapToGrid w:val="0"/>
        </w:rPr>
        <w:t>survival should not be modelled;</w:t>
      </w:r>
    </w:p>
    <w:p w:rsidR="00674B6D" w:rsidRPr="00EF4FFA" w:rsidRDefault="00F65B39" w:rsidP="00024C2B">
      <w:pPr>
        <w:widowControl w:val="0"/>
        <w:numPr>
          <w:ilvl w:val="1"/>
          <w:numId w:val="42"/>
        </w:numPr>
        <w:spacing w:after="120"/>
        <w:ind w:left="1077" w:hanging="357"/>
        <w:rPr>
          <w:rFonts w:asciiTheme="minorHAnsi" w:hAnsiTheme="minorHAnsi"/>
          <w:bCs/>
          <w:snapToGrid w:val="0"/>
        </w:rPr>
      </w:pPr>
      <w:proofErr w:type="gramStart"/>
      <w:r w:rsidRPr="00EF4FFA">
        <w:rPr>
          <w:rFonts w:asciiTheme="minorHAnsi" w:hAnsiTheme="minorHAnsi"/>
          <w:bCs/>
          <w:snapToGrid w:val="0"/>
        </w:rPr>
        <w:t>that</w:t>
      </w:r>
      <w:proofErr w:type="gramEnd"/>
      <w:r w:rsidRPr="00EF4FFA">
        <w:rPr>
          <w:rFonts w:asciiTheme="minorHAnsi" w:hAnsiTheme="minorHAnsi"/>
          <w:bCs/>
          <w:snapToGrid w:val="0"/>
        </w:rPr>
        <w:t xml:space="preserve"> </w:t>
      </w:r>
      <w:r w:rsidR="00832C1E" w:rsidRPr="00EF4FFA">
        <w:rPr>
          <w:rFonts w:asciiTheme="minorHAnsi" w:hAnsiTheme="minorHAnsi"/>
          <w:bCs/>
          <w:snapToGrid w:val="0"/>
        </w:rPr>
        <w:t>the second line treatment options differed across the treatment arms</w:t>
      </w:r>
      <w:r w:rsidR="00581421" w:rsidRPr="00EF4FFA">
        <w:rPr>
          <w:rFonts w:asciiTheme="minorHAnsi" w:hAnsiTheme="minorHAnsi"/>
          <w:bCs/>
          <w:snapToGrid w:val="0"/>
        </w:rPr>
        <w:t>,</w:t>
      </w:r>
      <w:r w:rsidR="00832C1E" w:rsidRPr="00EF4FFA">
        <w:rPr>
          <w:rFonts w:asciiTheme="minorHAnsi" w:hAnsiTheme="minorHAnsi"/>
          <w:bCs/>
          <w:snapToGrid w:val="0"/>
        </w:rPr>
        <w:t xml:space="preserve"> and </w:t>
      </w:r>
      <w:r w:rsidR="00776AFA" w:rsidRPr="00EF4FFA">
        <w:rPr>
          <w:rFonts w:asciiTheme="minorHAnsi" w:hAnsiTheme="minorHAnsi"/>
          <w:bCs/>
          <w:snapToGrid w:val="0"/>
        </w:rPr>
        <w:t xml:space="preserve">there were </w:t>
      </w:r>
      <w:r w:rsidRPr="00EF4FFA">
        <w:rPr>
          <w:rFonts w:asciiTheme="minorHAnsi" w:hAnsiTheme="minorHAnsi"/>
          <w:bCs/>
          <w:snapToGrid w:val="0"/>
        </w:rPr>
        <w:t xml:space="preserve">differences in </w:t>
      </w:r>
      <w:r w:rsidR="00AC2D44" w:rsidRPr="00EF4FFA">
        <w:rPr>
          <w:rFonts w:asciiTheme="minorHAnsi" w:hAnsiTheme="minorHAnsi"/>
          <w:bCs/>
          <w:snapToGrid w:val="0"/>
        </w:rPr>
        <w:t>outcomes and costs for</w:t>
      </w:r>
      <w:r w:rsidR="00581421" w:rsidRPr="00EF4FFA">
        <w:rPr>
          <w:rFonts w:asciiTheme="minorHAnsi" w:hAnsiTheme="minorHAnsi"/>
          <w:bCs/>
          <w:snapToGrid w:val="0"/>
        </w:rPr>
        <w:t xml:space="preserve"> the second line </w:t>
      </w:r>
      <w:r w:rsidR="00AC2D44" w:rsidRPr="00EF4FFA">
        <w:rPr>
          <w:rFonts w:asciiTheme="minorHAnsi" w:hAnsiTheme="minorHAnsi"/>
          <w:bCs/>
          <w:snapToGrid w:val="0"/>
        </w:rPr>
        <w:t xml:space="preserve">treatments which </w:t>
      </w:r>
      <w:r w:rsidR="00776AFA" w:rsidRPr="00EF4FFA">
        <w:rPr>
          <w:rFonts w:asciiTheme="minorHAnsi" w:hAnsiTheme="minorHAnsi"/>
          <w:bCs/>
          <w:snapToGrid w:val="0"/>
        </w:rPr>
        <w:t>had previously been</w:t>
      </w:r>
      <w:r w:rsidRPr="00EF4FFA">
        <w:rPr>
          <w:rFonts w:asciiTheme="minorHAnsi" w:hAnsiTheme="minorHAnsi"/>
          <w:bCs/>
          <w:snapToGrid w:val="0"/>
        </w:rPr>
        <w:t xml:space="preserve"> recommended on a cost-minimisation basis. The PBAC considered that the costs and benefits of venetoclax + rituximab and ibrutinib should be equal in the RR setting</w:t>
      </w:r>
      <w:r w:rsidR="00CF47D5" w:rsidRPr="00EF4FFA">
        <w:rPr>
          <w:rFonts w:asciiTheme="minorHAnsi" w:hAnsiTheme="minorHAnsi"/>
          <w:bCs/>
          <w:snapToGrid w:val="0"/>
        </w:rPr>
        <w:t>;</w:t>
      </w:r>
      <w:r w:rsidRPr="00EF4FFA">
        <w:rPr>
          <w:rFonts w:asciiTheme="minorHAnsi" w:hAnsiTheme="minorHAnsi"/>
          <w:bCs/>
          <w:snapToGrid w:val="0"/>
        </w:rPr>
        <w:t xml:space="preserve"> </w:t>
      </w:r>
    </w:p>
    <w:p w:rsidR="00832C1E" w:rsidRPr="00EF4FFA" w:rsidRDefault="00024C2B" w:rsidP="00FA5743">
      <w:pPr>
        <w:widowControl w:val="0"/>
        <w:numPr>
          <w:ilvl w:val="1"/>
          <w:numId w:val="42"/>
        </w:numPr>
        <w:spacing w:after="120"/>
        <w:ind w:left="1077" w:hanging="357"/>
        <w:rPr>
          <w:rFonts w:asciiTheme="minorHAnsi" w:hAnsiTheme="minorHAnsi"/>
          <w:bCs/>
          <w:snapToGrid w:val="0"/>
        </w:rPr>
      </w:pPr>
      <w:r w:rsidRPr="00EF4FFA">
        <w:rPr>
          <w:rFonts w:asciiTheme="minorHAnsi" w:hAnsiTheme="minorHAnsi"/>
          <w:bCs/>
          <w:snapToGrid w:val="0"/>
        </w:rPr>
        <w:t>that the</w:t>
      </w:r>
      <w:r w:rsidR="00832C1E" w:rsidRPr="00EF4FFA">
        <w:rPr>
          <w:rFonts w:asciiTheme="minorHAnsi" w:hAnsiTheme="minorHAnsi"/>
          <w:bCs/>
          <w:snapToGrid w:val="0"/>
        </w:rPr>
        <w:t xml:space="preserve"> mortality rates for the different lines of treatment lacked face validity;</w:t>
      </w:r>
    </w:p>
    <w:p w:rsidR="00832C1E" w:rsidRPr="00EF4FFA" w:rsidRDefault="00832C1E" w:rsidP="00FA5743">
      <w:pPr>
        <w:widowControl w:val="0"/>
        <w:numPr>
          <w:ilvl w:val="1"/>
          <w:numId w:val="42"/>
        </w:numPr>
        <w:spacing w:after="120"/>
        <w:ind w:left="1077" w:hanging="357"/>
        <w:rPr>
          <w:rFonts w:asciiTheme="minorHAnsi" w:hAnsiTheme="minorHAnsi"/>
          <w:bCs/>
          <w:snapToGrid w:val="0"/>
        </w:rPr>
      </w:pPr>
      <w:proofErr w:type="gramStart"/>
      <w:r w:rsidRPr="00EF4FFA">
        <w:rPr>
          <w:rFonts w:asciiTheme="minorHAnsi" w:hAnsiTheme="minorHAnsi"/>
          <w:bCs/>
          <w:snapToGrid w:val="0"/>
        </w:rPr>
        <w:t>that</w:t>
      </w:r>
      <w:proofErr w:type="gramEnd"/>
      <w:r w:rsidRPr="00EF4FFA">
        <w:rPr>
          <w:rFonts w:asciiTheme="minorHAnsi" w:hAnsiTheme="minorHAnsi"/>
          <w:bCs/>
          <w:snapToGrid w:val="0"/>
        </w:rPr>
        <w:t xml:space="preserve"> the health state utilities used in the model from Kosmas 2015 differed considerably from the trial based estimates. The PBAC considered that the Kosmas 2015 values re-anchored to the oral initial therapy state were more appropriate;</w:t>
      </w:r>
      <w:r w:rsidR="00CF47D5" w:rsidRPr="00EF4FFA">
        <w:rPr>
          <w:rFonts w:asciiTheme="minorHAnsi" w:hAnsiTheme="minorHAnsi"/>
          <w:bCs/>
          <w:snapToGrid w:val="0"/>
        </w:rPr>
        <w:t xml:space="preserve"> and</w:t>
      </w:r>
    </w:p>
    <w:p w:rsidR="00782B5D" w:rsidRPr="00EF4FFA" w:rsidRDefault="00024C2B" w:rsidP="00024C2B">
      <w:pPr>
        <w:widowControl w:val="0"/>
        <w:numPr>
          <w:ilvl w:val="1"/>
          <w:numId w:val="42"/>
        </w:numPr>
        <w:spacing w:after="120"/>
        <w:ind w:left="1077" w:hanging="357"/>
        <w:rPr>
          <w:rFonts w:asciiTheme="minorHAnsi" w:hAnsiTheme="minorHAnsi"/>
          <w:bCs/>
          <w:snapToGrid w:val="0"/>
        </w:rPr>
      </w:pPr>
      <w:proofErr w:type="gramStart"/>
      <w:r w:rsidRPr="00EF4FFA">
        <w:rPr>
          <w:rFonts w:asciiTheme="minorHAnsi" w:hAnsiTheme="minorHAnsi"/>
          <w:bCs/>
          <w:snapToGrid w:val="0"/>
        </w:rPr>
        <w:t>the</w:t>
      </w:r>
      <w:proofErr w:type="gramEnd"/>
      <w:r w:rsidRPr="00EF4FFA">
        <w:rPr>
          <w:rFonts w:asciiTheme="minorHAnsi" w:hAnsiTheme="minorHAnsi"/>
          <w:bCs/>
          <w:snapToGrid w:val="0"/>
        </w:rPr>
        <w:t xml:space="preserve"> implausible length of time patients who discontinued </w:t>
      </w:r>
      <w:r w:rsidR="00CF47D5" w:rsidRPr="00EF4FFA">
        <w:rPr>
          <w:rFonts w:asciiTheme="minorHAnsi" w:hAnsiTheme="minorHAnsi"/>
          <w:bCs/>
          <w:snapToGrid w:val="0"/>
        </w:rPr>
        <w:t xml:space="preserve">first-line </w:t>
      </w:r>
      <w:r w:rsidRPr="00EF4FFA">
        <w:rPr>
          <w:rFonts w:asciiTheme="minorHAnsi" w:hAnsiTheme="minorHAnsi"/>
          <w:bCs/>
          <w:snapToGrid w:val="0"/>
        </w:rPr>
        <w:t>treatment remained progression free (9.2 years for acalabrutinib monotherapy patients and 10.6 years for acalabrutin</w:t>
      </w:r>
      <w:r w:rsidR="00795618" w:rsidRPr="00EF4FFA">
        <w:rPr>
          <w:rFonts w:asciiTheme="minorHAnsi" w:hAnsiTheme="minorHAnsi"/>
          <w:bCs/>
          <w:snapToGrid w:val="0"/>
        </w:rPr>
        <w:t>ib + obinutuzumab patients).</w:t>
      </w:r>
    </w:p>
    <w:p w:rsidR="009650A5" w:rsidRPr="00EF4FFA" w:rsidRDefault="009538CF" w:rsidP="00927E97">
      <w:pPr>
        <w:pStyle w:val="3-BodyText"/>
      </w:pPr>
      <w:r w:rsidRPr="00EF4FFA">
        <w:t xml:space="preserve">The PBAC noted that </w:t>
      </w:r>
      <w:r w:rsidR="00D33F87" w:rsidRPr="00EF4FFA">
        <w:t xml:space="preserve">the alternate base case presented in the </w:t>
      </w:r>
      <w:r w:rsidR="00D47B14" w:rsidRPr="00EF4FFA">
        <w:t>ESC advice addressed some of the above issues (</w:t>
      </w:r>
      <w:r w:rsidR="00D33F87" w:rsidRPr="00EF4FFA">
        <w:t>overall survival benefit</w:t>
      </w:r>
      <w:r w:rsidR="00D47B14" w:rsidRPr="00EF4FFA">
        <w:t xml:space="preserve"> </w:t>
      </w:r>
      <w:r w:rsidR="000443A5" w:rsidRPr="00EF4FFA">
        <w:t>for first line treatment</w:t>
      </w:r>
      <w:r w:rsidR="00741DB0" w:rsidRPr="00EF4FFA">
        <w:t>, benefits</w:t>
      </w:r>
      <w:r w:rsidR="00F012F9" w:rsidRPr="00EF4FFA">
        <w:t xml:space="preserve"> and costs </w:t>
      </w:r>
      <w:r w:rsidR="000443A5" w:rsidRPr="00EF4FFA">
        <w:t>for</w:t>
      </w:r>
      <w:r w:rsidR="00F012F9" w:rsidRPr="00EF4FFA">
        <w:t xml:space="preserve"> the second-line </w:t>
      </w:r>
      <w:r w:rsidR="00D47B14" w:rsidRPr="00EF4FFA">
        <w:t>treatments</w:t>
      </w:r>
      <w:r w:rsidR="000443A5" w:rsidRPr="00EF4FFA">
        <w:t xml:space="preserve"> and the utility values</w:t>
      </w:r>
      <w:r w:rsidR="00D47B14" w:rsidRPr="00EF4FFA">
        <w:t>)</w:t>
      </w:r>
      <w:r w:rsidRPr="00EF4FFA">
        <w:t>.</w:t>
      </w:r>
      <w:r w:rsidR="00D33F87" w:rsidRPr="00EF4FFA">
        <w:t xml:space="preserve"> </w:t>
      </w:r>
      <w:r w:rsidRPr="00EF4FFA">
        <w:t>T</w:t>
      </w:r>
      <w:r w:rsidR="009650A5" w:rsidRPr="00EF4FFA">
        <w:t>he PBAC</w:t>
      </w:r>
      <w:r w:rsidR="00726204" w:rsidRPr="00EF4FFA">
        <w:t xml:space="preserve"> considered that the </w:t>
      </w:r>
      <w:r w:rsidR="00D33F87" w:rsidRPr="00EF4FFA">
        <w:t>resulting</w:t>
      </w:r>
      <w:r w:rsidR="00726204" w:rsidRPr="00EF4FFA">
        <w:t xml:space="preserve"> ICERs were high and, </w:t>
      </w:r>
      <w:r w:rsidR="009650A5" w:rsidRPr="00EF4FFA">
        <w:t>noting the large variabilit</w:t>
      </w:r>
      <w:r w:rsidR="00F012F9" w:rsidRPr="00EF4FFA">
        <w:t xml:space="preserve">y </w:t>
      </w:r>
      <w:r w:rsidR="009650A5" w:rsidRPr="00EF4FFA">
        <w:t xml:space="preserve">in the sensitivity analyses, highly uncertain. </w:t>
      </w:r>
    </w:p>
    <w:p w:rsidR="005008F6" w:rsidRPr="00EF4FFA" w:rsidRDefault="009650A5" w:rsidP="00927E97">
      <w:pPr>
        <w:pStyle w:val="3-BodyText"/>
      </w:pPr>
      <w:r w:rsidRPr="00EF4FFA">
        <w:lastRenderedPageBreak/>
        <w:t xml:space="preserve">In terms of the utilisation estimates, the PBAC considered that the </w:t>
      </w:r>
      <w:r w:rsidR="002E3BA5" w:rsidRPr="00EF4FFA">
        <w:t xml:space="preserve">incident </w:t>
      </w:r>
      <w:r w:rsidRPr="00EF4FFA">
        <w:t xml:space="preserve">patient population was uncertain </w:t>
      </w:r>
      <w:r w:rsidR="00726204" w:rsidRPr="00EF4FFA">
        <w:t xml:space="preserve">due to the reasons outlined in paragraph </w:t>
      </w:r>
      <w:r w:rsidR="00A461C5" w:rsidRPr="00A461C5">
        <w:t>6.93</w:t>
      </w:r>
      <w:r w:rsidR="00BE6908" w:rsidRPr="00A461C5">
        <w:t>,</w:t>
      </w:r>
      <w:r w:rsidR="000443A5" w:rsidRPr="00EF4FFA">
        <w:t xml:space="preserve"> and noted that the </w:t>
      </w:r>
      <w:r w:rsidR="00BE6908" w:rsidRPr="00EF4FFA">
        <w:t>utilisation</w:t>
      </w:r>
      <w:r w:rsidR="000443A5" w:rsidRPr="00EF4FFA">
        <w:t xml:space="preserve"> increased substantially each year </w:t>
      </w:r>
      <w:r w:rsidR="00BE6908" w:rsidRPr="00EF4FFA">
        <w:t xml:space="preserve">due to the high proportion of patients (57%) assumed to remain on treatment for </w:t>
      </w:r>
      <w:r w:rsidR="0043076D" w:rsidRPr="00EF4FFA">
        <w:t>at least</w:t>
      </w:r>
      <w:r w:rsidR="00BE6908" w:rsidRPr="00EF4FFA">
        <w:t xml:space="preserve"> 6 years</w:t>
      </w:r>
      <w:r w:rsidR="005008F6" w:rsidRPr="00EF4FFA">
        <w:t>.</w:t>
      </w:r>
      <w:r w:rsidRPr="00EF4FFA">
        <w:t xml:space="preserve"> </w:t>
      </w:r>
      <w:r w:rsidR="00726204" w:rsidRPr="00EF4FFA">
        <w:t xml:space="preserve">The PBAC also </w:t>
      </w:r>
      <w:r w:rsidR="0043076D" w:rsidRPr="00EF4FFA">
        <w:t>considered</w:t>
      </w:r>
      <w:r w:rsidR="00726204" w:rsidRPr="00EF4FFA">
        <w:t xml:space="preserve"> </w:t>
      </w:r>
      <w:r w:rsidR="009A3408" w:rsidRPr="00EF4FFA">
        <w:t xml:space="preserve">that acalabrutinib </w:t>
      </w:r>
      <w:r w:rsidR="009A3408" w:rsidRPr="00EF4FFA">
        <w:rPr>
          <w:rFonts w:cstheme="minorHAnsi"/>
        </w:rPr>
        <w:t>±</w:t>
      </w:r>
      <w:r w:rsidR="009A3408" w:rsidRPr="00EF4FFA">
        <w:t xml:space="preserve"> obinutuzumab would potentially be used outside o</w:t>
      </w:r>
      <w:r w:rsidR="00726204" w:rsidRPr="00EF4FFA">
        <w:t>f the proposed population in patients who are suitable for treatment with a purine analogue</w:t>
      </w:r>
      <w:r w:rsidR="0043076D" w:rsidRPr="00EF4FFA">
        <w:t>,</w:t>
      </w:r>
      <w:r w:rsidR="00BE6908" w:rsidRPr="00EF4FFA">
        <w:t xml:space="preserve"> and in patients previously untreated or treated later in their disease course</w:t>
      </w:r>
      <w:r w:rsidR="00726204" w:rsidRPr="00EF4FFA">
        <w:t>.</w:t>
      </w:r>
      <w:r w:rsidR="00C84605" w:rsidRPr="00EF4FFA">
        <w:t xml:space="preserve"> </w:t>
      </w:r>
    </w:p>
    <w:p w:rsidR="00AD30BB" w:rsidRPr="00EF4FFA" w:rsidRDefault="00AD30BB" w:rsidP="00927E97">
      <w:pPr>
        <w:pStyle w:val="3-BodyText"/>
      </w:pPr>
      <w:r w:rsidRPr="00EF4FFA">
        <w:t xml:space="preserve">For the 17p deletion population, the PBAC noted that a comparison was </w:t>
      </w:r>
      <w:r w:rsidR="00BE6908" w:rsidRPr="00EF4FFA">
        <w:t xml:space="preserve">only </w:t>
      </w:r>
      <w:r w:rsidRPr="00EF4FFA">
        <w:t>presented between acalabrutinib monotherapy and ibrutinib</w:t>
      </w:r>
      <w:r w:rsidR="0043076D" w:rsidRPr="00EF4FFA">
        <w:t xml:space="preserve">, </w:t>
      </w:r>
      <w:r w:rsidR="00BE6908" w:rsidRPr="00EF4FFA">
        <w:t>and</w:t>
      </w:r>
      <w:r w:rsidRPr="00EF4FFA">
        <w:t xml:space="preserve"> </w:t>
      </w:r>
      <w:r w:rsidR="00776AFA" w:rsidRPr="00EF4FFA">
        <w:t xml:space="preserve">that </w:t>
      </w:r>
      <w:r w:rsidRPr="00EF4FFA">
        <w:t xml:space="preserve">no comparison was presented between acalabrutinib + obinutuzumab and ibrutinib. The PBAC considered that this was not appropriate as acalabrutinib + obinutuzumab was likely to be used in </w:t>
      </w:r>
      <w:r w:rsidR="0043076D" w:rsidRPr="00EF4FFA">
        <w:t xml:space="preserve">most </w:t>
      </w:r>
      <w:r w:rsidRPr="00EF4FFA">
        <w:t>17p deletion patients.</w:t>
      </w:r>
    </w:p>
    <w:p w:rsidR="00562260" w:rsidRPr="00EF4FFA" w:rsidRDefault="00562260" w:rsidP="00927E97">
      <w:pPr>
        <w:pStyle w:val="3-BodyText"/>
      </w:pPr>
      <w:r w:rsidRPr="00EF4FFA">
        <w:t>The PBAC considered that the efficacy and safety MAICs comparing acalabrutinib monotherapy with ibrutinib were highly uncertain. The PBAC noted the comparison</w:t>
      </w:r>
      <w:r w:rsidR="0043076D" w:rsidRPr="00EF4FFA">
        <w:t>s</w:t>
      </w:r>
      <w:r w:rsidRPr="00EF4FFA">
        <w:t xml:space="preserve"> </w:t>
      </w:r>
      <w:r w:rsidR="0043076D" w:rsidRPr="00EF4FFA">
        <w:t>were</w:t>
      </w:r>
      <w:r w:rsidRPr="00EF4FFA">
        <w:t xml:space="preserve"> based on the ELEVATE-TN and RESONATE trials, and</w:t>
      </w:r>
      <w:r w:rsidR="00776AFA" w:rsidRPr="00EF4FFA">
        <w:t>,</w:t>
      </w:r>
      <w:r w:rsidRPr="00EF4FFA">
        <w:t xml:space="preserve"> as the RESONATE trial did not include patients with 17p deletion</w:t>
      </w:r>
      <w:r w:rsidR="00776AFA" w:rsidRPr="00EF4FFA">
        <w:t>,</w:t>
      </w:r>
      <w:r w:rsidRPr="00EF4FFA">
        <w:t xml:space="preserve"> relied on the assumption that the outcomes in patients with 17p deletion w</w:t>
      </w:r>
      <w:r w:rsidR="00776AFA" w:rsidRPr="00EF4FFA">
        <w:t>ould</w:t>
      </w:r>
      <w:r w:rsidRPr="00EF4FFA">
        <w:t xml:space="preserve"> be the same as for patients without th</w:t>
      </w:r>
      <w:r w:rsidR="00776AFA" w:rsidRPr="00EF4FFA">
        <w:t xml:space="preserve">is </w:t>
      </w:r>
      <w:r w:rsidRPr="00EF4FFA">
        <w:t xml:space="preserve">deletion. The PBAC noted the heterogeneity between the trials which resulted in poor overlap between the trial populations and small effective sample sizes for the MAICs, and considered that it was unclear whether all relevant prognostic and effect modifier variables had been identified. In addition, the PBAC noted that although there were no statistically significant differences, no non-inferiority margins had been proposed and the confidence intervals were wide. </w:t>
      </w:r>
      <w:r w:rsidR="00131F10" w:rsidRPr="00EF4FFA">
        <w:t>Overall t</w:t>
      </w:r>
      <w:r w:rsidR="00131F10" w:rsidRPr="00EF4FFA">
        <w:rPr>
          <w:lang w:eastAsia="en-US"/>
        </w:rPr>
        <w:t>he PBAC considered that the clinical claims describing acalabrutinib monotherapy as non-inferior in terms of effectiveness and superior in terms of safety compared to ibrutinib were not adequately supported.</w:t>
      </w:r>
    </w:p>
    <w:p w:rsidR="000443A5" w:rsidRPr="00EF4FFA" w:rsidRDefault="000443A5" w:rsidP="00927E97">
      <w:pPr>
        <w:pStyle w:val="3-BodyText"/>
      </w:pPr>
      <w:r w:rsidRPr="00EF4FFA">
        <w:t xml:space="preserve">The PBAC noted that the submission presented a cost-minimisation analysis between acalabrutinib monotherapy and ibrutinib in patients with 17p deletion. The PBAC advised that </w:t>
      </w:r>
      <w:r w:rsidR="00C84605" w:rsidRPr="00EF4FFA">
        <w:t xml:space="preserve">a comparison of </w:t>
      </w:r>
      <w:r w:rsidRPr="00EF4FFA">
        <w:t>acalabrutinib + obinutuzumab</w:t>
      </w:r>
      <w:r w:rsidR="00C84605" w:rsidRPr="00EF4FFA">
        <w:t xml:space="preserve"> and ibrutinib would be appropriate</w:t>
      </w:r>
      <w:r w:rsidRPr="00EF4FFA">
        <w:t xml:space="preserve"> as combination therapy is most likely to be used in patients with 17p deletion.</w:t>
      </w:r>
    </w:p>
    <w:p w:rsidR="0065728B" w:rsidRPr="00EF4FFA" w:rsidRDefault="0065728B" w:rsidP="00927E97">
      <w:pPr>
        <w:pStyle w:val="3-BodyText"/>
        <w:rPr>
          <w:i/>
        </w:rPr>
      </w:pPr>
      <w:r w:rsidRPr="00EF4FFA">
        <w:t xml:space="preserve">The PBAC noted that this submission is eligible for an Independent Review. </w:t>
      </w:r>
    </w:p>
    <w:p w:rsidR="0065728B" w:rsidRPr="00EF4FFA" w:rsidRDefault="0065728B" w:rsidP="0065728B">
      <w:pPr>
        <w:spacing w:before="240"/>
        <w:rPr>
          <w:rFonts w:asciiTheme="minorHAnsi" w:hAnsiTheme="minorHAnsi"/>
          <w:b/>
          <w:bCs/>
          <w:snapToGrid w:val="0"/>
        </w:rPr>
      </w:pPr>
      <w:r w:rsidRPr="00EF4FFA">
        <w:rPr>
          <w:rFonts w:asciiTheme="minorHAnsi" w:hAnsiTheme="minorHAnsi"/>
          <w:b/>
          <w:bCs/>
          <w:snapToGrid w:val="0"/>
        </w:rPr>
        <w:t>Outcome:</w:t>
      </w:r>
    </w:p>
    <w:p w:rsidR="009E0888" w:rsidRDefault="0065728B" w:rsidP="0058139C">
      <w:pPr>
        <w:rPr>
          <w:rFonts w:asciiTheme="minorHAnsi" w:hAnsiTheme="minorHAnsi"/>
          <w:bCs/>
          <w:snapToGrid w:val="0"/>
        </w:rPr>
      </w:pPr>
      <w:r w:rsidRPr="00EF4FFA">
        <w:rPr>
          <w:rFonts w:asciiTheme="minorHAnsi" w:hAnsiTheme="minorHAnsi"/>
          <w:bCs/>
          <w:snapToGrid w:val="0"/>
        </w:rPr>
        <w:t>Rejected</w:t>
      </w:r>
    </w:p>
    <w:p w:rsidR="009E0888" w:rsidRDefault="009E0888" w:rsidP="009E0888">
      <w:pPr>
        <w:pStyle w:val="2-SectionHeading"/>
        <w:numPr>
          <w:ilvl w:val="0"/>
          <w:numId w:val="1"/>
        </w:numPr>
        <w:rPr>
          <w:color w:val="1F497D"/>
        </w:rPr>
      </w:pPr>
      <w:r w:rsidRPr="00C07617">
        <w:t>Context for Decision</w:t>
      </w:r>
    </w:p>
    <w:p w:rsidR="009E0888" w:rsidRPr="007129F2" w:rsidRDefault="009E0888" w:rsidP="009E0888">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sidRPr="007129F2">
        <w:rPr>
          <w:rFonts w:asciiTheme="minorHAnsi" w:hAnsiTheme="minorHAnsi"/>
          <w:bCs/>
          <w:lang w:val="en-GB"/>
        </w:rPr>
        <w:lastRenderedPageBreak/>
        <w:t>in which it should be made available through the PBS. The PBAC welcomes applications containing new information at any time.</w:t>
      </w:r>
    </w:p>
    <w:p w:rsidR="009E0888" w:rsidRPr="00C07617" w:rsidRDefault="009E0888" w:rsidP="009E0888">
      <w:pPr>
        <w:pStyle w:val="2-SectionHeading"/>
        <w:numPr>
          <w:ilvl w:val="0"/>
          <w:numId w:val="1"/>
        </w:numPr>
        <w:rPr>
          <w:b w:val="0"/>
        </w:rPr>
      </w:pPr>
      <w:r>
        <w:t>Sponsor’s Comment</w:t>
      </w:r>
    </w:p>
    <w:p w:rsidR="009E0888" w:rsidRPr="009E0888" w:rsidRDefault="009E0888" w:rsidP="009E0888">
      <w:pPr>
        <w:spacing w:after="120"/>
        <w:rPr>
          <w:rFonts w:asciiTheme="minorHAnsi" w:hAnsiTheme="minorHAnsi"/>
          <w:bCs/>
        </w:rPr>
      </w:pPr>
      <w:r w:rsidRPr="00C07617">
        <w:rPr>
          <w:rFonts w:asciiTheme="minorHAnsi" w:hAnsiTheme="minorHAnsi"/>
          <w:bCs/>
        </w:rPr>
        <w:t>The sponsor had no comment.</w:t>
      </w:r>
    </w:p>
    <w:p w:rsidR="0065728B" w:rsidRPr="0058139C" w:rsidRDefault="0065728B" w:rsidP="0058139C">
      <w:pPr>
        <w:rPr>
          <w:rFonts w:asciiTheme="minorHAnsi" w:hAnsiTheme="minorHAnsi"/>
          <w:bCs/>
          <w:snapToGrid w:val="0"/>
        </w:rPr>
      </w:pPr>
      <w:r w:rsidRPr="00EF4FFA">
        <w:rPr>
          <w:rFonts w:asciiTheme="minorHAnsi" w:hAnsiTheme="minorHAnsi"/>
          <w:bCs/>
          <w:snapToGrid w:val="0"/>
        </w:rPr>
        <w:t xml:space="preserve"> </w:t>
      </w:r>
    </w:p>
    <w:sectPr w:rsidR="0065728B" w:rsidRPr="0058139C" w:rsidSect="00111E14">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2AB" w:rsidRDefault="003D32AB" w:rsidP="00124A51">
      <w:r>
        <w:separator/>
      </w:r>
    </w:p>
    <w:p w:rsidR="003D32AB" w:rsidRDefault="003D32AB"/>
  </w:endnote>
  <w:endnote w:type="continuationSeparator" w:id="0">
    <w:p w:rsidR="003D32AB" w:rsidRDefault="003D32AB" w:rsidP="00124A51">
      <w:r>
        <w:continuationSeparator/>
      </w:r>
    </w:p>
    <w:p w:rsidR="003D32AB" w:rsidRDefault="003D3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2AB" w:rsidRDefault="003D3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2AB" w:rsidRDefault="003D32AB">
    <w:pPr>
      <w:pStyle w:val="Footer"/>
      <w:jc w:val="center"/>
    </w:pPr>
  </w:p>
  <w:p w:rsidR="003D32AB" w:rsidRPr="0058139C" w:rsidRDefault="003D32AB" w:rsidP="0058139C">
    <w:pPr>
      <w:pStyle w:val="Footer"/>
      <w:jc w:val="center"/>
    </w:pPr>
    <w:sdt>
      <w:sdtPr>
        <w:id w:val="-1637936211"/>
        <w:docPartObj>
          <w:docPartGallery w:val="Page Numbers (Bottom of Page)"/>
          <w:docPartUnique/>
        </w:docPartObj>
      </w:sdtPr>
      <w:sdtEndPr>
        <w:rPr>
          <w:noProof/>
        </w:rPr>
      </w:sdtEndPr>
      <w:sdtContent>
        <w:r w:rsidRPr="007D16FA">
          <w:rPr>
            <w:b/>
          </w:rPr>
          <w:fldChar w:fldCharType="begin"/>
        </w:r>
        <w:r w:rsidRPr="007D16FA">
          <w:rPr>
            <w:b/>
          </w:rPr>
          <w:instrText xml:space="preserve"> PAGE   \* MERGEFORMAT </w:instrText>
        </w:r>
        <w:r w:rsidRPr="007D16FA">
          <w:rPr>
            <w:b/>
          </w:rPr>
          <w:fldChar w:fldCharType="separate"/>
        </w:r>
        <w:r w:rsidR="00E25798">
          <w:rPr>
            <w:b/>
            <w:noProof/>
          </w:rPr>
          <w:t>45</w:t>
        </w:r>
        <w:r w:rsidRPr="007D16FA">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2AB" w:rsidRDefault="003D3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2AB" w:rsidRDefault="003D32AB" w:rsidP="00124A51">
      <w:r>
        <w:separator/>
      </w:r>
    </w:p>
    <w:p w:rsidR="003D32AB" w:rsidRDefault="003D32AB"/>
  </w:footnote>
  <w:footnote w:type="continuationSeparator" w:id="0">
    <w:p w:rsidR="003D32AB" w:rsidRDefault="003D32AB" w:rsidP="00124A51">
      <w:r>
        <w:continuationSeparator/>
      </w:r>
    </w:p>
    <w:p w:rsidR="003D32AB" w:rsidRDefault="003D32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2AB" w:rsidRDefault="003D3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2AB" w:rsidRPr="007D16FA" w:rsidRDefault="003D32AB" w:rsidP="007D16FA">
    <w:pPr>
      <w:jc w:val="center"/>
      <w:rPr>
        <w:i/>
      </w:rPr>
    </w:pPr>
    <w:r>
      <w:rPr>
        <w:i/>
      </w:rPr>
      <w:t>Public Summary Document</w:t>
    </w:r>
    <w:r w:rsidRPr="007D16FA">
      <w:rPr>
        <w:i/>
      </w:rPr>
      <w:t xml:space="preserve"> – July 2020 PBAC Meeting</w:t>
    </w:r>
  </w:p>
  <w:p w:rsidR="003D32AB" w:rsidRPr="008C7ECB" w:rsidRDefault="003D32A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2AB" w:rsidRDefault="003D3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C310A"/>
    <w:multiLevelType w:val="multilevel"/>
    <w:tmpl w:val="F26E2A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5928BA"/>
    <w:multiLevelType w:val="hybridMultilevel"/>
    <w:tmpl w:val="5C744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945A29"/>
    <w:multiLevelType w:val="hybridMultilevel"/>
    <w:tmpl w:val="A5265654"/>
    <w:lvl w:ilvl="0" w:tplc="52C24D3E">
      <w:start w:val="3"/>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E70E91"/>
    <w:multiLevelType w:val="hybridMultilevel"/>
    <w:tmpl w:val="F03E2028"/>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12528F"/>
    <w:multiLevelType w:val="hybridMultilevel"/>
    <w:tmpl w:val="12FA4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2729F1"/>
    <w:multiLevelType w:val="hybridMultilevel"/>
    <w:tmpl w:val="4CDA99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1A5B33"/>
    <w:multiLevelType w:val="hybridMultilevel"/>
    <w:tmpl w:val="EA0EE1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E76EA4"/>
    <w:multiLevelType w:val="hybridMultilevel"/>
    <w:tmpl w:val="BFB63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944B4"/>
    <w:multiLevelType w:val="hybridMultilevel"/>
    <w:tmpl w:val="3A88F4A4"/>
    <w:lvl w:ilvl="0" w:tplc="C8B0BE0A">
      <w:numFmt w:val="bullet"/>
      <w:lvlText w:val="-"/>
      <w:lvlJc w:val="left"/>
      <w:pPr>
        <w:ind w:left="720" w:hanging="360"/>
      </w:pPr>
      <w:rPr>
        <w:rFonts w:ascii="Times New Roman" w:eastAsia="Times New Roman" w:hAnsi="Times New Roman" w:cs="Times New Roman" w:hint="default"/>
        <w:b/>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C45F40"/>
    <w:multiLevelType w:val="hybridMultilevel"/>
    <w:tmpl w:val="C59C69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E174C4"/>
    <w:multiLevelType w:val="hybridMultilevel"/>
    <w:tmpl w:val="6816B04A"/>
    <w:lvl w:ilvl="0" w:tplc="8C9475C4">
      <w:start w:val="1"/>
      <w:numFmt w:val="bullet"/>
      <w:lvlText w:val=""/>
      <w:lvlJc w:val="left"/>
      <w:pPr>
        <w:ind w:left="720" w:hanging="360"/>
      </w:pPr>
      <w:rPr>
        <w:rFonts w:ascii="Symbol" w:hAnsi="Symbol" w:hint="default"/>
        <w:color w:val="0000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8A331B5"/>
    <w:multiLevelType w:val="multilevel"/>
    <w:tmpl w:val="DF904C9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9229B"/>
    <w:multiLevelType w:val="hybridMultilevel"/>
    <w:tmpl w:val="AB5C7816"/>
    <w:lvl w:ilvl="0" w:tplc="9EE2D310">
      <w:start w:val="1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D863CB"/>
    <w:multiLevelType w:val="hybridMultilevel"/>
    <w:tmpl w:val="8362AEBA"/>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20" w15:restartNumberingAfterBreak="0">
    <w:nsid w:val="2FE823C3"/>
    <w:multiLevelType w:val="hybridMultilevel"/>
    <w:tmpl w:val="42DEA312"/>
    <w:lvl w:ilvl="0" w:tplc="0C090001">
      <w:start w:val="1"/>
      <w:numFmt w:val="bullet"/>
      <w:lvlText w:val=""/>
      <w:lvlJc w:val="left"/>
      <w:pPr>
        <w:ind w:left="144" w:hanging="360"/>
      </w:pPr>
      <w:rPr>
        <w:rFonts w:ascii="Symbol" w:hAnsi="Symbol" w:hint="default"/>
      </w:rPr>
    </w:lvl>
    <w:lvl w:ilvl="1" w:tplc="0C090003">
      <w:start w:val="1"/>
      <w:numFmt w:val="bullet"/>
      <w:lvlText w:val="o"/>
      <w:lvlJc w:val="left"/>
      <w:pPr>
        <w:ind w:left="864" w:hanging="360"/>
      </w:pPr>
      <w:rPr>
        <w:rFonts w:ascii="Courier New" w:hAnsi="Courier New" w:cs="Courier New" w:hint="default"/>
      </w:rPr>
    </w:lvl>
    <w:lvl w:ilvl="2" w:tplc="0C090005" w:tentative="1">
      <w:start w:val="1"/>
      <w:numFmt w:val="bullet"/>
      <w:lvlText w:val=""/>
      <w:lvlJc w:val="left"/>
      <w:pPr>
        <w:ind w:left="1584" w:hanging="360"/>
      </w:pPr>
      <w:rPr>
        <w:rFonts w:ascii="Wingdings" w:hAnsi="Wingdings" w:hint="default"/>
      </w:rPr>
    </w:lvl>
    <w:lvl w:ilvl="3" w:tplc="0C090001" w:tentative="1">
      <w:start w:val="1"/>
      <w:numFmt w:val="bullet"/>
      <w:lvlText w:val=""/>
      <w:lvlJc w:val="left"/>
      <w:pPr>
        <w:ind w:left="2304" w:hanging="360"/>
      </w:pPr>
      <w:rPr>
        <w:rFonts w:ascii="Symbol" w:hAnsi="Symbol" w:hint="default"/>
      </w:rPr>
    </w:lvl>
    <w:lvl w:ilvl="4" w:tplc="0C090003" w:tentative="1">
      <w:start w:val="1"/>
      <w:numFmt w:val="bullet"/>
      <w:lvlText w:val="o"/>
      <w:lvlJc w:val="left"/>
      <w:pPr>
        <w:ind w:left="3024" w:hanging="360"/>
      </w:pPr>
      <w:rPr>
        <w:rFonts w:ascii="Courier New" w:hAnsi="Courier New" w:cs="Courier New" w:hint="default"/>
      </w:rPr>
    </w:lvl>
    <w:lvl w:ilvl="5" w:tplc="0C090005" w:tentative="1">
      <w:start w:val="1"/>
      <w:numFmt w:val="bullet"/>
      <w:lvlText w:val=""/>
      <w:lvlJc w:val="left"/>
      <w:pPr>
        <w:ind w:left="3744" w:hanging="360"/>
      </w:pPr>
      <w:rPr>
        <w:rFonts w:ascii="Wingdings" w:hAnsi="Wingdings" w:hint="default"/>
      </w:rPr>
    </w:lvl>
    <w:lvl w:ilvl="6" w:tplc="0C090001" w:tentative="1">
      <w:start w:val="1"/>
      <w:numFmt w:val="bullet"/>
      <w:lvlText w:val=""/>
      <w:lvlJc w:val="left"/>
      <w:pPr>
        <w:ind w:left="4464" w:hanging="360"/>
      </w:pPr>
      <w:rPr>
        <w:rFonts w:ascii="Symbol" w:hAnsi="Symbol" w:hint="default"/>
      </w:rPr>
    </w:lvl>
    <w:lvl w:ilvl="7" w:tplc="0C090003" w:tentative="1">
      <w:start w:val="1"/>
      <w:numFmt w:val="bullet"/>
      <w:lvlText w:val="o"/>
      <w:lvlJc w:val="left"/>
      <w:pPr>
        <w:ind w:left="5184" w:hanging="360"/>
      </w:pPr>
      <w:rPr>
        <w:rFonts w:ascii="Courier New" w:hAnsi="Courier New" w:cs="Courier New" w:hint="default"/>
      </w:rPr>
    </w:lvl>
    <w:lvl w:ilvl="8" w:tplc="0C090005" w:tentative="1">
      <w:start w:val="1"/>
      <w:numFmt w:val="bullet"/>
      <w:lvlText w:val=""/>
      <w:lvlJc w:val="left"/>
      <w:pPr>
        <w:ind w:left="5904" w:hanging="360"/>
      </w:pPr>
      <w:rPr>
        <w:rFonts w:ascii="Wingdings" w:hAnsi="Wingdings" w:hint="default"/>
      </w:rPr>
    </w:lvl>
  </w:abstractNum>
  <w:abstractNum w:abstractNumId="21" w15:restartNumberingAfterBreak="0">
    <w:nsid w:val="359856B3"/>
    <w:multiLevelType w:val="hybridMultilevel"/>
    <w:tmpl w:val="4596FB82"/>
    <w:lvl w:ilvl="0" w:tplc="E17A90E6">
      <w:start w:val="1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6E65D8"/>
    <w:multiLevelType w:val="hybridMultilevel"/>
    <w:tmpl w:val="B186D34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B53AAA"/>
    <w:multiLevelType w:val="hybridMultilevel"/>
    <w:tmpl w:val="74788FA0"/>
    <w:lvl w:ilvl="0" w:tplc="0C090003">
      <w:start w:val="1"/>
      <w:numFmt w:val="bullet"/>
      <w:lvlText w:val="o"/>
      <w:lvlJc w:val="left"/>
      <w:pPr>
        <w:ind w:left="619" w:hanging="360"/>
      </w:pPr>
      <w:rPr>
        <w:rFonts w:ascii="Courier New" w:hAnsi="Courier New" w:cs="Courier New" w:hint="default"/>
      </w:rPr>
    </w:lvl>
    <w:lvl w:ilvl="1" w:tplc="0C090003">
      <w:start w:val="1"/>
      <w:numFmt w:val="bullet"/>
      <w:lvlText w:val="o"/>
      <w:lvlJc w:val="left"/>
      <w:pPr>
        <w:ind w:left="1339" w:hanging="360"/>
      </w:pPr>
      <w:rPr>
        <w:rFonts w:ascii="Courier New" w:hAnsi="Courier New" w:cs="Courier New" w:hint="default"/>
      </w:rPr>
    </w:lvl>
    <w:lvl w:ilvl="2" w:tplc="0C090005">
      <w:start w:val="1"/>
      <w:numFmt w:val="bullet"/>
      <w:lvlText w:val=""/>
      <w:lvlJc w:val="left"/>
      <w:pPr>
        <w:ind w:left="2059" w:hanging="360"/>
      </w:pPr>
      <w:rPr>
        <w:rFonts w:ascii="Wingdings" w:hAnsi="Wingdings" w:hint="default"/>
      </w:rPr>
    </w:lvl>
    <w:lvl w:ilvl="3" w:tplc="0C090001" w:tentative="1">
      <w:start w:val="1"/>
      <w:numFmt w:val="bullet"/>
      <w:lvlText w:val=""/>
      <w:lvlJc w:val="left"/>
      <w:pPr>
        <w:ind w:left="2779" w:hanging="360"/>
      </w:pPr>
      <w:rPr>
        <w:rFonts w:ascii="Symbol" w:hAnsi="Symbol" w:hint="default"/>
      </w:rPr>
    </w:lvl>
    <w:lvl w:ilvl="4" w:tplc="0C090003" w:tentative="1">
      <w:start w:val="1"/>
      <w:numFmt w:val="bullet"/>
      <w:lvlText w:val="o"/>
      <w:lvlJc w:val="left"/>
      <w:pPr>
        <w:ind w:left="3499" w:hanging="360"/>
      </w:pPr>
      <w:rPr>
        <w:rFonts w:ascii="Courier New" w:hAnsi="Courier New" w:cs="Courier New" w:hint="default"/>
      </w:rPr>
    </w:lvl>
    <w:lvl w:ilvl="5" w:tplc="0C090005" w:tentative="1">
      <w:start w:val="1"/>
      <w:numFmt w:val="bullet"/>
      <w:lvlText w:val=""/>
      <w:lvlJc w:val="left"/>
      <w:pPr>
        <w:ind w:left="4219" w:hanging="360"/>
      </w:pPr>
      <w:rPr>
        <w:rFonts w:ascii="Wingdings" w:hAnsi="Wingdings" w:hint="default"/>
      </w:rPr>
    </w:lvl>
    <w:lvl w:ilvl="6" w:tplc="0C090001" w:tentative="1">
      <w:start w:val="1"/>
      <w:numFmt w:val="bullet"/>
      <w:lvlText w:val=""/>
      <w:lvlJc w:val="left"/>
      <w:pPr>
        <w:ind w:left="4939" w:hanging="360"/>
      </w:pPr>
      <w:rPr>
        <w:rFonts w:ascii="Symbol" w:hAnsi="Symbol" w:hint="default"/>
      </w:rPr>
    </w:lvl>
    <w:lvl w:ilvl="7" w:tplc="0C090003" w:tentative="1">
      <w:start w:val="1"/>
      <w:numFmt w:val="bullet"/>
      <w:lvlText w:val="o"/>
      <w:lvlJc w:val="left"/>
      <w:pPr>
        <w:ind w:left="5659" w:hanging="360"/>
      </w:pPr>
      <w:rPr>
        <w:rFonts w:ascii="Courier New" w:hAnsi="Courier New" w:cs="Courier New" w:hint="default"/>
      </w:rPr>
    </w:lvl>
    <w:lvl w:ilvl="8" w:tplc="0C090005" w:tentative="1">
      <w:start w:val="1"/>
      <w:numFmt w:val="bullet"/>
      <w:lvlText w:val=""/>
      <w:lvlJc w:val="left"/>
      <w:pPr>
        <w:ind w:left="6379" w:hanging="360"/>
      </w:pPr>
      <w:rPr>
        <w:rFonts w:ascii="Wingdings" w:hAnsi="Wingdings" w:hint="default"/>
      </w:rPr>
    </w:lvl>
  </w:abstractNum>
  <w:abstractNum w:abstractNumId="24" w15:restartNumberingAfterBreak="0">
    <w:nsid w:val="44442297"/>
    <w:multiLevelType w:val="hybridMultilevel"/>
    <w:tmpl w:val="7514DB5A"/>
    <w:lvl w:ilvl="0" w:tplc="8F92608E">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84362C"/>
    <w:multiLevelType w:val="multilevel"/>
    <w:tmpl w:val="DF904C9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D167E9"/>
    <w:multiLevelType w:val="hybridMultilevel"/>
    <w:tmpl w:val="5D8E65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4852F85"/>
    <w:multiLevelType w:val="hybridMultilevel"/>
    <w:tmpl w:val="F8E86E12"/>
    <w:lvl w:ilvl="0" w:tplc="EAD0E98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3E422F"/>
    <w:multiLevelType w:val="multilevel"/>
    <w:tmpl w:val="99CE191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0805CD"/>
    <w:multiLevelType w:val="hybridMultilevel"/>
    <w:tmpl w:val="C14CF73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D9F7607"/>
    <w:multiLevelType w:val="hybridMultilevel"/>
    <w:tmpl w:val="65DC2D5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F104424"/>
    <w:multiLevelType w:val="hybridMultilevel"/>
    <w:tmpl w:val="C5C25400"/>
    <w:lvl w:ilvl="0" w:tplc="D49E546A">
      <w:start w:val="1"/>
      <w:numFmt w:val="decimal"/>
      <w:lvlText w:val="%1."/>
      <w:lvlJc w:val="left"/>
      <w:pPr>
        <w:ind w:left="360" w:hanging="360"/>
      </w:pPr>
      <w:rPr>
        <w:b w:val="0"/>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12B0A4C"/>
    <w:multiLevelType w:val="hybridMultilevel"/>
    <w:tmpl w:val="4D8444BA"/>
    <w:lvl w:ilvl="0" w:tplc="B324074C">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7852035"/>
    <w:multiLevelType w:val="hybridMultilevel"/>
    <w:tmpl w:val="2CCCE7EE"/>
    <w:lvl w:ilvl="0" w:tplc="8F92608E">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89066B"/>
    <w:multiLevelType w:val="multilevel"/>
    <w:tmpl w:val="B026202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4D033C"/>
    <w:multiLevelType w:val="multilevel"/>
    <w:tmpl w:val="B44067F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110C57"/>
    <w:multiLevelType w:val="hybridMultilevel"/>
    <w:tmpl w:val="1C4E2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6B3026"/>
    <w:multiLevelType w:val="hybridMultilevel"/>
    <w:tmpl w:val="97620D9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9"/>
  </w:num>
  <w:num w:numId="2">
    <w:abstractNumId w:val="24"/>
  </w:num>
  <w:num w:numId="3">
    <w:abstractNumId w:val="0"/>
  </w:num>
  <w:num w:numId="4">
    <w:abstractNumId w:val="39"/>
  </w:num>
  <w:num w:numId="5">
    <w:abstractNumId w:val="18"/>
  </w:num>
  <w:num w:numId="6">
    <w:abstractNumId w:val="21"/>
  </w:num>
  <w:num w:numId="7">
    <w:abstractNumId w:val="25"/>
  </w:num>
  <w:num w:numId="8">
    <w:abstractNumId w:val="11"/>
  </w:num>
  <w:num w:numId="9">
    <w:abstractNumId w:val="32"/>
  </w:num>
  <w:num w:numId="10">
    <w:abstractNumId w:val="8"/>
  </w:num>
  <w:num w:numId="11">
    <w:abstractNumId w:val="6"/>
  </w:num>
  <w:num w:numId="12">
    <w:abstractNumId w:val="3"/>
  </w:num>
  <w:num w:numId="13">
    <w:abstractNumId w:val="27"/>
  </w:num>
  <w:num w:numId="14">
    <w:abstractNumId w:val="9"/>
  </w:num>
  <w:num w:numId="15">
    <w:abstractNumId w:val="37"/>
  </w:num>
  <w:num w:numId="16">
    <w:abstractNumId w:val="15"/>
  </w:num>
  <w:num w:numId="17">
    <w:abstractNumId w:val="26"/>
  </w:num>
  <w:num w:numId="18">
    <w:abstractNumId w:val="16"/>
  </w:num>
  <w:num w:numId="19">
    <w:abstractNumId w:val="12"/>
  </w:num>
  <w:num w:numId="20">
    <w:abstractNumId w:val="40"/>
  </w:num>
  <w:num w:numId="21">
    <w:abstractNumId w:val="10"/>
  </w:num>
  <w:num w:numId="22">
    <w:abstractNumId w:val="1"/>
  </w:num>
  <w:num w:numId="23">
    <w:abstractNumId w:val="41"/>
  </w:num>
  <w:num w:numId="24">
    <w:abstractNumId w:val="20"/>
  </w:num>
  <w:num w:numId="25">
    <w:abstractNumId w:val="33"/>
  </w:num>
  <w:num w:numId="26">
    <w:abstractNumId w:val="34"/>
  </w:num>
  <w:num w:numId="27">
    <w:abstractNumId w:val="36"/>
  </w:num>
  <w:num w:numId="28">
    <w:abstractNumId w:val="35"/>
  </w:num>
  <w:num w:numId="29">
    <w:abstractNumId w:val="4"/>
  </w:num>
  <w:num w:numId="30">
    <w:abstractNumId w:val="22"/>
  </w:num>
  <w:num w:numId="31">
    <w:abstractNumId w:val="19"/>
  </w:num>
  <w:num w:numId="32">
    <w:abstractNumId w:val="23"/>
  </w:num>
  <w:num w:numId="33">
    <w:abstractNumId w:val="38"/>
  </w:num>
  <w:num w:numId="34">
    <w:abstractNumId w:val="7"/>
  </w:num>
  <w:num w:numId="35">
    <w:abstractNumId w:val="29"/>
  </w:num>
  <w:num w:numId="36">
    <w:abstractNumId w:val="30"/>
  </w:num>
  <w:num w:numId="37">
    <w:abstractNumId w:val="5"/>
  </w:num>
  <w:num w:numId="38">
    <w:abstractNumId w:val="2"/>
  </w:num>
  <w:num w:numId="39">
    <w:abstractNumId w:val="14"/>
  </w:num>
  <w:num w:numId="40">
    <w:abstractNumId w:val="17"/>
  </w:num>
  <w:num w:numId="41">
    <w:abstractNumId w:val="13"/>
  </w:num>
  <w:num w:numId="42">
    <w:abstractNumId w:val="31"/>
  </w:num>
  <w:num w:numId="43">
    <w:abstractNumId w:val="28"/>
  </w:num>
  <w:num w:numId="44">
    <w:abstractNumId w:val="39"/>
  </w:num>
  <w:num w:numId="45">
    <w:abstractNumId w:val="39"/>
  </w:num>
  <w:num w:numId="46">
    <w:abstractNumId w:val="39"/>
    <w:lvlOverride w:ilvl="0">
      <w:startOverride w:val="6"/>
    </w:lvlOverride>
    <w:lvlOverride w:ilvl="1">
      <w:startOverride w:val="45"/>
    </w:lvlOverride>
  </w:num>
  <w:num w:numId="47">
    <w:abstractNumId w:val="39"/>
    <w:lvlOverride w:ilvl="0">
      <w:startOverride w:val="6"/>
    </w:lvlOverride>
    <w:lvlOverride w:ilvl="1">
      <w:startOverride w:val="48"/>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18B"/>
    <w:rsid w:val="0000129C"/>
    <w:rsid w:val="00003499"/>
    <w:rsid w:val="000039B7"/>
    <w:rsid w:val="00004D8C"/>
    <w:rsid w:val="0000639A"/>
    <w:rsid w:val="00010908"/>
    <w:rsid w:val="000113A8"/>
    <w:rsid w:val="00012123"/>
    <w:rsid w:val="000129FC"/>
    <w:rsid w:val="00013247"/>
    <w:rsid w:val="00014D65"/>
    <w:rsid w:val="00015886"/>
    <w:rsid w:val="000162EF"/>
    <w:rsid w:val="000207C9"/>
    <w:rsid w:val="000210E8"/>
    <w:rsid w:val="0002225F"/>
    <w:rsid w:val="00023763"/>
    <w:rsid w:val="00024C2B"/>
    <w:rsid w:val="000262AB"/>
    <w:rsid w:val="000274B8"/>
    <w:rsid w:val="000279E2"/>
    <w:rsid w:val="00027E5A"/>
    <w:rsid w:val="000321BB"/>
    <w:rsid w:val="00032212"/>
    <w:rsid w:val="0003240A"/>
    <w:rsid w:val="000324F2"/>
    <w:rsid w:val="00033717"/>
    <w:rsid w:val="00033863"/>
    <w:rsid w:val="0003512A"/>
    <w:rsid w:val="00035DC0"/>
    <w:rsid w:val="0003631D"/>
    <w:rsid w:val="00036829"/>
    <w:rsid w:val="00037488"/>
    <w:rsid w:val="00037CB3"/>
    <w:rsid w:val="00040114"/>
    <w:rsid w:val="000405CC"/>
    <w:rsid w:val="00040895"/>
    <w:rsid w:val="00041C55"/>
    <w:rsid w:val="00042C8D"/>
    <w:rsid w:val="00043362"/>
    <w:rsid w:val="000434B5"/>
    <w:rsid w:val="000435EE"/>
    <w:rsid w:val="00043C37"/>
    <w:rsid w:val="000443A5"/>
    <w:rsid w:val="00044873"/>
    <w:rsid w:val="00045017"/>
    <w:rsid w:val="000451C2"/>
    <w:rsid w:val="00045A2B"/>
    <w:rsid w:val="0004698F"/>
    <w:rsid w:val="00046BBE"/>
    <w:rsid w:val="00050D9B"/>
    <w:rsid w:val="00052143"/>
    <w:rsid w:val="00052C1D"/>
    <w:rsid w:val="00052F1E"/>
    <w:rsid w:val="00053270"/>
    <w:rsid w:val="000534A1"/>
    <w:rsid w:val="000539D0"/>
    <w:rsid w:val="00054621"/>
    <w:rsid w:val="000546D7"/>
    <w:rsid w:val="0005530D"/>
    <w:rsid w:val="00056ECF"/>
    <w:rsid w:val="00057378"/>
    <w:rsid w:val="0005777D"/>
    <w:rsid w:val="000604DF"/>
    <w:rsid w:val="000653B5"/>
    <w:rsid w:val="00065FCD"/>
    <w:rsid w:val="00066360"/>
    <w:rsid w:val="00066AF8"/>
    <w:rsid w:val="00067BB6"/>
    <w:rsid w:val="00067FAB"/>
    <w:rsid w:val="00071248"/>
    <w:rsid w:val="000720B9"/>
    <w:rsid w:val="000721C1"/>
    <w:rsid w:val="000721F2"/>
    <w:rsid w:val="00072A56"/>
    <w:rsid w:val="000737F7"/>
    <w:rsid w:val="000758A8"/>
    <w:rsid w:val="0007672F"/>
    <w:rsid w:val="00076B24"/>
    <w:rsid w:val="00076B54"/>
    <w:rsid w:val="000774F0"/>
    <w:rsid w:val="00080909"/>
    <w:rsid w:val="000812CA"/>
    <w:rsid w:val="000817CE"/>
    <w:rsid w:val="00081DA6"/>
    <w:rsid w:val="00081E63"/>
    <w:rsid w:val="0008258D"/>
    <w:rsid w:val="00083E99"/>
    <w:rsid w:val="00084CF7"/>
    <w:rsid w:val="00084FA8"/>
    <w:rsid w:val="000856C5"/>
    <w:rsid w:val="00085C31"/>
    <w:rsid w:val="00086F22"/>
    <w:rsid w:val="00087497"/>
    <w:rsid w:val="00087697"/>
    <w:rsid w:val="00090200"/>
    <w:rsid w:val="000902D9"/>
    <w:rsid w:val="00090C7E"/>
    <w:rsid w:val="00091BFE"/>
    <w:rsid w:val="00091E5D"/>
    <w:rsid w:val="00092600"/>
    <w:rsid w:val="0009262B"/>
    <w:rsid w:val="00093310"/>
    <w:rsid w:val="0009445C"/>
    <w:rsid w:val="00095200"/>
    <w:rsid w:val="00095FE5"/>
    <w:rsid w:val="00096284"/>
    <w:rsid w:val="000A0508"/>
    <w:rsid w:val="000A0B23"/>
    <w:rsid w:val="000A1BC0"/>
    <w:rsid w:val="000A324E"/>
    <w:rsid w:val="000A4541"/>
    <w:rsid w:val="000A5B9B"/>
    <w:rsid w:val="000A6039"/>
    <w:rsid w:val="000A7453"/>
    <w:rsid w:val="000A7D08"/>
    <w:rsid w:val="000B0121"/>
    <w:rsid w:val="000B0610"/>
    <w:rsid w:val="000B0670"/>
    <w:rsid w:val="000B0E75"/>
    <w:rsid w:val="000B12EC"/>
    <w:rsid w:val="000B17DB"/>
    <w:rsid w:val="000B2DCB"/>
    <w:rsid w:val="000B4031"/>
    <w:rsid w:val="000B4A37"/>
    <w:rsid w:val="000B4D78"/>
    <w:rsid w:val="000B5CE0"/>
    <w:rsid w:val="000B6CAC"/>
    <w:rsid w:val="000B7444"/>
    <w:rsid w:val="000B7612"/>
    <w:rsid w:val="000B78AE"/>
    <w:rsid w:val="000C3426"/>
    <w:rsid w:val="000C3DF9"/>
    <w:rsid w:val="000C4BAD"/>
    <w:rsid w:val="000C6125"/>
    <w:rsid w:val="000C61F6"/>
    <w:rsid w:val="000C6713"/>
    <w:rsid w:val="000C6CEB"/>
    <w:rsid w:val="000C70E3"/>
    <w:rsid w:val="000C735C"/>
    <w:rsid w:val="000D1854"/>
    <w:rsid w:val="000D1BB8"/>
    <w:rsid w:val="000D1BFC"/>
    <w:rsid w:val="000D1D5D"/>
    <w:rsid w:val="000D1DBE"/>
    <w:rsid w:val="000D20CE"/>
    <w:rsid w:val="000D281A"/>
    <w:rsid w:val="000D2848"/>
    <w:rsid w:val="000D2A8B"/>
    <w:rsid w:val="000D326A"/>
    <w:rsid w:val="000D3595"/>
    <w:rsid w:val="000D48CE"/>
    <w:rsid w:val="000D4D9A"/>
    <w:rsid w:val="000D51FB"/>
    <w:rsid w:val="000D54A9"/>
    <w:rsid w:val="000D57D0"/>
    <w:rsid w:val="000D5BDB"/>
    <w:rsid w:val="000D7BAA"/>
    <w:rsid w:val="000E0640"/>
    <w:rsid w:val="000E135D"/>
    <w:rsid w:val="000E461D"/>
    <w:rsid w:val="000E6955"/>
    <w:rsid w:val="000E7305"/>
    <w:rsid w:val="000F00BA"/>
    <w:rsid w:val="000F0503"/>
    <w:rsid w:val="000F316A"/>
    <w:rsid w:val="000F38FE"/>
    <w:rsid w:val="000F3C74"/>
    <w:rsid w:val="000F42C3"/>
    <w:rsid w:val="000F4BB8"/>
    <w:rsid w:val="000F4FA9"/>
    <w:rsid w:val="000F53FB"/>
    <w:rsid w:val="000F618C"/>
    <w:rsid w:val="000F7127"/>
    <w:rsid w:val="000F728D"/>
    <w:rsid w:val="000F7B54"/>
    <w:rsid w:val="00100F8A"/>
    <w:rsid w:val="0010139D"/>
    <w:rsid w:val="00102446"/>
    <w:rsid w:val="00102DDB"/>
    <w:rsid w:val="0010452E"/>
    <w:rsid w:val="00105AE2"/>
    <w:rsid w:val="001060C6"/>
    <w:rsid w:val="00106B80"/>
    <w:rsid w:val="00107D81"/>
    <w:rsid w:val="00107D9D"/>
    <w:rsid w:val="00107EC4"/>
    <w:rsid w:val="0011032E"/>
    <w:rsid w:val="00111E14"/>
    <w:rsid w:val="001122AE"/>
    <w:rsid w:val="0011348B"/>
    <w:rsid w:val="00115726"/>
    <w:rsid w:val="00115982"/>
    <w:rsid w:val="00116C53"/>
    <w:rsid w:val="00117C3B"/>
    <w:rsid w:val="00120B24"/>
    <w:rsid w:val="00121799"/>
    <w:rsid w:val="00121995"/>
    <w:rsid w:val="001222FC"/>
    <w:rsid w:val="001229F8"/>
    <w:rsid w:val="00122DDB"/>
    <w:rsid w:val="001233C8"/>
    <w:rsid w:val="00123902"/>
    <w:rsid w:val="00124716"/>
    <w:rsid w:val="00124A45"/>
    <w:rsid w:val="00124A51"/>
    <w:rsid w:val="00125399"/>
    <w:rsid w:val="00126621"/>
    <w:rsid w:val="00126B1D"/>
    <w:rsid w:val="00126D3B"/>
    <w:rsid w:val="0012731A"/>
    <w:rsid w:val="001301E9"/>
    <w:rsid w:val="00131D82"/>
    <w:rsid w:val="00131F10"/>
    <w:rsid w:val="00132B22"/>
    <w:rsid w:val="00133D36"/>
    <w:rsid w:val="001344FE"/>
    <w:rsid w:val="00137036"/>
    <w:rsid w:val="00137645"/>
    <w:rsid w:val="0014015A"/>
    <w:rsid w:val="00140E99"/>
    <w:rsid w:val="00141E95"/>
    <w:rsid w:val="00142384"/>
    <w:rsid w:val="00143F67"/>
    <w:rsid w:val="00145540"/>
    <w:rsid w:val="001456B0"/>
    <w:rsid w:val="001477AA"/>
    <w:rsid w:val="00152F8E"/>
    <w:rsid w:val="001532A7"/>
    <w:rsid w:val="00156F8F"/>
    <w:rsid w:val="00157130"/>
    <w:rsid w:val="001576B1"/>
    <w:rsid w:val="0016047B"/>
    <w:rsid w:val="00160A4C"/>
    <w:rsid w:val="001610ED"/>
    <w:rsid w:val="001613A5"/>
    <w:rsid w:val="00162653"/>
    <w:rsid w:val="00162913"/>
    <w:rsid w:val="00163EFF"/>
    <w:rsid w:val="00163F66"/>
    <w:rsid w:val="001661FB"/>
    <w:rsid w:val="001671A0"/>
    <w:rsid w:val="0016753A"/>
    <w:rsid w:val="0016767F"/>
    <w:rsid w:val="00167865"/>
    <w:rsid w:val="00173014"/>
    <w:rsid w:val="00173245"/>
    <w:rsid w:val="00173565"/>
    <w:rsid w:val="00173B07"/>
    <w:rsid w:val="00174A58"/>
    <w:rsid w:val="001751FA"/>
    <w:rsid w:val="0017554E"/>
    <w:rsid w:val="00176750"/>
    <w:rsid w:val="00176D9C"/>
    <w:rsid w:val="001812AF"/>
    <w:rsid w:val="00181D9C"/>
    <w:rsid w:val="00182872"/>
    <w:rsid w:val="00182ABA"/>
    <w:rsid w:val="00184B0E"/>
    <w:rsid w:val="00185742"/>
    <w:rsid w:val="001857F0"/>
    <w:rsid w:val="00186A34"/>
    <w:rsid w:val="00186DC0"/>
    <w:rsid w:val="00186EAC"/>
    <w:rsid w:val="0018752F"/>
    <w:rsid w:val="00187719"/>
    <w:rsid w:val="001903ED"/>
    <w:rsid w:val="0019123B"/>
    <w:rsid w:val="0019248D"/>
    <w:rsid w:val="00193838"/>
    <w:rsid w:val="00194018"/>
    <w:rsid w:val="00194AD8"/>
    <w:rsid w:val="00195222"/>
    <w:rsid w:val="00195994"/>
    <w:rsid w:val="00196714"/>
    <w:rsid w:val="00197361"/>
    <w:rsid w:val="001975D8"/>
    <w:rsid w:val="00197DCE"/>
    <w:rsid w:val="001A0F76"/>
    <w:rsid w:val="001A178E"/>
    <w:rsid w:val="001A2F23"/>
    <w:rsid w:val="001A43FA"/>
    <w:rsid w:val="001A47C5"/>
    <w:rsid w:val="001A48EC"/>
    <w:rsid w:val="001A52E7"/>
    <w:rsid w:val="001A59FB"/>
    <w:rsid w:val="001A5E9E"/>
    <w:rsid w:val="001A6354"/>
    <w:rsid w:val="001A6366"/>
    <w:rsid w:val="001A6981"/>
    <w:rsid w:val="001A6A5C"/>
    <w:rsid w:val="001A70BB"/>
    <w:rsid w:val="001A7180"/>
    <w:rsid w:val="001A7AE8"/>
    <w:rsid w:val="001B00A7"/>
    <w:rsid w:val="001B204E"/>
    <w:rsid w:val="001B2372"/>
    <w:rsid w:val="001B3443"/>
    <w:rsid w:val="001B4D12"/>
    <w:rsid w:val="001B4D20"/>
    <w:rsid w:val="001B6E86"/>
    <w:rsid w:val="001B7A55"/>
    <w:rsid w:val="001B7D60"/>
    <w:rsid w:val="001C0B4E"/>
    <w:rsid w:val="001C1821"/>
    <w:rsid w:val="001C2A9B"/>
    <w:rsid w:val="001C35D6"/>
    <w:rsid w:val="001C4299"/>
    <w:rsid w:val="001C4874"/>
    <w:rsid w:val="001C5F94"/>
    <w:rsid w:val="001C6E66"/>
    <w:rsid w:val="001C7709"/>
    <w:rsid w:val="001D0C02"/>
    <w:rsid w:val="001D1100"/>
    <w:rsid w:val="001D1391"/>
    <w:rsid w:val="001D25D7"/>
    <w:rsid w:val="001D2FE1"/>
    <w:rsid w:val="001D467A"/>
    <w:rsid w:val="001D50B2"/>
    <w:rsid w:val="001D5927"/>
    <w:rsid w:val="001D7645"/>
    <w:rsid w:val="001E0A2D"/>
    <w:rsid w:val="001E1E86"/>
    <w:rsid w:val="001E238E"/>
    <w:rsid w:val="001E23DF"/>
    <w:rsid w:val="001E2483"/>
    <w:rsid w:val="001E2B1E"/>
    <w:rsid w:val="001E2CFF"/>
    <w:rsid w:val="001E2F24"/>
    <w:rsid w:val="001E30D4"/>
    <w:rsid w:val="001E34DF"/>
    <w:rsid w:val="001E52EB"/>
    <w:rsid w:val="001E5510"/>
    <w:rsid w:val="001E57CC"/>
    <w:rsid w:val="001E5954"/>
    <w:rsid w:val="001E61D2"/>
    <w:rsid w:val="001E688D"/>
    <w:rsid w:val="001E740C"/>
    <w:rsid w:val="001E7CCF"/>
    <w:rsid w:val="001F0348"/>
    <w:rsid w:val="001F068E"/>
    <w:rsid w:val="001F1038"/>
    <w:rsid w:val="001F11E2"/>
    <w:rsid w:val="001F1235"/>
    <w:rsid w:val="001F1519"/>
    <w:rsid w:val="001F1CB3"/>
    <w:rsid w:val="001F20F1"/>
    <w:rsid w:val="001F2BC3"/>
    <w:rsid w:val="001F38B5"/>
    <w:rsid w:val="001F4081"/>
    <w:rsid w:val="001F5B54"/>
    <w:rsid w:val="001F7361"/>
    <w:rsid w:val="001F77AB"/>
    <w:rsid w:val="00200811"/>
    <w:rsid w:val="00200EF8"/>
    <w:rsid w:val="00201190"/>
    <w:rsid w:val="002011B0"/>
    <w:rsid w:val="00203181"/>
    <w:rsid w:val="00203762"/>
    <w:rsid w:val="00203783"/>
    <w:rsid w:val="0020385F"/>
    <w:rsid w:val="002068A0"/>
    <w:rsid w:val="00207021"/>
    <w:rsid w:val="0020732F"/>
    <w:rsid w:val="0020793B"/>
    <w:rsid w:val="00207D00"/>
    <w:rsid w:val="002104A2"/>
    <w:rsid w:val="002105C1"/>
    <w:rsid w:val="0021149D"/>
    <w:rsid w:val="00213EF5"/>
    <w:rsid w:val="00215B20"/>
    <w:rsid w:val="00215C00"/>
    <w:rsid w:val="00216BF5"/>
    <w:rsid w:val="00220A1F"/>
    <w:rsid w:val="00221425"/>
    <w:rsid w:val="00223B49"/>
    <w:rsid w:val="00223D5A"/>
    <w:rsid w:val="00224DD4"/>
    <w:rsid w:val="0022545B"/>
    <w:rsid w:val="002278A0"/>
    <w:rsid w:val="002309CC"/>
    <w:rsid w:val="00230DB1"/>
    <w:rsid w:val="0023209F"/>
    <w:rsid w:val="0023290D"/>
    <w:rsid w:val="00233AEB"/>
    <w:rsid w:val="00233C01"/>
    <w:rsid w:val="0023413C"/>
    <w:rsid w:val="002346F0"/>
    <w:rsid w:val="0023629D"/>
    <w:rsid w:val="00236DE5"/>
    <w:rsid w:val="00237255"/>
    <w:rsid w:val="002424AF"/>
    <w:rsid w:val="00243347"/>
    <w:rsid w:val="00243568"/>
    <w:rsid w:val="0024398F"/>
    <w:rsid w:val="002439DC"/>
    <w:rsid w:val="002440CD"/>
    <w:rsid w:val="002441D2"/>
    <w:rsid w:val="00244DC8"/>
    <w:rsid w:val="002458BA"/>
    <w:rsid w:val="00245C0F"/>
    <w:rsid w:val="00245CE9"/>
    <w:rsid w:val="0024636C"/>
    <w:rsid w:val="00247925"/>
    <w:rsid w:val="00250000"/>
    <w:rsid w:val="00251006"/>
    <w:rsid w:val="002524D5"/>
    <w:rsid w:val="00252CC5"/>
    <w:rsid w:val="00253B1D"/>
    <w:rsid w:val="00254A49"/>
    <w:rsid w:val="00254DCF"/>
    <w:rsid w:val="0025534B"/>
    <w:rsid w:val="00255BB7"/>
    <w:rsid w:val="00257541"/>
    <w:rsid w:val="002576D6"/>
    <w:rsid w:val="00257A39"/>
    <w:rsid w:val="00257AC4"/>
    <w:rsid w:val="00261791"/>
    <w:rsid w:val="00261EEF"/>
    <w:rsid w:val="00262153"/>
    <w:rsid w:val="00262A1A"/>
    <w:rsid w:val="00262A87"/>
    <w:rsid w:val="00264D26"/>
    <w:rsid w:val="00264E73"/>
    <w:rsid w:val="00267006"/>
    <w:rsid w:val="00267642"/>
    <w:rsid w:val="00267AEA"/>
    <w:rsid w:val="002700E6"/>
    <w:rsid w:val="002717C9"/>
    <w:rsid w:val="00272074"/>
    <w:rsid w:val="0027294B"/>
    <w:rsid w:val="00273725"/>
    <w:rsid w:val="00273928"/>
    <w:rsid w:val="00273EB4"/>
    <w:rsid w:val="00274682"/>
    <w:rsid w:val="00275A23"/>
    <w:rsid w:val="00275C5A"/>
    <w:rsid w:val="00281014"/>
    <w:rsid w:val="0028665D"/>
    <w:rsid w:val="00290FE1"/>
    <w:rsid w:val="0029325F"/>
    <w:rsid w:val="00293894"/>
    <w:rsid w:val="00293E95"/>
    <w:rsid w:val="002960A2"/>
    <w:rsid w:val="00296B5C"/>
    <w:rsid w:val="002A0023"/>
    <w:rsid w:val="002A0A82"/>
    <w:rsid w:val="002A14AB"/>
    <w:rsid w:val="002A160D"/>
    <w:rsid w:val="002A1A92"/>
    <w:rsid w:val="002A20B7"/>
    <w:rsid w:val="002A2ADE"/>
    <w:rsid w:val="002A2F50"/>
    <w:rsid w:val="002A39BE"/>
    <w:rsid w:val="002A4B43"/>
    <w:rsid w:val="002A5D76"/>
    <w:rsid w:val="002A6EC2"/>
    <w:rsid w:val="002A7C85"/>
    <w:rsid w:val="002B05A1"/>
    <w:rsid w:val="002B09A4"/>
    <w:rsid w:val="002B0E32"/>
    <w:rsid w:val="002B1C1F"/>
    <w:rsid w:val="002B31EB"/>
    <w:rsid w:val="002B35C7"/>
    <w:rsid w:val="002B432F"/>
    <w:rsid w:val="002B471A"/>
    <w:rsid w:val="002B62B3"/>
    <w:rsid w:val="002B6754"/>
    <w:rsid w:val="002B6CCE"/>
    <w:rsid w:val="002B74A5"/>
    <w:rsid w:val="002B7795"/>
    <w:rsid w:val="002C007C"/>
    <w:rsid w:val="002C0738"/>
    <w:rsid w:val="002C1042"/>
    <w:rsid w:val="002C203C"/>
    <w:rsid w:val="002C2510"/>
    <w:rsid w:val="002C2775"/>
    <w:rsid w:val="002C27C1"/>
    <w:rsid w:val="002C5099"/>
    <w:rsid w:val="002C5889"/>
    <w:rsid w:val="002C71CE"/>
    <w:rsid w:val="002D08F8"/>
    <w:rsid w:val="002D0E5E"/>
    <w:rsid w:val="002D11F9"/>
    <w:rsid w:val="002D29E0"/>
    <w:rsid w:val="002D2AEE"/>
    <w:rsid w:val="002D5313"/>
    <w:rsid w:val="002D577C"/>
    <w:rsid w:val="002D6456"/>
    <w:rsid w:val="002D6AE8"/>
    <w:rsid w:val="002E1071"/>
    <w:rsid w:val="002E117F"/>
    <w:rsid w:val="002E15B9"/>
    <w:rsid w:val="002E2158"/>
    <w:rsid w:val="002E2622"/>
    <w:rsid w:val="002E275A"/>
    <w:rsid w:val="002E3A0A"/>
    <w:rsid w:val="002E3BA5"/>
    <w:rsid w:val="002E3C5F"/>
    <w:rsid w:val="002E4F02"/>
    <w:rsid w:val="002E7722"/>
    <w:rsid w:val="002E7FA1"/>
    <w:rsid w:val="002F07BA"/>
    <w:rsid w:val="002F0A5A"/>
    <w:rsid w:val="002F0DA9"/>
    <w:rsid w:val="002F1014"/>
    <w:rsid w:val="002F1570"/>
    <w:rsid w:val="002F15BC"/>
    <w:rsid w:val="002F311C"/>
    <w:rsid w:val="002F35BE"/>
    <w:rsid w:val="002F4A4A"/>
    <w:rsid w:val="002F53B2"/>
    <w:rsid w:val="002F643C"/>
    <w:rsid w:val="002F707F"/>
    <w:rsid w:val="002F71C0"/>
    <w:rsid w:val="002F74F1"/>
    <w:rsid w:val="00301017"/>
    <w:rsid w:val="0030155F"/>
    <w:rsid w:val="0030587B"/>
    <w:rsid w:val="0030685A"/>
    <w:rsid w:val="00306D98"/>
    <w:rsid w:val="00307022"/>
    <w:rsid w:val="0030772F"/>
    <w:rsid w:val="0030786C"/>
    <w:rsid w:val="0031031A"/>
    <w:rsid w:val="00310981"/>
    <w:rsid w:val="003116F2"/>
    <w:rsid w:val="003124D9"/>
    <w:rsid w:val="00312594"/>
    <w:rsid w:val="00313A9F"/>
    <w:rsid w:val="003141FF"/>
    <w:rsid w:val="003142F3"/>
    <w:rsid w:val="003149FF"/>
    <w:rsid w:val="0031520A"/>
    <w:rsid w:val="00315498"/>
    <w:rsid w:val="00316474"/>
    <w:rsid w:val="00317631"/>
    <w:rsid w:val="00322107"/>
    <w:rsid w:val="00322355"/>
    <w:rsid w:val="00322846"/>
    <w:rsid w:val="00322C1E"/>
    <w:rsid w:val="00324AE7"/>
    <w:rsid w:val="0032585B"/>
    <w:rsid w:val="003267A1"/>
    <w:rsid w:val="00326DA7"/>
    <w:rsid w:val="003270E4"/>
    <w:rsid w:val="00330DAA"/>
    <w:rsid w:val="00330F5C"/>
    <w:rsid w:val="00331044"/>
    <w:rsid w:val="0033144E"/>
    <w:rsid w:val="00331D00"/>
    <w:rsid w:val="003320C5"/>
    <w:rsid w:val="00333008"/>
    <w:rsid w:val="00333411"/>
    <w:rsid w:val="003364E8"/>
    <w:rsid w:val="003365C2"/>
    <w:rsid w:val="003366C9"/>
    <w:rsid w:val="003371B0"/>
    <w:rsid w:val="00340102"/>
    <w:rsid w:val="00340DF1"/>
    <w:rsid w:val="00342DFE"/>
    <w:rsid w:val="00350C94"/>
    <w:rsid w:val="003517F9"/>
    <w:rsid w:val="00351BA9"/>
    <w:rsid w:val="00351DDE"/>
    <w:rsid w:val="00352CEB"/>
    <w:rsid w:val="00354F64"/>
    <w:rsid w:val="00355F76"/>
    <w:rsid w:val="0035620E"/>
    <w:rsid w:val="0035662D"/>
    <w:rsid w:val="00360345"/>
    <w:rsid w:val="00360980"/>
    <w:rsid w:val="00361A05"/>
    <w:rsid w:val="00361EE1"/>
    <w:rsid w:val="003624C4"/>
    <w:rsid w:val="003626CA"/>
    <w:rsid w:val="00363B00"/>
    <w:rsid w:val="003654AC"/>
    <w:rsid w:val="00365E34"/>
    <w:rsid w:val="00367F91"/>
    <w:rsid w:val="00370623"/>
    <w:rsid w:val="003710CF"/>
    <w:rsid w:val="003713CF"/>
    <w:rsid w:val="003718CF"/>
    <w:rsid w:val="0037358A"/>
    <w:rsid w:val="003750F6"/>
    <w:rsid w:val="00375575"/>
    <w:rsid w:val="003759BC"/>
    <w:rsid w:val="00375A00"/>
    <w:rsid w:val="003760FC"/>
    <w:rsid w:val="00376FDF"/>
    <w:rsid w:val="00377B74"/>
    <w:rsid w:val="00377CAF"/>
    <w:rsid w:val="0038365C"/>
    <w:rsid w:val="0038369B"/>
    <w:rsid w:val="00383AE0"/>
    <w:rsid w:val="00383B78"/>
    <w:rsid w:val="00384F35"/>
    <w:rsid w:val="00385A9D"/>
    <w:rsid w:val="0038744C"/>
    <w:rsid w:val="003902B1"/>
    <w:rsid w:val="0039179C"/>
    <w:rsid w:val="00391DF2"/>
    <w:rsid w:val="00393F32"/>
    <w:rsid w:val="00395BD1"/>
    <w:rsid w:val="00395EF5"/>
    <w:rsid w:val="00396896"/>
    <w:rsid w:val="00396FD0"/>
    <w:rsid w:val="003A1A7A"/>
    <w:rsid w:val="003A2392"/>
    <w:rsid w:val="003A2831"/>
    <w:rsid w:val="003A3CB6"/>
    <w:rsid w:val="003A3ED1"/>
    <w:rsid w:val="003A44DB"/>
    <w:rsid w:val="003A59CA"/>
    <w:rsid w:val="003A5AD2"/>
    <w:rsid w:val="003B2A7E"/>
    <w:rsid w:val="003B3971"/>
    <w:rsid w:val="003B3CD1"/>
    <w:rsid w:val="003B3D52"/>
    <w:rsid w:val="003B3F67"/>
    <w:rsid w:val="003B521E"/>
    <w:rsid w:val="003B55D1"/>
    <w:rsid w:val="003B5B61"/>
    <w:rsid w:val="003B630A"/>
    <w:rsid w:val="003C1654"/>
    <w:rsid w:val="003C20CF"/>
    <w:rsid w:val="003C312B"/>
    <w:rsid w:val="003C495C"/>
    <w:rsid w:val="003C5143"/>
    <w:rsid w:val="003C5542"/>
    <w:rsid w:val="003C595E"/>
    <w:rsid w:val="003C6773"/>
    <w:rsid w:val="003C7D19"/>
    <w:rsid w:val="003C7D2F"/>
    <w:rsid w:val="003D02BB"/>
    <w:rsid w:val="003D0E27"/>
    <w:rsid w:val="003D1828"/>
    <w:rsid w:val="003D1DE4"/>
    <w:rsid w:val="003D1E9A"/>
    <w:rsid w:val="003D2422"/>
    <w:rsid w:val="003D32AB"/>
    <w:rsid w:val="003D39A1"/>
    <w:rsid w:val="003D3FBF"/>
    <w:rsid w:val="003D40D8"/>
    <w:rsid w:val="003D4921"/>
    <w:rsid w:val="003D4A30"/>
    <w:rsid w:val="003D525C"/>
    <w:rsid w:val="003D6738"/>
    <w:rsid w:val="003D7452"/>
    <w:rsid w:val="003D79BB"/>
    <w:rsid w:val="003D7C98"/>
    <w:rsid w:val="003D7D9D"/>
    <w:rsid w:val="003E0543"/>
    <w:rsid w:val="003E228C"/>
    <w:rsid w:val="003E3CEF"/>
    <w:rsid w:val="003E749E"/>
    <w:rsid w:val="003E7E56"/>
    <w:rsid w:val="003F0675"/>
    <w:rsid w:val="003F1F86"/>
    <w:rsid w:val="003F301C"/>
    <w:rsid w:val="003F3A93"/>
    <w:rsid w:val="003F4156"/>
    <w:rsid w:val="003F440A"/>
    <w:rsid w:val="003F4B9A"/>
    <w:rsid w:val="003F5ADF"/>
    <w:rsid w:val="003F5FBB"/>
    <w:rsid w:val="003F6E6C"/>
    <w:rsid w:val="003F7A6E"/>
    <w:rsid w:val="00400420"/>
    <w:rsid w:val="00400B29"/>
    <w:rsid w:val="004014D8"/>
    <w:rsid w:val="004016BA"/>
    <w:rsid w:val="00404E68"/>
    <w:rsid w:val="0040504B"/>
    <w:rsid w:val="00405575"/>
    <w:rsid w:val="004059F4"/>
    <w:rsid w:val="004064BC"/>
    <w:rsid w:val="00407FE5"/>
    <w:rsid w:val="004101B0"/>
    <w:rsid w:val="00410326"/>
    <w:rsid w:val="00410708"/>
    <w:rsid w:val="00410B72"/>
    <w:rsid w:val="00410DAF"/>
    <w:rsid w:val="00410EC7"/>
    <w:rsid w:val="00411B39"/>
    <w:rsid w:val="004127A7"/>
    <w:rsid w:val="00412BF4"/>
    <w:rsid w:val="00413993"/>
    <w:rsid w:val="00413A1E"/>
    <w:rsid w:val="00414476"/>
    <w:rsid w:val="00414C2E"/>
    <w:rsid w:val="004151CF"/>
    <w:rsid w:val="00416364"/>
    <w:rsid w:val="0042047F"/>
    <w:rsid w:val="00420AA6"/>
    <w:rsid w:val="00420B9F"/>
    <w:rsid w:val="00421777"/>
    <w:rsid w:val="0042192C"/>
    <w:rsid w:val="00422260"/>
    <w:rsid w:val="00422F9B"/>
    <w:rsid w:val="0042413F"/>
    <w:rsid w:val="00424E86"/>
    <w:rsid w:val="00427681"/>
    <w:rsid w:val="0043076D"/>
    <w:rsid w:val="004319F8"/>
    <w:rsid w:val="00431E55"/>
    <w:rsid w:val="004321F6"/>
    <w:rsid w:val="00432CA9"/>
    <w:rsid w:val="00433044"/>
    <w:rsid w:val="00434088"/>
    <w:rsid w:val="004375B9"/>
    <w:rsid w:val="004428D0"/>
    <w:rsid w:val="004429DF"/>
    <w:rsid w:val="0044310E"/>
    <w:rsid w:val="00444185"/>
    <w:rsid w:val="004443A7"/>
    <w:rsid w:val="0044442C"/>
    <w:rsid w:val="00445941"/>
    <w:rsid w:val="004464EB"/>
    <w:rsid w:val="004471A6"/>
    <w:rsid w:val="00447976"/>
    <w:rsid w:val="00447D26"/>
    <w:rsid w:val="00447DFC"/>
    <w:rsid w:val="00450ADC"/>
    <w:rsid w:val="00451449"/>
    <w:rsid w:val="00452B93"/>
    <w:rsid w:val="00454812"/>
    <w:rsid w:val="00454A0A"/>
    <w:rsid w:val="00454C02"/>
    <w:rsid w:val="00455D45"/>
    <w:rsid w:val="0045636A"/>
    <w:rsid w:val="00456BEE"/>
    <w:rsid w:val="00460137"/>
    <w:rsid w:val="00461BB5"/>
    <w:rsid w:val="00462B5A"/>
    <w:rsid w:val="0046363C"/>
    <w:rsid w:val="00464533"/>
    <w:rsid w:val="00464595"/>
    <w:rsid w:val="004658B5"/>
    <w:rsid w:val="0046672B"/>
    <w:rsid w:val="00466893"/>
    <w:rsid w:val="00466B92"/>
    <w:rsid w:val="00467788"/>
    <w:rsid w:val="00467CEA"/>
    <w:rsid w:val="00471EA5"/>
    <w:rsid w:val="00472A79"/>
    <w:rsid w:val="00473C44"/>
    <w:rsid w:val="00473F19"/>
    <w:rsid w:val="00474AF9"/>
    <w:rsid w:val="00474EC1"/>
    <w:rsid w:val="00475E22"/>
    <w:rsid w:val="0048088E"/>
    <w:rsid w:val="00480C61"/>
    <w:rsid w:val="00480F2B"/>
    <w:rsid w:val="00481120"/>
    <w:rsid w:val="00482720"/>
    <w:rsid w:val="004835E7"/>
    <w:rsid w:val="0048510D"/>
    <w:rsid w:val="004867E2"/>
    <w:rsid w:val="004874F2"/>
    <w:rsid w:val="00487FC1"/>
    <w:rsid w:val="00490B17"/>
    <w:rsid w:val="00490D5E"/>
    <w:rsid w:val="00490E35"/>
    <w:rsid w:val="0049198E"/>
    <w:rsid w:val="00491B3A"/>
    <w:rsid w:val="004927FB"/>
    <w:rsid w:val="004929DF"/>
    <w:rsid w:val="00492CFD"/>
    <w:rsid w:val="0049393C"/>
    <w:rsid w:val="00494207"/>
    <w:rsid w:val="0049421F"/>
    <w:rsid w:val="00494DD5"/>
    <w:rsid w:val="0049565B"/>
    <w:rsid w:val="004962D2"/>
    <w:rsid w:val="004978BB"/>
    <w:rsid w:val="004A0544"/>
    <w:rsid w:val="004A0DA1"/>
    <w:rsid w:val="004A0F45"/>
    <w:rsid w:val="004A13D6"/>
    <w:rsid w:val="004A3829"/>
    <w:rsid w:val="004A52E9"/>
    <w:rsid w:val="004A5C3C"/>
    <w:rsid w:val="004A6040"/>
    <w:rsid w:val="004A6597"/>
    <w:rsid w:val="004A7848"/>
    <w:rsid w:val="004A78C5"/>
    <w:rsid w:val="004B0641"/>
    <w:rsid w:val="004B0B9B"/>
    <w:rsid w:val="004B1CB4"/>
    <w:rsid w:val="004B2F18"/>
    <w:rsid w:val="004B3DDB"/>
    <w:rsid w:val="004B44FD"/>
    <w:rsid w:val="004B5CFC"/>
    <w:rsid w:val="004B6F79"/>
    <w:rsid w:val="004B774D"/>
    <w:rsid w:val="004C0F4F"/>
    <w:rsid w:val="004C4AED"/>
    <w:rsid w:val="004C5F28"/>
    <w:rsid w:val="004D2C2D"/>
    <w:rsid w:val="004D2D8B"/>
    <w:rsid w:val="004D33E9"/>
    <w:rsid w:val="004D3E86"/>
    <w:rsid w:val="004D4110"/>
    <w:rsid w:val="004D4E85"/>
    <w:rsid w:val="004D6543"/>
    <w:rsid w:val="004D69B5"/>
    <w:rsid w:val="004D6C05"/>
    <w:rsid w:val="004D7227"/>
    <w:rsid w:val="004E0C96"/>
    <w:rsid w:val="004E0E7F"/>
    <w:rsid w:val="004E0EB8"/>
    <w:rsid w:val="004E18E9"/>
    <w:rsid w:val="004E2ADC"/>
    <w:rsid w:val="004E3526"/>
    <w:rsid w:val="004E3E36"/>
    <w:rsid w:val="004E43B2"/>
    <w:rsid w:val="004E45E9"/>
    <w:rsid w:val="004E4F67"/>
    <w:rsid w:val="004E5A6A"/>
    <w:rsid w:val="004F0E52"/>
    <w:rsid w:val="004F1D02"/>
    <w:rsid w:val="004F2679"/>
    <w:rsid w:val="004F26A8"/>
    <w:rsid w:val="004F2B1F"/>
    <w:rsid w:val="004F2DDF"/>
    <w:rsid w:val="004F2F21"/>
    <w:rsid w:val="004F3DE5"/>
    <w:rsid w:val="004F4B6C"/>
    <w:rsid w:val="004F4B8A"/>
    <w:rsid w:val="004F4E7E"/>
    <w:rsid w:val="004F58DF"/>
    <w:rsid w:val="004F5F89"/>
    <w:rsid w:val="004F6913"/>
    <w:rsid w:val="004F7865"/>
    <w:rsid w:val="00500542"/>
    <w:rsid w:val="005008F6"/>
    <w:rsid w:val="00500ACD"/>
    <w:rsid w:val="00500C32"/>
    <w:rsid w:val="0050174E"/>
    <w:rsid w:val="00501854"/>
    <w:rsid w:val="00501ACE"/>
    <w:rsid w:val="0050213F"/>
    <w:rsid w:val="0050219B"/>
    <w:rsid w:val="00502903"/>
    <w:rsid w:val="00503F17"/>
    <w:rsid w:val="00503F33"/>
    <w:rsid w:val="00506928"/>
    <w:rsid w:val="0050725C"/>
    <w:rsid w:val="005077EF"/>
    <w:rsid w:val="00511AD5"/>
    <w:rsid w:val="00511DC7"/>
    <w:rsid w:val="005135B0"/>
    <w:rsid w:val="005142C5"/>
    <w:rsid w:val="005149BB"/>
    <w:rsid w:val="0051501B"/>
    <w:rsid w:val="005152B5"/>
    <w:rsid w:val="00516865"/>
    <w:rsid w:val="00520328"/>
    <w:rsid w:val="00520A22"/>
    <w:rsid w:val="0052123C"/>
    <w:rsid w:val="00521319"/>
    <w:rsid w:val="0052145B"/>
    <w:rsid w:val="0052198E"/>
    <w:rsid w:val="00522BC8"/>
    <w:rsid w:val="005234F5"/>
    <w:rsid w:val="00523C28"/>
    <w:rsid w:val="00526ECD"/>
    <w:rsid w:val="00526FE6"/>
    <w:rsid w:val="0053176B"/>
    <w:rsid w:val="005333C2"/>
    <w:rsid w:val="00533C7D"/>
    <w:rsid w:val="00534ECC"/>
    <w:rsid w:val="00536F42"/>
    <w:rsid w:val="00537182"/>
    <w:rsid w:val="00540AC4"/>
    <w:rsid w:val="00541EDD"/>
    <w:rsid w:val="00542743"/>
    <w:rsid w:val="00542C2D"/>
    <w:rsid w:val="00545E70"/>
    <w:rsid w:val="005478BD"/>
    <w:rsid w:val="005479E3"/>
    <w:rsid w:val="00550457"/>
    <w:rsid w:val="005504C0"/>
    <w:rsid w:val="00551985"/>
    <w:rsid w:val="00551BB5"/>
    <w:rsid w:val="00552BD3"/>
    <w:rsid w:val="00552C96"/>
    <w:rsid w:val="005532A0"/>
    <w:rsid w:val="005545B9"/>
    <w:rsid w:val="00554D02"/>
    <w:rsid w:val="00555109"/>
    <w:rsid w:val="00556B35"/>
    <w:rsid w:val="0055741A"/>
    <w:rsid w:val="00557F99"/>
    <w:rsid w:val="005602F8"/>
    <w:rsid w:val="005611B7"/>
    <w:rsid w:val="005618D4"/>
    <w:rsid w:val="00562260"/>
    <w:rsid w:val="00562EEE"/>
    <w:rsid w:val="00564A62"/>
    <w:rsid w:val="00564B2B"/>
    <w:rsid w:val="00564DAD"/>
    <w:rsid w:val="00565DF0"/>
    <w:rsid w:val="0056625B"/>
    <w:rsid w:val="0056696F"/>
    <w:rsid w:val="00571620"/>
    <w:rsid w:val="00572269"/>
    <w:rsid w:val="0057244A"/>
    <w:rsid w:val="005724B3"/>
    <w:rsid w:val="00572F26"/>
    <w:rsid w:val="00573971"/>
    <w:rsid w:val="0057397A"/>
    <w:rsid w:val="00575070"/>
    <w:rsid w:val="005750C5"/>
    <w:rsid w:val="005752DE"/>
    <w:rsid w:val="0057555F"/>
    <w:rsid w:val="00575D8D"/>
    <w:rsid w:val="00575E73"/>
    <w:rsid w:val="005760D8"/>
    <w:rsid w:val="00576972"/>
    <w:rsid w:val="00576EB3"/>
    <w:rsid w:val="005770AE"/>
    <w:rsid w:val="00580765"/>
    <w:rsid w:val="00580B65"/>
    <w:rsid w:val="0058139C"/>
    <w:rsid w:val="00581421"/>
    <w:rsid w:val="00582D69"/>
    <w:rsid w:val="00583699"/>
    <w:rsid w:val="00584F9D"/>
    <w:rsid w:val="00585CDD"/>
    <w:rsid w:val="00587058"/>
    <w:rsid w:val="005875AC"/>
    <w:rsid w:val="00591957"/>
    <w:rsid w:val="0059360B"/>
    <w:rsid w:val="00593F7A"/>
    <w:rsid w:val="005962C5"/>
    <w:rsid w:val="00597B00"/>
    <w:rsid w:val="00597BF9"/>
    <w:rsid w:val="005A0B8D"/>
    <w:rsid w:val="005A2165"/>
    <w:rsid w:val="005A309A"/>
    <w:rsid w:val="005A373D"/>
    <w:rsid w:val="005A5E8B"/>
    <w:rsid w:val="005A6A27"/>
    <w:rsid w:val="005B0094"/>
    <w:rsid w:val="005B0B58"/>
    <w:rsid w:val="005B0DD3"/>
    <w:rsid w:val="005B1027"/>
    <w:rsid w:val="005B3137"/>
    <w:rsid w:val="005B4E53"/>
    <w:rsid w:val="005B5857"/>
    <w:rsid w:val="005B60A4"/>
    <w:rsid w:val="005B6EFA"/>
    <w:rsid w:val="005C0790"/>
    <w:rsid w:val="005C10A0"/>
    <w:rsid w:val="005C17A9"/>
    <w:rsid w:val="005C1B83"/>
    <w:rsid w:val="005C25FF"/>
    <w:rsid w:val="005C2D55"/>
    <w:rsid w:val="005C346B"/>
    <w:rsid w:val="005C36FA"/>
    <w:rsid w:val="005C4044"/>
    <w:rsid w:val="005C424F"/>
    <w:rsid w:val="005C437C"/>
    <w:rsid w:val="005C4C18"/>
    <w:rsid w:val="005C4E74"/>
    <w:rsid w:val="005C6505"/>
    <w:rsid w:val="005C6912"/>
    <w:rsid w:val="005D044D"/>
    <w:rsid w:val="005D0ABD"/>
    <w:rsid w:val="005D0BAF"/>
    <w:rsid w:val="005D18AD"/>
    <w:rsid w:val="005D26B4"/>
    <w:rsid w:val="005D4B91"/>
    <w:rsid w:val="005D52D2"/>
    <w:rsid w:val="005D7941"/>
    <w:rsid w:val="005D7D82"/>
    <w:rsid w:val="005D7EB7"/>
    <w:rsid w:val="005E0FD8"/>
    <w:rsid w:val="005E57A2"/>
    <w:rsid w:val="005E6CBC"/>
    <w:rsid w:val="005E72FF"/>
    <w:rsid w:val="005E73C0"/>
    <w:rsid w:val="005F03E6"/>
    <w:rsid w:val="005F0621"/>
    <w:rsid w:val="005F071C"/>
    <w:rsid w:val="005F0CC4"/>
    <w:rsid w:val="005F1564"/>
    <w:rsid w:val="005F1A9E"/>
    <w:rsid w:val="005F1BFC"/>
    <w:rsid w:val="005F201C"/>
    <w:rsid w:val="005F2706"/>
    <w:rsid w:val="005F33E1"/>
    <w:rsid w:val="005F3ABC"/>
    <w:rsid w:val="005F4590"/>
    <w:rsid w:val="005F5B68"/>
    <w:rsid w:val="005F5F27"/>
    <w:rsid w:val="005F6A8F"/>
    <w:rsid w:val="005F6BB7"/>
    <w:rsid w:val="005F7588"/>
    <w:rsid w:val="00601C6B"/>
    <w:rsid w:val="00601F42"/>
    <w:rsid w:val="006021D8"/>
    <w:rsid w:val="00603DB9"/>
    <w:rsid w:val="00603EAE"/>
    <w:rsid w:val="00604413"/>
    <w:rsid w:val="00605FAE"/>
    <w:rsid w:val="006065D9"/>
    <w:rsid w:val="006069C9"/>
    <w:rsid w:val="00606D09"/>
    <w:rsid w:val="00606FBA"/>
    <w:rsid w:val="00607669"/>
    <w:rsid w:val="006076F4"/>
    <w:rsid w:val="00607AFD"/>
    <w:rsid w:val="00612F97"/>
    <w:rsid w:val="0061345D"/>
    <w:rsid w:val="006139AA"/>
    <w:rsid w:val="0061549B"/>
    <w:rsid w:val="00616802"/>
    <w:rsid w:val="00617E12"/>
    <w:rsid w:val="00617F01"/>
    <w:rsid w:val="0062090F"/>
    <w:rsid w:val="00620C25"/>
    <w:rsid w:val="00621392"/>
    <w:rsid w:val="00621477"/>
    <w:rsid w:val="00621ADA"/>
    <w:rsid w:val="00621CE2"/>
    <w:rsid w:val="00622438"/>
    <w:rsid w:val="00623F7B"/>
    <w:rsid w:val="0062471E"/>
    <w:rsid w:val="00624AD1"/>
    <w:rsid w:val="00625D44"/>
    <w:rsid w:val="00627135"/>
    <w:rsid w:val="0062794D"/>
    <w:rsid w:val="00627ABD"/>
    <w:rsid w:val="0063158F"/>
    <w:rsid w:val="00631D6B"/>
    <w:rsid w:val="00631F95"/>
    <w:rsid w:val="00632183"/>
    <w:rsid w:val="006330A1"/>
    <w:rsid w:val="0063479F"/>
    <w:rsid w:val="006353F0"/>
    <w:rsid w:val="006357B5"/>
    <w:rsid w:val="00635811"/>
    <w:rsid w:val="006364A1"/>
    <w:rsid w:val="0063678E"/>
    <w:rsid w:val="00636805"/>
    <w:rsid w:val="00636AC5"/>
    <w:rsid w:val="0063755C"/>
    <w:rsid w:val="00637BFD"/>
    <w:rsid w:val="00641C4E"/>
    <w:rsid w:val="00641FB3"/>
    <w:rsid w:val="006441E0"/>
    <w:rsid w:val="0064434C"/>
    <w:rsid w:val="006448F6"/>
    <w:rsid w:val="00644A90"/>
    <w:rsid w:val="006459C4"/>
    <w:rsid w:val="0064631D"/>
    <w:rsid w:val="006471CC"/>
    <w:rsid w:val="006478FE"/>
    <w:rsid w:val="00647A29"/>
    <w:rsid w:val="0065079F"/>
    <w:rsid w:val="0065084B"/>
    <w:rsid w:val="006512A8"/>
    <w:rsid w:val="00651BA0"/>
    <w:rsid w:val="006529E4"/>
    <w:rsid w:val="00652A28"/>
    <w:rsid w:val="00653183"/>
    <w:rsid w:val="0065361A"/>
    <w:rsid w:val="0065379F"/>
    <w:rsid w:val="006544EF"/>
    <w:rsid w:val="00654F1C"/>
    <w:rsid w:val="00656188"/>
    <w:rsid w:val="00656465"/>
    <w:rsid w:val="0065715A"/>
    <w:rsid w:val="0065728B"/>
    <w:rsid w:val="00657A48"/>
    <w:rsid w:val="00660DE8"/>
    <w:rsid w:val="006610F1"/>
    <w:rsid w:val="00661C6B"/>
    <w:rsid w:val="00661D45"/>
    <w:rsid w:val="00661E40"/>
    <w:rsid w:val="00662E02"/>
    <w:rsid w:val="006648B8"/>
    <w:rsid w:val="006649F5"/>
    <w:rsid w:val="0066735E"/>
    <w:rsid w:val="0066736D"/>
    <w:rsid w:val="0066761B"/>
    <w:rsid w:val="00667FDD"/>
    <w:rsid w:val="00671004"/>
    <w:rsid w:val="00672646"/>
    <w:rsid w:val="0067359D"/>
    <w:rsid w:val="00674A14"/>
    <w:rsid w:val="00674B6D"/>
    <w:rsid w:val="00674E42"/>
    <w:rsid w:val="00674F8F"/>
    <w:rsid w:val="006752C2"/>
    <w:rsid w:val="006813F8"/>
    <w:rsid w:val="00682112"/>
    <w:rsid w:val="00682BA6"/>
    <w:rsid w:val="0068466A"/>
    <w:rsid w:val="006853D4"/>
    <w:rsid w:val="00686957"/>
    <w:rsid w:val="00686CBC"/>
    <w:rsid w:val="00686EEB"/>
    <w:rsid w:val="006872BA"/>
    <w:rsid w:val="0069004F"/>
    <w:rsid w:val="0069062E"/>
    <w:rsid w:val="00690642"/>
    <w:rsid w:val="00690795"/>
    <w:rsid w:val="006908D4"/>
    <w:rsid w:val="00691648"/>
    <w:rsid w:val="006917D7"/>
    <w:rsid w:val="00692141"/>
    <w:rsid w:val="0069434C"/>
    <w:rsid w:val="00694F44"/>
    <w:rsid w:val="00695618"/>
    <w:rsid w:val="006966E0"/>
    <w:rsid w:val="00696F51"/>
    <w:rsid w:val="006979A5"/>
    <w:rsid w:val="006A235E"/>
    <w:rsid w:val="006A5CC6"/>
    <w:rsid w:val="006A6449"/>
    <w:rsid w:val="006A6B99"/>
    <w:rsid w:val="006A70F0"/>
    <w:rsid w:val="006A755A"/>
    <w:rsid w:val="006A76F3"/>
    <w:rsid w:val="006A7E5F"/>
    <w:rsid w:val="006B07CD"/>
    <w:rsid w:val="006B261B"/>
    <w:rsid w:val="006B2C90"/>
    <w:rsid w:val="006B35E6"/>
    <w:rsid w:val="006B465A"/>
    <w:rsid w:val="006B477D"/>
    <w:rsid w:val="006B4997"/>
    <w:rsid w:val="006B4E13"/>
    <w:rsid w:val="006B62F4"/>
    <w:rsid w:val="006B669A"/>
    <w:rsid w:val="006B6DD0"/>
    <w:rsid w:val="006C0399"/>
    <w:rsid w:val="006C2685"/>
    <w:rsid w:val="006C2A8E"/>
    <w:rsid w:val="006C2DF7"/>
    <w:rsid w:val="006C3255"/>
    <w:rsid w:val="006C32EE"/>
    <w:rsid w:val="006C353B"/>
    <w:rsid w:val="006C3F26"/>
    <w:rsid w:val="006C46EF"/>
    <w:rsid w:val="006C5CAE"/>
    <w:rsid w:val="006C7B12"/>
    <w:rsid w:val="006D0D17"/>
    <w:rsid w:val="006D2BA8"/>
    <w:rsid w:val="006D3C7D"/>
    <w:rsid w:val="006D4659"/>
    <w:rsid w:val="006D5D5F"/>
    <w:rsid w:val="006D6657"/>
    <w:rsid w:val="006D68FB"/>
    <w:rsid w:val="006E0A65"/>
    <w:rsid w:val="006E27AC"/>
    <w:rsid w:val="006E2868"/>
    <w:rsid w:val="006E2ADF"/>
    <w:rsid w:val="006E3485"/>
    <w:rsid w:val="006E3918"/>
    <w:rsid w:val="006E5329"/>
    <w:rsid w:val="006E5E94"/>
    <w:rsid w:val="006E67F5"/>
    <w:rsid w:val="006F2F4F"/>
    <w:rsid w:val="006F306C"/>
    <w:rsid w:val="006F3A6C"/>
    <w:rsid w:val="006F63A5"/>
    <w:rsid w:val="006F7A31"/>
    <w:rsid w:val="007011A0"/>
    <w:rsid w:val="0070142B"/>
    <w:rsid w:val="007018F4"/>
    <w:rsid w:val="0070276E"/>
    <w:rsid w:val="00702E44"/>
    <w:rsid w:val="00702F8F"/>
    <w:rsid w:val="0070323A"/>
    <w:rsid w:val="007079FC"/>
    <w:rsid w:val="0071115F"/>
    <w:rsid w:val="00711A36"/>
    <w:rsid w:val="00712839"/>
    <w:rsid w:val="007148CE"/>
    <w:rsid w:val="00714C26"/>
    <w:rsid w:val="0071529C"/>
    <w:rsid w:val="007170DA"/>
    <w:rsid w:val="007172AD"/>
    <w:rsid w:val="00720801"/>
    <w:rsid w:val="0072174C"/>
    <w:rsid w:val="007221EE"/>
    <w:rsid w:val="00722B1B"/>
    <w:rsid w:val="00723529"/>
    <w:rsid w:val="00723AD1"/>
    <w:rsid w:val="00723C84"/>
    <w:rsid w:val="00723D13"/>
    <w:rsid w:val="0072416F"/>
    <w:rsid w:val="00724D31"/>
    <w:rsid w:val="00726204"/>
    <w:rsid w:val="007277EF"/>
    <w:rsid w:val="00727A2D"/>
    <w:rsid w:val="00727C94"/>
    <w:rsid w:val="00730F2C"/>
    <w:rsid w:val="00731B0A"/>
    <w:rsid w:val="00731EAE"/>
    <w:rsid w:val="0073208B"/>
    <w:rsid w:val="00733073"/>
    <w:rsid w:val="007331C3"/>
    <w:rsid w:val="00733E1E"/>
    <w:rsid w:val="00735033"/>
    <w:rsid w:val="00735328"/>
    <w:rsid w:val="0073685B"/>
    <w:rsid w:val="00737121"/>
    <w:rsid w:val="00737C3E"/>
    <w:rsid w:val="0074142F"/>
    <w:rsid w:val="00741A27"/>
    <w:rsid w:val="00741DB0"/>
    <w:rsid w:val="00743F69"/>
    <w:rsid w:val="00744282"/>
    <w:rsid w:val="007449BF"/>
    <w:rsid w:val="00745495"/>
    <w:rsid w:val="007458A6"/>
    <w:rsid w:val="00746BC0"/>
    <w:rsid w:val="007501BF"/>
    <w:rsid w:val="0075065D"/>
    <w:rsid w:val="007510B4"/>
    <w:rsid w:val="00752142"/>
    <w:rsid w:val="00752179"/>
    <w:rsid w:val="007523F9"/>
    <w:rsid w:val="00752F80"/>
    <w:rsid w:val="0075357E"/>
    <w:rsid w:val="007573E8"/>
    <w:rsid w:val="007578DC"/>
    <w:rsid w:val="007605F5"/>
    <w:rsid w:val="00760C4E"/>
    <w:rsid w:val="00760F24"/>
    <w:rsid w:val="00760F9E"/>
    <w:rsid w:val="007627BE"/>
    <w:rsid w:val="00762BCB"/>
    <w:rsid w:val="00764263"/>
    <w:rsid w:val="00764F03"/>
    <w:rsid w:val="00765B1A"/>
    <w:rsid w:val="007666A2"/>
    <w:rsid w:val="00767435"/>
    <w:rsid w:val="00774B81"/>
    <w:rsid w:val="00775041"/>
    <w:rsid w:val="00775E11"/>
    <w:rsid w:val="0077622D"/>
    <w:rsid w:val="00776AFA"/>
    <w:rsid w:val="00777335"/>
    <w:rsid w:val="00777872"/>
    <w:rsid w:val="00777BFF"/>
    <w:rsid w:val="00780761"/>
    <w:rsid w:val="007818E5"/>
    <w:rsid w:val="00782B5D"/>
    <w:rsid w:val="00783989"/>
    <w:rsid w:val="007843F2"/>
    <w:rsid w:val="00784CAB"/>
    <w:rsid w:val="0078598D"/>
    <w:rsid w:val="00785A9F"/>
    <w:rsid w:val="00785C68"/>
    <w:rsid w:val="007864BC"/>
    <w:rsid w:val="00786A6E"/>
    <w:rsid w:val="00786E3F"/>
    <w:rsid w:val="00787D07"/>
    <w:rsid w:val="00791EFF"/>
    <w:rsid w:val="007925DF"/>
    <w:rsid w:val="00793A07"/>
    <w:rsid w:val="00795618"/>
    <w:rsid w:val="007960B1"/>
    <w:rsid w:val="007A08AA"/>
    <w:rsid w:val="007A0A12"/>
    <w:rsid w:val="007A132D"/>
    <w:rsid w:val="007A1345"/>
    <w:rsid w:val="007A2DDB"/>
    <w:rsid w:val="007A60EE"/>
    <w:rsid w:val="007A70BA"/>
    <w:rsid w:val="007A7780"/>
    <w:rsid w:val="007A7825"/>
    <w:rsid w:val="007B08D0"/>
    <w:rsid w:val="007B0D68"/>
    <w:rsid w:val="007B1C53"/>
    <w:rsid w:val="007B251D"/>
    <w:rsid w:val="007B3396"/>
    <w:rsid w:val="007B3F66"/>
    <w:rsid w:val="007B4F58"/>
    <w:rsid w:val="007B512A"/>
    <w:rsid w:val="007B528D"/>
    <w:rsid w:val="007B63CA"/>
    <w:rsid w:val="007B70A4"/>
    <w:rsid w:val="007B77D1"/>
    <w:rsid w:val="007C038C"/>
    <w:rsid w:val="007C07C7"/>
    <w:rsid w:val="007C1CD9"/>
    <w:rsid w:val="007C2511"/>
    <w:rsid w:val="007C3145"/>
    <w:rsid w:val="007C32EF"/>
    <w:rsid w:val="007C361D"/>
    <w:rsid w:val="007C453B"/>
    <w:rsid w:val="007C4B84"/>
    <w:rsid w:val="007C62FA"/>
    <w:rsid w:val="007C6DCE"/>
    <w:rsid w:val="007C70FF"/>
    <w:rsid w:val="007C7C25"/>
    <w:rsid w:val="007D004F"/>
    <w:rsid w:val="007D0B38"/>
    <w:rsid w:val="007D16FA"/>
    <w:rsid w:val="007D1B96"/>
    <w:rsid w:val="007D1FCA"/>
    <w:rsid w:val="007D2BB8"/>
    <w:rsid w:val="007D2CB9"/>
    <w:rsid w:val="007D4C94"/>
    <w:rsid w:val="007D529F"/>
    <w:rsid w:val="007D5440"/>
    <w:rsid w:val="007D69EB"/>
    <w:rsid w:val="007D6A89"/>
    <w:rsid w:val="007D6DA5"/>
    <w:rsid w:val="007E128F"/>
    <w:rsid w:val="007E1380"/>
    <w:rsid w:val="007E157B"/>
    <w:rsid w:val="007E3392"/>
    <w:rsid w:val="007E455E"/>
    <w:rsid w:val="007F1017"/>
    <w:rsid w:val="007F4556"/>
    <w:rsid w:val="007F4A3F"/>
    <w:rsid w:val="007F4A61"/>
    <w:rsid w:val="007F5255"/>
    <w:rsid w:val="007F56CC"/>
    <w:rsid w:val="007F61C2"/>
    <w:rsid w:val="007F681B"/>
    <w:rsid w:val="0080014B"/>
    <w:rsid w:val="00804E59"/>
    <w:rsid w:val="00805142"/>
    <w:rsid w:val="00805188"/>
    <w:rsid w:val="008055D8"/>
    <w:rsid w:val="00805FCE"/>
    <w:rsid w:val="00806277"/>
    <w:rsid w:val="008075AA"/>
    <w:rsid w:val="00807A8B"/>
    <w:rsid w:val="00810607"/>
    <w:rsid w:val="00811383"/>
    <w:rsid w:val="00812149"/>
    <w:rsid w:val="00812CAC"/>
    <w:rsid w:val="00814637"/>
    <w:rsid w:val="00815D5C"/>
    <w:rsid w:val="00816361"/>
    <w:rsid w:val="008166EF"/>
    <w:rsid w:val="00816FEF"/>
    <w:rsid w:val="008177CA"/>
    <w:rsid w:val="008207DF"/>
    <w:rsid w:val="00820A8C"/>
    <w:rsid w:val="00821182"/>
    <w:rsid w:val="008215FB"/>
    <w:rsid w:val="00823174"/>
    <w:rsid w:val="00825751"/>
    <w:rsid w:val="0082593C"/>
    <w:rsid w:val="00826326"/>
    <w:rsid w:val="008264EB"/>
    <w:rsid w:val="008271D7"/>
    <w:rsid w:val="008300F8"/>
    <w:rsid w:val="00832987"/>
    <w:rsid w:val="00832C1E"/>
    <w:rsid w:val="00832C71"/>
    <w:rsid w:val="00833B05"/>
    <w:rsid w:val="00834BFD"/>
    <w:rsid w:val="00835BCA"/>
    <w:rsid w:val="008362B4"/>
    <w:rsid w:val="00837192"/>
    <w:rsid w:val="00837AD2"/>
    <w:rsid w:val="00840CA2"/>
    <w:rsid w:val="0084374F"/>
    <w:rsid w:val="00843BCD"/>
    <w:rsid w:val="00843D34"/>
    <w:rsid w:val="00843FE2"/>
    <w:rsid w:val="00844181"/>
    <w:rsid w:val="008444AD"/>
    <w:rsid w:val="00844A22"/>
    <w:rsid w:val="00845991"/>
    <w:rsid w:val="00845F03"/>
    <w:rsid w:val="008462B3"/>
    <w:rsid w:val="00847271"/>
    <w:rsid w:val="00847703"/>
    <w:rsid w:val="00847DF5"/>
    <w:rsid w:val="00850272"/>
    <w:rsid w:val="00850A12"/>
    <w:rsid w:val="0085164D"/>
    <w:rsid w:val="00852250"/>
    <w:rsid w:val="0085309D"/>
    <w:rsid w:val="00853683"/>
    <w:rsid w:val="00856897"/>
    <w:rsid w:val="00856E9A"/>
    <w:rsid w:val="0086075D"/>
    <w:rsid w:val="008621F4"/>
    <w:rsid w:val="00862502"/>
    <w:rsid w:val="00862CC1"/>
    <w:rsid w:val="00862EAC"/>
    <w:rsid w:val="0086544B"/>
    <w:rsid w:val="008660D4"/>
    <w:rsid w:val="00870992"/>
    <w:rsid w:val="00871FA9"/>
    <w:rsid w:val="008728E9"/>
    <w:rsid w:val="008743D6"/>
    <w:rsid w:val="00877EC5"/>
    <w:rsid w:val="00882874"/>
    <w:rsid w:val="008829FE"/>
    <w:rsid w:val="00882BFE"/>
    <w:rsid w:val="00882D27"/>
    <w:rsid w:val="00882E3C"/>
    <w:rsid w:val="00883787"/>
    <w:rsid w:val="00884723"/>
    <w:rsid w:val="00884A96"/>
    <w:rsid w:val="008855E4"/>
    <w:rsid w:val="00885827"/>
    <w:rsid w:val="00885C72"/>
    <w:rsid w:val="00886CD2"/>
    <w:rsid w:val="00886F9D"/>
    <w:rsid w:val="00890826"/>
    <w:rsid w:val="0089193C"/>
    <w:rsid w:val="00891E6F"/>
    <w:rsid w:val="0089244D"/>
    <w:rsid w:val="008925D1"/>
    <w:rsid w:val="0089275D"/>
    <w:rsid w:val="00892A36"/>
    <w:rsid w:val="00892ADE"/>
    <w:rsid w:val="00893239"/>
    <w:rsid w:val="00893616"/>
    <w:rsid w:val="00894489"/>
    <w:rsid w:val="008948C7"/>
    <w:rsid w:val="00896394"/>
    <w:rsid w:val="008963A5"/>
    <w:rsid w:val="00896D5D"/>
    <w:rsid w:val="00897A24"/>
    <w:rsid w:val="008A08A8"/>
    <w:rsid w:val="008A138E"/>
    <w:rsid w:val="008A3363"/>
    <w:rsid w:val="008A3371"/>
    <w:rsid w:val="008A3505"/>
    <w:rsid w:val="008A3C3E"/>
    <w:rsid w:val="008A469B"/>
    <w:rsid w:val="008A6780"/>
    <w:rsid w:val="008A79DE"/>
    <w:rsid w:val="008B0A63"/>
    <w:rsid w:val="008B1757"/>
    <w:rsid w:val="008B20F3"/>
    <w:rsid w:val="008B5E32"/>
    <w:rsid w:val="008B61AB"/>
    <w:rsid w:val="008B7992"/>
    <w:rsid w:val="008B7D7E"/>
    <w:rsid w:val="008C3CBC"/>
    <w:rsid w:val="008C5610"/>
    <w:rsid w:val="008C5739"/>
    <w:rsid w:val="008C6047"/>
    <w:rsid w:val="008C67F9"/>
    <w:rsid w:val="008C6AF5"/>
    <w:rsid w:val="008C6B24"/>
    <w:rsid w:val="008C6C92"/>
    <w:rsid w:val="008C7449"/>
    <w:rsid w:val="008C7930"/>
    <w:rsid w:val="008C7ECB"/>
    <w:rsid w:val="008D1051"/>
    <w:rsid w:val="008D14BC"/>
    <w:rsid w:val="008D21B2"/>
    <w:rsid w:val="008D21CF"/>
    <w:rsid w:val="008D26CF"/>
    <w:rsid w:val="008D2D59"/>
    <w:rsid w:val="008D310E"/>
    <w:rsid w:val="008D3B86"/>
    <w:rsid w:val="008D4755"/>
    <w:rsid w:val="008D4C3D"/>
    <w:rsid w:val="008D743C"/>
    <w:rsid w:val="008D7CA0"/>
    <w:rsid w:val="008E0D3C"/>
    <w:rsid w:val="008E1B9E"/>
    <w:rsid w:val="008E28DB"/>
    <w:rsid w:val="008E3636"/>
    <w:rsid w:val="008E55AB"/>
    <w:rsid w:val="008E6F11"/>
    <w:rsid w:val="008E7106"/>
    <w:rsid w:val="008E730B"/>
    <w:rsid w:val="008E771E"/>
    <w:rsid w:val="008F120A"/>
    <w:rsid w:val="008F1926"/>
    <w:rsid w:val="008F1FA7"/>
    <w:rsid w:val="008F27E0"/>
    <w:rsid w:val="008F31A8"/>
    <w:rsid w:val="008F32DE"/>
    <w:rsid w:val="008F37AF"/>
    <w:rsid w:val="008F48EB"/>
    <w:rsid w:val="008F4F0B"/>
    <w:rsid w:val="008F5604"/>
    <w:rsid w:val="008F779A"/>
    <w:rsid w:val="009008DF"/>
    <w:rsid w:val="009032B6"/>
    <w:rsid w:val="009046C4"/>
    <w:rsid w:val="009056FA"/>
    <w:rsid w:val="009062A5"/>
    <w:rsid w:val="00907E43"/>
    <w:rsid w:val="0091025F"/>
    <w:rsid w:val="00910FA7"/>
    <w:rsid w:val="00911272"/>
    <w:rsid w:val="009118A3"/>
    <w:rsid w:val="00912AD0"/>
    <w:rsid w:val="009135D6"/>
    <w:rsid w:val="0091372D"/>
    <w:rsid w:val="00914C77"/>
    <w:rsid w:val="009152BF"/>
    <w:rsid w:val="0091546B"/>
    <w:rsid w:val="00917049"/>
    <w:rsid w:val="00917631"/>
    <w:rsid w:val="00920002"/>
    <w:rsid w:val="009203D4"/>
    <w:rsid w:val="00921ACB"/>
    <w:rsid w:val="00922BC2"/>
    <w:rsid w:val="0092369B"/>
    <w:rsid w:val="009249A4"/>
    <w:rsid w:val="0092540A"/>
    <w:rsid w:val="0092644A"/>
    <w:rsid w:val="00927E97"/>
    <w:rsid w:val="00930070"/>
    <w:rsid w:val="00930348"/>
    <w:rsid w:val="0093038C"/>
    <w:rsid w:val="0093048E"/>
    <w:rsid w:val="0093049B"/>
    <w:rsid w:val="00930CEC"/>
    <w:rsid w:val="009315DB"/>
    <w:rsid w:val="0093161B"/>
    <w:rsid w:val="00931F32"/>
    <w:rsid w:val="00932835"/>
    <w:rsid w:val="00934988"/>
    <w:rsid w:val="00936517"/>
    <w:rsid w:val="00937089"/>
    <w:rsid w:val="0094062E"/>
    <w:rsid w:val="0094097D"/>
    <w:rsid w:val="009410EE"/>
    <w:rsid w:val="00941895"/>
    <w:rsid w:val="00944F8A"/>
    <w:rsid w:val="009458EC"/>
    <w:rsid w:val="00946668"/>
    <w:rsid w:val="009510A2"/>
    <w:rsid w:val="00951256"/>
    <w:rsid w:val="00952598"/>
    <w:rsid w:val="0095296E"/>
    <w:rsid w:val="00953257"/>
    <w:rsid w:val="009538CF"/>
    <w:rsid w:val="0095474C"/>
    <w:rsid w:val="00955AF4"/>
    <w:rsid w:val="00956B0A"/>
    <w:rsid w:val="00962675"/>
    <w:rsid w:val="00962CB9"/>
    <w:rsid w:val="00962FBB"/>
    <w:rsid w:val="00963DB6"/>
    <w:rsid w:val="00964312"/>
    <w:rsid w:val="00964AE5"/>
    <w:rsid w:val="009650A5"/>
    <w:rsid w:val="00965B8A"/>
    <w:rsid w:val="0096754F"/>
    <w:rsid w:val="00967D38"/>
    <w:rsid w:val="0097071F"/>
    <w:rsid w:val="00970E96"/>
    <w:rsid w:val="00971709"/>
    <w:rsid w:val="009717AC"/>
    <w:rsid w:val="00971B8C"/>
    <w:rsid w:val="009728AA"/>
    <w:rsid w:val="0097440B"/>
    <w:rsid w:val="009749AE"/>
    <w:rsid w:val="009751C1"/>
    <w:rsid w:val="009754C7"/>
    <w:rsid w:val="00975813"/>
    <w:rsid w:val="009765D7"/>
    <w:rsid w:val="009811F1"/>
    <w:rsid w:val="009812AA"/>
    <w:rsid w:val="00981F1D"/>
    <w:rsid w:val="00983E57"/>
    <w:rsid w:val="00985DE2"/>
    <w:rsid w:val="0098675D"/>
    <w:rsid w:val="00986D56"/>
    <w:rsid w:val="00990430"/>
    <w:rsid w:val="009926E0"/>
    <w:rsid w:val="00992A63"/>
    <w:rsid w:val="00992B11"/>
    <w:rsid w:val="0099451E"/>
    <w:rsid w:val="00996353"/>
    <w:rsid w:val="00996B1A"/>
    <w:rsid w:val="00996F50"/>
    <w:rsid w:val="009A04C2"/>
    <w:rsid w:val="009A1867"/>
    <w:rsid w:val="009A192E"/>
    <w:rsid w:val="009A2D99"/>
    <w:rsid w:val="009A2DCC"/>
    <w:rsid w:val="009A3408"/>
    <w:rsid w:val="009A467F"/>
    <w:rsid w:val="009A5A8B"/>
    <w:rsid w:val="009A5ABC"/>
    <w:rsid w:val="009A7F10"/>
    <w:rsid w:val="009B0B99"/>
    <w:rsid w:val="009B2181"/>
    <w:rsid w:val="009B3E26"/>
    <w:rsid w:val="009B5D99"/>
    <w:rsid w:val="009B6545"/>
    <w:rsid w:val="009B730A"/>
    <w:rsid w:val="009B754B"/>
    <w:rsid w:val="009C2A52"/>
    <w:rsid w:val="009C3706"/>
    <w:rsid w:val="009C3971"/>
    <w:rsid w:val="009C39AA"/>
    <w:rsid w:val="009C3A3A"/>
    <w:rsid w:val="009C4FF4"/>
    <w:rsid w:val="009C5E60"/>
    <w:rsid w:val="009C5F56"/>
    <w:rsid w:val="009C6880"/>
    <w:rsid w:val="009C697D"/>
    <w:rsid w:val="009C6CEA"/>
    <w:rsid w:val="009C6ED1"/>
    <w:rsid w:val="009C75B9"/>
    <w:rsid w:val="009C7B85"/>
    <w:rsid w:val="009D0254"/>
    <w:rsid w:val="009D1A64"/>
    <w:rsid w:val="009D4990"/>
    <w:rsid w:val="009D5B91"/>
    <w:rsid w:val="009D627F"/>
    <w:rsid w:val="009D792E"/>
    <w:rsid w:val="009E07C6"/>
    <w:rsid w:val="009E0888"/>
    <w:rsid w:val="009E0DFE"/>
    <w:rsid w:val="009E31F6"/>
    <w:rsid w:val="009E471E"/>
    <w:rsid w:val="009E4C07"/>
    <w:rsid w:val="009E4E28"/>
    <w:rsid w:val="009E4F53"/>
    <w:rsid w:val="009E5E98"/>
    <w:rsid w:val="009E69C4"/>
    <w:rsid w:val="009E787C"/>
    <w:rsid w:val="009F0438"/>
    <w:rsid w:val="009F196C"/>
    <w:rsid w:val="009F2C57"/>
    <w:rsid w:val="009F457A"/>
    <w:rsid w:val="00A00DB0"/>
    <w:rsid w:val="00A01184"/>
    <w:rsid w:val="00A019F1"/>
    <w:rsid w:val="00A037C2"/>
    <w:rsid w:val="00A03D43"/>
    <w:rsid w:val="00A04278"/>
    <w:rsid w:val="00A04380"/>
    <w:rsid w:val="00A04FCB"/>
    <w:rsid w:val="00A051FB"/>
    <w:rsid w:val="00A05472"/>
    <w:rsid w:val="00A05C32"/>
    <w:rsid w:val="00A0653F"/>
    <w:rsid w:val="00A06636"/>
    <w:rsid w:val="00A07BAB"/>
    <w:rsid w:val="00A10A5F"/>
    <w:rsid w:val="00A11CD0"/>
    <w:rsid w:val="00A12948"/>
    <w:rsid w:val="00A133AC"/>
    <w:rsid w:val="00A13948"/>
    <w:rsid w:val="00A13CBD"/>
    <w:rsid w:val="00A1555B"/>
    <w:rsid w:val="00A155C5"/>
    <w:rsid w:val="00A15DDD"/>
    <w:rsid w:val="00A16AD8"/>
    <w:rsid w:val="00A16B3F"/>
    <w:rsid w:val="00A17743"/>
    <w:rsid w:val="00A201D8"/>
    <w:rsid w:val="00A21C3C"/>
    <w:rsid w:val="00A21C95"/>
    <w:rsid w:val="00A21CF3"/>
    <w:rsid w:val="00A23B57"/>
    <w:rsid w:val="00A2440E"/>
    <w:rsid w:val="00A24813"/>
    <w:rsid w:val="00A25667"/>
    <w:rsid w:val="00A25A15"/>
    <w:rsid w:val="00A25B4E"/>
    <w:rsid w:val="00A27AEC"/>
    <w:rsid w:val="00A320DB"/>
    <w:rsid w:val="00A34025"/>
    <w:rsid w:val="00A35D16"/>
    <w:rsid w:val="00A36715"/>
    <w:rsid w:val="00A36FB8"/>
    <w:rsid w:val="00A371D9"/>
    <w:rsid w:val="00A37BCD"/>
    <w:rsid w:val="00A41689"/>
    <w:rsid w:val="00A4198B"/>
    <w:rsid w:val="00A41EE9"/>
    <w:rsid w:val="00A42592"/>
    <w:rsid w:val="00A43C59"/>
    <w:rsid w:val="00A44DCE"/>
    <w:rsid w:val="00A45F6A"/>
    <w:rsid w:val="00A461C5"/>
    <w:rsid w:val="00A4628B"/>
    <w:rsid w:val="00A46476"/>
    <w:rsid w:val="00A465E4"/>
    <w:rsid w:val="00A471E3"/>
    <w:rsid w:val="00A47911"/>
    <w:rsid w:val="00A50786"/>
    <w:rsid w:val="00A507ED"/>
    <w:rsid w:val="00A50ECD"/>
    <w:rsid w:val="00A518F3"/>
    <w:rsid w:val="00A52729"/>
    <w:rsid w:val="00A52DBD"/>
    <w:rsid w:val="00A533E3"/>
    <w:rsid w:val="00A53675"/>
    <w:rsid w:val="00A536DE"/>
    <w:rsid w:val="00A53739"/>
    <w:rsid w:val="00A53832"/>
    <w:rsid w:val="00A54567"/>
    <w:rsid w:val="00A564D7"/>
    <w:rsid w:val="00A56B6A"/>
    <w:rsid w:val="00A56E51"/>
    <w:rsid w:val="00A56E9F"/>
    <w:rsid w:val="00A578DC"/>
    <w:rsid w:val="00A6039E"/>
    <w:rsid w:val="00A613D6"/>
    <w:rsid w:val="00A615B7"/>
    <w:rsid w:val="00A63EA6"/>
    <w:rsid w:val="00A640E2"/>
    <w:rsid w:val="00A64D65"/>
    <w:rsid w:val="00A6725B"/>
    <w:rsid w:val="00A7018D"/>
    <w:rsid w:val="00A70605"/>
    <w:rsid w:val="00A73134"/>
    <w:rsid w:val="00A7407F"/>
    <w:rsid w:val="00A74430"/>
    <w:rsid w:val="00A76001"/>
    <w:rsid w:val="00A777B2"/>
    <w:rsid w:val="00A80FBA"/>
    <w:rsid w:val="00A81EF0"/>
    <w:rsid w:val="00A82521"/>
    <w:rsid w:val="00A825D4"/>
    <w:rsid w:val="00A828F6"/>
    <w:rsid w:val="00A82B73"/>
    <w:rsid w:val="00A82BCF"/>
    <w:rsid w:val="00A83D73"/>
    <w:rsid w:val="00A84466"/>
    <w:rsid w:val="00A8499A"/>
    <w:rsid w:val="00A85B21"/>
    <w:rsid w:val="00A86E8B"/>
    <w:rsid w:val="00A87164"/>
    <w:rsid w:val="00A87509"/>
    <w:rsid w:val="00A879A7"/>
    <w:rsid w:val="00A91E2F"/>
    <w:rsid w:val="00A92C86"/>
    <w:rsid w:val="00A92D25"/>
    <w:rsid w:val="00A93072"/>
    <w:rsid w:val="00A938BD"/>
    <w:rsid w:val="00A93953"/>
    <w:rsid w:val="00A93FAB"/>
    <w:rsid w:val="00A940D5"/>
    <w:rsid w:val="00A94FBB"/>
    <w:rsid w:val="00A959D8"/>
    <w:rsid w:val="00A95FA6"/>
    <w:rsid w:val="00A96022"/>
    <w:rsid w:val="00A969BF"/>
    <w:rsid w:val="00A97436"/>
    <w:rsid w:val="00AA113D"/>
    <w:rsid w:val="00AA133E"/>
    <w:rsid w:val="00AA1484"/>
    <w:rsid w:val="00AA2327"/>
    <w:rsid w:val="00AA24CD"/>
    <w:rsid w:val="00AA460A"/>
    <w:rsid w:val="00AA47F2"/>
    <w:rsid w:val="00AA6BD5"/>
    <w:rsid w:val="00AA6BD8"/>
    <w:rsid w:val="00AA6C7D"/>
    <w:rsid w:val="00AA7EB5"/>
    <w:rsid w:val="00AA7FD6"/>
    <w:rsid w:val="00AB004E"/>
    <w:rsid w:val="00AB042A"/>
    <w:rsid w:val="00AB1314"/>
    <w:rsid w:val="00AB169B"/>
    <w:rsid w:val="00AB19EF"/>
    <w:rsid w:val="00AB1AF0"/>
    <w:rsid w:val="00AB1ED8"/>
    <w:rsid w:val="00AB2114"/>
    <w:rsid w:val="00AB2D34"/>
    <w:rsid w:val="00AB3430"/>
    <w:rsid w:val="00AB37B9"/>
    <w:rsid w:val="00AB427C"/>
    <w:rsid w:val="00AB4860"/>
    <w:rsid w:val="00AB4AD1"/>
    <w:rsid w:val="00AB5E07"/>
    <w:rsid w:val="00AB7CFA"/>
    <w:rsid w:val="00AC1962"/>
    <w:rsid w:val="00AC2C3C"/>
    <w:rsid w:val="00AC2D44"/>
    <w:rsid w:val="00AC55F9"/>
    <w:rsid w:val="00AC5B48"/>
    <w:rsid w:val="00AC5E75"/>
    <w:rsid w:val="00AC6B06"/>
    <w:rsid w:val="00AC7632"/>
    <w:rsid w:val="00AD1305"/>
    <w:rsid w:val="00AD1450"/>
    <w:rsid w:val="00AD294A"/>
    <w:rsid w:val="00AD2A9D"/>
    <w:rsid w:val="00AD2AE9"/>
    <w:rsid w:val="00AD30BB"/>
    <w:rsid w:val="00AD3D02"/>
    <w:rsid w:val="00AD618A"/>
    <w:rsid w:val="00AD6502"/>
    <w:rsid w:val="00AD6E35"/>
    <w:rsid w:val="00AE04C5"/>
    <w:rsid w:val="00AE0695"/>
    <w:rsid w:val="00AE2AE4"/>
    <w:rsid w:val="00AE3E7E"/>
    <w:rsid w:val="00AE65D0"/>
    <w:rsid w:val="00AE669C"/>
    <w:rsid w:val="00AE70F9"/>
    <w:rsid w:val="00AF1315"/>
    <w:rsid w:val="00AF16DE"/>
    <w:rsid w:val="00AF19BF"/>
    <w:rsid w:val="00AF2951"/>
    <w:rsid w:val="00AF2DC3"/>
    <w:rsid w:val="00AF32F7"/>
    <w:rsid w:val="00AF3D96"/>
    <w:rsid w:val="00AF755C"/>
    <w:rsid w:val="00B0050B"/>
    <w:rsid w:val="00B00D9A"/>
    <w:rsid w:val="00B01885"/>
    <w:rsid w:val="00B02322"/>
    <w:rsid w:val="00B023C0"/>
    <w:rsid w:val="00B02C86"/>
    <w:rsid w:val="00B033E5"/>
    <w:rsid w:val="00B03A63"/>
    <w:rsid w:val="00B07784"/>
    <w:rsid w:val="00B102E6"/>
    <w:rsid w:val="00B10C94"/>
    <w:rsid w:val="00B12C6E"/>
    <w:rsid w:val="00B15F6B"/>
    <w:rsid w:val="00B175C4"/>
    <w:rsid w:val="00B201A4"/>
    <w:rsid w:val="00B201D1"/>
    <w:rsid w:val="00B20248"/>
    <w:rsid w:val="00B213A6"/>
    <w:rsid w:val="00B21701"/>
    <w:rsid w:val="00B22FC1"/>
    <w:rsid w:val="00B23429"/>
    <w:rsid w:val="00B235B0"/>
    <w:rsid w:val="00B24DF6"/>
    <w:rsid w:val="00B2579A"/>
    <w:rsid w:val="00B27D28"/>
    <w:rsid w:val="00B30657"/>
    <w:rsid w:val="00B3155E"/>
    <w:rsid w:val="00B31892"/>
    <w:rsid w:val="00B321FF"/>
    <w:rsid w:val="00B33FA8"/>
    <w:rsid w:val="00B3412C"/>
    <w:rsid w:val="00B345A9"/>
    <w:rsid w:val="00B34E36"/>
    <w:rsid w:val="00B34FE2"/>
    <w:rsid w:val="00B35166"/>
    <w:rsid w:val="00B357D8"/>
    <w:rsid w:val="00B360F4"/>
    <w:rsid w:val="00B36A00"/>
    <w:rsid w:val="00B370EE"/>
    <w:rsid w:val="00B37BFC"/>
    <w:rsid w:val="00B37FE1"/>
    <w:rsid w:val="00B40358"/>
    <w:rsid w:val="00B41614"/>
    <w:rsid w:val="00B42851"/>
    <w:rsid w:val="00B42DAD"/>
    <w:rsid w:val="00B42F80"/>
    <w:rsid w:val="00B435CB"/>
    <w:rsid w:val="00B43A95"/>
    <w:rsid w:val="00B505C8"/>
    <w:rsid w:val="00B50DB8"/>
    <w:rsid w:val="00B52C56"/>
    <w:rsid w:val="00B53654"/>
    <w:rsid w:val="00B53905"/>
    <w:rsid w:val="00B54B5B"/>
    <w:rsid w:val="00B5562E"/>
    <w:rsid w:val="00B55D65"/>
    <w:rsid w:val="00B57000"/>
    <w:rsid w:val="00B60615"/>
    <w:rsid w:val="00B60939"/>
    <w:rsid w:val="00B60AFD"/>
    <w:rsid w:val="00B62715"/>
    <w:rsid w:val="00B62DF3"/>
    <w:rsid w:val="00B65611"/>
    <w:rsid w:val="00B67EF2"/>
    <w:rsid w:val="00B70E8E"/>
    <w:rsid w:val="00B71FC1"/>
    <w:rsid w:val="00B72464"/>
    <w:rsid w:val="00B74C64"/>
    <w:rsid w:val="00B766D8"/>
    <w:rsid w:val="00B76C92"/>
    <w:rsid w:val="00B80E05"/>
    <w:rsid w:val="00B818A4"/>
    <w:rsid w:val="00B81BFF"/>
    <w:rsid w:val="00B81D8F"/>
    <w:rsid w:val="00B8201B"/>
    <w:rsid w:val="00B827B1"/>
    <w:rsid w:val="00B83719"/>
    <w:rsid w:val="00B84117"/>
    <w:rsid w:val="00B84650"/>
    <w:rsid w:val="00B858F0"/>
    <w:rsid w:val="00B85AA2"/>
    <w:rsid w:val="00B8649C"/>
    <w:rsid w:val="00B8695D"/>
    <w:rsid w:val="00B8729B"/>
    <w:rsid w:val="00B87F0A"/>
    <w:rsid w:val="00B9010D"/>
    <w:rsid w:val="00B91586"/>
    <w:rsid w:val="00B92D0B"/>
    <w:rsid w:val="00B92D60"/>
    <w:rsid w:val="00B93BBC"/>
    <w:rsid w:val="00B94945"/>
    <w:rsid w:val="00B94BCF"/>
    <w:rsid w:val="00B94DD6"/>
    <w:rsid w:val="00B96D7D"/>
    <w:rsid w:val="00B96DFD"/>
    <w:rsid w:val="00B975FA"/>
    <w:rsid w:val="00B9774F"/>
    <w:rsid w:val="00BA322D"/>
    <w:rsid w:val="00BA339B"/>
    <w:rsid w:val="00BA60B4"/>
    <w:rsid w:val="00BA63FA"/>
    <w:rsid w:val="00BB00B3"/>
    <w:rsid w:val="00BB07B0"/>
    <w:rsid w:val="00BB0BDD"/>
    <w:rsid w:val="00BB12F7"/>
    <w:rsid w:val="00BB1699"/>
    <w:rsid w:val="00BB176C"/>
    <w:rsid w:val="00BB2A73"/>
    <w:rsid w:val="00BB3A45"/>
    <w:rsid w:val="00BB4ACC"/>
    <w:rsid w:val="00BB4E78"/>
    <w:rsid w:val="00BB703E"/>
    <w:rsid w:val="00BB732D"/>
    <w:rsid w:val="00BB7405"/>
    <w:rsid w:val="00BB7AF9"/>
    <w:rsid w:val="00BB7B8B"/>
    <w:rsid w:val="00BC10D3"/>
    <w:rsid w:val="00BC3631"/>
    <w:rsid w:val="00BC4807"/>
    <w:rsid w:val="00BC51FD"/>
    <w:rsid w:val="00BC591F"/>
    <w:rsid w:val="00BC5D97"/>
    <w:rsid w:val="00BC5FA4"/>
    <w:rsid w:val="00BC63A2"/>
    <w:rsid w:val="00BC66E3"/>
    <w:rsid w:val="00BC6D7C"/>
    <w:rsid w:val="00BC7D6D"/>
    <w:rsid w:val="00BD0C97"/>
    <w:rsid w:val="00BD0FFF"/>
    <w:rsid w:val="00BD2108"/>
    <w:rsid w:val="00BD4187"/>
    <w:rsid w:val="00BD4AA5"/>
    <w:rsid w:val="00BD55A8"/>
    <w:rsid w:val="00BD61D7"/>
    <w:rsid w:val="00BD68A3"/>
    <w:rsid w:val="00BD6938"/>
    <w:rsid w:val="00BD6CF3"/>
    <w:rsid w:val="00BD74EC"/>
    <w:rsid w:val="00BD7A67"/>
    <w:rsid w:val="00BD7AFC"/>
    <w:rsid w:val="00BE0ECA"/>
    <w:rsid w:val="00BE212D"/>
    <w:rsid w:val="00BE2180"/>
    <w:rsid w:val="00BE21F2"/>
    <w:rsid w:val="00BE3972"/>
    <w:rsid w:val="00BE4275"/>
    <w:rsid w:val="00BE6908"/>
    <w:rsid w:val="00BE77A6"/>
    <w:rsid w:val="00BF06AE"/>
    <w:rsid w:val="00BF0F95"/>
    <w:rsid w:val="00BF123F"/>
    <w:rsid w:val="00BF1D57"/>
    <w:rsid w:val="00BF2433"/>
    <w:rsid w:val="00BF3740"/>
    <w:rsid w:val="00BF5934"/>
    <w:rsid w:val="00BF61C9"/>
    <w:rsid w:val="00BF62EF"/>
    <w:rsid w:val="00BF6C94"/>
    <w:rsid w:val="00BF6ECD"/>
    <w:rsid w:val="00C00424"/>
    <w:rsid w:val="00C01753"/>
    <w:rsid w:val="00C03C57"/>
    <w:rsid w:val="00C0476A"/>
    <w:rsid w:val="00C1179F"/>
    <w:rsid w:val="00C12C14"/>
    <w:rsid w:val="00C12DC8"/>
    <w:rsid w:val="00C15F04"/>
    <w:rsid w:val="00C17220"/>
    <w:rsid w:val="00C179B3"/>
    <w:rsid w:val="00C17E3F"/>
    <w:rsid w:val="00C200AA"/>
    <w:rsid w:val="00C20EA1"/>
    <w:rsid w:val="00C237ED"/>
    <w:rsid w:val="00C23C08"/>
    <w:rsid w:val="00C23EF4"/>
    <w:rsid w:val="00C24632"/>
    <w:rsid w:val="00C25418"/>
    <w:rsid w:val="00C25CE7"/>
    <w:rsid w:val="00C25D9C"/>
    <w:rsid w:val="00C267B1"/>
    <w:rsid w:val="00C275C6"/>
    <w:rsid w:val="00C2778B"/>
    <w:rsid w:val="00C27B38"/>
    <w:rsid w:val="00C31467"/>
    <w:rsid w:val="00C31649"/>
    <w:rsid w:val="00C3304E"/>
    <w:rsid w:val="00C33652"/>
    <w:rsid w:val="00C340A4"/>
    <w:rsid w:val="00C3434C"/>
    <w:rsid w:val="00C351FF"/>
    <w:rsid w:val="00C36CA1"/>
    <w:rsid w:val="00C40385"/>
    <w:rsid w:val="00C41768"/>
    <w:rsid w:val="00C42745"/>
    <w:rsid w:val="00C43187"/>
    <w:rsid w:val="00C44517"/>
    <w:rsid w:val="00C44CE4"/>
    <w:rsid w:val="00C45AE6"/>
    <w:rsid w:val="00C45C99"/>
    <w:rsid w:val="00C46422"/>
    <w:rsid w:val="00C46544"/>
    <w:rsid w:val="00C4695A"/>
    <w:rsid w:val="00C475AA"/>
    <w:rsid w:val="00C47D80"/>
    <w:rsid w:val="00C53415"/>
    <w:rsid w:val="00C53C98"/>
    <w:rsid w:val="00C54953"/>
    <w:rsid w:val="00C55AC3"/>
    <w:rsid w:val="00C55BFC"/>
    <w:rsid w:val="00C56176"/>
    <w:rsid w:val="00C56285"/>
    <w:rsid w:val="00C5642D"/>
    <w:rsid w:val="00C56828"/>
    <w:rsid w:val="00C56FCF"/>
    <w:rsid w:val="00C579A8"/>
    <w:rsid w:val="00C57B6C"/>
    <w:rsid w:val="00C608EF"/>
    <w:rsid w:val="00C608FB"/>
    <w:rsid w:val="00C628A6"/>
    <w:rsid w:val="00C62BC1"/>
    <w:rsid w:val="00C64344"/>
    <w:rsid w:val="00C65108"/>
    <w:rsid w:val="00C65576"/>
    <w:rsid w:val="00C66165"/>
    <w:rsid w:val="00C7060A"/>
    <w:rsid w:val="00C71142"/>
    <w:rsid w:val="00C7151A"/>
    <w:rsid w:val="00C717E3"/>
    <w:rsid w:val="00C7197C"/>
    <w:rsid w:val="00C719FC"/>
    <w:rsid w:val="00C71F60"/>
    <w:rsid w:val="00C72241"/>
    <w:rsid w:val="00C723C2"/>
    <w:rsid w:val="00C72440"/>
    <w:rsid w:val="00C727C5"/>
    <w:rsid w:val="00C750C8"/>
    <w:rsid w:val="00C7560F"/>
    <w:rsid w:val="00C76EB1"/>
    <w:rsid w:val="00C7789E"/>
    <w:rsid w:val="00C804D9"/>
    <w:rsid w:val="00C80A0E"/>
    <w:rsid w:val="00C8213F"/>
    <w:rsid w:val="00C826DA"/>
    <w:rsid w:val="00C8363A"/>
    <w:rsid w:val="00C84605"/>
    <w:rsid w:val="00C85154"/>
    <w:rsid w:val="00C8797A"/>
    <w:rsid w:val="00C900B8"/>
    <w:rsid w:val="00C90110"/>
    <w:rsid w:val="00C90304"/>
    <w:rsid w:val="00C90535"/>
    <w:rsid w:val="00C90C71"/>
    <w:rsid w:val="00C91FD1"/>
    <w:rsid w:val="00C931CF"/>
    <w:rsid w:val="00C938CF"/>
    <w:rsid w:val="00C94053"/>
    <w:rsid w:val="00C95C9E"/>
    <w:rsid w:val="00C9624D"/>
    <w:rsid w:val="00C969DA"/>
    <w:rsid w:val="00CA2C77"/>
    <w:rsid w:val="00CA3089"/>
    <w:rsid w:val="00CA444F"/>
    <w:rsid w:val="00CA466C"/>
    <w:rsid w:val="00CA5245"/>
    <w:rsid w:val="00CA57D4"/>
    <w:rsid w:val="00CA5AC7"/>
    <w:rsid w:val="00CA71F4"/>
    <w:rsid w:val="00CA7B09"/>
    <w:rsid w:val="00CB12A5"/>
    <w:rsid w:val="00CB1CAC"/>
    <w:rsid w:val="00CB28A6"/>
    <w:rsid w:val="00CB2F2A"/>
    <w:rsid w:val="00CB31DA"/>
    <w:rsid w:val="00CB5B1A"/>
    <w:rsid w:val="00CB5F14"/>
    <w:rsid w:val="00CB6B22"/>
    <w:rsid w:val="00CB7F1F"/>
    <w:rsid w:val="00CB7F5F"/>
    <w:rsid w:val="00CC1B39"/>
    <w:rsid w:val="00CC35CB"/>
    <w:rsid w:val="00CC35EA"/>
    <w:rsid w:val="00CC3848"/>
    <w:rsid w:val="00CC650D"/>
    <w:rsid w:val="00CC658A"/>
    <w:rsid w:val="00CD0BDE"/>
    <w:rsid w:val="00CD20FA"/>
    <w:rsid w:val="00CD3F77"/>
    <w:rsid w:val="00CD4AAE"/>
    <w:rsid w:val="00CD4B9A"/>
    <w:rsid w:val="00CD4BDB"/>
    <w:rsid w:val="00CD6ADC"/>
    <w:rsid w:val="00CD7193"/>
    <w:rsid w:val="00CE0D2D"/>
    <w:rsid w:val="00CE38C8"/>
    <w:rsid w:val="00CE429A"/>
    <w:rsid w:val="00CE49BD"/>
    <w:rsid w:val="00CE6274"/>
    <w:rsid w:val="00CE77B6"/>
    <w:rsid w:val="00CF0A78"/>
    <w:rsid w:val="00CF2B16"/>
    <w:rsid w:val="00CF2B8D"/>
    <w:rsid w:val="00CF40A3"/>
    <w:rsid w:val="00CF456B"/>
    <w:rsid w:val="00CF47D5"/>
    <w:rsid w:val="00CF541D"/>
    <w:rsid w:val="00CF5A22"/>
    <w:rsid w:val="00CF6CDB"/>
    <w:rsid w:val="00D00D81"/>
    <w:rsid w:val="00D0133B"/>
    <w:rsid w:val="00D02020"/>
    <w:rsid w:val="00D0223C"/>
    <w:rsid w:val="00D02617"/>
    <w:rsid w:val="00D0262E"/>
    <w:rsid w:val="00D03552"/>
    <w:rsid w:val="00D048D8"/>
    <w:rsid w:val="00D0509D"/>
    <w:rsid w:val="00D05E3D"/>
    <w:rsid w:val="00D06139"/>
    <w:rsid w:val="00D0781D"/>
    <w:rsid w:val="00D10112"/>
    <w:rsid w:val="00D110BD"/>
    <w:rsid w:val="00D13124"/>
    <w:rsid w:val="00D13675"/>
    <w:rsid w:val="00D141E1"/>
    <w:rsid w:val="00D15314"/>
    <w:rsid w:val="00D17881"/>
    <w:rsid w:val="00D17D6C"/>
    <w:rsid w:val="00D2155B"/>
    <w:rsid w:val="00D225B2"/>
    <w:rsid w:val="00D236AC"/>
    <w:rsid w:val="00D23D11"/>
    <w:rsid w:val="00D23FBF"/>
    <w:rsid w:val="00D244B6"/>
    <w:rsid w:val="00D24C3E"/>
    <w:rsid w:val="00D2754D"/>
    <w:rsid w:val="00D27B27"/>
    <w:rsid w:val="00D32A31"/>
    <w:rsid w:val="00D32F0C"/>
    <w:rsid w:val="00D3337F"/>
    <w:rsid w:val="00D33BE9"/>
    <w:rsid w:val="00D33F87"/>
    <w:rsid w:val="00D33F93"/>
    <w:rsid w:val="00D357FF"/>
    <w:rsid w:val="00D36D37"/>
    <w:rsid w:val="00D374F0"/>
    <w:rsid w:val="00D41663"/>
    <w:rsid w:val="00D424C7"/>
    <w:rsid w:val="00D43B2A"/>
    <w:rsid w:val="00D43D83"/>
    <w:rsid w:val="00D4441E"/>
    <w:rsid w:val="00D451BF"/>
    <w:rsid w:val="00D47575"/>
    <w:rsid w:val="00D47B14"/>
    <w:rsid w:val="00D47DE1"/>
    <w:rsid w:val="00D503EC"/>
    <w:rsid w:val="00D520D2"/>
    <w:rsid w:val="00D5243B"/>
    <w:rsid w:val="00D5280C"/>
    <w:rsid w:val="00D530B6"/>
    <w:rsid w:val="00D533EC"/>
    <w:rsid w:val="00D533F7"/>
    <w:rsid w:val="00D54B41"/>
    <w:rsid w:val="00D54F97"/>
    <w:rsid w:val="00D55738"/>
    <w:rsid w:val="00D55D24"/>
    <w:rsid w:val="00D55E9A"/>
    <w:rsid w:val="00D56A95"/>
    <w:rsid w:val="00D5701F"/>
    <w:rsid w:val="00D57EC5"/>
    <w:rsid w:val="00D608CC"/>
    <w:rsid w:val="00D622A3"/>
    <w:rsid w:val="00D62D37"/>
    <w:rsid w:val="00D64C44"/>
    <w:rsid w:val="00D64EEB"/>
    <w:rsid w:val="00D6611E"/>
    <w:rsid w:val="00D664CF"/>
    <w:rsid w:val="00D6712A"/>
    <w:rsid w:val="00D7064A"/>
    <w:rsid w:val="00D70F16"/>
    <w:rsid w:val="00D715AD"/>
    <w:rsid w:val="00D72F57"/>
    <w:rsid w:val="00D74C9B"/>
    <w:rsid w:val="00D75A3A"/>
    <w:rsid w:val="00D763B2"/>
    <w:rsid w:val="00D76A44"/>
    <w:rsid w:val="00D7700A"/>
    <w:rsid w:val="00D779F0"/>
    <w:rsid w:val="00D807D4"/>
    <w:rsid w:val="00D8110D"/>
    <w:rsid w:val="00D815EF"/>
    <w:rsid w:val="00D81C4E"/>
    <w:rsid w:val="00D81F26"/>
    <w:rsid w:val="00D86231"/>
    <w:rsid w:val="00D90F50"/>
    <w:rsid w:val="00D913C1"/>
    <w:rsid w:val="00D91923"/>
    <w:rsid w:val="00D93753"/>
    <w:rsid w:val="00D94898"/>
    <w:rsid w:val="00D9532F"/>
    <w:rsid w:val="00D9633D"/>
    <w:rsid w:val="00D97DD2"/>
    <w:rsid w:val="00DA0F41"/>
    <w:rsid w:val="00DA22F7"/>
    <w:rsid w:val="00DA3167"/>
    <w:rsid w:val="00DA4A92"/>
    <w:rsid w:val="00DA4DC3"/>
    <w:rsid w:val="00DA6A13"/>
    <w:rsid w:val="00DA77A5"/>
    <w:rsid w:val="00DB0A27"/>
    <w:rsid w:val="00DB2A46"/>
    <w:rsid w:val="00DB3DBF"/>
    <w:rsid w:val="00DB40F0"/>
    <w:rsid w:val="00DB484F"/>
    <w:rsid w:val="00DB58B9"/>
    <w:rsid w:val="00DB6767"/>
    <w:rsid w:val="00DB76DC"/>
    <w:rsid w:val="00DC0057"/>
    <w:rsid w:val="00DC04F6"/>
    <w:rsid w:val="00DC0690"/>
    <w:rsid w:val="00DC1D65"/>
    <w:rsid w:val="00DC3C57"/>
    <w:rsid w:val="00DC465F"/>
    <w:rsid w:val="00DC5501"/>
    <w:rsid w:val="00DC6A35"/>
    <w:rsid w:val="00DC7154"/>
    <w:rsid w:val="00DC7E8A"/>
    <w:rsid w:val="00DD01DF"/>
    <w:rsid w:val="00DD0CA1"/>
    <w:rsid w:val="00DD0EAC"/>
    <w:rsid w:val="00DD0F78"/>
    <w:rsid w:val="00DD273C"/>
    <w:rsid w:val="00DD3067"/>
    <w:rsid w:val="00DD3F28"/>
    <w:rsid w:val="00DD4537"/>
    <w:rsid w:val="00DD4E15"/>
    <w:rsid w:val="00DD50A0"/>
    <w:rsid w:val="00DD74DA"/>
    <w:rsid w:val="00DE092C"/>
    <w:rsid w:val="00DE0F90"/>
    <w:rsid w:val="00DE1BA7"/>
    <w:rsid w:val="00DE2304"/>
    <w:rsid w:val="00DE3138"/>
    <w:rsid w:val="00DE37F8"/>
    <w:rsid w:val="00DE392B"/>
    <w:rsid w:val="00DE4FCB"/>
    <w:rsid w:val="00DE5D07"/>
    <w:rsid w:val="00DE63B2"/>
    <w:rsid w:val="00DE6B30"/>
    <w:rsid w:val="00DE72A7"/>
    <w:rsid w:val="00DE7832"/>
    <w:rsid w:val="00DF0B63"/>
    <w:rsid w:val="00DF18FC"/>
    <w:rsid w:val="00DF2A3D"/>
    <w:rsid w:val="00DF3C9A"/>
    <w:rsid w:val="00DF4683"/>
    <w:rsid w:val="00DF59EF"/>
    <w:rsid w:val="00DF5D2B"/>
    <w:rsid w:val="00DF7472"/>
    <w:rsid w:val="00E00E8E"/>
    <w:rsid w:val="00E01409"/>
    <w:rsid w:val="00E01655"/>
    <w:rsid w:val="00E01E0C"/>
    <w:rsid w:val="00E027E2"/>
    <w:rsid w:val="00E0311E"/>
    <w:rsid w:val="00E03DC6"/>
    <w:rsid w:val="00E041C1"/>
    <w:rsid w:val="00E0451F"/>
    <w:rsid w:val="00E05630"/>
    <w:rsid w:val="00E06B32"/>
    <w:rsid w:val="00E06DBB"/>
    <w:rsid w:val="00E10149"/>
    <w:rsid w:val="00E11340"/>
    <w:rsid w:val="00E122A1"/>
    <w:rsid w:val="00E12377"/>
    <w:rsid w:val="00E1289B"/>
    <w:rsid w:val="00E13438"/>
    <w:rsid w:val="00E15420"/>
    <w:rsid w:val="00E16372"/>
    <w:rsid w:val="00E20A6F"/>
    <w:rsid w:val="00E20E4D"/>
    <w:rsid w:val="00E20ED6"/>
    <w:rsid w:val="00E212B1"/>
    <w:rsid w:val="00E21358"/>
    <w:rsid w:val="00E219ED"/>
    <w:rsid w:val="00E2249B"/>
    <w:rsid w:val="00E22A0D"/>
    <w:rsid w:val="00E244F6"/>
    <w:rsid w:val="00E2512A"/>
    <w:rsid w:val="00E25798"/>
    <w:rsid w:val="00E2746F"/>
    <w:rsid w:val="00E2771E"/>
    <w:rsid w:val="00E30DEB"/>
    <w:rsid w:val="00E311EF"/>
    <w:rsid w:val="00E316F3"/>
    <w:rsid w:val="00E32180"/>
    <w:rsid w:val="00E3364C"/>
    <w:rsid w:val="00E33B5C"/>
    <w:rsid w:val="00E34948"/>
    <w:rsid w:val="00E366FE"/>
    <w:rsid w:val="00E37569"/>
    <w:rsid w:val="00E401B2"/>
    <w:rsid w:val="00E41E30"/>
    <w:rsid w:val="00E42747"/>
    <w:rsid w:val="00E42F73"/>
    <w:rsid w:val="00E431A0"/>
    <w:rsid w:val="00E43D70"/>
    <w:rsid w:val="00E444B2"/>
    <w:rsid w:val="00E44B44"/>
    <w:rsid w:val="00E45412"/>
    <w:rsid w:val="00E45551"/>
    <w:rsid w:val="00E466F3"/>
    <w:rsid w:val="00E46C10"/>
    <w:rsid w:val="00E47B2C"/>
    <w:rsid w:val="00E50A35"/>
    <w:rsid w:val="00E51560"/>
    <w:rsid w:val="00E52A48"/>
    <w:rsid w:val="00E53FC8"/>
    <w:rsid w:val="00E54347"/>
    <w:rsid w:val="00E55424"/>
    <w:rsid w:val="00E55915"/>
    <w:rsid w:val="00E55BB5"/>
    <w:rsid w:val="00E61AED"/>
    <w:rsid w:val="00E62FAE"/>
    <w:rsid w:val="00E65745"/>
    <w:rsid w:val="00E65E79"/>
    <w:rsid w:val="00E6653C"/>
    <w:rsid w:val="00E66BA2"/>
    <w:rsid w:val="00E67416"/>
    <w:rsid w:val="00E716A7"/>
    <w:rsid w:val="00E718B6"/>
    <w:rsid w:val="00E71CEF"/>
    <w:rsid w:val="00E71D0C"/>
    <w:rsid w:val="00E71ECD"/>
    <w:rsid w:val="00E723BA"/>
    <w:rsid w:val="00E7264E"/>
    <w:rsid w:val="00E73581"/>
    <w:rsid w:val="00E74F6C"/>
    <w:rsid w:val="00E74FA8"/>
    <w:rsid w:val="00E814DE"/>
    <w:rsid w:val="00E81EAB"/>
    <w:rsid w:val="00E829F9"/>
    <w:rsid w:val="00E833F7"/>
    <w:rsid w:val="00E83BDF"/>
    <w:rsid w:val="00E841F1"/>
    <w:rsid w:val="00E85CEA"/>
    <w:rsid w:val="00E86946"/>
    <w:rsid w:val="00E86C50"/>
    <w:rsid w:val="00E87A1D"/>
    <w:rsid w:val="00E9094A"/>
    <w:rsid w:val="00E90979"/>
    <w:rsid w:val="00E91A98"/>
    <w:rsid w:val="00E91D35"/>
    <w:rsid w:val="00E91E23"/>
    <w:rsid w:val="00E926A5"/>
    <w:rsid w:val="00E952AB"/>
    <w:rsid w:val="00E95402"/>
    <w:rsid w:val="00E968A4"/>
    <w:rsid w:val="00EA0922"/>
    <w:rsid w:val="00EA17C3"/>
    <w:rsid w:val="00EA25B3"/>
    <w:rsid w:val="00EA2CAA"/>
    <w:rsid w:val="00EA304A"/>
    <w:rsid w:val="00EA3864"/>
    <w:rsid w:val="00EA3D8A"/>
    <w:rsid w:val="00EA459D"/>
    <w:rsid w:val="00EA4BC6"/>
    <w:rsid w:val="00EA5062"/>
    <w:rsid w:val="00EA7F1C"/>
    <w:rsid w:val="00EB00C4"/>
    <w:rsid w:val="00EB0D89"/>
    <w:rsid w:val="00EB15B6"/>
    <w:rsid w:val="00EB19C9"/>
    <w:rsid w:val="00EB1E90"/>
    <w:rsid w:val="00EB3D06"/>
    <w:rsid w:val="00EB40AC"/>
    <w:rsid w:val="00EB4886"/>
    <w:rsid w:val="00EB4916"/>
    <w:rsid w:val="00EC00C9"/>
    <w:rsid w:val="00EC0DD9"/>
    <w:rsid w:val="00EC118A"/>
    <w:rsid w:val="00EC1B91"/>
    <w:rsid w:val="00EC2649"/>
    <w:rsid w:val="00EC31ED"/>
    <w:rsid w:val="00EC32E7"/>
    <w:rsid w:val="00EC3B5F"/>
    <w:rsid w:val="00EC5836"/>
    <w:rsid w:val="00EC5F05"/>
    <w:rsid w:val="00EC688C"/>
    <w:rsid w:val="00EC7E9E"/>
    <w:rsid w:val="00ED0B8E"/>
    <w:rsid w:val="00ED39BC"/>
    <w:rsid w:val="00ED4285"/>
    <w:rsid w:val="00ED4532"/>
    <w:rsid w:val="00ED50C9"/>
    <w:rsid w:val="00ED57EA"/>
    <w:rsid w:val="00ED5BD4"/>
    <w:rsid w:val="00ED71C1"/>
    <w:rsid w:val="00EE0093"/>
    <w:rsid w:val="00EE07D3"/>
    <w:rsid w:val="00EE0EBF"/>
    <w:rsid w:val="00EE1996"/>
    <w:rsid w:val="00EE1C01"/>
    <w:rsid w:val="00EE1E26"/>
    <w:rsid w:val="00EE22AF"/>
    <w:rsid w:val="00EE3CBB"/>
    <w:rsid w:val="00EE44A7"/>
    <w:rsid w:val="00EE7B60"/>
    <w:rsid w:val="00EF0171"/>
    <w:rsid w:val="00EF1B25"/>
    <w:rsid w:val="00EF1DA0"/>
    <w:rsid w:val="00EF2205"/>
    <w:rsid w:val="00EF2852"/>
    <w:rsid w:val="00EF39D5"/>
    <w:rsid w:val="00EF4047"/>
    <w:rsid w:val="00EF4747"/>
    <w:rsid w:val="00EF4BF8"/>
    <w:rsid w:val="00EF4D8C"/>
    <w:rsid w:val="00EF4E8D"/>
    <w:rsid w:val="00EF4FFA"/>
    <w:rsid w:val="00EF5CEB"/>
    <w:rsid w:val="00EF61C5"/>
    <w:rsid w:val="00EF7679"/>
    <w:rsid w:val="00EF7712"/>
    <w:rsid w:val="00F00140"/>
    <w:rsid w:val="00F01225"/>
    <w:rsid w:val="00F012F9"/>
    <w:rsid w:val="00F02253"/>
    <w:rsid w:val="00F0227C"/>
    <w:rsid w:val="00F03C2E"/>
    <w:rsid w:val="00F04A66"/>
    <w:rsid w:val="00F04B4B"/>
    <w:rsid w:val="00F0516C"/>
    <w:rsid w:val="00F05324"/>
    <w:rsid w:val="00F067A2"/>
    <w:rsid w:val="00F06D7A"/>
    <w:rsid w:val="00F0797A"/>
    <w:rsid w:val="00F07B9E"/>
    <w:rsid w:val="00F10EDE"/>
    <w:rsid w:val="00F1116F"/>
    <w:rsid w:val="00F118CB"/>
    <w:rsid w:val="00F1263A"/>
    <w:rsid w:val="00F1559A"/>
    <w:rsid w:val="00F15B77"/>
    <w:rsid w:val="00F17065"/>
    <w:rsid w:val="00F21752"/>
    <w:rsid w:val="00F220B2"/>
    <w:rsid w:val="00F2240D"/>
    <w:rsid w:val="00F22FCB"/>
    <w:rsid w:val="00F24837"/>
    <w:rsid w:val="00F2575F"/>
    <w:rsid w:val="00F26CB9"/>
    <w:rsid w:val="00F27565"/>
    <w:rsid w:val="00F278D9"/>
    <w:rsid w:val="00F310D4"/>
    <w:rsid w:val="00F312E2"/>
    <w:rsid w:val="00F31D5A"/>
    <w:rsid w:val="00F33975"/>
    <w:rsid w:val="00F33DE9"/>
    <w:rsid w:val="00F344A9"/>
    <w:rsid w:val="00F35903"/>
    <w:rsid w:val="00F35E6D"/>
    <w:rsid w:val="00F3619A"/>
    <w:rsid w:val="00F36F17"/>
    <w:rsid w:val="00F37647"/>
    <w:rsid w:val="00F40AAA"/>
    <w:rsid w:val="00F40BA7"/>
    <w:rsid w:val="00F40F9D"/>
    <w:rsid w:val="00F41ACD"/>
    <w:rsid w:val="00F41C55"/>
    <w:rsid w:val="00F43923"/>
    <w:rsid w:val="00F440E1"/>
    <w:rsid w:val="00F4418D"/>
    <w:rsid w:val="00F4552C"/>
    <w:rsid w:val="00F4605F"/>
    <w:rsid w:val="00F46CB6"/>
    <w:rsid w:val="00F4756D"/>
    <w:rsid w:val="00F47CFE"/>
    <w:rsid w:val="00F47DE8"/>
    <w:rsid w:val="00F5034A"/>
    <w:rsid w:val="00F51DCF"/>
    <w:rsid w:val="00F52132"/>
    <w:rsid w:val="00F53778"/>
    <w:rsid w:val="00F53C46"/>
    <w:rsid w:val="00F542C1"/>
    <w:rsid w:val="00F55E73"/>
    <w:rsid w:val="00F55EDA"/>
    <w:rsid w:val="00F56C80"/>
    <w:rsid w:val="00F56FF0"/>
    <w:rsid w:val="00F57676"/>
    <w:rsid w:val="00F60092"/>
    <w:rsid w:val="00F615D3"/>
    <w:rsid w:val="00F61C18"/>
    <w:rsid w:val="00F6341B"/>
    <w:rsid w:val="00F63F64"/>
    <w:rsid w:val="00F64C38"/>
    <w:rsid w:val="00F65769"/>
    <w:rsid w:val="00F65B39"/>
    <w:rsid w:val="00F65F4B"/>
    <w:rsid w:val="00F67499"/>
    <w:rsid w:val="00F677BA"/>
    <w:rsid w:val="00F67A69"/>
    <w:rsid w:val="00F70BFF"/>
    <w:rsid w:val="00F70C9D"/>
    <w:rsid w:val="00F7293C"/>
    <w:rsid w:val="00F72C9F"/>
    <w:rsid w:val="00F739C2"/>
    <w:rsid w:val="00F74CD9"/>
    <w:rsid w:val="00F7777B"/>
    <w:rsid w:val="00F80A7B"/>
    <w:rsid w:val="00F80C4F"/>
    <w:rsid w:val="00F80E5D"/>
    <w:rsid w:val="00F81E78"/>
    <w:rsid w:val="00F8268A"/>
    <w:rsid w:val="00F851CE"/>
    <w:rsid w:val="00F869FB"/>
    <w:rsid w:val="00F91219"/>
    <w:rsid w:val="00F92444"/>
    <w:rsid w:val="00F9393E"/>
    <w:rsid w:val="00F93CC3"/>
    <w:rsid w:val="00F9647F"/>
    <w:rsid w:val="00F9696E"/>
    <w:rsid w:val="00F96FD0"/>
    <w:rsid w:val="00F97A78"/>
    <w:rsid w:val="00FA0B20"/>
    <w:rsid w:val="00FA24E7"/>
    <w:rsid w:val="00FA4C31"/>
    <w:rsid w:val="00FA5743"/>
    <w:rsid w:val="00FA5EE6"/>
    <w:rsid w:val="00FA6E01"/>
    <w:rsid w:val="00FA7956"/>
    <w:rsid w:val="00FB07AE"/>
    <w:rsid w:val="00FB08BE"/>
    <w:rsid w:val="00FB0C34"/>
    <w:rsid w:val="00FB101F"/>
    <w:rsid w:val="00FB2FCB"/>
    <w:rsid w:val="00FB51E8"/>
    <w:rsid w:val="00FB5282"/>
    <w:rsid w:val="00FB7808"/>
    <w:rsid w:val="00FB7C55"/>
    <w:rsid w:val="00FC1074"/>
    <w:rsid w:val="00FC1884"/>
    <w:rsid w:val="00FC1C58"/>
    <w:rsid w:val="00FC2DE4"/>
    <w:rsid w:val="00FC3332"/>
    <w:rsid w:val="00FC371D"/>
    <w:rsid w:val="00FC3EE3"/>
    <w:rsid w:val="00FC5E5D"/>
    <w:rsid w:val="00FC5F0B"/>
    <w:rsid w:val="00FC65BD"/>
    <w:rsid w:val="00FC6692"/>
    <w:rsid w:val="00FC7087"/>
    <w:rsid w:val="00FC736F"/>
    <w:rsid w:val="00FD2100"/>
    <w:rsid w:val="00FD421F"/>
    <w:rsid w:val="00FD436C"/>
    <w:rsid w:val="00FD446D"/>
    <w:rsid w:val="00FD4A80"/>
    <w:rsid w:val="00FD4F2C"/>
    <w:rsid w:val="00FD6394"/>
    <w:rsid w:val="00FE0E6C"/>
    <w:rsid w:val="00FE1B1F"/>
    <w:rsid w:val="00FE1CDC"/>
    <w:rsid w:val="00FE3C0C"/>
    <w:rsid w:val="00FE45D3"/>
    <w:rsid w:val="00FE59E4"/>
    <w:rsid w:val="00FE613C"/>
    <w:rsid w:val="00FE6CB5"/>
    <w:rsid w:val="00FE70C3"/>
    <w:rsid w:val="00FF16EE"/>
    <w:rsid w:val="00FF175F"/>
    <w:rsid w:val="00FF2AD9"/>
    <w:rsid w:val="00FF2D52"/>
    <w:rsid w:val="00FF2E64"/>
    <w:rsid w:val="00FF359F"/>
    <w:rsid w:val="00FF3DCF"/>
    <w:rsid w:val="00FF492C"/>
    <w:rsid w:val="00FF4A21"/>
    <w:rsid w:val="00FF5AA3"/>
    <w:rsid w:val="00FF5AD8"/>
    <w:rsid w:val="00FF6026"/>
    <w:rsid w:val="00FF6835"/>
    <w:rsid w:val="00FF79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B68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595"/>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8E5"/>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7818E5"/>
    <w:rPr>
      <w:rFonts w:ascii="Calibri" w:hAnsi="Calibri" w:cs="Arial"/>
      <w:sz w:val="24"/>
      <w:szCs w:val="24"/>
      <w:u w:val="single"/>
    </w:rPr>
  </w:style>
  <w:style w:type="character" w:customStyle="1" w:styleId="Heading4Char">
    <w:name w:val="Heading 4 Char"/>
    <w:basedOn w:val="DefaultParagraphFont"/>
    <w:link w:val="Heading4"/>
    <w:rsid w:val="007818E5"/>
    <w:rPr>
      <w:rFonts w:ascii="Calibri" w:hAnsi="Calibri" w:cs="Arial"/>
      <w:b/>
      <w:bCs/>
      <w:i/>
      <w:sz w:val="26"/>
      <w:szCs w:val="28"/>
    </w:rPr>
  </w:style>
  <w:style w:type="character" w:customStyle="1" w:styleId="Heading5Char">
    <w:name w:val="Heading 5 Char"/>
    <w:basedOn w:val="DefaultParagraphFont"/>
    <w:link w:val="Heading5"/>
    <w:rsid w:val="007818E5"/>
    <w:rPr>
      <w:rFonts w:ascii="Calibri" w:hAnsi="Calibri" w:cs="Arial"/>
      <w:b/>
      <w:bCs/>
      <w:iCs/>
      <w:sz w:val="26"/>
      <w:szCs w:val="26"/>
    </w:rPr>
  </w:style>
  <w:style w:type="character" w:customStyle="1" w:styleId="Heading6Char">
    <w:name w:val="Heading 6 Char"/>
    <w:basedOn w:val="DefaultParagraphFont"/>
    <w:link w:val="Heading6"/>
    <w:rsid w:val="007818E5"/>
    <w:rPr>
      <w:rFonts w:ascii="Calibri" w:hAnsi="Calibri" w:cs="Arial"/>
      <w:b/>
      <w:bCs/>
      <w:i/>
      <w:sz w:val="24"/>
      <w:szCs w:val="24"/>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uiPriority w:val="99"/>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uiPriority w:val="99"/>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5C17A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5C17A9"/>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iPriority w:val="99"/>
    <w:semiHidden/>
    <w:unhideWhenUsed/>
    <w:rsid w:val="00EE1996"/>
    <w:pPr>
      <w:numPr>
        <w:numId w:val="3"/>
      </w:numPr>
      <w:contextualSpacing/>
    </w:pPr>
  </w:style>
  <w:style w:type="paragraph" w:styleId="Header">
    <w:name w:val="header"/>
    <w:basedOn w:val="Normal"/>
    <w:link w:val="HeaderChar"/>
    <w:uiPriority w:val="99"/>
    <w:unhideWhenUsed/>
    <w:qFormat/>
    <w:rsid w:val="00C23C08"/>
    <w:pPr>
      <w:tabs>
        <w:tab w:val="center" w:pos="4513"/>
        <w:tab w:val="right" w:pos="9026"/>
      </w:tabs>
    </w:pPr>
  </w:style>
  <w:style w:type="character" w:customStyle="1" w:styleId="HeaderChar">
    <w:name w:val="Header Char"/>
    <w:basedOn w:val="DefaultParagraphFont"/>
    <w:link w:val="Header"/>
    <w:uiPriority w:val="99"/>
    <w:rsid w:val="00C23C08"/>
    <w:rPr>
      <w:rFonts w:ascii="Calibri" w:hAnsi="Calibri" w:cs="Arial"/>
      <w:sz w:val="24"/>
      <w:szCs w:val="24"/>
    </w:rPr>
  </w:style>
  <w:style w:type="paragraph" w:styleId="Footer">
    <w:name w:val="footer"/>
    <w:basedOn w:val="Normal"/>
    <w:link w:val="FooterChar"/>
    <w:uiPriority w:val="99"/>
    <w:unhideWhenUsed/>
    <w:rsid w:val="00C23C08"/>
    <w:pPr>
      <w:tabs>
        <w:tab w:val="center" w:pos="4513"/>
        <w:tab w:val="right" w:pos="9026"/>
      </w:tabs>
    </w:pPr>
  </w:style>
  <w:style w:type="character" w:customStyle="1" w:styleId="FooterChar">
    <w:name w:val="Footer Char"/>
    <w:basedOn w:val="DefaultParagraphFont"/>
    <w:link w:val="Footer"/>
    <w:uiPriority w:val="99"/>
    <w:rsid w:val="00C23C08"/>
    <w:rPr>
      <w:rFonts w:ascii="Calibri" w:hAnsi="Calibri" w:cs="Arial"/>
      <w:sz w:val="24"/>
      <w:szCs w:val="24"/>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
    <w:basedOn w:val="Normal"/>
    <w:link w:val="ListParagraphChar"/>
    <w:uiPriority w:val="34"/>
    <w:qFormat/>
    <w:rsid w:val="00D17881"/>
    <w:pPr>
      <w:ind w:left="720"/>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D17881"/>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E71ECD"/>
    <w:rPr>
      <w:sz w:val="16"/>
      <w:szCs w:val="16"/>
    </w:rPr>
  </w:style>
  <w:style w:type="paragraph" w:styleId="CommentText">
    <w:name w:val="annotation text"/>
    <w:basedOn w:val="Normal"/>
    <w:link w:val="CommentTextChar"/>
    <w:uiPriority w:val="99"/>
    <w:unhideWhenUsed/>
    <w:rsid w:val="00E71ECD"/>
    <w:rPr>
      <w:sz w:val="20"/>
      <w:szCs w:val="20"/>
    </w:rPr>
  </w:style>
  <w:style w:type="character" w:customStyle="1" w:styleId="CommentTextChar">
    <w:name w:val="Comment Text Char"/>
    <w:basedOn w:val="DefaultParagraphFont"/>
    <w:link w:val="CommentText"/>
    <w:uiPriority w:val="99"/>
    <w:rsid w:val="00E71ECD"/>
    <w:rPr>
      <w:rFonts w:ascii="Calibri" w:hAnsi="Calibri" w:cs="Arial"/>
    </w:rPr>
  </w:style>
  <w:style w:type="paragraph" w:styleId="CommentSubject">
    <w:name w:val="annotation subject"/>
    <w:basedOn w:val="CommentText"/>
    <w:next w:val="CommentText"/>
    <w:link w:val="CommentSubjectChar"/>
    <w:uiPriority w:val="99"/>
    <w:semiHidden/>
    <w:unhideWhenUsed/>
    <w:rsid w:val="00E71ECD"/>
    <w:rPr>
      <w:b/>
      <w:bCs/>
    </w:rPr>
  </w:style>
  <w:style w:type="character" w:customStyle="1" w:styleId="CommentSubjectChar">
    <w:name w:val="Comment Subject Char"/>
    <w:basedOn w:val="CommentTextChar"/>
    <w:link w:val="CommentSubject"/>
    <w:uiPriority w:val="99"/>
    <w:semiHidden/>
    <w:rsid w:val="00E71ECD"/>
    <w:rPr>
      <w:rFonts w:ascii="Calibri" w:hAnsi="Calibri" w:cs="Arial"/>
      <w:b/>
      <w:bCs/>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Q"/>
    <w:basedOn w:val="Normal"/>
    <w:next w:val="Normal"/>
    <w:link w:val="CaptionChar"/>
    <w:uiPriority w:val="35"/>
    <w:unhideWhenUsed/>
    <w:qFormat/>
    <w:rsid w:val="0019123B"/>
    <w:pPr>
      <w:keepNext/>
      <w:keepLines/>
      <w:spacing w:after="200"/>
      <w:jc w:val="left"/>
    </w:pPr>
    <w:rPr>
      <w:rFonts w:ascii="Arial" w:eastAsiaTheme="minorHAnsi" w:hAnsi="Arial" w:cstheme="minorBidi"/>
      <w:b/>
      <w:iCs/>
      <w:color w:val="000000" w:themeColor="text1"/>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Char"/>
    <w:link w:val="Caption"/>
    <w:uiPriority w:val="35"/>
    <w:locked/>
    <w:rsid w:val="0019123B"/>
    <w:rPr>
      <w:rFonts w:ascii="Arial" w:eastAsiaTheme="minorHAnsi" w:hAnsi="Arial" w:cstheme="minorBidi"/>
      <w:b/>
      <w:iCs/>
      <w:color w:val="000000" w:themeColor="text1"/>
      <w:sz w:val="22"/>
      <w:szCs w:val="18"/>
      <w:lang w:eastAsia="en-US"/>
    </w:rPr>
  </w:style>
  <w:style w:type="paragraph" w:customStyle="1" w:styleId="TableHeading">
    <w:name w:val="Table Heading"/>
    <w:basedOn w:val="TableText"/>
    <w:link w:val="TableHeadingChar"/>
    <w:qFormat/>
    <w:rsid w:val="0019123B"/>
    <w:pPr>
      <w:keepLines/>
      <w:spacing w:before="20" w:after="20" w:line="276" w:lineRule="auto"/>
    </w:pPr>
    <w:rPr>
      <w:rFonts w:cs="Arial"/>
      <w:b/>
      <w:bCs w:val="0"/>
      <w:szCs w:val="20"/>
      <w:lang w:bidi="en-US"/>
    </w:rPr>
  </w:style>
  <w:style w:type="character" w:customStyle="1" w:styleId="TableHeadingChar">
    <w:name w:val="Table Heading Char"/>
    <w:link w:val="TableHeading"/>
    <w:rsid w:val="00D94898"/>
    <w:rPr>
      <w:rFonts w:ascii="Arial Narrow" w:eastAsiaTheme="majorEastAsia" w:hAnsi="Arial Narrow" w:cs="Arial"/>
      <w:b/>
      <w:lang w:bidi="en-US"/>
    </w:rPr>
  </w:style>
  <w:style w:type="paragraph" w:customStyle="1" w:styleId="TableBullet">
    <w:name w:val="Table Bullet"/>
    <w:basedOn w:val="TableText"/>
    <w:qFormat/>
    <w:rsid w:val="0019123B"/>
    <w:pPr>
      <w:keepNext w:val="0"/>
      <w:numPr>
        <w:numId w:val="7"/>
      </w:numPr>
      <w:spacing w:before="20" w:after="20" w:line="276" w:lineRule="auto"/>
      <w:ind w:left="284" w:hanging="284"/>
    </w:pPr>
    <w:rPr>
      <w:rFonts w:cs="Arial"/>
      <w:bCs w:val="0"/>
      <w:szCs w:val="20"/>
      <w:lang w:bidi="en-US"/>
    </w:rPr>
  </w:style>
  <w:style w:type="paragraph" w:customStyle="1" w:styleId="Tablenotes">
    <w:name w:val="Tablenotes"/>
    <w:basedOn w:val="Normal"/>
    <w:link w:val="TablenotesChar"/>
    <w:qFormat/>
    <w:rsid w:val="0019123B"/>
    <w:pPr>
      <w:widowControl w:val="0"/>
      <w:spacing w:after="360" w:line="269" w:lineRule="auto"/>
      <w:contextualSpacing/>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19123B"/>
    <w:rPr>
      <w:rFonts w:ascii="Arial Narrow" w:hAnsi="Arial Narrow" w:cs="Arial"/>
      <w:snapToGrid w:val="0"/>
      <w:sz w:val="18"/>
      <w:lang w:eastAsia="en-US"/>
    </w:rPr>
  </w:style>
  <w:style w:type="paragraph" w:customStyle="1" w:styleId="TableFooter">
    <w:name w:val="Table Footer"/>
    <w:basedOn w:val="Normal"/>
    <w:link w:val="TableFooterChar"/>
    <w:qFormat/>
    <w:rsid w:val="001D5927"/>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1D5927"/>
    <w:rPr>
      <w:rFonts w:ascii="Arial Narrow" w:hAnsi="Arial Narrow" w:cs="Arial"/>
      <w:snapToGrid w:val="0"/>
      <w:sz w:val="18"/>
      <w:lang w:eastAsia="en-US"/>
    </w:rPr>
  </w:style>
  <w:style w:type="paragraph" w:customStyle="1" w:styleId="Tabletextcentred">
    <w:name w:val="Table text centred"/>
    <w:basedOn w:val="Normal"/>
    <w:link w:val="TabletextcentredChar"/>
    <w:qFormat/>
    <w:rsid w:val="00A07BAB"/>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A07BAB"/>
    <w:rPr>
      <w:rFonts w:ascii="Arial Narrow" w:hAnsi="Arial Narrow" w:cs="Arial Narrow"/>
      <w:lang w:eastAsia="en-US"/>
    </w:rPr>
  </w:style>
  <w:style w:type="table" w:customStyle="1" w:styleId="Summarybox2">
    <w:name w:val="Summary box2"/>
    <w:basedOn w:val="TableNormal"/>
    <w:next w:val="TableGrid"/>
    <w:uiPriority w:val="59"/>
    <w:rsid w:val="0056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084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001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2C00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V50Instructions">
    <w:name w:val="V5.0 Instructions"/>
    <w:basedOn w:val="Normal"/>
    <w:link w:val="V50InstructionsChar"/>
    <w:qFormat/>
    <w:rsid w:val="001F77AB"/>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1F77AB"/>
    <w:rPr>
      <w:rFonts w:asciiTheme="minorHAnsi" w:eastAsiaTheme="minorHAnsi" w:hAnsiTheme="minorHAnsi" w:cstheme="minorBidi"/>
      <w:color w:val="4BACC6" w:themeColor="accent5"/>
      <w:sz w:val="24"/>
      <w:szCs w:val="22"/>
      <w:lang w:eastAsia="en-US"/>
    </w:rPr>
  </w:style>
  <w:style w:type="table" w:customStyle="1" w:styleId="Summarybox8">
    <w:name w:val="Summary box8"/>
    <w:basedOn w:val="TableNormal"/>
    <w:next w:val="TableGrid"/>
    <w:uiPriority w:val="39"/>
    <w:rsid w:val="00F80C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uiPriority w:val="99"/>
    <w:qFormat/>
    <w:rsid w:val="00290FE1"/>
    <w:pPr>
      <w:jc w:val="left"/>
    </w:pPr>
    <w:rPr>
      <w:rFonts w:ascii="Arial Narrow" w:hAnsi="Arial Narrow" w:cs="Times New Roman"/>
      <w:snapToGrid w:val="0"/>
      <w:sz w:val="20"/>
    </w:rPr>
  </w:style>
  <w:style w:type="character" w:customStyle="1" w:styleId="TabletextChar0">
    <w:name w:val="Table text Char"/>
    <w:link w:val="Tabletext0"/>
    <w:uiPriority w:val="99"/>
    <w:rsid w:val="00290FE1"/>
    <w:rPr>
      <w:rFonts w:ascii="Arial Narrow" w:hAnsi="Arial Narrow"/>
      <w:snapToGrid w:val="0"/>
      <w:szCs w:val="24"/>
    </w:rPr>
  </w:style>
  <w:style w:type="character" w:customStyle="1" w:styleId="PBACTableTextChar">
    <w:name w:val="PBAC Table Text Char"/>
    <w:basedOn w:val="DefaultParagraphFont"/>
    <w:link w:val="PBACTableText"/>
    <w:locked/>
    <w:rsid w:val="00AB169B"/>
    <w:rPr>
      <w:rFonts w:ascii="Arial Narrow" w:hAnsi="Arial Narrow"/>
    </w:rPr>
  </w:style>
  <w:style w:type="paragraph" w:customStyle="1" w:styleId="PBACTableText">
    <w:name w:val="PBAC Table Text"/>
    <w:basedOn w:val="Normal"/>
    <w:link w:val="PBACTableTextChar"/>
    <w:qFormat/>
    <w:rsid w:val="00AB169B"/>
    <w:pPr>
      <w:spacing w:before="40" w:after="40"/>
    </w:pPr>
    <w:rPr>
      <w:rFonts w:ascii="Arial Narrow" w:hAnsi="Arial Narrow" w:cs="Times New Roman"/>
      <w:sz w:val="20"/>
      <w:szCs w:val="20"/>
    </w:rPr>
  </w:style>
  <w:style w:type="paragraph" w:customStyle="1" w:styleId="TableText1">
    <w:name w:val="TableText"/>
    <w:basedOn w:val="Normal"/>
    <w:uiPriority w:val="99"/>
    <w:qFormat/>
    <w:rsid w:val="005545B9"/>
    <w:pPr>
      <w:keepNext/>
      <w:spacing w:before="40" w:after="40"/>
      <w:jc w:val="left"/>
    </w:pPr>
    <w:rPr>
      <w:rFonts w:ascii="Arial Narrow" w:hAnsi="Arial Narrow" w:cs="Arial Narrow"/>
      <w:sz w:val="20"/>
      <w:szCs w:val="20"/>
      <w:lang w:eastAsia="en-US"/>
    </w:rPr>
  </w:style>
  <w:style w:type="paragraph" w:customStyle="1" w:styleId="msonormal0">
    <w:name w:val="msonormal"/>
    <w:basedOn w:val="Normal"/>
    <w:uiPriority w:val="99"/>
    <w:rsid w:val="007818E5"/>
    <w:pPr>
      <w:spacing w:before="100" w:after="100"/>
      <w:jc w:val="left"/>
    </w:pPr>
    <w:rPr>
      <w:rFonts w:ascii="Times New Roman" w:hAnsi="Times New Roman" w:cs="Times New Roman"/>
      <w:szCs w:val="22"/>
      <w:lang w:val="en-GB" w:eastAsia="en-US"/>
    </w:rPr>
  </w:style>
  <w:style w:type="paragraph" w:customStyle="1" w:styleId="bullet">
    <w:name w:val="bullet"/>
    <w:basedOn w:val="ListParagraph"/>
    <w:link w:val="bulletChar"/>
    <w:qFormat/>
    <w:rsid w:val="003F301C"/>
    <w:pPr>
      <w:numPr>
        <w:numId w:val="27"/>
      </w:numPr>
      <w:spacing w:after="120"/>
      <w:contextualSpacing w:val="0"/>
    </w:pPr>
    <w:rPr>
      <w:rFonts w:cstheme="minorBidi"/>
      <w:i/>
      <w:sz w:val="22"/>
      <w:szCs w:val="22"/>
      <w:lang w:eastAsia="en-US"/>
    </w:rPr>
  </w:style>
  <w:style w:type="character" w:customStyle="1" w:styleId="bulletChar">
    <w:name w:val="bullet Char"/>
    <w:basedOn w:val="ListParagraphChar"/>
    <w:link w:val="bullet"/>
    <w:rsid w:val="003F301C"/>
    <w:rPr>
      <w:rFonts w:ascii="Calibri" w:hAnsi="Calibri" w:cstheme="minorBidi"/>
      <w:i/>
      <w:sz w:val="22"/>
      <w:szCs w:val="22"/>
      <w:lang w:eastAsia="en-US"/>
    </w:rPr>
  </w:style>
  <w:style w:type="paragraph" w:customStyle="1" w:styleId="PBACHeading1">
    <w:name w:val="PBAC Heading 1"/>
    <w:qFormat/>
    <w:rsid w:val="0065728B"/>
    <w:pPr>
      <w:ind w:left="720" w:hanging="720"/>
    </w:pPr>
    <w:rPr>
      <w:rFonts w:ascii="Arial" w:hAnsi="Arial" w:cs="Arial"/>
      <w:b/>
      <w:snapToGrid w:val="0"/>
      <w:sz w:val="22"/>
      <w:szCs w:val="22"/>
      <w:lang w:eastAsia="en-US"/>
    </w:rPr>
  </w:style>
  <w:style w:type="paragraph" w:styleId="NoSpacing">
    <w:name w:val="No Spacing"/>
    <w:uiPriority w:val="1"/>
    <w:qFormat/>
    <w:rsid w:val="0065728B"/>
    <w:rPr>
      <w:sz w:val="24"/>
      <w:szCs w:val="24"/>
      <w:lang w:eastAsia="en-US"/>
    </w:rPr>
  </w:style>
  <w:style w:type="paragraph" w:customStyle="1" w:styleId="3-BodyText">
    <w:name w:val="3-Body Text"/>
    <w:basedOn w:val="ListParagraph"/>
    <w:link w:val="3-BodyTextChar"/>
    <w:qFormat/>
    <w:rsid w:val="00927E97"/>
    <w:pPr>
      <w:numPr>
        <w:ilvl w:val="1"/>
        <w:numId w:val="1"/>
      </w:numPr>
      <w:spacing w:after="120"/>
      <w:contextualSpacing w:val="0"/>
    </w:pPr>
    <w:rPr>
      <w:rFonts w:asciiTheme="minorHAnsi" w:hAnsiTheme="minorHAnsi"/>
      <w:bCs/>
      <w:snapToGrid w:val="0"/>
    </w:rPr>
  </w:style>
  <w:style w:type="character" w:customStyle="1" w:styleId="3-BodyTextChar">
    <w:name w:val="3-Body Text Char"/>
    <w:basedOn w:val="DefaultParagraphFont"/>
    <w:link w:val="3-BodyText"/>
    <w:rsid w:val="00927E97"/>
    <w:rPr>
      <w:rFonts w:asciiTheme="minorHAnsi" w:hAnsiTheme="minorHAnsi" w:cs="Arial"/>
      <w:bCs/>
      <w:snapToGrid w:val="0"/>
      <w:sz w:val="24"/>
      <w:szCs w:val="24"/>
    </w:rPr>
  </w:style>
  <w:style w:type="paragraph" w:customStyle="1" w:styleId="3Bodytext">
    <w:name w:val="3. Body text"/>
    <w:basedOn w:val="Normal"/>
    <w:qFormat/>
    <w:rsid w:val="009E0888"/>
    <w:pPr>
      <w:spacing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976">
      <w:bodyDiv w:val="1"/>
      <w:marLeft w:val="0"/>
      <w:marRight w:val="0"/>
      <w:marTop w:val="0"/>
      <w:marBottom w:val="0"/>
      <w:divBdr>
        <w:top w:val="none" w:sz="0" w:space="0" w:color="auto"/>
        <w:left w:val="none" w:sz="0" w:space="0" w:color="auto"/>
        <w:bottom w:val="none" w:sz="0" w:space="0" w:color="auto"/>
        <w:right w:val="none" w:sz="0" w:space="0" w:color="auto"/>
      </w:divBdr>
    </w:div>
    <w:div w:id="2432906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4687190">
      <w:bodyDiv w:val="1"/>
      <w:marLeft w:val="0"/>
      <w:marRight w:val="0"/>
      <w:marTop w:val="0"/>
      <w:marBottom w:val="0"/>
      <w:divBdr>
        <w:top w:val="none" w:sz="0" w:space="0" w:color="auto"/>
        <w:left w:val="none" w:sz="0" w:space="0" w:color="auto"/>
        <w:bottom w:val="none" w:sz="0" w:space="0" w:color="auto"/>
        <w:right w:val="none" w:sz="0" w:space="0" w:color="auto"/>
      </w:divBdr>
    </w:div>
    <w:div w:id="494495396">
      <w:bodyDiv w:val="1"/>
      <w:marLeft w:val="0"/>
      <w:marRight w:val="0"/>
      <w:marTop w:val="0"/>
      <w:marBottom w:val="0"/>
      <w:divBdr>
        <w:top w:val="none" w:sz="0" w:space="0" w:color="auto"/>
        <w:left w:val="none" w:sz="0" w:space="0" w:color="auto"/>
        <w:bottom w:val="none" w:sz="0" w:space="0" w:color="auto"/>
        <w:right w:val="none" w:sz="0" w:space="0" w:color="auto"/>
      </w:divBdr>
    </w:div>
    <w:div w:id="515340888">
      <w:bodyDiv w:val="1"/>
      <w:marLeft w:val="0"/>
      <w:marRight w:val="0"/>
      <w:marTop w:val="0"/>
      <w:marBottom w:val="0"/>
      <w:divBdr>
        <w:top w:val="none" w:sz="0" w:space="0" w:color="auto"/>
        <w:left w:val="none" w:sz="0" w:space="0" w:color="auto"/>
        <w:bottom w:val="none" w:sz="0" w:space="0" w:color="auto"/>
        <w:right w:val="none" w:sz="0" w:space="0" w:color="auto"/>
      </w:divBdr>
    </w:div>
    <w:div w:id="543638572">
      <w:bodyDiv w:val="1"/>
      <w:marLeft w:val="0"/>
      <w:marRight w:val="0"/>
      <w:marTop w:val="0"/>
      <w:marBottom w:val="0"/>
      <w:divBdr>
        <w:top w:val="none" w:sz="0" w:space="0" w:color="auto"/>
        <w:left w:val="none" w:sz="0" w:space="0" w:color="auto"/>
        <w:bottom w:val="none" w:sz="0" w:space="0" w:color="auto"/>
        <w:right w:val="none" w:sz="0" w:space="0" w:color="auto"/>
      </w:divBdr>
    </w:div>
    <w:div w:id="589772049">
      <w:bodyDiv w:val="1"/>
      <w:marLeft w:val="0"/>
      <w:marRight w:val="0"/>
      <w:marTop w:val="0"/>
      <w:marBottom w:val="0"/>
      <w:divBdr>
        <w:top w:val="none" w:sz="0" w:space="0" w:color="auto"/>
        <w:left w:val="none" w:sz="0" w:space="0" w:color="auto"/>
        <w:bottom w:val="none" w:sz="0" w:space="0" w:color="auto"/>
        <w:right w:val="none" w:sz="0" w:space="0" w:color="auto"/>
      </w:divBdr>
    </w:div>
    <w:div w:id="714811443">
      <w:bodyDiv w:val="1"/>
      <w:marLeft w:val="0"/>
      <w:marRight w:val="0"/>
      <w:marTop w:val="0"/>
      <w:marBottom w:val="0"/>
      <w:divBdr>
        <w:top w:val="none" w:sz="0" w:space="0" w:color="auto"/>
        <w:left w:val="none" w:sz="0" w:space="0" w:color="auto"/>
        <w:bottom w:val="none" w:sz="0" w:space="0" w:color="auto"/>
        <w:right w:val="none" w:sz="0" w:space="0" w:color="auto"/>
      </w:divBdr>
    </w:div>
    <w:div w:id="1068725534">
      <w:bodyDiv w:val="1"/>
      <w:marLeft w:val="0"/>
      <w:marRight w:val="0"/>
      <w:marTop w:val="0"/>
      <w:marBottom w:val="0"/>
      <w:divBdr>
        <w:top w:val="none" w:sz="0" w:space="0" w:color="auto"/>
        <w:left w:val="none" w:sz="0" w:space="0" w:color="auto"/>
        <w:bottom w:val="none" w:sz="0" w:space="0" w:color="auto"/>
        <w:right w:val="none" w:sz="0" w:space="0" w:color="auto"/>
      </w:divBdr>
    </w:div>
    <w:div w:id="107782856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98994">
      <w:bodyDiv w:val="1"/>
      <w:marLeft w:val="0"/>
      <w:marRight w:val="0"/>
      <w:marTop w:val="0"/>
      <w:marBottom w:val="0"/>
      <w:divBdr>
        <w:top w:val="none" w:sz="0" w:space="0" w:color="auto"/>
        <w:left w:val="none" w:sz="0" w:space="0" w:color="auto"/>
        <w:bottom w:val="none" w:sz="0" w:space="0" w:color="auto"/>
        <w:right w:val="none" w:sz="0" w:space="0" w:color="auto"/>
      </w:divBdr>
    </w:div>
    <w:div w:id="1250578278">
      <w:bodyDiv w:val="1"/>
      <w:marLeft w:val="0"/>
      <w:marRight w:val="0"/>
      <w:marTop w:val="0"/>
      <w:marBottom w:val="0"/>
      <w:divBdr>
        <w:top w:val="none" w:sz="0" w:space="0" w:color="auto"/>
        <w:left w:val="none" w:sz="0" w:space="0" w:color="auto"/>
        <w:bottom w:val="none" w:sz="0" w:space="0" w:color="auto"/>
        <w:right w:val="none" w:sz="0" w:space="0" w:color="auto"/>
      </w:divBdr>
    </w:div>
    <w:div w:id="1290630641">
      <w:bodyDiv w:val="1"/>
      <w:marLeft w:val="0"/>
      <w:marRight w:val="0"/>
      <w:marTop w:val="0"/>
      <w:marBottom w:val="0"/>
      <w:divBdr>
        <w:top w:val="none" w:sz="0" w:space="0" w:color="auto"/>
        <w:left w:val="none" w:sz="0" w:space="0" w:color="auto"/>
        <w:bottom w:val="none" w:sz="0" w:space="0" w:color="auto"/>
        <w:right w:val="none" w:sz="0" w:space="0" w:color="auto"/>
      </w:divBdr>
    </w:div>
    <w:div w:id="1347752789">
      <w:bodyDiv w:val="1"/>
      <w:marLeft w:val="0"/>
      <w:marRight w:val="0"/>
      <w:marTop w:val="0"/>
      <w:marBottom w:val="0"/>
      <w:divBdr>
        <w:top w:val="none" w:sz="0" w:space="0" w:color="auto"/>
        <w:left w:val="none" w:sz="0" w:space="0" w:color="auto"/>
        <w:bottom w:val="none" w:sz="0" w:space="0" w:color="auto"/>
        <w:right w:val="none" w:sz="0" w:space="0" w:color="auto"/>
      </w:divBdr>
    </w:div>
    <w:div w:id="1536383992">
      <w:bodyDiv w:val="1"/>
      <w:marLeft w:val="0"/>
      <w:marRight w:val="0"/>
      <w:marTop w:val="0"/>
      <w:marBottom w:val="0"/>
      <w:divBdr>
        <w:top w:val="none" w:sz="0" w:space="0" w:color="auto"/>
        <w:left w:val="none" w:sz="0" w:space="0" w:color="auto"/>
        <w:bottom w:val="none" w:sz="0" w:space="0" w:color="auto"/>
        <w:right w:val="none" w:sz="0" w:space="0" w:color="auto"/>
      </w:divBdr>
    </w:div>
    <w:div w:id="1583106869">
      <w:bodyDiv w:val="1"/>
      <w:marLeft w:val="0"/>
      <w:marRight w:val="0"/>
      <w:marTop w:val="0"/>
      <w:marBottom w:val="0"/>
      <w:divBdr>
        <w:top w:val="none" w:sz="0" w:space="0" w:color="auto"/>
        <w:left w:val="none" w:sz="0" w:space="0" w:color="auto"/>
        <w:bottom w:val="none" w:sz="0" w:space="0" w:color="auto"/>
        <w:right w:val="none" w:sz="0" w:space="0" w:color="auto"/>
      </w:divBdr>
    </w:div>
    <w:div w:id="1653678050">
      <w:bodyDiv w:val="1"/>
      <w:marLeft w:val="0"/>
      <w:marRight w:val="0"/>
      <w:marTop w:val="0"/>
      <w:marBottom w:val="0"/>
      <w:divBdr>
        <w:top w:val="none" w:sz="0" w:space="0" w:color="auto"/>
        <w:left w:val="none" w:sz="0" w:space="0" w:color="auto"/>
        <w:bottom w:val="none" w:sz="0" w:space="0" w:color="auto"/>
        <w:right w:val="none" w:sz="0" w:space="0" w:color="auto"/>
      </w:divBdr>
    </w:div>
    <w:div w:id="175401097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3677035">
      <w:bodyDiv w:val="1"/>
      <w:marLeft w:val="0"/>
      <w:marRight w:val="0"/>
      <w:marTop w:val="0"/>
      <w:marBottom w:val="0"/>
      <w:divBdr>
        <w:top w:val="none" w:sz="0" w:space="0" w:color="auto"/>
        <w:left w:val="none" w:sz="0" w:space="0" w:color="auto"/>
        <w:bottom w:val="none" w:sz="0" w:space="0" w:color="auto"/>
        <w:right w:val="none" w:sz="0" w:space="0" w:color="auto"/>
      </w:divBdr>
    </w:div>
    <w:div w:id="2119638126">
      <w:bodyDiv w:val="1"/>
      <w:marLeft w:val="0"/>
      <w:marRight w:val="0"/>
      <w:marTop w:val="0"/>
      <w:marBottom w:val="0"/>
      <w:divBdr>
        <w:top w:val="none" w:sz="0" w:space="0" w:color="auto"/>
        <w:left w:val="none" w:sz="0" w:space="0" w:color="auto"/>
        <w:bottom w:val="none" w:sz="0" w:space="0" w:color="auto"/>
        <w:right w:val="none" w:sz="0" w:space="0" w:color="auto"/>
      </w:divBdr>
    </w:div>
    <w:div w:id="21448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CCD90-8541-4871-A368-05DAA84C4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17992</Words>
  <Characters>107218</Characters>
  <Application>Microsoft Office Word</Application>
  <DocSecurity>0</DocSecurity>
  <Lines>893</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2020-10-21T02:06:00Z</dcterms:created>
  <dcterms:modified xsi:type="dcterms:W3CDTF">2020-10-22T01:58:00Z</dcterms:modified>
</cp:coreProperties>
</file>